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6AE4" w14:textId="77777777" w:rsidR="00EC5C68" w:rsidRDefault="00EC5C68" w:rsidP="00EC5C68">
      <w:pPr>
        <w:spacing w:line="240" w:lineRule="auto"/>
        <w:jc w:val="center"/>
        <w:rPr>
          <w:b/>
          <w:bCs/>
          <w:sz w:val="40"/>
          <w:szCs w:val="40"/>
          <w14:textOutline w14:w="9525" w14:cap="rnd" w14:cmpd="sng" w14:algn="ctr">
            <w14:solidFill>
              <w14:schemeClr w14:val="tx1">
                <w14:lumMod w14:val="65000"/>
                <w14:lumOff w14:val="35000"/>
              </w14:schemeClr>
            </w14:solidFill>
            <w14:prstDash w14:val="solid"/>
            <w14:bevel/>
          </w14:textOutline>
        </w:rPr>
      </w:pPr>
    </w:p>
    <w:p w14:paraId="6E8C4B3E" w14:textId="77777777" w:rsidR="00EC5C68" w:rsidRDefault="00EC5C68" w:rsidP="00EC5C68">
      <w:pPr>
        <w:spacing w:line="240" w:lineRule="auto"/>
        <w:jc w:val="center"/>
        <w:rPr>
          <w:b/>
          <w:bCs/>
          <w:sz w:val="40"/>
          <w:szCs w:val="40"/>
          <w14:textOutline w14:w="9525" w14:cap="rnd" w14:cmpd="sng" w14:algn="ctr">
            <w14:solidFill>
              <w14:schemeClr w14:val="tx1">
                <w14:lumMod w14:val="65000"/>
                <w14:lumOff w14:val="35000"/>
              </w14:schemeClr>
            </w14:solidFill>
            <w14:prstDash w14:val="solid"/>
            <w14:bevel/>
          </w14:textOutline>
        </w:rPr>
      </w:pPr>
      <w:r>
        <w:rPr>
          <w:noProof/>
        </w:rPr>
        <w:drawing>
          <wp:inline distT="0" distB="0" distL="0" distR="0" wp14:anchorId="6B66E835" wp14:editId="65E725AC">
            <wp:extent cx="1778107" cy="897922"/>
            <wp:effectExtent l="0" t="0" r="0" b="0"/>
            <wp:docPr id="1477692952" name="Picture 7" descr="MultiTax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Tax Commission"/>
                    <pic:cNvPicPr>
                      <a:picLocks noChangeAspect="1" noChangeArrowheads="1"/>
                    </pic:cNvPicPr>
                  </pic:nvPicPr>
                  <pic:blipFill>
                    <a:blip r:embed="rId8" cstate="print">
                      <a:extLst>
                        <a:ext uri="{BEBA8EAE-BF5A-486C-A8C5-ECC9F3942E4B}">
                          <a14:imgProps xmlns:a14="http://schemas.microsoft.com/office/drawing/2010/main">
                            <a14:imgLayer r:embed="rId9">
                              <a14:imgEffect>
                                <a14:colorTemperature colorTemp="6398"/>
                              </a14:imgEffect>
                              <a14:imgEffect>
                                <a14:saturation sat="59000"/>
                              </a14:imgEffect>
                            </a14:imgLayer>
                          </a14:imgProps>
                        </a:ext>
                        <a:ext uri="{28A0092B-C50C-407E-A947-70E740481C1C}">
                          <a14:useLocalDpi xmlns:a14="http://schemas.microsoft.com/office/drawing/2010/main" val="0"/>
                        </a:ext>
                      </a:extLst>
                    </a:blip>
                    <a:srcRect/>
                    <a:stretch>
                      <a:fillRect/>
                    </a:stretch>
                  </pic:blipFill>
                  <pic:spPr bwMode="auto">
                    <a:xfrm>
                      <a:off x="0" y="0"/>
                      <a:ext cx="1875913" cy="947313"/>
                    </a:xfrm>
                    <a:prstGeom prst="rect">
                      <a:avLst/>
                    </a:prstGeom>
                    <a:noFill/>
                    <a:ln>
                      <a:noFill/>
                    </a:ln>
                  </pic:spPr>
                </pic:pic>
              </a:graphicData>
            </a:graphic>
          </wp:inline>
        </w:drawing>
      </w:r>
    </w:p>
    <w:p w14:paraId="1E2C4132" w14:textId="77777777" w:rsidR="00EC5C68" w:rsidRDefault="00EC5C68" w:rsidP="00EC5C68">
      <w:pPr>
        <w:spacing w:line="240" w:lineRule="auto"/>
        <w:jc w:val="center"/>
        <w:rPr>
          <w:b/>
          <w:bCs/>
          <w:sz w:val="44"/>
          <w:szCs w:val="44"/>
          <w14:textOutline w14:w="9525" w14:cap="rnd" w14:cmpd="sng" w14:algn="ctr">
            <w14:solidFill>
              <w14:schemeClr w14:val="tx1">
                <w14:lumMod w14:val="65000"/>
                <w14:lumOff w14:val="35000"/>
              </w14:schemeClr>
            </w14:solidFill>
            <w14:prstDash w14:val="solid"/>
            <w14:bevel/>
          </w14:textOutline>
        </w:rPr>
      </w:pPr>
    </w:p>
    <w:p w14:paraId="22CDCEA4" w14:textId="77777777" w:rsidR="00EC5C68" w:rsidRPr="00982ED4" w:rsidRDefault="00EC5C68" w:rsidP="00EC5C68">
      <w:pPr>
        <w:pBdr>
          <w:top w:val="single" w:sz="24" w:space="1" w:color="auto"/>
        </w:pBdr>
        <w:spacing w:after="0" w:line="240" w:lineRule="auto"/>
        <w:jc w:val="center"/>
        <w:rPr>
          <w:rFonts w:cs="Leelawadee"/>
          <w:b/>
          <w:bCs/>
          <w:sz w:val="72"/>
          <w:szCs w:val="72"/>
          <w14:textOutline w14:w="6350" w14:cap="rnd" w14:cmpd="sng" w14:algn="ctr">
            <w14:solidFill>
              <w14:srgbClr w14:val="812D27"/>
            </w14:solidFill>
            <w14:prstDash w14:val="solid"/>
            <w14:bevel/>
          </w14:textOutline>
        </w:rPr>
      </w:pPr>
      <w:r w:rsidRPr="00982ED4">
        <w:rPr>
          <w:rFonts w:cs="Leelawadee"/>
          <w:b/>
          <w:bCs/>
          <w:sz w:val="72"/>
          <w:szCs w:val="72"/>
          <w14:textOutline w14:w="6350" w14:cap="rnd" w14:cmpd="sng" w14:algn="ctr">
            <w14:solidFill>
              <w14:srgbClr w14:val="812D27"/>
            </w14:solidFill>
            <w14:prstDash w14:val="solid"/>
            <w14:bevel/>
          </w14:textOutline>
        </w:rPr>
        <w:t>Sourcing of Partnership Income</w:t>
      </w:r>
    </w:p>
    <w:p w14:paraId="4C7D3B40" w14:textId="77777777" w:rsidR="00EC5C68" w:rsidRPr="00E92BC7" w:rsidRDefault="00EC5C68" w:rsidP="00EC5C68">
      <w:pPr>
        <w:pBdr>
          <w:top w:val="single" w:sz="24" w:space="1" w:color="auto"/>
        </w:pBdr>
        <w:spacing w:after="0" w:line="240" w:lineRule="auto"/>
        <w:jc w:val="center"/>
        <w:rPr>
          <w:rFonts w:cs="Leelawadee"/>
          <w:b/>
          <w:bCs/>
          <w:sz w:val="56"/>
          <w:szCs w:val="56"/>
          <w14:textOutline w14:w="6350" w14:cap="rnd" w14:cmpd="sng" w14:algn="ctr">
            <w14:solidFill>
              <w14:srgbClr w14:val="812D27"/>
            </w14:solidFill>
            <w14:prstDash w14:val="solid"/>
            <w14:bevel/>
          </w14:textOutline>
        </w:rPr>
      </w:pPr>
      <w:r w:rsidRPr="00E92BC7">
        <w:rPr>
          <w:rFonts w:cs="Leelawadee"/>
          <w:b/>
          <w:bCs/>
          <w:sz w:val="44"/>
          <w:szCs w:val="44"/>
          <w14:textOutline w14:w="6350" w14:cap="rnd" w14:cmpd="sng" w14:algn="ctr">
            <w14:solidFill>
              <w14:srgbClr w14:val="812D27"/>
            </w14:solidFill>
            <w14:prstDash w14:val="solid"/>
            <w14:bevel/>
          </w14:textOutline>
        </w:rPr>
        <w:t xml:space="preserve">Combined </w:t>
      </w:r>
      <w:r>
        <w:rPr>
          <w:rFonts w:cs="Leelawadee"/>
          <w:b/>
          <w:bCs/>
          <w:sz w:val="44"/>
          <w:szCs w:val="44"/>
          <w14:textOutline w14:w="6350" w14:cap="rnd" w14:cmpd="sng" w14:algn="ctr">
            <w14:solidFill>
              <w14:srgbClr w14:val="812D27"/>
            </w14:solidFill>
            <w14:prstDash w14:val="solid"/>
            <w14:bevel/>
          </w14:textOutline>
        </w:rPr>
        <w:t xml:space="preserve">Draft </w:t>
      </w:r>
      <w:r w:rsidRPr="00E92BC7">
        <w:rPr>
          <w:rFonts w:cs="Leelawadee"/>
          <w:b/>
          <w:bCs/>
          <w:sz w:val="44"/>
          <w:szCs w:val="44"/>
          <w14:textOutline w14:w="6350" w14:cap="rnd" w14:cmpd="sng" w14:algn="ctr">
            <w14:solidFill>
              <w14:srgbClr w14:val="812D27"/>
            </w14:solidFill>
            <w14:prstDash w14:val="solid"/>
            <w14:bevel/>
          </w14:textOutline>
        </w:rPr>
        <w:t>Model Provisions &amp; Recommendations</w:t>
      </w:r>
    </w:p>
    <w:p w14:paraId="7B56DFA3" w14:textId="77777777" w:rsidR="00EC5C68" w:rsidRPr="00982ED4" w:rsidRDefault="00EC5C68" w:rsidP="00EC5C68">
      <w:pPr>
        <w:pBdr>
          <w:top w:val="single" w:sz="24" w:space="1" w:color="auto"/>
        </w:pBdr>
        <w:spacing w:after="0" w:line="240" w:lineRule="auto"/>
        <w:jc w:val="center"/>
        <w:rPr>
          <w:rFonts w:cs="Leelawadee"/>
          <w:b/>
          <w:bCs/>
          <w:sz w:val="56"/>
          <w:szCs w:val="56"/>
          <w14:textOutline w14:w="6350" w14:cap="rnd" w14:cmpd="sng" w14:algn="ctr">
            <w14:solidFill>
              <w14:srgbClr w14:val="812D27"/>
            </w14:solidFill>
            <w14:prstDash w14:val="solid"/>
            <w14:bevel/>
          </w14:textOutline>
        </w:rPr>
      </w:pPr>
    </w:p>
    <w:p w14:paraId="4ECE64CD" w14:textId="2FEB8672" w:rsidR="00EC5C68" w:rsidRPr="00982ED4" w:rsidRDefault="00EC5C68" w:rsidP="00EC5C68">
      <w:pPr>
        <w:pBdr>
          <w:bottom w:val="single" w:sz="24" w:space="1" w:color="auto"/>
        </w:pBdr>
        <w:jc w:val="center"/>
        <w:rPr>
          <w:rFonts w:cs="Leelawadee"/>
          <w:b/>
          <w:bCs/>
        </w:rPr>
      </w:pPr>
      <w:r w:rsidRPr="004607E1">
        <w:rPr>
          <w:rFonts w:cs="Leelawadee"/>
          <w:b/>
          <w:bCs/>
          <w:highlight w:val="yellow"/>
        </w:rPr>
        <w:t>Discussion Draft – September 1</w:t>
      </w:r>
      <w:r w:rsidR="004607E1" w:rsidRPr="004607E1">
        <w:rPr>
          <w:rFonts w:cs="Leelawadee"/>
          <w:b/>
          <w:bCs/>
          <w:highlight w:val="yellow"/>
        </w:rPr>
        <w:t>5</w:t>
      </w:r>
      <w:r w:rsidRPr="004607E1">
        <w:rPr>
          <w:rFonts w:cs="Leelawadee"/>
          <w:b/>
          <w:bCs/>
          <w:highlight w:val="yellow"/>
        </w:rPr>
        <w:t>, 2026</w:t>
      </w:r>
      <w:r w:rsidR="00C05CC3">
        <w:rPr>
          <w:rFonts w:cs="Leelawadee"/>
          <w:b/>
          <w:bCs/>
        </w:rPr>
        <w:t xml:space="preserve"> (Corrected)</w:t>
      </w:r>
    </w:p>
    <w:p w14:paraId="40B0B7F3" w14:textId="77777777" w:rsidR="00D141EC" w:rsidRDefault="00D141EC" w:rsidP="00EC5C68">
      <w:pPr>
        <w:jc w:val="center"/>
        <w:rPr>
          <w:b/>
          <w:bCs/>
        </w:rPr>
      </w:pPr>
    </w:p>
    <w:tbl>
      <w:tblPr>
        <w:tblStyle w:val="TableGrid"/>
        <w:tblW w:w="12150" w:type="dxa"/>
        <w:tblInd w:w="134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288" w:type="dxa"/>
          <w:bottom w:w="288" w:type="dxa"/>
        </w:tblCellMar>
        <w:tblLook w:val="04A0" w:firstRow="1" w:lastRow="0" w:firstColumn="1" w:lastColumn="0" w:noHBand="0" w:noVBand="1"/>
      </w:tblPr>
      <w:tblGrid>
        <w:gridCol w:w="12150"/>
      </w:tblGrid>
      <w:tr w:rsidR="00EC5C68" w14:paraId="76AD9D0D" w14:textId="77777777" w:rsidTr="00252552">
        <w:tc>
          <w:tcPr>
            <w:tcW w:w="12150" w:type="dxa"/>
            <w:tcBorders>
              <w:top w:val="single" w:sz="4" w:space="0" w:color="auto"/>
              <w:left w:val="single" w:sz="4" w:space="0" w:color="auto"/>
              <w:bottom w:val="single" w:sz="4" w:space="0" w:color="auto"/>
              <w:right w:val="single" w:sz="4" w:space="0" w:color="auto"/>
            </w:tcBorders>
          </w:tcPr>
          <w:p w14:paraId="4E43BCF3" w14:textId="77777777" w:rsidR="003570C8" w:rsidRPr="00E55BFA" w:rsidRDefault="00ED1CE4" w:rsidP="00A86759">
            <w:pPr>
              <w:spacing w:after="60"/>
              <w:rPr>
                <w:rFonts w:cs="Leelawadee"/>
                <w:b/>
                <w:bCs/>
                <w:szCs w:val="28"/>
              </w:rPr>
            </w:pPr>
            <w:r w:rsidRPr="00E55BFA">
              <w:rPr>
                <w:rFonts w:cs="Leelawadee"/>
                <w:b/>
                <w:bCs/>
                <w:szCs w:val="28"/>
              </w:rPr>
              <w:t xml:space="preserve">NOTE: </w:t>
            </w:r>
            <w:r w:rsidR="00EC5C68" w:rsidRPr="00E55BFA">
              <w:rPr>
                <w:rFonts w:cs="Leelawadee"/>
                <w:b/>
                <w:bCs/>
                <w:szCs w:val="28"/>
              </w:rPr>
              <w:t xml:space="preserve">This document is a revised version of the discussion draft circulated on April 15, 2026. It contains additional </w:t>
            </w:r>
            <w:r w:rsidR="00563DBB" w:rsidRPr="00E55BFA">
              <w:rPr>
                <w:rFonts w:cs="Leelawadee"/>
                <w:b/>
                <w:bCs/>
                <w:szCs w:val="28"/>
              </w:rPr>
              <w:t>changes in response to comments</w:t>
            </w:r>
            <w:r w:rsidR="000D0ADA" w:rsidRPr="00E55BFA">
              <w:rPr>
                <w:rFonts w:cs="Leelawadee"/>
                <w:b/>
                <w:bCs/>
                <w:szCs w:val="28"/>
              </w:rPr>
              <w:t xml:space="preserve"> received</w:t>
            </w:r>
            <w:r w:rsidR="00EC5C68" w:rsidRPr="00E55BFA">
              <w:rPr>
                <w:rFonts w:cs="Leelawadee"/>
                <w:b/>
                <w:bCs/>
                <w:szCs w:val="28"/>
              </w:rPr>
              <w:t xml:space="preserve">. </w:t>
            </w:r>
            <w:r w:rsidR="000D0ADA" w:rsidRPr="00E55BFA">
              <w:rPr>
                <w:rFonts w:cs="Leelawadee"/>
                <w:b/>
                <w:bCs/>
                <w:szCs w:val="28"/>
              </w:rPr>
              <w:t>The</w:t>
            </w:r>
            <w:r w:rsidR="00F238F8" w:rsidRPr="00E55BFA">
              <w:rPr>
                <w:rFonts w:cs="Leelawadee"/>
                <w:b/>
                <w:bCs/>
                <w:szCs w:val="28"/>
              </w:rPr>
              <w:t>se</w:t>
            </w:r>
            <w:r w:rsidR="000D0ADA" w:rsidRPr="00E55BFA">
              <w:rPr>
                <w:rFonts w:cs="Leelawadee"/>
                <w:b/>
                <w:bCs/>
                <w:szCs w:val="28"/>
              </w:rPr>
              <w:t xml:space="preserve"> changes do not alter the </w:t>
            </w:r>
            <w:r w:rsidR="00EC5C68" w:rsidRPr="00E55BFA">
              <w:rPr>
                <w:rFonts w:cs="Leelawadee"/>
                <w:b/>
                <w:bCs/>
                <w:szCs w:val="28"/>
              </w:rPr>
              <w:t>general approach</w:t>
            </w:r>
            <w:r w:rsidR="00D141EC" w:rsidRPr="00E55BFA">
              <w:rPr>
                <w:rFonts w:cs="Leelawadee"/>
                <w:b/>
                <w:bCs/>
                <w:szCs w:val="28"/>
              </w:rPr>
              <w:t xml:space="preserve"> recommended in earlier drafts</w:t>
            </w:r>
            <w:r w:rsidR="0029619B" w:rsidRPr="00E55BFA">
              <w:rPr>
                <w:rFonts w:cs="Leelawadee"/>
                <w:b/>
                <w:bCs/>
                <w:szCs w:val="28"/>
              </w:rPr>
              <w:t xml:space="preserve">. </w:t>
            </w:r>
            <w:r w:rsidR="003570C8" w:rsidRPr="00E55BFA">
              <w:rPr>
                <w:rFonts w:cs="Leelawadee"/>
                <w:b/>
                <w:bCs/>
                <w:szCs w:val="28"/>
              </w:rPr>
              <w:br/>
            </w:r>
            <w:r w:rsidR="003570C8" w:rsidRPr="00E55BFA">
              <w:rPr>
                <w:rFonts w:cs="Leelawadee"/>
                <w:b/>
                <w:bCs/>
                <w:szCs w:val="28"/>
              </w:rPr>
              <w:br/>
              <w:t>The draft model provisions here have:</w:t>
            </w:r>
          </w:p>
          <w:p w14:paraId="35ABC92F" w14:textId="0D66B528" w:rsidR="007F40DA" w:rsidRDefault="007F40DA" w:rsidP="00111E0D">
            <w:pPr>
              <w:pStyle w:val="ListParagraph"/>
              <w:numPr>
                <w:ilvl w:val="0"/>
                <w:numId w:val="17"/>
              </w:numPr>
              <w:spacing w:after="60"/>
              <w:rPr>
                <w:rFonts w:cs="Leelawadee"/>
                <w:b/>
                <w:bCs/>
                <w:szCs w:val="28"/>
              </w:rPr>
            </w:pPr>
            <w:r>
              <w:rPr>
                <w:rFonts w:cs="Leelawadee"/>
                <w:b/>
                <w:bCs/>
                <w:szCs w:val="28"/>
              </w:rPr>
              <w:t xml:space="preserve">Drafter’s notes in </w:t>
            </w:r>
            <w:r w:rsidRPr="007F40DA">
              <w:rPr>
                <w:rFonts w:cs="Leelawadee"/>
                <w:b/>
                <w:bCs/>
                <w:color w:val="0070C0"/>
                <w:szCs w:val="28"/>
              </w:rPr>
              <w:t>blue text</w:t>
            </w:r>
            <w:r>
              <w:rPr>
                <w:rFonts w:cs="Leelawadee"/>
                <w:b/>
                <w:bCs/>
                <w:color w:val="0070C0"/>
                <w:szCs w:val="28"/>
              </w:rPr>
              <w:t xml:space="preserve"> </w:t>
            </w:r>
            <w:r>
              <w:rPr>
                <w:rFonts w:cs="Leelawadee"/>
                <w:b/>
                <w:bCs/>
                <w:szCs w:val="28"/>
              </w:rPr>
              <w:t xml:space="preserve">as part of the </w:t>
            </w:r>
            <w:r w:rsidR="00D002C7">
              <w:rPr>
                <w:rFonts w:cs="Leelawadee"/>
                <w:b/>
                <w:bCs/>
                <w:szCs w:val="28"/>
              </w:rPr>
              <w:t xml:space="preserve">draft </w:t>
            </w:r>
            <w:r>
              <w:rPr>
                <w:rFonts w:cs="Leelawadee"/>
                <w:b/>
                <w:bCs/>
                <w:szCs w:val="28"/>
              </w:rPr>
              <w:t xml:space="preserve">provisions. </w:t>
            </w:r>
          </w:p>
          <w:p w14:paraId="2A2D1EE5" w14:textId="03C725FA" w:rsidR="003570C8" w:rsidRPr="00E55BFA" w:rsidRDefault="00722F58" w:rsidP="00111E0D">
            <w:pPr>
              <w:pStyle w:val="ListParagraph"/>
              <w:numPr>
                <w:ilvl w:val="0"/>
                <w:numId w:val="17"/>
              </w:numPr>
              <w:spacing w:after="60"/>
              <w:rPr>
                <w:rFonts w:cs="Leelawadee"/>
                <w:b/>
                <w:bCs/>
                <w:szCs w:val="28"/>
              </w:rPr>
            </w:pPr>
            <w:r w:rsidRPr="00E55BFA">
              <w:rPr>
                <w:rFonts w:cs="Leelawadee"/>
                <w:b/>
                <w:bCs/>
                <w:szCs w:val="28"/>
              </w:rPr>
              <w:t xml:space="preserve">A number of </w:t>
            </w:r>
            <w:r w:rsidR="00897048" w:rsidRPr="00E55BFA">
              <w:rPr>
                <w:rFonts w:cs="Leelawadee"/>
                <w:b/>
                <w:bCs/>
                <w:szCs w:val="28"/>
              </w:rPr>
              <w:t>small edits</w:t>
            </w:r>
            <w:r w:rsidR="00AA6920" w:rsidRPr="00E55BFA">
              <w:rPr>
                <w:rFonts w:cs="Leelawadee"/>
                <w:b/>
                <w:bCs/>
                <w:szCs w:val="28"/>
              </w:rPr>
              <w:t>, including in response to comments,</w:t>
            </w:r>
            <w:r w:rsidR="00897048" w:rsidRPr="00E55BFA">
              <w:rPr>
                <w:rFonts w:cs="Leelawadee"/>
                <w:b/>
                <w:bCs/>
                <w:szCs w:val="28"/>
              </w:rPr>
              <w:t xml:space="preserve"> </w:t>
            </w:r>
            <w:r w:rsidR="00D002C7">
              <w:rPr>
                <w:rFonts w:cs="Leelawadee"/>
                <w:b/>
                <w:bCs/>
                <w:szCs w:val="28"/>
              </w:rPr>
              <w:t xml:space="preserve">made </w:t>
            </w:r>
            <w:r w:rsidR="00351E39" w:rsidRPr="00E55BFA">
              <w:rPr>
                <w:rFonts w:cs="Leelawadee"/>
                <w:b/>
                <w:bCs/>
                <w:szCs w:val="28"/>
              </w:rPr>
              <w:t>without highlighting</w:t>
            </w:r>
            <w:r w:rsidR="00897048" w:rsidRPr="00E55BFA">
              <w:rPr>
                <w:rFonts w:cs="Leelawadee"/>
                <w:b/>
                <w:bCs/>
                <w:szCs w:val="28"/>
              </w:rPr>
              <w:t xml:space="preserve">. </w:t>
            </w:r>
          </w:p>
          <w:p w14:paraId="2C0E732F" w14:textId="77777777" w:rsidR="00E55BFA" w:rsidRPr="00E55BFA" w:rsidRDefault="003570C8" w:rsidP="00111E0D">
            <w:pPr>
              <w:pStyle w:val="ListParagraph"/>
              <w:numPr>
                <w:ilvl w:val="0"/>
                <w:numId w:val="17"/>
              </w:numPr>
              <w:spacing w:after="60"/>
              <w:rPr>
                <w:rFonts w:cs="Leelawadee"/>
                <w:b/>
                <w:bCs/>
                <w:szCs w:val="28"/>
              </w:rPr>
            </w:pPr>
            <w:r w:rsidRPr="00E55BFA">
              <w:rPr>
                <w:rFonts w:cs="Leelawadee"/>
                <w:b/>
                <w:bCs/>
                <w:szCs w:val="28"/>
              </w:rPr>
              <w:t>Some l</w:t>
            </w:r>
            <w:r w:rsidR="00897048" w:rsidRPr="00E55BFA">
              <w:rPr>
                <w:rFonts w:cs="Leelawadee"/>
                <w:b/>
                <w:bCs/>
                <w:szCs w:val="28"/>
              </w:rPr>
              <w:t xml:space="preserve">arger or </w:t>
            </w:r>
            <w:r w:rsidR="00D141EC" w:rsidRPr="00E55BFA">
              <w:rPr>
                <w:rFonts w:cs="Leelawadee"/>
                <w:b/>
                <w:bCs/>
                <w:szCs w:val="28"/>
              </w:rPr>
              <w:t xml:space="preserve">more </w:t>
            </w:r>
            <w:r w:rsidR="00897048" w:rsidRPr="00E55BFA">
              <w:rPr>
                <w:rFonts w:cs="Leelawadee"/>
                <w:b/>
                <w:bCs/>
                <w:szCs w:val="28"/>
              </w:rPr>
              <w:t xml:space="preserve">substantive </w:t>
            </w:r>
            <w:r w:rsidR="00F238F8" w:rsidRPr="00E55BFA">
              <w:rPr>
                <w:rFonts w:cs="Leelawadee"/>
                <w:b/>
                <w:bCs/>
                <w:szCs w:val="28"/>
              </w:rPr>
              <w:t>changes</w:t>
            </w:r>
            <w:r w:rsidR="00897048" w:rsidRPr="00E55BFA">
              <w:rPr>
                <w:rFonts w:cs="Leelawadee"/>
                <w:b/>
                <w:bCs/>
                <w:szCs w:val="28"/>
              </w:rPr>
              <w:t xml:space="preserve"> </w:t>
            </w:r>
            <w:r w:rsidR="00897048" w:rsidRPr="00E55BFA">
              <w:rPr>
                <w:rFonts w:cs="Leelawadee"/>
                <w:b/>
                <w:bCs/>
                <w:szCs w:val="28"/>
                <w:highlight w:val="yellow"/>
              </w:rPr>
              <w:t>highlighted in yellow.</w:t>
            </w:r>
            <w:r w:rsidR="00897048" w:rsidRPr="00E55BFA">
              <w:rPr>
                <w:rFonts w:cs="Leelawadee"/>
                <w:b/>
                <w:bCs/>
                <w:szCs w:val="28"/>
              </w:rPr>
              <w:t xml:space="preserve"> </w:t>
            </w:r>
          </w:p>
          <w:p w14:paraId="24A4F451" w14:textId="57E7F9F8" w:rsidR="00E55BFA" w:rsidRPr="00E55BFA" w:rsidRDefault="00E55BFA" w:rsidP="00111E0D">
            <w:pPr>
              <w:pStyle w:val="ListParagraph"/>
              <w:numPr>
                <w:ilvl w:val="0"/>
                <w:numId w:val="17"/>
              </w:numPr>
              <w:spacing w:after="60"/>
              <w:rPr>
                <w:rFonts w:cs="Leelawadee"/>
                <w:b/>
                <w:bCs/>
                <w:szCs w:val="28"/>
              </w:rPr>
            </w:pPr>
            <w:r w:rsidRPr="00E55BFA">
              <w:rPr>
                <w:rFonts w:cs="Leelawadee"/>
                <w:b/>
                <w:bCs/>
                <w:szCs w:val="28"/>
              </w:rPr>
              <w:t>A notes section where additional notes about changes are included</w:t>
            </w:r>
            <w:r>
              <w:rPr>
                <w:rFonts w:cs="Leelawadee"/>
                <w:b/>
                <w:bCs/>
                <w:szCs w:val="28"/>
              </w:rPr>
              <w:t xml:space="preserve"> </w:t>
            </w:r>
            <w:r w:rsidR="0059342F" w:rsidRPr="00F64E40">
              <w:rPr>
                <w:rFonts w:ascii="Tahoma" w:hAnsi="Tahoma" w:cs="Tahoma"/>
                <w:b/>
                <w:bCs/>
                <w:color w:val="02AA06"/>
                <w:sz w:val="22"/>
                <w:szCs w:val="22"/>
              </w:rPr>
              <w:t xml:space="preserve">in </w:t>
            </w:r>
            <w:r w:rsidR="00F64E40" w:rsidRPr="00F64E40">
              <w:rPr>
                <w:rFonts w:ascii="Tahoma" w:hAnsi="Tahoma" w:cs="Tahoma"/>
                <w:b/>
                <w:bCs/>
                <w:color w:val="02AA06"/>
                <w:sz w:val="22"/>
                <w:szCs w:val="22"/>
              </w:rPr>
              <w:t>green</w:t>
            </w:r>
            <w:r w:rsidR="0059342F" w:rsidRPr="00F64E40">
              <w:rPr>
                <w:rFonts w:ascii="Tahoma" w:hAnsi="Tahoma" w:cs="Tahoma"/>
                <w:b/>
                <w:bCs/>
                <w:color w:val="02AA06"/>
                <w:sz w:val="22"/>
                <w:szCs w:val="22"/>
              </w:rPr>
              <w:t xml:space="preserve"> text</w:t>
            </w:r>
            <w:r w:rsidRPr="00F64E40">
              <w:rPr>
                <w:rFonts w:cs="Leelawadee"/>
                <w:b/>
                <w:bCs/>
                <w:color w:val="00B050"/>
                <w:szCs w:val="28"/>
              </w:rPr>
              <w:t>.</w:t>
            </w:r>
            <w:r w:rsidRPr="00E55BFA">
              <w:rPr>
                <w:rFonts w:cs="Leelawadee"/>
                <w:b/>
                <w:bCs/>
                <w:szCs w:val="28"/>
              </w:rPr>
              <w:t xml:space="preserve"> </w:t>
            </w:r>
          </w:p>
          <w:p w14:paraId="75BBB520" w14:textId="77777777" w:rsidR="00E55BFA" w:rsidRPr="00E55BFA" w:rsidRDefault="00E55BFA" w:rsidP="00E55BFA">
            <w:pPr>
              <w:spacing w:after="60"/>
              <w:rPr>
                <w:rFonts w:cs="Leelawadee"/>
                <w:b/>
                <w:bCs/>
                <w:szCs w:val="28"/>
              </w:rPr>
            </w:pPr>
          </w:p>
          <w:p w14:paraId="6B92B81A" w14:textId="301631D6" w:rsidR="00ED1CE4" w:rsidRPr="00252552" w:rsidRDefault="00AA6920" w:rsidP="00A86759">
            <w:pPr>
              <w:spacing w:after="60"/>
              <w:rPr>
                <w:rFonts w:cs="Leelawadee"/>
                <w:b/>
                <w:bCs/>
                <w:szCs w:val="28"/>
              </w:rPr>
            </w:pPr>
            <w:r w:rsidRPr="00E55BFA">
              <w:rPr>
                <w:rFonts w:cs="Leelawadee"/>
                <w:b/>
                <w:bCs/>
                <w:szCs w:val="28"/>
              </w:rPr>
              <w:t xml:space="preserve">See also </w:t>
            </w:r>
            <w:r w:rsidR="00351E39" w:rsidRPr="00E55BFA">
              <w:rPr>
                <w:rFonts w:cs="Leelawadee"/>
                <w:b/>
                <w:bCs/>
                <w:szCs w:val="28"/>
              </w:rPr>
              <w:t>the appendix which summarizes the comments received and the response.</w:t>
            </w:r>
          </w:p>
        </w:tc>
      </w:tr>
    </w:tbl>
    <w:p w14:paraId="45B5089D" w14:textId="77777777" w:rsidR="00B0207E" w:rsidRDefault="00B0207E" w:rsidP="00175015">
      <w:pPr>
        <w:spacing w:before="360" w:line="252" w:lineRule="auto"/>
        <w:ind w:left="1440" w:right="1440"/>
      </w:pPr>
    </w:p>
    <w:p w14:paraId="349A0BD0" w14:textId="1F0F1FE4" w:rsidR="00E7124D" w:rsidRPr="000E68C3" w:rsidRDefault="000E68C3" w:rsidP="000E68C3">
      <w:pPr>
        <w:pBdr>
          <w:bottom w:val="single" w:sz="4" w:space="1" w:color="auto"/>
        </w:pBdr>
        <w:spacing w:before="360" w:after="240" w:line="252" w:lineRule="auto"/>
        <w:ind w:left="1440" w:right="1440"/>
        <w:jc w:val="center"/>
        <w:rPr>
          <w:b/>
          <w:bCs/>
          <w:color w:val="640000"/>
          <w:sz w:val="40"/>
          <w:szCs w:val="40"/>
        </w:rPr>
      </w:pPr>
      <w:r w:rsidRPr="000E68C3">
        <w:rPr>
          <w:b/>
          <w:bCs/>
          <w:color w:val="640000"/>
          <w:sz w:val="40"/>
          <w:szCs w:val="40"/>
        </w:rPr>
        <w:lastRenderedPageBreak/>
        <w:t>Background on the MTC Partnership Project</w:t>
      </w:r>
    </w:p>
    <w:p w14:paraId="60E43795" w14:textId="4469B43B" w:rsidR="00EC5C68" w:rsidRPr="00C80824" w:rsidRDefault="007F6A4E" w:rsidP="004F476B">
      <w:pPr>
        <w:spacing w:before="360" w:after="240" w:line="252" w:lineRule="auto"/>
        <w:ind w:left="1440" w:right="1440"/>
        <w:rPr>
          <w:b/>
          <w:bCs/>
          <w:color w:val="FFFFFF" w:themeColor="background1"/>
          <w:sz w:val="36"/>
          <w:szCs w:val="32"/>
        </w:rPr>
      </w:pPr>
      <w:r>
        <w:rPr>
          <w:noProof/>
        </w:rPr>
        <w:drawing>
          <wp:anchor distT="0" distB="0" distL="114300" distR="114300" simplePos="0" relativeHeight="251658240" behindDoc="0" locked="0" layoutInCell="1" allowOverlap="1" wp14:anchorId="79A5A8EC" wp14:editId="6287A3A8">
            <wp:simplePos x="0" y="0"/>
            <wp:positionH relativeFrom="column">
              <wp:posOffset>883084</wp:posOffset>
            </wp:positionH>
            <wp:positionV relativeFrom="paragraph">
              <wp:posOffset>78925</wp:posOffset>
            </wp:positionV>
            <wp:extent cx="3136265" cy="2209165"/>
            <wp:effectExtent l="0" t="0" r="6985" b="635"/>
            <wp:wrapSquare wrapText="bothSides"/>
            <wp:docPr id="408901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6265" cy="2209165"/>
                    </a:xfrm>
                    <a:prstGeom prst="rect">
                      <a:avLst/>
                    </a:prstGeom>
                    <a:noFill/>
                  </pic:spPr>
                </pic:pic>
              </a:graphicData>
            </a:graphic>
            <wp14:sizeRelH relativeFrom="margin">
              <wp14:pctWidth>0</wp14:pctWidth>
            </wp14:sizeRelH>
            <wp14:sizeRelV relativeFrom="margin">
              <wp14:pctHeight>0</wp14:pctHeight>
            </wp14:sizeRelV>
          </wp:anchor>
        </w:drawing>
      </w:r>
      <w:r w:rsidR="00EC5C68" w:rsidRPr="00CC2F99">
        <w:t>T</w:t>
      </w:r>
      <w:r w:rsidR="00EC5C68">
        <w:t>hi</w:t>
      </w:r>
      <w:r w:rsidR="00EC5C68" w:rsidRPr="00CC2F99">
        <w:t xml:space="preserve">s </w:t>
      </w:r>
      <w:r w:rsidR="00EC5C68">
        <w:t xml:space="preserve">MTC </w:t>
      </w:r>
      <w:r w:rsidR="00EC5C68" w:rsidRPr="00CC2F99">
        <w:t>project on taxing partnership income began with a detailed outline of issues</w:t>
      </w:r>
      <w:r w:rsidR="00EC5C68">
        <w:t>.</w:t>
      </w:r>
      <w:r w:rsidR="00EC5C68" w:rsidRPr="00CC2F99">
        <w:t xml:space="preserve"> </w:t>
      </w:r>
      <w:r w:rsidR="00EC5C68">
        <w:t xml:space="preserve">See the latest version, here: </w:t>
      </w:r>
      <w:hyperlink r:id="rId11" w:history="1">
        <w:r w:rsidR="00EC5C68" w:rsidRPr="00CC0B11">
          <w:rPr>
            <w:rStyle w:val="Hyperlink"/>
            <w:rFonts w:ascii="Leelawadee" w:hAnsi="Leelawadee" w:cs="Leelawadee"/>
            <w:b/>
            <w:bCs/>
            <w:color w:val="8E0000"/>
            <w:szCs w:val="22"/>
          </w:rPr>
          <w:t>Issue Outline</w:t>
        </w:r>
      </w:hyperlink>
      <w:r w:rsidR="00EC5C68">
        <w:t xml:space="preserve">. </w:t>
      </w:r>
      <w:r w:rsidR="00EC5C68" w:rsidRPr="00CC2F99">
        <w:t>Th</w:t>
      </w:r>
      <w:r w:rsidR="006C4548">
        <w:t>e</w:t>
      </w:r>
      <w:r w:rsidR="00EC5C68" w:rsidRPr="00CC2F99">
        <w:t xml:space="preserve"> issues fall into several categories including jurisdiction</w:t>
      </w:r>
      <w:r w:rsidR="00EC5C68">
        <w:t>al issues</w:t>
      </w:r>
      <w:r w:rsidR="00EC5C68" w:rsidRPr="00CC2F99">
        <w:t xml:space="preserve">, </w:t>
      </w:r>
      <w:r w:rsidR="003370AD">
        <w:t>determining</w:t>
      </w:r>
      <w:r w:rsidR="00EC5C68" w:rsidRPr="00CC2F99">
        <w:t xml:space="preserve"> the state tax base, sourcing partnership</w:t>
      </w:r>
      <w:r w:rsidR="00EC5C68">
        <w:t xml:space="preserve"> income, etc. </w:t>
      </w:r>
    </w:p>
    <w:p w14:paraId="335E296E" w14:textId="0456E4DE" w:rsidR="00622B7A" w:rsidRDefault="00EC5C68" w:rsidP="00175015">
      <w:pPr>
        <w:spacing w:line="252" w:lineRule="auto"/>
        <w:ind w:left="1440" w:right="1440"/>
      </w:pPr>
      <w:r>
        <w:t>When it comes to sourcing</w:t>
      </w:r>
      <w:r w:rsidR="00797663">
        <w:t xml:space="preserve"> partnership income</w:t>
      </w:r>
      <w:r>
        <w:t>, the project</w:t>
      </w:r>
      <w:r w:rsidR="00175015">
        <w:t xml:space="preserve"> does not create a new sourcing system </w:t>
      </w:r>
      <w:r w:rsidR="00797663">
        <w:t>o</w:t>
      </w:r>
      <w:r w:rsidR="00EC787C">
        <w:t>f</w:t>
      </w:r>
      <w:r w:rsidR="00797663">
        <w:t xml:space="preserve"> sourcing rules </w:t>
      </w:r>
      <w:r w:rsidR="00175015">
        <w:t xml:space="preserve">for partnership income. Rather, it </w:t>
      </w:r>
      <w:r>
        <w:t xml:space="preserve">aims to clarify how the general state sourcing approaches apply to income taxed under the pass-through system. </w:t>
      </w:r>
    </w:p>
    <w:p w14:paraId="2E354179" w14:textId="033ED51B" w:rsidR="00EC5C68" w:rsidRPr="002337F3" w:rsidRDefault="00EC5C68" w:rsidP="00175015">
      <w:pPr>
        <w:spacing w:line="252" w:lineRule="auto"/>
        <w:ind w:left="1440" w:right="1440"/>
      </w:pPr>
      <w:r>
        <w:t xml:space="preserve">The </w:t>
      </w:r>
      <w:r w:rsidRPr="002337F3">
        <w:t xml:space="preserve">MTC has </w:t>
      </w:r>
      <w:r w:rsidR="00EC787C">
        <w:t>long</w:t>
      </w:r>
      <w:r>
        <w:t xml:space="preserve"> </w:t>
      </w:r>
      <w:r w:rsidRPr="002337F3">
        <w:t xml:space="preserve">worked to bring more uniformity to </w:t>
      </w:r>
      <w:r>
        <w:t xml:space="preserve">these general </w:t>
      </w:r>
      <w:r w:rsidRPr="002337F3">
        <w:t xml:space="preserve">state </w:t>
      </w:r>
      <w:r>
        <w:t>sourcing approaches</w:t>
      </w:r>
      <w:r w:rsidRPr="002337F3">
        <w:t xml:space="preserve">. </w:t>
      </w:r>
      <w:r>
        <w:t>(</w:t>
      </w:r>
      <w:r w:rsidRPr="002337F3">
        <w:t>See our model</w:t>
      </w:r>
      <w:r>
        <w:t>s</w:t>
      </w:r>
      <w:r w:rsidRPr="002337F3">
        <w:t xml:space="preserve"> here: </w:t>
      </w:r>
      <w:hyperlink r:id="rId12" w:history="1">
        <w:r w:rsidRPr="0086539C">
          <w:rPr>
            <w:rStyle w:val="Hyperlink"/>
            <w:rFonts w:ascii="Leelawadee" w:hAnsi="Leelawadee" w:cs="Leelawadee"/>
            <w:b/>
            <w:bCs/>
            <w:color w:val="800000"/>
          </w:rPr>
          <w:t>MTC Models</w:t>
        </w:r>
      </w:hyperlink>
      <w:r w:rsidRPr="002337F3">
        <w:t>.</w:t>
      </w:r>
      <w:r>
        <w:t>)</w:t>
      </w:r>
      <w:r w:rsidRPr="002337F3">
        <w:t xml:space="preserve"> </w:t>
      </w:r>
    </w:p>
    <w:p w14:paraId="30E88355" w14:textId="55822E24" w:rsidR="00E96838" w:rsidRPr="00E96838" w:rsidRDefault="00E96838" w:rsidP="00175015">
      <w:pPr>
        <w:spacing w:before="240" w:after="0" w:line="252" w:lineRule="auto"/>
        <w:ind w:left="1440" w:right="1440"/>
        <w:rPr>
          <w:b/>
          <w:bCs/>
          <w:sz w:val="28"/>
          <w:szCs w:val="28"/>
          <w:u w:val="single"/>
        </w:rPr>
      </w:pPr>
      <w:r w:rsidRPr="00E96838">
        <w:rPr>
          <w:b/>
          <w:bCs/>
          <w:sz w:val="28"/>
          <w:szCs w:val="28"/>
          <w:u w:val="single"/>
        </w:rPr>
        <w:t>Sourcing Issues</w:t>
      </w:r>
      <w:r>
        <w:rPr>
          <w:b/>
          <w:bCs/>
          <w:sz w:val="28"/>
          <w:szCs w:val="28"/>
          <w:u w:val="single"/>
        </w:rPr>
        <w:t xml:space="preserve"> Addressed</w:t>
      </w:r>
    </w:p>
    <w:p w14:paraId="035D4004" w14:textId="7798830D" w:rsidR="005B27EC" w:rsidRDefault="00EC5C68" w:rsidP="006C4548">
      <w:pPr>
        <w:spacing w:after="120" w:line="252" w:lineRule="auto"/>
        <w:ind w:left="1440" w:right="1440"/>
      </w:pPr>
      <w:r>
        <w:t>So far, the</w:t>
      </w:r>
      <w:r w:rsidR="00EC787C">
        <w:t xml:space="preserve"> partnership</w:t>
      </w:r>
      <w:r>
        <w:t xml:space="preserve"> work group</w:t>
      </w:r>
      <w:r w:rsidRPr="002337F3">
        <w:t xml:space="preserve"> has focused on </w:t>
      </w:r>
      <w:r w:rsidR="00124B0F">
        <w:t xml:space="preserve">the </w:t>
      </w:r>
      <w:r>
        <w:t>sourcing</w:t>
      </w:r>
      <w:r w:rsidR="00124B0F">
        <w:t xml:space="preserve"> of</w:t>
      </w:r>
      <w:r>
        <w:t>:</w:t>
      </w:r>
    </w:p>
    <w:p w14:paraId="40DFEEE8" w14:textId="77777777" w:rsidR="007044CA" w:rsidRDefault="00EC5C68" w:rsidP="006C4548">
      <w:pPr>
        <w:pStyle w:val="ListParagraph"/>
        <w:numPr>
          <w:ilvl w:val="0"/>
          <w:numId w:val="15"/>
        </w:numPr>
        <w:spacing w:after="0" w:line="252" w:lineRule="auto"/>
        <w:ind w:right="1440"/>
        <w:contextualSpacing w:val="0"/>
      </w:pPr>
      <w:r>
        <w:t>D</w:t>
      </w:r>
      <w:r w:rsidRPr="002337F3">
        <w:t>istributive share income of tiered and corporate partner</w:t>
      </w:r>
      <w:r>
        <w:t>s.</w:t>
      </w:r>
    </w:p>
    <w:p w14:paraId="792FEF70" w14:textId="77777777" w:rsidR="007044CA" w:rsidRDefault="00EC5C68" w:rsidP="006C4548">
      <w:pPr>
        <w:pStyle w:val="ListParagraph"/>
        <w:numPr>
          <w:ilvl w:val="0"/>
          <w:numId w:val="15"/>
        </w:numPr>
        <w:spacing w:after="0" w:line="252" w:lineRule="auto"/>
        <w:ind w:right="1440"/>
        <w:contextualSpacing w:val="0"/>
      </w:pPr>
      <w:r>
        <w:t>G</w:t>
      </w:r>
      <w:r w:rsidRPr="002337F3">
        <w:t>uaranteed payments to individuals for services</w:t>
      </w:r>
      <w:r>
        <w:t>.</w:t>
      </w:r>
    </w:p>
    <w:p w14:paraId="0FA9A2D5" w14:textId="4FD3534F" w:rsidR="00EC5C68" w:rsidRPr="002337F3" w:rsidRDefault="00EC5C68" w:rsidP="006C4548">
      <w:pPr>
        <w:pStyle w:val="ListParagraph"/>
        <w:numPr>
          <w:ilvl w:val="0"/>
          <w:numId w:val="15"/>
        </w:numPr>
        <w:spacing w:after="120" w:line="252" w:lineRule="auto"/>
        <w:ind w:right="1440"/>
        <w:contextualSpacing w:val="0"/>
      </w:pPr>
      <w:r>
        <w:t>I</w:t>
      </w:r>
      <w:r w:rsidRPr="002337F3">
        <w:t>ncome of investment partnerships.</w:t>
      </w:r>
    </w:p>
    <w:p w14:paraId="22C4F100" w14:textId="77777777" w:rsidR="00D9413A" w:rsidRDefault="00EC5C68" w:rsidP="006C4548">
      <w:pPr>
        <w:spacing w:before="240" w:after="240" w:line="252" w:lineRule="auto"/>
        <w:ind w:left="1440" w:right="1440"/>
      </w:pPr>
      <w:r w:rsidRPr="002337F3">
        <w:t xml:space="preserve">For each </w:t>
      </w:r>
      <w:r>
        <w:t>of these types of income</w:t>
      </w:r>
      <w:r w:rsidRPr="002337F3">
        <w:t>, the work group</w:t>
      </w:r>
      <w:r>
        <w:t xml:space="preserve"> has</w:t>
      </w:r>
      <w:r w:rsidRPr="002337F3">
        <w:t xml:space="preserve"> produced </w:t>
      </w:r>
      <w:r>
        <w:t>separate</w:t>
      </w:r>
      <w:r w:rsidRPr="002337F3">
        <w:t xml:space="preserve"> </w:t>
      </w:r>
      <w:r>
        <w:t xml:space="preserve">detailed </w:t>
      </w:r>
      <w:r w:rsidRPr="002337F3">
        <w:t>white paper</w:t>
      </w:r>
      <w:r>
        <w:t>s</w:t>
      </w:r>
      <w:r w:rsidR="008F56A6">
        <w:t xml:space="preserve"> (available on the project page, here: </w:t>
      </w:r>
      <w:hyperlink r:id="rId13" w:history="1">
        <w:r w:rsidR="008F56A6" w:rsidRPr="00F77397">
          <w:rPr>
            <w:rStyle w:val="Hyperlink"/>
            <w:b/>
            <w:bCs/>
            <w:color w:val="800000"/>
          </w:rPr>
          <w:t>P</w:t>
        </w:r>
        <w:r w:rsidR="00F77397">
          <w:rPr>
            <w:rStyle w:val="Hyperlink"/>
            <w:b/>
            <w:bCs/>
            <w:color w:val="800000"/>
          </w:rPr>
          <w:t>artnership P</w:t>
        </w:r>
        <w:r w:rsidR="008F56A6" w:rsidRPr="00F77397">
          <w:rPr>
            <w:rStyle w:val="Hyperlink"/>
            <w:b/>
            <w:bCs/>
            <w:color w:val="800000"/>
          </w:rPr>
          <w:t>roject Page</w:t>
        </w:r>
      </w:hyperlink>
      <w:r>
        <w:t xml:space="preserve">. </w:t>
      </w:r>
    </w:p>
    <w:p w14:paraId="03E7A0FD" w14:textId="029785B3" w:rsidR="00725972" w:rsidRPr="00A4708C" w:rsidRDefault="00A4708C" w:rsidP="00A4708C">
      <w:pPr>
        <w:spacing w:after="0" w:line="252" w:lineRule="auto"/>
        <w:ind w:left="1440" w:right="1440"/>
        <w:rPr>
          <w:b/>
          <w:bCs/>
          <w:u w:val="single"/>
        </w:rPr>
      </w:pPr>
      <w:r w:rsidRPr="00A4708C">
        <w:rPr>
          <w:b/>
          <w:bCs/>
          <w:sz w:val="28"/>
          <w:szCs w:val="28"/>
          <w:u w:val="single"/>
        </w:rPr>
        <w:t>Consistency with</w:t>
      </w:r>
      <w:r w:rsidR="00725972" w:rsidRPr="00A4708C">
        <w:rPr>
          <w:b/>
          <w:bCs/>
          <w:sz w:val="28"/>
          <w:szCs w:val="28"/>
          <w:u w:val="single"/>
        </w:rPr>
        <w:t xml:space="preserve"> Governing </w:t>
      </w:r>
      <w:r w:rsidRPr="00A4708C">
        <w:rPr>
          <w:b/>
          <w:bCs/>
          <w:sz w:val="28"/>
          <w:szCs w:val="28"/>
          <w:u w:val="single"/>
        </w:rPr>
        <w:t>Tax Law</w:t>
      </w:r>
    </w:p>
    <w:p w14:paraId="19ABAB41" w14:textId="6DA6F71C" w:rsidR="009F34A0" w:rsidRDefault="00EC5C68" w:rsidP="00A4708C">
      <w:pPr>
        <w:spacing w:after="120" w:line="252" w:lineRule="auto"/>
        <w:ind w:left="1440" w:right="1440"/>
      </w:pPr>
      <w:r>
        <w:t xml:space="preserve">These white papers demonstrate that sourcing of partnership income under the pass-through system </w:t>
      </w:r>
      <w:r w:rsidR="00A4708C">
        <w:t>must</w:t>
      </w:r>
      <w:r>
        <w:t xml:space="preserve"> be consistent with:</w:t>
      </w:r>
    </w:p>
    <w:p w14:paraId="45DCBBB5" w14:textId="77777777" w:rsidR="009F34A0" w:rsidRDefault="00EC5C68" w:rsidP="00A4708C">
      <w:pPr>
        <w:pStyle w:val="ListParagraph"/>
        <w:numPr>
          <w:ilvl w:val="0"/>
          <w:numId w:val="13"/>
        </w:numPr>
        <w:spacing w:after="120" w:line="252" w:lineRule="auto"/>
        <w:ind w:right="1440"/>
        <w:contextualSpacing w:val="0"/>
      </w:pPr>
      <w:r>
        <w:t xml:space="preserve">Subchapter K of the Internal Revenue Code (IRC), to which states conform. </w:t>
      </w:r>
    </w:p>
    <w:p w14:paraId="04256340" w14:textId="77777777" w:rsidR="009F34A0" w:rsidRDefault="00EC5C68" w:rsidP="00A4708C">
      <w:pPr>
        <w:pStyle w:val="ListParagraph"/>
        <w:numPr>
          <w:ilvl w:val="0"/>
          <w:numId w:val="13"/>
        </w:numPr>
        <w:spacing w:after="120" w:line="252" w:lineRule="auto"/>
        <w:ind w:right="1440"/>
        <w:contextualSpacing w:val="0"/>
      </w:pPr>
      <w:r>
        <w:t>Common sourcing approaches states have long applied to corporations and nonresidents.</w:t>
      </w:r>
    </w:p>
    <w:p w14:paraId="3CEC5049" w14:textId="67511B91" w:rsidR="00B474C5" w:rsidRDefault="00EC5C68" w:rsidP="00A4708C">
      <w:pPr>
        <w:pStyle w:val="ListParagraph"/>
        <w:numPr>
          <w:ilvl w:val="0"/>
          <w:numId w:val="13"/>
        </w:numPr>
        <w:spacing w:after="0" w:line="252" w:lineRule="auto"/>
        <w:ind w:right="1440"/>
        <w:contextualSpacing w:val="0"/>
      </w:pPr>
      <w:r>
        <w:t>Sourcing approaches used for partnership withholding, composite, and PTE taxes.</w:t>
      </w:r>
    </w:p>
    <w:p w14:paraId="07912BFC" w14:textId="480B9F9E" w:rsidR="00EC5C68" w:rsidRDefault="00B474C5" w:rsidP="00B0207E">
      <w:r>
        <w:br w:type="page"/>
      </w:r>
    </w:p>
    <w:p w14:paraId="5664CEC7" w14:textId="7D55E5DA" w:rsidR="009668CD" w:rsidRPr="000E68C3" w:rsidRDefault="009668CD" w:rsidP="009668CD">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lastRenderedPageBreak/>
        <w:t>Combining the Draft Provisions</w:t>
      </w:r>
    </w:p>
    <w:p w14:paraId="6AA538E0" w14:textId="77777777" w:rsidR="00215A4D" w:rsidRDefault="00EC5C68" w:rsidP="00175015">
      <w:pPr>
        <w:spacing w:before="120" w:line="252" w:lineRule="auto"/>
        <w:ind w:left="1440" w:right="1440"/>
      </w:pPr>
      <w:r>
        <w:t>Using recommendations from the white papers, the work group drafted model provisions</w:t>
      </w:r>
      <w:r w:rsidR="009668CD">
        <w:t xml:space="preserve"> for each of the issues addressed</w:t>
      </w:r>
      <w:r>
        <w:t xml:space="preserve">. The work group also decided </w:t>
      </w:r>
      <w:r w:rsidR="00AC15CB">
        <w:t xml:space="preserve">that, before finalizing these provisions, they </w:t>
      </w:r>
      <w:r>
        <w:t xml:space="preserve">should be reviewed together. </w:t>
      </w:r>
      <w:r w:rsidR="00215A4D">
        <w:t>T</w:t>
      </w:r>
      <w:r w:rsidRPr="002337F3">
        <w:t xml:space="preserve">his document combines </w:t>
      </w:r>
      <w:r>
        <w:t xml:space="preserve">the provisions </w:t>
      </w:r>
      <w:r w:rsidRPr="002337F3">
        <w:t xml:space="preserve">and adds </w:t>
      </w:r>
      <w:r>
        <w:t xml:space="preserve">some </w:t>
      </w:r>
      <w:r w:rsidRPr="002337F3">
        <w:t xml:space="preserve">information from the white papers. </w:t>
      </w:r>
    </w:p>
    <w:p w14:paraId="75E46DBF" w14:textId="1090A69D" w:rsidR="00EC5C68" w:rsidRDefault="00EC5C68" w:rsidP="00175015">
      <w:pPr>
        <w:spacing w:before="120" w:line="252" w:lineRule="auto"/>
        <w:ind w:left="1440" w:right="1440"/>
        <w:rPr>
          <w:color w:val="812D27"/>
        </w:rPr>
      </w:pPr>
      <w:r>
        <w:t xml:space="preserve">Changes to </w:t>
      </w:r>
      <w:r w:rsidR="00C02229">
        <w:t>this</w:t>
      </w:r>
      <w:r>
        <w:t xml:space="preserve"> latest version of draft models include </w:t>
      </w:r>
      <w:r w:rsidR="00E733E0">
        <w:t>revisions a</w:t>
      </w:r>
      <w:r w:rsidR="00E96EA8">
        <w:t>s well as</w:t>
      </w:r>
      <w:r w:rsidR="00E733E0">
        <w:t xml:space="preserve"> notes on the comments received on the prior</w:t>
      </w:r>
      <w:r w:rsidR="00E96EA8">
        <w:t xml:space="preserve"> versions </w:t>
      </w:r>
      <w:r w:rsidR="00E733E0">
        <w:t>and discussion of these comments by the work group</w:t>
      </w:r>
      <w:r w:rsidRPr="002337F3">
        <w:t xml:space="preserve">. Prior </w:t>
      </w:r>
      <w:r>
        <w:t>versions</w:t>
      </w:r>
      <w:r w:rsidRPr="002337F3">
        <w:t xml:space="preserve"> and other materials are on the MTC </w:t>
      </w:r>
      <w:r>
        <w:t>the</w:t>
      </w:r>
      <w:r w:rsidRPr="002337F3">
        <w:t xml:space="preserve"> project page, here: </w:t>
      </w:r>
      <w:hyperlink r:id="rId14" w:history="1">
        <w:r w:rsidRPr="002337F3">
          <w:rPr>
            <w:rStyle w:val="Hyperlink"/>
            <w:rFonts w:ascii="Leelawadee" w:hAnsi="Leelawadee" w:cs="Leelawadee"/>
            <w:b/>
            <w:bCs/>
            <w:color w:val="800000"/>
            <w:szCs w:val="20"/>
          </w:rPr>
          <w:t>Partnership Project Page</w:t>
        </w:r>
      </w:hyperlink>
      <w:r w:rsidRPr="002337F3">
        <w:rPr>
          <w:color w:val="812D27"/>
        </w:rPr>
        <w:t>.</w:t>
      </w:r>
    </w:p>
    <w:p w14:paraId="21B7DCA3" w14:textId="77777777" w:rsidR="00C02229" w:rsidRDefault="00C02229" w:rsidP="00175015">
      <w:pPr>
        <w:spacing w:before="120" w:line="252" w:lineRule="auto"/>
        <w:ind w:left="1440" w:right="1440"/>
      </w:pPr>
    </w:p>
    <w:p w14:paraId="0068A962" w14:textId="3EA966DD" w:rsidR="00E96EA8" w:rsidRPr="000E68C3" w:rsidRDefault="00E96EA8" w:rsidP="00E96EA8">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t>Challenges in Drafting Model Provisions</w:t>
      </w:r>
    </w:p>
    <w:p w14:paraId="2E02525D" w14:textId="06C2A435" w:rsidR="00EC5C68" w:rsidRDefault="00EC5C68" w:rsidP="00175015">
      <w:pPr>
        <w:spacing w:after="120" w:line="252" w:lineRule="auto"/>
        <w:ind w:left="1440" w:right="1440"/>
      </w:pPr>
      <w:r>
        <w:t xml:space="preserve">Model state tax provisions are almost never “plug-and-play.” States </w:t>
      </w:r>
      <w:r w:rsidR="007E4F7A">
        <w:t xml:space="preserve">that adopt </w:t>
      </w:r>
      <w:r>
        <w:t xml:space="preserve">these models must often modify them to fit within their existing statutes and regulations. But </w:t>
      </w:r>
      <w:r w:rsidR="007E4F7A">
        <w:t xml:space="preserve">these partnership </w:t>
      </w:r>
      <w:r>
        <w:t xml:space="preserve">models </w:t>
      </w:r>
      <w:r w:rsidR="007E4F7A">
        <w:t xml:space="preserve">designed </w:t>
      </w:r>
      <w:r>
        <w:t xml:space="preserve">to apply state sourcing rules to partnership income </w:t>
      </w:r>
      <w:r w:rsidR="007E4F7A">
        <w:t xml:space="preserve">also </w:t>
      </w:r>
      <w:r>
        <w:t>raise additional challenges</w:t>
      </w:r>
      <w:r w:rsidR="007E4F7A">
        <w:t>:</w:t>
      </w:r>
      <w:r>
        <w:t xml:space="preserve"> </w:t>
      </w:r>
    </w:p>
    <w:p w14:paraId="2A1E84DD" w14:textId="5548C4D3" w:rsidR="00EC5C68" w:rsidRDefault="00EC5C68" w:rsidP="00111E0D">
      <w:pPr>
        <w:pStyle w:val="ListParagraph"/>
        <w:numPr>
          <w:ilvl w:val="0"/>
          <w:numId w:val="14"/>
        </w:numPr>
        <w:spacing w:after="120" w:line="252" w:lineRule="auto"/>
        <w:ind w:right="1440"/>
      </w:pPr>
      <w:r>
        <w:t xml:space="preserve">The pass-through system is </w:t>
      </w:r>
      <w:r w:rsidR="003C781F">
        <w:t xml:space="preserve">much </w:t>
      </w:r>
      <w:r>
        <w:t>more complex than entity-level taxation.</w:t>
      </w:r>
    </w:p>
    <w:p w14:paraId="6FDBEC45" w14:textId="77777777" w:rsidR="00EC5C68" w:rsidRDefault="00EC5C68" w:rsidP="00111E0D">
      <w:pPr>
        <w:pStyle w:val="ListParagraph"/>
        <w:numPr>
          <w:ilvl w:val="0"/>
          <w:numId w:val="14"/>
        </w:numPr>
        <w:spacing w:after="20" w:line="252" w:lineRule="auto"/>
        <w:ind w:right="1440"/>
      </w:pPr>
      <w:r>
        <w:t>While s</w:t>
      </w:r>
      <w:r w:rsidRPr="002337F3">
        <w:t xml:space="preserve">tates </w:t>
      </w:r>
      <w:r>
        <w:t xml:space="preserve">generally </w:t>
      </w:r>
      <w:r w:rsidRPr="002337F3">
        <w:t xml:space="preserve">use </w:t>
      </w:r>
      <w:r>
        <w:t>similar sourcing</w:t>
      </w:r>
      <w:r w:rsidRPr="002337F3">
        <w:t xml:space="preserve"> approaches,</w:t>
      </w:r>
      <w:r>
        <w:t xml:space="preserve"> the</w:t>
      </w:r>
      <w:r w:rsidRPr="002337F3">
        <w:t xml:space="preserve"> details vary. </w:t>
      </w:r>
    </w:p>
    <w:p w14:paraId="63041909" w14:textId="77777777" w:rsidR="00EC5C68" w:rsidRDefault="00EC5C68" w:rsidP="00111E0D">
      <w:pPr>
        <w:pStyle w:val="ListParagraph"/>
        <w:numPr>
          <w:ilvl w:val="0"/>
          <w:numId w:val="14"/>
        </w:numPr>
        <w:spacing w:after="20" w:line="252" w:lineRule="auto"/>
        <w:ind w:right="1440"/>
      </w:pPr>
      <w:r>
        <w:t xml:space="preserve">States may use different terminology for similar partnership or sourcing concepts. </w:t>
      </w:r>
    </w:p>
    <w:p w14:paraId="2F4165C8" w14:textId="470ADF4B" w:rsidR="00EC5C68" w:rsidRDefault="00EC5C68" w:rsidP="00111E0D">
      <w:pPr>
        <w:pStyle w:val="ListParagraph"/>
        <w:numPr>
          <w:ilvl w:val="0"/>
          <w:numId w:val="14"/>
        </w:numPr>
        <w:spacing w:after="20" w:line="252" w:lineRule="auto"/>
        <w:ind w:right="1440"/>
      </w:pPr>
      <w:r>
        <w:t xml:space="preserve">Existing partnership-specific sourcing rules may be </w:t>
      </w:r>
      <w:r w:rsidR="000815EC">
        <w:t>generally worded</w:t>
      </w:r>
      <w:r w:rsidR="00F87341">
        <w:t xml:space="preserve"> and lack detailed guidance.</w:t>
      </w:r>
      <w:r>
        <w:t xml:space="preserve"> </w:t>
      </w:r>
    </w:p>
    <w:p w14:paraId="7AEA78A1" w14:textId="77777777" w:rsidR="00EC5C68" w:rsidRDefault="00EC5C68" w:rsidP="00111E0D">
      <w:pPr>
        <w:pStyle w:val="ListParagraph"/>
        <w:numPr>
          <w:ilvl w:val="0"/>
          <w:numId w:val="14"/>
        </w:numPr>
        <w:spacing w:after="20" w:line="252" w:lineRule="auto"/>
        <w:ind w:right="1440"/>
      </w:pPr>
      <w:r>
        <w:t xml:space="preserve">Partnership rules are typically embedded in individual and corporate tax sections. </w:t>
      </w:r>
    </w:p>
    <w:p w14:paraId="1022A390" w14:textId="77777777" w:rsidR="00EC5C68" w:rsidRDefault="00EC5C68" w:rsidP="00111E0D">
      <w:pPr>
        <w:pStyle w:val="ListParagraph"/>
        <w:numPr>
          <w:ilvl w:val="0"/>
          <w:numId w:val="14"/>
        </w:numPr>
        <w:spacing w:line="252" w:lineRule="auto"/>
        <w:ind w:right="1440"/>
      </w:pPr>
      <w:r>
        <w:t>The rules may have developed over time and may not reflect changing precedents.</w:t>
      </w:r>
    </w:p>
    <w:p w14:paraId="1BE99485" w14:textId="77777777" w:rsidR="00EC5C68" w:rsidRDefault="00EC5C68" w:rsidP="00175015">
      <w:pPr>
        <w:spacing w:line="252" w:lineRule="auto"/>
        <w:ind w:left="1440" w:right="1440"/>
      </w:pPr>
      <w:r>
        <w:t xml:space="preserve">Despite the challenges, model provisions can still serve as a useful “proof of concept,” demonstrating that the general recommendations made in the white papers are workable and highlighting important elements that states should consider. They can also incorporate approaches that states are currently using effectively and can promote uniformity for specific issues. </w:t>
      </w:r>
    </w:p>
    <w:p w14:paraId="17FFB25D" w14:textId="77777777" w:rsidR="00B0207E" w:rsidRDefault="00B0207E" w:rsidP="00175015">
      <w:pPr>
        <w:spacing w:line="252" w:lineRule="auto"/>
        <w:ind w:left="1440" w:right="1440"/>
      </w:pPr>
    </w:p>
    <w:p w14:paraId="55B2070F" w14:textId="77777777" w:rsidR="00B0207E" w:rsidRDefault="00B0207E" w:rsidP="00175015">
      <w:pPr>
        <w:spacing w:line="252" w:lineRule="auto"/>
        <w:ind w:left="1440" w:right="1440"/>
      </w:pPr>
    </w:p>
    <w:p w14:paraId="433E4469" w14:textId="77777777" w:rsidR="0051544C" w:rsidRDefault="0051544C" w:rsidP="00175015">
      <w:pPr>
        <w:spacing w:line="252" w:lineRule="auto"/>
        <w:ind w:left="1440" w:right="1440"/>
      </w:pPr>
    </w:p>
    <w:p w14:paraId="2FD05C7E" w14:textId="77777777" w:rsidR="0051544C" w:rsidRPr="001654D6" w:rsidRDefault="0051544C" w:rsidP="00175015">
      <w:pPr>
        <w:spacing w:line="252" w:lineRule="auto"/>
        <w:ind w:left="1440" w:right="1440"/>
      </w:pPr>
    </w:p>
    <w:p w14:paraId="511127D7" w14:textId="7872D989" w:rsidR="00300271" w:rsidRPr="000E68C3" w:rsidRDefault="00300271" w:rsidP="00300271">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lastRenderedPageBreak/>
        <w:t>Key Points – Before Reviewing the Draft Provisions</w:t>
      </w:r>
    </w:p>
    <w:p w14:paraId="193E2FC5" w14:textId="5C9B1BF7" w:rsidR="00EC5C68" w:rsidRDefault="00EC5C68" w:rsidP="00175015">
      <w:pPr>
        <w:spacing w:before="240" w:line="252" w:lineRule="auto"/>
        <w:ind w:left="1440" w:right="1440"/>
      </w:pPr>
      <w:r w:rsidRPr="001258B0">
        <w:t xml:space="preserve">These points (some of which are discussed in </w:t>
      </w:r>
      <w:r w:rsidR="00300271">
        <w:t xml:space="preserve">much </w:t>
      </w:r>
      <w:r w:rsidRPr="001258B0">
        <w:t>more detail in the white papers) are important to underst</w:t>
      </w:r>
      <w:r>
        <w:t>and before reviewing the combined draft provisions in the following section:</w:t>
      </w:r>
    </w:p>
    <w:tbl>
      <w:tblPr>
        <w:tblStyle w:val="TableGrid"/>
        <w:tblW w:w="0" w:type="auto"/>
        <w:tblInd w:w="1440" w:type="dxa"/>
        <w:tblLayout w:type="fixed"/>
        <w:tblLook w:val="04A0" w:firstRow="1" w:lastRow="0" w:firstColumn="1" w:lastColumn="0" w:noHBand="0" w:noVBand="1"/>
      </w:tblPr>
      <w:tblGrid>
        <w:gridCol w:w="3415"/>
        <w:gridCol w:w="8820"/>
      </w:tblGrid>
      <w:tr w:rsidR="002C0B1E" w14:paraId="00704686" w14:textId="77777777" w:rsidTr="00FB6A00">
        <w:tc>
          <w:tcPr>
            <w:tcW w:w="3415" w:type="dxa"/>
          </w:tcPr>
          <w:p w14:paraId="74EE5F3D" w14:textId="64A5413B" w:rsidR="0060412A" w:rsidRPr="00966EF8" w:rsidRDefault="00966EF8" w:rsidP="00AD7C87">
            <w:pPr>
              <w:spacing w:line="252" w:lineRule="auto"/>
              <w:jc w:val="center"/>
              <w:rPr>
                <w:b/>
                <w:bCs/>
                <w:color w:val="800000"/>
                <w:sz w:val="36"/>
                <w:szCs w:val="36"/>
              </w:rPr>
            </w:pPr>
            <w:r w:rsidRPr="00966EF8">
              <w:rPr>
                <w:b/>
                <w:bCs/>
                <w:color w:val="800000"/>
                <w:sz w:val="36"/>
                <w:szCs w:val="36"/>
              </w:rPr>
              <w:t>1</w:t>
            </w:r>
          </w:p>
          <w:p w14:paraId="51807B2E" w14:textId="23EA7745" w:rsidR="002C0B1E" w:rsidRDefault="002C0B1E" w:rsidP="002A478F">
            <w:pPr>
              <w:spacing w:after="80" w:line="252" w:lineRule="auto"/>
              <w:rPr>
                <w:b/>
                <w:bCs/>
              </w:rPr>
            </w:pPr>
            <w:r w:rsidRPr="002337F3">
              <w:rPr>
                <w:b/>
                <w:bCs/>
              </w:rPr>
              <w:t xml:space="preserve">The </w:t>
            </w:r>
            <w:r>
              <w:rPr>
                <w:b/>
                <w:bCs/>
              </w:rPr>
              <w:t xml:space="preserve">provisions </w:t>
            </w:r>
            <w:r w:rsidR="00652997">
              <w:rPr>
                <w:b/>
                <w:bCs/>
              </w:rPr>
              <w:t>apply</w:t>
            </w:r>
            <w:r>
              <w:rPr>
                <w:b/>
                <w:bCs/>
              </w:rPr>
              <w:t xml:space="preserve"> </w:t>
            </w:r>
            <w:r w:rsidR="00E11607">
              <w:rPr>
                <w:b/>
                <w:bCs/>
              </w:rPr>
              <w:t xml:space="preserve">general </w:t>
            </w:r>
            <w:r>
              <w:rPr>
                <w:b/>
                <w:bCs/>
              </w:rPr>
              <w:t>state sourcing rules to</w:t>
            </w:r>
            <w:r w:rsidRPr="002337F3">
              <w:rPr>
                <w:b/>
                <w:bCs/>
              </w:rPr>
              <w:t xml:space="preserve"> partnership</w:t>
            </w:r>
            <w:r>
              <w:rPr>
                <w:b/>
                <w:bCs/>
              </w:rPr>
              <w:t xml:space="preserve"> income. </w:t>
            </w:r>
          </w:p>
        </w:tc>
        <w:tc>
          <w:tcPr>
            <w:tcW w:w="8820" w:type="dxa"/>
            <w:vAlign w:val="center"/>
          </w:tcPr>
          <w:p w14:paraId="49028334" w14:textId="025A3DF3" w:rsidR="002C0B1E" w:rsidRDefault="00E11607" w:rsidP="00F85BC4">
            <w:pPr>
              <w:spacing w:before="120" w:after="120" w:line="252" w:lineRule="auto"/>
              <w:rPr>
                <w:b/>
                <w:bCs/>
              </w:rPr>
            </w:pPr>
            <w:r>
              <w:t>As noted above, the project’s focus is on applying the states’</w:t>
            </w:r>
            <w:r w:rsidR="00AC11BF">
              <w:t xml:space="preserve"> established</w:t>
            </w:r>
            <w:r>
              <w:t xml:space="preserve"> income sourcing approaches to </w:t>
            </w:r>
            <w:r w:rsidR="00EF592A">
              <w:t xml:space="preserve">the </w:t>
            </w:r>
            <w:r>
              <w:t xml:space="preserve">income </w:t>
            </w:r>
            <w:r w:rsidR="00EF592A">
              <w:t xml:space="preserve">of partnerships taxed </w:t>
            </w:r>
            <w:r>
              <w:t>under the pass-through system.</w:t>
            </w:r>
            <w:r w:rsidR="0060711F">
              <w:t xml:space="preserve"> This provides equitable treatment for business income regardless of the form of the business</w:t>
            </w:r>
          </w:p>
        </w:tc>
      </w:tr>
      <w:tr w:rsidR="002C0B1E" w14:paraId="6116A710" w14:textId="77777777" w:rsidTr="00FB6A00">
        <w:tc>
          <w:tcPr>
            <w:tcW w:w="3415" w:type="dxa"/>
          </w:tcPr>
          <w:p w14:paraId="72DA862D" w14:textId="445A698E" w:rsidR="00AD7C87" w:rsidRPr="00AD7C87" w:rsidRDefault="00AD7C87" w:rsidP="00AD7C87">
            <w:pPr>
              <w:spacing w:line="252" w:lineRule="auto"/>
              <w:jc w:val="center"/>
              <w:rPr>
                <w:b/>
                <w:bCs/>
                <w:color w:val="800000"/>
                <w:sz w:val="36"/>
                <w:szCs w:val="36"/>
              </w:rPr>
            </w:pPr>
            <w:r w:rsidRPr="00AD7C87">
              <w:rPr>
                <w:b/>
                <w:bCs/>
                <w:color w:val="800000"/>
                <w:sz w:val="36"/>
                <w:szCs w:val="36"/>
              </w:rPr>
              <w:t>2</w:t>
            </w:r>
          </w:p>
          <w:p w14:paraId="6E4E33FB" w14:textId="3D61FAAD" w:rsidR="002C0B1E" w:rsidRDefault="00AD506E" w:rsidP="002A478F">
            <w:pPr>
              <w:spacing w:after="80" w:line="252" w:lineRule="auto"/>
              <w:rPr>
                <w:b/>
                <w:bCs/>
              </w:rPr>
            </w:pPr>
            <w:r w:rsidRPr="00AD506E">
              <w:rPr>
                <w:b/>
                <w:bCs/>
              </w:rPr>
              <w:t>Some unique partnership issues may call for uniform sourcing rules.</w:t>
            </w:r>
          </w:p>
        </w:tc>
        <w:tc>
          <w:tcPr>
            <w:tcW w:w="8820" w:type="dxa"/>
            <w:vAlign w:val="center"/>
          </w:tcPr>
          <w:p w14:paraId="492D11F4" w14:textId="5AEB5AF4" w:rsidR="002C0B1E" w:rsidRPr="006F0F3B" w:rsidRDefault="006F0F3B" w:rsidP="00F85BC4">
            <w:pPr>
              <w:spacing w:before="120" w:after="120" w:line="252" w:lineRule="auto"/>
            </w:pPr>
            <w:r w:rsidRPr="006F0F3B">
              <w:t xml:space="preserve">One example </w:t>
            </w:r>
            <w:r w:rsidR="00CC146D">
              <w:t xml:space="preserve">of the need for uniformity </w:t>
            </w:r>
            <w:r w:rsidRPr="006F0F3B">
              <w:t xml:space="preserve">is the sourcing of guaranteed payments for services—where states take two </w:t>
            </w:r>
            <w:r w:rsidR="00CC146D">
              <w:t xml:space="preserve">distinctly </w:t>
            </w:r>
            <w:r w:rsidRPr="006F0F3B">
              <w:t>different approaches</w:t>
            </w:r>
            <w:r w:rsidR="000E4381">
              <w:t xml:space="preserve"> that might lead to duplicative taxation,</w:t>
            </w:r>
            <w:r w:rsidRPr="006F0F3B">
              <w:t xml:space="preserve"> and which is addressed by draft provisions set out below.</w:t>
            </w:r>
          </w:p>
        </w:tc>
      </w:tr>
      <w:tr w:rsidR="00FF2DB8" w14:paraId="10423CD8" w14:textId="77777777" w:rsidTr="00FB6A00">
        <w:tc>
          <w:tcPr>
            <w:tcW w:w="3415" w:type="dxa"/>
          </w:tcPr>
          <w:p w14:paraId="1A031900" w14:textId="03E2E268" w:rsidR="0051544C" w:rsidRPr="0051544C" w:rsidRDefault="0051544C" w:rsidP="0051544C">
            <w:pPr>
              <w:spacing w:line="252" w:lineRule="auto"/>
              <w:jc w:val="center"/>
              <w:rPr>
                <w:b/>
                <w:bCs/>
                <w:color w:val="800000"/>
                <w:sz w:val="36"/>
                <w:szCs w:val="36"/>
              </w:rPr>
            </w:pPr>
            <w:r w:rsidRPr="0051544C">
              <w:rPr>
                <w:b/>
                <w:bCs/>
                <w:color w:val="800000"/>
                <w:sz w:val="36"/>
                <w:szCs w:val="36"/>
              </w:rPr>
              <w:t>3</w:t>
            </w:r>
          </w:p>
          <w:p w14:paraId="0FDECBAB" w14:textId="6CB94118" w:rsidR="00FF2DB8" w:rsidRPr="00AD506E" w:rsidRDefault="000E4381" w:rsidP="002A478F">
            <w:pPr>
              <w:spacing w:after="80" w:line="252" w:lineRule="auto"/>
              <w:rPr>
                <w:b/>
                <w:bCs/>
              </w:rPr>
            </w:pPr>
            <w:r>
              <w:rPr>
                <w:b/>
                <w:bCs/>
              </w:rPr>
              <w:t xml:space="preserve">Sourcing </w:t>
            </w:r>
            <w:r w:rsidR="003C4B2E">
              <w:rPr>
                <w:b/>
                <w:bCs/>
              </w:rPr>
              <w:t>on a pass-through basis must be consistent with entity-level taxes.</w:t>
            </w:r>
            <w:r>
              <w:rPr>
                <w:b/>
                <w:bCs/>
              </w:rPr>
              <w:t xml:space="preserve"> </w:t>
            </w:r>
          </w:p>
        </w:tc>
        <w:tc>
          <w:tcPr>
            <w:tcW w:w="8820" w:type="dxa"/>
            <w:vAlign w:val="center"/>
          </w:tcPr>
          <w:p w14:paraId="713819CA" w14:textId="517E9DD2" w:rsidR="00FF2DB8" w:rsidRPr="006F0F3B" w:rsidRDefault="00652997" w:rsidP="00F85BC4">
            <w:pPr>
              <w:spacing w:before="120" w:after="120" w:line="252" w:lineRule="auto"/>
            </w:pPr>
            <w:r w:rsidRPr="00652997">
              <w:t>Whether taxing partnership income on a pass-through or entity-level basis (withholding, composite, or PTE taxes)</w:t>
            </w:r>
            <w:r w:rsidR="004C175C">
              <w:t>,</w:t>
            </w:r>
            <w:r w:rsidRPr="00652997">
              <w:t xml:space="preserve"> the application of sourcing rules should achieve consistent results.</w:t>
            </w:r>
            <w:r w:rsidR="003C4B2E">
              <w:t xml:space="preserve"> Otherwise, </w:t>
            </w:r>
            <w:r w:rsidR="00E80C26">
              <w:t xml:space="preserve">inconsistency will lead to </w:t>
            </w:r>
            <w:r w:rsidR="0035444E">
              <w:t>different</w:t>
            </w:r>
            <w:r w:rsidR="00E80C26">
              <w:t xml:space="preserve"> partner-level and partnership-level </w:t>
            </w:r>
            <w:r w:rsidR="004C2A7A">
              <w:t xml:space="preserve">tax </w:t>
            </w:r>
            <w:r w:rsidR="00E80C26">
              <w:t>result</w:t>
            </w:r>
            <w:r w:rsidR="004C2A7A">
              <w:t>s</w:t>
            </w:r>
            <w:r w:rsidR="00E80C26">
              <w:t>.</w:t>
            </w:r>
          </w:p>
        </w:tc>
      </w:tr>
      <w:tr w:rsidR="00652997" w14:paraId="3B98934D" w14:textId="77777777" w:rsidTr="00FB6A00">
        <w:tc>
          <w:tcPr>
            <w:tcW w:w="3415" w:type="dxa"/>
          </w:tcPr>
          <w:p w14:paraId="1A9B3FE4" w14:textId="50EED1B6" w:rsidR="004C2A7A" w:rsidRPr="004C2A7A" w:rsidRDefault="004C2A7A" w:rsidP="004C2A7A">
            <w:pPr>
              <w:spacing w:line="252" w:lineRule="auto"/>
              <w:jc w:val="center"/>
              <w:rPr>
                <w:b/>
                <w:color w:val="800000"/>
                <w:sz w:val="36"/>
                <w:szCs w:val="36"/>
              </w:rPr>
            </w:pPr>
            <w:r w:rsidRPr="004C2A7A">
              <w:rPr>
                <w:b/>
                <w:color w:val="800000"/>
                <w:sz w:val="36"/>
                <w:szCs w:val="36"/>
              </w:rPr>
              <w:t>4</w:t>
            </w:r>
          </w:p>
          <w:p w14:paraId="6AD0933C" w14:textId="23A8B7AD" w:rsidR="00652997" w:rsidRPr="00FF2DB8" w:rsidRDefault="00E80C26" w:rsidP="002A478F">
            <w:pPr>
              <w:spacing w:after="80" w:line="252" w:lineRule="auto"/>
              <w:rPr>
                <w:b/>
                <w:bCs/>
              </w:rPr>
            </w:pPr>
            <w:r>
              <w:rPr>
                <w:b/>
              </w:rPr>
              <w:t xml:space="preserve">Tax treatment—including sourcing—depends </w:t>
            </w:r>
            <w:r w:rsidR="00B1561C">
              <w:rPr>
                <w:b/>
              </w:rPr>
              <w:t xml:space="preserve">first </w:t>
            </w:r>
            <w:r>
              <w:rPr>
                <w:b/>
              </w:rPr>
              <w:t>on the tax character of items.</w:t>
            </w:r>
          </w:p>
        </w:tc>
        <w:tc>
          <w:tcPr>
            <w:tcW w:w="8820" w:type="dxa"/>
            <w:vAlign w:val="center"/>
          </w:tcPr>
          <w:p w14:paraId="5EAD5B68" w14:textId="2921EF3C" w:rsidR="00652997" w:rsidRPr="00652997" w:rsidRDefault="00B1561C" w:rsidP="00F85BC4">
            <w:pPr>
              <w:spacing w:before="120" w:after="120" w:line="252" w:lineRule="auto"/>
            </w:pPr>
            <w:r w:rsidRPr="00B1561C">
              <w:t xml:space="preserve">The tax treatment of items of income </w:t>
            </w:r>
            <w:r>
              <w:t>is determined</w:t>
            </w:r>
            <w:r w:rsidR="0035444E">
              <w:t xml:space="preserve"> first</w:t>
            </w:r>
            <w:r>
              <w:t xml:space="preserve"> by</w:t>
            </w:r>
            <w:r w:rsidRPr="00B1561C">
              <w:t xml:space="preserve"> the item’s tax character. This is also true for sourcing treatment, whether done under federal or state rules. For example, state rules </w:t>
            </w:r>
            <w:r w:rsidR="00356C13">
              <w:t xml:space="preserve">for </w:t>
            </w:r>
            <w:r w:rsidRPr="00B1561C">
              <w:t>sourc</w:t>
            </w:r>
            <w:r w:rsidR="00356C13">
              <w:t>ing</w:t>
            </w:r>
            <w:r w:rsidRPr="00B1561C">
              <w:t xml:space="preserve"> non-apportionable income depend on whether </w:t>
            </w:r>
            <w:r w:rsidR="00356C13">
              <w:t>that income</w:t>
            </w:r>
            <w:r w:rsidRPr="00B1561C">
              <w:t xml:space="preserve"> is from sales of tangible property, intangible property, interest, royalties, etc.</w:t>
            </w:r>
          </w:p>
        </w:tc>
      </w:tr>
      <w:tr w:rsidR="00652997" w14:paraId="03D81463" w14:textId="77777777" w:rsidTr="00FB6A00">
        <w:tc>
          <w:tcPr>
            <w:tcW w:w="3415" w:type="dxa"/>
          </w:tcPr>
          <w:p w14:paraId="3B4B2E9A" w14:textId="4E47A74E" w:rsidR="00EB196D" w:rsidRPr="00EB196D" w:rsidRDefault="00EB196D" w:rsidP="00EB196D">
            <w:pPr>
              <w:spacing w:line="252" w:lineRule="auto"/>
              <w:jc w:val="center"/>
              <w:rPr>
                <w:b/>
                <w:bCs/>
                <w:color w:val="800000"/>
                <w:sz w:val="36"/>
                <w:szCs w:val="36"/>
              </w:rPr>
            </w:pPr>
            <w:r w:rsidRPr="00EB196D">
              <w:rPr>
                <w:b/>
                <w:bCs/>
                <w:color w:val="800000"/>
                <w:sz w:val="36"/>
                <w:szCs w:val="36"/>
              </w:rPr>
              <w:t>5</w:t>
            </w:r>
          </w:p>
          <w:p w14:paraId="026764AC" w14:textId="50C5473F" w:rsidR="00652997" w:rsidRPr="00FF2DB8" w:rsidRDefault="007B322C" w:rsidP="002A478F">
            <w:pPr>
              <w:spacing w:after="80" w:line="252" w:lineRule="auto"/>
              <w:rPr>
                <w:b/>
                <w:bCs/>
              </w:rPr>
            </w:pPr>
            <w:r w:rsidRPr="007B322C">
              <w:rPr>
                <w:b/>
                <w:bCs/>
              </w:rPr>
              <w:t>Partnerships determine the tax character of partnership items.</w:t>
            </w:r>
          </w:p>
        </w:tc>
        <w:tc>
          <w:tcPr>
            <w:tcW w:w="8820" w:type="dxa"/>
            <w:vAlign w:val="center"/>
          </w:tcPr>
          <w:p w14:paraId="538DD959" w14:textId="043BC60C" w:rsidR="00652997" w:rsidRPr="00652997" w:rsidRDefault="007B322C" w:rsidP="00F85BC4">
            <w:pPr>
              <w:spacing w:before="120" w:after="120" w:line="252" w:lineRule="auto"/>
            </w:pPr>
            <w:r w:rsidRPr="007B322C">
              <w:t>The tax character of a partnership’s items of income that affect</w:t>
            </w:r>
            <w:r w:rsidR="005862BB">
              <w:t>s</w:t>
            </w:r>
            <w:r w:rsidRPr="007B322C">
              <w:t xml:space="preserve"> their substantive tax treatment is determined at the partnership level. </w:t>
            </w:r>
            <w:r w:rsidR="00A364AF">
              <w:t>IRC § 702</w:t>
            </w:r>
            <w:r w:rsidR="00E5039A">
              <w:t>(b)</w:t>
            </w:r>
            <w:r w:rsidR="00A364AF">
              <w:t xml:space="preserve">. </w:t>
            </w:r>
            <w:r w:rsidRPr="007B322C">
              <w:t xml:space="preserve">(See </w:t>
            </w:r>
            <w:r w:rsidR="00226D45">
              <w:t xml:space="preserve">also </w:t>
            </w:r>
            <w:r w:rsidRPr="007B322C">
              <w:t>IRS Form 1065</w:t>
            </w:r>
            <w:r w:rsidR="00460D5D">
              <w:t xml:space="preserve"> and Schedule K-1</w:t>
            </w:r>
            <w:r w:rsidRPr="007B322C">
              <w:t xml:space="preserve">.) This includes any tax character </w:t>
            </w:r>
            <w:r w:rsidR="005862BB">
              <w:t xml:space="preserve">derived </w:t>
            </w:r>
            <w:r w:rsidRPr="007B322C">
              <w:t xml:space="preserve"> from </w:t>
            </w:r>
            <w:r w:rsidR="005862BB">
              <w:t>specific activities</w:t>
            </w:r>
            <w:r w:rsidR="00187B6E">
              <w:t xml:space="preserve"> </w:t>
            </w:r>
            <w:r w:rsidRPr="007B322C">
              <w:t>(e.g., business activity, investment, etc.).</w:t>
            </w:r>
          </w:p>
        </w:tc>
      </w:tr>
    </w:tbl>
    <w:p w14:paraId="6F8A9A46" w14:textId="77777777" w:rsidR="00EB196D" w:rsidRDefault="00EB196D">
      <w:r>
        <w:br w:type="page"/>
      </w:r>
    </w:p>
    <w:tbl>
      <w:tblPr>
        <w:tblStyle w:val="TableGrid"/>
        <w:tblW w:w="0" w:type="auto"/>
        <w:tblInd w:w="1440" w:type="dxa"/>
        <w:tblLayout w:type="fixed"/>
        <w:tblLook w:val="04A0" w:firstRow="1" w:lastRow="0" w:firstColumn="1" w:lastColumn="0" w:noHBand="0" w:noVBand="1"/>
      </w:tblPr>
      <w:tblGrid>
        <w:gridCol w:w="3415"/>
        <w:gridCol w:w="8820"/>
      </w:tblGrid>
      <w:tr w:rsidR="00652997" w14:paraId="1C066308" w14:textId="77777777" w:rsidTr="00FB6A00">
        <w:tc>
          <w:tcPr>
            <w:tcW w:w="3415" w:type="dxa"/>
          </w:tcPr>
          <w:p w14:paraId="4173FBF8" w14:textId="7BBB9C70" w:rsidR="009E42FC" w:rsidRPr="009E42FC" w:rsidRDefault="009E42FC" w:rsidP="009E42FC">
            <w:pPr>
              <w:spacing w:line="252" w:lineRule="auto"/>
              <w:jc w:val="center"/>
              <w:rPr>
                <w:b/>
                <w:bCs/>
                <w:color w:val="800000"/>
                <w:sz w:val="36"/>
                <w:szCs w:val="36"/>
              </w:rPr>
            </w:pPr>
            <w:r w:rsidRPr="009E42FC">
              <w:rPr>
                <w:b/>
                <w:bCs/>
                <w:color w:val="800000"/>
                <w:sz w:val="36"/>
                <w:szCs w:val="36"/>
              </w:rPr>
              <w:lastRenderedPageBreak/>
              <w:t>6</w:t>
            </w:r>
          </w:p>
          <w:p w14:paraId="5CA84B0E" w14:textId="4BDF623F" w:rsidR="00652997" w:rsidRPr="00FF2DB8" w:rsidRDefault="007B322C" w:rsidP="002A478F">
            <w:pPr>
              <w:spacing w:after="80" w:line="252" w:lineRule="auto"/>
              <w:rPr>
                <w:b/>
                <w:bCs/>
              </w:rPr>
            </w:pPr>
            <w:r w:rsidRPr="007B322C">
              <w:rPr>
                <w:b/>
                <w:bCs/>
              </w:rPr>
              <w:t>The tax character of partner</w:t>
            </w:r>
            <w:r w:rsidR="009E42FC">
              <w:rPr>
                <w:b/>
                <w:bCs/>
              </w:rPr>
              <w:t>-</w:t>
            </w:r>
            <w:r w:rsidRPr="007B322C">
              <w:rPr>
                <w:b/>
                <w:bCs/>
              </w:rPr>
              <w:t>ship items is attributed to the partners’ shares</w:t>
            </w:r>
            <w:r w:rsidR="006E247D">
              <w:rPr>
                <w:b/>
                <w:bCs/>
              </w:rPr>
              <w:t xml:space="preserve"> of those items</w:t>
            </w:r>
            <w:r w:rsidRPr="007B322C">
              <w:rPr>
                <w:b/>
                <w:bCs/>
              </w:rPr>
              <w:t>.</w:t>
            </w:r>
          </w:p>
        </w:tc>
        <w:tc>
          <w:tcPr>
            <w:tcW w:w="8820" w:type="dxa"/>
            <w:vAlign w:val="center"/>
          </w:tcPr>
          <w:p w14:paraId="3F5431C7" w14:textId="63274A26" w:rsidR="00652997" w:rsidRPr="00652997" w:rsidRDefault="007B322C" w:rsidP="00F85BC4">
            <w:pPr>
              <w:spacing w:before="120" w:after="120" w:line="252" w:lineRule="auto"/>
            </w:pPr>
            <w:r w:rsidRPr="007B322C">
              <w:t>Attribution is essential to the federal pass-through system. (See IRC § 702.) Attribution requires a partner—whether active or passive, general or limited, direct or indirect—to treat their share of the items recognized by a partnership as if the partner had realized or incurred them directly in the same manner from the same source as the partnership.</w:t>
            </w:r>
          </w:p>
        </w:tc>
      </w:tr>
      <w:tr w:rsidR="00652997" w14:paraId="1993F815" w14:textId="77777777" w:rsidTr="00FB6A00">
        <w:tc>
          <w:tcPr>
            <w:tcW w:w="3415" w:type="dxa"/>
          </w:tcPr>
          <w:p w14:paraId="5F93875E" w14:textId="2F83005F" w:rsidR="006E247D" w:rsidRPr="00704685" w:rsidRDefault="00704685" w:rsidP="00704685">
            <w:pPr>
              <w:spacing w:line="252" w:lineRule="auto"/>
              <w:jc w:val="center"/>
              <w:rPr>
                <w:b/>
                <w:bCs/>
                <w:color w:val="800000"/>
                <w:sz w:val="36"/>
                <w:szCs w:val="36"/>
              </w:rPr>
            </w:pPr>
            <w:r w:rsidRPr="00704685">
              <w:rPr>
                <w:b/>
                <w:bCs/>
                <w:color w:val="800000"/>
                <w:sz w:val="36"/>
                <w:szCs w:val="36"/>
              </w:rPr>
              <w:t>7</w:t>
            </w:r>
          </w:p>
          <w:p w14:paraId="1305BD74" w14:textId="53C8F609" w:rsidR="00652997" w:rsidRPr="00FF2DB8" w:rsidRDefault="007B322C" w:rsidP="002A478F">
            <w:pPr>
              <w:spacing w:after="80" w:line="252" w:lineRule="auto"/>
              <w:rPr>
                <w:b/>
                <w:bCs/>
              </w:rPr>
            </w:pPr>
            <w:r w:rsidRPr="007B322C">
              <w:rPr>
                <w:b/>
                <w:bCs/>
              </w:rPr>
              <w:t>Attribution applies for state tax purposes, including when sourcing items.</w:t>
            </w:r>
          </w:p>
        </w:tc>
        <w:tc>
          <w:tcPr>
            <w:tcW w:w="8820" w:type="dxa"/>
            <w:vAlign w:val="center"/>
          </w:tcPr>
          <w:p w14:paraId="5E41B39A" w14:textId="4F9A86D8" w:rsidR="00652997" w:rsidRPr="00652997" w:rsidRDefault="007B322C" w:rsidP="00F85BC4">
            <w:pPr>
              <w:spacing w:before="120" w:after="120" w:line="252" w:lineRule="auto"/>
            </w:pPr>
            <w:r w:rsidRPr="007B322C">
              <w:t>States that conform to the federal pass-through system, conform to the attribution principle. So where state sourcing rules depend on the tax character of items—as determined by the activity generating those items—it is the partnership’s own activities that matter.</w:t>
            </w:r>
          </w:p>
        </w:tc>
      </w:tr>
      <w:tr w:rsidR="00652997" w14:paraId="0E4AAEF9" w14:textId="77777777" w:rsidTr="00FB6A00">
        <w:tc>
          <w:tcPr>
            <w:tcW w:w="3415" w:type="dxa"/>
          </w:tcPr>
          <w:p w14:paraId="3CC7B8B3" w14:textId="55058CF5" w:rsidR="002B5C09" w:rsidRPr="002B5C09" w:rsidRDefault="002B5C09" w:rsidP="002B5C09">
            <w:pPr>
              <w:spacing w:line="252" w:lineRule="auto"/>
              <w:jc w:val="center"/>
              <w:rPr>
                <w:b/>
                <w:bCs/>
                <w:color w:val="800000"/>
                <w:sz w:val="36"/>
                <w:szCs w:val="36"/>
              </w:rPr>
            </w:pPr>
            <w:r w:rsidRPr="002B5C09">
              <w:rPr>
                <w:b/>
                <w:bCs/>
                <w:color w:val="800000"/>
                <w:sz w:val="36"/>
                <w:szCs w:val="36"/>
              </w:rPr>
              <w:t>8</w:t>
            </w:r>
          </w:p>
          <w:p w14:paraId="2C16D473" w14:textId="270350E5" w:rsidR="00652997" w:rsidRPr="00FF2DB8" w:rsidRDefault="007B322C" w:rsidP="002A478F">
            <w:pPr>
              <w:spacing w:after="80" w:line="252" w:lineRule="auto"/>
              <w:rPr>
                <w:b/>
                <w:bCs/>
              </w:rPr>
            </w:pPr>
            <w:r w:rsidRPr="007B322C">
              <w:rPr>
                <w:b/>
                <w:bCs/>
              </w:rPr>
              <w:t>Tax attributes of the partner have a limited effect on sourcing</w:t>
            </w:r>
            <w:r w:rsidR="00F85BC4">
              <w:rPr>
                <w:b/>
                <w:bCs/>
              </w:rPr>
              <w:t xml:space="preserve"> partnership income</w:t>
            </w:r>
            <w:r w:rsidRPr="007B322C">
              <w:rPr>
                <w:b/>
                <w:bCs/>
              </w:rPr>
              <w:t>.</w:t>
            </w:r>
          </w:p>
        </w:tc>
        <w:tc>
          <w:tcPr>
            <w:tcW w:w="8820" w:type="dxa"/>
            <w:vAlign w:val="center"/>
          </w:tcPr>
          <w:p w14:paraId="5A491FEA" w14:textId="4C0FAAD2" w:rsidR="007B322C" w:rsidRDefault="007B322C" w:rsidP="00F85BC4">
            <w:pPr>
              <w:spacing w:before="120" w:after="120" w:line="252" w:lineRule="auto"/>
            </w:pPr>
            <w:r>
              <w:t xml:space="preserve">A partner’s own tax attributes do not </w:t>
            </w:r>
            <w:r w:rsidRPr="002337F3">
              <w:t xml:space="preserve">change the </w:t>
            </w:r>
            <w:r>
              <w:t xml:space="preserve">tax </w:t>
            </w:r>
            <w:r w:rsidRPr="002337F3">
              <w:t xml:space="preserve">character of the </w:t>
            </w:r>
            <w:r>
              <w:t xml:space="preserve">partnership </w:t>
            </w:r>
            <w:r w:rsidRPr="002337F3">
              <w:t>items</w:t>
            </w:r>
            <w:r>
              <w:t>.</w:t>
            </w:r>
            <w:r w:rsidRPr="002337F3">
              <w:t xml:space="preserve"> </w:t>
            </w:r>
            <w:r w:rsidR="00563365">
              <w:t xml:space="preserve">So, for example, the fact that the partner is not active in the business of the partnership does not change the character of the items. </w:t>
            </w:r>
            <w:r>
              <w:t xml:space="preserve">But </w:t>
            </w:r>
            <w:r w:rsidR="00563365">
              <w:t>a partner’s attributes</w:t>
            </w:r>
            <w:r>
              <w:t xml:space="preserve"> may have a limited effect on application of</w:t>
            </w:r>
            <w:r w:rsidR="00CB1DE1">
              <w:t xml:space="preserve"> tax rules, including</w:t>
            </w:r>
            <w:r>
              <w:t xml:space="preserve"> state sourcing rules. Two primary examples are:</w:t>
            </w:r>
          </w:p>
          <w:p w14:paraId="47072613" w14:textId="0EF4A420" w:rsidR="007B322C" w:rsidRPr="007B322C" w:rsidRDefault="007B322C" w:rsidP="00111E0D">
            <w:pPr>
              <w:pStyle w:val="ListParagraph"/>
              <w:numPr>
                <w:ilvl w:val="0"/>
                <w:numId w:val="16"/>
              </w:numPr>
              <w:spacing w:before="120" w:after="120" w:line="252" w:lineRule="auto"/>
              <w:ind w:left="1440" w:hanging="720"/>
              <w:contextualSpacing w:val="0"/>
            </w:pPr>
            <w:r w:rsidRPr="007B322C">
              <w:t xml:space="preserve">Where the partnership and the partner are both engaged in activities that are part of the same unitary business. In that case, states sometimes use “blended” apportionment. </w:t>
            </w:r>
          </w:p>
          <w:p w14:paraId="02E10A09" w14:textId="784C7C18" w:rsidR="007B322C" w:rsidRPr="00652997" w:rsidRDefault="007B322C" w:rsidP="00111E0D">
            <w:pPr>
              <w:pStyle w:val="ListParagraph"/>
              <w:numPr>
                <w:ilvl w:val="0"/>
                <w:numId w:val="16"/>
              </w:numPr>
              <w:spacing w:before="120" w:after="120" w:line="252" w:lineRule="auto"/>
              <w:ind w:left="1440" w:hanging="720"/>
              <w:contextualSpacing w:val="0"/>
            </w:pPr>
            <w:r w:rsidRPr="007B322C">
              <w:t>In rare cases where a partner’s share of an item determined to be non-apportionable by the partnership is determined by the partner to be part of that partner’s separate activities generating apportionable income.</w:t>
            </w:r>
          </w:p>
        </w:tc>
      </w:tr>
      <w:tr w:rsidR="00652997" w14:paraId="035CF6E0" w14:textId="77777777" w:rsidTr="00FB6A00">
        <w:tc>
          <w:tcPr>
            <w:tcW w:w="3415" w:type="dxa"/>
          </w:tcPr>
          <w:p w14:paraId="76A55FE3" w14:textId="415C795B" w:rsidR="00997E78" w:rsidRPr="00997E78" w:rsidRDefault="00997E78" w:rsidP="00997E78">
            <w:pPr>
              <w:spacing w:line="252" w:lineRule="auto"/>
              <w:jc w:val="center"/>
              <w:rPr>
                <w:b/>
                <w:color w:val="800000"/>
                <w:sz w:val="36"/>
                <w:szCs w:val="36"/>
              </w:rPr>
            </w:pPr>
            <w:r w:rsidRPr="00997E78">
              <w:rPr>
                <w:b/>
                <w:color w:val="800000"/>
                <w:sz w:val="36"/>
                <w:szCs w:val="36"/>
              </w:rPr>
              <w:t>9</w:t>
            </w:r>
          </w:p>
          <w:p w14:paraId="7EEC463B" w14:textId="75E42FF3" w:rsidR="00652997" w:rsidRPr="00FF2DB8" w:rsidRDefault="00F8661F" w:rsidP="002A478F">
            <w:pPr>
              <w:spacing w:after="80" w:line="252" w:lineRule="auto"/>
              <w:rPr>
                <w:b/>
                <w:bCs/>
              </w:rPr>
            </w:pPr>
            <w:r w:rsidRPr="004828BF">
              <w:rPr>
                <w:b/>
                <w:highlight w:val="yellow"/>
              </w:rPr>
              <w:t>How the</w:t>
            </w:r>
            <w:r w:rsidR="00424FF6" w:rsidRPr="004828BF">
              <w:rPr>
                <w:b/>
                <w:highlight w:val="yellow"/>
              </w:rPr>
              <w:t xml:space="preserve"> unitary business principle </w:t>
            </w:r>
            <w:r w:rsidRPr="004828BF">
              <w:rPr>
                <w:b/>
                <w:highlight w:val="yellow"/>
              </w:rPr>
              <w:t xml:space="preserve">applies </w:t>
            </w:r>
            <w:r w:rsidR="00424FF6" w:rsidRPr="004828BF">
              <w:rPr>
                <w:b/>
                <w:highlight w:val="yellow"/>
              </w:rPr>
              <w:t>to partnership</w:t>
            </w:r>
            <w:r w:rsidR="004828BF" w:rsidRPr="004828BF">
              <w:rPr>
                <w:b/>
                <w:highlight w:val="yellow"/>
              </w:rPr>
              <w:t xml:space="preserve"> income</w:t>
            </w:r>
            <w:r w:rsidR="00424FF6" w:rsidRPr="004828BF">
              <w:rPr>
                <w:b/>
                <w:highlight w:val="yellow"/>
              </w:rPr>
              <w:t xml:space="preserve"> is unclear</w:t>
            </w:r>
            <w:r w:rsidR="00B32F5B">
              <w:rPr>
                <w:b/>
                <w:highlight w:val="yellow"/>
              </w:rPr>
              <w:t xml:space="preserve"> and the subject of some controversy</w:t>
            </w:r>
            <w:r w:rsidR="00424FF6" w:rsidRPr="004828BF">
              <w:rPr>
                <w:b/>
                <w:highlight w:val="yellow"/>
              </w:rPr>
              <w:t>.</w:t>
            </w:r>
          </w:p>
        </w:tc>
        <w:tc>
          <w:tcPr>
            <w:tcW w:w="8820" w:type="dxa"/>
            <w:vAlign w:val="center"/>
          </w:tcPr>
          <w:p w14:paraId="494F542C" w14:textId="40FD29E3" w:rsidR="00652997" w:rsidRPr="00652997" w:rsidRDefault="00624E4B" w:rsidP="00F85BC4">
            <w:pPr>
              <w:spacing w:before="120" w:after="120" w:line="252" w:lineRule="auto"/>
            </w:pPr>
            <w:r w:rsidRPr="00993C6C">
              <w:rPr>
                <w:bCs/>
                <w:highlight w:val="yellow"/>
              </w:rPr>
              <w:t xml:space="preserve">While some state courts have addressed the application of the unitary business principle </w:t>
            </w:r>
            <w:r w:rsidR="00993C6C" w:rsidRPr="00993C6C">
              <w:rPr>
                <w:bCs/>
                <w:highlight w:val="yellow"/>
              </w:rPr>
              <w:t xml:space="preserve">and its criteria </w:t>
            </w:r>
            <w:r w:rsidRPr="00993C6C">
              <w:rPr>
                <w:bCs/>
                <w:highlight w:val="yellow"/>
              </w:rPr>
              <w:t xml:space="preserve">to </w:t>
            </w:r>
            <w:r w:rsidR="00CA6C59" w:rsidRPr="00993C6C">
              <w:rPr>
                <w:bCs/>
                <w:highlight w:val="yellow"/>
              </w:rPr>
              <w:t xml:space="preserve">the sourcing of partnership income, the </w:t>
            </w:r>
            <w:r w:rsidR="00424FF6" w:rsidRPr="00993C6C">
              <w:rPr>
                <w:bCs/>
                <w:highlight w:val="yellow"/>
              </w:rPr>
              <w:t xml:space="preserve">U.S. Supreme Court has never </w:t>
            </w:r>
            <w:r w:rsidR="00CA6C59" w:rsidRPr="00993C6C">
              <w:rPr>
                <w:bCs/>
                <w:highlight w:val="yellow"/>
              </w:rPr>
              <w:t>done so</w:t>
            </w:r>
            <w:r w:rsidR="00993C6C" w:rsidRPr="00993C6C">
              <w:rPr>
                <w:bCs/>
                <w:highlight w:val="yellow"/>
              </w:rPr>
              <w:t xml:space="preserve">. It is, therefore, </w:t>
            </w:r>
            <w:r w:rsidR="00424FF6" w:rsidRPr="00993C6C">
              <w:rPr>
                <w:bCs/>
                <w:highlight w:val="yellow"/>
              </w:rPr>
              <w:t>not clear how those criteria apply to partners and partnerships</w:t>
            </w:r>
            <w:r w:rsidR="005F544C">
              <w:rPr>
                <w:bCs/>
                <w:highlight w:val="yellow"/>
              </w:rPr>
              <w:t>—</w:t>
            </w:r>
            <w:r w:rsidR="00424FF6" w:rsidRPr="00993C6C">
              <w:rPr>
                <w:bCs/>
                <w:highlight w:val="yellow"/>
              </w:rPr>
              <w:t xml:space="preserve">which have different legal relationships than corporations and </w:t>
            </w:r>
            <w:r w:rsidR="00993C6C" w:rsidRPr="00993C6C">
              <w:rPr>
                <w:bCs/>
                <w:highlight w:val="yellow"/>
              </w:rPr>
              <w:t xml:space="preserve">shareholders or </w:t>
            </w:r>
            <w:r w:rsidR="00424FF6" w:rsidRPr="00993C6C">
              <w:rPr>
                <w:bCs/>
                <w:highlight w:val="yellow"/>
              </w:rPr>
              <w:t>subsidiaries. For example, some states have recognized that ownership, often used to determine control for corporate entities, does not determine control of partnerships.</w:t>
            </w:r>
          </w:p>
        </w:tc>
      </w:tr>
    </w:tbl>
    <w:p w14:paraId="54248B10" w14:textId="77777777" w:rsidR="00644440" w:rsidRDefault="00644440">
      <w:r>
        <w:br w:type="page"/>
      </w:r>
    </w:p>
    <w:tbl>
      <w:tblPr>
        <w:tblStyle w:val="TableGrid"/>
        <w:tblW w:w="0" w:type="auto"/>
        <w:tblInd w:w="1440" w:type="dxa"/>
        <w:tblLayout w:type="fixed"/>
        <w:tblLook w:val="04A0" w:firstRow="1" w:lastRow="0" w:firstColumn="1" w:lastColumn="0" w:noHBand="0" w:noVBand="1"/>
      </w:tblPr>
      <w:tblGrid>
        <w:gridCol w:w="3415"/>
        <w:gridCol w:w="8820"/>
      </w:tblGrid>
      <w:tr w:rsidR="00652997" w14:paraId="5CF42609" w14:textId="77777777" w:rsidTr="00FB6A00">
        <w:tc>
          <w:tcPr>
            <w:tcW w:w="3415" w:type="dxa"/>
          </w:tcPr>
          <w:p w14:paraId="19AD7CE1" w14:textId="1FA1F5A6" w:rsidR="00421A01" w:rsidRPr="00421A01" w:rsidRDefault="00421A01" w:rsidP="00421A01">
            <w:pPr>
              <w:spacing w:line="252" w:lineRule="auto"/>
              <w:jc w:val="center"/>
              <w:rPr>
                <w:b/>
                <w:bCs/>
                <w:color w:val="800000"/>
                <w:sz w:val="36"/>
                <w:szCs w:val="36"/>
              </w:rPr>
            </w:pPr>
            <w:r w:rsidRPr="00421A01">
              <w:rPr>
                <w:b/>
                <w:bCs/>
                <w:color w:val="800000"/>
                <w:sz w:val="36"/>
                <w:szCs w:val="36"/>
              </w:rPr>
              <w:lastRenderedPageBreak/>
              <w:t>10</w:t>
            </w:r>
          </w:p>
          <w:p w14:paraId="36204390" w14:textId="03F43954" w:rsidR="00652997" w:rsidRPr="00FF2DB8" w:rsidRDefault="00F85BC4" w:rsidP="002A478F">
            <w:pPr>
              <w:spacing w:after="80" w:line="252" w:lineRule="auto"/>
              <w:rPr>
                <w:b/>
                <w:bCs/>
              </w:rPr>
            </w:pPr>
            <w:r w:rsidRPr="00F85BC4">
              <w:rPr>
                <w:b/>
                <w:bCs/>
              </w:rPr>
              <w:t>Anti-abuse rules and limits are essential</w:t>
            </w:r>
            <w:r w:rsidR="00F82E86">
              <w:rPr>
                <w:b/>
                <w:bCs/>
              </w:rPr>
              <w:t xml:space="preserve"> to the functioning of the pass-through system.</w:t>
            </w:r>
          </w:p>
        </w:tc>
        <w:tc>
          <w:tcPr>
            <w:tcW w:w="8820" w:type="dxa"/>
            <w:vAlign w:val="center"/>
          </w:tcPr>
          <w:p w14:paraId="0ECCAC21" w14:textId="7A0CC6F0" w:rsidR="00652997" w:rsidRPr="00652997" w:rsidRDefault="00F85BC4" w:rsidP="00F85BC4">
            <w:pPr>
              <w:spacing w:before="120" w:after="120" w:line="252" w:lineRule="auto"/>
            </w:pPr>
            <w:r w:rsidRPr="00F85BC4">
              <w:t xml:space="preserve">The federal pass-through system relies heavily on rules and limitations to prevent abuse. States will need similar rules. But simply conforming to Subchapter K </w:t>
            </w:r>
            <w:r w:rsidR="00F82E86">
              <w:t>may</w:t>
            </w:r>
            <w:r w:rsidRPr="00F85BC4">
              <w:t xml:space="preserve"> not be enough. </w:t>
            </w:r>
            <w:r w:rsidR="00E648E1">
              <w:t>Some</w:t>
            </w:r>
            <w:r w:rsidR="00E648E1" w:rsidRPr="00F85BC4">
              <w:t xml:space="preserve"> </w:t>
            </w:r>
            <w:r w:rsidRPr="00F85BC4">
              <w:t xml:space="preserve">federal </w:t>
            </w:r>
            <w:r w:rsidR="00AC7E47">
              <w:t xml:space="preserve">anti-abuse </w:t>
            </w:r>
            <w:r w:rsidRPr="00F85BC4">
              <w:t xml:space="preserve">rules </w:t>
            </w:r>
            <w:r w:rsidR="00FC7CD8">
              <w:t xml:space="preserve">only </w:t>
            </w:r>
            <w:r w:rsidRPr="00F85BC4">
              <w:t xml:space="preserve">look to </w:t>
            </w:r>
            <w:r w:rsidR="009A6809">
              <w:t xml:space="preserve">the </w:t>
            </w:r>
            <w:r w:rsidRPr="00F85BC4">
              <w:t>federal tax</w:t>
            </w:r>
            <w:r w:rsidR="009A6809">
              <w:t xml:space="preserve"> result</w:t>
            </w:r>
            <w:r w:rsidRPr="00F85BC4">
              <w:t>, but partnerships can be used to alter general state tax treatment or shift income without otherwise affecting federal taxes. States should therefore specify that certain rules apply for state tax purposes and provide guidance for their application.</w:t>
            </w:r>
          </w:p>
        </w:tc>
      </w:tr>
      <w:tr w:rsidR="00652997" w14:paraId="6A324577" w14:textId="77777777" w:rsidTr="00FB6A00">
        <w:tc>
          <w:tcPr>
            <w:tcW w:w="3415" w:type="dxa"/>
          </w:tcPr>
          <w:p w14:paraId="0593D52F" w14:textId="4E4B679D" w:rsidR="00421A01" w:rsidRPr="00421A01" w:rsidRDefault="00421A01" w:rsidP="00421A01">
            <w:pPr>
              <w:spacing w:line="252" w:lineRule="auto"/>
              <w:jc w:val="center"/>
              <w:rPr>
                <w:b/>
                <w:bCs/>
                <w:color w:val="800000"/>
                <w:sz w:val="36"/>
                <w:szCs w:val="36"/>
              </w:rPr>
            </w:pPr>
            <w:r w:rsidRPr="00421A01">
              <w:rPr>
                <w:b/>
                <w:bCs/>
                <w:color w:val="800000"/>
                <w:sz w:val="36"/>
                <w:szCs w:val="36"/>
              </w:rPr>
              <w:t>11</w:t>
            </w:r>
          </w:p>
          <w:p w14:paraId="535AF74B" w14:textId="00F52070" w:rsidR="00652997" w:rsidRPr="00FF2DB8" w:rsidRDefault="00F85BC4" w:rsidP="002A478F">
            <w:pPr>
              <w:spacing w:after="80" w:line="252" w:lineRule="auto"/>
              <w:rPr>
                <w:b/>
                <w:bCs/>
              </w:rPr>
            </w:pPr>
            <w:r w:rsidRPr="00F85BC4">
              <w:rPr>
                <w:b/>
                <w:bCs/>
              </w:rPr>
              <w:t xml:space="preserve">Additional regulations will be needed to implement the </w:t>
            </w:r>
            <w:r w:rsidR="00313D82">
              <w:rPr>
                <w:b/>
                <w:bCs/>
              </w:rPr>
              <w:t xml:space="preserve">statutory </w:t>
            </w:r>
            <w:r w:rsidRPr="00F85BC4">
              <w:rPr>
                <w:b/>
                <w:bCs/>
              </w:rPr>
              <w:t>provisions here.</w:t>
            </w:r>
          </w:p>
        </w:tc>
        <w:tc>
          <w:tcPr>
            <w:tcW w:w="8820" w:type="dxa"/>
            <w:vAlign w:val="center"/>
          </w:tcPr>
          <w:p w14:paraId="63CDD35B" w14:textId="45468094" w:rsidR="00652997" w:rsidRPr="00652997" w:rsidRDefault="00313D82" w:rsidP="00F85BC4">
            <w:pPr>
              <w:spacing w:before="120" w:after="120" w:line="252" w:lineRule="auto"/>
            </w:pPr>
            <w:r>
              <w:t xml:space="preserve">Some of the provisions here are drafted as statutes. </w:t>
            </w:r>
            <w:r w:rsidR="00F85BC4" w:rsidRPr="00F85BC4">
              <w:t xml:space="preserve">States may need to adopt detailed regulations for the application of </w:t>
            </w:r>
            <w:r>
              <w:t>these</w:t>
            </w:r>
            <w:r w:rsidR="00F85BC4" w:rsidRPr="00F85BC4">
              <w:t xml:space="preserve"> rules to partnership income taxed on a pass-through basis. The </w:t>
            </w:r>
            <w:r>
              <w:t xml:space="preserve">general </w:t>
            </w:r>
            <w:r w:rsidR="00F85BC4" w:rsidRPr="00F85BC4">
              <w:t>provisions set out here are not intended to be a comprehensive package of regulations, but to provide a foundation for those regulations.</w:t>
            </w:r>
          </w:p>
        </w:tc>
      </w:tr>
      <w:tr w:rsidR="00F85BC4" w14:paraId="02F80E25" w14:textId="77777777" w:rsidTr="00FB6A00">
        <w:tc>
          <w:tcPr>
            <w:tcW w:w="3415" w:type="dxa"/>
          </w:tcPr>
          <w:p w14:paraId="7AC72E57" w14:textId="12EC2101" w:rsidR="0066382A" w:rsidRPr="0066382A" w:rsidRDefault="0066382A" w:rsidP="0066382A">
            <w:pPr>
              <w:spacing w:line="252" w:lineRule="auto"/>
              <w:jc w:val="center"/>
              <w:rPr>
                <w:b/>
                <w:bCs/>
                <w:color w:val="800000"/>
                <w:sz w:val="36"/>
                <w:szCs w:val="36"/>
              </w:rPr>
            </w:pPr>
            <w:r w:rsidRPr="0066382A">
              <w:rPr>
                <w:b/>
                <w:bCs/>
                <w:color w:val="800000"/>
                <w:sz w:val="36"/>
                <w:szCs w:val="36"/>
              </w:rPr>
              <w:t>12</w:t>
            </w:r>
          </w:p>
          <w:p w14:paraId="6FBE3462" w14:textId="6ADEA75B" w:rsidR="00F85BC4" w:rsidRPr="00F85BC4" w:rsidRDefault="00F85BC4" w:rsidP="002A478F">
            <w:pPr>
              <w:spacing w:after="80" w:line="252" w:lineRule="auto"/>
              <w:rPr>
                <w:b/>
                <w:bCs/>
              </w:rPr>
            </w:pPr>
            <w:r w:rsidRPr="00F85BC4">
              <w:rPr>
                <w:b/>
                <w:bCs/>
              </w:rPr>
              <w:t>As with partnership taxation generally, information reporting is essential.</w:t>
            </w:r>
          </w:p>
        </w:tc>
        <w:tc>
          <w:tcPr>
            <w:tcW w:w="8820" w:type="dxa"/>
            <w:vAlign w:val="center"/>
          </w:tcPr>
          <w:p w14:paraId="6EEC86B0" w14:textId="01E3340E" w:rsidR="00F85BC4" w:rsidRPr="00F85BC4" w:rsidRDefault="00F85BC4" w:rsidP="00F85BC4">
            <w:pPr>
              <w:spacing w:before="120" w:after="120" w:line="252" w:lineRule="auto"/>
            </w:pPr>
            <w:r w:rsidRPr="00F85BC4">
              <w:t>While the draft provisions do not address specifically how partnerships will report information, they provide tax agencies with the authority to require necessary information reporting.</w:t>
            </w:r>
            <w:r w:rsidR="00A63F04">
              <w:t xml:space="preserve"> This level of authority is very similar to the authority Congress has granted to the IRS.</w:t>
            </w:r>
          </w:p>
        </w:tc>
      </w:tr>
    </w:tbl>
    <w:p w14:paraId="1CABEB6C" w14:textId="2E1FF016" w:rsidR="00264E7C" w:rsidRDefault="00264E7C" w:rsidP="00175015">
      <w:pPr>
        <w:spacing w:line="252" w:lineRule="auto"/>
        <w:ind w:left="1440" w:right="1440"/>
      </w:pPr>
    </w:p>
    <w:p w14:paraId="6D47AADF" w14:textId="41A94FFC" w:rsidR="009E50B8" w:rsidRPr="000E68C3" w:rsidRDefault="009E50B8" w:rsidP="009E50B8">
      <w:pPr>
        <w:pBdr>
          <w:bottom w:val="single" w:sz="4" w:space="1" w:color="auto"/>
        </w:pBdr>
        <w:spacing w:before="360" w:after="240" w:line="252" w:lineRule="auto"/>
        <w:ind w:left="1440" w:right="1440"/>
        <w:jc w:val="center"/>
        <w:rPr>
          <w:b/>
          <w:bCs/>
          <w:color w:val="640000"/>
          <w:sz w:val="40"/>
          <w:szCs w:val="40"/>
        </w:rPr>
      </w:pPr>
      <w:r>
        <w:rPr>
          <w:b/>
          <w:bCs/>
          <w:color w:val="640000"/>
          <w:sz w:val="40"/>
          <w:szCs w:val="40"/>
        </w:rPr>
        <w:t>Combined Draft Model Provisions &amp; Recommendations</w:t>
      </w:r>
    </w:p>
    <w:p w14:paraId="2732C421" w14:textId="77777777" w:rsidR="00A00213" w:rsidRDefault="00EC5C68" w:rsidP="00175015">
      <w:pPr>
        <w:spacing w:line="252" w:lineRule="auto"/>
        <w:ind w:left="1440" w:right="1440"/>
      </w:pPr>
      <w:r>
        <w:t xml:space="preserve">Prior versions of the draft model provisions for applying state sourcing rules to the </w:t>
      </w:r>
      <w:r w:rsidRPr="00B825EE">
        <w:t xml:space="preserve">income of tiered </w:t>
      </w:r>
      <w:r w:rsidRPr="00531281">
        <w:t>and corporate partners, guaranteed payments for services</w:t>
      </w:r>
      <w:r w:rsidR="00157C1C">
        <w:t xml:space="preserve"> paid to individual partners</w:t>
      </w:r>
      <w:r w:rsidRPr="00531281">
        <w:t xml:space="preserve">, and for income of investment partnerships are on the project page on the MTC website, here: </w:t>
      </w:r>
      <w:hyperlink r:id="rId15" w:history="1">
        <w:r w:rsidRPr="00531281">
          <w:rPr>
            <w:rStyle w:val="Hyperlink"/>
            <w:rFonts w:ascii="Leelawadee" w:hAnsi="Leelawadee" w:cs="Leelawadee"/>
            <w:b/>
            <w:bCs/>
            <w:color w:val="800000"/>
            <w:sz w:val="22"/>
            <w:szCs w:val="18"/>
          </w:rPr>
          <w:t>Partnership Project Page</w:t>
        </w:r>
      </w:hyperlink>
      <w:r w:rsidRPr="00531281">
        <w:t xml:space="preserve">. </w:t>
      </w:r>
    </w:p>
    <w:p w14:paraId="32FFC487" w14:textId="77777777" w:rsidR="00A00213" w:rsidRPr="00531281" w:rsidRDefault="00A00213" w:rsidP="00A00213">
      <w:pPr>
        <w:spacing w:after="120" w:line="252" w:lineRule="auto"/>
        <w:ind w:left="1440" w:right="1440"/>
        <w:rPr>
          <w:b/>
          <w:bCs/>
        </w:rPr>
      </w:pPr>
      <w:r w:rsidRPr="00531281">
        <w:rPr>
          <w:b/>
          <w:bCs/>
        </w:rPr>
        <w:t>Formatting Notes:</w:t>
      </w:r>
    </w:p>
    <w:p w14:paraId="6C3F8799" w14:textId="77777777" w:rsidR="00A00213" w:rsidRDefault="00EC5C68" w:rsidP="00A00213">
      <w:pPr>
        <w:pStyle w:val="ListParagraph"/>
        <w:numPr>
          <w:ilvl w:val="0"/>
          <w:numId w:val="24"/>
        </w:numPr>
        <w:spacing w:line="252" w:lineRule="auto"/>
        <w:ind w:right="1440"/>
      </w:pPr>
      <w:r w:rsidRPr="00531281">
        <w:t xml:space="preserve">Any substantive changes to the most recent drafts are </w:t>
      </w:r>
      <w:r w:rsidRPr="00A00213">
        <w:rPr>
          <w:highlight w:val="yellow"/>
        </w:rPr>
        <w:t>highlighted</w:t>
      </w:r>
      <w:r w:rsidRPr="00531281">
        <w:t xml:space="preserve">. </w:t>
      </w:r>
    </w:p>
    <w:p w14:paraId="789F4E6E" w14:textId="77777777" w:rsidR="003F1F29" w:rsidRDefault="00EC5C68" w:rsidP="003F1F29">
      <w:pPr>
        <w:pStyle w:val="ListParagraph"/>
        <w:numPr>
          <w:ilvl w:val="0"/>
          <w:numId w:val="24"/>
        </w:numPr>
        <w:spacing w:line="252" w:lineRule="auto"/>
        <w:ind w:right="1440"/>
      </w:pPr>
      <w:r w:rsidRPr="00531281">
        <w:t>In addition, certain drafter’s notes have been added or clarified.</w:t>
      </w:r>
      <w:r w:rsidR="003F1F29">
        <w:t xml:space="preserve"> </w:t>
      </w:r>
    </w:p>
    <w:p w14:paraId="5EC52D91" w14:textId="77777777" w:rsidR="003F1F29" w:rsidRDefault="00EC5C68" w:rsidP="003F1F29">
      <w:pPr>
        <w:pStyle w:val="ListParagraph"/>
        <w:numPr>
          <w:ilvl w:val="0"/>
          <w:numId w:val="24"/>
        </w:numPr>
        <w:spacing w:line="252" w:lineRule="auto"/>
        <w:ind w:right="1440"/>
      </w:pPr>
      <w:r w:rsidRPr="00531281">
        <w:t xml:space="preserve">Drafter’s notes are set out in </w:t>
      </w:r>
      <w:r w:rsidRPr="003F1F29">
        <w:rPr>
          <w:b/>
          <w:bCs/>
          <w:color w:val="0040F6"/>
        </w:rPr>
        <w:t>blue</w:t>
      </w:r>
      <w:r w:rsidRPr="00531281">
        <w:t xml:space="preserve">. </w:t>
      </w:r>
    </w:p>
    <w:p w14:paraId="29AE503A" w14:textId="77777777" w:rsidR="003F1F29" w:rsidRDefault="00EC5C68" w:rsidP="003F1F29">
      <w:pPr>
        <w:pStyle w:val="ListParagraph"/>
        <w:numPr>
          <w:ilvl w:val="0"/>
          <w:numId w:val="24"/>
        </w:numPr>
        <w:spacing w:line="252" w:lineRule="auto"/>
        <w:ind w:right="1440"/>
      </w:pPr>
      <w:r w:rsidRPr="00531281">
        <w:t>References within the draft provisions that depend on that state’s own information are shown in brackets and capitalized—[CAPS].</w:t>
      </w:r>
      <w:r w:rsidR="00A34B38">
        <w:t xml:space="preserve"> </w:t>
      </w:r>
    </w:p>
    <w:p w14:paraId="48B1E339" w14:textId="180F74B3" w:rsidR="00EC5C68" w:rsidRDefault="00A34B38" w:rsidP="003F1F29">
      <w:pPr>
        <w:pStyle w:val="ListParagraph"/>
        <w:numPr>
          <w:ilvl w:val="0"/>
          <w:numId w:val="24"/>
        </w:numPr>
        <w:spacing w:line="252" w:lineRule="auto"/>
        <w:ind w:right="1440"/>
      </w:pPr>
      <w:r>
        <w:t xml:space="preserve">This version also contains Notes (in the right-hand margin by the provisions) which </w:t>
      </w:r>
      <w:r w:rsidR="002F51DB">
        <w:t xml:space="preserve">give additional information and </w:t>
      </w:r>
      <w:r>
        <w:t xml:space="preserve">respond to comments received on the draft.  </w:t>
      </w:r>
    </w:p>
    <w:p w14:paraId="3B1D5E30" w14:textId="77777777" w:rsidR="00CF38DB" w:rsidRDefault="00CF38DB" w:rsidP="00175015">
      <w:pPr>
        <w:spacing w:line="252" w:lineRule="auto"/>
        <w:ind w:left="1440" w:right="1440"/>
      </w:pPr>
    </w:p>
    <w:p w14:paraId="3EACF6DF" w14:textId="77777777" w:rsidR="00F53BCE" w:rsidRPr="00531281" w:rsidRDefault="00F53BCE" w:rsidP="00175015">
      <w:pPr>
        <w:spacing w:line="252" w:lineRule="auto"/>
        <w:ind w:left="1440" w:right="1440"/>
      </w:pP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2335"/>
        <w:gridCol w:w="9990"/>
        <w:gridCol w:w="2353"/>
      </w:tblGrid>
      <w:tr w:rsidR="00061D11" w14:paraId="1499AE1B" w14:textId="77777777" w:rsidTr="00A22F44">
        <w:tc>
          <w:tcPr>
            <w:tcW w:w="0" w:type="auto"/>
            <w:gridSpan w:val="3"/>
            <w:vAlign w:val="center"/>
          </w:tcPr>
          <w:p w14:paraId="19B97FB2" w14:textId="67369B4A" w:rsidR="00061D11" w:rsidRPr="002B6C11" w:rsidRDefault="00061D11" w:rsidP="00061D11">
            <w:pPr>
              <w:spacing w:line="276" w:lineRule="auto"/>
              <w:jc w:val="center"/>
              <w:rPr>
                <w:rFonts w:ascii="Perpetua" w:hAnsi="Perpetua" w:cs="Leelawadee"/>
                <w:b/>
                <w:bCs/>
                <w:sz w:val="36"/>
                <w:szCs w:val="36"/>
              </w:rPr>
            </w:pPr>
            <w:r w:rsidRPr="002B6C11">
              <w:rPr>
                <w:rFonts w:ascii="Perpetua" w:hAnsi="Perpetua" w:cs="Leelawadee"/>
                <w:b/>
                <w:bCs/>
                <w:sz w:val="36"/>
                <w:szCs w:val="36"/>
              </w:rPr>
              <w:t>SOURCING OF PARTNERSHIP INCOME BY TIERED &amp; CORPORATE PARTNERS</w:t>
            </w:r>
          </w:p>
          <w:p w14:paraId="1992176F" w14:textId="7C64854F" w:rsidR="00061D11" w:rsidRDefault="00061D11" w:rsidP="00061D11">
            <w:pPr>
              <w:spacing w:line="276" w:lineRule="auto"/>
              <w:jc w:val="center"/>
              <w:rPr>
                <w:rFonts w:ascii="Perpetua" w:hAnsi="Perpetua" w:cs="Leelawadee"/>
                <w:b/>
                <w:bCs/>
                <w:sz w:val="30"/>
                <w:szCs w:val="30"/>
              </w:rPr>
            </w:pPr>
            <w:r w:rsidRPr="003751E8">
              <w:rPr>
                <w:rFonts w:ascii="Perpetua" w:hAnsi="Perpetua" w:cs="Leelawadee"/>
                <w:b/>
                <w:bCs/>
                <w:sz w:val="32"/>
                <w:szCs w:val="40"/>
              </w:rPr>
              <w:t>Drafted in the Form of a Statute</w:t>
            </w:r>
          </w:p>
        </w:tc>
      </w:tr>
      <w:tr w:rsidR="00061D11" w14:paraId="04DF6AA3" w14:textId="77777777" w:rsidTr="00BE7DFE">
        <w:trPr>
          <w:trHeight w:val="7200"/>
        </w:trPr>
        <w:tc>
          <w:tcPr>
            <w:tcW w:w="2335" w:type="dxa"/>
            <w:vAlign w:val="center"/>
          </w:tcPr>
          <w:p w14:paraId="649944D4" w14:textId="77777777" w:rsidR="00061D11" w:rsidRPr="00E14CBB" w:rsidRDefault="00061D11" w:rsidP="00061D11">
            <w:pPr>
              <w:spacing w:before="120" w:after="120" w:line="228" w:lineRule="auto"/>
              <w:rPr>
                <w:rFonts w:ascii="Perpetua" w:hAnsi="Perpetua" w:cs="Leelawadee"/>
                <w:b/>
                <w:bCs/>
                <w:color w:val="0040F6"/>
                <w:sz w:val="28"/>
              </w:rPr>
            </w:pPr>
          </w:p>
        </w:tc>
        <w:tc>
          <w:tcPr>
            <w:tcW w:w="9990" w:type="dxa"/>
            <w:vAlign w:val="center"/>
          </w:tcPr>
          <w:p w14:paraId="370734CC" w14:textId="4D5E34DE" w:rsidR="00061D11" w:rsidRPr="00855B2A" w:rsidRDefault="00061D11" w:rsidP="00061D11">
            <w:pPr>
              <w:spacing w:before="120" w:after="120" w:line="228" w:lineRule="auto"/>
              <w:rPr>
                <w:rFonts w:ascii="Perpetua" w:hAnsi="Perpetua" w:cs="Leelawadee"/>
                <w:b/>
                <w:bCs/>
                <w:i/>
                <w:iCs/>
                <w:sz w:val="32"/>
                <w:szCs w:val="32"/>
              </w:rPr>
            </w:pPr>
            <w:r w:rsidRPr="00855B2A">
              <w:rPr>
                <w:rFonts w:ascii="Perpetua" w:hAnsi="Perpetua" w:cs="Leelawadee"/>
                <w:b/>
                <w:bCs/>
                <w:i/>
                <w:iCs/>
                <w:color w:val="0040F6"/>
                <w:sz w:val="32"/>
                <w:szCs w:val="28"/>
              </w:rPr>
              <w:t>General Drafter’s Note</w:t>
            </w:r>
            <w:r w:rsidR="00012046" w:rsidRPr="00855B2A">
              <w:rPr>
                <w:rFonts w:ascii="Perpetua" w:hAnsi="Perpetua" w:cs="Leelawadee"/>
                <w:b/>
                <w:bCs/>
                <w:i/>
                <w:iCs/>
                <w:color w:val="0040F6"/>
                <w:sz w:val="32"/>
                <w:szCs w:val="28"/>
              </w:rPr>
              <w:t>s</w:t>
            </w:r>
            <w:r w:rsidRPr="00855B2A">
              <w:rPr>
                <w:rFonts w:ascii="Perpetua" w:hAnsi="Perpetua" w:cs="Leelawadee"/>
                <w:b/>
                <w:bCs/>
                <w:i/>
                <w:iCs/>
                <w:color w:val="0040F6"/>
                <w:sz w:val="32"/>
                <w:szCs w:val="28"/>
              </w:rPr>
              <w:t xml:space="preserve">: </w:t>
            </w:r>
          </w:p>
          <w:p w14:paraId="2A81356D" w14:textId="77777777" w:rsidR="00061D11" w:rsidRPr="00855B2A" w:rsidRDefault="00061D11" w:rsidP="00061D11">
            <w:pPr>
              <w:spacing w:before="12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Provisions Drafted as Statutes</w:t>
            </w:r>
          </w:p>
          <w:p w14:paraId="39EB5CBB" w14:textId="564EC74F" w:rsidR="00061D11" w:rsidRPr="00855B2A" w:rsidRDefault="00061D11" w:rsidP="00D80283">
            <w:pPr>
              <w:spacing w:before="120" w:after="120" w:line="216" w:lineRule="auto"/>
              <w:rPr>
                <w:rFonts w:ascii="Perpetua" w:hAnsi="Perpetua" w:cs="Leelawadee"/>
                <w:i/>
                <w:iCs/>
                <w:color w:val="0040F6"/>
                <w:sz w:val="32"/>
                <w:szCs w:val="28"/>
              </w:rPr>
            </w:pPr>
            <w:r w:rsidRPr="00855B2A">
              <w:rPr>
                <w:rFonts w:ascii="Perpetua" w:hAnsi="Perpetua" w:cs="Leelawadee"/>
                <w:i/>
                <w:iCs/>
                <w:color w:val="0040F6"/>
                <w:sz w:val="32"/>
                <w:szCs w:val="28"/>
              </w:rPr>
              <w:t xml:space="preserve">The provisions in this Section are drafted in the form of statutes designed to provide a sufficient framework so that consistent regulations </w:t>
            </w:r>
            <w:r w:rsidR="00FB35A5" w:rsidRPr="00855B2A">
              <w:rPr>
                <w:rFonts w:ascii="Perpetua" w:hAnsi="Perpetua" w:cs="Leelawadee"/>
                <w:i/>
                <w:iCs/>
                <w:color w:val="0040F6"/>
                <w:sz w:val="32"/>
                <w:szCs w:val="28"/>
              </w:rPr>
              <w:t xml:space="preserve">can </w:t>
            </w:r>
            <w:r w:rsidRPr="00855B2A">
              <w:rPr>
                <w:rFonts w:ascii="Perpetua" w:hAnsi="Perpetua" w:cs="Leelawadee"/>
                <w:i/>
                <w:iCs/>
                <w:color w:val="0040F6"/>
                <w:sz w:val="32"/>
                <w:szCs w:val="28"/>
              </w:rPr>
              <w:t xml:space="preserve">be adopted for specific facts and circumstances. Some states may have existing statutory provisions that they view as sufficient—but may consider the provisions here for adoption in the form of general regulations.  </w:t>
            </w:r>
          </w:p>
          <w:p w14:paraId="15514C60" w14:textId="77777777" w:rsidR="00061D11" w:rsidRPr="00855B2A" w:rsidRDefault="00061D11" w:rsidP="0053301C">
            <w:pPr>
              <w:spacing w:before="24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Making the Implicit Explicit</w:t>
            </w:r>
          </w:p>
          <w:p w14:paraId="6AEBBB91" w14:textId="55132C4C" w:rsidR="00061D11" w:rsidRPr="00855B2A" w:rsidRDefault="00061D11" w:rsidP="00061D11">
            <w:pPr>
              <w:spacing w:before="120" w:after="120" w:line="228" w:lineRule="auto"/>
              <w:rPr>
                <w:rFonts w:ascii="Perpetua" w:hAnsi="Perpetua" w:cs="Leelawadee"/>
                <w:i/>
                <w:iCs/>
                <w:color w:val="0040F6"/>
                <w:sz w:val="32"/>
                <w:szCs w:val="28"/>
              </w:rPr>
            </w:pPr>
            <w:r w:rsidRPr="00855B2A">
              <w:rPr>
                <w:rFonts w:ascii="Perpetua" w:hAnsi="Perpetua" w:cs="Leelawadee"/>
                <w:i/>
                <w:iCs/>
                <w:color w:val="0040F6"/>
                <w:sz w:val="32"/>
                <w:szCs w:val="28"/>
              </w:rPr>
              <w:t xml:space="preserve">States that conform to the federal pass-through system under IRC Subchapter K may believe that certain draft provisions below would </w:t>
            </w:r>
            <w:r w:rsidR="000B6D69" w:rsidRPr="00855B2A">
              <w:rPr>
                <w:rFonts w:ascii="Perpetua" w:hAnsi="Perpetua" w:cs="Leelawadee"/>
                <w:i/>
                <w:iCs/>
                <w:color w:val="0040F6"/>
                <w:sz w:val="32"/>
                <w:szCs w:val="28"/>
              </w:rPr>
              <w:t>apply</w:t>
            </w:r>
            <w:r w:rsidRPr="00855B2A">
              <w:rPr>
                <w:rFonts w:ascii="Perpetua" w:hAnsi="Perpetua" w:cs="Leelawadee"/>
                <w:i/>
                <w:iCs/>
                <w:color w:val="0040F6"/>
                <w:sz w:val="32"/>
                <w:szCs w:val="28"/>
              </w:rPr>
              <w:t xml:space="preserve"> </w:t>
            </w:r>
            <w:r w:rsidR="00F92731" w:rsidRPr="00855B2A">
              <w:rPr>
                <w:rFonts w:ascii="Perpetua" w:hAnsi="Perpetua" w:cs="Leelawadee"/>
                <w:i/>
                <w:iCs/>
                <w:color w:val="0040F6"/>
                <w:sz w:val="32"/>
                <w:szCs w:val="28"/>
              </w:rPr>
              <w:t>to</w:t>
            </w:r>
            <w:r w:rsidRPr="00855B2A">
              <w:rPr>
                <w:rFonts w:ascii="Perpetua" w:hAnsi="Perpetua" w:cs="Leelawadee"/>
                <w:i/>
                <w:iCs/>
                <w:color w:val="0040F6"/>
                <w:sz w:val="32"/>
                <w:szCs w:val="28"/>
              </w:rPr>
              <w:t xml:space="preserve"> their state even if not explicitly stated. Where those concepts are essential, the draft includes them explicitly </w:t>
            </w:r>
            <w:r w:rsidR="003D7613" w:rsidRPr="00855B2A">
              <w:rPr>
                <w:rFonts w:ascii="Perpetua" w:hAnsi="Perpetua" w:cs="Leelawadee"/>
                <w:i/>
                <w:iCs/>
                <w:color w:val="0040F6"/>
                <w:sz w:val="32"/>
                <w:szCs w:val="28"/>
              </w:rPr>
              <w:t>to</w:t>
            </w:r>
            <w:r w:rsidRPr="00855B2A">
              <w:rPr>
                <w:rFonts w:ascii="Perpetua" w:hAnsi="Perpetua" w:cs="Leelawadee"/>
                <w:i/>
                <w:iCs/>
                <w:color w:val="0040F6"/>
                <w:sz w:val="32"/>
                <w:szCs w:val="28"/>
              </w:rPr>
              <w:t xml:space="preserve"> avoid confusion or uncertainty.</w:t>
            </w:r>
          </w:p>
          <w:p w14:paraId="70878875" w14:textId="77777777" w:rsidR="00061D11" w:rsidRPr="00855B2A" w:rsidRDefault="00061D11" w:rsidP="0053301C">
            <w:pPr>
              <w:spacing w:before="24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Inclusion of General Provisions</w:t>
            </w:r>
          </w:p>
          <w:p w14:paraId="1A8AE82B" w14:textId="762E732B" w:rsidR="00061D11" w:rsidRPr="00855B2A" w:rsidRDefault="002F7045" w:rsidP="00061D11">
            <w:pPr>
              <w:spacing w:before="12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highlight w:val="yellow"/>
              </w:rPr>
              <w:t>This</w:t>
            </w:r>
            <w:r w:rsidR="00061D11" w:rsidRPr="00855B2A">
              <w:rPr>
                <w:rFonts w:ascii="Perpetua" w:hAnsi="Perpetua" w:cs="Leelawadee"/>
                <w:i/>
                <w:iCs/>
                <w:color w:val="0040F6"/>
                <w:sz w:val="32"/>
                <w:szCs w:val="28"/>
                <w:highlight w:val="yellow"/>
              </w:rPr>
              <w:t xml:space="preserve"> Section </w:t>
            </w:r>
            <w:r w:rsidR="00082A9D" w:rsidRPr="00855B2A">
              <w:rPr>
                <w:rFonts w:ascii="Perpetua" w:hAnsi="Perpetua" w:cs="Leelawadee"/>
                <w:i/>
                <w:iCs/>
                <w:color w:val="0040F6"/>
                <w:sz w:val="32"/>
                <w:szCs w:val="28"/>
                <w:highlight w:val="yellow"/>
              </w:rPr>
              <w:t xml:space="preserve">was initially drafted to </w:t>
            </w:r>
            <w:r w:rsidR="00061D11" w:rsidRPr="00855B2A">
              <w:rPr>
                <w:rFonts w:ascii="Perpetua" w:hAnsi="Perpetua" w:cs="Leelawadee"/>
                <w:i/>
                <w:iCs/>
                <w:color w:val="0040F6"/>
                <w:sz w:val="32"/>
                <w:szCs w:val="28"/>
                <w:highlight w:val="yellow"/>
              </w:rPr>
              <w:t>address sourcing of partnership income for tiered and corporate partners</w:t>
            </w:r>
            <w:r w:rsidR="00082A9D" w:rsidRPr="00855B2A">
              <w:rPr>
                <w:rFonts w:ascii="Perpetua" w:hAnsi="Perpetua" w:cs="Leelawadee"/>
                <w:i/>
                <w:iCs/>
                <w:color w:val="0040F6"/>
                <w:sz w:val="32"/>
                <w:szCs w:val="28"/>
                <w:highlight w:val="yellow"/>
              </w:rPr>
              <w:t>. However,</w:t>
            </w:r>
            <w:r w:rsidR="00061D11" w:rsidRPr="00855B2A">
              <w:rPr>
                <w:rFonts w:ascii="Perpetua" w:hAnsi="Perpetua" w:cs="Leelawadee"/>
                <w:i/>
                <w:iCs/>
                <w:color w:val="0040F6"/>
                <w:sz w:val="32"/>
                <w:szCs w:val="28"/>
                <w:highlight w:val="yellow"/>
              </w:rPr>
              <w:t xml:space="preserve"> substantial parts of it also appl</w:t>
            </w:r>
            <w:r w:rsidR="00082A9D" w:rsidRPr="00855B2A">
              <w:rPr>
                <w:rFonts w:ascii="Perpetua" w:hAnsi="Perpetua" w:cs="Leelawadee"/>
                <w:i/>
                <w:iCs/>
                <w:color w:val="0040F6"/>
                <w:sz w:val="32"/>
                <w:szCs w:val="28"/>
                <w:highlight w:val="yellow"/>
              </w:rPr>
              <w:t>y</w:t>
            </w:r>
            <w:r w:rsidR="00061D11" w:rsidRPr="00855B2A">
              <w:rPr>
                <w:rFonts w:ascii="Perpetua" w:hAnsi="Perpetua" w:cs="Leelawadee"/>
                <w:i/>
                <w:iCs/>
                <w:color w:val="0040F6"/>
                <w:sz w:val="32"/>
                <w:szCs w:val="28"/>
                <w:highlight w:val="yellow"/>
              </w:rPr>
              <w:t xml:space="preserve"> generally</w:t>
            </w:r>
            <w:r w:rsidR="00082A9D" w:rsidRPr="00855B2A">
              <w:rPr>
                <w:rFonts w:ascii="Perpetua" w:hAnsi="Perpetua" w:cs="Leelawadee"/>
                <w:i/>
                <w:iCs/>
                <w:color w:val="0040F6"/>
                <w:sz w:val="32"/>
                <w:szCs w:val="28"/>
                <w:highlight w:val="yellow"/>
              </w:rPr>
              <w:t xml:space="preserve">. Therefore, </w:t>
            </w:r>
            <w:r w:rsidR="00E91759" w:rsidRPr="00855B2A">
              <w:rPr>
                <w:rFonts w:ascii="Perpetua" w:hAnsi="Perpetua" w:cs="Leelawadee"/>
                <w:i/>
                <w:iCs/>
                <w:color w:val="0040F6"/>
                <w:sz w:val="32"/>
                <w:szCs w:val="28"/>
                <w:highlight w:val="yellow"/>
              </w:rPr>
              <w:t>the scope has expanded to</w:t>
            </w:r>
            <w:r w:rsidR="006A3156">
              <w:rPr>
                <w:rFonts w:ascii="Perpetua" w:hAnsi="Perpetua" w:cs="Leelawadee"/>
                <w:i/>
                <w:iCs/>
                <w:color w:val="0040F6"/>
                <w:sz w:val="32"/>
                <w:szCs w:val="28"/>
                <w:highlight w:val="yellow"/>
              </w:rPr>
              <w:t xml:space="preserve"> include</w:t>
            </w:r>
            <w:r w:rsidR="00E91759" w:rsidRPr="00855B2A">
              <w:rPr>
                <w:rFonts w:ascii="Perpetua" w:hAnsi="Perpetua" w:cs="Leelawadee"/>
                <w:i/>
                <w:iCs/>
                <w:color w:val="0040F6"/>
                <w:sz w:val="32"/>
                <w:szCs w:val="28"/>
                <w:highlight w:val="yellow"/>
              </w:rPr>
              <w:t xml:space="preserve"> </w:t>
            </w:r>
            <w:r w:rsidR="006A3156">
              <w:rPr>
                <w:rFonts w:ascii="Perpetua" w:hAnsi="Perpetua" w:cs="Leelawadee"/>
                <w:i/>
                <w:iCs/>
                <w:color w:val="0040F6"/>
                <w:sz w:val="32"/>
                <w:szCs w:val="28"/>
                <w:highlight w:val="yellow"/>
              </w:rPr>
              <w:t>all</w:t>
            </w:r>
            <w:r w:rsidR="006A3156" w:rsidRPr="00855B2A">
              <w:rPr>
                <w:rFonts w:ascii="Perpetua" w:hAnsi="Perpetua" w:cs="Leelawadee"/>
                <w:i/>
                <w:iCs/>
                <w:color w:val="0040F6"/>
                <w:sz w:val="32"/>
                <w:szCs w:val="28"/>
                <w:highlight w:val="yellow"/>
              </w:rPr>
              <w:t xml:space="preserve"> </w:t>
            </w:r>
            <w:r w:rsidR="00E91759" w:rsidRPr="00855B2A">
              <w:rPr>
                <w:rFonts w:ascii="Perpetua" w:hAnsi="Perpetua" w:cs="Leelawadee"/>
                <w:i/>
                <w:iCs/>
                <w:color w:val="0040F6"/>
                <w:sz w:val="32"/>
                <w:szCs w:val="28"/>
                <w:highlight w:val="yellow"/>
              </w:rPr>
              <w:t>partners</w:t>
            </w:r>
            <w:r w:rsidR="00061D11" w:rsidRPr="00855B2A">
              <w:rPr>
                <w:rFonts w:ascii="Perpetua" w:hAnsi="Perpetua" w:cs="Leelawadee"/>
                <w:i/>
                <w:iCs/>
                <w:color w:val="0040F6"/>
                <w:sz w:val="32"/>
                <w:szCs w:val="28"/>
                <w:highlight w:val="yellow"/>
              </w:rPr>
              <w:t>.</w:t>
            </w:r>
          </w:p>
          <w:p w14:paraId="5DF9703E" w14:textId="77777777" w:rsidR="00061D11" w:rsidRPr="00855B2A" w:rsidRDefault="00061D11" w:rsidP="0053301C">
            <w:pPr>
              <w:spacing w:before="240" w:after="120" w:line="228" w:lineRule="auto"/>
              <w:rPr>
                <w:rFonts w:ascii="Perpetua" w:hAnsi="Perpetua" w:cs="Leelawadee"/>
                <w:i/>
                <w:iCs/>
                <w:color w:val="0040F6"/>
                <w:sz w:val="32"/>
                <w:szCs w:val="28"/>
                <w:u w:val="single"/>
              </w:rPr>
            </w:pPr>
            <w:r w:rsidRPr="00855B2A">
              <w:rPr>
                <w:rFonts w:ascii="Perpetua" w:hAnsi="Perpetua" w:cs="Leelawadee"/>
                <w:i/>
                <w:iCs/>
                <w:color w:val="0040F6"/>
                <w:sz w:val="32"/>
                <w:szCs w:val="28"/>
                <w:u w:val="single"/>
              </w:rPr>
              <w:t>References to State Sourcing Statutes</w:t>
            </w:r>
          </w:p>
          <w:p w14:paraId="66F276F8" w14:textId="79967F56" w:rsidR="00061D11" w:rsidRPr="00E14CBB" w:rsidRDefault="00AB7B9F" w:rsidP="00061D11">
            <w:pPr>
              <w:spacing w:before="120" w:after="120" w:line="228" w:lineRule="auto"/>
              <w:rPr>
                <w:rFonts w:ascii="Perpetua" w:hAnsi="Perpetua" w:cs="Leelawadee"/>
                <w:b/>
                <w:bCs/>
                <w:color w:val="0040F6"/>
                <w:sz w:val="28"/>
              </w:rPr>
            </w:pPr>
            <w:r w:rsidRPr="00855B2A">
              <w:rPr>
                <w:rFonts w:ascii="Perpetua" w:hAnsi="Perpetua" w:cs="Leelawadee"/>
                <w:i/>
                <w:iCs/>
                <w:color w:val="0040F6"/>
                <w:sz w:val="32"/>
                <w:szCs w:val="28"/>
                <w:highlight w:val="yellow"/>
              </w:rPr>
              <w:t>T</w:t>
            </w:r>
            <w:r w:rsidR="00B303FB" w:rsidRPr="00855B2A">
              <w:rPr>
                <w:rFonts w:ascii="Perpetua" w:hAnsi="Perpetua" w:cs="Leelawadee"/>
                <w:i/>
                <w:iCs/>
                <w:color w:val="0040F6"/>
                <w:sz w:val="32"/>
                <w:szCs w:val="28"/>
                <w:highlight w:val="yellow"/>
              </w:rPr>
              <w:t>he draft provisions below</w:t>
            </w:r>
            <w:r w:rsidRPr="00855B2A">
              <w:rPr>
                <w:rFonts w:ascii="Perpetua" w:hAnsi="Perpetua" w:cs="Leelawadee"/>
                <w:i/>
                <w:iCs/>
                <w:color w:val="0040F6"/>
                <w:sz w:val="32"/>
                <w:szCs w:val="28"/>
                <w:highlight w:val="yellow"/>
              </w:rPr>
              <w:t xml:space="preserve"> include bracketed references for the state sourcing rules for both</w:t>
            </w:r>
            <w:r w:rsidR="00B303FB" w:rsidRPr="00855B2A">
              <w:rPr>
                <w:rFonts w:ascii="Perpetua" w:hAnsi="Perpetua" w:cs="Leelawadee"/>
                <w:i/>
                <w:iCs/>
                <w:color w:val="0040F6"/>
                <w:sz w:val="32"/>
                <w:szCs w:val="28"/>
                <w:highlight w:val="yellow"/>
              </w:rPr>
              <w:t xml:space="preserve"> corporations and nonresidents.</w:t>
            </w:r>
            <w:r w:rsidRPr="00855B2A">
              <w:rPr>
                <w:rFonts w:ascii="Perpetua" w:hAnsi="Perpetua" w:cs="Leelawadee"/>
                <w:i/>
                <w:iCs/>
                <w:color w:val="0040F6"/>
                <w:sz w:val="32"/>
                <w:szCs w:val="28"/>
                <w:highlight w:val="yellow"/>
              </w:rPr>
              <w:t xml:space="preserve"> </w:t>
            </w:r>
            <w:r w:rsidR="00061D11" w:rsidRPr="00855B2A">
              <w:rPr>
                <w:rFonts w:ascii="Perpetua" w:hAnsi="Perpetua" w:cs="Leelawadee"/>
                <w:i/>
                <w:iCs/>
                <w:color w:val="0040F6"/>
                <w:sz w:val="32"/>
                <w:szCs w:val="28"/>
                <w:highlight w:val="yellow"/>
              </w:rPr>
              <w:t xml:space="preserve">Based on the research done as part of the related white paper, </w:t>
            </w:r>
            <w:r w:rsidR="00A57021" w:rsidRPr="00855B2A">
              <w:rPr>
                <w:rFonts w:ascii="Perpetua" w:hAnsi="Perpetua" w:cs="Leelawadee"/>
                <w:i/>
                <w:iCs/>
                <w:color w:val="0040F6"/>
                <w:sz w:val="32"/>
                <w:szCs w:val="28"/>
                <w:highlight w:val="yellow"/>
              </w:rPr>
              <w:t>most</w:t>
            </w:r>
            <w:r w:rsidR="00061D11" w:rsidRPr="00855B2A">
              <w:rPr>
                <w:rFonts w:ascii="Perpetua" w:hAnsi="Perpetua" w:cs="Leelawadee"/>
                <w:i/>
                <w:iCs/>
                <w:color w:val="0040F6"/>
                <w:sz w:val="32"/>
                <w:szCs w:val="28"/>
                <w:highlight w:val="yellow"/>
              </w:rPr>
              <w:t xml:space="preserve"> states use the same sourcing methods for sourcing income of businesses</w:t>
            </w:r>
            <w:r w:rsidR="00AA45C8" w:rsidRPr="00855B2A">
              <w:rPr>
                <w:rFonts w:ascii="Perpetua" w:hAnsi="Perpetua" w:cs="Leelawadee"/>
                <w:i/>
                <w:iCs/>
                <w:color w:val="0040F6"/>
                <w:sz w:val="32"/>
                <w:szCs w:val="28"/>
                <w:highlight w:val="yellow"/>
              </w:rPr>
              <w:t xml:space="preserve">, </w:t>
            </w:r>
            <w:r w:rsidR="00E93354">
              <w:rPr>
                <w:rFonts w:ascii="Perpetua" w:hAnsi="Perpetua" w:cs="Leelawadee"/>
                <w:i/>
                <w:iCs/>
                <w:color w:val="0040F6"/>
                <w:sz w:val="32"/>
                <w:szCs w:val="28"/>
                <w:highlight w:val="yellow"/>
              </w:rPr>
              <w:t xml:space="preserve">whether </w:t>
            </w:r>
            <w:r w:rsidR="00AA45C8" w:rsidRPr="00855B2A">
              <w:rPr>
                <w:rFonts w:ascii="Perpetua" w:hAnsi="Perpetua" w:cs="Leelawadee"/>
                <w:i/>
                <w:iCs/>
                <w:color w:val="0040F6"/>
                <w:sz w:val="32"/>
                <w:szCs w:val="28"/>
                <w:highlight w:val="yellow"/>
              </w:rPr>
              <w:t xml:space="preserve">for individuals (proprietorships) </w:t>
            </w:r>
            <w:r w:rsidR="00E93354">
              <w:rPr>
                <w:rFonts w:ascii="Perpetua" w:hAnsi="Perpetua" w:cs="Leelawadee"/>
                <w:i/>
                <w:iCs/>
                <w:color w:val="0040F6"/>
                <w:sz w:val="32"/>
                <w:szCs w:val="28"/>
                <w:highlight w:val="yellow"/>
              </w:rPr>
              <w:t>or</w:t>
            </w:r>
            <w:r w:rsidR="00AA45C8" w:rsidRPr="00855B2A">
              <w:rPr>
                <w:rFonts w:ascii="Perpetua" w:hAnsi="Perpetua" w:cs="Leelawadee"/>
                <w:i/>
                <w:iCs/>
                <w:color w:val="0040F6"/>
                <w:sz w:val="32"/>
                <w:szCs w:val="28"/>
                <w:highlight w:val="yellow"/>
              </w:rPr>
              <w:t xml:space="preserve"> corporations</w:t>
            </w:r>
            <w:r w:rsidR="00061D11" w:rsidRPr="00855B2A">
              <w:rPr>
                <w:rFonts w:ascii="Perpetua" w:hAnsi="Perpetua" w:cs="Leelawadee"/>
                <w:i/>
                <w:iCs/>
                <w:color w:val="0040F6"/>
                <w:sz w:val="32"/>
                <w:szCs w:val="28"/>
                <w:highlight w:val="yellow"/>
              </w:rPr>
              <w:t xml:space="preserve">. </w:t>
            </w:r>
            <w:r w:rsidR="00212502" w:rsidRPr="00855B2A">
              <w:rPr>
                <w:rFonts w:ascii="Perpetua" w:hAnsi="Perpetua" w:cs="Leelawadee"/>
                <w:i/>
                <w:iCs/>
                <w:color w:val="0040F6"/>
                <w:sz w:val="32"/>
                <w:szCs w:val="28"/>
                <w:highlight w:val="yellow"/>
              </w:rPr>
              <w:t xml:space="preserve">If </w:t>
            </w:r>
            <w:r w:rsidR="003F3682" w:rsidRPr="00855B2A">
              <w:rPr>
                <w:rFonts w:ascii="Perpetua" w:hAnsi="Perpetua" w:cs="Leelawadee"/>
                <w:i/>
                <w:iCs/>
                <w:color w:val="0040F6"/>
                <w:sz w:val="32"/>
                <w:szCs w:val="28"/>
                <w:highlight w:val="yellow"/>
              </w:rPr>
              <w:t>a state has</w:t>
            </w:r>
            <w:r w:rsidR="00212502" w:rsidRPr="00855B2A">
              <w:rPr>
                <w:rFonts w:ascii="Perpetua" w:hAnsi="Perpetua" w:cs="Leelawadee"/>
                <w:i/>
                <w:iCs/>
                <w:color w:val="0040F6"/>
                <w:sz w:val="32"/>
                <w:szCs w:val="28"/>
                <w:highlight w:val="yellow"/>
              </w:rPr>
              <w:t xml:space="preserve"> </w:t>
            </w:r>
            <w:r w:rsidR="009508B8" w:rsidRPr="00855B2A">
              <w:rPr>
                <w:rFonts w:ascii="Perpetua" w:hAnsi="Perpetua" w:cs="Leelawadee"/>
                <w:i/>
                <w:iCs/>
                <w:color w:val="0040F6"/>
                <w:sz w:val="32"/>
                <w:szCs w:val="28"/>
                <w:highlight w:val="yellow"/>
              </w:rPr>
              <w:t xml:space="preserve">significant </w:t>
            </w:r>
            <w:r w:rsidR="00212502" w:rsidRPr="00855B2A">
              <w:rPr>
                <w:rFonts w:ascii="Perpetua" w:hAnsi="Perpetua" w:cs="Leelawadee"/>
                <w:i/>
                <w:iCs/>
                <w:color w:val="0040F6"/>
                <w:sz w:val="32"/>
                <w:szCs w:val="28"/>
                <w:highlight w:val="yellow"/>
              </w:rPr>
              <w:t xml:space="preserve">differences in </w:t>
            </w:r>
            <w:r w:rsidR="003F3682" w:rsidRPr="00855B2A">
              <w:rPr>
                <w:rFonts w:ascii="Perpetua" w:hAnsi="Perpetua" w:cs="Leelawadee"/>
                <w:i/>
                <w:iCs/>
                <w:color w:val="0040F6"/>
                <w:sz w:val="32"/>
                <w:szCs w:val="28"/>
                <w:highlight w:val="yellow"/>
              </w:rPr>
              <w:t xml:space="preserve">the sourcing </w:t>
            </w:r>
            <w:r w:rsidR="00212502" w:rsidRPr="00855B2A">
              <w:rPr>
                <w:rFonts w:ascii="Perpetua" w:hAnsi="Perpetua" w:cs="Leelawadee"/>
                <w:i/>
                <w:iCs/>
                <w:color w:val="0040F6"/>
                <w:sz w:val="32"/>
                <w:szCs w:val="28"/>
                <w:highlight w:val="yellow"/>
              </w:rPr>
              <w:t xml:space="preserve">rules applied to business income of corporations and individuals, </w:t>
            </w:r>
            <w:r w:rsidR="009508B8" w:rsidRPr="00855B2A">
              <w:rPr>
                <w:rFonts w:ascii="Perpetua" w:hAnsi="Perpetua" w:cs="Leelawadee"/>
                <w:i/>
                <w:iCs/>
                <w:color w:val="0040F6"/>
                <w:sz w:val="32"/>
                <w:szCs w:val="28"/>
                <w:highlight w:val="yellow"/>
              </w:rPr>
              <w:t xml:space="preserve">this complicates the sourcing of </w:t>
            </w:r>
            <w:r w:rsidR="0041720D" w:rsidRPr="00855B2A">
              <w:rPr>
                <w:rFonts w:ascii="Perpetua" w:hAnsi="Perpetua" w:cs="Leelawadee"/>
                <w:i/>
                <w:iCs/>
                <w:color w:val="0040F6"/>
                <w:sz w:val="32"/>
                <w:szCs w:val="28"/>
                <w:highlight w:val="yellow"/>
              </w:rPr>
              <w:t xml:space="preserve">partnership income whether taxed on a </w:t>
            </w:r>
            <w:r w:rsidR="009508B8" w:rsidRPr="00855B2A">
              <w:rPr>
                <w:rFonts w:ascii="Perpetua" w:hAnsi="Perpetua" w:cs="Leelawadee"/>
                <w:i/>
                <w:iCs/>
                <w:color w:val="0040F6"/>
                <w:sz w:val="32"/>
                <w:szCs w:val="28"/>
                <w:highlight w:val="yellow"/>
              </w:rPr>
              <w:t xml:space="preserve">pass-through </w:t>
            </w:r>
            <w:r w:rsidR="0041720D" w:rsidRPr="00855B2A">
              <w:rPr>
                <w:rFonts w:ascii="Perpetua" w:hAnsi="Perpetua" w:cs="Leelawadee"/>
                <w:i/>
                <w:iCs/>
                <w:color w:val="0040F6"/>
                <w:sz w:val="32"/>
                <w:szCs w:val="28"/>
                <w:highlight w:val="yellow"/>
              </w:rPr>
              <w:t>bas</w:t>
            </w:r>
            <w:r w:rsidR="00307195">
              <w:rPr>
                <w:rFonts w:ascii="Perpetua" w:hAnsi="Perpetua" w:cs="Leelawadee"/>
                <w:i/>
                <w:iCs/>
                <w:color w:val="0040F6"/>
                <w:sz w:val="32"/>
                <w:szCs w:val="28"/>
                <w:highlight w:val="yellow"/>
              </w:rPr>
              <w:t>i</w:t>
            </w:r>
            <w:r w:rsidR="0041720D" w:rsidRPr="00855B2A">
              <w:rPr>
                <w:rFonts w:ascii="Perpetua" w:hAnsi="Perpetua" w:cs="Leelawadee"/>
                <w:i/>
                <w:iCs/>
                <w:color w:val="0040F6"/>
                <w:sz w:val="32"/>
                <w:szCs w:val="28"/>
                <w:highlight w:val="yellow"/>
              </w:rPr>
              <w:t>s or at the entity level.</w:t>
            </w:r>
            <w:r w:rsidR="00061D11" w:rsidRPr="00B53426">
              <w:rPr>
                <w:rFonts w:ascii="Perpetua" w:hAnsi="Perpetua" w:cs="Leelawadee"/>
                <w:color w:val="0040F6"/>
                <w:sz w:val="32"/>
                <w:szCs w:val="28"/>
              </w:rPr>
              <w:t xml:space="preserve"> </w:t>
            </w:r>
          </w:p>
        </w:tc>
        <w:tc>
          <w:tcPr>
            <w:tcW w:w="2353" w:type="dxa"/>
            <w:vAlign w:val="center"/>
          </w:tcPr>
          <w:p w14:paraId="34A3A436" w14:textId="58EF04D5" w:rsidR="00061D11" w:rsidRPr="00E14CBB" w:rsidRDefault="00061D11" w:rsidP="00061D11">
            <w:pPr>
              <w:spacing w:before="120" w:after="120" w:line="228" w:lineRule="auto"/>
              <w:rPr>
                <w:rFonts w:ascii="Perpetua" w:hAnsi="Perpetua" w:cs="Leelawadee"/>
                <w:b/>
                <w:bCs/>
                <w:color w:val="0040F6"/>
                <w:sz w:val="28"/>
              </w:rPr>
            </w:pPr>
          </w:p>
        </w:tc>
      </w:tr>
    </w:tbl>
    <w:p w14:paraId="4480BCCD" w14:textId="77777777" w:rsidR="002B6C11" w:rsidRDefault="002B6C11">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577"/>
        <w:gridCol w:w="4963"/>
      </w:tblGrid>
      <w:tr w:rsidR="00645793" w14:paraId="6636779A" w14:textId="77777777" w:rsidTr="00A22F44">
        <w:tc>
          <w:tcPr>
            <w:tcW w:w="14678" w:type="dxa"/>
            <w:gridSpan w:val="4"/>
            <w:vAlign w:val="center"/>
          </w:tcPr>
          <w:p w14:paraId="27E3B8D4" w14:textId="677747A7" w:rsidR="00645793" w:rsidRPr="00607ED2" w:rsidRDefault="00645793" w:rsidP="004E6EB3">
            <w:pPr>
              <w:spacing w:before="80" w:after="80" w:line="276" w:lineRule="auto"/>
              <w:rPr>
                <w:rFonts w:ascii="Perpetua" w:hAnsi="Perpetua" w:cs="Leelawadee"/>
                <w:b/>
                <w:bCs/>
                <w:sz w:val="32"/>
                <w:szCs w:val="28"/>
              </w:rPr>
            </w:pPr>
            <w:r w:rsidRPr="00607ED2">
              <w:rPr>
                <w:rFonts w:ascii="Perpetua" w:hAnsi="Perpetua"/>
                <w:b/>
                <w:bCs/>
                <w:sz w:val="32"/>
                <w:szCs w:val="28"/>
                <w:u w:val="single"/>
              </w:rPr>
              <w:lastRenderedPageBreak/>
              <w:t>STATUTORY SECTION #</w:t>
            </w:r>
            <w:r w:rsidR="00706B52">
              <w:rPr>
                <w:rFonts w:ascii="Perpetua" w:hAnsi="Perpetua"/>
                <w:b/>
                <w:bCs/>
                <w:sz w:val="32"/>
                <w:szCs w:val="28"/>
                <w:u w:val="single"/>
              </w:rPr>
              <w:t xml:space="preserve"> </w:t>
            </w:r>
            <w:r w:rsidR="00706B52">
              <w:rPr>
                <w:rFonts w:ascii="Perpetua" w:hAnsi="Perpetua"/>
                <w:b/>
                <w:bCs/>
                <w:sz w:val="32"/>
                <w:szCs w:val="28"/>
                <w:u w:val="single"/>
              </w:rPr>
              <w:br/>
            </w:r>
            <w:r w:rsidR="00706B52" w:rsidRPr="00706B52">
              <w:rPr>
                <w:rFonts w:ascii="Perpetua" w:hAnsi="Perpetua" w:cs="Leelawadee"/>
                <w:b/>
                <w:bCs/>
                <w:sz w:val="32"/>
                <w:szCs w:val="32"/>
              </w:rPr>
              <w:t>SOURCING OF PARTNERSHIP INCOME BY TIERED &amp; CORPORATE PARTNERS</w:t>
            </w:r>
          </w:p>
        </w:tc>
      </w:tr>
      <w:tr w:rsidR="00645793" w14:paraId="499D621E" w14:textId="77777777" w:rsidTr="00A22F44">
        <w:tc>
          <w:tcPr>
            <w:tcW w:w="14678" w:type="dxa"/>
            <w:gridSpan w:val="4"/>
            <w:vAlign w:val="center"/>
          </w:tcPr>
          <w:p w14:paraId="4F77FFCE" w14:textId="7A7DB683" w:rsidR="00645793" w:rsidRPr="00607ED2" w:rsidRDefault="00645793" w:rsidP="00B01FE7">
            <w:pPr>
              <w:spacing w:before="80" w:line="276" w:lineRule="auto"/>
              <w:rPr>
                <w:rFonts w:ascii="Perpetua" w:hAnsi="Perpetua" w:cs="Leelawadee"/>
                <w:b/>
                <w:bCs/>
                <w:sz w:val="32"/>
                <w:szCs w:val="28"/>
              </w:rPr>
            </w:pPr>
            <w:r w:rsidRPr="00607ED2">
              <w:rPr>
                <w:rFonts w:ascii="Perpetua" w:hAnsi="Perpetua"/>
                <w:b/>
                <w:bCs/>
                <w:sz w:val="32"/>
                <w:szCs w:val="28"/>
                <w:u w:val="single"/>
              </w:rPr>
              <w:t>Part I. Definitions of Terms</w:t>
            </w:r>
            <w:r w:rsidRPr="00607ED2">
              <w:rPr>
                <w:rFonts w:ascii="Perpetua" w:hAnsi="Perpetua"/>
                <w:b/>
                <w:bCs/>
                <w:sz w:val="32"/>
                <w:szCs w:val="28"/>
              </w:rPr>
              <w:t xml:space="preserve">: </w:t>
            </w:r>
          </w:p>
        </w:tc>
      </w:tr>
      <w:tr w:rsidR="0046005F" w14:paraId="224D5A32" w14:textId="77777777">
        <w:tc>
          <w:tcPr>
            <w:tcW w:w="535" w:type="dxa"/>
            <w:vAlign w:val="center"/>
          </w:tcPr>
          <w:p w14:paraId="3A6E0989" w14:textId="3D8AD0D9" w:rsidR="0046005F" w:rsidRPr="00607ED2" w:rsidRDefault="0046005F" w:rsidP="004E6EB3">
            <w:pPr>
              <w:spacing w:before="80" w:after="80" w:line="228" w:lineRule="auto"/>
              <w:rPr>
                <w:rFonts w:ascii="Perpetua" w:hAnsi="Perpetua" w:cs="Leelawadee"/>
                <w:color w:val="0040F6"/>
                <w:sz w:val="32"/>
                <w:szCs w:val="28"/>
                <w:u w:val="single"/>
              </w:rPr>
            </w:pPr>
          </w:p>
        </w:tc>
        <w:tc>
          <w:tcPr>
            <w:tcW w:w="14143" w:type="dxa"/>
            <w:gridSpan w:val="3"/>
            <w:vAlign w:val="center"/>
          </w:tcPr>
          <w:p w14:paraId="47D71BAB" w14:textId="265F2FD1" w:rsidR="0046005F" w:rsidRPr="00855B2A" w:rsidRDefault="0046005F" w:rsidP="00A12383">
            <w:pPr>
              <w:spacing w:before="80" w:after="80"/>
              <w:rPr>
                <w:rFonts w:ascii="Perpetua" w:hAnsi="Perpetua" w:cs="Leelawadee"/>
                <w:b/>
                <w:bCs/>
                <w:i/>
                <w:iCs/>
                <w:sz w:val="30"/>
                <w:szCs w:val="30"/>
              </w:rPr>
            </w:pPr>
            <w:r w:rsidRPr="00855B2A">
              <w:rPr>
                <w:rFonts w:ascii="Perpetua" w:hAnsi="Perpetua" w:cs="Leelawadee"/>
                <w:i/>
                <w:iCs/>
                <w:color w:val="0040F6"/>
                <w:sz w:val="32"/>
                <w:szCs w:val="28"/>
              </w:rPr>
              <w:t xml:space="preserve">Drafter’s Note: </w:t>
            </w:r>
            <w:r w:rsidR="000B1251">
              <w:rPr>
                <w:rFonts w:ascii="Perpetua" w:hAnsi="Perpetua" w:cs="Leelawadee"/>
                <w:i/>
                <w:iCs/>
                <w:color w:val="0040F6"/>
                <w:sz w:val="32"/>
                <w:szCs w:val="28"/>
              </w:rPr>
              <w:t>T</w:t>
            </w:r>
            <w:r w:rsidRPr="00855B2A">
              <w:rPr>
                <w:rFonts w:ascii="Perpetua" w:hAnsi="Perpetua" w:cs="Leelawadee"/>
                <w:i/>
                <w:iCs/>
                <w:color w:val="0040F6"/>
                <w:sz w:val="32"/>
                <w:szCs w:val="28"/>
              </w:rPr>
              <w:t xml:space="preserve">erms that are used to refer to partnership tax concepts can vary depending on </w:t>
            </w:r>
            <w:r w:rsidR="005A591D">
              <w:rPr>
                <w:rFonts w:ascii="Perpetua" w:hAnsi="Perpetua" w:cs="Leelawadee"/>
                <w:i/>
                <w:iCs/>
                <w:color w:val="0040F6"/>
                <w:sz w:val="32"/>
                <w:szCs w:val="28"/>
              </w:rPr>
              <w:t>the body</w:t>
            </w:r>
            <w:r w:rsidRPr="00855B2A">
              <w:rPr>
                <w:rFonts w:ascii="Perpetua" w:hAnsi="Perpetua" w:cs="Leelawadee"/>
                <w:i/>
                <w:iCs/>
                <w:color w:val="0040F6"/>
                <w:sz w:val="32"/>
                <w:szCs w:val="28"/>
              </w:rPr>
              <w:t xml:space="preserve"> of law</w:t>
            </w:r>
            <w:r w:rsidR="000B1251">
              <w:rPr>
                <w:rFonts w:ascii="Perpetua" w:hAnsi="Perpetua" w:cs="Leelawadee"/>
                <w:i/>
                <w:iCs/>
                <w:color w:val="0040F6"/>
                <w:sz w:val="32"/>
                <w:szCs w:val="28"/>
              </w:rPr>
              <w:t>—</w:t>
            </w:r>
            <w:r w:rsidRPr="00855B2A">
              <w:rPr>
                <w:rFonts w:ascii="Perpetua" w:hAnsi="Perpetua" w:cs="Leelawadee"/>
                <w:i/>
                <w:iCs/>
                <w:color w:val="0040F6"/>
                <w:sz w:val="32"/>
                <w:szCs w:val="28"/>
              </w:rPr>
              <w:t xml:space="preserve">state law governing partnerships, federal tax provisions, </w:t>
            </w:r>
            <w:r w:rsidR="000B1251">
              <w:rPr>
                <w:rFonts w:ascii="Perpetua" w:hAnsi="Perpetua" w:cs="Leelawadee"/>
                <w:i/>
                <w:iCs/>
                <w:color w:val="0040F6"/>
                <w:sz w:val="32"/>
                <w:szCs w:val="28"/>
              </w:rPr>
              <w:t>or</w:t>
            </w:r>
            <w:r w:rsidRPr="00855B2A">
              <w:rPr>
                <w:rFonts w:ascii="Perpetua" w:hAnsi="Perpetua" w:cs="Leelawadee"/>
                <w:i/>
                <w:iCs/>
                <w:color w:val="0040F6"/>
                <w:sz w:val="32"/>
                <w:szCs w:val="28"/>
              </w:rPr>
              <w:t xml:space="preserve"> state tax provisions. Differences in </w:t>
            </w:r>
            <w:r w:rsidR="006D26C8">
              <w:rPr>
                <w:rFonts w:ascii="Perpetua" w:hAnsi="Perpetua" w:cs="Leelawadee"/>
                <w:i/>
                <w:iCs/>
                <w:color w:val="0040F6"/>
                <w:sz w:val="32"/>
                <w:szCs w:val="28"/>
              </w:rPr>
              <w:t>terminology</w:t>
            </w:r>
            <w:r w:rsidRPr="00855B2A">
              <w:rPr>
                <w:rFonts w:ascii="Perpetua" w:hAnsi="Perpetua" w:cs="Leelawadee"/>
                <w:i/>
                <w:iCs/>
                <w:color w:val="0040F6"/>
                <w:sz w:val="32"/>
                <w:szCs w:val="28"/>
              </w:rPr>
              <w:t xml:space="preserve"> can create confusion and uncertainty. These draft provisions set out definitions </w:t>
            </w:r>
            <w:r w:rsidR="00432AE3">
              <w:rPr>
                <w:rFonts w:ascii="Perpetua" w:hAnsi="Perpetua" w:cs="Leelawadee"/>
                <w:i/>
                <w:iCs/>
                <w:color w:val="0040F6"/>
                <w:sz w:val="32"/>
                <w:szCs w:val="28"/>
              </w:rPr>
              <w:t>that</w:t>
            </w:r>
            <w:r w:rsidR="00432AE3" w:rsidRPr="00855B2A">
              <w:rPr>
                <w:rFonts w:ascii="Perpetua" w:hAnsi="Perpetua" w:cs="Leelawadee"/>
                <w:i/>
                <w:iCs/>
                <w:color w:val="0040F6"/>
                <w:sz w:val="32"/>
                <w:szCs w:val="28"/>
              </w:rPr>
              <w:t xml:space="preserve"> </w:t>
            </w:r>
            <w:r w:rsidRPr="00855B2A">
              <w:rPr>
                <w:rFonts w:ascii="Perpetua" w:hAnsi="Perpetua" w:cs="Leelawadee"/>
                <w:i/>
                <w:iCs/>
                <w:color w:val="0040F6"/>
                <w:sz w:val="32"/>
                <w:szCs w:val="28"/>
              </w:rPr>
              <w:t xml:space="preserve">states may need to use in their sourcing rules for partnership income. The definitions look to general state law and federal tax law </w:t>
            </w:r>
            <w:r w:rsidR="0094344F" w:rsidRPr="00855B2A">
              <w:rPr>
                <w:rFonts w:ascii="Perpetua" w:hAnsi="Perpetua" w:cs="Leelawadee"/>
                <w:i/>
                <w:iCs/>
                <w:color w:val="0040F6"/>
                <w:sz w:val="32"/>
                <w:szCs w:val="28"/>
              </w:rPr>
              <w:t>to</w:t>
            </w:r>
            <w:r w:rsidRPr="00855B2A">
              <w:rPr>
                <w:rFonts w:ascii="Perpetua" w:hAnsi="Perpetua" w:cs="Leelawadee"/>
                <w:i/>
                <w:iCs/>
                <w:color w:val="0040F6"/>
                <w:sz w:val="32"/>
                <w:szCs w:val="28"/>
              </w:rPr>
              <w:t xml:space="preserve"> achieve greater consistency. They may include terms that are not </w:t>
            </w:r>
            <w:r w:rsidR="00774C59">
              <w:rPr>
                <w:rFonts w:ascii="Perpetua" w:hAnsi="Perpetua" w:cs="Leelawadee"/>
                <w:i/>
                <w:iCs/>
                <w:color w:val="0040F6"/>
                <w:sz w:val="32"/>
                <w:szCs w:val="28"/>
              </w:rPr>
              <w:t xml:space="preserve">incorporated </w:t>
            </w:r>
            <w:r w:rsidRPr="00855B2A">
              <w:rPr>
                <w:rFonts w:ascii="Perpetua" w:hAnsi="Perpetua" w:cs="Leelawadee"/>
                <w:i/>
                <w:iCs/>
                <w:color w:val="0040F6"/>
                <w:sz w:val="32"/>
                <w:szCs w:val="28"/>
              </w:rPr>
              <w:t>in</w:t>
            </w:r>
            <w:r w:rsidR="00774C59">
              <w:rPr>
                <w:rFonts w:ascii="Perpetua" w:hAnsi="Perpetua" w:cs="Leelawadee"/>
                <w:i/>
                <w:iCs/>
                <w:color w:val="0040F6"/>
                <w:sz w:val="32"/>
                <w:szCs w:val="28"/>
              </w:rPr>
              <w:t>to</w:t>
            </w:r>
            <w:r w:rsidRPr="00855B2A">
              <w:rPr>
                <w:rFonts w:ascii="Perpetua" w:hAnsi="Perpetua" w:cs="Leelawadee"/>
                <w:i/>
                <w:iCs/>
                <w:color w:val="0040F6"/>
                <w:sz w:val="32"/>
                <w:szCs w:val="28"/>
              </w:rPr>
              <w:t xml:space="preserve"> the draft provisions below but could be used to the extent those provisions are expanded or for the purpose of drafting related regulations.</w:t>
            </w:r>
          </w:p>
        </w:tc>
      </w:tr>
      <w:tr w:rsidR="008D256F" w:rsidRPr="003B508A" w14:paraId="7991453A" w14:textId="77777777" w:rsidTr="00C0204E">
        <w:tc>
          <w:tcPr>
            <w:tcW w:w="535" w:type="dxa"/>
          </w:tcPr>
          <w:p w14:paraId="38C3EC63" w14:textId="7BB3C33D" w:rsidR="008D256F" w:rsidRPr="00607ED2" w:rsidRDefault="008D256F" w:rsidP="004E6EB3">
            <w:pPr>
              <w:spacing w:before="80" w:after="80" w:line="228" w:lineRule="auto"/>
              <w:jc w:val="both"/>
              <w:rPr>
                <w:rFonts w:ascii="Perpetua" w:hAnsi="Perpetua" w:cs="Leelawadee"/>
                <w:sz w:val="32"/>
                <w:szCs w:val="28"/>
              </w:rPr>
            </w:pPr>
            <w:r w:rsidRPr="00607ED2">
              <w:rPr>
                <w:rFonts w:ascii="Perpetua" w:hAnsi="Perpetua" w:cs="Leelawadee"/>
                <w:sz w:val="32"/>
                <w:szCs w:val="28"/>
              </w:rPr>
              <w:t>A.</w:t>
            </w:r>
          </w:p>
        </w:tc>
        <w:tc>
          <w:tcPr>
            <w:tcW w:w="9180" w:type="dxa"/>
            <w:gridSpan w:val="2"/>
          </w:tcPr>
          <w:p w14:paraId="0401E70C" w14:textId="74A9E5AD" w:rsidR="008D256F" w:rsidRPr="00607ED2" w:rsidRDefault="008D256F" w:rsidP="004E6EB3">
            <w:pPr>
              <w:spacing w:before="80" w:after="80" w:line="228" w:lineRule="auto"/>
              <w:rPr>
                <w:rFonts w:ascii="Perpetua" w:hAnsi="Perpetua" w:cs="Leelawadee"/>
                <w:sz w:val="32"/>
                <w:szCs w:val="28"/>
              </w:rPr>
            </w:pPr>
            <w:r w:rsidRPr="00607ED2">
              <w:rPr>
                <w:rFonts w:ascii="Perpetua" w:hAnsi="Perpetua"/>
                <w:sz w:val="32"/>
                <w:szCs w:val="28"/>
              </w:rPr>
              <w:t>Certain terms used in this Section are defined as follows:</w:t>
            </w:r>
          </w:p>
        </w:tc>
        <w:tc>
          <w:tcPr>
            <w:tcW w:w="4963" w:type="dxa"/>
          </w:tcPr>
          <w:p w14:paraId="58095867" w14:textId="0FB4A988" w:rsidR="008D256F" w:rsidRPr="003B508A" w:rsidRDefault="008D256F" w:rsidP="004E6EB3">
            <w:pPr>
              <w:spacing w:before="80" w:after="80" w:line="276" w:lineRule="auto"/>
              <w:rPr>
                <w:rFonts w:ascii="Tahoma" w:hAnsi="Tahoma" w:cs="Tahoma"/>
                <w:color w:val="7A18FC"/>
                <w:sz w:val="20"/>
                <w:szCs w:val="20"/>
              </w:rPr>
            </w:pPr>
          </w:p>
        </w:tc>
      </w:tr>
      <w:tr w:rsidR="008D256F" w:rsidRPr="003B508A" w14:paraId="39CB0292" w14:textId="77777777" w:rsidTr="00C0204E">
        <w:trPr>
          <w:trHeight w:val="548"/>
        </w:trPr>
        <w:tc>
          <w:tcPr>
            <w:tcW w:w="535" w:type="dxa"/>
          </w:tcPr>
          <w:p w14:paraId="690C5233" w14:textId="77777777" w:rsidR="008D256F" w:rsidRPr="00607ED2" w:rsidRDefault="008D256F" w:rsidP="004E6EB3">
            <w:pPr>
              <w:spacing w:before="80" w:after="80" w:line="228" w:lineRule="auto"/>
              <w:rPr>
                <w:rFonts w:ascii="Perpetua" w:hAnsi="Perpetua" w:cs="Leelawadee"/>
                <w:sz w:val="32"/>
                <w:szCs w:val="28"/>
              </w:rPr>
            </w:pPr>
          </w:p>
        </w:tc>
        <w:tc>
          <w:tcPr>
            <w:tcW w:w="603" w:type="dxa"/>
          </w:tcPr>
          <w:p w14:paraId="18BA6DC2" w14:textId="1EB4AE7B" w:rsidR="008D256F" w:rsidRPr="00607ED2" w:rsidRDefault="008D256F" w:rsidP="004E6EB3">
            <w:pPr>
              <w:spacing w:before="80" w:after="80" w:line="228" w:lineRule="auto"/>
              <w:rPr>
                <w:rFonts w:ascii="Perpetua" w:hAnsi="Perpetua" w:cs="Leelawadee"/>
                <w:sz w:val="32"/>
                <w:szCs w:val="28"/>
              </w:rPr>
            </w:pPr>
            <w:r w:rsidRPr="00607ED2">
              <w:rPr>
                <w:rFonts w:ascii="Perpetua" w:hAnsi="Perpetua" w:cs="Leelawadee"/>
                <w:sz w:val="32"/>
                <w:szCs w:val="28"/>
              </w:rPr>
              <w:t>1.</w:t>
            </w:r>
          </w:p>
        </w:tc>
        <w:tc>
          <w:tcPr>
            <w:tcW w:w="8577" w:type="dxa"/>
          </w:tcPr>
          <w:p w14:paraId="0EE72C1F" w14:textId="4D3FA0B7" w:rsidR="008D256F" w:rsidRPr="00607ED2" w:rsidRDefault="007C4A68" w:rsidP="004E6EB3">
            <w:pPr>
              <w:spacing w:before="80" w:after="80" w:line="228" w:lineRule="auto"/>
              <w:rPr>
                <w:rFonts w:ascii="Perpetua" w:hAnsi="Perpetua" w:cs="Leelawadee"/>
                <w:color w:val="0040F6"/>
                <w:sz w:val="32"/>
                <w:szCs w:val="28"/>
              </w:rPr>
            </w:pPr>
            <w:r w:rsidRPr="00607ED2">
              <w:rPr>
                <w:rFonts w:ascii="Perpetua" w:hAnsi="Perpetua"/>
                <w:sz w:val="32"/>
                <w:szCs w:val="28"/>
                <w:u w:val="single"/>
              </w:rPr>
              <w:t xml:space="preserve">Allocate or allocation of distributive share </w:t>
            </w:r>
            <w:r w:rsidR="001125FB" w:rsidRPr="00607ED2">
              <w:rPr>
                <w:rFonts w:ascii="Perpetua" w:hAnsi="Perpetua"/>
                <w:sz w:val="32"/>
                <w:szCs w:val="28"/>
                <w:u w:val="single"/>
              </w:rPr>
              <w:t xml:space="preserve">of </w:t>
            </w:r>
            <w:r w:rsidRPr="00607ED2">
              <w:rPr>
                <w:rFonts w:ascii="Perpetua" w:hAnsi="Perpetua"/>
                <w:sz w:val="32"/>
                <w:szCs w:val="28"/>
                <w:u w:val="single"/>
              </w:rPr>
              <w:t>income or items of income</w:t>
            </w:r>
            <w:r w:rsidRPr="00607ED2">
              <w:rPr>
                <w:rFonts w:ascii="Perpetua" w:hAnsi="Perpetua"/>
                <w:sz w:val="32"/>
                <w:szCs w:val="28"/>
              </w:rPr>
              <w:t xml:space="preserve"> – A partnership’s determination of a partner’s share of partnership income or items of income under the partnership agreement as well as under any applicable state or federal tax law. See IRC § 704.</w:t>
            </w:r>
          </w:p>
        </w:tc>
        <w:tc>
          <w:tcPr>
            <w:tcW w:w="4963" w:type="dxa"/>
            <w:tcBorders>
              <w:bottom w:val="single" w:sz="4" w:space="0" w:color="auto"/>
            </w:tcBorders>
          </w:tcPr>
          <w:p w14:paraId="55946A9E" w14:textId="77777777" w:rsidR="008D256F" w:rsidRPr="003B508A" w:rsidRDefault="008D256F" w:rsidP="004E6EB3">
            <w:pPr>
              <w:spacing w:before="80" w:after="80" w:line="276" w:lineRule="auto"/>
              <w:rPr>
                <w:rFonts w:ascii="Tahoma" w:hAnsi="Tahoma" w:cs="Tahoma"/>
                <w:color w:val="7A18FC"/>
                <w:sz w:val="22"/>
                <w:szCs w:val="22"/>
              </w:rPr>
            </w:pPr>
          </w:p>
        </w:tc>
      </w:tr>
      <w:tr w:rsidR="008D256F" w:rsidRPr="003B508A" w14:paraId="2C515AEF" w14:textId="77777777" w:rsidTr="00C0204E">
        <w:tc>
          <w:tcPr>
            <w:tcW w:w="535" w:type="dxa"/>
            <w:tcBorders>
              <w:bottom w:val="nil"/>
            </w:tcBorders>
          </w:tcPr>
          <w:p w14:paraId="66A2B174" w14:textId="77777777" w:rsidR="008D256F" w:rsidRPr="00607ED2" w:rsidRDefault="008D256F" w:rsidP="004E6EB3">
            <w:pPr>
              <w:spacing w:before="80" w:after="80" w:line="228" w:lineRule="auto"/>
              <w:rPr>
                <w:rFonts w:ascii="Perpetua" w:hAnsi="Perpetua" w:cs="Leelawadee"/>
                <w:sz w:val="32"/>
                <w:szCs w:val="28"/>
              </w:rPr>
            </w:pPr>
          </w:p>
        </w:tc>
        <w:tc>
          <w:tcPr>
            <w:tcW w:w="603" w:type="dxa"/>
            <w:tcBorders>
              <w:bottom w:val="nil"/>
            </w:tcBorders>
          </w:tcPr>
          <w:p w14:paraId="0A7EA442" w14:textId="66849148" w:rsidR="008D256F" w:rsidRPr="00607ED2" w:rsidRDefault="008D256F" w:rsidP="004E6EB3">
            <w:pPr>
              <w:spacing w:before="80" w:after="80" w:line="228" w:lineRule="auto"/>
              <w:rPr>
                <w:rFonts w:ascii="Perpetua" w:hAnsi="Perpetua" w:cs="Leelawadee"/>
                <w:sz w:val="32"/>
                <w:szCs w:val="28"/>
              </w:rPr>
            </w:pPr>
            <w:r w:rsidRPr="00607ED2">
              <w:rPr>
                <w:rFonts w:ascii="Perpetua" w:hAnsi="Perpetua" w:cs="Leelawadee"/>
                <w:sz w:val="32"/>
                <w:szCs w:val="28"/>
              </w:rPr>
              <w:t>2.</w:t>
            </w:r>
          </w:p>
        </w:tc>
        <w:tc>
          <w:tcPr>
            <w:tcW w:w="8577" w:type="dxa"/>
            <w:tcBorders>
              <w:bottom w:val="nil"/>
              <w:right w:val="single" w:sz="4" w:space="0" w:color="auto"/>
            </w:tcBorders>
          </w:tcPr>
          <w:p w14:paraId="64B2F926" w14:textId="730B066D" w:rsidR="008D256F" w:rsidRPr="008C0E6C" w:rsidRDefault="00A04CCF" w:rsidP="004E6EB3">
            <w:pPr>
              <w:spacing w:before="80" w:after="80" w:line="228" w:lineRule="auto"/>
              <w:rPr>
                <w:rFonts w:ascii="Perpetua" w:hAnsi="Perpetua"/>
                <w:sz w:val="32"/>
                <w:szCs w:val="28"/>
              </w:rPr>
            </w:pPr>
            <w:r w:rsidRPr="00C50537">
              <w:rPr>
                <w:rFonts w:ascii="Perpetua" w:hAnsi="Perpetua"/>
                <w:sz w:val="32"/>
                <w:szCs w:val="28"/>
                <w:highlight w:val="yellow"/>
                <w:u w:val="single"/>
              </w:rPr>
              <w:t>Apportionable income or items</w:t>
            </w:r>
            <w:r w:rsidRPr="00C50537">
              <w:rPr>
                <w:rFonts w:ascii="Perpetua" w:hAnsi="Perpetua"/>
                <w:sz w:val="32"/>
                <w:szCs w:val="28"/>
                <w:highlight w:val="yellow"/>
              </w:rPr>
              <w:t xml:space="preserve"> – Income or items</w:t>
            </w:r>
            <w:r w:rsidR="00C50537" w:rsidRPr="00C50537">
              <w:rPr>
                <w:rFonts w:ascii="Perpetua" w:hAnsi="Perpetua"/>
                <w:sz w:val="32"/>
                <w:szCs w:val="28"/>
                <w:highlight w:val="yellow"/>
              </w:rPr>
              <w:t>, including expenses, that are part of net</w:t>
            </w:r>
            <w:r w:rsidRPr="00C50537">
              <w:rPr>
                <w:rFonts w:ascii="Perpetua" w:hAnsi="Perpetua"/>
                <w:sz w:val="32"/>
                <w:szCs w:val="28"/>
                <w:highlight w:val="yellow"/>
              </w:rPr>
              <w:t xml:space="preserve"> income sourced using </w:t>
            </w:r>
            <w:r w:rsidR="00C50537" w:rsidRPr="00C50537">
              <w:rPr>
                <w:rFonts w:ascii="Perpetua" w:hAnsi="Perpetua"/>
                <w:sz w:val="32"/>
                <w:szCs w:val="28"/>
                <w:highlight w:val="yellow"/>
              </w:rPr>
              <w:t xml:space="preserve">an </w:t>
            </w:r>
            <w:r w:rsidRPr="00C50537">
              <w:rPr>
                <w:rFonts w:ascii="Perpetua" w:hAnsi="Perpetua"/>
                <w:sz w:val="32"/>
                <w:szCs w:val="28"/>
                <w:highlight w:val="yellow"/>
              </w:rPr>
              <w:t>apportionment formula related to that net income. See [REFERENCE(S) TO THE STATE’S STATUTORY PROVISIONS GOVERNING APPORTIONABLE OR “BUSINESS” INCOME].</w:t>
            </w:r>
          </w:p>
        </w:tc>
        <w:tc>
          <w:tcPr>
            <w:tcW w:w="4963" w:type="dxa"/>
            <w:tcBorders>
              <w:top w:val="single" w:sz="4" w:space="0" w:color="auto"/>
              <w:left w:val="single" w:sz="4" w:space="0" w:color="auto"/>
              <w:bottom w:val="single" w:sz="4" w:space="0" w:color="auto"/>
              <w:right w:val="single" w:sz="4" w:space="0" w:color="auto"/>
            </w:tcBorders>
            <w:vAlign w:val="center"/>
          </w:tcPr>
          <w:p w14:paraId="410D0A4F" w14:textId="03AB9848" w:rsidR="008D256F" w:rsidRPr="003B508A" w:rsidRDefault="00AA6920" w:rsidP="004E6EB3">
            <w:pPr>
              <w:spacing w:before="80" w:after="80" w:line="276" w:lineRule="auto"/>
              <w:rPr>
                <w:rFonts w:ascii="Tahoma" w:hAnsi="Tahoma" w:cs="Tahoma"/>
                <w:color w:val="7A18FC"/>
                <w:sz w:val="22"/>
                <w:szCs w:val="22"/>
              </w:rPr>
            </w:pPr>
            <w:r w:rsidRPr="00F64E40">
              <w:rPr>
                <w:rFonts w:ascii="Tahoma" w:hAnsi="Tahoma" w:cs="Tahoma"/>
                <w:color w:val="3A7C22" w:themeColor="accent6" w:themeShade="BF"/>
                <w:sz w:val="22"/>
                <w:szCs w:val="22"/>
              </w:rPr>
              <w:t>Re-written to clarify.</w:t>
            </w:r>
            <w:r w:rsidR="006D26F5" w:rsidRPr="00F64E40">
              <w:rPr>
                <w:rFonts w:ascii="Tahoma" w:hAnsi="Tahoma" w:cs="Tahoma"/>
                <w:color w:val="3A7C22" w:themeColor="accent6" w:themeShade="BF"/>
                <w:sz w:val="22"/>
                <w:szCs w:val="22"/>
              </w:rPr>
              <w:t xml:space="preserve"> </w:t>
            </w:r>
          </w:p>
        </w:tc>
      </w:tr>
      <w:tr w:rsidR="003211AD" w:rsidRPr="00F64E40" w14:paraId="42A38FF8" w14:textId="77777777" w:rsidTr="00C0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 w:type="dxa"/>
            <w:tcBorders>
              <w:top w:val="nil"/>
              <w:left w:val="nil"/>
              <w:bottom w:val="nil"/>
              <w:right w:val="nil"/>
            </w:tcBorders>
          </w:tcPr>
          <w:p w14:paraId="454548F7" w14:textId="77777777" w:rsidR="003211AD" w:rsidRPr="00AB3325" w:rsidRDefault="003211AD" w:rsidP="00A862F2">
            <w:pPr>
              <w:spacing w:before="80" w:after="80" w:line="228" w:lineRule="auto"/>
              <w:rPr>
                <w:rFonts w:ascii="Perpetua" w:hAnsi="Perpetua" w:cs="Leelawadee"/>
                <w:color w:val="0040F6"/>
                <w:sz w:val="32"/>
                <w:szCs w:val="28"/>
              </w:rPr>
            </w:pPr>
          </w:p>
        </w:tc>
        <w:tc>
          <w:tcPr>
            <w:tcW w:w="603" w:type="dxa"/>
            <w:tcBorders>
              <w:top w:val="nil"/>
              <w:left w:val="nil"/>
              <w:bottom w:val="nil"/>
              <w:right w:val="nil"/>
            </w:tcBorders>
          </w:tcPr>
          <w:p w14:paraId="0E0D08B8" w14:textId="2FB655E4" w:rsidR="003211AD" w:rsidRPr="00AB3325" w:rsidRDefault="00224E96" w:rsidP="00A862F2">
            <w:pPr>
              <w:spacing w:before="80" w:after="80" w:line="228" w:lineRule="auto"/>
              <w:rPr>
                <w:rFonts w:ascii="Perpetua" w:hAnsi="Perpetua" w:cs="Leelawadee"/>
                <w:sz w:val="32"/>
                <w:szCs w:val="28"/>
              </w:rPr>
            </w:pPr>
            <w:r>
              <w:rPr>
                <w:rFonts w:ascii="Perpetua" w:hAnsi="Perpetua" w:cs="Leelawadee"/>
                <w:sz w:val="32"/>
                <w:szCs w:val="28"/>
              </w:rPr>
              <w:t>3</w:t>
            </w:r>
            <w:r w:rsidR="003211AD">
              <w:rPr>
                <w:rFonts w:ascii="Perpetua" w:hAnsi="Perpetua" w:cs="Leelawadee"/>
                <w:sz w:val="32"/>
                <w:szCs w:val="28"/>
              </w:rPr>
              <w:t>.</w:t>
            </w:r>
          </w:p>
        </w:tc>
        <w:tc>
          <w:tcPr>
            <w:tcW w:w="8577" w:type="dxa"/>
            <w:tcBorders>
              <w:top w:val="nil"/>
              <w:left w:val="nil"/>
              <w:bottom w:val="nil"/>
              <w:right w:val="single" w:sz="4" w:space="0" w:color="auto"/>
            </w:tcBorders>
          </w:tcPr>
          <w:p w14:paraId="25143E48" w14:textId="77777777" w:rsidR="003211AD" w:rsidRPr="00870A29" w:rsidRDefault="003211AD" w:rsidP="00A862F2">
            <w:pPr>
              <w:spacing w:before="80" w:after="80" w:line="228" w:lineRule="auto"/>
              <w:rPr>
                <w:rFonts w:ascii="Perpetua" w:hAnsi="Perpetua"/>
                <w:sz w:val="32"/>
                <w:szCs w:val="28"/>
                <w:highlight w:val="yellow"/>
              </w:rPr>
            </w:pPr>
            <w:r w:rsidRPr="003211AD">
              <w:rPr>
                <w:rFonts w:ascii="Perpetua" w:hAnsi="Perpetua"/>
                <w:sz w:val="32"/>
                <w:szCs w:val="28"/>
                <w:highlight w:val="yellow"/>
                <w:u w:val="single"/>
              </w:rPr>
              <w:t>Apportionment formula, factors, and factor components</w:t>
            </w:r>
            <w:r w:rsidRPr="003211AD">
              <w:rPr>
                <w:rFonts w:ascii="Perpetua" w:hAnsi="Perpetua"/>
                <w:sz w:val="32"/>
                <w:szCs w:val="28"/>
                <w:highlight w:val="yellow"/>
              </w:rPr>
              <w:t xml:space="preserve"> – The formula and factors used to apportion unitary apportionable income and amounts determined, included, and sourced based on the rules in [REFERENCE TO APPLICABLE STATE APPORTIONMENT LAW DETERMINING THE APPORTIONMENT FORMULA].</w:t>
            </w:r>
          </w:p>
        </w:tc>
        <w:tc>
          <w:tcPr>
            <w:tcW w:w="4963" w:type="dxa"/>
            <w:tcBorders>
              <w:left w:val="single" w:sz="4" w:space="0" w:color="auto"/>
              <w:bottom w:val="single" w:sz="4" w:space="0" w:color="auto"/>
            </w:tcBorders>
          </w:tcPr>
          <w:p w14:paraId="14A615EB" w14:textId="0DBF147C" w:rsidR="003211AD" w:rsidRPr="00F64E40" w:rsidRDefault="003211AD" w:rsidP="00A862F2">
            <w:pPr>
              <w:spacing w:before="80" w:after="80" w:line="276" w:lineRule="auto"/>
              <w:rPr>
                <w:rFonts w:ascii="Tahoma" w:hAnsi="Tahoma" w:cs="Tahoma"/>
                <w:color w:val="3A7C22" w:themeColor="accent6" w:themeShade="BF"/>
                <w:sz w:val="22"/>
                <w:szCs w:val="22"/>
              </w:rPr>
            </w:pPr>
            <w:r>
              <w:rPr>
                <w:rFonts w:ascii="Tahoma" w:hAnsi="Tahoma" w:cs="Tahoma"/>
                <w:color w:val="3A7C22" w:themeColor="accent6" w:themeShade="BF"/>
                <w:sz w:val="22"/>
                <w:szCs w:val="22"/>
              </w:rPr>
              <w:t xml:space="preserve">Added this definition </w:t>
            </w:r>
            <w:r w:rsidR="00E051D8">
              <w:rPr>
                <w:rFonts w:ascii="Tahoma" w:hAnsi="Tahoma" w:cs="Tahoma"/>
                <w:color w:val="3A7C22" w:themeColor="accent6" w:themeShade="BF"/>
                <w:sz w:val="22"/>
                <w:szCs w:val="22"/>
              </w:rPr>
              <w:t>to make clear that the apportionment formula, factors, and factor components (amounts of sales or receipts, property, or payroll) are determined under the adopting state’s rules.</w:t>
            </w:r>
          </w:p>
        </w:tc>
      </w:tr>
    </w:tbl>
    <w:p w14:paraId="73ADB834" w14:textId="77777777" w:rsidR="00E051D8" w:rsidRDefault="00E051D8">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577"/>
        <w:gridCol w:w="4963"/>
      </w:tblGrid>
      <w:tr w:rsidR="008D256F" w:rsidRPr="003B508A" w14:paraId="73845002" w14:textId="77777777" w:rsidTr="00C0204E">
        <w:tc>
          <w:tcPr>
            <w:tcW w:w="535" w:type="dxa"/>
            <w:tcBorders>
              <w:top w:val="nil"/>
              <w:bottom w:val="nil"/>
            </w:tcBorders>
          </w:tcPr>
          <w:p w14:paraId="459A492C" w14:textId="7C2D5F4B" w:rsidR="008D256F" w:rsidRPr="00607ED2" w:rsidRDefault="008D256F" w:rsidP="004E6EB3">
            <w:pPr>
              <w:spacing w:before="80" w:after="80" w:line="228" w:lineRule="auto"/>
              <w:rPr>
                <w:rFonts w:ascii="Perpetua" w:hAnsi="Perpetua" w:cs="Leelawadee"/>
                <w:sz w:val="32"/>
                <w:szCs w:val="28"/>
              </w:rPr>
            </w:pPr>
          </w:p>
        </w:tc>
        <w:tc>
          <w:tcPr>
            <w:tcW w:w="603" w:type="dxa"/>
            <w:tcBorders>
              <w:top w:val="nil"/>
              <w:bottom w:val="nil"/>
            </w:tcBorders>
          </w:tcPr>
          <w:p w14:paraId="4AF5EFEE" w14:textId="71CE3909" w:rsidR="008D256F" w:rsidRPr="00607ED2" w:rsidRDefault="00224E96" w:rsidP="004E6EB3">
            <w:pPr>
              <w:spacing w:before="80" w:after="80" w:line="228" w:lineRule="auto"/>
              <w:rPr>
                <w:rFonts w:ascii="Perpetua" w:hAnsi="Perpetua" w:cs="Leelawadee"/>
                <w:sz w:val="32"/>
                <w:szCs w:val="28"/>
              </w:rPr>
            </w:pPr>
            <w:r>
              <w:rPr>
                <w:rFonts w:ascii="Perpetua" w:hAnsi="Perpetua" w:cs="Leelawadee"/>
                <w:sz w:val="32"/>
                <w:szCs w:val="28"/>
              </w:rPr>
              <w:t>4</w:t>
            </w:r>
            <w:r w:rsidR="008D256F" w:rsidRPr="00607ED2">
              <w:rPr>
                <w:rFonts w:ascii="Perpetua" w:hAnsi="Perpetua" w:cs="Leelawadee"/>
                <w:sz w:val="32"/>
                <w:szCs w:val="28"/>
              </w:rPr>
              <w:t>.</w:t>
            </w:r>
          </w:p>
        </w:tc>
        <w:tc>
          <w:tcPr>
            <w:tcW w:w="8577" w:type="dxa"/>
            <w:tcBorders>
              <w:top w:val="nil"/>
              <w:bottom w:val="nil"/>
              <w:right w:val="nil"/>
            </w:tcBorders>
          </w:tcPr>
          <w:p w14:paraId="3F03129B" w14:textId="56DB5357" w:rsidR="008D256F" w:rsidRDefault="00A04CCF" w:rsidP="004E6EB3">
            <w:pPr>
              <w:spacing w:before="80" w:after="80" w:line="228" w:lineRule="auto"/>
              <w:rPr>
                <w:rFonts w:ascii="Perpetua" w:hAnsi="Perpetua"/>
                <w:sz w:val="32"/>
                <w:szCs w:val="28"/>
              </w:rPr>
            </w:pPr>
            <w:r w:rsidRPr="00607ED2">
              <w:rPr>
                <w:rFonts w:ascii="Perpetua" w:hAnsi="Perpetua"/>
                <w:sz w:val="32"/>
                <w:szCs w:val="28"/>
                <w:u w:val="single"/>
              </w:rPr>
              <w:t>Attribute (verb) or attribution of income or items</w:t>
            </w:r>
            <w:r w:rsidRPr="00607ED2">
              <w:rPr>
                <w:rFonts w:ascii="Perpetua" w:hAnsi="Perpetua"/>
                <w:sz w:val="32"/>
                <w:szCs w:val="28"/>
              </w:rPr>
              <w:t xml:space="preserve"> – The way in which IRC Subchapter K and the pass-through system for partnerships which it creates assigns partnership items, </w:t>
            </w:r>
            <w:r w:rsidR="00E54C8D">
              <w:rPr>
                <w:rFonts w:ascii="Perpetua" w:hAnsi="Perpetua"/>
                <w:sz w:val="32"/>
                <w:szCs w:val="28"/>
              </w:rPr>
              <w:t xml:space="preserve">as </w:t>
            </w:r>
            <w:r w:rsidRPr="00607ED2">
              <w:rPr>
                <w:rFonts w:ascii="Perpetua" w:hAnsi="Perpetua"/>
                <w:sz w:val="32"/>
                <w:szCs w:val="28"/>
              </w:rPr>
              <w:t>determined by the partnership recognizing those items, to any direct or indirect partners who are allocated a share of those items</w:t>
            </w:r>
            <w:r w:rsidR="00547398">
              <w:rPr>
                <w:rFonts w:ascii="Perpetua" w:hAnsi="Perpetua"/>
                <w:sz w:val="32"/>
                <w:szCs w:val="28"/>
              </w:rPr>
              <w:t>, without altering their tax character</w:t>
            </w:r>
            <w:r w:rsidRPr="00607ED2">
              <w:rPr>
                <w:rFonts w:ascii="Perpetua" w:hAnsi="Perpetua"/>
                <w:sz w:val="32"/>
                <w:szCs w:val="28"/>
              </w:rPr>
              <w:t>. This includes the tax character of these items that may affect the sourcing of the items under [REFERENCE(S) TO THE STATE’S STATUTORY PROVISIONS FOR SOURCING INCOME OTHER THAN APPORTIONABLE INCOME]. See IRC §§ 702(b), 875, 897(c)(4)(B), and 958(a)(2).</w:t>
            </w:r>
          </w:p>
          <w:p w14:paraId="6D4C1199" w14:textId="48B6DD30" w:rsidR="008C0E6C" w:rsidRPr="00855B2A" w:rsidRDefault="008C0E6C" w:rsidP="00257983">
            <w:pPr>
              <w:spacing w:before="80" w:after="80"/>
              <w:rPr>
                <w:rFonts w:ascii="Perpetua" w:hAnsi="Perpetua" w:cs="Leelawadee"/>
                <w:i/>
                <w:iCs/>
                <w:color w:val="0040F6"/>
                <w:sz w:val="32"/>
                <w:szCs w:val="28"/>
              </w:rPr>
            </w:pPr>
            <w:r w:rsidRPr="00855B2A">
              <w:rPr>
                <w:rFonts w:ascii="Perpetua" w:hAnsi="Perpetua"/>
                <w:i/>
                <w:iCs/>
                <w:color w:val="0040F6"/>
                <w:sz w:val="32"/>
                <w:szCs w:val="28"/>
              </w:rPr>
              <w:t xml:space="preserve">Drafter’s Note: </w:t>
            </w:r>
            <w:r w:rsidR="001B40BF" w:rsidRPr="00855B2A">
              <w:rPr>
                <w:rFonts w:ascii="Perpetua" w:hAnsi="Perpetua"/>
                <w:i/>
                <w:iCs/>
                <w:color w:val="0040F6"/>
                <w:sz w:val="32"/>
                <w:szCs w:val="28"/>
              </w:rPr>
              <w:t>This</w:t>
            </w:r>
            <w:r w:rsidRPr="00855B2A">
              <w:rPr>
                <w:rFonts w:ascii="Perpetua" w:hAnsi="Perpetua"/>
                <w:i/>
                <w:iCs/>
                <w:color w:val="0040F6"/>
                <w:sz w:val="32"/>
                <w:szCs w:val="28"/>
              </w:rPr>
              <w:t xml:space="preserve"> provision 3 makes explicit that the tax character of items for state sourcing purposes is determined at the partnership level and attributed to the partners. See further rules under Part IV below.</w:t>
            </w:r>
          </w:p>
        </w:tc>
        <w:tc>
          <w:tcPr>
            <w:tcW w:w="4963" w:type="dxa"/>
            <w:tcBorders>
              <w:top w:val="nil"/>
              <w:left w:val="nil"/>
              <w:bottom w:val="single" w:sz="4" w:space="0" w:color="auto"/>
              <w:right w:val="nil"/>
            </w:tcBorders>
          </w:tcPr>
          <w:p w14:paraId="1A4C1312" w14:textId="77777777" w:rsidR="008D256F" w:rsidRPr="003B508A" w:rsidRDefault="008D256F" w:rsidP="004E6EB3">
            <w:pPr>
              <w:spacing w:before="80" w:after="80" w:line="276" w:lineRule="auto"/>
              <w:rPr>
                <w:rFonts w:ascii="Tahoma" w:hAnsi="Tahoma" w:cs="Tahoma"/>
                <w:color w:val="7A18FC"/>
                <w:sz w:val="22"/>
                <w:szCs w:val="22"/>
              </w:rPr>
            </w:pPr>
          </w:p>
        </w:tc>
      </w:tr>
      <w:tr w:rsidR="003211AD" w:rsidRPr="00F64E40" w14:paraId="5584695D" w14:textId="77777777" w:rsidTr="00C0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 w:type="dxa"/>
            <w:tcBorders>
              <w:top w:val="nil"/>
              <w:left w:val="nil"/>
              <w:bottom w:val="nil"/>
              <w:right w:val="nil"/>
            </w:tcBorders>
          </w:tcPr>
          <w:p w14:paraId="6D4287B7" w14:textId="77777777" w:rsidR="003211AD" w:rsidRPr="00AB3325" w:rsidRDefault="003211AD" w:rsidP="00A862F2">
            <w:pPr>
              <w:spacing w:before="80" w:after="80" w:line="228" w:lineRule="auto"/>
              <w:rPr>
                <w:rFonts w:ascii="Perpetua" w:hAnsi="Perpetua" w:cs="Leelawadee"/>
                <w:color w:val="0040F6"/>
                <w:sz w:val="32"/>
                <w:szCs w:val="28"/>
              </w:rPr>
            </w:pPr>
          </w:p>
        </w:tc>
        <w:tc>
          <w:tcPr>
            <w:tcW w:w="603" w:type="dxa"/>
            <w:tcBorders>
              <w:top w:val="nil"/>
              <w:left w:val="nil"/>
              <w:bottom w:val="nil"/>
              <w:right w:val="nil"/>
            </w:tcBorders>
          </w:tcPr>
          <w:p w14:paraId="2C5D73CA" w14:textId="155D74CB" w:rsidR="003211AD" w:rsidRPr="00AB3325" w:rsidRDefault="00224E96" w:rsidP="00A862F2">
            <w:pPr>
              <w:spacing w:before="80" w:after="80" w:line="228" w:lineRule="auto"/>
              <w:rPr>
                <w:rFonts w:ascii="Perpetua" w:hAnsi="Perpetua" w:cs="Leelawadee"/>
                <w:sz w:val="32"/>
                <w:szCs w:val="28"/>
              </w:rPr>
            </w:pPr>
            <w:r>
              <w:rPr>
                <w:rFonts w:ascii="Perpetua" w:hAnsi="Perpetua" w:cs="Leelawadee"/>
                <w:sz w:val="32"/>
                <w:szCs w:val="28"/>
              </w:rPr>
              <w:t>5</w:t>
            </w:r>
            <w:r w:rsidR="003211AD" w:rsidRPr="00AB3325">
              <w:rPr>
                <w:rFonts w:ascii="Perpetua" w:hAnsi="Perpetua" w:cs="Leelawadee"/>
                <w:sz w:val="32"/>
                <w:szCs w:val="28"/>
              </w:rPr>
              <w:t>.</w:t>
            </w:r>
          </w:p>
        </w:tc>
        <w:tc>
          <w:tcPr>
            <w:tcW w:w="8577" w:type="dxa"/>
            <w:tcBorders>
              <w:top w:val="nil"/>
              <w:left w:val="nil"/>
              <w:bottom w:val="nil"/>
              <w:right w:val="single" w:sz="4" w:space="0" w:color="auto"/>
            </w:tcBorders>
          </w:tcPr>
          <w:p w14:paraId="182FCD0C" w14:textId="77777777" w:rsidR="003211AD" w:rsidRPr="00AB3325" w:rsidRDefault="003211AD" w:rsidP="00A862F2">
            <w:pPr>
              <w:spacing w:before="80" w:after="80" w:line="228" w:lineRule="auto"/>
              <w:rPr>
                <w:rFonts w:ascii="Perpetua" w:hAnsi="Perpetua"/>
                <w:sz w:val="32"/>
                <w:szCs w:val="28"/>
                <w:highlight w:val="yellow"/>
              </w:rPr>
            </w:pPr>
            <w:r w:rsidRPr="00AB3325">
              <w:rPr>
                <w:rFonts w:ascii="Perpetua" w:hAnsi="Perpetua"/>
                <w:sz w:val="32"/>
                <w:szCs w:val="28"/>
                <w:highlight w:val="yellow"/>
                <w:u w:val="single"/>
              </w:rPr>
              <w:t>Beneficial interest holder</w:t>
            </w:r>
            <w:r w:rsidRPr="00AB3325">
              <w:rPr>
                <w:rFonts w:ascii="Perpetua" w:hAnsi="Perpetua"/>
                <w:sz w:val="32"/>
                <w:szCs w:val="28"/>
                <w:highlight w:val="yellow"/>
              </w:rPr>
              <w:t xml:space="preserve"> – </w:t>
            </w:r>
            <w:r>
              <w:rPr>
                <w:rFonts w:ascii="Perpetua" w:hAnsi="Perpetua"/>
                <w:sz w:val="32"/>
                <w:szCs w:val="28"/>
                <w:highlight w:val="yellow"/>
              </w:rPr>
              <w:t>A person with ownership rights or rights to income</w:t>
            </w:r>
            <w:r w:rsidRPr="00AB3325">
              <w:rPr>
                <w:rFonts w:ascii="Perpetua" w:hAnsi="Perpetua"/>
                <w:sz w:val="32"/>
                <w:szCs w:val="28"/>
                <w:highlight w:val="yellow"/>
              </w:rPr>
              <w:t xml:space="preserve"> </w:t>
            </w:r>
            <w:r>
              <w:rPr>
                <w:rFonts w:ascii="Perpetua" w:hAnsi="Perpetua"/>
                <w:sz w:val="32"/>
                <w:szCs w:val="28"/>
                <w:highlight w:val="yellow"/>
              </w:rPr>
              <w:t>in an “other</w:t>
            </w:r>
            <w:r w:rsidRPr="00AB3325">
              <w:rPr>
                <w:rFonts w:ascii="Perpetua" w:hAnsi="Perpetua"/>
                <w:sz w:val="32"/>
                <w:szCs w:val="28"/>
                <w:highlight w:val="yellow"/>
              </w:rPr>
              <w:t xml:space="preserve"> pass-through</w:t>
            </w:r>
            <w:r>
              <w:rPr>
                <w:rFonts w:ascii="Perpetua" w:hAnsi="Perpetua"/>
                <w:sz w:val="32"/>
                <w:szCs w:val="28"/>
                <w:highlight w:val="yellow"/>
              </w:rPr>
              <w:t xml:space="preserve"> entity”</w:t>
            </w:r>
            <w:r w:rsidRPr="00AB3325">
              <w:rPr>
                <w:rFonts w:ascii="Perpetua" w:hAnsi="Perpetua"/>
                <w:sz w:val="32"/>
                <w:szCs w:val="28"/>
                <w:highlight w:val="yellow"/>
              </w:rPr>
              <w:t>.</w:t>
            </w:r>
          </w:p>
        </w:tc>
        <w:tc>
          <w:tcPr>
            <w:tcW w:w="4963" w:type="dxa"/>
            <w:tcBorders>
              <w:top w:val="single" w:sz="4" w:space="0" w:color="auto"/>
              <w:left w:val="single" w:sz="4" w:space="0" w:color="auto"/>
            </w:tcBorders>
          </w:tcPr>
          <w:p w14:paraId="7CDA15D4" w14:textId="77777777" w:rsidR="003211AD" w:rsidRPr="00F64E40" w:rsidRDefault="003211AD" w:rsidP="00A862F2">
            <w:pPr>
              <w:spacing w:before="80" w:after="80" w:line="276" w:lineRule="auto"/>
              <w:rPr>
                <w:rFonts w:ascii="Tahoma" w:hAnsi="Tahoma" w:cs="Tahoma"/>
                <w:b/>
                <w:bCs/>
                <w:color w:val="3A7C22" w:themeColor="accent6" w:themeShade="BF"/>
                <w:sz w:val="22"/>
                <w:szCs w:val="22"/>
              </w:rPr>
            </w:pPr>
            <w:r w:rsidRPr="00F64E40">
              <w:rPr>
                <w:rFonts w:ascii="Tahoma" w:hAnsi="Tahoma" w:cs="Tahoma"/>
                <w:color w:val="3A7C22" w:themeColor="accent6" w:themeShade="BF"/>
                <w:sz w:val="22"/>
                <w:szCs w:val="22"/>
              </w:rPr>
              <w:t>This term was added to be used in the model for how income of partnerships flowing from other pass-through entities to those taxed on that income will be sourced.</w:t>
            </w:r>
          </w:p>
        </w:tc>
      </w:tr>
      <w:tr w:rsidR="008D256F" w14:paraId="43BEA86B" w14:textId="77777777" w:rsidTr="00C0204E">
        <w:tc>
          <w:tcPr>
            <w:tcW w:w="535" w:type="dxa"/>
            <w:tcBorders>
              <w:top w:val="nil"/>
            </w:tcBorders>
          </w:tcPr>
          <w:p w14:paraId="4A725655" w14:textId="77777777" w:rsidR="008D256F" w:rsidRPr="00AB3325" w:rsidRDefault="008D256F" w:rsidP="004E6EB3">
            <w:pPr>
              <w:spacing w:before="80" w:after="80" w:line="228" w:lineRule="auto"/>
              <w:rPr>
                <w:rFonts w:ascii="Perpetua" w:hAnsi="Perpetua" w:cs="Leelawadee"/>
                <w:sz w:val="32"/>
                <w:szCs w:val="28"/>
              </w:rPr>
            </w:pPr>
          </w:p>
        </w:tc>
        <w:tc>
          <w:tcPr>
            <w:tcW w:w="603" w:type="dxa"/>
            <w:tcBorders>
              <w:top w:val="nil"/>
            </w:tcBorders>
          </w:tcPr>
          <w:p w14:paraId="1F66E5E1" w14:textId="337FDACF"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6</w:t>
            </w:r>
            <w:r w:rsidR="008D256F" w:rsidRPr="00AB3325">
              <w:rPr>
                <w:rFonts w:ascii="Perpetua" w:hAnsi="Perpetua" w:cs="Leelawadee"/>
                <w:sz w:val="32"/>
                <w:szCs w:val="28"/>
              </w:rPr>
              <w:t>.</w:t>
            </w:r>
          </w:p>
        </w:tc>
        <w:tc>
          <w:tcPr>
            <w:tcW w:w="8577" w:type="dxa"/>
            <w:tcBorders>
              <w:top w:val="nil"/>
            </w:tcBorders>
          </w:tcPr>
          <w:p w14:paraId="5AE2224E" w14:textId="43B722D2" w:rsidR="008D256F" w:rsidRPr="00AB3325" w:rsidRDefault="00400B7A"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Built-in gain (loss)</w:t>
            </w:r>
            <w:r w:rsidRPr="00AB3325">
              <w:rPr>
                <w:rFonts w:ascii="Perpetua" w:hAnsi="Perpetua"/>
                <w:sz w:val="32"/>
                <w:szCs w:val="28"/>
              </w:rPr>
              <w:t xml:space="preserve"> – The amount of an asset’s fair market value as compared to its tax basis at a particular point in time—including the point at which the item is contributed </w:t>
            </w:r>
            <w:r w:rsidR="00A07973" w:rsidRPr="00AB3325">
              <w:rPr>
                <w:rFonts w:ascii="Perpetua" w:hAnsi="Perpetua"/>
                <w:sz w:val="32"/>
                <w:szCs w:val="28"/>
              </w:rPr>
              <w:t xml:space="preserve">by a partner </w:t>
            </w:r>
            <w:r w:rsidRPr="00AB3325">
              <w:rPr>
                <w:rFonts w:ascii="Perpetua" w:hAnsi="Perpetua"/>
                <w:sz w:val="32"/>
                <w:szCs w:val="28"/>
              </w:rPr>
              <w:t xml:space="preserve">to </w:t>
            </w:r>
            <w:r w:rsidR="00A07973" w:rsidRPr="00AB3325">
              <w:rPr>
                <w:rFonts w:ascii="Perpetua" w:hAnsi="Perpetua"/>
                <w:sz w:val="32"/>
                <w:szCs w:val="28"/>
              </w:rPr>
              <w:t xml:space="preserve">a partnership </w:t>
            </w:r>
            <w:r w:rsidRPr="00AB3325">
              <w:rPr>
                <w:rFonts w:ascii="Perpetua" w:hAnsi="Perpetua"/>
                <w:sz w:val="32"/>
                <w:szCs w:val="28"/>
              </w:rPr>
              <w:t>or distributed from a partnership</w:t>
            </w:r>
            <w:r w:rsidR="00A07973" w:rsidRPr="00AB3325">
              <w:rPr>
                <w:rFonts w:ascii="Perpetua" w:hAnsi="Perpetua"/>
                <w:sz w:val="32"/>
                <w:szCs w:val="28"/>
              </w:rPr>
              <w:t xml:space="preserve"> to a partner</w:t>
            </w:r>
            <w:r w:rsidRPr="00AB3325">
              <w:rPr>
                <w:rFonts w:ascii="Perpetua" w:hAnsi="Perpetua"/>
                <w:sz w:val="32"/>
                <w:szCs w:val="28"/>
              </w:rPr>
              <w:t>. See IRC § 704(c).</w:t>
            </w:r>
          </w:p>
        </w:tc>
        <w:tc>
          <w:tcPr>
            <w:tcW w:w="4963" w:type="dxa"/>
          </w:tcPr>
          <w:p w14:paraId="304AE1A1"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51F6468A" w14:textId="77777777" w:rsidTr="00C0204E">
        <w:tc>
          <w:tcPr>
            <w:tcW w:w="535" w:type="dxa"/>
          </w:tcPr>
          <w:p w14:paraId="0D190A45" w14:textId="623D88F4" w:rsidR="008D256F" w:rsidRPr="00AB3325" w:rsidRDefault="008D256F" w:rsidP="004E6EB3">
            <w:pPr>
              <w:spacing w:before="80" w:after="80" w:line="228" w:lineRule="auto"/>
              <w:rPr>
                <w:rFonts w:ascii="Perpetua" w:hAnsi="Perpetua" w:cs="Leelawadee"/>
                <w:sz w:val="32"/>
                <w:szCs w:val="28"/>
              </w:rPr>
            </w:pPr>
          </w:p>
        </w:tc>
        <w:tc>
          <w:tcPr>
            <w:tcW w:w="603" w:type="dxa"/>
          </w:tcPr>
          <w:p w14:paraId="14ABB935" w14:textId="73FF9A3C"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7</w:t>
            </w:r>
            <w:r w:rsidR="008D256F" w:rsidRPr="00AB3325">
              <w:rPr>
                <w:rFonts w:ascii="Perpetua" w:hAnsi="Perpetua" w:cs="Leelawadee"/>
                <w:sz w:val="32"/>
                <w:szCs w:val="28"/>
              </w:rPr>
              <w:t>.</w:t>
            </w:r>
          </w:p>
        </w:tc>
        <w:tc>
          <w:tcPr>
            <w:tcW w:w="8577" w:type="dxa"/>
          </w:tcPr>
          <w:p w14:paraId="0E328C89" w14:textId="405E996C" w:rsidR="008D256F" w:rsidRPr="00AB3325" w:rsidRDefault="00457035"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Contribution</w:t>
            </w:r>
            <w:r w:rsidRPr="00AB3325">
              <w:rPr>
                <w:rFonts w:ascii="Perpetua" w:hAnsi="Perpetua"/>
                <w:sz w:val="32"/>
                <w:szCs w:val="28"/>
              </w:rPr>
              <w:t xml:space="preserve"> – Cash or property transferred by a partner to a partnership in exchange for a partnership interest. See IRC § 721.</w:t>
            </w:r>
          </w:p>
        </w:tc>
        <w:tc>
          <w:tcPr>
            <w:tcW w:w="4963" w:type="dxa"/>
          </w:tcPr>
          <w:p w14:paraId="44462495"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326FE59A" w14:textId="77777777" w:rsidTr="00C0204E">
        <w:tc>
          <w:tcPr>
            <w:tcW w:w="535" w:type="dxa"/>
          </w:tcPr>
          <w:p w14:paraId="02DB634C"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357D01CD" w14:textId="6539B512"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8</w:t>
            </w:r>
            <w:r w:rsidR="008D256F" w:rsidRPr="00AB3325">
              <w:rPr>
                <w:rFonts w:ascii="Perpetua" w:hAnsi="Perpetua" w:cs="Leelawadee"/>
                <w:sz w:val="32"/>
                <w:szCs w:val="28"/>
              </w:rPr>
              <w:t>.</w:t>
            </w:r>
          </w:p>
        </w:tc>
        <w:tc>
          <w:tcPr>
            <w:tcW w:w="8577" w:type="dxa"/>
          </w:tcPr>
          <w:p w14:paraId="772B4E5E" w14:textId="4891A20A" w:rsidR="008D256F" w:rsidRPr="00AB3325" w:rsidRDefault="00BE5547"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Direct partner</w:t>
            </w:r>
            <w:r w:rsidRPr="00AB3325">
              <w:rPr>
                <w:rFonts w:ascii="Perpetua" w:hAnsi="Perpetua"/>
                <w:sz w:val="32"/>
                <w:szCs w:val="28"/>
              </w:rPr>
              <w:t xml:space="preserve"> – A partner that owns an interest in a partnership directly and not through the partner’s ownership in an upper-tier partnership.</w:t>
            </w:r>
          </w:p>
        </w:tc>
        <w:tc>
          <w:tcPr>
            <w:tcW w:w="4963" w:type="dxa"/>
          </w:tcPr>
          <w:p w14:paraId="536A5C9D" w14:textId="1602460F" w:rsidR="008D256F" w:rsidRPr="003B508A" w:rsidRDefault="008D256F" w:rsidP="004E6EB3">
            <w:pPr>
              <w:spacing w:before="80" w:after="80" w:line="276" w:lineRule="auto"/>
              <w:rPr>
                <w:rFonts w:ascii="Tahoma" w:hAnsi="Tahoma" w:cs="Tahoma"/>
                <w:color w:val="7A18FC"/>
                <w:sz w:val="22"/>
                <w:szCs w:val="22"/>
              </w:rPr>
            </w:pPr>
          </w:p>
        </w:tc>
      </w:tr>
      <w:tr w:rsidR="008D256F" w14:paraId="0267626E" w14:textId="77777777" w:rsidTr="00C0204E">
        <w:tc>
          <w:tcPr>
            <w:tcW w:w="535" w:type="dxa"/>
          </w:tcPr>
          <w:p w14:paraId="0853BD18"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0F8A0469" w14:textId="622B095C" w:rsidR="008D256F" w:rsidRPr="00AB3325" w:rsidRDefault="00224E96" w:rsidP="004E6EB3">
            <w:pPr>
              <w:spacing w:before="80" w:after="80" w:line="228" w:lineRule="auto"/>
              <w:rPr>
                <w:rFonts w:ascii="Perpetua" w:hAnsi="Perpetua" w:cs="Leelawadee"/>
                <w:sz w:val="32"/>
                <w:szCs w:val="28"/>
              </w:rPr>
            </w:pPr>
            <w:r>
              <w:rPr>
                <w:rFonts w:ascii="Perpetua" w:hAnsi="Perpetua" w:cs="Leelawadee"/>
                <w:sz w:val="32"/>
                <w:szCs w:val="28"/>
              </w:rPr>
              <w:t>9</w:t>
            </w:r>
            <w:r w:rsidR="008D256F" w:rsidRPr="00AB3325">
              <w:rPr>
                <w:rFonts w:ascii="Perpetua" w:hAnsi="Perpetua" w:cs="Leelawadee"/>
                <w:sz w:val="32"/>
                <w:szCs w:val="28"/>
              </w:rPr>
              <w:t>.</w:t>
            </w:r>
          </w:p>
        </w:tc>
        <w:tc>
          <w:tcPr>
            <w:tcW w:w="8577" w:type="dxa"/>
          </w:tcPr>
          <w:p w14:paraId="3F4FF2F0" w14:textId="700979F1" w:rsidR="008D256F" w:rsidRPr="00AB3325" w:rsidRDefault="00BE5547"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Distribution</w:t>
            </w:r>
            <w:r w:rsidRPr="00AB3325">
              <w:rPr>
                <w:rFonts w:ascii="Perpetua" w:hAnsi="Perpetua"/>
                <w:sz w:val="32"/>
                <w:szCs w:val="28"/>
              </w:rPr>
              <w:t xml:space="preserve"> – Cash or property transferred by a partnership to a partner that represent</w:t>
            </w:r>
            <w:r w:rsidR="00097333" w:rsidRPr="00AB3325">
              <w:rPr>
                <w:rFonts w:ascii="Perpetua" w:hAnsi="Perpetua"/>
                <w:sz w:val="32"/>
                <w:szCs w:val="28"/>
              </w:rPr>
              <w:t>, in whole or in part,</w:t>
            </w:r>
            <w:r w:rsidRPr="00AB3325">
              <w:rPr>
                <w:rFonts w:ascii="Perpetua" w:hAnsi="Perpetua"/>
                <w:sz w:val="32"/>
                <w:szCs w:val="28"/>
              </w:rPr>
              <w:t xml:space="preserve"> a return of the partner’s capital. See IRC § 731.</w:t>
            </w:r>
          </w:p>
        </w:tc>
        <w:tc>
          <w:tcPr>
            <w:tcW w:w="4963" w:type="dxa"/>
          </w:tcPr>
          <w:p w14:paraId="7927AEBC"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25997150" w14:textId="77777777" w:rsidTr="00C0204E">
        <w:tc>
          <w:tcPr>
            <w:tcW w:w="535" w:type="dxa"/>
          </w:tcPr>
          <w:p w14:paraId="08E8ABD3"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6114832F" w14:textId="125B8EB2" w:rsidR="008D256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10</w:t>
            </w:r>
            <w:r w:rsidR="008D256F" w:rsidRPr="00AB3325">
              <w:rPr>
                <w:rFonts w:ascii="Perpetua" w:hAnsi="Perpetua" w:cs="Leelawadee"/>
                <w:sz w:val="32"/>
                <w:szCs w:val="28"/>
              </w:rPr>
              <w:t>.</w:t>
            </w:r>
          </w:p>
        </w:tc>
        <w:tc>
          <w:tcPr>
            <w:tcW w:w="8577" w:type="dxa"/>
          </w:tcPr>
          <w:p w14:paraId="034F6C70" w14:textId="522DB563" w:rsidR="008D256F" w:rsidRPr="00AB3325" w:rsidRDefault="009F5C9B"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Distributive share or distributive share of items or income</w:t>
            </w:r>
            <w:r w:rsidRPr="00AB3325">
              <w:rPr>
                <w:rFonts w:ascii="Perpetua" w:hAnsi="Perpetua"/>
                <w:sz w:val="32"/>
                <w:szCs w:val="28"/>
              </w:rPr>
              <w:t xml:space="preserve"> – The percentage or amount of a partnership’s income (loss) or the percentage or amount of particular partnership items allocated to a partner in a given tax period. See IRC § 704.</w:t>
            </w:r>
          </w:p>
        </w:tc>
        <w:tc>
          <w:tcPr>
            <w:tcW w:w="4963" w:type="dxa"/>
          </w:tcPr>
          <w:p w14:paraId="18FFBA44" w14:textId="77777777" w:rsidR="008D256F" w:rsidRPr="003B508A" w:rsidRDefault="008D256F" w:rsidP="004E6EB3">
            <w:pPr>
              <w:spacing w:before="80" w:after="80" w:line="276" w:lineRule="auto"/>
              <w:rPr>
                <w:rFonts w:ascii="Tahoma" w:hAnsi="Tahoma" w:cs="Tahoma"/>
                <w:color w:val="7A18FC"/>
                <w:sz w:val="22"/>
                <w:szCs w:val="22"/>
              </w:rPr>
            </w:pPr>
          </w:p>
        </w:tc>
      </w:tr>
      <w:tr w:rsidR="008D256F" w14:paraId="0D396454" w14:textId="77777777" w:rsidTr="00C0204E">
        <w:tc>
          <w:tcPr>
            <w:tcW w:w="535" w:type="dxa"/>
          </w:tcPr>
          <w:p w14:paraId="0FA62C72" w14:textId="77777777" w:rsidR="008D256F" w:rsidRPr="00AB3325" w:rsidRDefault="008D256F" w:rsidP="004E6EB3">
            <w:pPr>
              <w:spacing w:before="80" w:after="80" w:line="228" w:lineRule="auto"/>
              <w:rPr>
                <w:rFonts w:ascii="Perpetua" w:hAnsi="Perpetua" w:cs="Leelawadee"/>
                <w:sz w:val="32"/>
                <w:szCs w:val="28"/>
              </w:rPr>
            </w:pPr>
          </w:p>
        </w:tc>
        <w:tc>
          <w:tcPr>
            <w:tcW w:w="603" w:type="dxa"/>
          </w:tcPr>
          <w:p w14:paraId="7503D4D9" w14:textId="52466158" w:rsidR="008D256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11</w:t>
            </w:r>
            <w:r w:rsidR="008D256F" w:rsidRPr="00AB3325">
              <w:rPr>
                <w:rFonts w:ascii="Perpetua" w:hAnsi="Perpetua" w:cs="Leelawadee"/>
                <w:sz w:val="32"/>
                <w:szCs w:val="28"/>
              </w:rPr>
              <w:t>.</w:t>
            </w:r>
          </w:p>
        </w:tc>
        <w:tc>
          <w:tcPr>
            <w:tcW w:w="8577" w:type="dxa"/>
          </w:tcPr>
          <w:p w14:paraId="18D892AE" w14:textId="76439371" w:rsidR="008D256F" w:rsidRPr="00AB3325" w:rsidRDefault="005C6FE6"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Indirect partner</w:t>
            </w:r>
            <w:r w:rsidRPr="00AB3325">
              <w:rPr>
                <w:rFonts w:ascii="Perpetua" w:hAnsi="Perpetua"/>
                <w:sz w:val="32"/>
                <w:szCs w:val="28"/>
              </w:rPr>
              <w:t xml:space="preserve"> – With respect to a particular partnership, a partner </w:t>
            </w:r>
            <w:r w:rsidR="00D222C9" w:rsidRPr="00AB3325">
              <w:rPr>
                <w:rFonts w:ascii="Perpetua" w:hAnsi="Perpetua"/>
                <w:sz w:val="32"/>
                <w:szCs w:val="28"/>
              </w:rPr>
              <w:t xml:space="preserve">that </w:t>
            </w:r>
            <w:r w:rsidRPr="00AB3325">
              <w:rPr>
                <w:rFonts w:ascii="Perpetua" w:hAnsi="Perpetua"/>
                <w:sz w:val="32"/>
                <w:szCs w:val="28"/>
              </w:rPr>
              <w:t>owns an interest in an upper-tier partnership</w:t>
            </w:r>
            <w:r w:rsidR="00DB174F">
              <w:rPr>
                <w:rFonts w:ascii="Perpetua" w:hAnsi="Perpetua"/>
                <w:sz w:val="32"/>
                <w:szCs w:val="28"/>
              </w:rPr>
              <w:t>.</w:t>
            </w:r>
          </w:p>
        </w:tc>
        <w:tc>
          <w:tcPr>
            <w:tcW w:w="4963" w:type="dxa"/>
            <w:tcBorders>
              <w:bottom w:val="single" w:sz="4" w:space="0" w:color="auto"/>
            </w:tcBorders>
          </w:tcPr>
          <w:p w14:paraId="477FCF1D" w14:textId="77777777" w:rsidR="008D256F" w:rsidRPr="003B508A" w:rsidRDefault="008D256F" w:rsidP="004E6EB3">
            <w:pPr>
              <w:spacing w:before="80" w:after="80" w:line="276" w:lineRule="auto"/>
              <w:rPr>
                <w:rFonts w:ascii="Tahoma" w:hAnsi="Tahoma" w:cs="Tahoma"/>
                <w:color w:val="7A18FC"/>
                <w:sz w:val="22"/>
                <w:szCs w:val="22"/>
              </w:rPr>
            </w:pPr>
          </w:p>
        </w:tc>
      </w:tr>
      <w:tr w:rsidR="00B231EF" w14:paraId="651107F2" w14:textId="77777777" w:rsidTr="00C0204E">
        <w:tc>
          <w:tcPr>
            <w:tcW w:w="535" w:type="dxa"/>
          </w:tcPr>
          <w:p w14:paraId="0BD5BCAB"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1B397BA" w14:textId="41E421B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2</w:t>
            </w:r>
            <w:r w:rsidRPr="00AB3325">
              <w:rPr>
                <w:rFonts w:ascii="Perpetua" w:hAnsi="Perpetua" w:cs="Leelawadee"/>
                <w:sz w:val="32"/>
                <w:szCs w:val="28"/>
              </w:rPr>
              <w:t>.</w:t>
            </w:r>
          </w:p>
        </w:tc>
        <w:tc>
          <w:tcPr>
            <w:tcW w:w="8577" w:type="dxa"/>
            <w:tcBorders>
              <w:right w:val="single" w:sz="4" w:space="0" w:color="auto"/>
            </w:tcBorders>
          </w:tcPr>
          <w:p w14:paraId="371229D7" w14:textId="1196F71B"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Lower-tier partnership</w:t>
            </w:r>
            <w:r w:rsidRPr="00AB3325">
              <w:rPr>
                <w:rFonts w:ascii="Perpetua" w:hAnsi="Perpetua"/>
                <w:sz w:val="32"/>
                <w:szCs w:val="28"/>
              </w:rPr>
              <w:t xml:space="preserve"> – A</w:t>
            </w:r>
            <w:r w:rsidR="00BD2E6E">
              <w:rPr>
                <w:rFonts w:ascii="Perpetua" w:hAnsi="Perpetua"/>
                <w:sz w:val="32"/>
                <w:szCs w:val="28"/>
              </w:rPr>
              <w:t xml:space="preserve"> reference to a</w:t>
            </w:r>
            <w:r w:rsidRPr="00AB3325">
              <w:rPr>
                <w:rFonts w:ascii="Perpetua" w:hAnsi="Perpetua"/>
                <w:sz w:val="32"/>
                <w:szCs w:val="28"/>
              </w:rPr>
              <w:t xml:space="preserve"> partnership in which another partnership </w:t>
            </w:r>
            <w:r w:rsidRPr="00AB3325">
              <w:rPr>
                <w:rFonts w:ascii="Perpetua" w:hAnsi="Perpetua"/>
                <w:sz w:val="32"/>
                <w:szCs w:val="28"/>
                <w:highlight w:val="yellow"/>
              </w:rPr>
              <w:t>or other pass-through entity</w:t>
            </w:r>
            <w:r w:rsidRPr="00AB3325">
              <w:rPr>
                <w:rFonts w:ascii="Perpetua" w:hAnsi="Perpetua"/>
                <w:sz w:val="32"/>
                <w:szCs w:val="28"/>
              </w:rPr>
              <w:t xml:space="preserve"> holds an interest. See IRC § 706(d)(3).</w:t>
            </w:r>
          </w:p>
        </w:tc>
        <w:tc>
          <w:tcPr>
            <w:tcW w:w="4963" w:type="dxa"/>
            <w:tcBorders>
              <w:top w:val="single" w:sz="4" w:space="0" w:color="auto"/>
              <w:left w:val="single" w:sz="4" w:space="0" w:color="auto"/>
              <w:bottom w:val="single" w:sz="4" w:space="0" w:color="auto"/>
              <w:right w:val="single" w:sz="4" w:space="0" w:color="auto"/>
            </w:tcBorders>
          </w:tcPr>
          <w:p w14:paraId="4EDBE5F0" w14:textId="162BB73E" w:rsidR="00B231EF" w:rsidRPr="003B508A" w:rsidRDefault="00B231EF" w:rsidP="004E6EB3">
            <w:pPr>
              <w:spacing w:before="80" w:after="80" w:line="276" w:lineRule="auto"/>
              <w:rPr>
                <w:rFonts w:ascii="Tahoma" w:hAnsi="Tahoma" w:cs="Tahoma"/>
                <w:color w:val="7A18FC"/>
                <w:sz w:val="22"/>
                <w:szCs w:val="22"/>
              </w:rPr>
            </w:pPr>
            <w:r w:rsidRPr="00F64E40">
              <w:rPr>
                <w:rFonts w:ascii="Tahoma" w:hAnsi="Tahoma" w:cs="Tahoma"/>
                <w:color w:val="3A7C22" w:themeColor="accent6" w:themeShade="BF"/>
                <w:sz w:val="22"/>
                <w:szCs w:val="22"/>
              </w:rPr>
              <w:t xml:space="preserve">The terms “other pass-through entity” and “beneficial interest holder” are added to the definitions here and included in the application of the sourcing rules. See further notes with the definitions of those terms below. </w:t>
            </w:r>
          </w:p>
        </w:tc>
      </w:tr>
      <w:tr w:rsidR="00B231EF" w14:paraId="0BB11589" w14:textId="77777777" w:rsidTr="00C0204E">
        <w:tc>
          <w:tcPr>
            <w:tcW w:w="535" w:type="dxa"/>
            <w:tcBorders>
              <w:bottom w:val="nil"/>
            </w:tcBorders>
          </w:tcPr>
          <w:p w14:paraId="6772A12B" w14:textId="77777777" w:rsidR="00B231EF" w:rsidRPr="00AB3325" w:rsidRDefault="00B231EF" w:rsidP="004E6EB3">
            <w:pPr>
              <w:spacing w:before="80" w:after="80" w:line="228" w:lineRule="auto"/>
              <w:rPr>
                <w:rFonts w:ascii="Perpetua" w:hAnsi="Perpetua" w:cs="Leelawadee"/>
                <w:sz w:val="32"/>
                <w:szCs w:val="28"/>
              </w:rPr>
            </w:pPr>
          </w:p>
        </w:tc>
        <w:tc>
          <w:tcPr>
            <w:tcW w:w="603" w:type="dxa"/>
            <w:tcBorders>
              <w:bottom w:val="nil"/>
            </w:tcBorders>
          </w:tcPr>
          <w:p w14:paraId="339DEDED" w14:textId="1C8D4C8A"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3</w:t>
            </w:r>
            <w:r w:rsidRPr="00AB3325">
              <w:rPr>
                <w:rFonts w:ascii="Perpetua" w:hAnsi="Perpetua" w:cs="Leelawadee"/>
                <w:sz w:val="32"/>
                <w:szCs w:val="28"/>
              </w:rPr>
              <w:t>.</w:t>
            </w:r>
          </w:p>
        </w:tc>
        <w:tc>
          <w:tcPr>
            <w:tcW w:w="8577" w:type="dxa"/>
            <w:tcBorders>
              <w:bottom w:val="nil"/>
              <w:right w:val="nil"/>
            </w:tcBorders>
          </w:tcPr>
          <w:p w14:paraId="1946E0DB" w14:textId="6F8FA6A4"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Non-apportionable partnership income or partnership items</w:t>
            </w:r>
            <w:r w:rsidRPr="00AB3325">
              <w:rPr>
                <w:rFonts w:ascii="Perpetua" w:hAnsi="Perpetua"/>
                <w:sz w:val="32"/>
                <w:szCs w:val="28"/>
              </w:rPr>
              <w:t xml:space="preserve"> – Partnership income or partnership items that are </w:t>
            </w:r>
            <w:r w:rsidR="00FB7CDA">
              <w:rPr>
                <w:rFonts w:ascii="Perpetua" w:hAnsi="Perpetua"/>
                <w:sz w:val="32"/>
                <w:szCs w:val="28"/>
              </w:rPr>
              <w:t xml:space="preserve">specifically </w:t>
            </w:r>
            <w:r w:rsidRPr="00AB3325">
              <w:rPr>
                <w:rFonts w:ascii="Perpetua" w:hAnsi="Perpetua"/>
                <w:sz w:val="32"/>
                <w:szCs w:val="28"/>
              </w:rPr>
              <w:t>assigned (or allocated) in whole or in part to [THIS STATE] rather than apportioned. See [REFERENCE(S) TO STATE STATUTORY PROVISIONS FOR DEFINING NON-APPORTIONABLE OR “NONBUSINESS” ITEMS OF INCOME.]</w:t>
            </w:r>
          </w:p>
        </w:tc>
        <w:tc>
          <w:tcPr>
            <w:tcW w:w="4963" w:type="dxa"/>
            <w:tcBorders>
              <w:top w:val="single" w:sz="4" w:space="0" w:color="auto"/>
              <w:left w:val="nil"/>
              <w:bottom w:val="single" w:sz="4" w:space="0" w:color="auto"/>
              <w:right w:val="nil"/>
            </w:tcBorders>
          </w:tcPr>
          <w:p w14:paraId="4F2CFB4A" w14:textId="0E451BF2" w:rsidR="00B231EF" w:rsidRPr="00B231EF" w:rsidRDefault="00B231EF" w:rsidP="004E6EB3">
            <w:pPr>
              <w:spacing w:before="80" w:after="80" w:line="276" w:lineRule="auto"/>
              <w:rPr>
                <w:rFonts w:ascii="Tahoma" w:hAnsi="Tahoma" w:cs="Tahoma"/>
                <w:color w:val="7A18FC"/>
                <w:sz w:val="22"/>
                <w:szCs w:val="22"/>
              </w:rPr>
            </w:pPr>
          </w:p>
        </w:tc>
      </w:tr>
      <w:tr w:rsidR="00592FF9" w:rsidRPr="00F64E40" w14:paraId="0262C387" w14:textId="77777777" w:rsidTr="00C0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 w:type="dxa"/>
            <w:tcBorders>
              <w:top w:val="nil"/>
              <w:left w:val="nil"/>
              <w:bottom w:val="nil"/>
              <w:right w:val="nil"/>
            </w:tcBorders>
          </w:tcPr>
          <w:p w14:paraId="530DA155" w14:textId="77777777" w:rsidR="00592FF9" w:rsidRPr="00AB3325" w:rsidRDefault="00592FF9" w:rsidP="00A862F2">
            <w:pPr>
              <w:spacing w:before="80" w:after="80" w:line="228" w:lineRule="auto"/>
              <w:rPr>
                <w:rFonts w:ascii="Perpetua" w:hAnsi="Perpetua" w:cs="Leelawadee"/>
                <w:color w:val="0040F6"/>
                <w:sz w:val="32"/>
                <w:szCs w:val="28"/>
              </w:rPr>
            </w:pPr>
          </w:p>
        </w:tc>
        <w:tc>
          <w:tcPr>
            <w:tcW w:w="603" w:type="dxa"/>
            <w:tcBorders>
              <w:top w:val="nil"/>
              <w:left w:val="nil"/>
              <w:bottom w:val="nil"/>
              <w:right w:val="nil"/>
            </w:tcBorders>
          </w:tcPr>
          <w:p w14:paraId="4CF3276C" w14:textId="55291E48" w:rsidR="00592FF9" w:rsidRPr="00AB3325" w:rsidRDefault="0042641A" w:rsidP="00A862F2">
            <w:pPr>
              <w:spacing w:before="80" w:after="80" w:line="228" w:lineRule="auto"/>
              <w:rPr>
                <w:rFonts w:ascii="Perpetua" w:hAnsi="Perpetua" w:cs="Leelawadee"/>
                <w:color w:val="0040F6"/>
                <w:sz w:val="32"/>
                <w:szCs w:val="28"/>
              </w:rPr>
            </w:pPr>
            <w:r>
              <w:rPr>
                <w:rFonts w:ascii="Perpetua" w:hAnsi="Perpetua" w:cs="Leelawadee"/>
                <w:sz w:val="32"/>
                <w:szCs w:val="28"/>
              </w:rPr>
              <w:t>14</w:t>
            </w:r>
            <w:r w:rsidR="00592FF9" w:rsidRPr="00AB3325">
              <w:rPr>
                <w:rFonts w:ascii="Perpetua" w:hAnsi="Perpetua" w:cs="Leelawadee"/>
                <w:sz w:val="32"/>
                <w:szCs w:val="28"/>
              </w:rPr>
              <w:t>.</w:t>
            </w:r>
          </w:p>
        </w:tc>
        <w:tc>
          <w:tcPr>
            <w:tcW w:w="8577" w:type="dxa"/>
            <w:tcBorders>
              <w:top w:val="nil"/>
              <w:left w:val="nil"/>
              <w:bottom w:val="nil"/>
              <w:right w:val="single" w:sz="4" w:space="0" w:color="auto"/>
            </w:tcBorders>
          </w:tcPr>
          <w:p w14:paraId="273C4981" w14:textId="77777777" w:rsidR="00592FF9" w:rsidRPr="00AB3325" w:rsidRDefault="00592FF9" w:rsidP="00A862F2">
            <w:pPr>
              <w:spacing w:before="80" w:after="80" w:line="228" w:lineRule="auto"/>
              <w:rPr>
                <w:rFonts w:ascii="Perpetua" w:hAnsi="Perpetua"/>
                <w:sz w:val="32"/>
                <w:szCs w:val="28"/>
              </w:rPr>
            </w:pPr>
            <w:r w:rsidRPr="00AB3325">
              <w:rPr>
                <w:rFonts w:ascii="Perpetua" w:hAnsi="Perpetua"/>
                <w:sz w:val="32"/>
                <w:szCs w:val="28"/>
                <w:highlight w:val="yellow"/>
                <w:u w:val="single"/>
              </w:rPr>
              <w:t>Other pass-through entity</w:t>
            </w:r>
            <w:r w:rsidRPr="00AB3325">
              <w:rPr>
                <w:rFonts w:ascii="Perpetua" w:hAnsi="Perpetua"/>
                <w:sz w:val="32"/>
                <w:szCs w:val="28"/>
                <w:highlight w:val="yellow"/>
              </w:rPr>
              <w:t xml:space="preserve"> – An </w:t>
            </w:r>
            <w:r>
              <w:rPr>
                <w:rFonts w:ascii="Perpetua" w:hAnsi="Perpetua"/>
                <w:sz w:val="32"/>
                <w:szCs w:val="28"/>
                <w:highlight w:val="yellow"/>
              </w:rPr>
              <w:t>entity whose income</w:t>
            </w:r>
            <w:r w:rsidRPr="00AB3325">
              <w:rPr>
                <w:rFonts w:ascii="Perpetua" w:hAnsi="Perpetua"/>
                <w:sz w:val="32"/>
                <w:szCs w:val="28"/>
                <w:highlight w:val="yellow"/>
              </w:rPr>
              <w:t xml:space="preserve"> is taxed on a pass-through basis </w:t>
            </w:r>
            <w:r>
              <w:rPr>
                <w:rFonts w:ascii="Perpetua" w:hAnsi="Perpetua"/>
                <w:sz w:val="32"/>
                <w:szCs w:val="28"/>
                <w:highlight w:val="yellow"/>
              </w:rPr>
              <w:t xml:space="preserve">to its direct or indirect beneficial interest holders </w:t>
            </w:r>
            <w:r w:rsidRPr="00AB3325">
              <w:rPr>
                <w:rFonts w:ascii="Perpetua" w:hAnsi="Perpetua"/>
                <w:sz w:val="32"/>
                <w:szCs w:val="28"/>
                <w:highlight w:val="yellow"/>
              </w:rPr>
              <w:t>under [State] law</w:t>
            </w:r>
            <w:r>
              <w:rPr>
                <w:rFonts w:ascii="Perpetua" w:hAnsi="Perpetua"/>
                <w:sz w:val="32"/>
                <w:szCs w:val="28"/>
                <w:highlight w:val="yellow"/>
              </w:rPr>
              <w:t xml:space="preserve"> [SEE REFERENCE TO APPLICABLE STATE LAW WHICH MAY INCLUDE </w:t>
            </w:r>
            <w:r w:rsidRPr="00AB3325">
              <w:rPr>
                <w:rFonts w:ascii="Perpetua" w:hAnsi="Perpetua"/>
                <w:sz w:val="32"/>
                <w:szCs w:val="28"/>
                <w:highlight w:val="yellow"/>
              </w:rPr>
              <w:t xml:space="preserve">IRC </w:t>
            </w:r>
            <w:r>
              <w:rPr>
                <w:rFonts w:ascii="Perpetua" w:hAnsi="Perpetua"/>
                <w:sz w:val="32"/>
                <w:szCs w:val="28"/>
                <w:highlight w:val="yellow"/>
              </w:rPr>
              <w:t>SUBCHAPTER</w:t>
            </w:r>
            <w:r w:rsidRPr="00AB3325">
              <w:rPr>
                <w:rFonts w:ascii="Perpetua" w:hAnsi="Perpetua"/>
                <w:sz w:val="32"/>
                <w:szCs w:val="28"/>
                <w:highlight w:val="yellow"/>
              </w:rPr>
              <w:t xml:space="preserve"> S </w:t>
            </w:r>
            <w:r>
              <w:rPr>
                <w:rFonts w:ascii="Perpetua" w:hAnsi="Perpetua"/>
                <w:sz w:val="32"/>
                <w:szCs w:val="28"/>
                <w:highlight w:val="yellow"/>
              </w:rPr>
              <w:t>CORPORATIONS AND CERTAIN TRUSTS]</w:t>
            </w:r>
            <w:r w:rsidRPr="00AB3325">
              <w:rPr>
                <w:rFonts w:ascii="Perpetua" w:hAnsi="Perpetua"/>
                <w:sz w:val="32"/>
                <w:szCs w:val="28"/>
                <w:highlight w:val="yellow"/>
              </w:rPr>
              <w:t>.</w:t>
            </w:r>
            <w:r w:rsidRPr="00AB3325">
              <w:rPr>
                <w:rFonts w:ascii="Perpetua" w:hAnsi="Perpetua"/>
                <w:sz w:val="32"/>
                <w:szCs w:val="28"/>
              </w:rPr>
              <w:t xml:space="preserve"> </w:t>
            </w:r>
          </w:p>
        </w:tc>
        <w:tc>
          <w:tcPr>
            <w:tcW w:w="4963" w:type="dxa"/>
            <w:tcBorders>
              <w:left w:val="single" w:sz="4" w:space="0" w:color="auto"/>
            </w:tcBorders>
          </w:tcPr>
          <w:p w14:paraId="4EDCA996" w14:textId="77777777" w:rsidR="00592FF9" w:rsidRPr="00F64E40" w:rsidRDefault="00592FF9" w:rsidP="00A862F2">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term was added to be used in the model for how income of partnerships flowing through such entities will be sourced. </w:t>
            </w:r>
            <w:r>
              <w:rPr>
                <w:rFonts w:ascii="Tahoma" w:hAnsi="Tahoma" w:cs="Tahoma"/>
                <w:color w:val="3A7C22" w:themeColor="accent6" w:themeShade="BF"/>
                <w:sz w:val="22"/>
                <w:szCs w:val="22"/>
              </w:rPr>
              <w:t>The use here does not dictate how other non-partnership income will be treated or sourced.</w:t>
            </w:r>
          </w:p>
        </w:tc>
      </w:tr>
      <w:tr w:rsidR="00B231EF" w14:paraId="05057D18" w14:textId="77777777" w:rsidTr="00C0204E">
        <w:tc>
          <w:tcPr>
            <w:tcW w:w="535" w:type="dxa"/>
            <w:tcBorders>
              <w:top w:val="nil"/>
            </w:tcBorders>
          </w:tcPr>
          <w:p w14:paraId="3DFC734F" w14:textId="6CAD4B93" w:rsidR="00B231EF" w:rsidRPr="00AB3325" w:rsidRDefault="00B231EF" w:rsidP="004E6EB3">
            <w:pPr>
              <w:spacing w:before="80" w:after="80" w:line="228" w:lineRule="auto"/>
              <w:rPr>
                <w:rFonts w:ascii="Perpetua" w:hAnsi="Perpetua" w:cs="Leelawadee"/>
                <w:sz w:val="32"/>
                <w:szCs w:val="28"/>
              </w:rPr>
            </w:pPr>
          </w:p>
        </w:tc>
        <w:tc>
          <w:tcPr>
            <w:tcW w:w="603" w:type="dxa"/>
            <w:tcBorders>
              <w:top w:val="nil"/>
            </w:tcBorders>
          </w:tcPr>
          <w:p w14:paraId="18E07957" w14:textId="7877AF4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5</w:t>
            </w:r>
            <w:r w:rsidRPr="00AB3325">
              <w:rPr>
                <w:rFonts w:ascii="Perpetua" w:hAnsi="Perpetua" w:cs="Leelawadee"/>
                <w:sz w:val="32"/>
                <w:szCs w:val="28"/>
              </w:rPr>
              <w:t>.</w:t>
            </w:r>
          </w:p>
        </w:tc>
        <w:tc>
          <w:tcPr>
            <w:tcW w:w="8577" w:type="dxa"/>
            <w:tcBorders>
              <w:top w:val="nil"/>
            </w:tcBorders>
          </w:tcPr>
          <w:p w14:paraId="4EE3379A" w14:textId="5B34F105"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w:t>
            </w:r>
            <w:r w:rsidRPr="00AB3325">
              <w:rPr>
                <w:rFonts w:ascii="Perpetua" w:hAnsi="Perpetua"/>
                <w:sz w:val="32"/>
                <w:szCs w:val="28"/>
              </w:rPr>
              <w:t xml:space="preserve"> – A person [R</w:t>
            </w:r>
            <w:r w:rsidR="00913479">
              <w:rPr>
                <w:rFonts w:ascii="Perpetua" w:hAnsi="Perpetua"/>
                <w:sz w:val="32"/>
                <w:szCs w:val="28"/>
              </w:rPr>
              <w:t>E</w:t>
            </w:r>
            <w:r w:rsidRPr="00AB3325">
              <w:rPr>
                <w:rFonts w:ascii="Perpetua" w:hAnsi="Perpetua"/>
                <w:sz w:val="32"/>
                <w:szCs w:val="28"/>
              </w:rPr>
              <w:t>FERENCE TO APPLICABLE STATE DEFINITION OF PERSON IF NECESSAR</w:t>
            </w:r>
            <w:r w:rsidR="00016042">
              <w:rPr>
                <w:rFonts w:ascii="Perpetua" w:hAnsi="Perpetua"/>
                <w:sz w:val="32"/>
                <w:szCs w:val="28"/>
              </w:rPr>
              <w:t>Y</w:t>
            </w:r>
            <w:r w:rsidRPr="00AB3325">
              <w:rPr>
                <w:rFonts w:ascii="Perpetua" w:hAnsi="Perpetua"/>
                <w:sz w:val="32"/>
                <w:szCs w:val="28"/>
              </w:rPr>
              <w:t>] treated as a partner for tax purposes under federal tax law, including IRC Subchapter K, which includes direct and indirect partners and members of LLCs. See IRC §§ 761(b) and 7701 and related regulations.</w:t>
            </w:r>
          </w:p>
        </w:tc>
        <w:tc>
          <w:tcPr>
            <w:tcW w:w="4963" w:type="dxa"/>
            <w:tcBorders>
              <w:top w:val="nil"/>
            </w:tcBorders>
          </w:tcPr>
          <w:p w14:paraId="7DD8E63C" w14:textId="77777777" w:rsidR="00B231EF" w:rsidRPr="007F22E6" w:rsidRDefault="00B231EF" w:rsidP="004E6EB3">
            <w:pPr>
              <w:spacing w:before="80" w:after="80" w:line="276" w:lineRule="auto"/>
              <w:rPr>
                <w:rFonts w:ascii="Tahoma" w:hAnsi="Tahoma" w:cs="Tahoma"/>
                <w:color w:val="7A18FC"/>
                <w:sz w:val="22"/>
                <w:szCs w:val="22"/>
              </w:rPr>
            </w:pPr>
          </w:p>
        </w:tc>
      </w:tr>
    </w:tbl>
    <w:p w14:paraId="76009FF7" w14:textId="77777777" w:rsidR="00942AF6" w:rsidRDefault="00942AF6">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456"/>
        <w:gridCol w:w="8301"/>
        <w:gridCol w:w="4783"/>
      </w:tblGrid>
      <w:tr w:rsidR="00B231EF" w14:paraId="7EF1D37D" w14:textId="77777777" w:rsidTr="000D323B">
        <w:tc>
          <w:tcPr>
            <w:tcW w:w="535" w:type="dxa"/>
          </w:tcPr>
          <w:p w14:paraId="39FC5582" w14:textId="0A1F8366" w:rsidR="00B231EF" w:rsidRPr="00AB3325" w:rsidRDefault="00B231EF" w:rsidP="004E6EB3">
            <w:pPr>
              <w:spacing w:before="80" w:after="80" w:line="228" w:lineRule="auto"/>
              <w:rPr>
                <w:rFonts w:ascii="Perpetua" w:hAnsi="Perpetua" w:cs="Leelawadee"/>
                <w:sz w:val="32"/>
                <w:szCs w:val="28"/>
              </w:rPr>
            </w:pPr>
          </w:p>
        </w:tc>
        <w:tc>
          <w:tcPr>
            <w:tcW w:w="603" w:type="dxa"/>
          </w:tcPr>
          <w:p w14:paraId="20693DDC" w14:textId="26CE2D1C"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6</w:t>
            </w:r>
            <w:r w:rsidRPr="00AB3325">
              <w:rPr>
                <w:rFonts w:ascii="Perpetua" w:hAnsi="Perpetua" w:cs="Leelawadee"/>
                <w:sz w:val="32"/>
                <w:szCs w:val="28"/>
              </w:rPr>
              <w:t>.</w:t>
            </w:r>
          </w:p>
        </w:tc>
        <w:tc>
          <w:tcPr>
            <w:tcW w:w="8757" w:type="dxa"/>
            <w:gridSpan w:val="2"/>
          </w:tcPr>
          <w:p w14:paraId="6DA491D9" w14:textId="604840F0" w:rsidR="00B231EF" w:rsidRPr="00AB3325" w:rsidRDefault="00B231EF" w:rsidP="00C0204E">
            <w:pPr>
              <w:spacing w:after="80" w:line="228" w:lineRule="auto"/>
              <w:rPr>
                <w:rFonts w:ascii="Perpetua" w:hAnsi="Perpetua" w:cs="Leelawadee"/>
                <w:color w:val="0040F6"/>
                <w:sz w:val="32"/>
                <w:szCs w:val="28"/>
              </w:rPr>
            </w:pPr>
            <w:r w:rsidRPr="00AB3325">
              <w:rPr>
                <w:rFonts w:ascii="Perpetua" w:hAnsi="Perpetua"/>
                <w:sz w:val="32"/>
                <w:szCs w:val="28"/>
                <w:u w:val="single"/>
              </w:rPr>
              <w:t>Partnership</w:t>
            </w:r>
            <w:r w:rsidRPr="00AB3325">
              <w:rPr>
                <w:rFonts w:ascii="Perpetua" w:hAnsi="Perpetua"/>
                <w:sz w:val="32"/>
                <w:szCs w:val="28"/>
              </w:rPr>
              <w:t xml:space="preserve"> – An entity treated as a partnership under federal tax law, including IRC Subchapter K [WITH ANY EXCEPTIONS FOR STATE TAX PURPOSES], which includes general partnerships, limited partnerships, limited liability companies, etc. See IRC §§ 761(a) and 7701 and related regulations.</w:t>
            </w:r>
          </w:p>
        </w:tc>
        <w:tc>
          <w:tcPr>
            <w:tcW w:w="4783" w:type="dxa"/>
          </w:tcPr>
          <w:p w14:paraId="5D7C2705" w14:textId="77777777" w:rsidR="00B231EF" w:rsidRPr="003B508A" w:rsidRDefault="00B231EF" w:rsidP="004E6EB3">
            <w:pPr>
              <w:spacing w:before="80" w:after="80" w:line="276" w:lineRule="auto"/>
              <w:rPr>
                <w:rFonts w:ascii="Tahoma" w:hAnsi="Tahoma" w:cs="Tahoma"/>
                <w:b/>
                <w:bCs/>
                <w:color w:val="7A18FC"/>
                <w:sz w:val="22"/>
                <w:szCs w:val="22"/>
              </w:rPr>
            </w:pPr>
          </w:p>
        </w:tc>
      </w:tr>
      <w:tr w:rsidR="00B231EF" w14:paraId="2DE89C74" w14:textId="77777777" w:rsidTr="000D323B">
        <w:tc>
          <w:tcPr>
            <w:tcW w:w="535" w:type="dxa"/>
          </w:tcPr>
          <w:p w14:paraId="3E8C5B3C"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994E5F7" w14:textId="3A3514D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7</w:t>
            </w:r>
            <w:r w:rsidRPr="00AB3325">
              <w:rPr>
                <w:rFonts w:ascii="Perpetua" w:hAnsi="Perpetua" w:cs="Leelawadee"/>
                <w:sz w:val="32"/>
                <w:szCs w:val="28"/>
              </w:rPr>
              <w:t>.</w:t>
            </w:r>
          </w:p>
        </w:tc>
        <w:tc>
          <w:tcPr>
            <w:tcW w:w="8757" w:type="dxa"/>
            <w:gridSpan w:val="2"/>
          </w:tcPr>
          <w:p w14:paraId="4C2740D7" w14:textId="114DE796"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agreement</w:t>
            </w:r>
            <w:r w:rsidRPr="00AB3325">
              <w:rPr>
                <w:rFonts w:ascii="Perpetua" w:hAnsi="Perpetua"/>
                <w:sz w:val="32"/>
                <w:szCs w:val="28"/>
              </w:rPr>
              <w:t xml:space="preserve"> – The agreement between the partners generally or on particular partnership matters, regardless of form, as the term is used for federal income tax purposes and consistent with state partnership law [REFERENCE TO THE STATES LAWS FOR GENERAL PARTNERSHIPS, LIMITED PARTNERSHIPS, LLC’S, ETC.]. See IRC §761(c).</w:t>
            </w:r>
          </w:p>
        </w:tc>
        <w:tc>
          <w:tcPr>
            <w:tcW w:w="4783" w:type="dxa"/>
          </w:tcPr>
          <w:p w14:paraId="18EF42F6"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B755270" w14:textId="77777777" w:rsidTr="000D323B">
        <w:tc>
          <w:tcPr>
            <w:tcW w:w="535" w:type="dxa"/>
          </w:tcPr>
          <w:p w14:paraId="56A23B61"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8CCC9D6" w14:textId="12E1BE15"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8</w:t>
            </w:r>
            <w:r w:rsidRPr="00AB3325">
              <w:rPr>
                <w:rFonts w:ascii="Perpetua" w:hAnsi="Perpetua" w:cs="Leelawadee"/>
                <w:sz w:val="32"/>
                <w:szCs w:val="28"/>
              </w:rPr>
              <w:t>.</w:t>
            </w:r>
          </w:p>
        </w:tc>
        <w:tc>
          <w:tcPr>
            <w:tcW w:w="8757" w:type="dxa"/>
            <w:gridSpan w:val="2"/>
          </w:tcPr>
          <w:p w14:paraId="5468C29A" w14:textId="4A20AEF0"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income (loss)</w:t>
            </w:r>
            <w:r w:rsidRPr="00AB3325">
              <w:rPr>
                <w:rFonts w:ascii="Perpetua" w:hAnsi="Perpetua"/>
                <w:sz w:val="32"/>
                <w:szCs w:val="28"/>
              </w:rPr>
              <w:t xml:space="preserve"> – A general reference to income (loss) determined and reported by the partnership under IRC Subchapter K. See IRC §703</w:t>
            </w:r>
            <w:r w:rsidR="00B00C2C">
              <w:rPr>
                <w:rFonts w:ascii="Perpetua" w:hAnsi="Perpetua"/>
                <w:sz w:val="32"/>
                <w:szCs w:val="28"/>
              </w:rPr>
              <w:t xml:space="preserve"> </w:t>
            </w:r>
            <w:r w:rsidR="00EC6E4F">
              <w:rPr>
                <w:rFonts w:ascii="Perpetua" w:hAnsi="Perpetua"/>
                <w:sz w:val="32"/>
                <w:szCs w:val="28"/>
              </w:rPr>
              <w:t>(</w:t>
            </w:r>
            <w:r w:rsidR="00B00C2C">
              <w:rPr>
                <w:rFonts w:ascii="Perpetua" w:hAnsi="Perpetua"/>
                <w:sz w:val="32"/>
                <w:szCs w:val="28"/>
              </w:rPr>
              <w:t xml:space="preserve">and </w:t>
            </w:r>
            <w:r w:rsidR="007F0DC7">
              <w:rPr>
                <w:rFonts w:ascii="Perpetua" w:hAnsi="Perpetua"/>
                <w:sz w:val="32"/>
                <w:szCs w:val="28"/>
              </w:rPr>
              <w:t>IRS Form 1065</w:t>
            </w:r>
            <w:r w:rsidR="00EC6E4F">
              <w:rPr>
                <w:rFonts w:ascii="Perpetua" w:hAnsi="Perpetua"/>
                <w:sz w:val="32"/>
                <w:szCs w:val="28"/>
              </w:rPr>
              <w:t>)</w:t>
            </w:r>
            <w:r w:rsidRPr="00AB3325">
              <w:rPr>
                <w:rFonts w:ascii="Perpetua" w:hAnsi="Perpetua"/>
                <w:sz w:val="32"/>
                <w:szCs w:val="28"/>
              </w:rPr>
              <w:t>.</w:t>
            </w:r>
          </w:p>
        </w:tc>
        <w:tc>
          <w:tcPr>
            <w:tcW w:w="4783" w:type="dxa"/>
          </w:tcPr>
          <w:p w14:paraId="51FE7FB0"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52BBB0B9" w14:textId="77777777" w:rsidTr="000D323B">
        <w:tc>
          <w:tcPr>
            <w:tcW w:w="535" w:type="dxa"/>
          </w:tcPr>
          <w:p w14:paraId="33DE325D" w14:textId="64878C4E" w:rsidR="00B231EF" w:rsidRPr="00AB3325" w:rsidRDefault="00B231EF" w:rsidP="004E6EB3">
            <w:pPr>
              <w:spacing w:before="80" w:after="80" w:line="228" w:lineRule="auto"/>
              <w:rPr>
                <w:rFonts w:ascii="Perpetua" w:hAnsi="Perpetua" w:cs="Leelawadee"/>
                <w:sz w:val="32"/>
                <w:szCs w:val="28"/>
              </w:rPr>
            </w:pPr>
          </w:p>
        </w:tc>
        <w:tc>
          <w:tcPr>
            <w:tcW w:w="603" w:type="dxa"/>
          </w:tcPr>
          <w:p w14:paraId="6E3EFB57" w14:textId="087E8121"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r w:rsidR="0042641A">
              <w:rPr>
                <w:rFonts w:ascii="Perpetua" w:hAnsi="Perpetua" w:cs="Leelawadee"/>
                <w:sz w:val="32"/>
                <w:szCs w:val="28"/>
              </w:rPr>
              <w:t>9</w:t>
            </w:r>
            <w:r w:rsidRPr="00AB3325">
              <w:rPr>
                <w:rFonts w:ascii="Perpetua" w:hAnsi="Perpetua" w:cs="Leelawadee"/>
                <w:sz w:val="32"/>
                <w:szCs w:val="28"/>
              </w:rPr>
              <w:t>.</w:t>
            </w:r>
          </w:p>
        </w:tc>
        <w:tc>
          <w:tcPr>
            <w:tcW w:w="8757" w:type="dxa"/>
            <w:gridSpan w:val="2"/>
          </w:tcPr>
          <w:p w14:paraId="21D39050" w14:textId="07746CF9"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item</w:t>
            </w:r>
            <w:r w:rsidRPr="00AB3325">
              <w:rPr>
                <w:rFonts w:ascii="Perpetua" w:hAnsi="Perpetua"/>
                <w:sz w:val="32"/>
                <w:szCs w:val="28"/>
              </w:rPr>
              <w:t xml:space="preserve"> – Any tax-significant result generated from a transaction, activity, or event including any item of income, expense, deduction, gain, loss, etc. that is recognized and given particular treatment under federal tax law or the tax laws of this state. See IRC §§ 702 &amp; 704 (and IRS Form 1065</w:t>
            </w:r>
            <w:r w:rsidR="00EC6E4F">
              <w:rPr>
                <w:rFonts w:ascii="Perpetua" w:hAnsi="Perpetua"/>
                <w:sz w:val="32"/>
                <w:szCs w:val="28"/>
              </w:rPr>
              <w:t>,</w:t>
            </w:r>
            <w:r w:rsidRPr="00AB3325">
              <w:rPr>
                <w:rFonts w:ascii="Perpetua" w:hAnsi="Perpetua"/>
                <w:sz w:val="32"/>
                <w:szCs w:val="28"/>
              </w:rPr>
              <w:t xml:space="preserve"> Schedule K-1).</w:t>
            </w:r>
          </w:p>
        </w:tc>
        <w:tc>
          <w:tcPr>
            <w:tcW w:w="4783" w:type="dxa"/>
          </w:tcPr>
          <w:p w14:paraId="4C54227B"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F1626A8" w14:textId="77777777" w:rsidTr="000D323B">
        <w:tc>
          <w:tcPr>
            <w:tcW w:w="535" w:type="dxa"/>
          </w:tcPr>
          <w:p w14:paraId="2BE02635" w14:textId="0EB8273E" w:rsidR="00B231EF" w:rsidRPr="00AB3325" w:rsidRDefault="00B231EF" w:rsidP="004E6EB3">
            <w:pPr>
              <w:spacing w:before="80" w:after="80" w:line="228" w:lineRule="auto"/>
              <w:rPr>
                <w:rFonts w:ascii="Perpetua" w:hAnsi="Perpetua" w:cs="Leelawadee"/>
                <w:sz w:val="32"/>
                <w:szCs w:val="28"/>
              </w:rPr>
            </w:pPr>
          </w:p>
        </w:tc>
        <w:tc>
          <w:tcPr>
            <w:tcW w:w="603" w:type="dxa"/>
          </w:tcPr>
          <w:p w14:paraId="51267D25" w14:textId="0B8A56AD" w:rsidR="00B231E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20</w:t>
            </w:r>
            <w:r w:rsidR="00B231EF" w:rsidRPr="00AB3325">
              <w:rPr>
                <w:rFonts w:ascii="Perpetua" w:hAnsi="Perpetua" w:cs="Leelawadee"/>
                <w:sz w:val="32"/>
                <w:szCs w:val="28"/>
              </w:rPr>
              <w:t>.</w:t>
            </w:r>
          </w:p>
        </w:tc>
        <w:tc>
          <w:tcPr>
            <w:tcW w:w="8757" w:type="dxa"/>
            <w:gridSpan w:val="2"/>
          </w:tcPr>
          <w:p w14:paraId="10792F81" w14:textId="48885CB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Partnership interest or partner’s ownership interest</w:t>
            </w:r>
            <w:r w:rsidRPr="00AB3325">
              <w:rPr>
                <w:rFonts w:ascii="Perpetua" w:hAnsi="Perpetua"/>
                <w:sz w:val="32"/>
                <w:szCs w:val="28"/>
              </w:rPr>
              <w:t xml:space="preserve"> – Unless the context otherwise indicates, a partner’s </w:t>
            </w:r>
            <w:r w:rsidR="00215EA4">
              <w:rPr>
                <w:rFonts w:ascii="Perpetua" w:hAnsi="Perpetua"/>
                <w:sz w:val="32"/>
                <w:szCs w:val="28"/>
              </w:rPr>
              <w:t xml:space="preserve">legal </w:t>
            </w:r>
            <w:r w:rsidRPr="00AB3325">
              <w:rPr>
                <w:rFonts w:ascii="Perpetua" w:hAnsi="Perpetua"/>
                <w:sz w:val="32"/>
                <w:szCs w:val="28"/>
              </w:rPr>
              <w:t xml:space="preserve">ownership </w:t>
            </w:r>
            <w:r w:rsidR="00215EA4">
              <w:rPr>
                <w:rFonts w:ascii="Perpetua" w:hAnsi="Perpetua"/>
                <w:sz w:val="32"/>
                <w:szCs w:val="28"/>
              </w:rPr>
              <w:t xml:space="preserve">rights </w:t>
            </w:r>
            <w:r w:rsidRPr="00AB3325">
              <w:rPr>
                <w:rFonts w:ascii="Perpetua" w:hAnsi="Perpetua"/>
                <w:sz w:val="32"/>
                <w:szCs w:val="28"/>
              </w:rPr>
              <w:t>in a partnership or value of the partner’s partnership capital. See IRC §§ 704(e) and 864(c)(8).</w:t>
            </w:r>
          </w:p>
        </w:tc>
        <w:tc>
          <w:tcPr>
            <w:tcW w:w="4783" w:type="dxa"/>
          </w:tcPr>
          <w:p w14:paraId="14201D71"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FF74D8C" w14:textId="77777777" w:rsidTr="000D323B">
        <w:tc>
          <w:tcPr>
            <w:tcW w:w="535" w:type="dxa"/>
          </w:tcPr>
          <w:p w14:paraId="393EEE22"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E425443" w14:textId="7C76F79D" w:rsidR="00B231E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21</w:t>
            </w:r>
            <w:r w:rsidR="00B231EF" w:rsidRPr="00AB3325">
              <w:rPr>
                <w:rFonts w:ascii="Perpetua" w:hAnsi="Perpetua" w:cs="Leelawadee"/>
                <w:sz w:val="32"/>
                <w:szCs w:val="28"/>
              </w:rPr>
              <w:t>.</w:t>
            </w:r>
          </w:p>
        </w:tc>
        <w:tc>
          <w:tcPr>
            <w:tcW w:w="8757" w:type="dxa"/>
            <w:gridSpan w:val="2"/>
          </w:tcPr>
          <w:p w14:paraId="5B49816E" w14:textId="0EF1A8F6"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Specifically assign and rules of assignment</w:t>
            </w:r>
            <w:r w:rsidRPr="00AB3325">
              <w:rPr>
                <w:rFonts w:ascii="Perpetua" w:hAnsi="Perpetua"/>
                <w:sz w:val="32"/>
                <w:szCs w:val="28"/>
              </w:rPr>
              <w:t xml:space="preserve"> – The method used to source or allocate income or items of income under [REFERENCE(S) TO STATE STATUTORY PROVISIONS FOR SOURCING NON-APPORTIONABLE OR “NONBUSINESS”  ITEMS OF INCOME.]</w:t>
            </w:r>
          </w:p>
        </w:tc>
        <w:tc>
          <w:tcPr>
            <w:tcW w:w="4783" w:type="dxa"/>
          </w:tcPr>
          <w:p w14:paraId="2DF7369F"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D34D0FF" w14:textId="77777777" w:rsidTr="000D323B">
        <w:tc>
          <w:tcPr>
            <w:tcW w:w="535" w:type="dxa"/>
          </w:tcPr>
          <w:p w14:paraId="7410E23B" w14:textId="1105C49D" w:rsidR="00B231EF" w:rsidRPr="00AB3325" w:rsidRDefault="00B231EF" w:rsidP="004E6EB3">
            <w:pPr>
              <w:spacing w:before="80" w:after="80" w:line="228" w:lineRule="auto"/>
              <w:rPr>
                <w:rFonts w:ascii="Perpetua" w:hAnsi="Perpetua" w:cs="Leelawadee"/>
                <w:sz w:val="32"/>
                <w:szCs w:val="28"/>
              </w:rPr>
            </w:pPr>
          </w:p>
        </w:tc>
        <w:tc>
          <w:tcPr>
            <w:tcW w:w="603" w:type="dxa"/>
          </w:tcPr>
          <w:p w14:paraId="46C3D730" w14:textId="33094B35" w:rsidR="00B231EF" w:rsidRPr="00AB3325" w:rsidRDefault="0042641A" w:rsidP="004E6EB3">
            <w:pPr>
              <w:spacing w:before="80" w:after="80" w:line="228" w:lineRule="auto"/>
              <w:rPr>
                <w:rFonts w:ascii="Perpetua" w:hAnsi="Perpetua" w:cs="Leelawadee"/>
                <w:sz w:val="32"/>
                <w:szCs w:val="28"/>
              </w:rPr>
            </w:pPr>
            <w:r>
              <w:rPr>
                <w:rFonts w:ascii="Perpetua" w:hAnsi="Perpetua" w:cs="Leelawadee"/>
                <w:sz w:val="32"/>
                <w:szCs w:val="28"/>
              </w:rPr>
              <w:t>22</w:t>
            </w:r>
            <w:r w:rsidR="00B231EF" w:rsidRPr="00AB3325">
              <w:rPr>
                <w:rFonts w:ascii="Perpetua" w:hAnsi="Perpetua" w:cs="Leelawadee"/>
                <w:sz w:val="32"/>
                <w:szCs w:val="28"/>
              </w:rPr>
              <w:t>.</w:t>
            </w:r>
          </w:p>
        </w:tc>
        <w:tc>
          <w:tcPr>
            <w:tcW w:w="8757" w:type="dxa"/>
            <w:gridSpan w:val="2"/>
          </w:tcPr>
          <w:p w14:paraId="779D5930" w14:textId="2A1F47E9"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Sufficient unitary relationship</w:t>
            </w:r>
            <w:r w:rsidRPr="00AB3325">
              <w:rPr>
                <w:rFonts w:ascii="Perpetua" w:hAnsi="Perpetua"/>
                <w:sz w:val="32"/>
                <w:szCs w:val="28"/>
              </w:rPr>
              <w:t xml:space="preserve"> – See Part VI.</w:t>
            </w:r>
          </w:p>
        </w:tc>
        <w:tc>
          <w:tcPr>
            <w:tcW w:w="4783" w:type="dxa"/>
          </w:tcPr>
          <w:p w14:paraId="6A7387FC" w14:textId="77777777" w:rsidR="00B231EF" w:rsidRPr="00BA3D94" w:rsidRDefault="00B231EF" w:rsidP="004E6EB3">
            <w:pPr>
              <w:spacing w:before="80" w:after="80" w:line="276" w:lineRule="auto"/>
              <w:rPr>
                <w:rFonts w:ascii="Tahoma" w:hAnsi="Tahoma" w:cs="Tahoma"/>
                <w:color w:val="7A18FC"/>
                <w:sz w:val="22"/>
                <w:szCs w:val="22"/>
              </w:rPr>
            </w:pPr>
          </w:p>
        </w:tc>
      </w:tr>
      <w:tr w:rsidR="00F17DF4" w:rsidRPr="003B508A" w14:paraId="1A7FD1BC" w14:textId="77777777" w:rsidTr="000D323B">
        <w:tc>
          <w:tcPr>
            <w:tcW w:w="535" w:type="dxa"/>
          </w:tcPr>
          <w:p w14:paraId="0880C8F3" w14:textId="77777777" w:rsidR="00F17DF4" w:rsidRPr="00AB3325" w:rsidRDefault="00F17DF4" w:rsidP="00A862F2">
            <w:pPr>
              <w:spacing w:before="80" w:after="80" w:line="228" w:lineRule="auto"/>
              <w:rPr>
                <w:rFonts w:ascii="Perpetua" w:hAnsi="Perpetua" w:cs="Leelawadee"/>
                <w:sz w:val="32"/>
                <w:szCs w:val="28"/>
              </w:rPr>
            </w:pPr>
          </w:p>
        </w:tc>
        <w:tc>
          <w:tcPr>
            <w:tcW w:w="603" w:type="dxa"/>
          </w:tcPr>
          <w:p w14:paraId="4FA9B485" w14:textId="6BEF4670" w:rsidR="00F17DF4" w:rsidRPr="00AB3325" w:rsidRDefault="00AB6B6F" w:rsidP="00A862F2">
            <w:pPr>
              <w:spacing w:before="80" w:after="80" w:line="228" w:lineRule="auto"/>
              <w:rPr>
                <w:rFonts w:ascii="Perpetua" w:hAnsi="Perpetua" w:cs="Leelawadee"/>
                <w:sz w:val="32"/>
                <w:szCs w:val="28"/>
              </w:rPr>
            </w:pPr>
            <w:r>
              <w:rPr>
                <w:rFonts w:ascii="Perpetua" w:hAnsi="Perpetua" w:cs="Leelawadee"/>
                <w:sz w:val="32"/>
                <w:szCs w:val="28"/>
              </w:rPr>
              <w:t>2</w:t>
            </w:r>
            <w:r w:rsidR="0042641A">
              <w:rPr>
                <w:rFonts w:ascii="Perpetua" w:hAnsi="Perpetua" w:cs="Leelawadee"/>
                <w:sz w:val="32"/>
                <w:szCs w:val="28"/>
              </w:rPr>
              <w:t>3</w:t>
            </w:r>
            <w:r w:rsidR="00F17DF4" w:rsidRPr="00AB3325">
              <w:rPr>
                <w:rFonts w:ascii="Perpetua" w:hAnsi="Perpetua" w:cs="Leelawadee"/>
                <w:sz w:val="32"/>
                <w:szCs w:val="28"/>
              </w:rPr>
              <w:t>.</w:t>
            </w:r>
          </w:p>
        </w:tc>
        <w:tc>
          <w:tcPr>
            <w:tcW w:w="8757" w:type="dxa"/>
            <w:gridSpan w:val="2"/>
          </w:tcPr>
          <w:p w14:paraId="3C7F2C88" w14:textId="77777777" w:rsidR="00F17DF4" w:rsidRPr="00AB3325" w:rsidRDefault="00F17DF4" w:rsidP="00A862F2">
            <w:pPr>
              <w:spacing w:before="80" w:after="80" w:line="228" w:lineRule="auto"/>
              <w:rPr>
                <w:rFonts w:ascii="Perpetua" w:hAnsi="Perpetua" w:cs="Leelawadee"/>
                <w:color w:val="0040F6"/>
                <w:sz w:val="32"/>
                <w:szCs w:val="28"/>
              </w:rPr>
            </w:pPr>
            <w:r w:rsidRPr="00AB3325">
              <w:rPr>
                <w:rFonts w:ascii="Perpetua" w:hAnsi="Perpetua"/>
                <w:sz w:val="32"/>
                <w:szCs w:val="28"/>
                <w:u w:val="single"/>
              </w:rPr>
              <w:t>Tax character of an item</w:t>
            </w:r>
            <w:r w:rsidRPr="00AB3325">
              <w:rPr>
                <w:rFonts w:ascii="Perpetua" w:hAnsi="Perpetua"/>
                <w:sz w:val="32"/>
                <w:szCs w:val="28"/>
              </w:rPr>
              <w:t xml:space="preserve"> – The nature and classification of items for tax purposes which may affect their income tax treatment as determined by a partnership applying general substantive federal or state tax law based on the activity giving rise to the item. See IRC §§ 702(b) and 703(a) as well as [REFERENCE(S) TO STATE RULES CONFORMING OR DECOUPLING FROM FEDERAL TREATMENT AND STATE SOURCING RULES]. The tax character of an item may include:</w:t>
            </w:r>
          </w:p>
        </w:tc>
        <w:tc>
          <w:tcPr>
            <w:tcW w:w="4783" w:type="dxa"/>
          </w:tcPr>
          <w:p w14:paraId="75DC2B8E" w14:textId="77777777" w:rsidR="00F17DF4" w:rsidRPr="003B508A" w:rsidRDefault="00F17DF4" w:rsidP="00A862F2">
            <w:pPr>
              <w:spacing w:before="80" w:after="80" w:line="276" w:lineRule="auto"/>
              <w:rPr>
                <w:rFonts w:ascii="Tahoma" w:hAnsi="Tahoma" w:cs="Tahoma"/>
                <w:color w:val="7A18FC"/>
                <w:sz w:val="22"/>
                <w:szCs w:val="22"/>
              </w:rPr>
            </w:pPr>
          </w:p>
        </w:tc>
      </w:tr>
      <w:tr w:rsidR="00F17DF4" w:rsidRPr="003B508A" w14:paraId="03CC4C63" w14:textId="77777777" w:rsidTr="000D323B">
        <w:tc>
          <w:tcPr>
            <w:tcW w:w="535" w:type="dxa"/>
          </w:tcPr>
          <w:p w14:paraId="349DE98C" w14:textId="77777777" w:rsidR="00F17DF4" w:rsidRPr="00AB3325" w:rsidRDefault="00F17DF4" w:rsidP="00C0204E">
            <w:pPr>
              <w:spacing w:before="40" w:after="40" w:line="228" w:lineRule="auto"/>
              <w:rPr>
                <w:rFonts w:ascii="Perpetua" w:hAnsi="Perpetua" w:cs="Leelawadee"/>
                <w:sz w:val="32"/>
                <w:szCs w:val="28"/>
              </w:rPr>
            </w:pPr>
          </w:p>
        </w:tc>
        <w:tc>
          <w:tcPr>
            <w:tcW w:w="603" w:type="dxa"/>
          </w:tcPr>
          <w:p w14:paraId="291567F1" w14:textId="77777777" w:rsidR="00F17DF4" w:rsidRPr="00AB3325" w:rsidRDefault="00F17DF4" w:rsidP="00C0204E">
            <w:pPr>
              <w:spacing w:before="40" w:after="40" w:line="228" w:lineRule="auto"/>
              <w:rPr>
                <w:rFonts w:ascii="Perpetua" w:hAnsi="Perpetua" w:cs="Leelawadee"/>
                <w:sz w:val="32"/>
                <w:szCs w:val="28"/>
              </w:rPr>
            </w:pPr>
          </w:p>
        </w:tc>
        <w:tc>
          <w:tcPr>
            <w:tcW w:w="456" w:type="dxa"/>
          </w:tcPr>
          <w:p w14:paraId="3541585A" w14:textId="77777777" w:rsidR="00F17DF4" w:rsidRPr="00AB3325" w:rsidRDefault="00F17DF4" w:rsidP="00C0204E">
            <w:pPr>
              <w:spacing w:before="40" w:after="40" w:line="228" w:lineRule="auto"/>
              <w:rPr>
                <w:rFonts w:ascii="Perpetua" w:hAnsi="Perpetua"/>
                <w:sz w:val="32"/>
                <w:szCs w:val="28"/>
              </w:rPr>
            </w:pPr>
            <w:r w:rsidRPr="00AB3325">
              <w:rPr>
                <w:rFonts w:ascii="Perpetua" w:hAnsi="Perpetua"/>
                <w:sz w:val="32"/>
                <w:szCs w:val="28"/>
              </w:rPr>
              <w:t>a.</w:t>
            </w:r>
          </w:p>
        </w:tc>
        <w:tc>
          <w:tcPr>
            <w:tcW w:w="8301" w:type="dxa"/>
          </w:tcPr>
          <w:p w14:paraId="26E73955" w14:textId="77777777" w:rsidR="00F17DF4" w:rsidRPr="00AB3325" w:rsidRDefault="00F17DF4" w:rsidP="00C0204E">
            <w:pPr>
              <w:spacing w:before="40" w:after="40" w:line="228" w:lineRule="auto"/>
              <w:rPr>
                <w:rFonts w:ascii="Perpetua" w:hAnsi="Perpetua"/>
                <w:sz w:val="32"/>
                <w:szCs w:val="28"/>
                <w:u w:val="single"/>
              </w:rPr>
            </w:pPr>
            <w:r>
              <w:rPr>
                <w:rFonts w:ascii="Perpetua" w:hAnsi="Perpetua"/>
                <w:sz w:val="32"/>
                <w:szCs w:val="28"/>
              </w:rPr>
              <w:t>The nature</w:t>
            </w:r>
            <w:r w:rsidRPr="00AB3325">
              <w:rPr>
                <w:rFonts w:ascii="Perpetua" w:hAnsi="Perpetua"/>
                <w:sz w:val="32"/>
                <w:szCs w:val="28"/>
              </w:rPr>
              <w:t xml:space="preserve"> of receipts or expense – such as interest, royalties, dividends, gains (losses), etc.;</w:t>
            </w:r>
          </w:p>
        </w:tc>
        <w:tc>
          <w:tcPr>
            <w:tcW w:w="4783" w:type="dxa"/>
          </w:tcPr>
          <w:p w14:paraId="0F8F340B" w14:textId="77777777" w:rsidR="00F17DF4" w:rsidRPr="003B508A" w:rsidRDefault="00F17DF4" w:rsidP="00C0204E">
            <w:pPr>
              <w:spacing w:before="40" w:after="40" w:line="276" w:lineRule="auto"/>
              <w:rPr>
                <w:rFonts w:ascii="Tahoma" w:hAnsi="Tahoma" w:cs="Tahoma"/>
                <w:color w:val="7A18FC"/>
                <w:sz w:val="22"/>
                <w:szCs w:val="22"/>
              </w:rPr>
            </w:pPr>
          </w:p>
        </w:tc>
      </w:tr>
      <w:tr w:rsidR="00F17DF4" w:rsidRPr="003B508A" w14:paraId="05B5B7CE" w14:textId="77777777" w:rsidTr="000D323B">
        <w:tc>
          <w:tcPr>
            <w:tcW w:w="535" w:type="dxa"/>
          </w:tcPr>
          <w:p w14:paraId="4F9B22E4" w14:textId="77777777" w:rsidR="00F17DF4" w:rsidRPr="00AB3325" w:rsidRDefault="00F17DF4" w:rsidP="00C0204E">
            <w:pPr>
              <w:spacing w:before="40" w:after="40" w:line="228" w:lineRule="auto"/>
              <w:rPr>
                <w:rFonts w:ascii="Perpetua" w:hAnsi="Perpetua" w:cs="Leelawadee"/>
                <w:sz w:val="32"/>
                <w:szCs w:val="28"/>
              </w:rPr>
            </w:pPr>
          </w:p>
        </w:tc>
        <w:tc>
          <w:tcPr>
            <w:tcW w:w="603" w:type="dxa"/>
          </w:tcPr>
          <w:p w14:paraId="0D967620" w14:textId="77777777" w:rsidR="00F17DF4" w:rsidRPr="00AB3325" w:rsidRDefault="00F17DF4" w:rsidP="00C0204E">
            <w:pPr>
              <w:spacing w:before="40" w:after="40" w:line="228" w:lineRule="auto"/>
              <w:rPr>
                <w:rFonts w:ascii="Perpetua" w:hAnsi="Perpetua" w:cs="Leelawadee"/>
                <w:sz w:val="32"/>
                <w:szCs w:val="28"/>
              </w:rPr>
            </w:pPr>
          </w:p>
        </w:tc>
        <w:tc>
          <w:tcPr>
            <w:tcW w:w="456" w:type="dxa"/>
          </w:tcPr>
          <w:p w14:paraId="603E4F50" w14:textId="77777777" w:rsidR="00F17DF4" w:rsidRPr="00AB3325" w:rsidRDefault="00F17DF4" w:rsidP="00C0204E">
            <w:pPr>
              <w:spacing w:before="40" w:after="40" w:line="228" w:lineRule="auto"/>
              <w:rPr>
                <w:rFonts w:ascii="Perpetua" w:hAnsi="Perpetua"/>
                <w:sz w:val="32"/>
                <w:szCs w:val="28"/>
              </w:rPr>
            </w:pPr>
            <w:r w:rsidRPr="00AB3325">
              <w:rPr>
                <w:rFonts w:ascii="Perpetua" w:hAnsi="Perpetua"/>
                <w:sz w:val="32"/>
                <w:szCs w:val="28"/>
              </w:rPr>
              <w:t>b.</w:t>
            </w:r>
          </w:p>
        </w:tc>
        <w:tc>
          <w:tcPr>
            <w:tcW w:w="8301" w:type="dxa"/>
          </w:tcPr>
          <w:p w14:paraId="517597EA" w14:textId="77777777" w:rsidR="00F17DF4" w:rsidRPr="00AB3325" w:rsidRDefault="00F17DF4" w:rsidP="00C0204E">
            <w:pPr>
              <w:spacing w:before="40" w:after="40" w:line="228" w:lineRule="auto"/>
              <w:rPr>
                <w:rFonts w:ascii="Perpetua" w:hAnsi="Perpetua"/>
                <w:sz w:val="32"/>
                <w:szCs w:val="28"/>
                <w:u w:val="single"/>
              </w:rPr>
            </w:pPr>
            <w:r w:rsidRPr="00AB3325">
              <w:rPr>
                <w:rFonts w:ascii="Perpetua" w:hAnsi="Perpetua"/>
                <w:sz w:val="32"/>
                <w:szCs w:val="28"/>
              </w:rPr>
              <w:t>The type of transaction or activity giving rise to the income or expense – such as sales or purchases of property, leases of property, sales or purchases of services, depreciation of assets, borrowing of funds, etc.; and</w:t>
            </w:r>
          </w:p>
        </w:tc>
        <w:tc>
          <w:tcPr>
            <w:tcW w:w="4783" w:type="dxa"/>
          </w:tcPr>
          <w:p w14:paraId="2751BC68" w14:textId="77777777" w:rsidR="00F17DF4" w:rsidRPr="003B508A" w:rsidRDefault="00F17DF4" w:rsidP="00C0204E">
            <w:pPr>
              <w:spacing w:before="40" w:after="40" w:line="276" w:lineRule="auto"/>
              <w:rPr>
                <w:rFonts w:ascii="Tahoma" w:hAnsi="Tahoma" w:cs="Tahoma"/>
                <w:color w:val="7A18FC"/>
                <w:sz w:val="22"/>
                <w:szCs w:val="22"/>
              </w:rPr>
            </w:pPr>
          </w:p>
        </w:tc>
      </w:tr>
      <w:tr w:rsidR="00F17DF4" w:rsidRPr="003B508A" w14:paraId="0B7C42E6" w14:textId="77777777" w:rsidTr="000D323B">
        <w:tc>
          <w:tcPr>
            <w:tcW w:w="535" w:type="dxa"/>
          </w:tcPr>
          <w:p w14:paraId="2758FB08" w14:textId="77777777" w:rsidR="00F17DF4" w:rsidRPr="00AB3325" w:rsidRDefault="00F17DF4" w:rsidP="00C0204E">
            <w:pPr>
              <w:spacing w:before="40" w:after="40" w:line="228" w:lineRule="auto"/>
              <w:rPr>
                <w:rFonts w:ascii="Perpetua" w:hAnsi="Perpetua" w:cs="Leelawadee"/>
                <w:sz w:val="32"/>
                <w:szCs w:val="28"/>
              </w:rPr>
            </w:pPr>
          </w:p>
        </w:tc>
        <w:tc>
          <w:tcPr>
            <w:tcW w:w="603" w:type="dxa"/>
          </w:tcPr>
          <w:p w14:paraId="1BA3274B" w14:textId="77777777" w:rsidR="00F17DF4" w:rsidRPr="00AB3325" w:rsidRDefault="00F17DF4" w:rsidP="00C0204E">
            <w:pPr>
              <w:spacing w:before="40" w:after="40" w:line="228" w:lineRule="auto"/>
              <w:rPr>
                <w:rFonts w:ascii="Perpetua" w:hAnsi="Perpetua" w:cs="Leelawadee"/>
                <w:sz w:val="32"/>
                <w:szCs w:val="28"/>
              </w:rPr>
            </w:pPr>
          </w:p>
        </w:tc>
        <w:tc>
          <w:tcPr>
            <w:tcW w:w="456" w:type="dxa"/>
          </w:tcPr>
          <w:p w14:paraId="5D27235D" w14:textId="77777777" w:rsidR="00F17DF4" w:rsidRPr="00AB3325" w:rsidRDefault="00F17DF4" w:rsidP="00C0204E">
            <w:pPr>
              <w:spacing w:before="40" w:after="40" w:line="228" w:lineRule="auto"/>
              <w:rPr>
                <w:rFonts w:ascii="Perpetua" w:hAnsi="Perpetua"/>
                <w:sz w:val="32"/>
                <w:szCs w:val="28"/>
              </w:rPr>
            </w:pPr>
            <w:r w:rsidRPr="00AB3325">
              <w:rPr>
                <w:rFonts w:ascii="Perpetua" w:hAnsi="Perpetua"/>
                <w:sz w:val="32"/>
                <w:szCs w:val="28"/>
              </w:rPr>
              <w:t>c.</w:t>
            </w:r>
          </w:p>
        </w:tc>
        <w:tc>
          <w:tcPr>
            <w:tcW w:w="8301" w:type="dxa"/>
          </w:tcPr>
          <w:p w14:paraId="41848CB0" w14:textId="77777777" w:rsidR="00F17DF4" w:rsidRPr="00AB3325" w:rsidRDefault="00F17DF4" w:rsidP="00C0204E">
            <w:pPr>
              <w:spacing w:before="40" w:after="40" w:line="228" w:lineRule="auto"/>
              <w:rPr>
                <w:rFonts w:ascii="Perpetua" w:hAnsi="Perpetua"/>
                <w:sz w:val="32"/>
                <w:szCs w:val="28"/>
                <w:u w:val="single"/>
              </w:rPr>
            </w:pPr>
            <w:r w:rsidRPr="00AB3325">
              <w:rPr>
                <w:rFonts w:ascii="Perpetua" w:hAnsi="Perpetua"/>
                <w:sz w:val="32"/>
                <w:szCs w:val="28"/>
              </w:rPr>
              <w:t>The assets affected by the transaction or activity – such as real property, tangible or intangible property, inventory, etc.</w:t>
            </w:r>
          </w:p>
        </w:tc>
        <w:tc>
          <w:tcPr>
            <w:tcW w:w="4783" w:type="dxa"/>
          </w:tcPr>
          <w:p w14:paraId="151616FA" w14:textId="77777777" w:rsidR="00F17DF4" w:rsidRPr="003B508A" w:rsidRDefault="00F17DF4" w:rsidP="00C0204E">
            <w:pPr>
              <w:spacing w:before="40" w:after="40" w:line="276" w:lineRule="auto"/>
              <w:rPr>
                <w:rFonts w:ascii="Tahoma" w:hAnsi="Tahoma" w:cs="Tahoma"/>
                <w:color w:val="7A18FC"/>
                <w:sz w:val="22"/>
                <w:szCs w:val="22"/>
              </w:rPr>
            </w:pPr>
          </w:p>
        </w:tc>
      </w:tr>
      <w:tr w:rsidR="00B231EF" w14:paraId="1C0795B2" w14:textId="77777777" w:rsidTr="000D323B">
        <w:tc>
          <w:tcPr>
            <w:tcW w:w="535" w:type="dxa"/>
          </w:tcPr>
          <w:p w14:paraId="70B29168"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D814742" w14:textId="0081977A"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r w:rsidR="0042641A">
              <w:rPr>
                <w:rFonts w:ascii="Perpetua" w:hAnsi="Perpetua" w:cs="Leelawadee"/>
                <w:sz w:val="32"/>
                <w:szCs w:val="28"/>
              </w:rPr>
              <w:t>4</w:t>
            </w:r>
            <w:r w:rsidRPr="00AB3325">
              <w:rPr>
                <w:rFonts w:ascii="Perpetua" w:hAnsi="Perpetua" w:cs="Leelawadee"/>
                <w:sz w:val="32"/>
                <w:szCs w:val="28"/>
              </w:rPr>
              <w:t>.</w:t>
            </w:r>
          </w:p>
        </w:tc>
        <w:tc>
          <w:tcPr>
            <w:tcW w:w="8757" w:type="dxa"/>
            <w:gridSpan w:val="2"/>
          </w:tcPr>
          <w:p w14:paraId="54327095" w14:textId="6B78F420"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Taxpayer or partner attribute (noun)</w:t>
            </w:r>
            <w:r w:rsidRPr="00AB3325">
              <w:rPr>
                <w:rFonts w:ascii="Perpetua" w:hAnsi="Perpetua"/>
                <w:sz w:val="32"/>
                <w:szCs w:val="28"/>
              </w:rPr>
              <w:t xml:space="preserve"> – An aspect of, or circumstance relating to a particular taxpayer or partner that may affect the ultimate tax result for items recognized by or attributed to that taxpayer or partner, which may include:</w:t>
            </w:r>
          </w:p>
        </w:tc>
        <w:tc>
          <w:tcPr>
            <w:tcW w:w="4783" w:type="dxa"/>
          </w:tcPr>
          <w:p w14:paraId="2E15F93E"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03CAC48F" w14:textId="77777777" w:rsidTr="000D323B">
        <w:tc>
          <w:tcPr>
            <w:tcW w:w="535" w:type="dxa"/>
          </w:tcPr>
          <w:p w14:paraId="4F8A8A80"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10F02F96" w14:textId="530DDECB"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6BBD850D" w14:textId="74A158D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8301" w:type="dxa"/>
          </w:tcPr>
          <w:p w14:paraId="695E5439" w14:textId="0BC21FB0" w:rsidR="00B231EF" w:rsidRPr="00AB3325" w:rsidRDefault="00B231EF" w:rsidP="00C0204E">
            <w:pPr>
              <w:spacing w:before="40" w:after="40" w:line="228" w:lineRule="auto"/>
              <w:rPr>
                <w:rFonts w:ascii="Perpetua" w:hAnsi="Perpetua" w:cs="Leelawadee"/>
                <w:color w:val="0040F6"/>
                <w:sz w:val="32"/>
                <w:szCs w:val="28"/>
              </w:rPr>
            </w:pPr>
            <w:r w:rsidRPr="00AB3325">
              <w:rPr>
                <w:rFonts w:ascii="Perpetua" w:hAnsi="Perpetua"/>
                <w:sz w:val="32"/>
                <w:szCs w:val="28"/>
              </w:rPr>
              <w:t>Whether the taxpayer or partner is a resident or nonresident individual or a corporation or other type of entity;</w:t>
            </w:r>
          </w:p>
        </w:tc>
        <w:tc>
          <w:tcPr>
            <w:tcW w:w="4783" w:type="dxa"/>
          </w:tcPr>
          <w:p w14:paraId="2C84F57F"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4A0067A" w14:textId="77777777" w:rsidTr="000D323B">
        <w:tc>
          <w:tcPr>
            <w:tcW w:w="535" w:type="dxa"/>
          </w:tcPr>
          <w:p w14:paraId="6D6A035E"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17102BA1" w14:textId="77777777"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62668A57" w14:textId="3CB193C5"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8301" w:type="dxa"/>
          </w:tcPr>
          <w:p w14:paraId="12D6170E" w14:textId="19562F24" w:rsidR="00B231EF" w:rsidRPr="00AB3325" w:rsidRDefault="00B231EF" w:rsidP="00C0204E">
            <w:pPr>
              <w:spacing w:before="40" w:after="40" w:line="228" w:lineRule="auto"/>
              <w:rPr>
                <w:rFonts w:ascii="Perpetua" w:hAnsi="Perpetua" w:cs="Leelawadee"/>
                <w:color w:val="0040F6"/>
                <w:sz w:val="32"/>
                <w:szCs w:val="28"/>
              </w:rPr>
            </w:pPr>
            <w:r w:rsidRPr="00AB3325">
              <w:rPr>
                <w:rFonts w:ascii="Perpetua" w:hAnsi="Perpetua"/>
                <w:sz w:val="32"/>
                <w:szCs w:val="28"/>
              </w:rPr>
              <w:t>Whether the taxpayer or partner files a separate, joint, or combined/consolidated return;</w:t>
            </w:r>
          </w:p>
        </w:tc>
        <w:tc>
          <w:tcPr>
            <w:tcW w:w="4783" w:type="dxa"/>
          </w:tcPr>
          <w:p w14:paraId="269531B0"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AE1EDC1" w14:textId="77777777" w:rsidTr="000D323B">
        <w:tc>
          <w:tcPr>
            <w:tcW w:w="535" w:type="dxa"/>
          </w:tcPr>
          <w:p w14:paraId="3A97F95C"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734616E9" w14:textId="77777777"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62E9D656" w14:textId="0592AF5D"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8301" w:type="dxa"/>
          </w:tcPr>
          <w:p w14:paraId="3FD09E73" w14:textId="0DC9A810" w:rsidR="00B231EF" w:rsidRPr="00AB3325" w:rsidRDefault="00B231EF" w:rsidP="00C0204E">
            <w:pPr>
              <w:spacing w:before="40" w:after="40" w:line="228" w:lineRule="auto"/>
              <w:rPr>
                <w:rFonts w:ascii="Perpetua" w:hAnsi="Perpetua"/>
                <w:sz w:val="32"/>
                <w:szCs w:val="28"/>
              </w:rPr>
            </w:pPr>
            <w:r w:rsidRPr="00AB3325">
              <w:rPr>
                <w:rFonts w:ascii="Perpetua" w:hAnsi="Perpetua"/>
                <w:sz w:val="32"/>
                <w:szCs w:val="28"/>
              </w:rPr>
              <w:t>The taxpayer’s</w:t>
            </w:r>
            <w:r w:rsidR="00536FEF">
              <w:rPr>
                <w:rFonts w:ascii="Perpetua" w:hAnsi="Perpetua"/>
                <w:sz w:val="32"/>
                <w:szCs w:val="28"/>
              </w:rPr>
              <w:t xml:space="preserve"> or partner’s</w:t>
            </w:r>
            <w:r w:rsidRPr="00AB3325">
              <w:rPr>
                <w:rFonts w:ascii="Perpetua" w:hAnsi="Perpetua"/>
                <w:sz w:val="32"/>
                <w:szCs w:val="28"/>
              </w:rPr>
              <w:t xml:space="preserve"> marginal effective tax rate; and</w:t>
            </w:r>
          </w:p>
        </w:tc>
        <w:tc>
          <w:tcPr>
            <w:tcW w:w="4783" w:type="dxa"/>
          </w:tcPr>
          <w:p w14:paraId="415B6942"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8F82237" w14:textId="77777777" w:rsidTr="000D323B">
        <w:tc>
          <w:tcPr>
            <w:tcW w:w="535" w:type="dxa"/>
          </w:tcPr>
          <w:p w14:paraId="719F1EFE"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074EFE3" w14:textId="77777777" w:rsidR="00B231EF" w:rsidRPr="00AB3325" w:rsidRDefault="00B231EF" w:rsidP="004E6EB3">
            <w:pPr>
              <w:spacing w:before="80" w:after="80" w:line="228" w:lineRule="auto"/>
              <w:rPr>
                <w:rFonts w:ascii="Perpetua" w:hAnsi="Perpetua" w:cs="Leelawadee"/>
                <w:color w:val="0040F6"/>
                <w:sz w:val="32"/>
                <w:szCs w:val="28"/>
              </w:rPr>
            </w:pPr>
          </w:p>
        </w:tc>
        <w:tc>
          <w:tcPr>
            <w:tcW w:w="456" w:type="dxa"/>
          </w:tcPr>
          <w:p w14:paraId="21238373" w14:textId="2B60A5B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d.</w:t>
            </w:r>
          </w:p>
        </w:tc>
        <w:tc>
          <w:tcPr>
            <w:tcW w:w="8301" w:type="dxa"/>
          </w:tcPr>
          <w:p w14:paraId="6A769E27" w14:textId="724581B4" w:rsidR="00B231EF" w:rsidRPr="00AB3325" w:rsidRDefault="00B231EF" w:rsidP="00C0204E">
            <w:pPr>
              <w:spacing w:before="40" w:after="40" w:line="228" w:lineRule="auto"/>
              <w:rPr>
                <w:rFonts w:ascii="Perpetua" w:hAnsi="Perpetua"/>
                <w:sz w:val="32"/>
                <w:szCs w:val="28"/>
              </w:rPr>
            </w:pPr>
            <w:r w:rsidRPr="00AB3325">
              <w:rPr>
                <w:rFonts w:ascii="Perpetua" w:hAnsi="Perpetua"/>
                <w:sz w:val="32"/>
                <w:szCs w:val="28"/>
              </w:rPr>
              <w:t>The taxpayer’s participation or role in certain activities.</w:t>
            </w:r>
          </w:p>
        </w:tc>
        <w:tc>
          <w:tcPr>
            <w:tcW w:w="4783" w:type="dxa"/>
            <w:tcBorders>
              <w:bottom w:val="nil"/>
            </w:tcBorders>
          </w:tcPr>
          <w:p w14:paraId="639E3F88"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41A32AD" w14:textId="77777777" w:rsidTr="000D323B">
        <w:tc>
          <w:tcPr>
            <w:tcW w:w="535" w:type="dxa"/>
          </w:tcPr>
          <w:p w14:paraId="3097479A"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36A2BD6E" w14:textId="47905CD0"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cs="Leelawadee"/>
                <w:sz w:val="32"/>
                <w:szCs w:val="28"/>
              </w:rPr>
              <w:t>2</w:t>
            </w:r>
            <w:r w:rsidR="0042641A">
              <w:rPr>
                <w:rFonts w:ascii="Perpetua" w:hAnsi="Perpetua" w:cs="Leelawadee"/>
                <w:sz w:val="32"/>
                <w:szCs w:val="28"/>
              </w:rPr>
              <w:t>5</w:t>
            </w:r>
            <w:r w:rsidRPr="00AB3325">
              <w:rPr>
                <w:rFonts w:ascii="Perpetua" w:hAnsi="Perpetua" w:cs="Leelawadee"/>
                <w:sz w:val="32"/>
                <w:szCs w:val="28"/>
              </w:rPr>
              <w:t>.</w:t>
            </w:r>
          </w:p>
        </w:tc>
        <w:tc>
          <w:tcPr>
            <w:tcW w:w="8757" w:type="dxa"/>
            <w:gridSpan w:val="2"/>
            <w:tcBorders>
              <w:right w:val="nil"/>
            </w:tcBorders>
          </w:tcPr>
          <w:p w14:paraId="1C4A00AD" w14:textId="5E6CCE6A"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u w:val="single"/>
              </w:rPr>
              <w:t>Upper-tier partnership or tiered partner</w:t>
            </w:r>
            <w:r w:rsidRPr="00AB3325">
              <w:rPr>
                <w:rFonts w:ascii="Perpetua" w:hAnsi="Perpetua"/>
                <w:sz w:val="32"/>
                <w:szCs w:val="28"/>
              </w:rPr>
              <w:t xml:space="preserve"> – A partnership that holds an interest in another partnership. See IRC § 706(d)(3).</w:t>
            </w:r>
          </w:p>
        </w:tc>
        <w:tc>
          <w:tcPr>
            <w:tcW w:w="4783" w:type="dxa"/>
            <w:tcBorders>
              <w:top w:val="nil"/>
              <w:left w:val="nil"/>
              <w:bottom w:val="nil"/>
              <w:right w:val="nil"/>
            </w:tcBorders>
          </w:tcPr>
          <w:p w14:paraId="0DDE4C1A"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EA50D4F" w14:textId="77777777" w:rsidTr="000D323B">
        <w:tc>
          <w:tcPr>
            <w:tcW w:w="535" w:type="dxa"/>
          </w:tcPr>
          <w:p w14:paraId="1F8F6EA9" w14:textId="0296BD1E"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cs="Leelawadee"/>
                <w:sz w:val="32"/>
                <w:szCs w:val="28"/>
              </w:rPr>
              <w:lastRenderedPageBreak/>
              <w:t>B</w:t>
            </w:r>
            <w:r w:rsidRPr="00AB3325">
              <w:rPr>
                <w:rFonts w:ascii="Perpetua" w:hAnsi="Perpetua" w:cs="Leelawadee"/>
                <w:color w:val="0040F6"/>
                <w:sz w:val="32"/>
                <w:szCs w:val="28"/>
              </w:rPr>
              <w:t>.</w:t>
            </w:r>
          </w:p>
        </w:tc>
        <w:tc>
          <w:tcPr>
            <w:tcW w:w="9360" w:type="dxa"/>
            <w:gridSpan w:val="3"/>
            <w:tcBorders>
              <w:right w:val="nil"/>
            </w:tcBorders>
          </w:tcPr>
          <w:p w14:paraId="5E591EC8" w14:textId="4D28CB72"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Other terms not defined above are to be interpreted consistently with the context and with</w:t>
            </w:r>
            <w:r w:rsidR="00216E25">
              <w:rPr>
                <w:rFonts w:ascii="Perpetua" w:hAnsi="Perpetua"/>
                <w:sz w:val="32"/>
                <w:szCs w:val="28"/>
              </w:rPr>
              <w:t xml:space="preserve"> </w:t>
            </w:r>
            <w:r w:rsidRPr="00AB3325">
              <w:rPr>
                <w:rFonts w:ascii="Perpetua" w:hAnsi="Perpetua"/>
                <w:sz w:val="32"/>
                <w:szCs w:val="28"/>
              </w:rPr>
              <w:t>[</w:t>
            </w:r>
            <w:r w:rsidR="00216E25">
              <w:rPr>
                <w:rFonts w:ascii="Perpetua" w:hAnsi="Perpetua"/>
                <w:sz w:val="32"/>
                <w:szCs w:val="28"/>
              </w:rPr>
              <w:t xml:space="preserve">REFERENCE TO </w:t>
            </w:r>
            <w:r w:rsidRPr="00AB3325">
              <w:rPr>
                <w:rFonts w:ascii="Perpetua" w:hAnsi="Perpetua"/>
                <w:sz w:val="32"/>
                <w:szCs w:val="28"/>
              </w:rPr>
              <w:t>LAWS OF THIS STATE] and federal income tax law.</w:t>
            </w:r>
          </w:p>
        </w:tc>
        <w:tc>
          <w:tcPr>
            <w:tcW w:w="4783" w:type="dxa"/>
            <w:tcBorders>
              <w:top w:val="nil"/>
              <w:left w:val="nil"/>
              <w:bottom w:val="nil"/>
              <w:right w:val="nil"/>
            </w:tcBorders>
          </w:tcPr>
          <w:p w14:paraId="1706E5A8" w14:textId="77777777" w:rsidR="00B231EF" w:rsidRPr="00BA3D94" w:rsidRDefault="00B231EF" w:rsidP="004E6EB3">
            <w:pPr>
              <w:spacing w:before="80" w:after="80" w:line="276" w:lineRule="auto"/>
              <w:rPr>
                <w:rFonts w:cs="Leelawadee"/>
                <w:sz w:val="22"/>
                <w:szCs w:val="22"/>
              </w:rPr>
            </w:pPr>
          </w:p>
        </w:tc>
      </w:tr>
      <w:tr w:rsidR="00B231EF" w14:paraId="361BD7E5" w14:textId="77777777" w:rsidTr="00C0204E">
        <w:tc>
          <w:tcPr>
            <w:tcW w:w="14678" w:type="dxa"/>
            <w:gridSpan w:val="5"/>
          </w:tcPr>
          <w:p w14:paraId="5D608DD7" w14:textId="77777777" w:rsidR="00364996" w:rsidRDefault="00E93A97" w:rsidP="004E6EB3">
            <w:pPr>
              <w:spacing w:before="80" w:after="80" w:line="276" w:lineRule="auto"/>
            </w:pPr>
            <w:r>
              <w:br w:type="page"/>
            </w:r>
          </w:p>
          <w:p w14:paraId="6036EC80" w14:textId="52D8AC8D" w:rsidR="00B231EF" w:rsidRPr="00AB3325" w:rsidRDefault="00B231EF" w:rsidP="004E6EB3">
            <w:pPr>
              <w:spacing w:before="80" w:after="80" w:line="276" w:lineRule="auto"/>
              <w:rPr>
                <w:rFonts w:ascii="Perpetua" w:hAnsi="Perpetua" w:cs="Leelawadee"/>
                <w:b/>
                <w:bCs/>
                <w:sz w:val="32"/>
                <w:szCs w:val="28"/>
              </w:rPr>
            </w:pPr>
            <w:r w:rsidRPr="00AB3325">
              <w:rPr>
                <w:rFonts w:ascii="Perpetua" w:hAnsi="Perpetua"/>
                <w:b/>
                <w:bCs/>
                <w:sz w:val="32"/>
                <w:szCs w:val="28"/>
                <w:u w:val="single"/>
              </w:rPr>
              <w:t>Part II.  Conformity to Federal Income Tax Rules, Including IRC Subchapter K</w:t>
            </w:r>
          </w:p>
        </w:tc>
      </w:tr>
      <w:tr w:rsidR="00B231EF" w14:paraId="4DF749EA" w14:textId="77777777">
        <w:tc>
          <w:tcPr>
            <w:tcW w:w="535" w:type="dxa"/>
          </w:tcPr>
          <w:p w14:paraId="43B136F2" w14:textId="77777777" w:rsidR="00B231EF" w:rsidRPr="00AB3325" w:rsidRDefault="00B231EF" w:rsidP="004E6EB3">
            <w:pPr>
              <w:spacing w:before="80" w:after="80" w:line="228" w:lineRule="auto"/>
              <w:rPr>
                <w:rFonts w:ascii="Perpetua" w:hAnsi="Perpetua" w:cs="Leelawadee"/>
                <w:color w:val="0040F6"/>
                <w:sz w:val="32"/>
                <w:szCs w:val="28"/>
              </w:rPr>
            </w:pPr>
          </w:p>
        </w:tc>
        <w:tc>
          <w:tcPr>
            <w:tcW w:w="14143" w:type="dxa"/>
            <w:gridSpan w:val="4"/>
          </w:tcPr>
          <w:p w14:paraId="207BF1C8" w14:textId="5AF6C8B0" w:rsidR="00B231EF" w:rsidRPr="005716B8" w:rsidRDefault="00B231EF" w:rsidP="00E93A97">
            <w:pPr>
              <w:spacing w:before="80" w:after="80"/>
              <w:rPr>
                <w:rFonts w:ascii="Perpetua" w:hAnsi="Perpetua" w:cs="Leelawadee"/>
                <w:b/>
                <w:bCs/>
                <w:i/>
                <w:iCs/>
                <w:sz w:val="30"/>
                <w:szCs w:val="30"/>
              </w:rPr>
            </w:pPr>
            <w:r w:rsidRPr="005716B8">
              <w:rPr>
                <w:rFonts w:ascii="Perpetua" w:hAnsi="Perpetua" w:cs="Leelawadee"/>
                <w:i/>
                <w:iCs/>
                <w:color w:val="0040F6"/>
                <w:sz w:val="32"/>
                <w:szCs w:val="28"/>
              </w:rPr>
              <w:t>Drafter’s Note: As noted above, one challenge for drafting provisions to apply state sourcing rules to partnership income is that states generally have separate sections addressing income taxes imposed on corporations and individuals and may embed partnership-related provisions, including references to sourcing rules and their application, in both</w:t>
            </w:r>
            <w:r w:rsidR="008629CA">
              <w:rPr>
                <w:rFonts w:ascii="Perpetua" w:hAnsi="Perpetua" w:cs="Leelawadee"/>
                <w:i/>
                <w:iCs/>
                <w:color w:val="0040F6"/>
                <w:sz w:val="32"/>
                <w:szCs w:val="28"/>
              </w:rPr>
              <w:t xml:space="preserve"> sections</w:t>
            </w:r>
            <w:r w:rsidRPr="005716B8">
              <w:rPr>
                <w:rFonts w:ascii="Perpetua" w:hAnsi="Perpetua" w:cs="Leelawadee"/>
                <w:i/>
                <w:iCs/>
                <w:color w:val="0040F6"/>
                <w:sz w:val="32"/>
                <w:szCs w:val="28"/>
              </w:rPr>
              <w:t>. While the</w:t>
            </w:r>
            <w:r w:rsidR="005B5C48">
              <w:rPr>
                <w:rFonts w:ascii="Perpetua" w:hAnsi="Perpetua" w:cs="Leelawadee"/>
                <w:i/>
                <w:iCs/>
                <w:color w:val="0040F6"/>
                <w:sz w:val="32"/>
                <w:szCs w:val="28"/>
              </w:rPr>
              <w:t>se model provisions</w:t>
            </w:r>
            <w:r w:rsidRPr="005716B8">
              <w:rPr>
                <w:rFonts w:ascii="Perpetua" w:hAnsi="Perpetua" w:cs="Leelawadee"/>
                <w:i/>
                <w:iCs/>
                <w:color w:val="0040F6"/>
                <w:sz w:val="32"/>
                <w:szCs w:val="28"/>
              </w:rPr>
              <w:t xml:space="preserve"> are designed to be applicable to tiered and corporate partners (see Part IV.C below), the conformity provision</w:t>
            </w:r>
            <w:r w:rsidR="005B5C48">
              <w:rPr>
                <w:rFonts w:ascii="Perpetua" w:hAnsi="Perpetua" w:cs="Leelawadee"/>
                <w:i/>
                <w:iCs/>
                <w:color w:val="0040F6"/>
                <w:sz w:val="32"/>
                <w:szCs w:val="28"/>
              </w:rPr>
              <w:t>s</w:t>
            </w:r>
            <w:r w:rsidRPr="005716B8">
              <w:rPr>
                <w:rFonts w:ascii="Perpetua" w:hAnsi="Perpetua" w:cs="Leelawadee"/>
                <w:i/>
                <w:iCs/>
                <w:color w:val="0040F6"/>
                <w:sz w:val="32"/>
                <w:szCs w:val="28"/>
              </w:rPr>
              <w:t xml:space="preserve"> in this Part II could be used in the context of tax on individuals as well.</w:t>
            </w:r>
          </w:p>
        </w:tc>
      </w:tr>
      <w:tr w:rsidR="00B231EF" w14:paraId="42312825" w14:textId="77777777" w:rsidTr="000D323B">
        <w:tc>
          <w:tcPr>
            <w:tcW w:w="535" w:type="dxa"/>
          </w:tcPr>
          <w:p w14:paraId="20355F51" w14:textId="11323DCC"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9360" w:type="dxa"/>
            <w:gridSpan w:val="3"/>
          </w:tcPr>
          <w:p w14:paraId="3762494E" w14:textId="057F1BEC"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[STATE] conforms to the federal income tax law, including IRC Subchapter K, as provided in [REFERENCE(S) TO STATE LAW</w:t>
            </w:r>
            <w:r w:rsidR="00622799">
              <w:rPr>
                <w:rFonts w:ascii="Perpetua" w:hAnsi="Perpetua"/>
                <w:sz w:val="32"/>
                <w:szCs w:val="28"/>
              </w:rPr>
              <w:t>S</w:t>
            </w:r>
            <w:r w:rsidRPr="00AB3325">
              <w:rPr>
                <w:rFonts w:ascii="Perpetua" w:hAnsi="Perpetua"/>
                <w:sz w:val="32"/>
                <w:szCs w:val="28"/>
              </w:rPr>
              <w:t xml:space="preserve"> THAT AFFECT CONFORMITY FOR CORPORATE AND INDIVIDUAL TAXPAYERS]. In conforming to Subchapter K, [STATE] also conforms to the principle that the tax character of items of income and loss is determined at the partnership level and then attributed to the partners who receive a distributive share of those items. This character as determined at the partnership level may affect the state income tax treatment of the items under the state income tax rules, including the sourcing of those items under [REFERENCE(S) TO STATE LAW FOR SOURCING INCOME - INCLUDING CORPORATE AND INDIVIDUAL SOURCING RULES].</w:t>
            </w:r>
          </w:p>
        </w:tc>
        <w:tc>
          <w:tcPr>
            <w:tcW w:w="4783" w:type="dxa"/>
          </w:tcPr>
          <w:p w14:paraId="16A48FE6"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6BC273E" w14:textId="77777777" w:rsidTr="000D323B">
        <w:tc>
          <w:tcPr>
            <w:tcW w:w="535" w:type="dxa"/>
          </w:tcPr>
          <w:p w14:paraId="6D1ECBF3" w14:textId="0CE858E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360" w:type="dxa"/>
            <w:gridSpan w:val="3"/>
          </w:tcPr>
          <w:p w14:paraId="3051000E" w14:textId="622DE032"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In addition, [STATE] conforms to certain anti-abuse rules under IRC Subchapter K as described further in Part V of this Section.</w:t>
            </w:r>
          </w:p>
        </w:tc>
        <w:tc>
          <w:tcPr>
            <w:tcW w:w="4783" w:type="dxa"/>
          </w:tcPr>
          <w:p w14:paraId="61BEFB50" w14:textId="77777777" w:rsidR="00B231EF" w:rsidRPr="00BA3D94" w:rsidRDefault="00B231EF" w:rsidP="004E6EB3">
            <w:pPr>
              <w:spacing w:before="80" w:after="80" w:line="276" w:lineRule="auto"/>
              <w:rPr>
                <w:rFonts w:ascii="Tahoma" w:hAnsi="Tahoma" w:cs="Tahoma"/>
                <w:color w:val="7A18FC"/>
                <w:sz w:val="22"/>
                <w:szCs w:val="22"/>
              </w:rPr>
            </w:pPr>
          </w:p>
        </w:tc>
      </w:tr>
    </w:tbl>
    <w:p w14:paraId="1A96EF50" w14:textId="77777777" w:rsidR="00E93A97" w:rsidRDefault="00E93A97">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425"/>
        <w:gridCol w:w="5115"/>
      </w:tblGrid>
      <w:tr w:rsidR="00B231EF" w14:paraId="79E919DE" w14:textId="77777777" w:rsidTr="00A22F44">
        <w:tc>
          <w:tcPr>
            <w:tcW w:w="14678" w:type="dxa"/>
            <w:gridSpan w:val="4"/>
          </w:tcPr>
          <w:p w14:paraId="5D895E07" w14:textId="42D56824" w:rsidR="00B231EF" w:rsidRPr="00AB3325" w:rsidRDefault="00B231EF" w:rsidP="004E6EB3">
            <w:pPr>
              <w:spacing w:before="80" w:after="80" w:line="276" w:lineRule="auto"/>
              <w:rPr>
                <w:rFonts w:ascii="Perpetua" w:hAnsi="Perpetua" w:cs="Leelawadee"/>
                <w:b/>
                <w:bCs/>
                <w:sz w:val="32"/>
                <w:szCs w:val="28"/>
              </w:rPr>
            </w:pPr>
            <w:r w:rsidRPr="00AB3325">
              <w:rPr>
                <w:rFonts w:ascii="Perpetua" w:hAnsi="Perpetua"/>
                <w:b/>
                <w:bCs/>
                <w:sz w:val="32"/>
                <w:szCs w:val="28"/>
                <w:u w:val="single"/>
              </w:rPr>
              <w:lastRenderedPageBreak/>
              <w:t>Part III.  Obligations of Partnerships to File Information Returns and Report Information</w:t>
            </w:r>
          </w:p>
        </w:tc>
      </w:tr>
      <w:tr w:rsidR="00B231EF" w14:paraId="2D516F60" w14:textId="77777777">
        <w:tc>
          <w:tcPr>
            <w:tcW w:w="535" w:type="dxa"/>
          </w:tcPr>
          <w:p w14:paraId="0FB3F890" w14:textId="77777777" w:rsidR="00B231EF" w:rsidRPr="00AB3325" w:rsidRDefault="00B231EF" w:rsidP="004E6EB3">
            <w:pPr>
              <w:spacing w:before="80" w:after="80" w:line="228" w:lineRule="auto"/>
              <w:rPr>
                <w:rFonts w:ascii="Perpetua" w:hAnsi="Perpetua" w:cs="Leelawadee"/>
                <w:sz w:val="32"/>
                <w:szCs w:val="28"/>
              </w:rPr>
            </w:pPr>
          </w:p>
        </w:tc>
        <w:tc>
          <w:tcPr>
            <w:tcW w:w="14143" w:type="dxa"/>
            <w:gridSpan w:val="3"/>
          </w:tcPr>
          <w:p w14:paraId="080E72A9" w14:textId="04AE5184" w:rsidR="00B231EF" w:rsidRPr="005716B8" w:rsidRDefault="00B231EF" w:rsidP="00E93A97">
            <w:pPr>
              <w:spacing w:before="80" w:after="80"/>
              <w:rPr>
                <w:rFonts w:ascii="Perpetua" w:hAnsi="Perpetua" w:cs="Leelawadee"/>
                <w:b/>
                <w:bCs/>
                <w:i/>
                <w:iCs/>
                <w:sz w:val="30"/>
                <w:szCs w:val="30"/>
              </w:rPr>
            </w:pPr>
            <w:r w:rsidRPr="005716B8">
              <w:rPr>
                <w:rFonts w:ascii="Perpetua" w:hAnsi="Perpetua" w:cs="Leelawadee"/>
                <w:i/>
                <w:iCs/>
                <w:color w:val="0040F6"/>
                <w:sz w:val="32"/>
                <w:szCs w:val="28"/>
              </w:rPr>
              <w:t xml:space="preserve">Drafter’s Note: </w:t>
            </w:r>
            <w:r w:rsidR="00CC13BA">
              <w:rPr>
                <w:rFonts w:ascii="Perpetua" w:hAnsi="Perpetua" w:cs="Leelawadee"/>
                <w:i/>
                <w:iCs/>
                <w:color w:val="0040F6"/>
                <w:sz w:val="32"/>
                <w:szCs w:val="28"/>
              </w:rPr>
              <w:t>W</w:t>
            </w:r>
            <w:r w:rsidRPr="005716B8">
              <w:rPr>
                <w:rFonts w:ascii="Perpetua" w:hAnsi="Perpetua" w:cs="Leelawadee"/>
                <w:i/>
                <w:iCs/>
                <w:color w:val="0040F6"/>
                <w:sz w:val="32"/>
                <w:szCs w:val="28"/>
              </w:rPr>
              <w:t>hile the provisions in this Section are designed to be applicable to tiered and corporate partners, the reporting provisions below could be used for individual partners as well</w:t>
            </w:r>
            <w:r w:rsidR="00F00AA2">
              <w:rPr>
                <w:rFonts w:ascii="Perpetua" w:hAnsi="Perpetua" w:cs="Leelawadee"/>
                <w:i/>
                <w:iCs/>
                <w:color w:val="0040F6"/>
                <w:sz w:val="32"/>
                <w:szCs w:val="28"/>
              </w:rPr>
              <w:t xml:space="preserve">, </w:t>
            </w:r>
            <w:r w:rsidRPr="005716B8">
              <w:rPr>
                <w:rFonts w:ascii="Perpetua" w:hAnsi="Perpetua" w:cs="Leelawadee"/>
                <w:i/>
                <w:iCs/>
                <w:color w:val="0040F6"/>
                <w:sz w:val="32"/>
                <w:szCs w:val="28"/>
              </w:rPr>
              <w:t>so the reference in C below includes individuals.</w:t>
            </w:r>
          </w:p>
        </w:tc>
      </w:tr>
      <w:tr w:rsidR="00B231EF" w14:paraId="029AB000" w14:textId="77777777" w:rsidTr="001821AF">
        <w:tc>
          <w:tcPr>
            <w:tcW w:w="535" w:type="dxa"/>
          </w:tcPr>
          <w:p w14:paraId="7EB83AEE" w14:textId="2755B6C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9028" w:type="dxa"/>
            <w:gridSpan w:val="2"/>
          </w:tcPr>
          <w:p w14:paraId="7CC3F4B6" w14:textId="3A12690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 xml:space="preserve">A partnership shall provide to its direct partners the information necessary for its direct and indirect partners </w:t>
            </w:r>
            <w:r w:rsidR="00591C4C" w:rsidRPr="00591C4C">
              <w:rPr>
                <w:rFonts w:ascii="Perpetua" w:hAnsi="Perpetua"/>
                <w:sz w:val="32"/>
                <w:szCs w:val="28"/>
                <w:highlight w:val="yellow"/>
              </w:rPr>
              <w:t>or beneficial interest holders</w:t>
            </w:r>
            <w:r w:rsidR="00591C4C">
              <w:rPr>
                <w:rFonts w:ascii="Perpetua" w:hAnsi="Perpetua"/>
                <w:sz w:val="32"/>
                <w:szCs w:val="28"/>
              </w:rPr>
              <w:t xml:space="preserve"> </w:t>
            </w:r>
            <w:r w:rsidRPr="00AB3325">
              <w:rPr>
                <w:rFonts w:ascii="Perpetua" w:hAnsi="Perpetua"/>
                <w:sz w:val="32"/>
                <w:szCs w:val="28"/>
              </w:rPr>
              <w:t>to properly compute and report their [STATE] tax. Necessary information includes any information as described or provided for in regulations, forms, and instructions issued by the [STATE TAX AGENCY]. This requirement to provide information applies to:</w:t>
            </w:r>
          </w:p>
        </w:tc>
        <w:tc>
          <w:tcPr>
            <w:tcW w:w="5115" w:type="dxa"/>
          </w:tcPr>
          <w:p w14:paraId="1E962F20" w14:textId="44B9B93C" w:rsidR="00B231EF" w:rsidRPr="00F64E40" w:rsidRDefault="00591C4C"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provision was modified to include beneficial interest holders since the approach described here could be applied to the lower-tier partnership income flowing through these </w:t>
            </w:r>
            <w:r w:rsidR="00AF7F4F">
              <w:rPr>
                <w:rFonts w:ascii="Tahoma" w:hAnsi="Tahoma" w:cs="Tahoma"/>
                <w:color w:val="3A7C22" w:themeColor="accent6" w:themeShade="BF"/>
                <w:sz w:val="22"/>
                <w:szCs w:val="22"/>
              </w:rPr>
              <w:t>entities</w:t>
            </w:r>
            <w:r w:rsidRPr="00F64E40">
              <w:rPr>
                <w:rFonts w:ascii="Tahoma" w:hAnsi="Tahoma" w:cs="Tahoma"/>
                <w:color w:val="3A7C22" w:themeColor="accent6" w:themeShade="BF"/>
                <w:sz w:val="22"/>
                <w:szCs w:val="22"/>
              </w:rPr>
              <w:t>.</w:t>
            </w:r>
          </w:p>
        </w:tc>
      </w:tr>
      <w:tr w:rsidR="00B231EF" w14:paraId="058EA32A" w14:textId="77777777" w:rsidTr="00A860A5">
        <w:tc>
          <w:tcPr>
            <w:tcW w:w="535" w:type="dxa"/>
          </w:tcPr>
          <w:p w14:paraId="733D06CC"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73AAB09" w14:textId="539566E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70C03389" w14:textId="3D377335"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Any partnership doing business in [STATE];</w:t>
            </w:r>
          </w:p>
        </w:tc>
        <w:tc>
          <w:tcPr>
            <w:tcW w:w="5115" w:type="dxa"/>
            <w:tcBorders>
              <w:bottom w:val="single" w:sz="4" w:space="0" w:color="auto"/>
            </w:tcBorders>
          </w:tcPr>
          <w:p w14:paraId="681EED9E" w14:textId="77777777" w:rsidR="00B231EF" w:rsidRPr="00F64E40" w:rsidRDefault="00B231EF" w:rsidP="004E6EB3">
            <w:pPr>
              <w:spacing w:before="80" w:after="80" w:line="276" w:lineRule="auto"/>
              <w:rPr>
                <w:rFonts w:ascii="Tahoma" w:hAnsi="Tahoma" w:cs="Tahoma"/>
                <w:color w:val="3A7C22" w:themeColor="accent6" w:themeShade="BF"/>
                <w:sz w:val="22"/>
                <w:szCs w:val="22"/>
              </w:rPr>
            </w:pPr>
          </w:p>
        </w:tc>
      </w:tr>
      <w:tr w:rsidR="00B231EF" w14:paraId="1F8A24F3" w14:textId="77777777" w:rsidTr="00A860A5">
        <w:tc>
          <w:tcPr>
            <w:tcW w:w="535" w:type="dxa"/>
          </w:tcPr>
          <w:p w14:paraId="34CC844D"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4FC5D49" w14:textId="72F1091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Borders>
              <w:right w:val="single" w:sz="4" w:space="0" w:color="auto"/>
            </w:tcBorders>
          </w:tcPr>
          <w:p w14:paraId="00936ECC" w14:textId="736CB76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 xml:space="preserve">Any partnership that has a direct </w:t>
            </w:r>
            <w:r w:rsidR="00D8653A">
              <w:rPr>
                <w:rFonts w:ascii="Perpetua" w:hAnsi="Perpetua"/>
                <w:sz w:val="32"/>
                <w:szCs w:val="28"/>
              </w:rPr>
              <w:t xml:space="preserve">partner </w:t>
            </w:r>
            <w:r w:rsidRPr="00A619D2">
              <w:rPr>
                <w:rFonts w:ascii="Perpetua" w:hAnsi="Perpetua"/>
                <w:sz w:val="32"/>
                <w:szCs w:val="28"/>
              </w:rPr>
              <w:t xml:space="preserve">or </w:t>
            </w:r>
            <w:r w:rsidR="00D8653A" w:rsidRPr="00A619D2">
              <w:rPr>
                <w:rFonts w:ascii="Perpetua" w:hAnsi="Perpetua"/>
                <w:sz w:val="32"/>
                <w:szCs w:val="28"/>
              </w:rPr>
              <w:t xml:space="preserve">an </w:t>
            </w:r>
            <w:r w:rsidRPr="00A619D2">
              <w:rPr>
                <w:rFonts w:ascii="Perpetua" w:hAnsi="Perpetua"/>
                <w:sz w:val="32"/>
                <w:szCs w:val="28"/>
              </w:rPr>
              <w:t>indirect partner</w:t>
            </w:r>
            <w:r w:rsidR="005115DE" w:rsidRPr="00A619D2">
              <w:rPr>
                <w:rFonts w:ascii="Perpetua" w:hAnsi="Perpetua"/>
                <w:sz w:val="32"/>
                <w:szCs w:val="28"/>
              </w:rPr>
              <w:t xml:space="preserve"> </w:t>
            </w:r>
            <w:r w:rsidR="005115DE" w:rsidRPr="00D8653A">
              <w:rPr>
                <w:rFonts w:ascii="Perpetua" w:hAnsi="Perpetua"/>
                <w:sz w:val="32"/>
                <w:szCs w:val="28"/>
                <w:highlight w:val="yellow"/>
              </w:rPr>
              <w:t xml:space="preserve">or </w:t>
            </w:r>
            <w:r w:rsidR="00D8653A" w:rsidRPr="00D8653A">
              <w:rPr>
                <w:rFonts w:ascii="Perpetua" w:hAnsi="Perpetua"/>
                <w:sz w:val="32"/>
                <w:szCs w:val="28"/>
                <w:highlight w:val="yellow"/>
              </w:rPr>
              <w:t>beneficial interest holder</w:t>
            </w:r>
            <w:r w:rsidR="00D8653A">
              <w:rPr>
                <w:rFonts w:ascii="Perpetua" w:hAnsi="Perpetua"/>
                <w:sz w:val="32"/>
                <w:szCs w:val="28"/>
              </w:rPr>
              <w:t xml:space="preserve"> </w:t>
            </w:r>
            <w:r w:rsidRPr="00AB3325">
              <w:rPr>
                <w:rFonts w:ascii="Perpetua" w:hAnsi="Perpetua"/>
                <w:sz w:val="32"/>
                <w:szCs w:val="28"/>
              </w:rPr>
              <w:t>doing business in or resident in [STATE].</w:t>
            </w:r>
          </w:p>
        </w:tc>
        <w:tc>
          <w:tcPr>
            <w:tcW w:w="5115" w:type="dxa"/>
            <w:tcBorders>
              <w:top w:val="single" w:sz="4" w:space="0" w:color="auto"/>
              <w:left w:val="single" w:sz="4" w:space="0" w:color="auto"/>
              <w:bottom w:val="single" w:sz="4" w:space="0" w:color="auto"/>
              <w:right w:val="single" w:sz="4" w:space="0" w:color="auto"/>
            </w:tcBorders>
          </w:tcPr>
          <w:p w14:paraId="44E85177" w14:textId="3C57D0D8" w:rsidR="00B231EF" w:rsidRPr="00F64E40" w:rsidRDefault="009C43A9"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w:t>
            </w:r>
            <w:r w:rsidR="00E72984" w:rsidRPr="00F64E40">
              <w:rPr>
                <w:rFonts w:ascii="Tahoma" w:hAnsi="Tahoma" w:cs="Tahoma"/>
                <w:color w:val="3A7C22" w:themeColor="accent6" w:themeShade="BF"/>
                <w:sz w:val="22"/>
                <w:szCs w:val="22"/>
              </w:rPr>
              <w:t>provision</w:t>
            </w:r>
            <w:r w:rsidRPr="00F64E40">
              <w:rPr>
                <w:rFonts w:ascii="Tahoma" w:hAnsi="Tahoma" w:cs="Tahoma"/>
                <w:color w:val="3A7C22" w:themeColor="accent6" w:themeShade="BF"/>
                <w:sz w:val="22"/>
                <w:szCs w:val="22"/>
              </w:rPr>
              <w:t xml:space="preserve"> was modified to include </w:t>
            </w:r>
            <w:r w:rsidR="00AB41E4" w:rsidRPr="00F64E40">
              <w:rPr>
                <w:rFonts w:ascii="Tahoma" w:hAnsi="Tahoma" w:cs="Tahoma"/>
                <w:color w:val="3A7C22" w:themeColor="accent6" w:themeShade="BF"/>
                <w:sz w:val="22"/>
                <w:szCs w:val="22"/>
              </w:rPr>
              <w:t>beneficia</w:t>
            </w:r>
            <w:r w:rsidR="006E2133" w:rsidRPr="00F64E40">
              <w:rPr>
                <w:rFonts w:ascii="Tahoma" w:hAnsi="Tahoma" w:cs="Tahoma"/>
                <w:color w:val="3A7C22" w:themeColor="accent6" w:themeShade="BF"/>
                <w:sz w:val="22"/>
                <w:szCs w:val="22"/>
              </w:rPr>
              <w:t>l</w:t>
            </w:r>
            <w:r w:rsidR="00AB41E4" w:rsidRPr="00F64E40">
              <w:rPr>
                <w:rFonts w:ascii="Tahoma" w:hAnsi="Tahoma" w:cs="Tahoma"/>
                <w:color w:val="3A7C22" w:themeColor="accent6" w:themeShade="BF"/>
                <w:sz w:val="22"/>
                <w:szCs w:val="22"/>
              </w:rPr>
              <w:t xml:space="preserve"> interest holders </w:t>
            </w:r>
            <w:r w:rsidR="00FF0DED" w:rsidRPr="00F64E40">
              <w:rPr>
                <w:rFonts w:ascii="Tahoma" w:hAnsi="Tahoma" w:cs="Tahoma"/>
                <w:color w:val="3A7C22" w:themeColor="accent6" w:themeShade="BF"/>
                <w:sz w:val="22"/>
                <w:szCs w:val="22"/>
              </w:rPr>
              <w:t>since</w:t>
            </w:r>
            <w:r w:rsidRPr="00F64E40">
              <w:rPr>
                <w:rFonts w:ascii="Tahoma" w:hAnsi="Tahoma" w:cs="Tahoma"/>
                <w:color w:val="3A7C22" w:themeColor="accent6" w:themeShade="BF"/>
                <w:sz w:val="22"/>
                <w:szCs w:val="22"/>
              </w:rPr>
              <w:t xml:space="preserve"> the approach described here could be applied to the lower-tier partnership income flowing through these </w:t>
            </w:r>
            <w:r w:rsidR="00612D2C">
              <w:rPr>
                <w:rFonts w:ascii="Tahoma" w:hAnsi="Tahoma" w:cs="Tahoma"/>
                <w:color w:val="3A7C22" w:themeColor="accent6" w:themeShade="BF"/>
                <w:sz w:val="22"/>
                <w:szCs w:val="22"/>
              </w:rPr>
              <w:t>entities</w:t>
            </w:r>
            <w:r w:rsidR="00E72984" w:rsidRPr="00F64E40">
              <w:rPr>
                <w:rFonts w:ascii="Tahoma" w:hAnsi="Tahoma" w:cs="Tahoma"/>
                <w:color w:val="3A7C22" w:themeColor="accent6" w:themeShade="BF"/>
                <w:sz w:val="22"/>
                <w:szCs w:val="22"/>
              </w:rPr>
              <w:t>.</w:t>
            </w:r>
          </w:p>
        </w:tc>
      </w:tr>
      <w:tr w:rsidR="00B231EF" w14:paraId="170BB55C" w14:textId="77777777" w:rsidTr="00A860A5">
        <w:tc>
          <w:tcPr>
            <w:tcW w:w="535" w:type="dxa"/>
          </w:tcPr>
          <w:p w14:paraId="39603701"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B2AF3EF" w14:textId="2CCC759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Borders>
              <w:right w:val="single" w:sz="4" w:space="0" w:color="auto"/>
            </w:tcBorders>
          </w:tcPr>
          <w:p w14:paraId="79DCF81B" w14:textId="702922BC"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Any partnership that has a direct or indirect interest in a partnership</w:t>
            </w:r>
            <w:r w:rsidR="00311DA9">
              <w:rPr>
                <w:rFonts w:ascii="Perpetua" w:hAnsi="Perpetua"/>
                <w:sz w:val="32"/>
                <w:szCs w:val="28"/>
              </w:rPr>
              <w:t xml:space="preserve"> </w:t>
            </w:r>
            <w:r w:rsidR="00311DA9" w:rsidRPr="00311DA9">
              <w:rPr>
                <w:rFonts w:ascii="Perpetua" w:hAnsi="Perpetua"/>
                <w:sz w:val="32"/>
                <w:szCs w:val="28"/>
                <w:highlight w:val="yellow"/>
              </w:rPr>
              <w:t>or other pass-through entity</w:t>
            </w:r>
            <w:r w:rsidRPr="00AB3325">
              <w:rPr>
                <w:rFonts w:ascii="Perpetua" w:hAnsi="Perpetua"/>
                <w:sz w:val="32"/>
                <w:szCs w:val="28"/>
              </w:rPr>
              <w:t xml:space="preserve"> doing business in [STATE].</w:t>
            </w:r>
          </w:p>
        </w:tc>
        <w:tc>
          <w:tcPr>
            <w:tcW w:w="5115" w:type="dxa"/>
            <w:tcBorders>
              <w:top w:val="single" w:sz="4" w:space="0" w:color="auto"/>
              <w:left w:val="single" w:sz="4" w:space="0" w:color="auto"/>
              <w:bottom w:val="single" w:sz="4" w:space="0" w:color="auto"/>
              <w:right w:val="single" w:sz="4" w:space="0" w:color="auto"/>
            </w:tcBorders>
          </w:tcPr>
          <w:p w14:paraId="4E365FF2" w14:textId="5A04C344" w:rsidR="00B231EF" w:rsidRPr="00F64E40" w:rsidRDefault="00311DA9"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section was modified to include other pass-through entities </w:t>
            </w:r>
            <w:r w:rsidR="00FF0DED" w:rsidRPr="00F64E40">
              <w:rPr>
                <w:rFonts w:ascii="Tahoma" w:hAnsi="Tahoma" w:cs="Tahoma"/>
                <w:color w:val="3A7C22" w:themeColor="accent6" w:themeShade="BF"/>
                <w:sz w:val="22"/>
                <w:szCs w:val="22"/>
              </w:rPr>
              <w:t>since</w:t>
            </w:r>
            <w:r w:rsidRPr="00F64E40">
              <w:rPr>
                <w:rFonts w:ascii="Tahoma" w:hAnsi="Tahoma" w:cs="Tahoma"/>
                <w:color w:val="3A7C22" w:themeColor="accent6" w:themeShade="BF"/>
                <w:sz w:val="22"/>
                <w:szCs w:val="22"/>
              </w:rPr>
              <w:t xml:space="preserve"> the approach described here could be applied to the lower-tier partnership income flowing through these entities </w:t>
            </w:r>
          </w:p>
        </w:tc>
      </w:tr>
      <w:tr w:rsidR="00B231EF" w14:paraId="5B69ECCD" w14:textId="77777777" w:rsidTr="00A860A5">
        <w:tc>
          <w:tcPr>
            <w:tcW w:w="535" w:type="dxa"/>
          </w:tcPr>
          <w:p w14:paraId="6627B54F" w14:textId="3776F95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307A309D" w14:textId="58CA15D5"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 partnership shall provide to the [STATE TAX AGENCY] certain information as directed by the [STATE TAX AGENCY] necessary to verify the information required to be reported to partners under Subpart A, above and as provided in regulations, forms, and instructions issued by the [STATE TAX AGENCY].</w:t>
            </w:r>
          </w:p>
        </w:tc>
        <w:tc>
          <w:tcPr>
            <w:tcW w:w="5115" w:type="dxa"/>
            <w:tcBorders>
              <w:top w:val="single" w:sz="4" w:space="0" w:color="auto"/>
            </w:tcBorders>
          </w:tcPr>
          <w:p w14:paraId="708C8F7F"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3915FF5" w14:textId="77777777" w:rsidTr="001821AF">
        <w:tc>
          <w:tcPr>
            <w:tcW w:w="535" w:type="dxa"/>
          </w:tcPr>
          <w:p w14:paraId="23B560FC" w14:textId="71090C7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9028" w:type="dxa"/>
            <w:gridSpan w:val="2"/>
          </w:tcPr>
          <w:p w14:paraId="0B2FF489" w14:textId="7D95877C"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The type of information that may be required to be reported to partners or to [STATE TAX AGENCY] under this Part II includes:</w:t>
            </w:r>
          </w:p>
        </w:tc>
        <w:tc>
          <w:tcPr>
            <w:tcW w:w="5115" w:type="dxa"/>
          </w:tcPr>
          <w:p w14:paraId="22EB9A76"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35CDC07" w14:textId="77777777" w:rsidTr="001821AF">
        <w:tc>
          <w:tcPr>
            <w:tcW w:w="535" w:type="dxa"/>
          </w:tcPr>
          <w:p w14:paraId="50D41CC8"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460F3B4" w14:textId="0B3EDE0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4672326E" w14:textId="57BF2634"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Federal tax-related information, including the tax character of partnership income and items recognized by the partnership or allocated to the partnership from lower-tier partnerships;</w:t>
            </w:r>
          </w:p>
        </w:tc>
        <w:tc>
          <w:tcPr>
            <w:tcW w:w="5115" w:type="dxa"/>
          </w:tcPr>
          <w:p w14:paraId="3EAB0EA0"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168F409" w14:textId="77777777" w:rsidTr="001821AF">
        <w:tc>
          <w:tcPr>
            <w:tcW w:w="535" w:type="dxa"/>
          </w:tcPr>
          <w:p w14:paraId="323DF4A4"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DDEF3F9" w14:textId="43EC3B8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3D425A5E" w14:textId="5D5B425F"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State tax-related information, including the tax character of partnership income and items recognized by the partnership or allocated to the partnership from lower-tier partnerships, as relevant to compliance with [REFERENCE TO STATE INCOME TAX RULES FOR CORPORATIONS AND INDIVIDUALS];</w:t>
            </w:r>
          </w:p>
        </w:tc>
        <w:tc>
          <w:tcPr>
            <w:tcW w:w="5115" w:type="dxa"/>
          </w:tcPr>
          <w:p w14:paraId="302E0B01"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39C817A1" w14:textId="77777777" w:rsidTr="001821AF">
        <w:tc>
          <w:tcPr>
            <w:tcW w:w="535" w:type="dxa"/>
          </w:tcPr>
          <w:p w14:paraId="7802148C"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2DB2FEE" w14:textId="393B868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2DCA8252" w14:textId="082B2646"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Information necessary for direct or indirect partners to properly determine the source of partnership income and items, as described further in this Section;</w:t>
            </w:r>
          </w:p>
        </w:tc>
        <w:tc>
          <w:tcPr>
            <w:tcW w:w="5115" w:type="dxa"/>
          </w:tcPr>
          <w:p w14:paraId="220876F3"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157EA346" w14:textId="77777777" w:rsidTr="001821AF">
        <w:tc>
          <w:tcPr>
            <w:tcW w:w="535" w:type="dxa"/>
          </w:tcPr>
          <w:p w14:paraId="3E53A78D"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2A4FAAA2" w14:textId="1B78B2FC"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tcPr>
          <w:p w14:paraId="4D51DD98" w14:textId="10E28E63"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Information from lower-tier partnerships or business entities in which the partnership holds an interest that is necessary for that partnership’s direct or indirect partners to properly determine the source of partnership income and items as described further in this Section; and</w:t>
            </w:r>
          </w:p>
        </w:tc>
        <w:tc>
          <w:tcPr>
            <w:tcW w:w="5115" w:type="dxa"/>
          </w:tcPr>
          <w:p w14:paraId="4BD71648"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28158A0A" w14:textId="77777777" w:rsidTr="00701883">
        <w:tc>
          <w:tcPr>
            <w:tcW w:w="535" w:type="dxa"/>
          </w:tcPr>
          <w:p w14:paraId="24E8B000" w14:textId="77777777" w:rsidR="00B231EF" w:rsidRPr="00AB3325" w:rsidRDefault="00B231EF" w:rsidP="004E6EB3">
            <w:pPr>
              <w:spacing w:before="80" w:after="80" w:line="228" w:lineRule="auto"/>
              <w:rPr>
                <w:rFonts w:ascii="Perpetua" w:hAnsi="Perpetua" w:cs="Leelawadee"/>
                <w:color w:val="0040F6"/>
                <w:sz w:val="32"/>
                <w:szCs w:val="28"/>
              </w:rPr>
            </w:pPr>
          </w:p>
        </w:tc>
        <w:tc>
          <w:tcPr>
            <w:tcW w:w="603" w:type="dxa"/>
          </w:tcPr>
          <w:p w14:paraId="0DB4A3A1" w14:textId="17EC633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5.</w:t>
            </w:r>
          </w:p>
        </w:tc>
        <w:tc>
          <w:tcPr>
            <w:tcW w:w="8425" w:type="dxa"/>
          </w:tcPr>
          <w:p w14:paraId="65F610BB" w14:textId="2632B90B"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sz w:val="32"/>
                <w:szCs w:val="28"/>
              </w:rPr>
              <w:t>Any other information the partnership may have or obtain that is necessary for direct or indirect partners to properly report their state tax on partnership income and items.</w:t>
            </w:r>
          </w:p>
        </w:tc>
        <w:tc>
          <w:tcPr>
            <w:tcW w:w="5115" w:type="dxa"/>
            <w:tcBorders>
              <w:bottom w:val="single" w:sz="4" w:space="0" w:color="auto"/>
            </w:tcBorders>
          </w:tcPr>
          <w:p w14:paraId="36925D64"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245FF1B" w14:textId="77777777" w:rsidTr="00701883">
        <w:tc>
          <w:tcPr>
            <w:tcW w:w="535" w:type="dxa"/>
          </w:tcPr>
          <w:p w14:paraId="0C8CA3D4" w14:textId="2AE36AA4" w:rsidR="00B231EF" w:rsidRPr="00AB3325" w:rsidRDefault="00B231EF" w:rsidP="004E6EB3">
            <w:pPr>
              <w:spacing w:before="80" w:after="80" w:line="228" w:lineRule="auto"/>
              <w:rPr>
                <w:rFonts w:ascii="Perpetua" w:hAnsi="Perpetua" w:cs="Leelawadee"/>
                <w:color w:val="0040F6"/>
                <w:sz w:val="32"/>
                <w:szCs w:val="28"/>
              </w:rPr>
            </w:pPr>
            <w:r w:rsidRPr="00AB3325">
              <w:rPr>
                <w:rFonts w:ascii="Perpetua" w:hAnsi="Perpetua" w:cs="Leelawadee"/>
                <w:sz w:val="32"/>
                <w:szCs w:val="28"/>
              </w:rPr>
              <w:t>D.</w:t>
            </w:r>
          </w:p>
        </w:tc>
        <w:tc>
          <w:tcPr>
            <w:tcW w:w="9028" w:type="dxa"/>
            <w:gridSpan w:val="2"/>
            <w:tcBorders>
              <w:right w:val="single" w:sz="4" w:space="0" w:color="auto"/>
            </w:tcBorders>
          </w:tcPr>
          <w:p w14:paraId="5E6A56FF" w14:textId="1A1B21BB" w:rsidR="00B231EF" w:rsidRPr="00AB3325" w:rsidRDefault="00B231EF" w:rsidP="004E6EB3">
            <w:pPr>
              <w:spacing w:before="80" w:after="80" w:line="228" w:lineRule="auto"/>
              <w:rPr>
                <w:rFonts w:ascii="Perpetua" w:hAnsi="Perpetua"/>
                <w:sz w:val="32"/>
                <w:szCs w:val="28"/>
              </w:rPr>
            </w:pPr>
            <w:r w:rsidRPr="005350B9">
              <w:rPr>
                <w:rFonts w:ascii="Perpetua" w:hAnsi="Perpetua"/>
                <w:sz w:val="32"/>
                <w:szCs w:val="28"/>
                <w:highlight w:val="yellow"/>
              </w:rPr>
              <w:t>To the beneficial interest holders of another pass-through entity are taxed on partnership income flowing through that entity, the entity may also be required to report information described in this Part III.</w:t>
            </w:r>
          </w:p>
        </w:tc>
        <w:tc>
          <w:tcPr>
            <w:tcW w:w="5115" w:type="dxa"/>
            <w:tcBorders>
              <w:top w:val="single" w:sz="4" w:space="0" w:color="auto"/>
              <w:left w:val="single" w:sz="4" w:space="0" w:color="auto"/>
              <w:bottom w:val="single" w:sz="4" w:space="0" w:color="auto"/>
              <w:right w:val="single" w:sz="4" w:space="0" w:color="auto"/>
            </w:tcBorders>
          </w:tcPr>
          <w:p w14:paraId="30986ACD" w14:textId="7C933D8B"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Subpart D was added to address the need for information flowing through other pass-through entities. </w:t>
            </w:r>
          </w:p>
        </w:tc>
      </w:tr>
      <w:tr w:rsidR="00C0768C" w14:paraId="4F58DCA7" w14:textId="77777777" w:rsidTr="00701883">
        <w:tc>
          <w:tcPr>
            <w:tcW w:w="535" w:type="dxa"/>
          </w:tcPr>
          <w:p w14:paraId="418C6E0B" w14:textId="22057360" w:rsidR="00C0768C" w:rsidRPr="00AB3325" w:rsidRDefault="00093D0D" w:rsidP="004E6EB3">
            <w:pPr>
              <w:spacing w:before="80" w:after="80" w:line="228" w:lineRule="auto"/>
              <w:rPr>
                <w:rFonts w:ascii="Perpetua" w:hAnsi="Perpetua" w:cs="Leelawadee"/>
                <w:sz w:val="32"/>
                <w:szCs w:val="28"/>
              </w:rPr>
            </w:pPr>
            <w:r>
              <w:rPr>
                <w:rFonts w:ascii="Perpetua" w:hAnsi="Perpetua" w:cs="Leelawadee"/>
                <w:sz w:val="32"/>
                <w:szCs w:val="28"/>
              </w:rPr>
              <w:t>E.</w:t>
            </w:r>
          </w:p>
        </w:tc>
        <w:tc>
          <w:tcPr>
            <w:tcW w:w="9028" w:type="dxa"/>
            <w:gridSpan w:val="2"/>
            <w:tcBorders>
              <w:right w:val="single" w:sz="4" w:space="0" w:color="auto"/>
            </w:tcBorders>
          </w:tcPr>
          <w:p w14:paraId="43668306" w14:textId="27FC561B" w:rsidR="00C0768C" w:rsidRPr="005350B9" w:rsidRDefault="00624DD3" w:rsidP="004E6EB3">
            <w:pPr>
              <w:spacing w:before="80" w:after="80" w:line="228" w:lineRule="auto"/>
              <w:rPr>
                <w:rFonts w:ascii="Perpetua" w:hAnsi="Perpetua"/>
                <w:sz w:val="32"/>
                <w:szCs w:val="28"/>
                <w:highlight w:val="yellow"/>
              </w:rPr>
            </w:pPr>
            <w:r>
              <w:rPr>
                <w:rFonts w:ascii="Perpetua" w:hAnsi="Perpetua"/>
                <w:sz w:val="32"/>
                <w:szCs w:val="28"/>
                <w:highlight w:val="yellow"/>
              </w:rPr>
              <w:t>A</w:t>
            </w:r>
            <w:r w:rsidR="00926726">
              <w:rPr>
                <w:rFonts w:ascii="Perpetua" w:hAnsi="Perpetua"/>
                <w:sz w:val="32"/>
                <w:szCs w:val="28"/>
                <w:highlight w:val="yellow"/>
              </w:rPr>
              <w:t xml:space="preserve"> partnership or other pass-through entity</w:t>
            </w:r>
            <w:r w:rsidR="00861294">
              <w:rPr>
                <w:rFonts w:ascii="Perpetua" w:hAnsi="Perpetua"/>
                <w:sz w:val="32"/>
                <w:szCs w:val="28"/>
                <w:highlight w:val="yellow"/>
              </w:rPr>
              <w:t xml:space="preserve"> </w:t>
            </w:r>
            <w:r>
              <w:rPr>
                <w:rFonts w:ascii="Perpetua" w:hAnsi="Perpetua"/>
                <w:sz w:val="32"/>
                <w:szCs w:val="28"/>
                <w:highlight w:val="yellow"/>
              </w:rPr>
              <w:t xml:space="preserve">is </w:t>
            </w:r>
            <w:r w:rsidR="006D0F12">
              <w:rPr>
                <w:rFonts w:ascii="Perpetua" w:hAnsi="Perpetua"/>
                <w:sz w:val="32"/>
                <w:szCs w:val="28"/>
                <w:highlight w:val="yellow"/>
              </w:rPr>
              <w:t>presumed</w:t>
            </w:r>
            <w:r>
              <w:rPr>
                <w:rFonts w:ascii="Perpetua" w:hAnsi="Perpetua"/>
                <w:sz w:val="32"/>
                <w:szCs w:val="28"/>
                <w:highlight w:val="yellow"/>
              </w:rPr>
              <w:t xml:space="preserve"> to have knowledge </w:t>
            </w:r>
            <w:r w:rsidR="00C37E56">
              <w:rPr>
                <w:rFonts w:ascii="Perpetua" w:hAnsi="Perpetua"/>
                <w:sz w:val="32"/>
                <w:szCs w:val="28"/>
                <w:highlight w:val="yellow"/>
              </w:rPr>
              <w:t xml:space="preserve">that </w:t>
            </w:r>
            <w:r w:rsidR="004A7A0B">
              <w:rPr>
                <w:rFonts w:ascii="Perpetua" w:hAnsi="Perpetua"/>
                <w:sz w:val="32"/>
                <w:szCs w:val="28"/>
                <w:highlight w:val="yellow"/>
              </w:rPr>
              <w:t xml:space="preserve">an </w:t>
            </w:r>
            <w:r w:rsidR="005727CD">
              <w:rPr>
                <w:rFonts w:ascii="Perpetua" w:hAnsi="Perpetua"/>
                <w:sz w:val="32"/>
                <w:szCs w:val="28"/>
                <w:highlight w:val="yellow"/>
              </w:rPr>
              <w:t>indirect partner or beneficial</w:t>
            </w:r>
            <w:r>
              <w:rPr>
                <w:rFonts w:ascii="Perpetua" w:hAnsi="Perpetua"/>
                <w:sz w:val="32"/>
                <w:szCs w:val="28"/>
                <w:highlight w:val="yellow"/>
              </w:rPr>
              <w:t xml:space="preserve"> interest holder </w:t>
            </w:r>
            <w:r w:rsidR="002A174D">
              <w:rPr>
                <w:rFonts w:ascii="Perpetua" w:hAnsi="Perpetua"/>
                <w:sz w:val="32"/>
                <w:szCs w:val="28"/>
                <w:highlight w:val="yellow"/>
              </w:rPr>
              <w:t xml:space="preserve">is doing business or </w:t>
            </w:r>
            <w:r w:rsidR="00A62AFB">
              <w:rPr>
                <w:rFonts w:ascii="Perpetua" w:hAnsi="Perpetua"/>
                <w:sz w:val="32"/>
                <w:szCs w:val="28"/>
                <w:highlight w:val="yellow"/>
              </w:rPr>
              <w:t xml:space="preserve">resident </w:t>
            </w:r>
            <w:r>
              <w:rPr>
                <w:rFonts w:ascii="Perpetua" w:hAnsi="Perpetua"/>
                <w:sz w:val="32"/>
                <w:szCs w:val="28"/>
                <w:highlight w:val="yellow"/>
              </w:rPr>
              <w:t>in this state</w:t>
            </w:r>
            <w:r w:rsidR="00722588">
              <w:rPr>
                <w:rFonts w:ascii="Perpetua" w:hAnsi="Perpetua"/>
                <w:sz w:val="32"/>
                <w:szCs w:val="28"/>
                <w:highlight w:val="yellow"/>
              </w:rPr>
              <w:t xml:space="preserve"> for purposes of this Part</w:t>
            </w:r>
            <w:r w:rsidR="00AA73ED">
              <w:rPr>
                <w:rFonts w:ascii="Perpetua" w:hAnsi="Perpetua"/>
                <w:sz w:val="32"/>
                <w:szCs w:val="28"/>
                <w:highlight w:val="yellow"/>
              </w:rPr>
              <w:t xml:space="preserve"> III</w:t>
            </w:r>
            <w:r w:rsidR="00A62AFB">
              <w:rPr>
                <w:rFonts w:ascii="Perpetua" w:hAnsi="Perpetua"/>
                <w:sz w:val="32"/>
                <w:szCs w:val="28"/>
                <w:highlight w:val="yellow"/>
              </w:rPr>
              <w:t xml:space="preserve"> </w:t>
            </w:r>
            <w:r w:rsidR="001F7F02">
              <w:rPr>
                <w:rFonts w:ascii="Perpetua" w:hAnsi="Perpetua"/>
                <w:sz w:val="32"/>
                <w:szCs w:val="28"/>
                <w:highlight w:val="yellow"/>
              </w:rPr>
              <w:t xml:space="preserve">if </w:t>
            </w:r>
            <w:r w:rsidR="00086BE9">
              <w:rPr>
                <w:rFonts w:ascii="Perpetua" w:hAnsi="Perpetua"/>
                <w:sz w:val="32"/>
                <w:szCs w:val="28"/>
                <w:highlight w:val="yellow"/>
              </w:rPr>
              <w:t xml:space="preserve">that </w:t>
            </w:r>
            <w:r w:rsidR="00C87423">
              <w:rPr>
                <w:rFonts w:ascii="Perpetua" w:hAnsi="Perpetua"/>
                <w:sz w:val="32"/>
                <w:szCs w:val="28"/>
                <w:highlight w:val="yellow"/>
              </w:rPr>
              <w:t xml:space="preserve">information </w:t>
            </w:r>
            <w:r w:rsidR="00E25B37">
              <w:rPr>
                <w:rFonts w:ascii="Perpetua" w:hAnsi="Perpetua"/>
                <w:sz w:val="32"/>
                <w:szCs w:val="28"/>
                <w:highlight w:val="yellow"/>
              </w:rPr>
              <w:t>is</w:t>
            </w:r>
            <w:r w:rsidR="00C87423">
              <w:rPr>
                <w:rFonts w:ascii="Perpetua" w:hAnsi="Perpetua"/>
                <w:sz w:val="32"/>
                <w:szCs w:val="28"/>
                <w:highlight w:val="yellow"/>
              </w:rPr>
              <w:t xml:space="preserve"> otherwise known to that partnership or if the </w:t>
            </w:r>
            <w:r w:rsidR="00086BE9">
              <w:rPr>
                <w:rFonts w:ascii="Perpetua" w:hAnsi="Perpetua"/>
                <w:sz w:val="32"/>
                <w:szCs w:val="28"/>
                <w:highlight w:val="yellow"/>
              </w:rPr>
              <w:t xml:space="preserve">partnership </w:t>
            </w:r>
            <w:r w:rsidR="008321E4">
              <w:rPr>
                <w:rFonts w:ascii="Perpetua" w:hAnsi="Perpetua"/>
                <w:sz w:val="32"/>
                <w:szCs w:val="28"/>
                <w:highlight w:val="yellow"/>
              </w:rPr>
              <w:t xml:space="preserve">has received a </w:t>
            </w:r>
            <w:r w:rsidR="0027753C">
              <w:rPr>
                <w:rFonts w:ascii="Perpetua" w:hAnsi="Perpetua"/>
                <w:sz w:val="32"/>
                <w:szCs w:val="28"/>
                <w:highlight w:val="yellow"/>
              </w:rPr>
              <w:t>notification from a partner, indirect partner, or beneficial interest holder</w:t>
            </w:r>
            <w:r w:rsidR="004A7A0B">
              <w:rPr>
                <w:rFonts w:ascii="Perpetua" w:hAnsi="Perpetua"/>
                <w:sz w:val="32"/>
                <w:szCs w:val="28"/>
                <w:highlight w:val="yellow"/>
              </w:rPr>
              <w:t>.</w:t>
            </w:r>
            <w:r w:rsidR="00E77FB8">
              <w:rPr>
                <w:rFonts w:ascii="Perpetua" w:hAnsi="Perpetua"/>
                <w:sz w:val="32"/>
                <w:szCs w:val="28"/>
                <w:highlight w:val="yellow"/>
              </w:rPr>
              <w:t xml:space="preserve"> </w:t>
            </w:r>
            <w:r w:rsidR="00D72B94">
              <w:rPr>
                <w:rFonts w:ascii="Perpetua" w:hAnsi="Perpetua"/>
                <w:sz w:val="32"/>
                <w:szCs w:val="28"/>
                <w:highlight w:val="yellow"/>
              </w:rPr>
              <w:t>If, under the circumstances,</w:t>
            </w:r>
            <w:r w:rsidR="00E77FB8">
              <w:rPr>
                <w:rFonts w:ascii="Perpetua" w:hAnsi="Perpetua"/>
                <w:sz w:val="32"/>
                <w:szCs w:val="28"/>
                <w:highlight w:val="yellow"/>
              </w:rPr>
              <w:t xml:space="preserve"> a partnership or other pass-through entity is not presumed to have this knowledge</w:t>
            </w:r>
            <w:r w:rsidR="00D72B94">
              <w:rPr>
                <w:rFonts w:ascii="Perpetua" w:hAnsi="Perpetua"/>
                <w:sz w:val="32"/>
                <w:szCs w:val="28"/>
                <w:highlight w:val="yellow"/>
              </w:rPr>
              <w:t>, the failure to provide information to its partners</w:t>
            </w:r>
            <w:r w:rsidR="005943FA">
              <w:rPr>
                <w:rFonts w:ascii="Perpetua" w:hAnsi="Perpetua"/>
                <w:sz w:val="32"/>
                <w:szCs w:val="28"/>
                <w:highlight w:val="yellow"/>
              </w:rPr>
              <w:t xml:space="preserve"> </w:t>
            </w:r>
            <w:r w:rsidR="001934FC">
              <w:rPr>
                <w:rFonts w:ascii="Perpetua" w:hAnsi="Perpetua"/>
                <w:sz w:val="32"/>
                <w:szCs w:val="28"/>
                <w:highlight w:val="yellow"/>
              </w:rPr>
              <w:t xml:space="preserve">that is </w:t>
            </w:r>
            <w:r w:rsidR="00B30315" w:rsidRPr="0099070B">
              <w:rPr>
                <w:rFonts w:ascii="Perpetua" w:hAnsi="Perpetua"/>
                <w:sz w:val="32"/>
                <w:szCs w:val="28"/>
                <w:highlight w:val="yellow"/>
              </w:rPr>
              <w:t xml:space="preserve">necessary for indirect partners </w:t>
            </w:r>
            <w:r w:rsidR="0099070B" w:rsidRPr="0099070B">
              <w:rPr>
                <w:rFonts w:ascii="Perpetua" w:hAnsi="Perpetua"/>
                <w:sz w:val="32"/>
                <w:szCs w:val="28"/>
                <w:highlight w:val="yellow"/>
              </w:rPr>
              <w:t xml:space="preserve">or beneficial interest holders </w:t>
            </w:r>
            <w:r w:rsidR="00B30315" w:rsidRPr="0099070B">
              <w:rPr>
                <w:rFonts w:ascii="Perpetua" w:hAnsi="Perpetua"/>
                <w:sz w:val="32"/>
                <w:szCs w:val="28"/>
                <w:highlight w:val="yellow"/>
              </w:rPr>
              <w:t xml:space="preserve">to properly compute and report their [STATE] tax </w:t>
            </w:r>
            <w:r w:rsidR="0099070B">
              <w:rPr>
                <w:rFonts w:ascii="Perpetua" w:hAnsi="Perpetua"/>
                <w:sz w:val="32"/>
                <w:szCs w:val="28"/>
                <w:highlight w:val="yellow"/>
              </w:rPr>
              <w:t>will not be subject to any penalties.</w:t>
            </w:r>
            <w:r w:rsidR="004A7A0B">
              <w:rPr>
                <w:rFonts w:ascii="Perpetua" w:hAnsi="Perpetua"/>
                <w:sz w:val="32"/>
                <w:szCs w:val="28"/>
                <w:highlight w:val="yellow"/>
              </w:rPr>
              <w:t xml:space="preserve"> </w:t>
            </w:r>
            <w:r w:rsidR="0027753C">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tcPr>
          <w:p w14:paraId="4EBD4DA7" w14:textId="56661A81" w:rsidR="00C0768C" w:rsidRPr="00F64E40" w:rsidRDefault="00C272E2"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Subpart E was added to address comments noting that a lower-tier partnership may not have </w:t>
            </w:r>
            <w:r w:rsidR="009653B5" w:rsidRPr="00F64E40">
              <w:rPr>
                <w:rFonts w:ascii="Tahoma" w:hAnsi="Tahoma" w:cs="Tahoma"/>
                <w:color w:val="3A7C22" w:themeColor="accent6" w:themeShade="BF"/>
                <w:sz w:val="22"/>
                <w:szCs w:val="22"/>
              </w:rPr>
              <w:t xml:space="preserve">information on its indirect partners. Because this information reporting process is essential for the working of the pass-through system, partnership structures cannot be used to </w:t>
            </w:r>
            <w:r w:rsidR="006E0C86" w:rsidRPr="00F64E40">
              <w:rPr>
                <w:rFonts w:ascii="Tahoma" w:hAnsi="Tahoma" w:cs="Tahoma"/>
                <w:color w:val="3A7C22" w:themeColor="accent6" w:themeShade="BF"/>
                <w:sz w:val="22"/>
                <w:szCs w:val="22"/>
              </w:rPr>
              <w:t xml:space="preserve">avoid those </w:t>
            </w:r>
            <w:r w:rsidR="001934FC">
              <w:rPr>
                <w:rFonts w:ascii="Tahoma" w:hAnsi="Tahoma" w:cs="Tahoma"/>
                <w:color w:val="3A7C22" w:themeColor="accent6" w:themeShade="BF"/>
                <w:sz w:val="22"/>
                <w:szCs w:val="22"/>
              </w:rPr>
              <w:t xml:space="preserve">or other legal </w:t>
            </w:r>
            <w:r w:rsidR="006E0C86" w:rsidRPr="00F64E40">
              <w:rPr>
                <w:rFonts w:ascii="Tahoma" w:hAnsi="Tahoma" w:cs="Tahoma"/>
                <w:color w:val="3A7C22" w:themeColor="accent6" w:themeShade="BF"/>
                <w:sz w:val="22"/>
                <w:szCs w:val="22"/>
              </w:rPr>
              <w:t xml:space="preserve">requirements—particularly where the </w:t>
            </w:r>
            <w:r w:rsidR="00DD01F0" w:rsidRPr="00F64E40">
              <w:rPr>
                <w:rFonts w:ascii="Tahoma" w:hAnsi="Tahoma" w:cs="Tahoma"/>
                <w:color w:val="3A7C22" w:themeColor="accent6" w:themeShade="BF"/>
                <w:sz w:val="22"/>
                <w:szCs w:val="22"/>
              </w:rPr>
              <w:t xml:space="preserve">partnership otherwise has knowledge or has been notified. </w:t>
            </w:r>
            <w:r w:rsidR="0099070B" w:rsidRPr="00F64E40">
              <w:rPr>
                <w:rFonts w:ascii="Tahoma" w:hAnsi="Tahoma" w:cs="Tahoma"/>
                <w:color w:val="3A7C22" w:themeColor="accent6" w:themeShade="BF"/>
                <w:sz w:val="22"/>
                <w:szCs w:val="22"/>
              </w:rPr>
              <w:t>But where this is not the case, no penalties for failure to report would be imposed</w:t>
            </w:r>
            <w:r w:rsidR="00E71F73">
              <w:rPr>
                <w:rFonts w:ascii="Tahoma" w:hAnsi="Tahoma" w:cs="Tahoma"/>
                <w:color w:val="3A7C22" w:themeColor="accent6" w:themeShade="BF"/>
                <w:sz w:val="22"/>
                <w:szCs w:val="22"/>
              </w:rPr>
              <w:t xml:space="preserve"> on the entity.</w:t>
            </w:r>
          </w:p>
        </w:tc>
      </w:tr>
      <w:tr w:rsidR="00B231EF" w14:paraId="0D4C4219" w14:textId="77777777" w:rsidTr="00A22F44">
        <w:tc>
          <w:tcPr>
            <w:tcW w:w="14678" w:type="dxa"/>
            <w:gridSpan w:val="4"/>
          </w:tcPr>
          <w:p w14:paraId="638F58BD" w14:textId="7BCB0287" w:rsidR="00B231EF" w:rsidRPr="00AB3325" w:rsidRDefault="00B231EF" w:rsidP="004E6EB3">
            <w:pPr>
              <w:spacing w:before="80" w:after="80" w:line="276" w:lineRule="auto"/>
              <w:rPr>
                <w:rFonts w:ascii="Perpetua" w:hAnsi="Perpetua" w:cs="Leelawadee"/>
                <w:b/>
                <w:bCs/>
                <w:sz w:val="32"/>
                <w:szCs w:val="28"/>
              </w:rPr>
            </w:pPr>
            <w:r w:rsidRPr="00AB3325">
              <w:rPr>
                <w:rFonts w:ascii="Perpetua" w:hAnsi="Perpetua"/>
                <w:b/>
                <w:bCs/>
                <w:sz w:val="32"/>
                <w:szCs w:val="28"/>
                <w:u w:val="single"/>
              </w:rPr>
              <w:lastRenderedPageBreak/>
              <w:t>Part IV. Sourcing of Partnership Income and Items</w:t>
            </w:r>
          </w:p>
        </w:tc>
      </w:tr>
      <w:tr w:rsidR="00B231EF" w14:paraId="7C809E62" w14:textId="77777777">
        <w:tc>
          <w:tcPr>
            <w:tcW w:w="535" w:type="dxa"/>
          </w:tcPr>
          <w:p w14:paraId="01A27C89" w14:textId="77777777" w:rsidR="00B231EF" w:rsidRPr="00AB3325" w:rsidRDefault="00B231EF" w:rsidP="004E6EB3">
            <w:pPr>
              <w:spacing w:before="80" w:after="80" w:line="228" w:lineRule="auto"/>
              <w:rPr>
                <w:rFonts w:ascii="Perpetua" w:hAnsi="Perpetua" w:cs="Leelawadee"/>
                <w:sz w:val="32"/>
                <w:szCs w:val="28"/>
              </w:rPr>
            </w:pPr>
          </w:p>
        </w:tc>
        <w:tc>
          <w:tcPr>
            <w:tcW w:w="14143" w:type="dxa"/>
            <w:gridSpan w:val="3"/>
          </w:tcPr>
          <w:p w14:paraId="617BB5BD" w14:textId="77777777" w:rsidR="006B7939" w:rsidRDefault="00B231EF" w:rsidP="00BD6900">
            <w:pPr>
              <w:spacing w:before="120" w:after="80" w:line="228" w:lineRule="auto"/>
              <w:rPr>
                <w:rFonts w:ascii="Perpetua" w:hAnsi="Perpetua" w:cs="Leelawadee"/>
                <w:i/>
                <w:iCs/>
                <w:color w:val="0040F6"/>
                <w:sz w:val="32"/>
                <w:szCs w:val="28"/>
                <w:highlight w:val="yellow"/>
              </w:rPr>
            </w:pPr>
            <w:r w:rsidRPr="005716B8">
              <w:rPr>
                <w:rFonts w:ascii="Perpetua" w:hAnsi="Perpetua" w:cs="Leelawadee"/>
                <w:i/>
                <w:iCs/>
                <w:color w:val="0040F6"/>
                <w:sz w:val="32"/>
                <w:szCs w:val="28"/>
                <w:highlight w:val="yellow"/>
              </w:rPr>
              <w:t xml:space="preserve">Drafter’s Note: </w:t>
            </w:r>
            <w:r w:rsidR="005B3BF1">
              <w:rPr>
                <w:rFonts w:ascii="Perpetua" w:hAnsi="Perpetua" w:cs="Leelawadee"/>
                <w:i/>
                <w:iCs/>
                <w:color w:val="0040F6"/>
                <w:sz w:val="32"/>
                <w:szCs w:val="28"/>
                <w:highlight w:val="yellow"/>
              </w:rPr>
              <w:t>These provisions</w:t>
            </w:r>
            <w:r w:rsidRPr="005716B8">
              <w:rPr>
                <w:rFonts w:ascii="Perpetua" w:hAnsi="Perpetua" w:cs="Leelawadee"/>
                <w:i/>
                <w:iCs/>
                <w:color w:val="0040F6"/>
                <w:sz w:val="32"/>
                <w:szCs w:val="28"/>
                <w:highlight w:val="yellow"/>
              </w:rPr>
              <w:t xml:space="preserve"> are designed to </w:t>
            </w:r>
            <w:r w:rsidR="00FE3ECD">
              <w:rPr>
                <w:rFonts w:ascii="Perpetua" w:hAnsi="Perpetua" w:cs="Leelawadee"/>
                <w:i/>
                <w:iCs/>
                <w:color w:val="0040F6"/>
                <w:sz w:val="32"/>
                <w:szCs w:val="28"/>
                <w:highlight w:val="yellow"/>
              </w:rPr>
              <w:t>for</w:t>
            </w:r>
            <w:r w:rsidRPr="005716B8">
              <w:rPr>
                <w:rFonts w:ascii="Perpetua" w:hAnsi="Perpetua" w:cs="Leelawadee"/>
                <w:i/>
                <w:iCs/>
                <w:color w:val="0040F6"/>
                <w:sz w:val="32"/>
                <w:szCs w:val="28"/>
                <w:highlight w:val="yellow"/>
              </w:rPr>
              <w:t xml:space="preserve"> tiered and corporate partners</w:t>
            </w:r>
            <w:r w:rsidR="00254752" w:rsidRPr="005716B8">
              <w:rPr>
                <w:rFonts w:ascii="Perpetua" w:hAnsi="Perpetua" w:cs="Leelawadee"/>
                <w:i/>
                <w:iCs/>
                <w:color w:val="0040F6"/>
                <w:sz w:val="32"/>
                <w:szCs w:val="28"/>
                <w:highlight w:val="yellow"/>
              </w:rPr>
              <w:t xml:space="preserve"> and to address the use of blending</w:t>
            </w:r>
            <w:r w:rsidR="00CF2588" w:rsidRPr="005716B8">
              <w:rPr>
                <w:rFonts w:ascii="Perpetua" w:hAnsi="Perpetua" w:cs="Leelawadee"/>
                <w:i/>
                <w:iCs/>
                <w:color w:val="0040F6"/>
                <w:sz w:val="32"/>
                <w:szCs w:val="28"/>
                <w:highlight w:val="yellow"/>
              </w:rPr>
              <w:t xml:space="preserve">. </w:t>
            </w:r>
            <w:r w:rsidR="00D23307">
              <w:rPr>
                <w:rFonts w:ascii="Perpetua" w:hAnsi="Perpetua" w:cs="Leelawadee"/>
                <w:i/>
                <w:iCs/>
                <w:color w:val="0040F6"/>
                <w:sz w:val="32"/>
                <w:szCs w:val="28"/>
                <w:highlight w:val="yellow"/>
              </w:rPr>
              <w:t xml:space="preserve">But </w:t>
            </w:r>
            <w:r w:rsidRPr="005716B8">
              <w:rPr>
                <w:rFonts w:ascii="Perpetua" w:hAnsi="Perpetua" w:cs="Leelawadee"/>
                <w:i/>
                <w:iCs/>
                <w:color w:val="0040F6"/>
                <w:sz w:val="32"/>
                <w:szCs w:val="28"/>
                <w:highlight w:val="yellow"/>
              </w:rPr>
              <w:t xml:space="preserve">the approach described in Subparts A and B </w:t>
            </w:r>
            <w:r w:rsidR="00CF2588" w:rsidRPr="005716B8">
              <w:rPr>
                <w:rFonts w:ascii="Perpetua" w:hAnsi="Perpetua" w:cs="Leelawadee"/>
                <w:i/>
                <w:iCs/>
                <w:color w:val="0040F6"/>
                <w:sz w:val="32"/>
                <w:szCs w:val="28"/>
                <w:highlight w:val="yellow"/>
              </w:rPr>
              <w:t xml:space="preserve">is </w:t>
            </w:r>
            <w:r w:rsidRPr="005716B8">
              <w:rPr>
                <w:rFonts w:ascii="Perpetua" w:hAnsi="Perpetua" w:cs="Leelawadee"/>
                <w:i/>
                <w:iCs/>
                <w:color w:val="0040F6"/>
                <w:sz w:val="32"/>
                <w:szCs w:val="28"/>
                <w:highlight w:val="yellow"/>
              </w:rPr>
              <w:t xml:space="preserve">consistent with </w:t>
            </w:r>
            <w:r w:rsidR="00D23307">
              <w:rPr>
                <w:rFonts w:ascii="Perpetua" w:hAnsi="Perpetua" w:cs="Leelawadee"/>
                <w:i/>
                <w:iCs/>
                <w:color w:val="0040F6"/>
                <w:sz w:val="32"/>
                <w:szCs w:val="28"/>
                <w:highlight w:val="yellow"/>
              </w:rPr>
              <w:t>state sourcing of</w:t>
            </w:r>
            <w:r w:rsidR="00254752" w:rsidRPr="005716B8">
              <w:rPr>
                <w:rFonts w:ascii="Perpetua" w:hAnsi="Perpetua" w:cs="Leelawadee"/>
                <w:i/>
                <w:iCs/>
                <w:color w:val="0040F6"/>
                <w:sz w:val="32"/>
                <w:szCs w:val="28"/>
                <w:highlight w:val="yellow"/>
              </w:rPr>
              <w:t xml:space="preserve"> income of </w:t>
            </w:r>
            <w:r w:rsidRPr="005716B8">
              <w:rPr>
                <w:rFonts w:ascii="Perpetua" w:hAnsi="Perpetua" w:cs="Leelawadee"/>
                <w:i/>
                <w:iCs/>
                <w:color w:val="0040F6"/>
                <w:sz w:val="32"/>
                <w:szCs w:val="28"/>
                <w:highlight w:val="yellow"/>
              </w:rPr>
              <w:t>individual</w:t>
            </w:r>
            <w:r w:rsidR="00254752" w:rsidRPr="005716B8">
              <w:rPr>
                <w:rFonts w:ascii="Perpetua" w:hAnsi="Perpetua" w:cs="Leelawadee"/>
                <w:i/>
                <w:iCs/>
                <w:color w:val="0040F6"/>
                <w:sz w:val="32"/>
                <w:szCs w:val="28"/>
                <w:highlight w:val="yellow"/>
              </w:rPr>
              <w:t xml:space="preserve"> partners </w:t>
            </w:r>
            <w:r w:rsidR="00D23307">
              <w:rPr>
                <w:rFonts w:ascii="Perpetua" w:hAnsi="Perpetua" w:cs="Leelawadee"/>
                <w:i/>
                <w:iCs/>
                <w:color w:val="0040F6"/>
                <w:sz w:val="32"/>
                <w:szCs w:val="28"/>
                <w:highlight w:val="yellow"/>
              </w:rPr>
              <w:t>as well</w:t>
            </w:r>
            <w:r w:rsidRPr="005716B8">
              <w:rPr>
                <w:rFonts w:ascii="Perpetua" w:hAnsi="Perpetua" w:cs="Leelawadee"/>
                <w:i/>
                <w:iCs/>
                <w:color w:val="0040F6"/>
                <w:sz w:val="32"/>
                <w:szCs w:val="28"/>
                <w:highlight w:val="yellow"/>
              </w:rPr>
              <w:t>.</w:t>
            </w:r>
            <w:r w:rsidR="00254752" w:rsidRPr="005716B8">
              <w:rPr>
                <w:rFonts w:ascii="Perpetua" w:hAnsi="Perpetua" w:cs="Leelawadee"/>
                <w:i/>
                <w:iCs/>
                <w:color w:val="0040F6"/>
                <w:sz w:val="32"/>
                <w:szCs w:val="28"/>
                <w:highlight w:val="yellow"/>
              </w:rPr>
              <w:t xml:space="preserve"> Therefore, this Part </w:t>
            </w:r>
            <w:r w:rsidR="008E0485">
              <w:rPr>
                <w:rFonts w:ascii="Perpetua" w:hAnsi="Perpetua" w:cs="Leelawadee"/>
                <w:i/>
                <w:iCs/>
                <w:color w:val="0040F6"/>
                <w:sz w:val="32"/>
                <w:szCs w:val="28"/>
                <w:highlight w:val="yellow"/>
              </w:rPr>
              <w:t xml:space="preserve">IV </w:t>
            </w:r>
            <w:r w:rsidR="00F51FE2" w:rsidRPr="005716B8">
              <w:rPr>
                <w:rFonts w:ascii="Perpetua" w:hAnsi="Perpetua" w:cs="Leelawadee"/>
                <w:i/>
                <w:iCs/>
                <w:color w:val="0040F6"/>
                <w:sz w:val="32"/>
                <w:szCs w:val="28"/>
                <w:highlight w:val="yellow"/>
              </w:rPr>
              <w:t xml:space="preserve">also includes provisions for sourcing income where blending is not used, including for </w:t>
            </w:r>
            <w:r w:rsidR="002D03D2">
              <w:rPr>
                <w:rFonts w:ascii="Perpetua" w:hAnsi="Perpetua" w:cs="Leelawadee"/>
                <w:i/>
                <w:iCs/>
                <w:color w:val="0040F6"/>
                <w:sz w:val="32"/>
                <w:szCs w:val="28"/>
                <w:highlight w:val="yellow"/>
              </w:rPr>
              <w:t>individual</w:t>
            </w:r>
            <w:r w:rsidR="00B94167" w:rsidRPr="005716B8">
              <w:rPr>
                <w:rFonts w:ascii="Perpetua" w:hAnsi="Perpetua" w:cs="Leelawadee"/>
                <w:i/>
                <w:iCs/>
                <w:color w:val="0040F6"/>
                <w:sz w:val="32"/>
                <w:szCs w:val="28"/>
                <w:highlight w:val="yellow"/>
              </w:rPr>
              <w:t xml:space="preserve"> partners.</w:t>
            </w:r>
            <w:r w:rsidR="002D03D2">
              <w:rPr>
                <w:rFonts w:ascii="Perpetua" w:hAnsi="Perpetua" w:cs="Leelawadee"/>
                <w:i/>
                <w:iCs/>
                <w:color w:val="0040F6"/>
                <w:sz w:val="32"/>
                <w:szCs w:val="28"/>
                <w:highlight w:val="yellow"/>
              </w:rPr>
              <w:t xml:space="preserve"> </w:t>
            </w:r>
          </w:p>
          <w:p w14:paraId="03FC8406" w14:textId="77777777" w:rsidR="006B7939" w:rsidRDefault="002D03D2" w:rsidP="00BD6900">
            <w:pPr>
              <w:spacing w:before="120" w:after="80" w:line="228" w:lineRule="auto"/>
              <w:rPr>
                <w:rFonts w:ascii="Perpetua" w:hAnsi="Perpetua" w:cs="Leelawadee"/>
                <w:i/>
                <w:iCs/>
                <w:color w:val="0040F6"/>
                <w:sz w:val="32"/>
                <w:szCs w:val="28"/>
                <w:highlight w:val="yellow"/>
              </w:rPr>
            </w:pPr>
            <w:r>
              <w:rPr>
                <w:rFonts w:ascii="Perpetua" w:hAnsi="Perpetua" w:cs="Leelawadee"/>
                <w:i/>
                <w:iCs/>
                <w:color w:val="0040F6"/>
                <w:sz w:val="32"/>
                <w:szCs w:val="28"/>
                <w:highlight w:val="yellow"/>
              </w:rPr>
              <w:t>And w</w:t>
            </w:r>
            <w:r w:rsidR="00B231EF" w:rsidRPr="005716B8">
              <w:rPr>
                <w:rFonts w:ascii="Perpetua" w:hAnsi="Perpetua" w:cs="Leelawadee"/>
                <w:i/>
                <w:iCs/>
                <w:color w:val="0040F6"/>
                <w:sz w:val="32"/>
                <w:szCs w:val="28"/>
                <w:highlight w:val="yellow"/>
              </w:rPr>
              <w:t xml:space="preserve">hile the rules below provide references to both a state’s corporate and individual state tax and sourcing rules, this is because those rules are often contained in separate sections of state law. But we assume that the rules would generally be the same </w:t>
            </w:r>
            <w:r w:rsidR="00F2559D" w:rsidRPr="005716B8">
              <w:rPr>
                <w:rFonts w:ascii="Perpetua" w:hAnsi="Perpetua" w:cs="Leelawadee"/>
                <w:i/>
                <w:iCs/>
                <w:color w:val="0040F6"/>
                <w:sz w:val="32"/>
                <w:szCs w:val="28"/>
                <w:highlight w:val="yellow"/>
              </w:rPr>
              <w:t>whether</w:t>
            </w:r>
            <w:r w:rsidR="00B231EF" w:rsidRPr="005716B8">
              <w:rPr>
                <w:rFonts w:ascii="Perpetua" w:hAnsi="Perpetua" w:cs="Leelawadee"/>
                <w:i/>
                <w:iCs/>
                <w:color w:val="0040F6"/>
                <w:sz w:val="32"/>
                <w:szCs w:val="28"/>
                <w:highlight w:val="yellow"/>
              </w:rPr>
              <w:t xml:space="preserve"> sourcing the income from business activities of individuals or corporations</w:t>
            </w:r>
            <w:r w:rsidR="00BF6407" w:rsidRPr="005716B8">
              <w:rPr>
                <w:rFonts w:ascii="Perpetua" w:hAnsi="Perpetua" w:cs="Leelawadee"/>
                <w:i/>
                <w:iCs/>
                <w:color w:val="0040F6"/>
                <w:sz w:val="32"/>
                <w:szCs w:val="28"/>
                <w:highlight w:val="yellow"/>
              </w:rPr>
              <w:t xml:space="preserve">. </w:t>
            </w:r>
            <w:r w:rsidR="00CB18D7" w:rsidRPr="005716B8">
              <w:rPr>
                <w:rFonts w:ascii="Perpetua" w:hAnsi="Perpetua" w:cs="Leelawadee"/>
                <w:i/>
                <w:iCs/>
                <w:color w:val="0040F6"/>
                <w:sz w:val="32"/>
                <w:szCs w:val="28"/>
                <w:highlight w:val="yellow"/>
              </w:rPr>
              <w:t xml:space="preserve">If </w:t>
            </w:r>
            <w:r w:rsidR="008E0485">
              <w:rPr>
                <w:rFonts w:ascii="Perpetua" w:hAnsi="Perpetua" w:cs="Leelawadee"/>
                <w:i/>
                <w:iCs/>
                <w:color w:val="0040F6"/>
                <w:sz w:val="32"/>
                <w:szCs w:val="28"/>
                <w:highlight w:val="yellow"/>
              </w:rPr>
              <w:t>this is not the case for a particular state, it will c</w:t>
            </w:r>
            <w:r w:rsidR="00CB18D7" w:rsidRPr="005716B8">
              <w:rPr>
                <w:rFonts w:ascii="Perpetua" w:hAnsi="Perpetua" w:cs="Leelawadee"/>
                <w:i/>
                <w:iCs/>
                <w:color w:val="0040F6"/>
                <w:sz w:val="32"/>
                <w:szCs w:val="28"/>
                <w:highlight w:val="yellow"/>
              </w:rPr>
              <w:t xml:space="preserve">omplicate the application of </w:t>
            </w:r>
            <w:r w:rsidR="00924AEB" w:rsidRPr="005716B8">
              <w:rPr>
                <w:rFonts w:ascii="Perpetua" w:hAnsi="Perpetua" w:cs="Leelawadee"/>
                <w:i/>
                <w:iCs/>
                <w:color w:val="0040F6"/>
                <w:sz w:val="32"/>
                <w:szCs w:val="28"/>
                <w:highlight w:val="yellow"/>
              </w:rPr>
              <w:t xml:space="preserve">both the pass-through </w:t>
            </w:r>
            <w:r w:rsidR="0031503E">
              <w:rPr>
                <w:rFonts w:ascii="Perpetua" w:hAnsi="Perpetua" w:cs="Leelawadee"/>
                <w:i/>
                <w:iCs/>
                <w:color w:val="0040F6"/>
                <w:sz w:val="32"/>
                <w:szCs w:val="28"/>
                <w:highlight w:val="yellow"/>
              </w:rPr>
              <w:t xml:space="preserve">tax </w:t>
            </w:r>
            <w:r w:rsidR="00924AEB" w:rsidRPr="005716B8">
              <w:rPr>
                <w:rFonts w:ascii="Perpetua" w:hAnsi="Perpetua" w:cs="Leelawadee"/>
                <w:i/>
                <w:iCs/>
                <w:color w:val="0040F6"/>
                <w:sz w:val="32"/>
                <w:szCs w:val="28"/>
                <w:highlight w:val="yellow"/>
              </w:rPr>
              <w:t>system and any entity-level taxes applied to partnerships.</w:t>
            </w:r>
            <w:r w:rsidR="005B3BF1">
              <w:rPr>
                <w:rFonts w:ascii="Perpetua" w:hAnsi="Perpetua" w:cs="Leelawadee"/>
                <w:i/>
                <w:iCs/>
                <w:color w:val="0040F6"/>
                <w:sz w:val="32"/>
                <w:szCs w:val="28"/>
                <w:highlight w:val="yellow"/>
              </w:rPr>
              <w:t xml:space="preserve"> </w:t>
            </w:r>
          </w:p>
          <w:p w14:paraId="3FBE243A" w14:textId="61F80C4B" w:rsidR="009A2A01" w:rsidRPr="00164178" w:rsidRDefault="000513D2" w:rsidP="00BD6900">
            <w:pPr>
              <w:spacing w:before="120" w:after="80" w:line="228" w:lineRule="auto"/>
              <w:rPr>
                <w:rFonts w:ascii="Perpetua" w:hAnsi="Perpetua" w:cs="Leelawadee"/>
                <w:i/>
                <w:iCs/>
                <w:sz w:val="30"/>
                <w:szCs w:val="30"/>
              </w:rPr>
            </w:pPr>
            <w:r w:rsidRPr="0000233F">
              <w:rPr>
                <w:rFonts w:ascii="Perpetua" w:hAnsi="Perpetua" w:cs="Leelawadee"/>
                <w:i/>
                <w:iCs/>
                <w:color w:val="0040F6"/>
                <w:sz w:val="32"/>
                <w:szCs w:val="32"/>
                <w:highlight w:val="yellow"/>
              </w:rPr>
              <w:t>Finally</w:t>
            </w:r>
            <w:r w:rsidR="00BD29CF" w:rsidRPr="0000233F">
              <w:rPr>
                <w:rFonts w:ascii="Perpetua" w:hAnsi="Perpetua" w:cs="Leelawadee"/>
                <w:i/>
                <w:iCs/>
                <w:color w:val="0040F6"/>
                <w:sz w:val="32"/>
                <w:szCs w:val="32"/>
                <w:highlight w:val="yellow"/>
              </w:rPr>
              <w:t>, t</w:t>
            </w:r>
            <w:r w:rsidR="00277B8B" w:rsidRPr="0000233F">
              <w:rPr>
                <w:rFonts w:ascii="Perpetua" w:hAnsi="Perpetua" w:cs="Leelawadee"/>
                <w:i/>
                <w:iCs/>
                <w:color w:val="0040F6"/>
                <w:sz w:val="32"/>
                <w:szCs w:val="32"/>
                <w:highlight w:val="yellow"/>
              </w:rPr>
              <w:t xml:space="preserve">o the extent a state has adopted Section 18 authority, that authority </w:t>
            </w:r>
            <w:r w:rsidR="006B7727" w:rsidRPr="0000233F">
              <w:rPr>
                <w:rFonts w:ascii="Perpetua" w:hAnsi="Perpetua" w:cs="Leelawadee"/>
                <w:i/>
                <w:iCs/>
                <w:color w:val="0040F6"/>
                <w:sz w:val="32"/>
                <w:szCs w:val="32"/>
                <w:highlight w:val="yellow"/>
              </w:rPr>
              <w:t>may also apply to partnership income, subject to the specific language and requirements of the state</w:t>
            </w:r>
            <w:r w:rsidR="00504740" w:rsidRPr="0000233F">
              <w:rPr>
                <w:rFonts w:ascii="Perpetua" w:hAnsi="Perpetua" w:cs="Leelawadee"/>
                <w:i/>
                <w:iCs/>
                <w:color w:val="0040F6"/>
                <w:sz w:val="32"/>
                <w:szCs w:val="32"/>
                <w:highlight w:val="yellow"/>
              </w:rPr>
              <w:t>’s provision.</w:t>
            </w:r>
          </w:p>
        </w:tc>
      </w:tr>
      <w:tr w:rsidR="00B231EF" w14:paraId="4E8081FC" w14:textId="77777777" w:rsidTr="001821AF">
        <w:tc>
          <w:tcPr>
            <w:tcW w:w="535" w:type="dxa"/>
          </w:tcPr>
          <w:p w14:paraId="3CE8C391" w14:textId="0A791A4A"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9028" w:type="dxa"/>
            <w:gridSpan w:val="2"/>
          </w:tcPr>
          <w:p w14:paraId="3E3B7154" w14:textId="0F7D61E6" w:rsidR="00B231EF" w:rsidRPr="00AB3325" w:rsidRDefault="00EF108D" w:rsidP="004E6EB3">
            <w:pPr>
              <w:spacing w:before="80" w:after="80" w:line="228" w:lineRule="auto"/>
              <w:rPr>
                <w:rFonts w:ascii="Perpetua" w:hAnsi="Perpetua" w:cs="Leelawadee"/>
                <w:sz w:val="32"/>
                <w:szCs w:val="28"/>
              </w:rPr>
            </w:pPr>
            <w:r>
              <w:rPr>
                <w:rFonts w:ascii="Perpetua" w:hAnsi="Perpetua"/>
                <w:sz w:val="32"/>
                <w:szCs w:val="28"/>
              </w:rPr>
              <w:t>In applying the sourcing rules below, a</w:t>
            </w:r>
            <w:r w:rsidR="00B231EF" w:rsidRPr="00AB3325">
              <w:rPr>
                <w:rFonts w:ascii="Perpetua" w:hAnsi="Perpetua"/>
                <w:sz w:val="32"/>
                <w:szCs w:val="28"/>
              </w:rPr>
              <w:t xml:space="preserve"> partnership required to report information as described in Part III, must</w:t>
            </w:r>
            <w:r w:rsidR="001A1346">
              <w:rPr>
                <w:rFonts w:ascii="Perpetua" w:hAnsi="Perpetua"/>
                <w:sz w:val="32"/>
                <w:szCs w:val="28"/>
              </w:rPr>
              <w:t xml:space="preserve"> properly</w:t>
            </w:r>
            <w:r w:rsidR="00B231EF" w:rsidRPr="00AB3325">
              <w:rPr>
                <w:rFonts w:ascii="Perpetua" w:hAnsi="Perpetua"/>
                <w:sz w:val="32"/>
                <w:szCs w:val="28"/>
              </w:rPr>
              <w:t xml:space="preserve"> apply the applicable [STATE] and federal tax rules as required by Part II in determining that information.</w:t>
            </w:r>
          </w:p>
        </w:tc>
        <w:tc>
          <w:tcPr>
            <w:tcW w:w="5115" w:type="dxa"/>
          </w:tcPr>
          <w:p w14:paraId="45399E73" w14:textId="69C91A65" w:rsidR="00B231EF" w:rsidRPr="00287DDA" w:rsidRDefault="00B231EF" w:rsidP="004E6EB3">
            <w:pPr>
              <w:spacing w:before="80" w:after="80" w:line="276" w:lineRule="auto"/>
              <w:rPr>
                <w:rFonts w:ascii="Tahoma" w:hAnsi="Tahoma" w:cs="Tahoma"/>
                <w:color w:val="7A18FC"/>
                <w:sz w:val="22"/>
                <w:szCs w:val="22"/>
              </w:rPr>
            </w:pPr>
          </w:p>
        </w:tc>
      </w:tr>
      <w:tr w:rsidR="00B231EF" w14:paraId="16ECCB28" w14:textId="77777777" w:rsidTr="00701883">
        <w:tc>
          <w:tcPr>
            <w:tcW w:w="535" w:type="dxa"/>
          </w:tcPr>
          <w:p w14:paraId="39C947CE" w14:textId="76406A09"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67EC1F9B" w14:textId="0E152FB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sz w:val="32"/>
                <w:szCs w:val="28"/>
              </w:rPr>
              <w:t>Items Recognized Directly by a Partnership:</w:t>
            </w:r>
          </w:p>
        </w:tc>
        <w:tc>
          <w:tcPr>
            <w:tcW w:w="5115" w:type="dxa"/>
            <w:tcBorders>
              <w:bottom w:val="single" w:sz="4" w:space="0" w:color="auto"/>
            </w:tcBorders>
          </w:tcPr>
          <w:p w14:paraId="60898629" w14:textId="77777777" w:rsidR="00B231EF" w:rsidRPr="00287DDA" w:rsidRDefault="00B231EF" w:rsidP="004E6EB3">
            <w:pPr>
              <w:spacing w:before="80" w:after="80" w:line="276" w:lineRule="auto"/>
              <w:rPr>
                <w:rFonts w:ascii="Tahoma" w:hAnsi="Tahoma" w:cs="Tahoma"/>
                <w:color w:val="7A18FC"/>
                <w:sz w:val="22"/>
                <w:szCs w:val="22"/>
              </w:rPr>
            </w:pPr>
          </w:p>
        </w:tc>
      </w:tr>
      <w:tr w:rsidR="00B231EF" w14:paraId="301418BA" w14:textId="77777777" w:rsidTr="006E1CD4">
        <w:tc>
          <w:tcPr>
            <w:tcW w:w="535" w:type="dxa"/>
          </w:tcPr>
          <w:p w14:paraId="68BD19DC" w14:textId="77777777" w:rsidR="00B231EF" w:rsidRPr="00AB3325" w:rsidRDefault="00B231EF" w:rsidP="004E6EB3">
            <w:pPr>
              <w:spacing w:before="80" w:after="80" w:line="228" w:lineRule="auto"/>
              <w:rPr>
                <w:rFonts w:ascii="Perpetua" w:hAnsi="Perpetua" w:cs="Leelawadee"/>
                <w:sz w:val="32"/>
                <w:szCs w:val="28"/>
              </w:rPr>
            </w:pPr>
          </w:p>
        </w:tc>
        <w:tc>
          <w:tcPr>
            <w:tcW w:w="9028" w:type="dxa"/>
            <w:gridSpan w:val="2"/>
            <w:tcBorders>
              <w:right w:val="single" w:sz="4" w:space="0" w:color="auto"/>
            </w:tcBorders>
          </w:tcPr>
          <w:p w14:paraId="7D95A26F" w14:textId="77777777" w:rsidR="006B7939" w:rsidRDefault="00B231EF" w:rsidP="00BD6900">
            <w:pPr>
              <w:spacing w:before="120" w:after="80" w:line="228" w:lineRule="auto"/>
              <w:rPr>
                <w:rFonts w:ascii="Perpetua" w:hAnsi="Perpetua"/>
                <w:i/>
                <w:iCs/>
                <w:color w:val="0040F6"/>
                <w:sz w:val="32"/>
                <w:szCs w:val="28"/>
                <w:highlight w:val="yellow"/>
              </w:rPr>
            </w:pPr>
            <w:r w:rsidRPr="00AB325D">
              <w:rPr>
                <w:rFonts w:ascii="Perpetua" w:hAnsi="Perpetua"/>
                <w:i/>
                <w:iCs/>
                <w:color w:val="0040F6"/>
                <w:sz w:val="32"/>
                <w:szCs w:val="28"/>
                <w:highlight w:val="yellow"/>
              </w:rPr>
              <w:t>Drafter’s Note: Partnership structures may include multiple tiers</w:t>
            </w:r>
            <w:r w:rsidR="00AC64D9">
              <w:rPr>
                <w:rFonts w:ascii="Perpetua" w:hAnsi="Perpetua"/>
                <w:i/>
                <w:iCs/>
                <w:color w:val="0040F6"/>
                <w:sz w:val="32"/>
                <w:szCs w:val="28"/>
                <w:highlight w:val="yellow"/>
              </w:rPr>
              <w:t>,</w:t>
            </w:r>
            <w:r w:rsidRPr="00AB325D">
              <w:rPr>
                <w:rFonts w:ascii="Perpetua" w:hAnsi="Perpetua"/>
                <w:i/>
                <w:iCs/>
                <w:color w:val="0040F6"/>
                <w:sz w:val="32"/>
                <w:szCs w:val="28"/>
                <w:highlight w:val="yellow"/>
              </w:rPr>
              <w:t xml:space="preserve"> partners</w:t>
            </w:r>
            <w:r w:rsidR="00AC64D9">
              <w:rPr>
                <w:rFonts w:ascii="Perpetua" w:hAnsi="Perpetua"/>
                <w:i/>
                <w:iCs/>
                <w:color w:val="0040F6"/>
                <w:sz w:val="32"/>
                <w:szCs w:val="28"/>
                <w:highlight w:val="yellow"/>
              </w:rPr>
              <w:t xml:space="preserve"> that are other partnerships or </w:t>
            </w:r>
            <w:r w:rsidR="00F44BD0">
              <w:rPr>
                <w:rFonts w:ascii="Perpetua" w:hAnsi="Perpetua"/>
                <w:i/>
                <w:iCs/>
                <w:color w:val="0040F6"/>
                <w:sz w:val="32"/>
                <w:szCs w:val="28"/>
                <w:highlight w:val="yellow"/>
              </w:rPr>
              <w:t xml:space="preserve">other </w:t>
            </w:r>
            <w:r w:rsidR="00454B8A" w:rsidRPr="00AB325D">
              <w:rPr>
                <w:rFonts w:ascii="Perpetua" w:hAnsi="Perpetua"/>
                <w:i/>
                <w:iCs/>
                <w:color w:val="0040F6"/>
                <w:sz w:val="32"/>
                <w:szCs w:val="28"/>
                <w:highlight w:val="yellow"/>
              </w:rPr>
              <w:t>pass-through entitie</w:t>
            </w:r>
            <w:r w:rsidR="00E425FA" w:rsidRPr="00AB325D">
              <w:rPr>
                <w:rFonts w:ascii="Perpetua" w:hAnsi="Perpetua"/>
                <w:i/>
                <w:iCs/>
                <w:color w:val="0040F6"/>
                <w:sz w:val="32"/>
                <w:szCs w:val="28"/>
                <w:highlight w:val="yellow"/>
              </w:rPr>
              <w:t>s</w:t>
            </w:r>
            <w:r w:rsidR="009E1707">
              <w:rPr>
                <w:rFonts w:ascii="Perpetua" w:hAnsi="Perpetua"/>
                <w:i/>
                <w:iCs/>
                <w:color w:val="0040F6"/>
                <w:sz w:val="32"/>
                <w:szCs w:val="28"/>
                <w:highlight w:val="yellow"/>
              </w:rPr>
              <w:t>,</w:t>
            </w:r>
            <w:r w:rsidRPr="00AB325D">
              <w:rPr>
                <w:rFonts w:ascii="Perpetua" w:hAnsi="Perpetua"/>
                <w:i/>
                <w:iCs/>
                <w:color w:val="0040F6"/>
                <w:sz w:val="32"/>
                <w:szCs w:val="28"/>
                <w:highlight w:val="yellow"/>
              </w:rPr>
              <w:t xml:space="preserve"> through which </w:t>
            </w:r>
            <w:r w:rsidR="0052129A" w:rsidRPr="00AB325D">
              <w:rPr>
                <w:rFonts w:ascii="Perpetua" w:hAnsi="Perpetua"/>
                <w:i/>
                <w:iCs/>
                <w:color w:val="0040F6"/>
                <w:sz w:val="32"/>
                <w:szCs w:val="28"/>
                <w:highlight w:val="yellow"/>
              </w:rPr>
              <w:t>a lower-tier</w:t>
            </w:r>
            <w:r w:rsidR="00DE631C">
              <w:rPr>
                <w:rFonts w:ascii="Perpetua" w:hAnsi="Perpetua"/>
                <w:i/>
                <w:iCs/>
                <w:color w:val="0040F6"/>
                <w:sz w:val="32"/>
                <w:szCs w:val="28"/>
                <w:highlight w:val="yellow"/>
              </w:rPr>
              <w:t xml:space="preserve"> partnership’s</w:t>
            </w:r>
            <w:r w:rsidR="0052129A"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 xml:space="preserve">distributive share </w:t>
            </w:r>
            <w:r w:rsidR="0052129A" w:rsidRPr="00AB325D">
              <w:rPr>
                <w:rFonts w:ascii="Perpetua" w:hAnsi="Perpetua"/>
                <w:i/>
                <w:iCs/>
                <w:color w:val="0040F6"/>
                <w:sz w:val="32"/>
                <w:szCs w:val="28"/>
                <w:highlight w:val="yellow"/>
              </w:rPr>
              <w:t xml:space="preserve">income and items </w:t>
            </w:r>
            <w:r w:rsidRPr="00AB325D">
              <w:rPr>
                <w:rFonts w:ascii="Perpetua" w:hAnsi="Perpetua"/>
                <w:i/>
                <w:iCs/>
                <w:color w:val="0040F6"/>
                <w:sz w:val="32"/>
                <w:szCs w:val="28"/>
                <w:highlight w:val="yellow"/>
              </w:rPr>
              <w:t xml:space="preserve">pass before being allocated </w:t>
            </w:r>
            <w:r w:rsidR="00251325" w:rsidRPr="00AB325D">
              <w:rPr>
                <w:rFonts w:ascii="Perpetua" w:hAnsi="Perpetua"/>
                <w:i/>
                <w:iCs/>
                <w:color w:val="0040F6"/>
                <w:sz w:val="32"/>
                <w:szCs w:val="28"/>
                <w:highlight w:val="yellow"/>
              </w:rPr>
              <w:t xml:space="preserve">by </w:t>
            </w:r>
            <w:r w:rsidR="00AC64D9">
              <w:rPr>
                <w:rFonts w:ascii="Perpetua" w:hAnsi="Perpetua"/>
                <w:i/>
                <w:iCs/>
                <w:color w:val="0040F6"/>
                <w:sz w:val="32"/>
                <w:szCs w:val="28"/>
                <w:highlight w:val="yellow"/>
              </w:rPr>
              <w:t xml:space="preserve">the </w:t>
            </w:r>
            <w:r w:rsidR="00251325" w:rsidRPr="00AB325D">
              <w:rPr>
                <w:rFonts w:ascii="Perpetua" w:hAnsi="Perpetua"/>
                <w:i/>
                <w:iCs/>
                <w:color w:val="0040F6"/>
                <w:sz w:val="32"/>
                <w:szCs w:val="28"/>
                <w:highlight w:val="yellow"/>
              </w:rPr>
              <w:t xml:space="preserve">upper-tier </w:t>
            </w:r>
            <w:r w:rsidR="00E7520D" w:rsidRPr="00AB325D">
              <w:rPr>
                <w:rFonts w:ascii="Perpetua" w:hAnsi="Perpetua"/>
                <w:i/>
                <w:iCs/>
                <w:color w:val="0040F6"/>
                <w:sz w:val="32"/>
                <w:szCs w:val="28"/>
                <w:highlight w:val="yellow"/>
              </w:rPr>
              <w:t>entities</w:t>
            </w:r>
            <w:r w:rsidR="00251325"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to</w:t>
            </w:r>
            <w:r w:rsidR="0052129A"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taxpaying</w:t>
            </w:r>
            <w:r w:rsidR="00E7520D" w:rsidRPr="00AB325D">
              <w:rPr>
                <w:rFonts w:ascii="Perpetua" w:hAnsi="Perpetua"/>
                <w:i/>
                <w:iCs/>
                <w:color w:val="0040F6"/>
                <w:sz w:val="32"/>
                <w:szCs w:val="28"/>
                <w:highlight w:val="yellow"/>
              </w:rPr>
              <w:t xml:space="preserve"> </w:t>
            </w:r>
            <w:r w:rsidRPr="00AB325D">
              <w:rPr>
                <w:rFonts w:ascii="Perpetua" w:hAnsi="Perpetua"/>
                <w:i/>
                <w:iCs/>
                <w:color w:val="0040F6"/>
                <w:sz w:val="32"/>
                <w:szCs w:val="28"/>
                <w:highlight w:val="yellow"/>
              </w:rPr>
              <w:t>partners</w:t>
            </w:r>
            <w:r w:rsidR="00E425FA" w:rsidRPr="00AB325D">
              <w:rPr>
                <w:rFonts w:ascii="Perpetua" w:hAnsi="Perpetua"/>
                <w:i/>
                <w:iCs/>
                <w:color w:val="0040F6"/>
                <w:sz w:val="32"/>
                <w:szCs w:val="28"/>
                <w:highlight w:val="yellow"/>
              </w:rPr>
              <w:t xml:space="preserve"> or beneficial interest holders</w:t>
            </w:r>
            <w:r w:rsidRPr="00AB325D">
              <w:rPr>
                <w:rFonts w:ascii="Perpetua" w:hAnsi="Perpetua"/>
                <w:i/>
                <w:iCs/>
                <w:color w:val="0040F6"/>
                <w:sz w:val="32"/>
                <w:szCs w:val="28"/>
                <w:highlight w:val="yellow"/>
              </w:rPr>
              <w:t>.</w:t>
            </w:r>
            <w:r w:rsidR="00BA3CDD">
              <w:rPr>
                <w:rFonts w:ascii="Perpetua" w:hAnsi="Perpetua"/>
                <w:i/>
                <w:iCs/>
                <w:color w:val="0040F6"/>
                <w:sz w:val="32"/>
                <w:szCs w:val="28"/>
                <w:highlight w:val="yellow"/>
              </w:rPr>
              <w:t xml:space="preserve"> </w:t>
            </w:r>
            <w:r w:rsidR="00DD7D9F" w:rsidRPr="00AB325D">
              <w:rPr>
                <w:rFonts w:ascii="Perpetua" w:hAnsi="Perpetua"/>
                <w:i/>
                <w:iCs/>
                <w:color w:val="0040F6"/>
                <w:sz w:val="32"/>
                <w:szCs w:val="28"/>
                <w:highlight w:val="yellow"/>
              </w:rPr>
              <w:t xml:space="preserve">Under IRC Subchapter K, </w:t>
            </w:r>
            <w:r w:rsidR="00DE631C">
              <w:rPr>
                <w:rFonts w:ascii="Perpetua" w:hAnsi="Perpetua"/>
                <w:i/>
                <w:iCs/>
                <w:color w:val="0040F6"/>
                <w:sz w:val="32"/>
                <w:szCs w:val="28"/>
                <w:highlight w:val="yellow"/>
              </w:rPr>
              <w:t xml:space="preserve">an item’s </w:t>
            </w:r>
            <w:r w:rsidR="00E7520D" w:rsidRPr="00AB325D">
              <w:rPr>
                <w:rFonts w:ascii="Perpetua" w:hAnsi="Perpetua"/>
                <w:i/>
                <w:iCs/>
                <w:color w:val="0040F6"/>
                <w:sz w:val="32"/>
                <w:szCs w:val="28"/>
                <w:highlight w:val="yellow"/>
              </w:rPr>
              <w:t xml:space="preserve">character is determined by the partnership recognizing </w:t>
            </w:r>
            <w:r w:rsidR="00DE631C">
              <w:rPr>
                <w:rFonts w:ascii="Perpetua" w:hAnsi="Perpetua"/>
                <w:i/>
                <w:iCs/>
                <w:color w:val="0040F6"/>
                <w:sz w:val="32"/>
                <w:szCs w:val="28"/>
                <w:highlight w:val="yellow"/>
              </w:rPr>
              <w:t>the</w:t>
            </w:r>
            <w:r w:rsidR="00606FCD" w:rsidRPr="00AB325D">
              <w:rPr>
                <w:rFonts w:ascii="Perpetua" w:hAnsi="Perpetua"/>
                <w:i/>
                <w:iCs/>
                <w:color w:val="0040F6"/>
                <w:sz w:val="32"/>
                <w:szCs w:val="28"/>
                <w:highlight w:val="yellow"/>
              </w:rPr>
              <w:t xml:space="preserve"> item </w:t>
            </w:r>
            <w:r w:rsidR="00E7520D" w:rsidRPr="00AB325D">
              <w:rPr>
                <w:rFonts w:ascii="Perpetua" w:hAnsi="Perpetua"/>
                <w:i/>
                <w:iCs/>
                <w:color w:val="0040F6"/>
                <w:sz w:val="32"/>
                <w:szCs w:val="28"/>
                <w:highlight w:val="yellow"/>
              </w:rPr>
              <w:t>and does not change.</w:t>
            </w:r>
            <w:r w:rsidR="003B3DF0">
              <w:rPr>
                <w:rFonts w:ascii="Perpetua" w:hAnsi="Perpetua"/>
                <w:i/>
                <w:iCs/>
                <w:color w:val="0040F6"/>
                <w:sz w:val="32"/>
                <w:szCs w:val="28"/>
                <w:highlight w:val="yellow"/>
              </w:rPr>
              <w:t xml:space="preserve"> </w:t>
            </w:r>
          </w:p>
          <w:p w14:paraId="4A7CED93" w14:textId="09618771" w:rsidR="00B231EF" w:rsidRPr="00AB325D" w:rsidRDefault="009C3724" w:rsidP="00BD6900">
            <w:pPr>
              <w:spacing w:before="120" w:after="80" w:line="228" w:lineRule="auto"/>
              <w:rPr>
                <w:rFonts w:ascii="Perpetua" w:hAnsi="Perpetua" w:cs="Leelawadee"/>
                <w:i/>
                <w:iCs/>
                <w:sz w:val="32"/>
                <w:szCs w:val="28"/>
              </w:rPr>
            </w:pPr>
            <w:r>
              <w:rPr>
                <w:rFonts w:ascii="Perpetua" w:hAnsi="Perpetua"/>
                <w:i/>
                <w:iCs/>
                <w:color w:val="0040F6"/>
                <w:sz w:val="32"/>
                <w:szCs w:val="28"/>
                <w:highlight w:val="yellow"/>
              </w:rPr>
              <w:t>Paragraph B</w:t>
            </w:r>
            <w:r w:rsidR="00B231EF" w:rsidRPr="00AB325D">
              <w:rPr>
                <w:rFonts w:ascii="Perpetua" w:hAnsi="Perpetua"/>
                <w:i/>
                <w:iCs/>
                <w:color w:val="0040F6"/>
                <w:sz w:val="32"/>
                <w:szCs w:val="28"/>
                <w:highlight w:val="yellow"/>
              </w:rPr>
              <w:t xml:space="preserve"> is intended to make explicit the requirement that the partnership first recognizing the item of income, expense, gain, or loss </w:t>
            </w:r>
            <w:r w:rsidR="007E157D" w:rsidRPr="00AB325D">
              <w:rPr>
                <w:rFonts w:ascii="Perpetua" w:hAnsi="Perpetua"/>
                <w:i/>
                <w:iCs/>
                <w:color w:val="0040F6"/>
                <w:sz w:val="32"/>
                <w:szCs w:val="28"/>
                <w:highlight w:val="yellow"/>
              </w:rPr>
              <w:t xml:space="preserve">must also </w:t>
            </w:r>
            <w:r w:rsidR="00B231EF" w:rsidRPr="00AB325D">
              <w:rPr>
                <w:rFonts w:ascii="Perpetua" w:hAnsi="Perpetua"/>
                <w:i/>
                <w:iCs/>
                <w:color w:val="0040F6"/>
                <w:sz w:val="32"/>
                <w:szCs w:val="28"/>
                <w:highlight w:val="yellow"/>
              </w:rPr>
              <w:t>determine its tax character for state tax treatment</w:t>
            </w:r>
            <w:r w:rsidR="00167A85" w:rsidRPr="00AB325D">
              <w:rPr>
                <w:rFonts w:ascii="Perpetua" w:hAnsi="Perpetua"/>
                <w:i/>
                <w:iCs/>
                <w:color w:val="0040F6"/>
                <w:sz w:val="32"/>
                <w:szCs w:val="28"/>
                <w:highlight w:val="yellow"/>
              </w:rPr>
              <w:t>,</w:t>
            </w:r>
            <w:r w:rsidR="00B231EF" w:rsidRPr="00AB325D">
              <w:rPr>
                <w:rFonts w:ascii="Perpetua" w:hAnsi="Perpetua"/>
                <w:i/>
                <w:iCs/>
                <w:color w:val="0040F6"/>
                <w:sz w:val="32"/>
                <w:szCs w:val="28"/>
                <w:highlight w:val="yellow"/>
              </w:rPr>
              <w:t xml:space="preserve"> including sourcing.</w:t>
            </w:r>
          </w:p>
        </w:tc>
        <w:tc>
          <w:tcPr>
            <w:tcW w:w="5115" w:type="dxa"/>
            <w:tcBorders>
              <w:top w:val="single" w:sz="4" w:space="0" w:color="auto"/>
              <w:left w:val="single" w:sz="4" w:space="0" w:color="auto"/>
              <w:bottom w:val="single" w:sz="4" w:space="0" w:color="auto"/>
              <w:right w:val="single" w:sz="4" w:space="0" w:color="auto"/>
            </w:tcBorders>
          </w:tcPr>
          <w:p w14:paraId="35B306AE" w14:textId="13850FC9" w:rsidR="00B231EF" w:rsidRPr="00F64E40" w:rsidRDefault="00C46820" w:rsidP="004E6EB3">
            <w:pPr>
              <w:spacing w:before="80" w:after="80" w:line="276" w:lineRule="auto"/>
              <w:rPr>
                <w:rFonts w:ascii="Perpetua" w:hAnsi="Perpetua" w:cs="Leelawadee"/>
                <w:color w:val="3A7C22" w:themeColor="accent6" w:themeShade="BF"/>
                <w:sz w:val="30"/>
                <w:szCs w:val="30"/>
              </w:rPr>
            </w:pPr>
            <w:r w:rsidRPr="00F64E40">
              <w:rPr>
                <w:rFonts w:ascii="Tahoma" w:hAnsi="Tahoma" w:cs="Tahoma"/>
                <w:color w:val="3A7C22" w:themeColor="accent6" w:themeShade="BF"/>
                <w:sz w:val="22"/>
                <w:szCs w:val="22"/>
              </w:rPr>
              <w:t xml:space="preserve">This Subpart </w:t>
            </w:r>
            <w:r w:rsidR="00714266" w:rsidRPr="00F64E40">
              <w:rPr>
                <w:rFonts w:ascii="Tahoma" w:hAnsi="Tahoma" w:cs="Tahoma"/>
                <w:color w:val="3A7C22" w:themeColor="accent6" w:themeShade="BF"/>
                <w:sz w:val="22"/>
                <w:szCs w:val="22"/>
              </w:rPr>
              <w:t xml:space="preserve">B was clarified and also now includes references to </w:t>
            </w:r>
            <w:r w:rsidR="00FD5C58" w:rsidRPr="00F64E40">
              <w:rPr>
                <w:rFonts w:ascii="Tahoma" w:hAnsi="Tahoma" w:cs="Tahoma"/>
                <w:color w:val="3A7C22" w:themeColor="accent6" w:themeShade="BF"/>
                <w:sz w:val="22"/>
                <w:szCs w:val="22"/>
              </w:rPr>
              <w:t xml:space="preserve">other pass-through entities. </w:t>
            </w:r>
            <w:r w:rsidRPr="00F64E40">
              <w:rPr>
                <w:rFonts w:ascii="Tahoma" w:hAnsi="Tahoma" w:cs="Tahoma"/>
                <w:color w:val="3A7C22" w:themeColor="accent6" w:themeShade="BF"/>
                <w:sz w:val="22"/>
                <w:szCs w:val="22"/>
              </w:rPr>
              <w:t xml:space="preserve"> </w:t>
            </w:r>
          </w:p>
        </w:tc>
      </w:tr>
    </w:tbl>
    <w:p w14:paraId="69F6CD0C" w14:textId="77777777" w:rsidR="00BD6900" w:rsidRDefault="00BD6900">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545"/>
        <w:gridCol w:w="7880"/>
        <w:gridCol w:w="5115"/>
      </w:tblGrid>
      <w:tr w:rsidR="00B231EF" w14:paraId="01E079F9" w14:textId="77777777" w:rsidTr="006E1CD4">
        <w:tc>
          <w:tcPr>
            <w:tcW w:w="535" w:type="dxa"/>
          </w:tcPr>
          <w:p w14:paraId="39774FE5" w14:textId="7B5AEB03" w:rsidR="00B231EF" w:rsidRPr="00AB3325" w:rsidRDefault="00B231EF" w:rsidP="004E6EB3">
            <w:pPr>
              <w:spacing w:before="80" w:after="80" w:line="228" w:lineRule="auto"/>
              <w:rPr>
                <w:rFonts w:ascii="Perpetua" w:hAnsi="Perpetua" w:cs="Leelawadee"/>
                <w:sz w:val="32"/>
                <w:szCs w:val="28"/>
              </w:rPr>
            </w:pPr>
          </w:p>
        </w:tc>
        <w:tc>
          <w:tcPr>
            <w:tcW w:w="9028" w:type="dxa"/>
            <w:gridSpan w:val="3"/>
            <w:tcBorders>
              <w:right w:val="single" w:sz="4" w:space="0" w:color="auto"/>
            </w:tcBorders>
          </w:tcPr>
          <w:p w14:paraId="20986A52" w14:textId="126FCFE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sz w:val="32"/>
                <w:szCs w:val="28"/>
              </w:rPr>
              <w:t xml:space="preserve">Application of the rules for sourcing income under [REFERENCE TO STATE’S SOURCING RULES FOR INCOME OF BUSINESS ENTITIES, CORPORATIONS, OR NONRESIDENTS] to partnership income </w:t>
            </w:r>
            <w:r w:rsidR="00183509">
              <w:rPr>
                <w:rFonts w:ascii="Perpetua" w:hAnsi="Perpetua"/>
                <w:sz w:val="32"/>
                <w:szCs w:val="28"/>
              </w:rPr>
              <w:t xml:space="preserve">and items </w:t>
            </w:r>
            <w:r w:rsidRPr="00AB3325">
              <w:rPr>
                <w:rFonts w:ascii="Perpetua" w:hAnsi="Perpetua"/>
                <w:sz w:val="32"/>
                <w:szCs w:val="28"/>
              </w:rPr>
              <w:t>requires that a partnership determine the following with respect to the items of income, expense, gain, loss or other tax items</w:t>
            </w:r>
            <w:r w:rsidR="009C3724">
              <w:rPr>
                <w:rFonts w:ascii="Perpetua" w:hAnsi="Perpetua"/>
                <w:sz w:val="32"/>
                <w:szCs w:val="28"/>
              </w:rPr>
              <w:t xml:space="preserve"> </w:t>
            </w:r>
            <w:r w:rsidRPr="00AB3325">
              <w:rPr>
                <w:rFonts w:ascii="Perpetua" w:hAnsi="Perpetua"/>
                <w:sz w:val="32"/>
                <w:szCs w:val="28"/>
              </w:rPr>
              <w:t>that it recognizes directly from its activities</w:t>
            </w:r>
            <w:r w:rsidR="00EE2417">
              <w:rPr>
                <w:rFonts w:ascii="Perpetua" w:hAnsi="Perpetua"/>
                <w:sz w:val="32"/>
                <w:szCs w:val="28"/>
              </w:rPr>
              <w:t xml:space="preserve"> </w:t>
            </w:r>
            <w:r w:rsidR="00EE2417" w:rsidRPr="00EE2417">
              <w:rPr>
                <w:rFonts w:ascii="Perpetua" w:hAnsi="Perpetua"/>
                <w:sz w:val="32"/>
                <w:szCs w:val="28"/>
                <w:highlight w:val="yellow"/>
              </w:rPr>
              <w:t xml:space="preserve">and </w:t>
            </w:r>
            <w:r w:rsidR="001A1346">
              <w:rPr>
                <w:rFonts w:ascii="Perpetua" w:hAnsi="Perpetua"/>
                <w:sz w:val="32"/>
                <w:szCs w:val="28"/>
                <w:highlight w:val="yellow"/>
              </w:rPr>
              <w:t xml:space="preserve">to </w:t>
            </w:r>
            <w:r w:rsidR="00EE2417" w:rsidRPr="00EE2417">
              <w:rPr>
                <w:rFonts w:ascii="Perpetua" w:hAnsi="Perpetua"/>
                <w:sz w:val="32"/>
                <w:szCs w:val="28"/>
                <w:highlight w:val="yellow"/>
              </w:rPr>
              <w:t xml:space="preserve">guaranteed payments </w:t>
            </w:r>
            <w:r w:rsidR="001A1346">
              <w:rPr>
                <w:rFonts w:ascii="Perpetua" w:hAnsi="Perpetua"/>
                <w:sz w:val="32"/>
                <w:szCs w:val="28"/>
                <w:highlight w:val="yellow"/>
              </w:rPr>
              <w:t xml:space="preserve">made </w:t>
            </w:r>
            <w:r w:rsidR="00EE2417" w:rsidRPr="00EE2417">
              <w:rPr>
                <w:rFonts w:ascii="Perpetua" w:hAnsi="Perpetua"/>
                <w:sz w:val="32"/>
                <w:szCs w:val="28"/>
                <w:highlight w:val="yellow"/>
              </w:rPr>
              <w:t>to partners</w:t>
            </w:r>
            <w:r w:rsidRPr="00AB3325">
              <w:rPr>
                <w:rFonts w:ascii="Perpetua" w:hAnsi="Perpetua"/>
                <w:sz w:val="32"/>
                <w:szCs w:val="28"/>
              </w:rPr>
              <w:t>:</w:t>
            </w:r>
          </w:p>
        </w:tc>
        <w:tc>
          <w:tcPr>
            <w:tcW w:w="5115" w:type="dxa"/>
            <w:tcBorders>
              <w:top w:val="single" w:sz="4" w:space="0" w:color="auto"/>
              <w:left w:val="single" w:sz="4" w:space="0" w:color="auto"/>
              <w:bottom w:val="single" w:sz="4" w:space="0" w:color="auto"/>
              <w:right w:val="single" w:sz="4" w:space="0" w:color="auto"/>
            </w:tcBorders>
          </w:tcPr>
          <w:p w14:paraId="61187229" w14:textId="04862107" w:rsidR="00B231EF" w:rsidRPr="00F64E40" w:rsidRDefault="004F03E2"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This is to clarify that guaranteed payments</w:t>
            </w:r>
            <w:r w:rsidR="002113CB" w:rsidRPr="00F64E40">
              <w:rPr>
                <w:rFonts w:ascii="Tahoma" w:hAnsi="Tahoma" w:cs="Tahoma"/>
                <w:color w:val="3A7C22" w:themeColor="accent6" w:themeShade="BF"/>
                <w:sz w:val="22"/>
                <w:szCs w:val="22"/>
              </w:rPr>
              <w:t>—that is</w:t>
            </w:r>
            <w:r w:rsidR="009E673F">
              <w:rPr>
                <w:rFonts w:ascii="Tahoma" w:hAnsi="Tahoma" w:cs="Tahoma"/>
                <w:color w:val="3A7C22" w:themeColor="accent6" w:themeShade="BF"/>
                <w:sz w:val="22"/>
                <w:szCs w:val="22"/>
              </w:rPr>
              <w:t>,</w:t>
            </w:r>
            <w:r w:rsidR="002113CB" w:rsidRPr="00F64E40">
              <w:rPr>
                <w:rFonts w:ascii="Tahoma" w:hAnsi="Tahoma" w:cs="Tahoma"/>
                <w:color w:val="3A7C22" w:themeColor="accent6" w:themeShade="BF"/>
                <w:sz w:val="22"/>
                <w:szCs w:val="22"/>
              </w:rPr>
              <w:t xml:space="preserve"> payments to partners acting as partners in the partnership but not dependent on income (</w:t>
            </w:r>
            <w:r w:rsidR="00BC47EE" w:rsidRPr="00F64E40">
              <w:rPr>
                <w:rFonts w:ascii="Tahoma" w:hAnsi="Tahoma" w:cs="Tahoma"/>
                <w:color w:val="3A7C22" w:themeColor="accent6" w:themeShade="BF"/>
                <w:sz w:val="22"/>
                <w:szCs w:val="22"/>
              </w:rPr>
              <w:t>s</w:t>
            </w:r>
            <w:r w:rsidR="00913552" w:rsidRPr="00F64E40">
              <w:rPr>
                <w:rFonts w:ascii="Tahoma" w:hAnsi="Tahoma" w:cs="Tahoma"/>
                <w:color w:val="3A7C22" w:themeColor="accent6" w:themeShade="BF"/>
                <w:sz w:val="22"/>
                <w:szCs w:val="22"/>
              </w:rPr>
              <w:t xml:space="preserve">ee </w:t>
            </w:r>
            <w:r w:rsidR="002113CB" w:rsidRPr="00F64E40">
              <w:rPr>
                <w:rFonts w:ascii="Tahoma" w:hAnsi="Tahoma" w:cs="Tahoma"/>
                <w:color w:val="3A7C22" w:themeColor="accent6" w:themeShade="BF"/>
                <w:sz w:val="22"/>
                <w:szCs w:val="22"/>
              </w:rPr>
              <w:t>IRC § 707(c)</w:t>
            </w:r>
            <w:r w:rsidR="00913552" w:rsidRPr="00F64E40">
              <w:rPr>
                <w:rFonts w:ascii="Tahoma" w:hAnsi="Tahoma" w:cs="Tahoma"/>
                <w:color w:val="3A7C22" w:themeColor="accent6" w:themeShade="BF"/>
                <w:sz w:val="22"/>
                <w:szCs w:val="22"/>
              </w:rPr>
              <w:t>)</w:t>
            </w:r>
            <w:r w:rsidR="00D76145" w:rsidRPr="00F64E40">
              <w:rPr>
                <w:rFonts w:ascii="Tahoma" w:hAnsi="Tahoma" w:cs="Tahoma"/>
                <w:color w:val="3A7C22" w:themeColor="accent6" w:themeShade="BF"/>
                <w:sz w:val="22"/>
                <w:szCs w:val="22"/>
              </w:rPr>
              <w:t xml:space="preserve"> </w:t>
            </w:r>
            <w:r w:rsidRPr="00F64E40">
              <w:rPr>
                <w:rFonts w:ascii="Tahoma" w:hAnsi="Tahoma" w:cs="Tahoma"/>
                <w:color w:val="3A7C22" w:themeColor="accent6" w:themeShade="BF"/>
                <w:sz w:val="22"/>
                <w:szCs w:val="22"/>
              </w:rPr>
              <w:t xml:space="preserve">will </w:t>
            </w:r>
            <w:r w:rsidR="002113CB" w:rsidRPr="00F64E40">
              <w:rPr>
                <w:rFonts w:ascii="Tahoma" w:hAnsi="Tahoma" w:cs="Tahoma"/>
                <w:color w:val="3A7C22" w:themeColor="accent6" w:themeShade="BF"/>
                <w:sz w:val="22"/>
                <w:szCs w:val="22"/>
              </w:rPr>
              <w:t xml:space="preserve">generally </w:t>
            </w:r>
            <w:r w:rsidRPr="00F64E40">
              <w:rPr>
                <w:rFonts w:ascii="Tahoma" w:hAnsi="Tahoma" w:cs="Tahoma"/>
                <w:color w:val="3A7C22" w:themeColor="accent6" w:themeShade="BF"/>
                <w:sz w:val="22"/>
                <w:szCs w:val="22"/>
              </w:rPr>
              <w:t>be subject to the same sourcing rules as other partnership items</w:t>
            </w:r>
            <w:r w:rsidR="00913552" w:rsidRPr="00F64E40">
              <w:rPr>
                <w:rFonts w:ascii="Tahoma" w:hAnsi="Tahoma" w:cs="Tahoma"/>
                <w:color w:val="3A7C22" w:themeColor="accent6" w:themeShade="BF"/>
                <w:sz w:val="22"/>
                <w:szCs w:val="22"/>
              </w:rPr>
              <w:t xml:space="preserve">. </w:t>
            </w:r>
            <w:r w:rsidR="00080D8E" w:rsidRPr="00F64E40">
              <w:rPr>
                <w:rFonts w:ascii="Tahoma" w:hAnsi="Tahoma" w:cs="Tahoma"/>
                <w:color w:val="3A7C22" w:themeColor="accent6" w:themeShade="BF"/>
                <w:sz w:val="22"/>
                <w:szCs w:val="22"/>
              </w:rPr>
              <w:t>I</w:t>
            </w:r>
            <w:r w:rsidR="006E5237" w:rsidRPr="00F64E40">
              <w:rPr>
                <w:rFonts w:ascii="Tahoma" w:hAnsi="Tahoma" w:cs="Tahoma"/>
                <w:color w:val="3A7C22" w:themeColor="accent6" w:themeShade="BF"/>
                <w:sz w:val="22"/>
                <w:szCs w:val="22"/>
              </w:rPr>
              <w:t>t appears that</w:t>
            </w:r>
            <w:r w:rsidR="00080D8E" w:rsidRPr="00F64E40">
              <w:rPr>
                <w:rFonts w:ascii="Tahoma" w:hAnsi="Tahoma" w:cs="Tahoma"/>
                <w:color w:val="3A7C22" w:themeColor="accent6" w:themeShade="BF"/>
                <w:sz w:val="22"/>
                <w:szCs w:val="22"/>
              </w:rPr>
              <w:t xml:space="preserve"> guaranteed payments will</w:t>
            </w:r>
            <w:r w:rsidR="006E5237" w:rsidRPr="00F64E40">
              <w:rPr>
                <w:rFonts w:ascii="Tahoma" w:hAnsi="Tahoma" w:cs="Tahoma"/>
                <w:color w:val="3A7C22" w:themeColor="accent6" w:themeShade="BF"/>
                <w:sz w:val="22"/>
                <w:szCs w:val="22"/>
              </w:rPr>
              <w:t xml:space="preserve"> generally be</w:t>
            </w:r>
            <w:r w:rsidR="00080D8E" w:rsidRPr="00F64E40">
              <w:rPr>
                <w:rFonts w:ascii="Tahoma" w:hAnsi="Tahoma" w:cs="Tahoma"/>
                <w:color w:val="3A7C22" w:themeColor="accent6" w:themeShade="BF"/>
                <w:sz w:val="22"/>
                <w:szCs w:val="22"/>
              </w:rPr>
              <w:t xml:space="preserve"> apportionable to the partnership.</w:t>
            </w:r>
            <w:r w:rsidR="00674198" w:rsidRPr="00F64E40">
              <w:rPr>
                <w:rFonts w:ascii="Tahoma" w:hAnsi="Tahoma" w:cs="Tahoma"/>
                <w:color w:val="3A7C22" w:themeColor="accent6" w:themeShade="BF"/>
                <w:sz w:val="22"/>
                <w:szCs w:val="22"/>
              </w:rPr>
              <w:t xml:space="preserve"> (See below.)</w:t>
            </w:r>
            <w:r w:rsidR="00080D8E" w:rsidRPr="00F64E40">
              <w:rPr>
                <w:rFonts w:ascii="Tahoma" w:hAnsi="Tahoma" w:cs="Tahoma"/>
                <w:color w:val="3A7C22" w:themeColor="accent6" w:themeShade="BF"/>
                <w:sz w:val="22"/>
                <w:szCs w:val="22"/>
              </w:rPr>
              <w:t xml:space="preserve"> </w:t>
            </w:r>
          </w:p>
        </w:tc>
      </w:tr>
      <w:tr w:rsidR="00B231EF" w14:paraId="4342247A" w14:textId="77777777" w:rsidTr="006E1CD4">
        <w:tc>
          <w:tcPr>
            <w:tcW w:w="535" w:type="dxa"/>
          </w:tcPr>
          <w:p w14:paraId="72AAD461"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1EA279D0" w14:textId="60D81536"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gridSpan w:val="2"/>
          </w:tcPr>
          <w:p w14:paraId="5A27DBAE" w14:textId="46642D58"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Information as to the general tax character of those partnership items as it may be relevant to state tax treatment of the items, including:</w:t>
            </w:r>
          </w:p>
        </w:tc>
        <w:tc>
          <w:tcPr>
            <w:tcW w:w="5115" w:type="dxa"/>
            <w:tcBorders>
              <w:top w:val="single" w:sz="4" w:space="0" w:color="auto"/>
            </w:tcBorders>
          </w:tcPr>
          <w:p w14:paraId="5C299B92"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52CD7B17" w14:textId="77777777" w:rsidTr="001821AF">
        <w:tc>
          <w:tcPr>
            <w:tcW w:w="535" w:type="dxa"/>
          </w:tcPr>
          <w:p w14:paraId="768F8609"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B15F171"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3E3AF6C8" w14:textId="1B594D95"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7880" w:type="dxa"/>
          </w:tcPr>
          <w:p w14:paraId="13DC64BB" w14:textId="72632FEA"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tax character of the items for purposes of determining their federal tax treatment to which the state conforms;</w:t>
            </w:r>
          </w:p>
        </w:tc>
        <w:tc>
          <w:tcPr>
            <w:tcW w:w="5115" w:type="dxa"/>
          </w:tcPr>
          <w:p w14:paraId="6CD2171C"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00BABD7F" w14:textId="77777777" w:rsidTr="001821AF">
        <w:tc>
          <w:tcPr>
            <w:tcW w:w="535" w:type="dxa"/>
          </w:tcPr>
          <w:p w14:paraId="7995D73A"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46EB580"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2635927E" w14:textId="08AC54A2"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7880" w:type="dxa"/>
          </w:tcPr>
          <w:p w14:paraId="7041BEF1" w14:textId="1CFCE8DE"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tax character of the items for purposes of determining their state tax treatment, including any treatment that varies from the federal tax treatment; and</w:t>
            </w:r>
          </w:p>
        </w:tc>
        <w:tc>
          <w:tcPr>
            <w:tcW w:w="5115" w:type="dxa"/>
          </w:tcPr>
          <w:p w14:paraId="3305CDF3"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6713A309" w14:textId="77777777" w:rsidTr="001821AF">
        <w:tc>
          <w:tcPr>
            <w:tcW w:w="535" w:type="dxa"/>
          </w:tcPr>
          <w:p w14:paraId="575D8220" w14:textId="581CA504" w:rsidR="00B231EF" w:rsidRPr="00AB3325" w:rsidRDefault="00B231EF" w:rsidP="004E6EB3">
            <w:pPr>
              <w:spacing w:before="80" w:after="80" w:line="228" w:lineRule="auto"/>
              <w:rPr>
                <w:rFonts w:ascii="Perpetua" w:hAnsi="Perpetua" w:cs="Leelawadee"/>
                <w:sz w:val="32"/>
                <w:szCs w:val="28"/>
              </w:rPr>
            </w:pPr>
          </w:p>
        </w:tc>
        <w:tc>
          <w:tcPr>
            <w:tcW w:w="603" w:type="dxa"/>
          </w:tcPr>
          <w:p w14:paraId="3955DB92"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2DD530A1" w14:textId="79FD3C2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 xml:space="preserve">c. </w:t>
            </w:r>
          </w:p>
        </w:tc>
        <w:tc>
          <w:tcPr>
            <w:tcW w:w="7880" w:type="dxa"/>
          </w:tcPr>
          <w:p w14:paraId="66B759FE" w14:textId="0E95118E"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tax character of the items for purposes of applying the sourcing rules in [REFERENCE TO STATE’S SOURCING RULES FOR INCOME OF BUSINESS ENTITIES, CORPORATIONS, OR NONRESIDENTS].</w:t>
            </w:r>
          </w:p>
        </w:tc>
        <w:tc>
          <w:tcPr>
            <w:tcW w:w="5115" w:type="dxa"/>
          </w:tcPr>
          <w:p w14:paraId="760CE0A9"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3B432001" w14:textId="77777777" w:rsidTr="001821AF">
        <w:tc>
          <w:tcPr>
            <w:tcW w:w="535" w:type="dxa"/>
          </w:tcPr>
          <w:p w14:paraId="1E7ABF03"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65FE9A93" w14:textId="72AB657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 xml:space="preserve">2. </w:t>
            </w:r>
          </w:p>
        </w:tc>
        <w:tc>
          <w:tcPr>
            <w:tcW w:w="8425" w:type="dxa"/>
            <w:gridSpan w:val="2"/>
          </w:tcPr>
          <w:p w14:paraId="16DD81E8" w14:textId="0354348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sz w:val="32"/>
                <w:szCs w:val="28"/>
              </w:rPr>
              <w:t>Information as to whether any partnerships items are non-apportionable as that term is defined by this Section and the rules provided in [REFERENCES TO STATE’S SOURCING RULES—TREATMENT OF NON-APPORTIONABLE OR NONBUSINESS ITEMS FOR CORPORATIONS OR NONRESIDENTS] applying those rules based on:</w:t>
            </w:r>
          </w:p>
        </w:tc>
        <w:tc>
          <w:tcPr>
            <w:tcW w:w="5115" w:type="dxa"/>
          </w:tcPr>
          <w:p w14:paraId="41BAEDD7"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51EA75AB" w14:textId="77777777" w:rsidTr="001821AF">
        <w:tc>
          <w:tcPr>
            <w:tcW w:w="535" w:type="dxa"/>
          </w:tcPr>
          <w:p w14:paraId="5CC2C27C"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6ABE84A"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7BFB1F2B" w14:textId="70C08F6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a.</w:t>
            </w:r>
          </w:p>
        </w:tc>
        <w:tc>
          <w:tcPr>
            <w:tcW w:w="7880" w:type="dxa"/>
          </w:tcPr>
          <w:p w14:paraId="6BE7AEFA" w14:textId="580AAED4"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item’s particular tax character as determined by the partnership; and</w:t>
            </w:r>
          </w:p>
        </w:tc>
        <w:tc>
          <w:tcPr>
            <w:tcW w:w="5115" w:type="dxa"/>
          </w:tcPr>
          <w:p w14:paraId="0E3CEA05"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740B3839" w14:textId="77777777" w:rsidTr="001821AF">
        <w:tc>
          <w:tcPr>
            <w:tcW w:w="535" w:type="dxa"/>
          </w:tcPr>
          <w:p w14:paraId="412CDDE9"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14A14AD" w14:textId="77777777" w:rsidR="00B231EF" w:rsidRPr="00AB3325" w:rsidRDefault="00B231EF" w:rsidP="004E6EB3">
            <w:pPr>
              <w:spacing w:before="80" w:after="80" w:line="228" w:lineRule="auto"/>
              <w:rPr>
                <w:rFonts w:ascii="Perpetua" w:hAnsi="Perpetua" w:cs="Leelawadee"/>
                <w:sz w:val="32"/>
                <w:szCs w:val="28"/>
              </w:rPr>
            </w:pPr>
          </w:p>
        </w:tc>
        <w:tc>
          <w:tcPr>
            <w:tcW w:w="545" w:type="dxa"/>
          </w:tcPr>
          <w:p w14:paraId="4208134E" w14:textId="065D55F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 xml:space="preserve">b. </w:t>
            </w:r>
          </w:p>
        </w:tc>
        <w:tc>
          <w:tcPr>
            <w:tcW w:w="7880" w:type="dxa"/>
          </w:tcPr>
          <w:p w14:paraId="4AD964E3" w14:textId="48D3D3C1" w:rsidR="00B231EF" w:rsidRPr="00AB3325" w:rsidRDefault="00B231EF" w:rsidP="00FE0C40">
            <w:pPr>
              <w:spacing w:before="40" w:after="40" w:line="228" w:lineRule="auto"/>
              <w:rPr>
                <w:rFonts w:ascii="Perpetua" w:hAnsi="Perpetua" w:cs="Leelawadee"/>
                <w:sz w:val="32"/>
                <w:szCs w:val="28"/>
              </w:rPr>
            </w:pPr>
            <w:r w:rsidRPr="00AB3325">
              <w:rPr>
                <w:rFonts w:ascii="Perpetua" w:hAnsi="Perpetua"/>
                <w:sz w:val="32"/>
                <w:szCs w:val="28"/>
              </w:rPr>
              <w:t>The relationship of the item to the business activity conducted by the partnership, alone or in conjunction with the activity conducted by one or more entities in which the partnership holds a direct or indirect interest.</w:t>
            </w:r>
          </w:p>
        </w:tc>
        <w:tc>
          <w:tcPr>
            <w:tcW w:w="5115" w:type="dxa"/>
          </w:tcPr>
          <w:p w14:paraId="4F93CC23"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4C71D107" w14:textId="77777777" w:rsidTr="001821AF">
        <w:tc>
          <w:tcPr>
            <w:tcW w:w="535" w:type="dxa"/>
          </w:tcPr>
          <w:p w14:paraId="79BC5642"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49460BB3" w14:textId="77777777" w:rsidR="00B231EF" w:rsidRPr="00AB3325" w:rsidRDefault="00B231EF" w:rsidP="004E6EB3">
            <w:pPr>
              <w:spacing w:before="80" w:after="80" w:line="228" w:lineRule="auto"/>
              <w:rPr>
                <w:rFonts w:ascii="Perpetua" w:hAnsi="Perpetua" w:cs="Leelawadee"/>
                <w:sz w:val="32"/>
                <w:szCs w:val="28"/>
              </w:rPr>
            </w:pPr>
          </w:p>
        </w:tc>
        <w:tc>
          <w:tcPr>
            <w:tcW w:w="8425" w:type="dxa"/>
            <w:gridSpan w:val="2"/>
          </w:tcPr>
          <w:p w14:paraId="50F221A9" w14:textId="13362A38"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In determining this information, the partnership must</w:t>
            </w:r>
            <w:r w:rsidR="007B47CF">
              <w:rPr>
                <w:rFonts w:ascii="Perpetua" w:hAnsi="Perpetua"/>
                <w:sz w:val="32"/>
                <w:szCs w:val="28"/>
              </w:rPr>
              <w:t xml:space="preserve"> also</w:t>
            </w:r>
            <w:r w:rsidRPr="00AB3325">
              <w:rPr>
                <w:rFonts w:ascii="Perpetua" w:hAnsi="Perpetua"/>
                <w:sz w:val="32"/>
                <w:szCs w:val="28"/>
              </w:rPr>
              <w:t xml:space="preserve"> determine whether its items of income have a sufficient unitary relationship to any business in which the partnership participates that also generates apportionable income, with the understanding that a partnership may engage in more than one unitary business.</w:t>
            </w:r>
            <w:r w:rsidR="00F466B8">
              <w:rPr>
                <w:rFonts w:ascii="Perpetua" w:hAnsi="Perpetua"/>
                <w:sz w:val="32"/>
                <w:szCs w:val="28"/>
              </w:rPr>
              <w:t xml:space="preserve"> </w:t>
            </w:r>
          </w:p>
        </w:tc>
        <w:tc>
          <w:tcPr>
            <w:tcW w:w="5115" w:type="dxa"/>
          </w:tcPr>
          <w:p w14:paraId="15E6A5C2" w14:textId="50AA3D5A" w:rsidR="00B231EF" w:rsidRPr="00BA3D94" w:rsidRDefault="00B231EF" w:rsidP="004E6EB3">
            <w:pPr>
              <w:spacing w:before="80" w:after="80" w:line="276" w:lineRule="auto"/>
              <w:rPr>
                <w:rFonts w:ascii="Tahoma" w:hAnsi="Tahoma" w:cs="Tahoma"/>
                <w:color w:val="7A18FC"/>
                <w:sz w:val="22"/>
                <w:szCs w:val="22"/>
              </w:rPr>
            </w:pPr>
          </w:p>
        </w:tc>
      </w:tr>
      <w:tr w:rsidR="00B231EF" w14:paraId="69F8F008" w14:textId="77777777" w:rsidTr="00D40CE4">
        <w:tc>
          <w:tcPr>
            <w:tcW w:w="535" w:type="dxa"/>
          </w:tcPr>
          <w:p w14:paraId="36158DFF"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3F54A13" w14:textId="121EE0E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gridSpan w:val="2"/>
          </w:tcPr>
          <w:p w14:paraId="24279DF6" w14:textId="1B475D0B"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Information necessary for sourcing all non-apportionable items determined under Paragraph 2 under [REFERENCE TO STATE’S SOURCING RULES—TREATMENT OF NON-APPORTIONABLE OR NONBUSINESS ITEMS FOR CORPORATIONS OR NONRESIDENTS].</w:t>
            </w:r>
          </w:p>
        </w:tc>
        <w:tc>
          <w:tcPr>
            <w:tcW w:w="5115" w:type="dxa"/>
            <w:tcBorders>
              <w:bottom w:val="single" w:sz="4" w:space="0" w:color="auto"/>
            </w:tcBorders>
          </w:tcPr>
          <w:p w14:paraId="1D553C59" w14:textId="77777777" w:rsidR="00B231EF" w:rsidRPr="00BA3D94" w:rsidRDefault="00B231EF" w:rsidP="004E6EB3">
            <w:pPr>
              <w:spacing w:before="80" w:after="80" w:line="276" w:lineRule="auto"/>
              <w:rPr>
                <w:rFonts w:ascii="Tahoma" w:hAnsi="Tahoma" w:cs="Tahoma"/>
                <w:color w:val="7A18FC"/>
                <w:sz w:val="22"/>
                <w:szCs w:val="22"/>
              </w:rPr>
            </w:pPr>
          </w:p>
        </w:tc>
      </w:tr>
      <w:tr w:rsidR="00B231EF" w14:paraId="0D59E028" w14:textId="77777777" w:rsidTr="00D40CE4">
        <w:tc>
          <w:tcPr>
            <w:tcW w:w="535" w:type="dxa"/>
          </w:tcPr>
          <w:p w14:paraId="01C1CF86"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0343037A" w14:textId="4D5628A7"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gridSpan w:val="2"/>
            <w:tcBorders>
              <w:right w:val="single" w:sz="4" w:space="0" w:color="auto"/>
            </w:tcBorders>
          </w:tcPr>
          <w:p w14:paraId="3CE910DA" w14:textId="33E7F6BE"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 xml:space="preserve">Information on the apportionable income of the partnership as determined under [REFERENCE TO STATE’S SOURCING RULES—TREATMENT OF APPORTIONABLE OR BUSINESS ITEMS FOR CORPORATIONS OR NONRESIDENTS] based on the particular business activities to which the items making up that net </w:t>
            </w:r>
            <w:r w:rsidR="0028547B">
              <w:rPr>
                <w:rFonts w:ascii="Perpetua" w:hAnsi="Perpetua"/>
                <w:sz w:val="32"/>
                <w:szCs w:val="28"/>
              </w:rPr>
              <w:t xml:space="preserve">apportionable </w:t>
            </w:r>
            <w:r w:rsidRPr="00AB3325">
              <w:rPr>
                <w:rFonts w:ascii="Perpetua" w:hAnsi="Perpetua"/>
                <w:sz w:val="32"/>
                <w:szCs w:val="28"/>
              </w:rPr>
              <w:t>income have a sufficient unitary relationship, including business activity conducted by one or more entities in which the partnership holds a direct or indirect interest, with the understanding that a partnership may engage in more than one unitary business.</w:t>
            </w:r>
            <w:r w:rsidR="003267AE">
              <w:rPr>
                <w:rFonts w:ascii="Perpetua" w:hAnsi="Perpetua"/>
                <w:sz w:val="32"/>
                <w:szCs w:val="28"/>
              </w:rPr>
              <w:t xml:space="preserve"> </w:t>
            </w:r>
            <w:r w:rsidR="003267AE" w:rsidRPr="00674198">
              <w:rPr>
                <w:rFonts w:ascii="Perpetua" w:hAnsi="Perpetua"/>
                <w:sz w:val="32"/>
                <w:szCs w:val="28"/>
                <w:highlight w:val="yellow"/>
              </w:rPr>
              <w:t xml:space="preserve">Guaranteed payments to partners </w:t>
            </w:r>
            <w:r w:rsidR="00E325CA">
              <w:rPr>
                <w:rFonts w:ascii="Perpetua" w:hAnsi="Perpetua"/>
                <w:sz w:val="32"/>
                <w:szCs w:val="28"/>
                <w:highlight w:val="yellow"/>
              </w:rPr>
              <w:t xml:space="preserve">for services </w:t>
            </w:r>
            <w:r w:rsidR="003267AE" w:rsidRPr="00674198">
              <w:rPr>
                <w:rFonts w:ascii="Perpetua" w:hAnsi="Perpetua"/>
                <w:sz w:val="32"/>
                <w:szCs w:val="28"/>
                <w:highlight w:val="yellow"/>
              </w:rPr>
              <w:t>are presumed to be</w:t>
            </w:r>
            <w:r w:rsidR="007D0AB3">
              <w:rPr>
                <w:rFonts w:ascii="Perpetua" w:hAnsi="Perpetua"/>
                <w:sz w:val="32"/>
                <w:szCs w:val="28"/>
                <w:highlight w:val="yellow"/>
              </w:rPr>
              <w:t xml:space="preserve"> part of the partnership’s apportionable income.</w:t>
            </w:r>
          </w:p>
        </w:tc>
        <w:tc>
          <w:tcPr>
            <w:tcW w:w="5115" w:type="dxa"/>
            <w:tcBorders>
              <w:top w:val="single" w:sz="4" w:space="0" w:color="auto"/>
              <w:left w:val="single" w:sz="4" w:space="0" w:color="auto"/>
              <w:bottom w:val="single" w:sz="4" w:space="0" w:color="auto"/>
              <w:right w:val="single" w:sz="4" w:space="0" w:color="auto"/>
            </w:tcBorders>
          </w:tcPr>
          <w:p w14:paraId="0E34742F" w14:textId="66815B41" w:rsidR="00B231EF" w:rsidRPr="00F64E40" w:rsidRDefault="006E1CD4"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Guaranteed payments to partners acting as partners (for services or capital) are presumed to be apportionable items (expense) to the partnership given that the payments are made to partners</w:t>
            </w:r>
            <w:r w:rsidR="00715FDF" w:rsidRPr="00F64E40">
              <w:rPr>
                <w:rFonts w:ascii="Tahoma" w:hAnsi="Tahoma" w:cs="Tahoma"/>
                <w:color w:val="3A7C22" w:themeColor="accent6" w:themeShade="BF"/>
                <w:sz w:val="22"/>
                <w:szCs w:val="22"/>
              </w:rPr>
              <w:t xml:space="preserve"> acting as partners (</w:t>
            </w:r>
            <w:r w:rsidR="00A87E7C" w:rsidRPr="00F64E40">
              <w:rPr>
                <w:rFonts w:ascii="Tahoma" w:hAnsi="Tahoma" w:cs="Tahoma"/>
                <w:color w:val="3A7C22" w:themeColor="accent6" w:themeShade="BF"/>
                <w:sz w:val="22"/>
                <w:szCs w:val="22"/>
              </w:rPr>
              <w:t>IRC § 707(c))</w:t>
            </w:r>
            <w:r w:rsidR="00715FDF" w:rsidRPr="00F64E40">
              <w:rPr>
                <w:rFonts w:ascii="Tahoma" w:hAnsi="Tahoma" w:cs="Tahoma"/>
                <w:color w:val="3A7C22" w:themeColor="accent6" w:themeShade="BF"/>
                <w:sz w:val="22"/>
                <w:szCs w:val="22"/>
              </w:rPr>
              <w:t xml:space="preserve">, rather than </w:t>
            </w:r>
            <w:r w:rsidR="006C49E2" w:rsidRPr="00F64E40">
              <w:rPr>
                <w:rFonts w:ascii="Tahoma" w:hAnsi="Tahoma" w:cs="Tahoma"/>
                <w:color w:val="3A7C22" w:themeColor="accent6" w:themeShade="BF"/>
                <w:sz w:val="22"/>
                <w:szCs w:val="22"/>
              </w:rPr>
              <w:t>in another capacity (IRC § 707(a)),</w:t>
            </w:r>
            <w:r w:rsidR="00715FDF" w:rsidRPr="00F64E40">
              <w:rPr>
                <w:rFonts w:ascii="Tahoma" w:hAnsi="Tahoma" w:cs="Tahoma"/>
                <w:color w:val="3A7C22" w:themeColor="accent6" w:themeShade="BF"/>
                <w:sz w:val="22"/>
                <w:szCs w:val="22"/>
              </w:rPr>
              <w:t xml:space="preserve"> and</w:t>
            </w:r>
            <w:r w:rsidRPr="00F64E40">
              <w:rPr>
                <w:rFonts w:ascii="Tahoma" w:hAnsi="Tahoma" w:cs="Tahoma"/>
                <w:color w:val="3A7C22" w:themeColor="accent6" w:themeShade="BF"/>
                <w:sz w:val="22"/>
                <w:szCs w:val="22"/>
              </w:rPr>
              <w:t xml:space="preserve"> </w:t>
            </w:r>
            <w:r w:rsidR="006C49E2" w:rsidRPr="00F64E40">
              <w:rPr>
                <w:rFonts w:ascii="Tahoma" w:hAnsi="Tahoma" w:cs="Tahoma"/>
                <w:color w:val="3A7C22" w:themeColor="accent6" w:themeShade="BF"/>
                <w:sz w:val="22"/>
                <w:szCs w:val="22"/>
              </w:rPr>
              <w:t xml:space="preserve">involve </w:t>
            </w:r>
            <w:r w:rsidRPr="00F64E40">
              <w:rPr>
                <w:rFonts w:ascii="Tahoma" w:hAnsi="Tahoma" w:cs="Tahoma"/>
                <w:color w:val="3A7C22" w:themeColor="accent6" w:themeShade="BF"/>
                <w:sz w:val="22"/>
                <w:szCs w:val="22"/>
              </w:rPr>
              <w:t xml:space="preserve">providing items that would be considered essential to the partnership’s </w:t>
            </w:r>
            <w:r w:rsidR="006C49E2" w:rsidRPr="00F64E40">
              <w:rPr>
                <w:rFonts w:ascii="Tahoma" w:hAnsi="Tahoma" w:cs="Tahoma"/>
                <w:color w:val="3A7C22" w:themeColor="accent6" w:themeShade="BF"/>
                <w:sz w:val="22"/>
                <w:szCs w:val="22"/>
              </w:rPr>
              <w:t>business</w:t>
            </w:r>
            <w:r w:rsidRPr="00F64E40">
              <w:rPr>
                <w:rFonts w:ascii="Tahoma" w:hAnsi="Tahoma" w:cs="Tahoma"/>
                <w:color w:val="3A7C22" w:themeColor="accent6" w:themeShade="BF"/>
                <w:sz w:val="22"/>
                <w:szCs w:val="22"/>
              </w:rPr>
              <w:t>.</w:t>
            </w:r>
          </w:p>
        </w:tc>
      </w:tr>
      <w:tr w:rsidR="00B231EF" w14:paraId="1A1BC5D2" w14:textId="77777777" w:rsidTr="00D40CE4">
        <w:tc>
          <w:tcPr>
            <w:tcW w:w="535" w:type="dxa"/>
          </w:tcPr>
          <w:p w14:paraId="2E55B313"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8C3A882" w14:textId="0C9CFE1F"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5.</w:t>
            </w:r>
          </w:p>
        </w:tc>
        <w:tc>
          <w:tcPr>
            <w:tcW w:w="8425" w:type="dxa"/>
            <w:gridSpan w:val="2"/>
            <w:tcBorders>
              <w:right w:val="nil"/>
            </w:tcBorders>
          </w:tcPr>
          <w:p w14:paraId="75245D70" w14:textId="115F7598"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Information on the partnership’s apportionment factor attributes related to the items determined to be part of apportionable income under Paragraph 4, applying [REFERENCE TO STATE’S SOURCING RULES—APPORTIONMENT FACTORS] to enable determination of those apportionment factors.</w:t>
            </w:r>
          </w:p>
        </w:tc>
        <w:tc>
          <w:tcPr>
            <w:tcW w:w="5115" w:type="dxa"/>
            <w:tcBorders>
              <w:top w:val="single" w:sz="4" w:space="0" w:color="auto"/>
              <w:left w:val="nil"/>
              <w:bottom w:val="nil"/>
              <w:right w:val="nil"/>
            </w:tcBorders>
          </w:tcPr>
          <w:p w14:paraId="14263DC1" w14:textId="77777777" w:rsidR="00B231EF" w:rsidRPr="00BA3D94" w:rsidRDefault="00B231EF" w:rsidP="004E6EB3">
            <w:pPr>
              <w:spacing w:before="80" w:after="80" w:line="276" w:lineRule="auto"/>
              <w:rPr>
                <w:rFonts w:ascii="Tahoma" w:hAnsi="Tahoma" w:cs="Tahoma"/>
                <w:color w:val="7A18FC"/>
                <w:sz w:val="22"/>
                <w:szCs w:val="22"/>
              </w:rPr>
            </w:pPr>
          </w:p>
        </w:tc>
      </w:tr>
    </w:tbl>
    <w:p w14:paraId="62B735A8" w14:textId="2C394587" w:rsidR="0028347B" w:rsidRDefault="0028347B"/>
    <w:p w14:paraId="5991F21A" w14:textId="77777777" w:rsidR="0028347B" w:rsidRDefault="0028347B">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603"/>
        <w:gridCol w:w="8425"/>
        <w:gridCol w:w="5115"/>
      </w:tblGrid>
      <w:tr w:rsidR="00B231EF" w14:paraId="45FA15E5" w14:textId="77777777" w:rsidTr="000C79C4">
        <w:tc>
          <w:tcPr>
            <w:tcW w:w="535" w:type="dxa"/>
          </w:tcPr>
          <w:p w14:paraId="0BFD4906" w14:textId="2C2D1BD8"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lastRenderedPageBreak/>
              <w:t>C.</w:t>
            </w:r>
          </w:p>
        </w:tc>
        <w:tc>
          <w:tcPr>
            <w:tcW w:w="9028" w:type="dxa"/>
            <w:gridSpan w:val="2"/>
            <w:tcBorders>
              <w:right w:val="single" w:sz="4" w:space="0" w:color="auto"/>
            </w:tcBorders>
          </w:tcPr>
          <w:p w14:paraId="516DBD46" w14:textId="7AE25FEB"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 xml:space="preserve">Upper-Tier Partnership </w:t>
            </w:r>
            <w:r w:rsidRPr="00AB3325">
              <w:rPr>
                <w:rFonts w:ascii="Perpetua" w:hAnsi="Perpetua"/>
                <w:sz w:val="32"/>
                <w:szCs w:val="28"/>
                <w:highlight w:val="yellow"/>
              </w:rPr>
              <w:t>and Other Pass-Through Entity</w:t>
            </w:r>
            <w:r w:rsidRPr="00AB3325">
              <w:rPr>
                <w:rFonts w:ascii="Perpetua" w:hAnsi="Perpetua"/>
                <w:sz w:val="32"/>
                <w:szCs w:val="28"/>
              </w:rPr>
              <w:t xml:space="preserve"> Treatment of Items Allocated from Lower-Tier Partnerships:</w:t>
            </w:r>
          </w:p>
        </w:tc>
        <w:tc>
          <w:tcPr>
            <w:tcW w:w="5115" w:type="dxa"/>
            <w:tcBorders>
              <w:top w:val="single" w:sz="4" w:space="0" w:color="auto"/>
              <w:left w:val="single" w:sz="4" w:space="0" w:color="auto"/>
              <w:bottom w:val="single" w:sz="4" w:space="0" w:color="auto"/>
              <w:right w:val="single" w:sz="4" w:space="0" w:color="auto"/>
            </w:tcBorders>
          </w:tcPr>
          <w:p w14:paraId="62788E5B" w14:textId="1BB9D405"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section was modified to include other pass-through entities </w:t>
            </w:r>
            <w:r w:rsidR="004853B0" w:rsidRPr="00F64E40">
              <w:rPr>
                <w:rFonts w:ascii="Tahoma" w:hAnsi="Tahoma" w:cs="Tahoma"/>
                <w:color w:val="3A7C22" w:themeColor="accent6" w:themeShade="BF"/>
                <w:sz w:val="22"/>
                <w:szCs w:val="22"/>
              </w:rPr>
              <w:t>since</w:t>
            </w:r>
            <w:r w:rsidRPr="00F64E40">
              <w:rPr>
                <w:rFonts w:ascii="Tahoma" w:hAnsi="Tahoma" w:cs="Tahoma"/>
                <w:color w:val="3A7C22" w:themeColor="accent6" w:themeShade="BF"/>
                <w:sz w:val="22"/>
                <w:szCs w:val="22"/>
              </w:rPr>
              <w:t xml:space="preserve"> the approach described here could be applied to </w:t>
            </w:r>
            <w:r w:rsidR="000E5FA1" w:rsidRPr="00F64E40">
              <w:rPr>
                <w:rFonts w:ascii="Tahoma" w:hAnsi="Tahoma" w:cs="Tahoma"/>
                <w:color w:val="3A7C22" w:themeColor="accent6" w:themeShade="BF"/>
                <w:sz w:val="22"/>
                <w:szCs w:val="22"/>
              </w:rPr>
              <w:t xml:space="preserve">the lower-tier partnership income flowing through </w:t>
            </w:r>
            <w:r w:rsidRPr="00F64E40">
              <w:rPr>
                <w:rFonts w:ascii="Tahoma" w:hAnsi="Tahoma" w:cs="Tahoma"/>
                <w:color w:val="3A7C22" w:themeColor="accent6" w:themeShade="BF"/>
                <w:sz w:val="22"/>
                <w:szCs w:val="22"/>
              </w:rPr>
              <w:t xml:space="preserve">these entities. </w:t>
            </w:r>
          </w:p>
        </w:tc>
      </w:tr>
      <w:tr w:rsidR="00B231EF" w14:paraId="5077B570" w14:textId="77777777" w:rsidTr="00D04EC9">
        <w:tc>
          <w:tcPr>
            <w:tcW w:w="535" w:type="dxa"/>
          </w:tcPr>
          <w:p w14:paraId="35022317" w14:textId="5F16CC80" w:rsidR="00B231EF" w:rsidRPr="008F2CF7" w:rsidRDefault="00B231EF" w:rsidP="004E6EB3">
            <w:pPr>
              <w:spacing w:before="80" w:after="80" w:line="228" w:lineRule="auto"/>
              <w:rPr>
                <w:rFonts w:ascii="Perpetua" w:hAnsi="Perpetua" w:cs="Leelawadee"/>
                <w:sz w:val="28"/>
              </w:rPr>
            </w:pPr>
          </w:p>
        </w:tc>
        <w:tc>
          <w:tcPr>
            <w:tcW w:w="9028" w:type="dxa"/>
            <w:gridSpan w:val="2"/>
            <w:tcBorders>
              <w:right w:val="single" w:sz="4" w:space="0" w:color="auto"/>
            </w:tcBorders>
          </w:tcPr>
          <w:p w14:paraId="1E04AA64" w14:textId="05B4934E" w:rsidR="00B231EF" w:rsidRPr="00494BA1" w:rsidRDefault="00B231EF" w:rsidP="00A51DF5">
            <w:pPr>
              <w:spacing w:before="80" w:after="80" w:line="216" w:lineRule="auto"/>
              <w:rPr>
                <w:rFonts w:ascii="Perpetua" w:hAnsi="Perpetua"/>
                <w:i/>
                <w:iCs/>
                <w:color w:val="0040F6"/>
                <w:sz w:val="32"/>
                <w:szCs w:val="28"/>
              </w:rPr>
            </w:pPr>
            <w:r w:rsidRPr="00494BA1">
              <w:rPr>
                <w:rFonts w:ascii="Perpetua" w:hAnsi="Perpetua"/>
                <w:i/>
                <w:iCs/>
                <w:color w:val="0040F6"/>
                <w:sz w:val="32"/>
                <w:szCs w:val="28"/>
              </w:rPr>
              <w:t xml:space="preserve">Drafter’s Note: As discussed at length in the related white paper, </w:t>
            </w:r>
            <w:r w:rsidR="00E46747" w:rsidRPr="00494BA1">
              <w:rPr>
                <w:rFonts w:ascii="Perpetua" w:hAnsi="Perpetua"/>
                <w:i/>
                <w:iCs/>
                <w:color w:val="0040F6"/>
                <w:sz w:val="32"/>
                <w:szCs w:val="28"/>
              </w:rPr>
              <w:t>a</w:t>
            </w:r>
            <w:r w:rsidRPr="00494BA1">
              <w:rPr>
                <w:rFonts w:ascii="Perpetua" w:hAnsi="Perpetua"/>
                <w:i/>
                <w:iCs/>
                <w:color w:val="0040F6"/>
                <w:sz w:val="32"/>
                <w:szCs w:val="28"/>
              </w:rPr>
              <w:t xml:space="preserve"> majority of states use blended apportionment to source </w:t>
            </w:r>
            <w:r w:rsidR="00855C4A" w:rsidRPr="00494BA1">
              <w:rPr>
                <w:rFonts w:ascii="Perpetua" w:hAnsi="Perpetua"/>
                <w:i/>
                <w:iCs/>
                <w:color w:val="0040F6"/>
                <w:sz w:val="32"/>
                <w:szCs w:val="28"/>
              </w:rPr>
              <w:t xml:space="preserve">partnership income for </w:t>
            </w:r>
            <w:r w:rsidR="00196461" w:rsidRPr="00494BA1">
              <w:rPr>
                <w:rFonts w:ascii="Perpetua" w:hAnsi="Perpetua"/>
                <w:i/>
                <w:iCs/>
                <w:color w:val="0040F6"/>
                <w:sz w:val="32"/>
                <w:szCs w:val="28"/>
              </w:rPr>
              <w:t xml:space="preserve">tiered and corporate partners. Of those that specify how the share of </w:t>
            </w:r>
            <w:r w:rsidR="00050084" w:rsidRPr="00494BA1">
              <w:rPr>
                <w:rFonts w:ascii="Perpetua" w:hAnsi="Perpetua"/>
                <w:i/>
                <w:iCs/>
                <w:color w:val="0040F6"/>
                <w:sz w:val="32"/>
                <w:szCs w:val="28"/>
              </w:rPr>
              <w:t>partnership</w:t>
            </w:r>
            <w:r w:rsidR="004E1020" w:rsidRPr="00494BA1">
              <w:rPr>
                <w:rFonts w:ascii="Perpetua" w:hAnsi="Perpetua"/>
                <w:i/>
                <w:iCs/>
                <w:color w:val="0040F6"/>
                <w:sz w:val="32"/>
                <w:szCs w:val="28"/>
              </w:rPr>
              <w:t xml:space="preserve"> apportionment</w:t>
            </w:r>
            <w:r w:rsidR="00050084" w:rsidRPr="00494BA1">
              <w:rPr>
                <w:rFonts w:ascii="Perpetua" w:hAnsi="Perpetua"/>
                <w:i/>
                <w:iCs/>
                <w:color w:val="0040F6"/>
                <w:sz w:val="32"/>
                <w:szCs w:val="28"/>
              </w:rPr>
              <w:t xml:space="preserve"> factors to include in the partner’s formula</w:t>
            </w:r>
            <w:r w:rsidRPr="00494BA1">
              <w:rPr>
                <w:rFonts w:ascii="Perpetua" w:hAnsi="Perpetua"/>
                <w:i/>
                <w:iCs/>
                <w:color w:val="0040F6"/>
                <w:sz w:val="32"/>
                <w:szCs w:val="28"/>
              </w:rPr>
              <w:t xml:space="preserve"> will </w:t>
            </w:r>
            <w:r w:rsidR="00050084" w:rsidRPr="00494BA1">
              <w:rPr>
                <w:rFonts w:ascii="Perpetua" w:hAnsi="Perpetua"/>
                <w:i/>
                <w:iCs/>
                <w:color w:val="0040F6"/>
                <w:sz w:val="32"/>
                <w:szCs w:val="28"/>
              </w:rPr>
              <w:t xml:space="preserve">be </w:t>
            </w:r>
            <w:r w:rsidRPr="00494BA1">
              <w:rPr>
                <w:rFonts w:ascii="Perpetua" w:hAnsi="Perpetua"/>
                <w:i/>
                <w:iCs/>
                <w:color w:val="0040F6"/>
                <w:sz w:val="32"/>
                <w:szCs w:val="28"/>
              </w:rPr>
              <w:t>determine</w:t>
            </w:r>
            <w:r w:rsidR="00050084" w:rsidRPr="00494BA1">
              <w:rPr>
                <w:rFonts w:ascii="Perpetua" w:hAnsi="Perpetua"/>
                <w:i/>
                <w:iCs/>
                <w:color w:val="0040F6"/>
                <w:sz w:val="32"/>
                <w:szCs w:val="28"/>
              </w:rPr>
              <w:t xml:space="preserve">d, most refer to the use of </w:t>
            </w:r>
            <w:r w:rsidR="00F4537A" w:rsidRPr="00494BA1">
              <w:rPr>
                <w:rFonts w:ascii="Perpetua" w:hAnsi="Perpetua"/>
                <w:i/>
                <w:iCs/>
                <w:color w:val="0040F6"/>
                <w:sz w:val="32"/>
                <w:szCs w:val="28"/>
              </w:rPr>
              <w:t xml:space="preserve">a ratio based on the partner’s </w:t>
            </w:r>
            <w:r w:rsidRPr="00494BA1">
              <w:rPr>
                <w:rFonts w:ascii="Perpetua" w:hAnsi="Perpetua"/>
                <w:i/>
                <w:iCs/>
                <w:color w:val="0040F6"/>
                <w:sz w:val="32"/>
                <w:szCs w:val="28"/>
              </w:rPr>
              <w:t xml:space="preserve">distributive share </w:t>
            </w:r>
            <w:r w:rsidR="00F4537A" w:rsidRPr="00494BA1">
              <w:rPr>
                <w:rFonts w:ascii="Perpetua" w:hAnsi="Perpetua"/>
                <w:i/>
                <w:iCs/>
                <w:color w:val="0040F6"/>
                <w:sz w:val="32"/>
                <w:szCs w:val="28"/>
              </w:rPr>
              <w:t>o</w:t>
            </w:r>
            <w:r w:rsidR="00B479DE" w:rsidRPr="00494BA1">
              <w:rPr>
                <w:rFonts w:ascii="Perpetua" w:hAnsi="Perpetua"/>
                <w:i/>
                <w:iCs/>
                <w:color w:val="0040F6"/>
                <w:sz w:val="32"/>
                <w:szCs w:val="28"/>
              </w:rPr>
              <w:t>f</w:t>
            </w:r>
            <w:r w:rsidR="00F4537A" w:rsidRPr="00494BA1">
              <w:rPr>
                <w:rFonts w:ascii="Perpetua" w:hAnsi="Perpetua"/>
                <w:i/>
                <w:iCs/>
                <w:color w:val="0040F6"/>
                <w:sz w:val="32"/>
                <w:szCs w:val="28"/>
              </w:rPr>
              <w:t xml:space="preserve"> profit and loss</w:t>
            </w:r>
            <w:r w:rsidRPr="00494BA1">
              <w:rPr>
                <w:rFonts w:ascii="Perpetua" w:hAnsi="Perpetua"/>
                <w:i/>
                <w:iCs/>
                <w:color w:val="0040F6"/>
                <w:sz w:val="32"/>
                <w:szCs w:val="28"/>
              </w:rPr>
              <w:t xml:space="preserve">. </w:t>
            </w:r>
          </w:p>
          <w:p w14:paraId="1E2B2FC3" w14:textId="57C5D9F0" w:rsidR="00DA283C" w:rsidRPr="00494BA1" w:rsidRDefault="00B231EF" w:rsidP="00A51DF5">
            <w:pPr>
              <w:spacing w:before="80" w:after="80" w:line="216" w:lineRule="auto"/>
              <w:rPr>
                <w:rFonts w:ascii="Perpetua" w:hAnsi="Perpetua"/>
                <w:i/>
                <w:iCs/>
                <w:color w:val="0040F6"/>
                <w:sz w:val="32"/>
                <w:szCs w:val="28"/>
              </w:rPr>
            </w:pPr>
            <w:r w:rsidRPr="00494BA1">
              <w:rPr>
                <w:rFonts w:ascii="Perpetua" w:hAnsi="Perpetua"/>
                <w:i/>
                <w:iCs/>
                <w:color w:val="0040F6"/>
                <w:sz w:val="32"/>
                <w:szCs w:val="28"/>
              </w:rPr>
              <w:t>This approach is conceptually preferable</w:t>
            </w:r>
            <w:r w:rsidR="00325F04" w:rsidRPr="00494BA1">
              <w:rPr>
                <w:rFonts w:ascii="Perpetua" w:hAnsi="Perpetua"/>
                <w:i/>
                <w:iCs/>
                <w:color w:val="0040F6"/>
                <w:sz w:val="32"/>
                <w:szCs w:val="28"/>
              </w:rPr>
              <w:t xml:space="preserve"> to other possible approach</w:t>
            </w:r>
            <w:r w:rsidR="00C93ED8" w:rsidRPr="00494BA1">
              <w:rPr>
                <w:rFonts w:ascii="Perpetua" w:hAnsi="Perpetua"/>
                <w:i/>
                <w:iCs/>
                <w:color w:val="0040F6"/>
                <w:sz w:val="32"/>
                <w:szCs w:val="28"/>
              </w:rPr>
              <w:t>e</w:t>
            </w:r>
            <w:r w:rsidR="00325F04" w:rsidRPr="00494BA1">
              <w:rPr>
                <w:rFonts w:ascii="Perpetua" w:hAnsi="Perpetua"/>
                <w:i/>
                <w:iCs/>
                <w:color w:val="0040F6"/>
                <w:sz w:val="32"/>
                <w:szCs w:val="28"/>
              </w:rPr>
              <w:t>s</w:t>
            </w:r>
            <w:r w:rsidRPr="00494BA1">
              <w:rPr>
                <w:rFonts w:ascii="Perpetua" w:hAnsi="Perpetua"/>
                <w:i/>
                <w:iCs/>
                <w:color w:val="0040F6"/>
                <w:sz w:val="32"/>
                <w:szCs w:val="28"/>
              </w:rPr>
              <w:t xml:space="preserve"> for a number of reasons, but raises an issue </w:t>
            </w:r>
            <w:r w:rsidRPr="00494BA1">
              <w:rPr>
                <w:rFonts w:ascii="Perpetua" w:hAnsi="Perpetua"/>
                <w:i/>
                <w:iCs/>
                <w:color w:val="0040F6"/>
                <w:sz w:val="32"/>
                <w:szCs w:val="28"/>
                <w:highlight w:val="yellow"/>
              </w:rPr>
              <w:t xml:space="preserve">when the partnership makes </w:t>
            </w:r>
            <w:r w:rsidR="00C93ED8" w:rsidRPr="00494BA1">
              <w:rPr>
                <w:rFonts w:ascii="Perpetua" w:hAnsi="Perpetua"/>
                <w:i/>
                <w:iCs/>
                <w:color w:val="0040F6"/>
                <w:sz w:val="32"/>
                <w:szCs w:val="28"/>
                <w:highlight w:val="yellow"/>
              </w:rPr>
              <w:t>dis-proportiona</w:t>
            </w:r>
            <w:r w:rsidR="00A402FD" w:rsidRPr="00494BA1">
              <w:rPr>
                <w:rFonts w:ascii="Perpetua" w:hAnsi="Perpetua"/>
                <w:i/>
                <w:iCs/>
                <w:color w:val="0040F6"/>
                <w:sz w:val="32"/>
                <w:szCs w:val="28"/>
                <w:highlight w:val="yellow"/>
              </w:rPr>
              <w:t>te</w:t>
            </w:r>
            <w:r w:rsidR="00C93ED8" w:rsidRPr="00494BA1">
              <w:rPr>
                <w:rFonts w:ascii="Perpetua" w:hAnsi="Perpetua"/>
                <w:i/>
                <w:iCs/>
                <w:color w:val="0040F6"/>
                <w:sz w:val="32"/>
                <w:szCs w:val="28"/>
                <w:highlight w:val="yellow"/>
              </w:rPr>
              <w:t xml:space="preserve"> </w:t>
            </w:r>
            <w:r w:rsidRPr="00494BA1">
              <w:rPr>
                <w:rFonts w:ascii="Perpetua" w:hAnsi="Perpetua"/>
                <w:i/>
                <w:iCs/>
                <w:color w:val="0040F6"/>
                <w:sz w:val="32"/>
                <w:szCs w:val="28"/>
                <w:highlight w:val="yellow"/>
              </w:rPr>
              <w:t>special allocations</w:t>
            </w:r>
            <w:r w:rsidR="00C93ED8" w:rsidRPr="00494BA1">
              <w:rPr>
                <w:rFonts w:ascii="Perpetua" w:hAnsi="Perpetua"/>
                <w:i/>
                <w:iCs/>
                <w:color w:val="0040F6"/>
                <w:sz w:val="32"/>
                <w:szCs w:val="28"/>
                <w:highlight w:val="yellow"/>
              </w:rPr>
              <w:t xml:space="preserve"> of items</w:t>
            </w:r>
            <w:r w:rsidR="000E5207" w:rsidRPr="00494BA1">
              <w:rPr>
                <w:rFonts w:ascii="Perpetua" w:hAnsi="Perpetua"/>
                <w:i/>
                <w:iCs/>
                <w:color w:val="0040F6"/>
                <w:sz w:val="32"/>
                <w:szCs w:val="28"/>
                <w:highlight w:val="yellow"/>
              </w:rPr>
              <w:t>,</w:t>
            </w:r>
            <w:r w:rsidR="002E2277" w:rsidRPr="00494BA1">
              <w:rPr>
                <w:rFonts w:ascii="Perpetua" w:hAnsi="Perpetua"/>
                <w:i/>
                <w:iCs/>
                <w:color w:val="0040F6"/>
                <w:sz w:val="32"/>
                <w:szCs w:val="28"/>
                <w:highlight w:val="yellow"/>
              </w:rPr>
              <w:t xml:space="preserve"> </w:t>
            </w:r>
            <w:r w:rsidR="0010281A" w:rsidRPr="00494BA1">
              <w:rPr>
                <w:rFonts w:ascii="Perpetua" w:hAnsi="Perpetua"/>
                <w:i/>
                <w:iCs/>
                <w:color w:val="0040F6"/>
                <w:sz w:val="32"/>
                <w:szCs w:val="28"/>
                <w:highlight w:val="yellow"/>
              </w:rPr>
              <w:t>guaranteed payments</w:t>
            </w:r>
            <w:r w:rsidR="00136D1B" w:rsidRPr="00494BA1">
              <w:rPr>
                <w:rFonts w:ascii="Perpetua" w:hAnsi="Perpetua"/>
                <w:i/>
                <w:iCs/>
                <w:color w:val="0040F6"/>
                <w:sz w:val="32"/>
                <w:szCs w:val="28"/>
                <w:highlight w:val="yellow"/>
              </w:rPr>
              <w:t xml:space="preserve">, </w:t>
            </w:r>
            <w:r w:rsidR="00E96467" w:rsidRPr="00494BA1">
              <w:rPr>
                <w:rFonts w:ascii="Perpetua" w:hAnsi="Perpetua"/>
                <w:i/>
                <w:iCs/>
                <w:color w:val="0040F6"/>
                <w:sz w:val="32"/>
                <w:szCs w:val="28"/>
                <w:highlight w:val="yellow"/>
              </w:rPr>
              <w:t>or</w:t>
            </w:r>
            <w:r w:rsidR="002D7D7A" w:rsidRPr="00494BA1">
              <w:rPr>
                <w:rFonts w:ascii="Perpetua" w:hAnsi="Perpetua"/>
                <w:i/>
                <w:iCs/>
                <w:color w:val="0040F6"/>
                <w:sz w:val="32"/>
                <w:szCs w:val="28"/>
                <w:highlight w:val="yellow"/>
              </w:rPr>
              <w:t xml:space="preserve"> mandatory or </w:t>
            </w:r>
            <w:r w:rsidR="00EF0FE0" w:rsidRPr="00494BA1">
              <w:rPr>
                <w:rFonts w:ascii="Perpetua" w:hAnsi="Perpetua"/>
                <w:i/>
                <w:iCs/>
                <w:color w:val="0040F6"/>
                <w:sz w:val="32"/>
                <w:szCs w:val="28"/>
                <w:highlight w:val="yellow"/>
              </w:rPr>
              <w:t>remedial allocations</w:t>
            </w:r>
            <w:r w:rsidR="005C15D5" w:rsidRPr="00494BA1">
              <w:rPr>
                <w:rFonts w:ascii="Perpetua" w:hAnsi="Perpetua"/>
                <w:i/>
                <w:iCs/>
                <w:color w:val="0040F6"/>
                <w:sz w:val="32"/>
                <w:szCs w:val="28"/>
                <w:highlight w:val="yellow"/>
              </w:rPr>
              <w:t xml:space="preserve"> to tiered or corporate partners</w:t>
            </w:r>
            <w:r w:rsidRPr="00494BA1">
              <w:rPr>
                <w:rFonts w:ascii="Perpetua" w:hAnsi="Perpetua"/>
                <w:i/>
                <w:iCs/>
                <w:color w:val="0040F6"/>
                <w:sz w:val="32"/>
                <w:szCs w:val="28"/>
                <w:highlight w:val="yellow"/>
              </w:rPr>
              <w:t xml:space="preserve">. </w:t>
            </w:r>
            <w:r w:rsidR="003960BC" w:rsidRPr="00494BA1">
              <w:rPr>
                <w:rFonts w:ascii="Perpetua" w:hAnsi="Perpetua"/>
                <w:i/>
                <w:iCs/>
                <w:color w:val="0040F6"/>
                <w:sz w:val="32"/>
                <w:szCs w:val="28"/>
                <w:highlight w:val="yellow"/>
              </w:rPr>
              <w:t>In</w:t>
            </w:r>
            <w:r w:rsidRPr="00494BA1">
              <w:rPr>
                <w:rFonts w:ascii="Perpetua" w:hAnsi="Perpetua"/>
                <w:i/>
                <w:iCs/>
                <w:color w:val="0040F6"/>
                <w:sz w:val="32"/>
                <w:szCs w:val="28"/>
                <w:highlight w:val="yellow"/>
              </w:rPr>
              <w:t xml:space="preserve"> some cases</w:t>
            </w:r>
            <w:r w:rsidR="00DA33BF" w:rsidRPr="00494BA1">
              <w:rPr>
                <w:rFonts w:ascii="Perpetua" w:hAnsi="Perpetua"/>
                <w:i/>
                <w:iCs/>
                <w:color w:val="0040F6"/>
                <w:sz w:val="32"/>
                <w:szCs w:val="28"/>
                <w:highlight w:val="yellow"/>
              </w:rPr>
              <w:t>,</w:t>
            </w:r>
            <w:r w:rsidRPr="00494BA1">
              <w:rPr>
                <w:rFonts w:ascii="Perpetua" w:hAnsi="Perpetua"/>
                <w:i/>
                <w:iCs/>
                <w:color w:val="0040F6"/>
                <w:sz w:val="32"/>
                <w:szCs w:val="28"/>
                <w:highlight w:val="yellow"/>
              </w:rPr>
              <w:t xml:space="preserve"> the partner’s distributive share will be negative whereas the partnership’s total </w:t>
            </w:r>
            <w:r w:rsidR="00C177DC" w:rsidRPr="00494BA1">
              <w:rPr>
                <w:rFonts w:ascii="Perpetua" w:hAnsi="Perpetua"/>
                <w:i/>
                <w:iCs/>
                <w:color w:val="0040F6"/>
                <w:sz w:val="32"/>
                <w:szCs w:val="28"/>
                <w:highlight w:val="yellow"/>
              </w:rPr>
              <w:t xml:space="preserve">distributive share </w:t>
            </w:r>
            <w:r w:rsidRPr="00494BA1">
              <w:rPr>
                <w:rFonts w:ascii="Perpetua" w:hAnsi="Perpetua"/>
                <w:i/>
                <w:iCs/>
                <w:color w:val="0040F6"/>
                <w:sz w:val="32"/>
                <w:szCs w:val="28"/>
                <w:highlight w:val="yellow"/>
              </w:rPr>
              <w:t xml:space="preserve">income </w:t>
            </w:r>
            <w:r w:rsidR="00385328" w:rsidRPr="00494BA1">
              <w:rPr>
                <w:rFonts w:ascii="Perpetua" w:hAnsi="Perpetua"/>
                <w:i/>
                <w:iCs/>
                <w:color w:val="0040F6"/>
                <w:sz w:val="32"/>
                <w:szCs w:val="28"/>
                <w:highlight w:val="yellow"/>
              </w:rPr>
              <w:t xml:space="preserve">including guaranteed payments </w:t>
            </w:r>
            <w:r w:rsidRPr="00494BA1">
              <w:rPr>
                <w:rFonts w:ascii="Perpetua" w:hAnsi="Perpetua"/>
                <w:i/>
                <w:iCs/>
                <w:color w:val="0040F6"/>
                <w:sz w:val="32"/>
                <w:szCs w:val="28"/>
                <w:highlight w:val="yellow"/>
              </w:rPr>
              <w:t xml:space="preserve">is positive, or vice versa. </w:t>
            </w:r>
            <w:r w:rsidR="001F0E40" w:rsidRPr="00494BA1">
              <w:rPr>
                <w:rFonts w:ascii="Perpetua" w:hAnsi="Perpetua"/>
                <w:i/>
                <w:iCs/>
                <w:color w:val="0040F6"/>
                <w:sz w:val="32"/>
                <w:szCs w:val="28"/>
                <w:highlight w:val="yellow"/>
              </w:rPr>
              <w:t>But even when this is not the case, the share of the partnership’s</w:t>
            </w:r>
            <w:r w:rsidR="003A7D6F" w:rsidRPr="00494BA1">
              <w:rPr>
                <w:rFonts w:ascii="Perpetua" w:hAnsi="Perpetua"/>
                <w:i/>
                <w:iCs/>
                <w:color w:val="0040F6"/>
                <w:sz w:val="32"/>
                <w:szCs w:val="28"/>
                <w:highlight w:val="yellow"/>
              </w:rPr>
              <w:t xml:space="preserve"> apportionment</w:t>
            </w:r>
            <w:r w:rsidR="001F0E40" w:rsidRPr="00494BA1">
              <w:rPr>
                <w:rFonts w:ascii="Perpetua" w:hAnsi="Perpetua"/>
                <w:i/>
                <w:iCs/>
                <w:color w:val="0040F6"/>
                <w:sz w:val="32"/>
                <w:szCs w:val="28"/>
                <w:highlight w:val="yellow"/>
              </w:rPr>
              <w:t xml:space="preserve"> factors will be affected if the partner that uses blending receives relatively</w:t>
            </w:r>
            <w:r w:rsidR="00C177DC" w:rsidRPr="00494BA1">
              <w:rPr>
                <w:rFonts w:ascii="Perpetua" w:hAnsi="Perpetua"/>
                <w:i/>
                <w:iCs/>
                <w:color w:val="0040F6"/>
                <w:sz w:val="32"/>
                <w:szCs w:val="28"/>
                <w:highlight w:val="yellow"/>
              </w:rPr>
              <w:t xml:space="preserve"> higher or lower share</w:t>
            </w:r>
            <w:r w:rsidR="00BF37F1" w:rsidRPr="00494BA1">
              <w:rPr>
                <w:rFonts w:ascii="Perpetua" w:hAnsi="Perpetua"/>
                <w:i/>
                <w:iCs/>
                <w:color w:val="0040F6"/>
                <w:sz w:val="32"/>
                <w:szCs w:val="28"/>
                <w:highlight w:val="yellow"/>
              </w:rPr>
              <w:t>s</w:t>
            </w:r>
            <w:r w:rsidR="00C177DC" w:rsidRPr="00494BA1">
              <w:rPr>
                <w:rFonts w:ascii="Perpetua" w:hAnsi="Perpetua"/>
                <w:i/>
                <w:iCs/>
                <w:color w:val="0040F6"/>
                <w:sz w:val="32"/>
                <w:szCs w:val="28"/>
                <w:highlight w:val="yellow"/>
              </w:rPr>
              <w:t xml:space="preserve"> of</w:t>
            </w:r>
            <w:r w:rsidR="00F075BB" w:rsidRPr="00494BA1">
              <w:rPr>
                <w:rFonts w:ascii="Perpetua" w:hAnsi="Perpetua"/>
                <w:i/>
                <w:iCs/>
                <w:color w:val="0040F6"/>
                <w:sz w:val="32"/>
                <w:szCs w:val="28"/>
                <w:highlight w:val="yellow"/>
              </w:rPr>
              <w:t xml:space="preserve"> any</w:t>
            </w:r>
            <w:r w:rsidR="00C177DC" w:rsidRPr="00494BA1">
              <w:rPr>
                <w:rFonts w:ascii="Perpetua" w:hAnsi="Perpetua"/>
                <w:i/>
                <w:iCs/>
                <w:color w:val="0040F6"/>
                <w:sz w:val="32"/>
                <w:szCs w:val="28"/>
                <w:highlight w:val="yellow"/>
              </w:rPr>
              <w:t xml:space="preserve"> </w:t>
            </w:r>
            <w:r w:rsidR="00F075BB" w:rsidRPr="00494BA1">
              <w:rPr>
                <w:rFonts w:ascii="Perpetua" w:hAnsi="Perpetua"/>
                <w:i/>
                <w:iCs/>
                <w:color w:val="0040F6"/>
                <w:sz w:val="32"/>
                <w:szCs w:val="28"/>
                <w:highlight w:val="yellow"/>
              </w:rPr>
              <w:t xml:space="preserve">expense/loss items versus </w:t>
            </w:r>
            <w:r w:rsidR="004014AB" w:rsidRPr="00494BA1">
              <w:rPr>
                <w:rFonts w:ascii="Perpetua" w:hAnsi="Perpetua"/>
                <w:i/>
                <w:iCs/>
                <w:color w:val="0040F6"/>
                <w:sz w:val="32"/>
                <w:szCs w:val="28"/>
                <w:highlight w:val="yellow"/>
              </w:rPr>
              <w:t>income</w:t>
            </w:r>
            <w:r w:rsidR="00F075BB" w:rsidRPr="00494BA1">
              <w:rPr>
                <w:rFonts w:ascii="Perpetua" w:hAnsi="Perpetua"/>
                <w:i/>
                <w:iCs/>
                <w:color w:val="0040F6"/>
                <w:sz w:val="32"/>
                <w:szCs w:val="28"/>
                <w:highlight w:val="yellow"/>
              </w:rPr>
              <w:t>/gain</w:t>
            </w:r>
            <w:r w:rsidR="004014AB" w:rsidRPr="00494BA1">
              <w:rPr>
                <w:rFonts w:ascii="Perpetua" w:hAnsi="Perpetua"/>
                <w:i/>
                <w:iCs/>
                <w:color w:val="0040F6"/>
                <w:sz w:val="32"/>
                <w:szCs w:val="28"/>
                <w:highlight w:val="yellow"/>
              </w:rPr>
              <w:t xml:space="preserve"> items</w:t>
            </w:r>
            <w:r w:rsidR="005C15D5" w:rsidRPr="00494BA1">
              <w:rPr>
                <w:rFonts w:ascii="Perpetua" w:hAnsi="Perpetua"/>
                <w:i/>
                <w:iCs/>
                <w:color w:val="0040F6"/>
                <w:sz w:val="32"/>
                <w:szCs w:val="28"/>
                <w:highlight w:val="yellow"/>
              </w:rPr>
              <w:t xml:space="preserve"> or has significant </w:t>
            </w:r>
            <w:r w:rsidR="00126EF9" w:rsidRPr="00494BA1">
              <w:rPr>
                <w:rFonts w:ascii="Perpetua" w:hAnsi="Perpetua"/>
                <w:i/>
                <w:iCs/>
                <w:color w:val="0040F6"/>
                <w:sz w:val="32"/>
                <w:szCs w:val="28"/>
                <w:highlight w:val="yellow"/>
              </w:rPr>
              <w:t>guaranteed payments</w:t>
            </w:r>
            <w:r w:rsidR="004014AB" w:rsidRPr="00494BA1">
              <w:rPr>
                <w:rFonts w:ascii="Perpetua" w:hAnsi="Perpetua"/>
                <w:i/>
                <w:iCs/>
                <w:color w:val="0040F6"/>
                <w:sz w:val="32"/>
                <w:szCs w:val="28"/>
                <w:highlight w:val="yellow"/>
              </w:rPr>
              <w:t>.</w:t>
            </w:r>
            <w:r w:rsidR="001F0E40" w:rsidRPr="00494BA1">
              <w:rPr>
                <w:rFonts w:ascii="Perpetua" w:hAnsi="Perpetua"/>
                <w:i/>
                <w:iCs/>
                <w:color w:val="0040F6"/>
                <w:sz w:val="32"/>
                <w:szCs w:val="28"/>
                <w:highlight w:val="yellow"/>
              </w:rPr>
              <w:t xml:space="preserve"> </w:t>
            </w:r>
            <w:r w:rsidR="00126EF9" w:rsidRPr="00494BA1">
              <w:rPr>
                <w:rFonts w:ascii="Perpetua" w:hAnsi="Perpetua"/>
                <w:i/>
                <w:iCs/>
                <w:color w:val="0040F6"/>
                <w:sz w:val="32"/>
                <w:szCs w:val="28"/>
                <w:highlight w:val="yellow"/>
              </w:rPr>
              <w:br/>
            </w:r>
            <w:r w:rsidR="00126EF9" w:rsidRPr="00494BA1">
              <w:rPr>
                <w:rFonts w:ascii="Perpetua" w:hAnsi="Perpetua"/>
                <w:i/>
                <w:iCs/>
                <w:color w:val="0040F6"/>
                <w:sz w:val="32"/>
                <w:szCs w:val="28"/>
                <w:highlight w:val="yellow"/>
              </w:rPr>
              <w:br/>
            </w:r>
            <w:r w:rsidRPr="00494BA1">
              <w:rPr>
                <w:rFonts w:ascii="Perpetua" w:hAnsi="Perpetua"/>
                <w:i/>
                <w:iCs/>
                <w:color w:val="0040F6"/>
                <w:sz w:val="32"/>
                <w:szCs w:val="28"/>
                <w:highlight w:val="yellow"/>
              </w:rPr>
              <w:t>The work group has therefore discussed the use of the absolute value method and has published different examples (in Excel workbooks) demonstrating the application of that method.</w:t>
            </w:r>
            <w:r w:rsidR="00D944A4" w:rsidRPr="00494BA1">
              <w:rPr>
                <w:rFonts w:ascii="Perpetua" w:hAnsi="Perpetua"/>
                <w:i/>
                <w:iCs/>
                <w:color w:val="0040F6"/>
                <w:sz w:val="32"/>
                <w:szCs w:val="28"/>
                <w:highlight w:val="yellow"/>
              </w:rPr>
              <w:t xml:space="preserve"> This </w:t>
            </w:r>
            <w:r w:rsidR="00DD438D" w:rsidRPr="00494BA1">
              <w:rPr>
                <w:rFonts w:ascii="Perpetua" w:hAnsi="Perpetua"/>
                <w:i/>
                <w:iCs/>
                <w:color w:val="0040F6"/>
                <w:sz w:val="32"/>
                <w:szCs w:val="28"/>
                <w:highlight w:val="yellow"/>
              </w:rPr>
              <w:t xml:space="preserve">absolute value </w:t>
            </w:r>
            <w:r w:rsidR="00D944A4" w:rsidRPr="00494BA1">
              <w:rPr>
                <w:rFonts w:ascii="Perpetua" w:hAnsi="Perpetua"/>
                <w:i/>
                <w:iCs/>
                <w:color w:val="0040F6"/>
                <w:sz w:val="32"/>
                <w:szCs w:val="28"/>
                <w:highlight w:val="yellow"/>
              </w:rPr>
              <w:t xml:space="preserve">method is necessary to ensure that the partner who blends the partnership’s </w:t>
            </w:r>
            <w:r w:rsidR="00447A4E" w:rsidRPr="00494BA1">
              <w:rPr>
                <w:rFonts w:ascii="Perpetua" w:hAnsi="Perpetua"/>
                <w:i/>
                <w:iCs/>
                <w:color w:val="0040F6"/>
                <w:sz w:val="32"/>
                <w:szCs w:val="28"/>
                <w:highlight w:val="yellow"/>
              </w:rPr>
              <w:t xml:space="preserve">apportionment </w:t>
            </w:r>
            <w:r w:rsidR="00D944A4" w:rsidRPr="00494BA1">
              <w:rPr>
                <w:rFonts w:ascii="Perpetua" w:hAnsi="Perpetua"/>
                <w:i/>
                <w:iCs/>
                <w:color w:val="0040F6"/>
                <w:sz w:val="32"/>
                <w:szCs w:val="28"/>
                <w:highlight w:val="yellow"/>
              </w:rPr>
              <w:t>factors</w:t>
            </w:r>
            <w:r w:rsidR="00447A4E" w:rsidRPr="00494BA1">
              <w:rPr>
                <w:rFonts w:ascii="Perpetua" w:hAnsi="Perpetua"/>
                <w:i/>
                <w:iCs/>
                <w:color w:val="0040F6"/>
                <w:sz w:val="32"/>
                <w:szCs w:val="28"/>
                <w:highlight w:val="yellow"/>
              </w:rPr>
              <w:t xml:space="preserve"> with its own</w:t>
            </w:r>
            <w:r w:rsidR="00DD438D" w:rsidRPr="00494BA1">
              <w:rPr>
                <w:rFonts w:ascii="Perpetua" w:hAnsi="Perpetua"/>
                <w:i/>
                <w:iCs/>
                <w:color w:val="0040F6"/>
                <w:sz w:val="32"/>
                <w:szCs w:val="28"/>
                <w:highlight w:val="yellow"/>
              </w:rPr>
              <w:t xml:space="preserve"> includes a share of those factors that represents t</w:t>
            </w:r>
            <w:r w:rsidR="000E0B66" w:rsidRPr="00494BA1">
              <w:rPr>
                <w:rFonts w:ascii="Perpetua" w:hAnsi="Perpetua"/>
                <w:i/>
                <w:iCs/>
                <w:color w:val="0040F6"/>
                <w:sz w:val="32"/>
                <w:szCs w:val="28"/>
                <w:highlight w:val="yellow"/>
              </w:rPr>
              <w:t>he effect on that partner’s income of its share of the partnership items</w:t>
            </w:r>
            <w:r w:rsidR="00603F89" w:rsidRPr="00494BA1">
              <w:rPr>
                <w:rFonts w:ascii="Perpetua" w:hAnsi="Perpetua"/>
                <w:i/>
                <w:iCs/>
                <w:color w:val="0040F6"/>
                <w:sz w:val="32"/>
                <w:szCs w:val="28"/>
                <w:highlight w:val="yellow"/>
              </w:rPr>
              <w:t xml:space="preserve">—whether </w:t>
            </w:r>
            <w:r w:rsidR="003F64F9" w:rsidRPr="00494BA1">
              <w:rPr>
                <w:rFonts w:ascii="Perpetua" w:hAnsi="Perpetua"/>
                <w:i/>
                <w:iCs/>
                <w:color w:val="0040F6"/>
                <w:sz w:val="32"/>
                <w:szCs w:val="28"/>
                <w:highlight w:val="yellow"/>
              </w:rPr>
              <w:t xml:space="preserve">that effect is </w:t>
            </w:r>
            <w:r w:rsidR="00603F89" w:rsidRPr="00494BA1">
              <w:rPr>
                <w:rFonts w:ascii="Perpetua" w:hAnsi="Perpetua"/>
                <w:i/>
                <w:iCs/>
                <w:color w:val="0040F6"/>
                <w:sz w:val="32"/>
                <w:szCs w:val="28"/>
                <w:highlight w:val="yellow"/>
              </w:rPr>
              <w:t>positive or negative.</w:t>
            </w:r>
          </w:p>
          <w:p w14:paraId="27CCE95E" w14:textId="71288EF7" w:rsidR="00B231EF" w:rsidRPr="009F2FCE" w:rsidRDefault="00CB4334" w:rsidP="00A51DF5">
            <w:pPr>
              <w:spacing w:before="80" w:after="80" w:line="216" w:lineRule="auto"/>
              <w:rPr>
                <w:rFonts w:ascii="Perpetua" w:hAnsi="Perpetua"/>
                <w:i/>
                <w:iCs/>
                <w:color w:val="0040F6"/>
                <w:sz w:val="36"/>
                <w:szCs w:val="32"/>
                <w:highlight w:val="yellow"/>
              </w:rPr>
            </w:pPr>
            <w:r w:rsidRPr="00494BA1">
              <w:rPr>
                <w:rFonts w:ascii="Perpetua" w:hAnsi="Perpetua"/>
                <w:i/>
                <w:iCs/>
                <w:color w:val="0040F6"/>
                <w:sz w:val="32"/>
                <w:szCs w:val="28"/>
              </w:rPr>
              <w:t xml:space="preserve">Note that the </w:t>
            </w:r>
            <w:r w:rsidR="00F44CE2" w:rsidRPr="00494BA1">
              <w:rPr>
                <w:rFonts w:ascii="Perpetua" w:hAnsi="Perpetua"/>
                <w:i/>
                <w:iCs/>
                <w:color w:val="0040F6"/>
                <w:sz w:val="32"/>
                <w:szCs w:val="28"/>
              </w:rPr>
              <w:t>absolute value method is used as the default rule</w:t>
            </w:r>
            <w:r w:rsidR="004F7187" w:rsidRPr="00494BA1">
              <w:rPr>
                <w:rFonts w:ascii="Perpetua" w:hAnsi="Perpetua"/>
                <w:i/>
                <w:iCs/>
                <w:color w:val="0040F6"/>
                <w:sz w:val="32"/>
                <w:szCs w:val="28"/>
              </w:rPr>
              <w:t xml:space="preserve">. However, </w:t>
            </w:r>
            <w:r w:rsidR="00AE68D6" w:rsidRPr="00494BA1">
              <w:rPr>
                <w:rFonts w:ascii="Perpetua" w:hAnsi="Perpetua"/>
                <w:i/>
                <w:iCs/>
                <w:color w:val="0040F6"/>
                <w:sz w:val="32"/>
                <w:szCs w:val="28"/>
              </w:rPr>
              <w:t xml:space="preserve">when </w:t>
            </w:r>
            <w:r w:rsidR="00306001" w:rsidRPr="00494BA1">
              <w:rPr>
                <w:rFonts w:ascii="Perpetua" w:hAnsi="Perpetua"/>
                <w:i/>
                <w:iCs/>
                <w:color w:val="0040F6"/>
                <w:sz w:val="32"/>
                <w:szCs w:val="28"/>
              </w:rPr>
              <w:t xml:space="preserve">all </w:t>
            </w:r>
            <w:r w:rsidR="00AE68D6" w:rsidRPr="00494BA1">
              <w:rPr>
                <w:rFonts w:ascii="Perpetua" w:hAnsi="Perpetua"/>
                <w:i/>
                <w:iCs/>
                <w:color w:val="0040F6"/>
                <w:sz w:val="32"/>
                <w:szCs w:val="28"/>
              </w:rPr>
              <w:t xml:space="preserve">the </w:t>
            </w:r>
            <w:r w:rsidR="00966D86" w:rsidRPr="00494BA1">
              <w:rPr>
                <w:rFonts w:ascii="Perpetua" w:hAnsi="Perpetua"/>
                <w:i/>
                <w:iCs/>
                <w:color w:val="0040F6"/>
                <w:sz w:val="32"/>
                <w:szCs w:val="28"/>
              </w:rPr>
              <w:t xml:space="preserve">items of income and deductions </w:t>
            </w:r>
            <w:r w:rsidR="009E6B1A" w:rsidRPr="00494BA1">
              <w:rPr>
                <w:rFonts w:ascii="Perpetua" w:hAnsi="Perpetua"/>
                <w:i/>
                <w:iCs/>
                <w:color w:val="0040F6"/>
                <w:sz w:val="32"/>
                <w:szCs w:val="28"/>
              </w:rPr>
              <w:t xml:space="preserve">composing the </w:t>
            </w:r>
            <w:r w:rsidR="00823A64" w:rsidRPr="00494BA1">
              <w:rPr>
                <w:rFonts w:ascii="Perpetua" w:hAnsi="Perpetua"/>
                <w:i/>
                <w:iCs/>
                <w:color w:val="0040F6"/>
                <w:sz w:val="32"/>
                <w:szCs w:val="28"/>
              </w:rPr>
              <w:t>distributive shares</w:t>
            </w:r>
            <w:r w:rsidR="00AF650F" w:rsidRPr="00494BA1">
              <w:rPr>
                <w:rFonts w:ascii="Perpetua" w:hAnsi="Perpetua"/>
                <w:i/>
                <w:iCs/>
                <w:color w:val="0040F6"/>
                <w:sz w:val="32"/>
                <w:szCs w:val="28"/>
              </w:rPr>
              <w:t xml:space="preserve"> of </w:t>
            </w:r>
            <w:r w:rsidR="009E6B1A" w:rsidRPr="00494BA1">
              <w:rPr>
                <w:rFonts w:ascii="Perpetua" w:hAnsi="Perpetua"/>
                <w:i/>
                <w:iCs/>
                <w:color w:val="0040F6"/>
                <w:sz w:val="32"/>
                <w:szCs w:val="28"/>
              </w:rPr>
              <w:t>all partners</w:t>
            </w:r>
            <w:r w:rsidR="00A00477" w:rsidRPr="00494BA1">
              <w:rPr>
                <w:rFonts w:ascii="Perpetua" w:hAnsi="Perpetua"/>
                <w:i/>
                <w:iCs/>
                <w:color w:val="0040F6"/>
                <w:sz w:val="32"/>
                <w:szCs w:val="28"/>
              </w:rPr>
              <w:t xml:space="preserve"> </w:t>
            </w:r>
            <w:r w:rsidR="008D0AB0" w:rsidRPr="00494BA1">
              <w:rPr>
                <w:rFonts w:ascii="Perpetua" w:hAnsi="Perpetua"/>
                <w:i/>
                <w:iCs/>
                <w:color w:val="0040F6"/>
                <w:sz w:val="32"/>
                <w:szCs w:val="28"/>
              </w:rPr>
              <w:t xml:space="preserve">are </w:t>
            </w:r>
            <w:r w:rsidR="004A1EDE" w:rsidRPr="00494BA1">
              <w:rPr>
                <w:rFonts w:ascii="Perpetua" w:hAnsi="Perpetua"/>
                <w:i/>
                <w:iCs/>
                <w:color w:val="0040F6"/>
                <w:sz w:val="32"/>
                <w:szCs w:val="28"/>
              </w:rPr>
              <w:t>allocated in the same p</w:t>
            </w:r>
            <w:r w:rsidR="008D0AB0" w:rsidRPr="00494BA1">
              <w:rPr>
                <w:rFonts w:ascii="Perpetua" w:hAnsi="Perpetua"/>
                <w:i/>
                <w:iCs/>
                <w:color w:val="0040F6"/>
                <w:sz w:val="32"/>
                <w:szCs w:val="28"/>
              </w:rPr>
              <w:t>roportion</w:t>
            </w:r>
            <w:r w:rsidR="003B7304" w:rsidRPr="00494BA1">
              <w:rPr>
                <w:rFonts w:ascii="Perpetua" w:hAnsi="Perpetua"/>
                <w:i/>
                <w:iCs/>
                <w:color w:val="0040F6"/>
                <w:sz w:val="32"/>
                <w:szCs w:val="28"/>
              </w:rPr>
              <w:t xml:space="preserve"> for each partner</w:t>
            </w:r>
            <w:r w:rsidR="000F7260" w:rsidRPr="00494BA1">
              <w:rPr>
                <w:rFonts w:ascii="Perpetua" w:hAnsi="Perpetua"/>
                <w:i/>
                <w:iCs/>
                <w:color w:val="0040F6"/>
                <w:sz w:val="32"/>
                <w:szCs w:val="28"/>
              </w:rPr>
              <w:t>,</w:t>
            </w:r>
            <w:r w:rsidR="006553DA" w:rsidRPr="00494BA1">
              <w:rPr>
                <w:rFonts w:ascii="Perpetua" w:hAnsi="Perpetua"/>
                <w:i/>
                <w:iCs/>
                <w:color w:val="0040F6"/>
                <w:sz w:val="32"/>
                <w:szCs w:val="28"/>
              </w:rPr>
              <w:t xml:space="preserve"> </w:t>
            </w:r>
            <w:r w:rsidR="00F80F38" w:rsidRPr="00494BA1">
              <w:rPr>
                <w:rFonts w:ascii="Perpetua" w:hAnsi="Perpetua"/>
                <w:i/>
                <w:iCs/>
                <w:color w:val="0040F6"/>
                <w:sz w:val="32"/>
                <w:szCs w:val="28"/>
              </w:rPr>
              <w:t xml:space="preserve">and </w:t>
            </w:r>
            <w:r w:rsidR="006553DA" w:rsidRPr="00494BA1">
              <w:rPr>
                <w:rFonts w:ascii="Perpetua" w:hAnsi="Perpetua"/>
                <w:i/>
                <w:iCs/>
                <w:color w:val="0040F6"/>
                <w:sz w:val="32"/>
                <w:szCs w:val="28"/>
              </w:rPr>
              <w:t>there are no guaranteed payments or notional allocations</w:t>
            </w:r>
            <w:r w:rsidR="000F7260" w:rsidRPr="00494BA1">
              <w:rPr>
                <w:rFonts w:ascii="Perpetua" w:hAnsi="Perpetua"/>
                <w:i/>
                <w:iCs/>
                <w:color w:val="0040F6"/>
                <w:sz w:val="32"/>
                <w:szCs w:val="28"/>
              </w:rPr>
              <w:t>,</w:t>
            </w:r>
            <w:r w:rsidR="008D0AB0" w:rsidRPr="00494BA1">
              <w:rPr>
                <w:rFonts w:ascii="Perpetua" w:hAnsi="Perpetua"/>
                <w:i/>
                <w:iCs/>
                <w:color w:val="0040F6"/>
                <w:sz w:val="32"/>
                <w:szCs w:val="28"/>
              </w:rPr>
              <w:t xml:space="preserve"> </w:t>
            </w:r>
            <w:r w:rsidR="004A1EDE" w:rsidRPr="00494BA1">
              <w:rPr>
                <w:rFonts w:ascii="Perpetua" w:hAnsi="Perpetua"/>
                <w:i/>
                <w:iCs/>
                <w:color w:val="0040F6"/>
                <w:sz w:val="32"/>
                <w:szCs w:val="28"/>
              </w:rPr>
              <w:t xml:space="preserve">the </w:t>
            </w:r>
            <w:r w:rsidR="00E06097" w:rsidRPr="00494BA1">
              <w:rPr>
                <w:rFonts w:ascii="Perpetua" w:hAnsi="Perpetua"/>
                <w:i/>
                <w:iCs/>
                <w:color w:val="0040F6"/>
                <w:sz w:val="32"/>
                <w:szCs w:val="28"/>
              </w:rPr>
              <w:t xml:space="preserve">absolute value method </w:t>
            </w:r>
            <w:r w:rsidR="00CF6424" w:rsidRPr="00494BA1">
              <w:rPr>
                <w:rFonts w:ascii="Perpetua" w:hAnsi="Perpetua"/>
                <w:i/>
                <w:iCs/>
                <w:color w:val="0040F6"/>
                <w:sz w:val="32"/>
                <w:szCs w:val="28"/>
              </w:rPr>
              <w:t>yields the same result as if it was no</w:t>
            </w:r>
            <w:r w:rsidR="00E95BC7" w:rsidRPr="00494BA1">
              <w:rPr>
                <w:rFonts w:ascii="Perpetua" w:hAnsi="Perpetua"/>
                <w:i/>
                <w:iCs/>
                <w:color w:val="0040F6"/>
                <w:sz w:val="32"/>
                <w:szCs w:val="28"/>
              </w:rPr>
              <w:t xml:space="preserve">t </w:t>
            </w:r>
            <w:r w:rsidR="003744DD" w:rsidRPr="00494BA1">
              <w:rPr>
                <w:rFonts w:ascii="Perpetua" w:hAnsi="Perpetua"/>
                <w:i/>
                <w:iCs/>
                <w:color w:val="0040F6"/>
                <w:sz w:val="32"/>
                <w:szCs w:val="28"/>
              </w:rPr>
              <w:t>used</w:t>
            </w:r>
            <w:r w:rsidR="00E95BC7" w:rsidRPr="00494BA1">
              <w:rPr>
                <w:rFonts w:ascii="Perpetua" w:hAnsi="Perpetua"/>
                <w:i/>
                <w:iCs/>
                <w:color w:val="0040F6"/>
                <w:sz w:val="32"/>
                <w:szCs w:val="28"/>
              </w:rPr>
              <w:t>.</w:t>
            </w:r>
          </w:p>
        </w:tc>
        <w:tc>
          <w:tcPr>
            <w:tcW w:w="5115" w:type="dxa"/>
            <w:tcBorders>
              <w:top w:val="single" w:sz="4" w:space="0" w:color="auto"/>
              <w:left w:val="single" w:sz="4" w:space="0" w:color="auto"/>
              <w:bottom w:val="single" w:sz="4" w:space="0" w:color="auto"/>
              <w:right w:val="single" w:sz="4" w:space="0" w:color="auto"/>
            </w:tcBorders>
          </w:tcPr>
          <w:p w14:paraId="2DDE7056" w14:textId="77777777" w:rsidR="00B93290" w:rsidRPr="00F64E40" w:rsidRDefault="00B93290" w:rsidP="004E6EB3">
            <w:pPr>
              <w:spacing w:before="80" w:after="80" w:line="276" w:lineRule="auto"/>
              <w:rPr>
                <w:rFonts w:ascii="Tahoma" w:hAnsi="Tahoma" w:cs="Tahoma"/>
                <w:color w:val="3A7C22" w:themeColor="accent6" w:themeShade="BF"/>
                <w:sz w:val="22"/>
                <w:szCs w:val="22"/>
              </w:rPr>
            </w:pPr>
          </w:p>
          <w:p w14:paraId="7B218852" w14:textId="5DA4B84F" w:rsidR="00B93290" w:rsidRPr="00F64E40" w:rsidRDefault="00B93290"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drafter’s note was expanded to </w:t>
            </w:r>
            <w:r w:rsidR="00AD4C07" w:rsidRPr="00F64E40">
              <w:rPr>
                <w:rFonts w:ascii="Tahoma" w:hAnsi="Tahoma" w:cs="Tahoma"/>
                <w:color w:val="3A7C22" w:themeColor="accent6" w:themeShade="BF"/>
                <w:sz w:val="22"/>
                <w:szCs w:val="22"/>
              </w:rPr>
              <w:t xml:space="preserve">make clear that </w:t>
            </w:r>
            <w:r w:rsidR="007F28BC" w:rsidRPr="00F64E40">
              <w:rPr>
                <w:rFonts w:ascii="Tahoma" w:hAnsi="Tahoma" w:cs="Tahoma"/>
                <w:color w:val="3A7C22" w:themeColor="accent6" w:themeShade="BF"/>
                <w:sz w:val="22"/>
                <w:szCs w:val="22"/>
              </w:rPr>
              <w:t>the problem in using a partner’s ratio of distributive share to determine the partner’s</w:t>
            </w:r>
            <w:r w:rsidR="003B1FC8" w:rsidRPr="00F64E40">
              <w:rPr>
                <w:rFonts w:ascii="Tahoma" w:hAnsi="Tahoma" w:cs="Tahoma"/>
                <w:color w:val="3A7C22" w:themeColor="accent6" w:themeShade="BF"/>
                <w:sz w:val="22"/>
                <w:szCs w:val="22"/>
              </w:rPr>
              <w:t xml:space="preserve"> share of partnership factors</w:t>
            </w:r>
            <w:r w:rsidR="00603F89" w:rsidRPr="00F64E40">
              <w:rPr>
                <w:rFonts w:ascii="Tahoma" w:hAnsi="Tahoma" w:cs="Tahoma"/>
                <w:color w:val="3A7C22" w:themeColor="accent6" w:themeShade="BF"/>
                <w:sz w:val="22"/>
                <w:szCs w:val="22"/>
              </w:rPr>
              <w:t xml:space="preserve"> does not arise </w:t>
            </w:r>
            <w:r w:rsidR="00E21400" w:rsidRPr="00F64E40">
              <w:rPr>
                <w:rFonts w:ascii="Tahoma" w:hAnsi="Tahoma" w:cs="Tahoma"/>
                <w:color w:val="3A7C22" w:themeColor="accent6" w:themeShade="BF"/>
                <w:sz w:val="22"/>
                <w:szCs w:val="22"/>
              </w:rPr>
              <w:t>where there are</w:t>
            </w:r>
            <w:r w:rsidR="003B1FC8" w:rsidRPr="00F64E40">
              <w:rPr>
                <w:rFonts w:ascii="Tahoma" w:hAnsi="Tahoma" w:cs="Tahoma"/>
                <w:color w:val="3A7C22" w:themeColor="accent6" w:themeShade="BF"/>
                <w:sz w:val="22"/>
                <w:szCs w:val="22"/>
              </w:rPr>
              <w:t xml:space="preserve"> </w:t>
            </w:r>
            <w:r w:rsidR="00497FE3" w:rsidRPr="00F64E40">
              <w:rPr>
                <w:rFonts w:ascii="Tahoma" w:hAnsi="Tahoma" w:cs="Tahoma"/>
                <w:color w:val="3A7C22" w:themeColor="accent6" w:themeShade="BF"/>
                <w:sz w:val="22"/>
                <w:szCs w:val="22"/>
              </w:rPr>
              <w:t>special allocations alone but from</w:t>
            </w:r>
            <w:r w:rsidR="00E21400" w:rsidRPr="00F64E40">
              <w:rPr>
                <w:rFonts w:ascii="Tahoma" w:hAnsi="Tahoma" w:cs="Tahoma"/>
                <w:color w:val="3A7C22" w:themeColor="accent6" w:themeShade="BF"/>
                <w:sz w:val="22"/>
                <w:szCs w:val="22"/>
              </w:rPr>
              <w:t xml:space="preserve"> where those allocations are</w:t>
            </w:r>
            <w:r w:rsidR="00497FE3" w:rsidRPr="00F64E40">
              <w:rPr>
                <w:rFonts w:ascii="Tahoma" w:hAnsi="Tahoma" w:cs="Tahoma"/>
                <w:color w:val="3A7C22" w:themeColor="accent6" w:themeShade="BF"/>
                <w:sz w:val="22"/>
                <w:szCs w:val="22"/>
              </w:rPr>
              <w:t xml:space="preserve"> disproportiona</w:t>
            </w:r>
            <w:r w:rsidR="00D62C75" w:rsidRPr="00F64E40">
              <w:rPr>
                <w:rFonts w:ascii="Tahoma" w:hAnsi="Tahoma" w:cs="Tahoma"/>
                <w:color w:val="3A7C22" w:themeColor="accent6" w:themeShade="BF"/>
                <w:sz w:val="22"/>
                <w:szCs w:val="22"/>
              </w:rPr>
              <w:t>te</w:t>
            </w:r>
            <w:r w:rsidR="00B93ED7" w:rsidRPr="00F64E40">
              <w:rPr>
                <w:rFonts w:ascii="Tahoma" w:hAnsi="Tahoma" w:cs="Tahoma"/>
                <w:color w:val="3A7C22" w:themeColor="accent6" w:themeShade="BF"/>
                <w:sz w:val="22"/>
                <w:szCs w:val="22"/>
              </w:rPr>
              <w:t xml:space="preserve"> or where partners receive guaranteed payments</w:t>
            </w:r>
            <w:r w:rsidR="005420DA" w:rsidRPr="00F64E40">
              <w:rPr>
                <w:rFonts w:ascii="Tahoma" w:hAnsi="Tahoma" w:cs="Tahoma"/>
                <w:color w:val="3A7C22" w:themeColor="accent6" w:themeShade="BF"/>
                <w:sz w:val="22"/>
                <w:szCs w:val="22"/>
              </w:rPr>
              <w:t xml:space="preserve">. So, for example, if two partners who hold equal capital interests in a partnership agree to share </w:t>
            </w:r>
            <w:r w:rsidR="00E21400" w:rsidRPr="00F64E40">
              <w:rPr>
                <w:rFonts w:ascii="Tahoma" w:hAnsi="Tahoma" w:cs="Tahoma"/>
                <w:color w:val="3A7C22" w:themeColor="accent6" w:themeShade="BF"/>
                <w:sz w:val="22"/>
                <w:szCs w:val="22"/>
              </w:rPr>
              <w:t xml:space="preserve">all </w:t>
            </w:r>
            <w:r w:rsidR="005420DA" w:rsidRPr="00F64E40">
              <w:rPr>
                <w:rFonts w:ascii="Tahoma" w:hAnsi="Tahoma" w:cs="Tahoma"/>
                <w:color w:val="3A7C22" w:themeColor="accent6" w:themeShade="BF"/>
                <w:sz w:val="22"/>
                <w:szCs w:val="22"/>
              </w:rPr>
              <w:t>partnership income (loss)</w:t>
            </w:r>
            <w:r w:rsidR="00E81D15" w:rsidRPr="00F64E40">
              <w:rPr>
                <w:rFonts w:ascii="Tahoma" w:hAnsi="Tahoma" w:cs="Tahoma"/>
                <w:color w:val="3A7C22" w:themeColor="accent6" w:themeShade="BF"/>
                <w:sz w:val="22"/>
                <w:szCs w:val="22"/>
              </w:rPr>
              <w:t xml:space="preserve"> items</w:t>
            </w:r>
            <w:r w:rsidR="005420DA" w:rsidRPr="00F64E40">
              <w:rPr>
                <w:rFonts w:ascii="Tahoma" w:hAnsi="Tahoma" w:cs="Tahoma"/>
                <w:color w:val="3A7C22" w:themeColor="accent6" w:themeShade="BF"/>
                <w:sz w:val="22"/>
                <w:szCs w:val="22"/>
              </w:rPr>
              <w:t xml:space="preserve"> </w:t>
            </w:r>
            <w:r w:rsidR="00E755B3" w:rsidRPr="00F64E40">
              <w:rPr>
                <w:rFonts w:ascii="Tahoma" w:hAnsi="Tahoma" w:cs="Tahoma"/>
                <w:color w:val="3A7C22" w:themeColor="accent6" w:themeShade="BF"/>
                <w:sz w:val="22"/>
                <w:szCs w:val="22"/>
              </w:rPr>
              <w:t xml:space="preserve">60/40, rather than 50/50, the share of factors </w:t>
            </w:r>
            <w:r w:rsidR="0006406E" w:rsidRPr="00F64E40">
              <w:rPr>
                <w:rFonts w:ascii="Tahoma" w:hAnsi="Tahoma" w:cs="Tahoma"/>
                <w:color w:val="3A7C22" w:themeColor="accent6" w:themeShade="BF"/>
                <w:sz w:val="22"/>
                <w:szCs w:val="22"/>
              </w:rPr>
              <w:t xml:space="preserve">will be the same whether using </w:t>
            </w:r>
            <w:r w:rsidR="00E755B3" w:rsidRPr="00F64E40">
              <w:rPr>
                <w:rFonts w:ascii="Tahoma" w:hAnsi="Tahoma" w:cs="Tahoma"/>
                <w:color w:val="3A7C22" w:themeColor="accent6" w:themeShade="BF"/>
                <w:sz w:val="22"/>
                <w:szCs w:val="22"/>
              </w:rPr>
              <w:t xml:space="preserve">distributive share </w:t>
            </w:r>
            <w:r w:rsidR="00D70C99" w:rsidRPr="00F64E40">
              <w:rPr>
                <w:rFonts w:ascii="Tahoma" w:hAnsi="Tahoma" w:cs="Tahoma"/>
                <w:color w:val="3A7C22" w:themeColor="accent6" w:themeShade="BF"/>
                <w:sz w:val="22"/>
                <w:szCs w:val="22"/>
              </w:rPr>
              <w:t>with or without</w:t>
            </w:r>
            <w:r w:rsidR="00E755B3" w:rsidRPr="00F64E40">
              <w:rPr>
                <w:rFonts w:ascii="Tahoma" w:hAnsi="Tahoma" w:cs="Tahoma"/>
                <w:color w:val="3A7C22" w:themeColor="accent6" w:themeShade="BF"/>
                <w:sz w:val="22"/>
                <w:szCs w:val="22"/>
              </w:rPr>
              <w:t xml:space="preserve"> the absolute value method. But if the partners instead agree to share </w:t>
            </w:r>
            <w:r w:rsidR="00417177" w:rsidRPr="00F64E40">
              <w:rPr>
                <w:rFonts w:ascii="Tahoma" w:hAnsi="Tahoma" w:cs="Tahoma"/>
                <w:color w:val="3A7C22" w:themeColor="accent6" w:themeShade="BF"/>
                <w:sz w:val="22"/>
                <w:szCs w:val="22"/>
              </w:rPr>
              <w:t>capital losses 60/40 while sharing other items 50/50, then this is a disproportiona</w:t>
            </w:r>
            <w:r w:rsidR="00A402FD" w:rsidRPr="00F64E40">
              <w:rPr>
                <w:rFonts w:ascii="Tahoma" w:hAnsi="Tahoma" w:cs="Tahoma"/>
                <w:color w:val="3A7C22" w:themeColor="accent6" w:themeShade="BF"/>
                <w:sz w:val="22"/>
                <w:szCs w:val="22"/>
              </w:rPr>
              <w:t>te</w:t>
            </w:r>
            <w:r w:rsidR="00417177" w:rsidRPr="00F64E40">
              <w:rPr>
                <w:rFonts w:ascii="Tahoma" w:hAnsi="Tahoma" w:cs="Tahoma"/>
                <w:color w:val="3A7C22" w:themeColor="accent6" w:themeShade="BF"/>
                <w:sz w:val="22"/>
                <w:szCs w:val="22"/>
              </w:rPr>
              <w:t xml:space="preserve"> special allocation </w:t>
            </w:r>
            <w:r w:rsidR="007F28BC" w:rsidRPr="00F64E40">
              <w:rPr>
                <w:rFonts w:ascii="Tahoma" w:hAnsi="Tahoma" w:cs="Tahoma"/>
                <w:color w:val="3A7C22" w:themeColor="accent6" w:themeShade="BF"/>
                <w:sz w:val="22"/>
                <w:szCs w:val="22"/>
              </w:rPr>
              <w:t>and there will be a different</w:t>
            </w:r>
            <w:r w:rsidR="00594A91" w:rsidRPr="00F64E40">
              <w:rPr>
                <w:rFonts w:ascii="Tahoma" w:hAnsi="Tahoma" w:cs="Tahoma"/>
                <w:color w:val="3A7C22" w:themeColor="accent6" w:themeShade="BF"/>
                <w:sz w:val="22"/>
                <w:szCs w:val="22"/>
              </w:rPr>
              <w:t xml:space="preserve"> </w:t>
            </w:r>
            <w:r w:rsidR="007F28BC" w:rsidRPr="00F64E40">
              <w:rPr>
                <w:rFonts w:ascii="Tahoma" w:hAnsi="Tahoma" w:cs="Tahoma"/>
                <w:color w:val="3A7C22" w:themeColor="accent6" w:themeShade="BF"/>
                <w:sz w:val="22"/>
                <w:szCs w:val="22"/>
              </w:rPr>
              <w:t xml:space="preserve">result depending on whether the absolute value is used. </w:t>
            </w:r>
          </w:p>
        </w:tc>
      </w:tr>
      <w:tr w:rsidR="00B231EF" w14:paraId="048805F2" w14:textId="77777777" w:rsidTr="00D04EC9">
        <w:tc>
          <w:tcPr>
            <w:tcW w:w="535" w:type="dxa"/>
          </w:tcPr>
          <w:p w14:paraId="7378DDAD" w14:textId="5E73DC2E" w:rsidR="00B231EF" w:rsidRPr="008F2CF7" w:rsidRDefault="00B231EF" w:rsidP="004E6EB3">
            <w:pPr>
              <w:spacing w:before="80" w:after="80" w:line="228" w:lineRule="auto"/>
              <w:rPr>
                <w:rFonts w:ascii="Perpetua" w:hAnsi="Perpetua" w:cs="Leelawadee"/>
                <w:sz w:val="28"/>
              </w:rPr>
            </w:pPr>
          </w:p>
        </w:tc>
        <w:tc>
          <w:tcPr>
            <w:tcW w:w="9028" w:type="dxa"/>
            <w:gridSpan w:val="2"/>
            <w:tcBorders>
              <w:right w:val="single" w:sz="4" w:space="0" w:color="auto"/>
            </w:tcBorders>
          </w:tcPr>
          <w:p w14:paraId="048F8395" w14:textId="357B5964" w:rsidR="00B231EF" w:rsidRPr="00AB3325" w:rsidRDefault="008C025F" w:rsidP="004E6EB3">
            <w:pPr>
              <w:spacing w:before="80" w:after="80" w:line="228" w:lineRule="auto"/>
              <w:rPr>
                <w:rFonts w:ascii="Perpetua" w:hAnsi="Perpetua"/>
                <w:sz w:val="32"/>
                <w:szCs w:val="28"/>
              </w:rPr>
            </w:pPr>
            <w:r w:rsidRPr="00585B85">
              <w:rPr>
                <w:rFonts w:ascii="Perpetua" w:hAnsi="Perpetua"/>
                <w:sz w:val="32"/>
                <w:szCs w:val="28"/>
                <w:highlight w:val="yellow"/>
              </w:rPr>
              <w:t xml:space="preserve">Guaranteed payments and </w:t>
            </w:r>
            <w:r w:rsidR="00280F6C" w:rsidRPr="00585B85">
              <w:rPr>
                <w:rFonts w:ascii="Perpetua" w:hAnsi="Perpetua"/>
                <w:sz w:val="32"/>
                <w:szCs w:val="28"/>
                <w:highlight w:val="yellow"/>
              </w:rPr>
              <w:t>i</w:t>
            </w:r>
            <w:r w:rsidR="00B231EF" w:rsidRPr="00585B85">
              <w:rPr>
                <w:rFonts w:ascii="Perpetua" w:hAnsi="Perpetua"/>
                <w:sz w:val="32"/>
                <w:szCs w:val="28"/>
                <w:highlight w:val="yellow"/>
              </w:rPr>
              <w:t>tems of income, expense, gain, loss or other tax items that are allocated to an upper-tier partnership or other pass-through entity by a lower-tier partnership retain their tax character as determined in Subpart B</w:t>
            </w:r>
            <w:r w:rsidR="00600269" w:rsidRPr="00585B85">
              <w:rPr>
                <w:rFonts w:ascii="Perpetua" w:hAnsi="Perpetua"/>
                <w:sz w:val="32"/>
                <w:szCs w:val="28"/>
                <w:highlight w:val="yellow"/>
              </w:rPr>
              <w:t xml:space="preserve"> regardless </w:t>
            </w:r>
            <w:r w:rsidR="001B0E82">
              <w:rPr>
                <w:rFonts w:ascii="Perpetua" w:hAnsi="Perpetua"/>
                <w:sz w:val="32"/>
                <w:szCs w:val="28"/>
                <w:highlight w:val="yellow"/>
              </w:rPr>
              <w:t>of whether</w:t>
            </w:r>
            <w:r w:rsidR="00DE6438" w:rsidRPr="00585B85">
              <w:rPr>
                <w:rFonts w:ascii="Perpetua" w:hAnsi="Perpetua"/>
                <w:sz w:val="32"/>
                <w:szCs w:val="28"/>
                <w:highlight w:val="yellow"/>
              </w:rPr>
              <w:t xml:space="preserve"> </w:t>
            </w:r>
            <w:r w:rsidR="002931A6" w:rsidRPr="00585B85">
              <w:rPr>
                <w:rFonts w:ascii="Perpetua" w:hAnsi="Perpetua"/>
                <w:sz w:val="32"/>
                <w:szCs w:val="28"/>
                <w:highlight w:val="yellow"/>
              </w:rPr>
              <w:t xml:space="preserve">the </w:t>
            </w:r>
            <w:r w:rsidR="00DE6438" w:rsidRPr="00585B85">
              <w:rPr>
                <w:rFonts w:ascii="Perpetua" w:hAnsi="Perpetua"/>
                <w:sz w:val="32"/>
                <w:szCs w:val="28"/>
                <w:highlight w:val="yellow"/>
              </w:rPr>
              <w:t>allocations</w:t>
            </w:r>
            <w:r w:rsidR="00600269" w:rsidRPr="00585B85">
              <w:rPr>
                <w:rFonts w:ascii="Perpetua" w:hAnsi="Perpetua"/>
                <w:sz w:val="32"/>
                <w:szCs w:val="28"/>
                <w:highlight w:val="yellow"/>
              </w:rPr>
              <w:t xml:space="preserve"> are made in accordance with the partner’s partnership interest, </w:t>
            </w:r>
            <w:r w:rsidR="00081E7C" w:rsidRPr="00585B85">
              <w:rPr>
                <w:rFonts w:ascii="Perpetua" w:hAnsi="Perpetua"/>
                <w:sz w:val="32"/>
                <w:szCs w:val="28"/>
                <w:highlight w:val="yellow"/>
              </w:rPr>
              <w:t>or are special, mandatory, or remedial allocations</w:t>
            </w:r>
            <w:r w:rsidR="00B231EF" w:rsidRPr="00585B85">
              <w:rPr>
                <w:rFonts w:ascii="Perpetua" w:hAnsi="Perpetua"/>
                <w:sz w:val="32"/>
                <w:szCs w:val="28"/>
                <w:highlight w:val="yellow"/>
              </w:rPr>
              <w:t xml:space="preserve">. But the upper-tier partnership or other pass-through entity will also determine the following with respect to these </w:t>
            </w:r>
            <w:r w:rsidR="005217B8" w:rsidRPr="00585B85">
              <w:rPr>
                <w:rFonts w:ascii="Perpetua" w:hAnsi="Perpetua"/>
                <w:sz w:val="32"/>
                <w:szCs w:val="28"/>
                <w:highlight w:val="yellow"/>
              </w:rPr>
              <w:t xml:space="preserve">guaranteed payments and </w:t>
            </w:r>
            <w:r w:rsidR="00941AA1" w:rsidRPr="00585B85">
              <w:rPr>
                <w:rFonts w:ascii="Perpetua" w:hAnsi="Perpetua"/>
                <w:sz w:val="32"/>
                <w:szCs w:val="28"/>
                <w:highlight w:val="yellow"/>
              </w:rPr>
              <w:t>allocated items</w:t>
            </w:r>
            <w:r w:rsidR="005B7252">
              <w:rPr>
                <w:rFonts w:ascii="Perpetua" w:hAnsi="Perpetua"/>
                <w:sz w:val="32"/>
                <w:szCs w:val="28"/>
                <w:highlight w:val="yellow"/>
              </w:rPr>
              <w:t xml:space="preserve"> </w:t>
            </w:r>
            <w:r w:rsidR="005B7252" w:rsidRPr="00756F24">
              <w:rPr>
                <w:rFonts w:ascii="Perpetua" w:hAnsi="Perpetua"/>
                <w:sz w:val="32"/>
                <w:szCs w:val="28"/>
                <w:highlight w:val="yellow"/>
              </w:rPr>
              <w:t>when reporting information to that upper-tier partnership’s partners or the entity’s beneficial interest holders</w:t>
            </w:r>
            <w:r w:rsidR="00EB42FF">
              <w:rPr>
                <w:rFonts w:ascii="Perpetua" w:hAnsi="Perpetua"/>
                <w:sz w:val="32"/>
                <w:szCs w:val="28"/>
                <w:highlight w:val="yellow"/>
              </w:rPr>
              <w:t xml:space="preserve">: </w:t>
            </w:r>
            <w:r w:rsidR="00DE6438" w:rsidRPr="00585B85">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vAlign w:val="center"/>
          </w:tcPr>
          <w:p w14:paraId="6D6987B4" w14:textId="6142F7E7"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See the note for Subpart C above. </w:t>
            </w:r>
            <w:r w:rsidR="008656C9">
              <w:rPr>
                <w:rFonts w:ascii="Tahoma" w:hAnsi="Tahoma" w:cs="Tahoma"/>
                <w:color w:val="3A7C22" w:themeColor="accent6" w:themeShade="BF"/>
                <w:sz w:val="22"/>
                <w:szCs w:val="22"/>
              </w:rPr>
              <w:t xml:space="preserve">Also, guaranteed payments are included </w:t>
            </w:r>
            <w:r w:rsidR="00D04EC9">
              <w:rPr>
                <w:rFonts w:ascii="Tahoma" w:hAnsi="Tahoma" w:cs="Tahoma"/>
                <w:color w:val="3A7C22" w:themeColor="accent6" w:themeShade="BF"/>
                <w:sz w:val="22"/>
                <w:szCs w:val="22"/>
              </w:rPr>
              <w:t xml:space="preserve">in this </w:t>
            </w:r>
            <w:r w:rsidR="00B90C71">
              <w:rPr>
                <w:rFonts w:ascii="Tahoma" w:hAnsi="Tahoma" w:cs="Tahoma"/>
                <w:color w:val="3A7C22" w:themeColor="accent6" w:themeShade="BF"/>
                <w:sz w:val="22"/>
                <w:szCs w:val="22"/>
              </w:rPr>
              <w:t xml:space="preserve">Subpart and the provisions have been reworded somewhat for </w:t>
            </w:r>
            <w:r w:rsidR="008656C9">
              <w:rPr>
                <w:rFonts w:ascii="Tahoma" w:hAnsi="Tahoma" w:cs="Tahoma"/>
                <w:color w:val="3A7C22" w:themeColor="accent6" w:themeShade="BF"/>
                <w:sz w:val="22"/>
                <w:szCs w:val="22"/>
              </w:rPr>
              <w:t xml:space="preserve">clarity. </w:t>
            </w:r>
          </w:p>
        </w:tc>
      </w:tr>
      <w:tr w:rsidR="00B231EF" w14:paraId="39297F65" w14:textId="77777777" w:rsidTr="00D04EC9">
        <w:tc>
          <w:tcPr>
            <w:tcW w:w="535" w:type="dxa"/>
          </w:tcPr>
          <w:p w14:paraId="01F12AAC" w14:textId="77777777" w:rsidR="00B231EF" w:rsidRPr="008F2CF7" w:rsidRDefault="00B231EF" w:rsidP="004E6EB3">
            <w:pPr>
              <w:spacing w:before="80" w:after="80" w:line="228" w:lineRule="auto"/>
              <w:rPr>
                <w:rFonts w:ascii="Perpetua" w:hAnsi="Perpetua" w:cs="Leelawadee"/>
                <w:sz w:val="28"/>
              </w:rPr>
            </w:pPr>
          </w:p>
        </w:tc>
        <w:tc>
          <w:tcPr>
            <w:tcW w:w="603" w:type="dxa"/>
            <w:tcBorders>
              <w:right w:val="nil"/>
            </w:tcBorders>
          </w:tcPr>
          <w:p w14:paraId="1BFEAEDA" w14:textId="4C024180" w:rsidR="00B231EF" w:rsidRPr="008F2CF7" w:rsidRDefault="00B231EF" w:rsidP="004E6EB3">
            <w:pPr>
              <w:spacing w:before="80" w:after="80" w:line="228" w:lineRule="auto"/>
              <w:rPr>
                <w:rFonts w:ascii="Perpetua" w:hAnsi="Perpetua" w:cs="Leelawadee"/>
                <w:sz w:val="28"/>
              </w:rPr>
            </w:pPr>
            <w:r>
              <w:rPr>
                <w:rFonts w:ascii="Perpetua" w:hAnsi="Perpetua" w:cs="Leelawadee"/>
                <w:sz w:val="28"/>
              </w:rPr>
              <w:t>1.</w:t>
            </w:r>
          </w:p>
        </w:tc>
        <w:tc>
          <w:tcPr>
            <w:tcW w:w="8425" w:type="dxa"/>
            <w:tcBorders>
              <w:top w:val="nil"/>
              <w:left w:val="nil"/>
              <w:bottom w:val="nil"/>
              <w:right w:val="nil"/>
            </w:tcBorders>
          </w:tcPr>
          <w:p w14:paraId="148694AD" w14:textId="24CCBA9C" w:rsidR="00530DC4" w:rsidRPr="00AB3325" w:rsidRDefault="00B231EF" w:rsidP="004E6EB3">
            <w:pPr>
              <w:spacing w:before="80" w:after="80" w:line="228" w:lineRule="auto"/>
              <w:rPr>
                <w:rFonts w:ascii="Perpetua" w:hAnsi="Perpetua"/>
                <w:sz w:val="32"/>
                <w:szCs w:val="28"/>
              </w:rPr>
            </w:pPr>
            <w:r w:rsidRPr="006B25D0">
              <w:rPr>
                <w:rFonts w:ascii="Perpetua" w:hAnsi="Perpetua"/>
                <w:sz w:val="32"/>
                <w:szCs w:val="28"/>
                <w:highlight w:val="yellow"/>
              </w:rPr>
              <w:t xml:space="preserve">Whether </w:t>
            </w:r>
            <w:r w:rsidR="00ED6716" w:rsidRPr="006B25D0">
              <w:rPr>
                <w:rFonts w:ascii="Perpetua" w:hAnsi="Perpetua"/>
                <w:sz w:val="32"/>
                <w:szCs w:val="28"/>
                <w:highlight w:val="yellow"/>
              </w:rPr>
              <w:t xml:space="preserve">guaranteed </w:t>
            </w:r>
            <w:r w:rsidR="00124953" w:rsidRPr="006B25D0">
              <w:rPr>
                <w:rFonts w:ascii="Perpetua" w:hAnsi="Perpetua"/>
                <w:sz w:val="32"/>
                <w:szCs w:val="28"/>
                <w:highlight w:val="yellow"/>
              </w:rPr>
              <w:t xml:space="preserve">payments or </w:t>
            </w:r>
            <w:r w:rsidRPr="006B25D0">
              <w:rPr>
                <w:rFonts w:ascii="Perpetua" w:hAnsi="Perpetua"/>
                <w:sz w:val="32"/>
                <w:szCs w:val="28"/>
                <w:highlight w:val="yellow"/>
              </w:rPr>
              <w:t>items determined by the lower-tier partnership to be non-apportionable under Subpart B.2, or apportionable under Subpart B.4, have a sufficient unitary relationship to any business activity generating apportionable income in which the upper-tier partnership or other pass-through entity is engaged directly or in conjunction with any entity in which the partnership owns a direct or indirect interest.</w:t>
            </w:r>
          </w:p>
        </w:tc>
        <w:tc>
          <w:tcPr>
            <w:tcW w:w="5115" w:type="dxa"/>
            <w:tcBorders>
              <w:top w:val="single" w:sz="4" w:space="0" w:color="auto"/>
              <w:left w:val="nil"/>
              <w:bottom w:val="nil"/>
              <w:right w:val="nil"/>
            </w:tcBorders>
            <w:vAlign w:val="center"/>
          </w:tcPr>
          <w:p w14:paraId="1B08BC38" w14:textId="2E1A90B5" w:rsidR="00B231EF" w:rsidRPr="00F64E40" w:rsidRDefault="00B231EF" w:rsidP="004E6EB3">
            <w:pPr>
              <w:spacing w:before="80" w:after="80" w:line="276" w:lineRule="auto"/>
              <w:rPr>
                <w:rFonts w:ascii="Tahoma" w:hAnsi="Tahoma" w:cs="Tahoma"/>
                <w:b/>
                <w:bCs/>
                <w:color w:val="3A7C22" w:themeColor="accent6" w:themeShade="BF"/>
                <w:sz w:val="22"/>
                <w:szCs w:val="22"/>
              </w:rPr>
            </w:pPr>
          </w:p>
        </w:tc>
      </w:tr>
      <w:tr w:rsidR="00ED2B27" w14:paraId="62F57476" w14:textId="77777777" w:rsidTr="00226316">
        <w:tc>
          <w:tcPr>
            <w:tcW w:w="535" w:type="dxa"/>
          </w:tcPr>
          <w:p w14:paraId="0A6D113D" w14:textId="77777777" w:rsidR="00ED2B27" w:rsidRPr="008F2CF7" w:rsidRDefault="00ED2B27" w:rsidP="004E6EB3">
            <w:pPr>
              <w:spacing w:before="80" w:after="80" w:line="228" w:lineRule="auto"/>
              <w:rPr>
                <w:rFonts w:ascii="Perpetua" w:hAnsi="Perpetua" w:cs="Leelawadee"/>
                <w:sz w:val="28"/>
              </w:rPr>
            </w:pPr>
          </w:p>
        </w:tc>
        <w:tc>
          <w:tcPr>
            <w:tcW w:w="603" w:type="dxa"/>
            <w:tcBorders>
              <w:right w:val="nil"/>
            </w:tcBorders>
          </w:tcPr>
          <w:p w14:paraId="153AF67A" w14:textId="5EF25E59" w:rsidR="00ED2B27" w:rsidRDefault="00ED2B27" w:rsidP="004E6EB3">
            <w:pPr>
              <w:spacing w:before="80" w:after="80" w:line="228" w:lineRule="auto"/>
              <w:rPr>
                <w:rFonts w:ascii="Perpetua" w:hAnsi="Perpetua" w:cs="Leelawadee"/>
                <w:sz w:val="28"/>
              </w:rPr>
            </w:pPr>
            <w:r>
              <w:rPr>
                <w:rFonts w:ascii="Perpetua" w:hAnsi="Perpetua" w:cs="Leelawadee"/>
                <w:sz w:val="28"/>
              </w:rPr>
              <w:t xml:space="preserve">2. </w:t>
            </w:r>
          </w:p>
        </w:tc>
        <w:tc>
          <w:tcPr>
            <w:tcW w:w="8425" w:type="dxa"/>
            <w:tcBorders>
              <w:top w:val="nil"/>
              <w:left w:val="nil"/>
              <w:bottom w:val="nil"/>
              <w:right w:val="nil"/>
            </w:tcBorders>
          </w:tcPr>
          <w:p w14:paraId="120E6B55" w14:textId="1E3B1556" w:rsidR="00ED2B27" w:rsidRPr="00756F24" w:rsidRDefault="00ED2B27" w:rsidP="004E6EB3">
            <w:pPr>
              <w:spacing w:before="80" w:after="80" w:line="228" w:lineRule="auto"/>
              <w:rPr>
                <w:rFonts w:ascii="Perpetua" w:hAnsi="Perpetua"/>
                <w:sz w:val="32"/>
                <w:szCs w:val="28"/>
                <w:highlight w:val="yellow"/>
              </w:rPr>
            </w:pPr>
            <w:r w:rsidRPr="00756F24">
              <w:rPr>
                <w:rFonts w:ascii="Perpetua" w:hAnsi="Perpetua"/>
                <w:sz w:val="32"/>
                <w:szCs w:val="28"/>
                <w:highlight w:val="yellow"/>
              </w:rPr>
              <w:t xml:space="preserve">If any guaranteed payments or items determined to be non-apportionable by the lower-tier partnership are properly determined by the upper-tier partnership or other pass-through entity to have a sufficient unitary relationship to that partnership’s or entity’s own business activity generating apportionable income, then the upper-tier partnership or other pass-through entity will include these </w:t>
            </w:r>
            <w:r w:rsidR="007B3F59">
              <w:rPr>
                <w:rFonts w:ascii="Perpetua" w:hAnsi="Perpetua"/>
                <w:sz w:val="32"/>
                <w:szCs w:val="28"/>
                <w:highlight w:val="yellow"/>
              </w:rPr>
              <w:t xml:space="preserve">guaranteed </w:t>
            </w:r>
            <w:r w:rsidRPr="00756F24">
              <w:rPr>
                <w:rFonts w:ascii="Perpetua" w:hAnsi="Perpetua"/>
                <w:sz w:val="32"/>
                <w:szCs w:val="28"/>
                <w:highlight w:val="yellow"/>
              </w:rPr>
              <w:t>payments and items in the apportionable income from that partnership’s or entity’s related business activities to be apportioned using the upper-tier partnership’s or other pass-through entity’s apportionment factors.</w:t>
            </w:r>
          </w:p>
        </w:tc>
        <w:tc>
          <w:tcPr>
            <w:tcW w:w="5115" w:type="dxa"/>
            <w:tcBorders>
              <w:top w:val="nil"/>
              <w:left w:val="nil"/>
              <w:bottom w:val="single" w:sz="4" w:space="0" w:color="auto"/>
              <w:right w:val="nil"/>
            </w:tcBorders>
            <w:vAlign w:val="center"/>
          </w:tcPr>
          <w:p w14:paraId="4E385A85" w14:textId="77777777" w:rsidR="00ED2B27" w:rsidRPr="00F64E40" w:rsidRDefault="00ED2B27" w:rsidP="004E6EB3">
            <w:pPr>
              <w:spacing w:before="80" w:after="80" w:line="276" w:lineRule="auto"/>
              <w:rPr>
                <w:rFonts w:ascii="Tahoma" w:hAnsi="Tahoma" w:cs="Tahoma"/>
                <w:color w:val="3A7C22" w:themeColor="accent6" w:themeShade="BF"/>
                <w:sz w:val="22"/>
                <w:szCs w:val="22"/>
              </w:rPr>
            </w:pPr>
          </w:p>
        </w:tc>
      </w:tr>
      <w:tr w:rsidR="00B231EF" w14:paraId="49B76E7C" w14:textId="77777777" w:rsidTr="00226316">
        <w:tc>
          <w:tcPr>
            <w:tcW w:w="535" w:type="dxa"/>
          </w:tcPr>
          <w:p w14:paraId="6EC8D1D7"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9270E62" w14:textId="10EC6A32" w:rsidR="00B231EF" w:rsidRPr="00AB3325" w:rsidRDefault="00151931" w:rsidP="004E6EB3">
            <w:pPr>
              <w:spacing w:before="80" w:after="80" w:line="228" w:lineRule="auto"/>
              <w:rPr>
                <w:rFonts w:ascii="Perpetua" w:hAnsi="Perpetua" w:cs="Leelawadee"/>
                <w:sz w:val="32"/>
                <w:szCs w:val="28"/>
              </w:rPr>
            </w:pPr>
            <w:r>
              <w:rPr>
                <w:rFonts w:ascii="Perpetua" w:hAnsi="Perpetua" w:cs="Leelawadee"/>
                <w:sz w:val="32"/>
                <w:szCs w:val="28"/>
              </w:rPr>
              <w:t>3</w:t>
            </w:r>
            <w:r w:rsidR="00B231EF" w:rsidRPr="00AB3325">
              <w:rPr>
                <w:rFonts w:ascii="Perpetua" w:hAnsi="Perpetua" w:cs="Leelawadee"/>
                <w:sz w:val="32"/>
                <w:szCs w:val="28"/>
              </w:rPr>
              <w:t>.</w:t>
            </w:r>
          </w:p>
        </w:tc>
        <w:tc>
          <w:tcPr>
            <w:tcW w:w="8425" w:type="dxa"/>
            <w:tcBorders>
              <w:right w:val="single" w:sz="4" w:space="0" w:color="auto"/>
            </w:tcBorders>
          </w:tcPr>
          <w:p w14:paraId="5EEADE70" w14:textId="492D5E08" w:rsidR="0037174B" w:rsidRPr="00DD5A00" w:rsidRDefault="000261CF" w:rsidP="008B6490">
            <w:pPr>
              <w:spacing w:before="80" w:after="120" w:line="228" w:lineRule="auto"/>
              <w:rPr>
                <w:rFonts w:ascii="Perpetua" w:hAnsi="Perpetua"/>
                <w:sz w:val="32"/>
                <w:szCs w:val="28"/>
                <w:highlight w:val="yellow"/>
              </w:rPr>
            </w:pPr>
            <w:r w:rsidRPr="00DD5A00">
              <w:rPr>
                <w:rFonts w:ascii="Perpetua" w:hAnsi="Perpetua"/>
                <w:sz w:val="32"/>
                <w:szCs w:val="28"/>
                <w:highlight w:val="yellow"/>
              </w:rPr>
              <w:t>If any</w:t>
            </w:r>
            <w:r w:rsidR="00B231EF" w:rsidRPr="00DD5A00">
              <w:rPr>
                <w:rFonts w:ascii="Perpetua" w:hAnsi="Perpetua"/>
                <w:sz w:val="32"/>
                <w:szCs w:val="28"/>
                <w:highlight w:val="yellow"/>
              </w:rPr>
              <w:t xml:space="preserve"> </w:t>
            </w:r>
            <w:r w:rsidR="001167BA" w:rsidRPr="00DD5A00">
              <w:rPr>
                <w:rFonts w:ascii="Perpetua" w:hAnsi="Perpetua"/>
                <w:sz w:val="32"/>
                <w:szCs w:val="28"/>
                <w:highlight w:val="yellow"/>
              </w:rPr>
              <w:t xml:space="preserve">guaranteed </w:t>
            </w:r>
            <w:r w:rsidR="00ED1239" w:rsidRPr="00DD5A00">
              <w:rPr>
                <w:rFonts w:ascii="Perpetua" w:hAnsi="Perpetua"/>
                <w:sz w:val="32"/>
                <w:szCs w:val="28"/>
                <w:highlight w:val="yellow"/>
              </w:rPr>
              <w:t>payments</w:t>
            </w:r>
            <w:r w:rsidR="00B231EF" w:rsidRPr="00DD5A00">
              <w:rPr>
                <w:rFonts w:ascii="Perpetua" w:hAnsi="Perpetua"/>
                <w:sz w:val="32"/>
                <w:szCs w:val="28"/>
                <w:highlight w:val="yellow"/>
              </w:rPr>
              <w:t xml:space="preserve"> </w:t>
            </w:r>
            <w:r w:rsidR="00BF5702" w:rsidRPr="00DD5A00">
              <w:rPr>
                <w:rFonts w:ascii="Perpetua" w:hAnsi="Perpetua"/>
                <w:sz w:val="32"/>
                <w:szCs w:val="28"/>
                <w:highlight w:val="yellow"/>
              </w:rPr>
              <w:t xml:space="preserve">or items </w:t>
            </w:r>
            <w:r w:rsidR="00B231EF" w:rsidRPr="00DD5A00">
              <w:rPr>
                <w:rFonts w:ascii="Perpetua" w:hAnsi="Perpetua"/>
                <w:sz w:val="32"/>
                <w:szCs w:val="28"/>
                <w:highlight w:val="yellow"/>
              </w:rPr>
              <w:t>determined to be apportionable by the lower-tier partnership</w:t>
            </w:r>
            <w:r w:rsidR="002E13A7" w:rsidRPr="00DD5A00">
              <w:rPr>
                <w:rFonts w:ascii="Perpetua" w:hAnsi="Perpetua"/>
                <w:sz w:val="32"/>
                <w:szCs w:val="28"/>
                <w:highlight w:val="yellow"/>
              </w:rPr>
              <w:t xml:space="preserve"> </w:t>
            </w:r>
            <w:r w:rsidR="00B231EF" w:rsidRPr="00DD5A00">
              <w:rPr>
                <w:rFonts w:ascii="Perpetua" w:hAnsi="Perpetua"/>
                <w:sz w:val="32"/>
                <w:szCs w:val="28"/>
                <w:highlight w:val="yellow"/>
              </w:rPr>
              <w:t>are properly determined to have</w:t>
            </w:r>
            <w:r w:rsidR="003B539C" w:rsidRPr="00DD5A00">
              <w:rPr>
                <w:rFonts w:ascii="Perpetua" w:hAnsi="Perpetua"/>
                <w:sz w:val="32"/>
                <w:szCs w:val="28"/>
                <w:highlight w:val="yellow"/>
              </w:rPr>
              <w:t xml:space="preserve"> a</w:t>
            </w:r>
            <w:r w:rsidR="00B231EF" w:rsidRPr="00DD5A00">
              <w:rPr>
                <w:rFonts w:ascii="Perpetua" w:hAnsi="Perpetua"/>
                <w:sz w:val="32"/>
                <w:szCs w:val="28"/>
                <w:highlight w:val="yellow"/>
              </w:rPr>
              <w:t xml:space="preserve"> sufficient unitary relationship to the upper-tier partnership’s or other pass-through entity’s business activity generating apportionable </w:t>
            </w:r>
            <w:r w:rsidR="00B231EF" w:rsidRPr="00DD5A00">
              <w:rPr>
                <w:rFonts w:ascii="Perpetua" w:hAnsi="Perpetua"/>
                <w:sz w:val="32"/>
                <w:szCs w:val="28"/>
                <w:highlight w:val="yellow"/>
              </w:rPr>
              <w:lastRenderedPageBreak/>
              <w:t>income, the upper-tier partnership or other pass-through entity will include these</w:t>
            </w:r>
            <w:r w:rsidR="00857FF8" w:rsidRPr="00DD5A00">
              <w:rPr>
                <w:rFonts w:ascii="Perpetua" w:hAnsi="Perpetua"/>
                <w:sz w:val="32"/>
                <w:szCs w:val="28"/>
                <w:highlight w:val="yellow"/>
              </w:rPr>
              <w:t xml:space="preserve"> </w:t>
            </w:r>
            <w:r w:rsidR="00814763">
              <w:rPr>
                <w:rFonts w:ascii="Perpetua" w:hAnsi="Perpetua"/>
                <w:sz w:val="32"/>
                <w:szCs w:val="28"/>
                <w:highlight w:val="yellow"/>
              </w:rPr>
              <w:t xml:space="preserve">guaranteed </w:t>
            </w:r>
            <w:r w:rsidR="00857FF8" w:rsidRPr="00DD5A00">
              <w:rPr>
                <w:rFonts w:ascii="Perpetua" w:hAnsi="Perpetua"/>
                <w:sz w:val="32"/>
                <w:szCs w:val="28"/>
                <w:highlight w:val="yellow"/>
              </w:rPr>
              <w:t>payments and</w:t>
            </w:r>
            <w:r w:rsidR="00B231EF" w:rsidRPr="00DD5A00">
              <w:rPr>
                <w:rFonts w:ascii="Perpetua" w:hAnsi="Perpetua"/>
                <w:sz w:val="32"/>
                <w:szCs w:val="28"/>
                <w:highlight w:val="yellow"/>
              </w:rPr>
              <w:t xml:space="preserve"> items in the</w:t>
            </w:r>
            <w:r w:rsidR="002E13A7" w:rsidRPr="00DD5A00">
              <w:rPr>
                <w:rFonts w:ascii="Perpetua" w:hAnsi="Perpetua"/>
                <w:sz w:val="32"/>
                <w:szCs w:val="28"/>
                <w:highlight w:val="yellow"/>
              </w:rPr>
              <w:t xml:space="preserve"> </w:t>
            </w:r>
            <w:r w:rsidR="00B231EF" w:rsidRPr="00DD5A00">
              <w:rPr>
                <w:rFonts w:ascii="Perpetua" w:hAnsi="Perpetua"/>
                <w:sz w:val="32"/>
                <w:szCs w:val="28"/>
                <w:highlight w:val="yellow"/>
              </w:rPr>
              <w:t>apportionable income from that partnership’s or entity’s related business activity</w:t>
            </w:r>
            <w:r w:rsidR="0037174B" w:rsidRPr="00DD5A00">
              <w:rPr>
                <w:rFonts w:ascii="Perpetua" w:hAnsi="Perpetua"/>
                <w:sz w:val="32"/>
                <w:szCs w:val="28"/>
                <w:highlight w:val="yellow"/>
              </w:rPr>
              <w:t>.</w:t>
            </w:r>
          </w:p>
          <w:p w14:paraId="5A5F8105" w14:textId="6EC46048" w:rsidR="00B231EF" w:rsidRPr="00DD5A00" w:rsidRDefault="00D67F0F" w:rsidP="009E7F0C">
            <w:pPr>
              <w:spacing w:before="240" w:after="120" w:line="228" w:lineRule="auto"/>
              <w:rPr>
                <w:rFonts w:ascii="Perpetua" w:hAnsi="Perpetua"/>
                <w:sz w:val="32"/>
                <w:szCs w:val="28"/>
              </w:rPr>
            </w:pPr>
            <w:r w:rsidRPr="00DD5A00">
              <w:rPr>
                <w:rFonts w:ascii="Perpetua" w:hAnsi="Perpetua"/>
                <w:sz w:val="32"/>
                <w:szCs w:val="28"/>
                <w:highlight w:val="yellow"/>
              </w:rPr>
              <w:t>When sourcing this unitary apportionable income, the upper-tier</w:t>
            </w:r>
            <w:r w:rsidR="00EE0597">
              <w:rPr>
                <w:rFonts w:ascii="Perpetua" w:hAnsi="Perpetua"/>
                <w:sz w:val="32"/>
                <w:szCs w:val="28"/>
                <w:highlight w:val="yellow"/>
              </w:rPr>
              <w:t xml:space="preserve"> partnership</w:t>
            </w:r>
            <w:r w:rsidRPr="00DD5A00">
              <w:rPr>
                <w:rFonts w:ascii="Perpetua" w:hAnsi="Perpetua"/>
                <w:sz w:val="32"/>
                <w:szCs w:val="28"/>
                <w:highlight w:val="yellow"/>
              </w:rPr>
              <w:t xml:space="preserve"> </w:t>
            </w:r>
            <w:r w:rsidR="00EE0597">
              <w:rPr>
                <w:rFonts w:ascii="Perpetua" w:hAnsi="Perpetua"/>
                <w:sz w:val="32"/>
                <w:szCs w:val="28"/>
                <w:highlight w:val="yellow"/>
              </w:rPr>
              <w:t xml:space="preserve">or other pass-through entity </w:t>
            </w:r>
            <w:r w:rsidRPr="00DD5A00">
              <w:rPr>
                <w:rFonts w:ascii="Perpetua" w:hAnsi="Perpetua"/>
                <w:sz w:val="32"/>
                <w:szCs w:val="28"/>
                <w:highlight w:val="yellow"/>
              </w:rPr>
              <w:t xml:space="preserve">will include </w:t>
            </w:r>
            <w:r w:rsidR="00320B58">
              <w:rPr>
                <w:rFonts w:ascii="Perpetua" w:hAnsi="Perpetua"/>
                <w:sz w:val="32"/>
                <w:szCs w:val="28"/>
                <w:highlight w:val="yellow"/>
              </w:rPr>
              <w:t xml:space="preserve">a </w:t>
            </w:r>
            <w:r w:rsidRPr="00DD5A00">
              <w:rPr>
                <w:rFonts w:ascii="Perpetua" w:hAnsi="Perpetua"/>
                <w:sz w:val="32"/>
                <w:szCs w:val="28"/>
                <w:highlight w:val="yellow"/>
              </w:rPr>
              <w:t xml:space="preserve">share of the lower-tier partnership’s apportionment factors </w:t>
            </w:r>
            <w:r w:rsidR="00591B95">
              <w:rPr>
                <w:rFonts w:ascii="Perpetua" w:hAnsi="Perpetua"/>
                <w:sz w:val="32"/>
                <w:szCs w:val="28"/>
                <w:highlight w:val="yellow"/>
              </w:rPr>
              <w:t xml:space="preserve">from the related unitary business activity </w:t>
            </w:r>
            <w:r w:rsidRPr="00DD5A00">
              <w:rPr>
                <w:rFonts w:ascii="Perpetua" w:hAnsi="Perpetua"/>
                <w:sz w:val="32"/>
                <w:szCs w:val="28"/>
                <w:highlight w:val="yellow"/>
              </w:rPr>
              <w:t>in the upper-tier partnership’s or other pass-through entity’s apportionment factors</w:t>
            </w:r>
            <w:r w:rsidR="00700394">
              <w:rPr>
                <w:rFonts w:ascii="Perpetua" w:hAnsi="Perpetua"/>
                <w:sz w:val="32"/>
                <w:szCs w:val="28"/>
                <w:highlight w:val="yellow"/>
              </w:rPr>
              <w:t xml:space="preserve">, aggregating the factor components. </w:t>
            </w:r>
            <w:r w:rsidR="00A21330" w:rsidRPr="00DD5A00">
              <w:rPr>
                <w:rFonts w:ascii="Perpetua" w:hAnsi="Perpetua"/>
                <w:sz w:val="32"/>
                <w:szCs w:val="28"/>
                <w:highlight w:val="yellow"/>
              </w:rPr>
              <w:t xml:space="preserve">This inclusion of a share of </w:t>
            </w:r>
            <w:r w:rsidR="000B2768">
              <w:rPr>
                <w:rFonts w:ascii="Perpetua" w:hAnsi="Perpetua"/>
                <w:sz w:val="32"/>
                <w:szCs w:val="28"/>
                <w:highlight w:val="yellow"/>
              </w:rPr>
              <w:t xml:space="preserve">lower-tier </w:t>
            </w:r>
            <w:r w:rsidR="00A21330" w:rsidRPr="00DD5A00">
              <w:rPr>
                <w:rFonts w:ascii="Perpetua" w:hAnsi="Perpetua"/>
                <w:sz w:val="32"/>
                <w:szCs w:val="28"/>
                <w:highlight w:val="yellow"/>
              </w:rPr>
              <w:t xml:space="preserve">partnership factors with the partner’s own factors will be referred to as </w:t>
            </w:r>
            <w:r w:rsidR="00D37DD6" w:rsidRPr="00DD5A00">
              <w:rPr>
                <w:rFonts w:ascii="Perpetua" w:hAnsi="Perpetua"/>
                <w:sz w:val="32"/>
                <w:szCs w:val="28"/>
                <w:highlight w:val="yellow"/>
              </w:rPr>
              <w:t xml:space="preserve">the blending of apportionment </w:t>
            </w:r>
            <w:r w:rsidR="00D37DD6" w:rsidRPr="006F61DA">
              <w:rPr>
                <w:rFonts w:ascii="Perpetua" w:hAnsi="Perpetua"/>
                <w:sz w:val="32"/>
                <w:szCs w:val="28"/>
                <w:highlight w:val="yellow"/>
              </w:rPr>
              <w:t>factors</w:t>
            </w:r>
            <w:r w:rsidR="00FD4B7A" w:rsidRPr="006F61DA">
              <w:rPr>
                <w:rFonts w:ascii="Perpetua" w:hAnsi="Perpetua"/>
                <w:sz w:val="32"/>
                <w:szCs w:val="28"/>
                <w:highlight w:val="yellow"/>
              </w:rPr>
              <w:t>.</w:t>
            </w:r>
            <w:r w:rsidR="00FD4B7A">
              <w:rPr>
                <w:rFonts w:ascii="Perpetua" w:hAnsi="Perpetua"/>
                <w:sz w:val="32"/>
                <w:szCs w:val="28"/>
              </w:rPr>
              <w:t xml:space="preserve"> </w:t>
            </w:r>
            <w:r w:rsidR="00FD4B7A" w:rsidRPr="00432D03">
              <w:rPr>
                <w:rFonts w:ascii="Perpetua" w:hAnsi="Perpetua"/>
                <w:sz w:val="32"/>
                <w:szCs w:val="28"/>
                <w:highlight w:val="yellow"/>
              </w:rPr>
              <w:t xml:space="preserve">Under this calculation, the partner adds its share of the </w:t>
            </w:r>
            <w:r w:rsidR="00BC7F06">
              <w:rPr>
                <w:rFonts w:ascii="Perpetua" w:hAnsi="Perpetua"/>
                <w:sz w:val="32"/>
                <w:szCs w:val="28"/>
                <w:highlight w:val="yellow"/>
              </w:rPr>
              <w:t xml:space="preserve">lower-tier </w:t>
            </w:r>
            <w:r w:rsidR="00FD4B7A" w:rsidRPr="00432D03">
              <w:rPr>
                <w:rFonts w:ascii="Perpetua" w:hAnsi="Perpetua"/>
                <w:sz w:val="32"/>
                <w:szCs w:val="28"/>
                <w:highlight w:val="yellow"/>
              </w:rPr>
              <w:t>partnership’s factor components to its own factor components, and the partner’s apportionment factors are recalculated based on the resulting aggregations.</w:t>
            </w:r>
          </w:p>
        </w:tc>
        <w:tc>
          <w:tcPr>
            <w:tcW w:w="5115" w:type="dxa"/>
            <w:tcBorders>
              <w:top w:val="single" w:sz="4" w:space="0" w:color="auto"/>
              <w:left w:val="single" w:sz="4" w:space="0" w:color="auto"/>
              <w:bottom w:val="single" w:sz="4" w:space="0" w:color="auto"/>
              <w:right w:val="single" w:sz="4" w:space="0" w:color="auto"/>
            </w:tcBorders>
            <w:vAlign w:val="center"/>
          </w:tcPr>
          <w:p w14:paraId="2A4239FD" w14:textId="1928ECBF" w:rsidR="00B231EF" w:rsidRPr="00F64E40" w:rsidRDefault="00B231EF" w:rsidP="004E6EB3">
            <w:pPr>
              <w:spacing w:before="80" w:after="80" w:line="276" w:lineRule="auto"/>
              <w:rPr>
                <w:rFonts w:ascii="Tahoma" w:hAnsi="Tahoma" w:cs="Tahoma"/>
                <w:b/>
                <w:bCs/>
                <w:color w:val="3A7C22" w:themeColor="accent6" w:themeShade="BF"/>
                <w:sz w:val="22"/>
                <w:szCs w:val="22"/>
              </w:rPr>
            </w:pPr>
            <w:r w:rsidRPr="00F64E40">
              <w:rPr>
                <w:rFonts w:ascii="Tahoma" w:hAnsi="Tahoma" w:cs="Tahoma"/>
                <w:color w:val="3A7C22" w:themeColor="accent6" w:themeShade="BF"/>
                <w:sz w:val="22"/>
                <w:szCs w:val="22"/>
              </w:rPr>
              <w:lastRenderedPageBreak/>
              <w:t>See the note for Subpart C above.</w:t>
            </w:r>
            <w:r w:rsidR="00320B58">
              <w:rPr>
                <w:rFonts w:ascii="Tahoma" w:hAnsi="Tahoma" w:cs="Tahoma"/>
                <w:color w:val="3A7C22" w:themeColor="accent6" w:themeShade="BF"/>
                <w:sz w:val="22"/>
                <w:szCs w:val="22"/>
              </w:rPr>
              <w:t xml:space="preserve"> Other changes were made to clarify the application of blending.</w:t>
            </w:r>
          </w:p>
        </w:tc>
      </w:tr>
      <w:tr w:rsidR="00B231EF" w14:paraId="620746ED" w14:textId="77777777" w:rsidTr="00683701">
        <w:tc>
          <w:tcPr>
            <w:tcW w:w="535" w:type="dxa"/>
          </w:tcPr>
          <w:p w14:paraId="3CC567BA"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7C291AF7" w14:textId="5E33EC44" w:rsidR="00B231EF" w:rsidRPr="00AB3325" w:rsidRDefault="00BC7F06" w:rsidP="004E6EB3">
            <w:pPr>
              <w:spacing w:before="80" w:after="80" w:line="228" w:lineRule="auto"/>
              <w:rPr>
                <w:rFonts w:ascii="Perpetua" w:hAnsi="Perpetua" w:cs="Leelawadee"/>
                <w:sz w:val="32"/>
                <w:szCs w:val="28"/>
              </w:rPr>
            </w:pPr>
            <w:r>
              <w:rPr>
                <w:rFonts w:ascii="Perpetua" w:hAnsi="Perpetua" w:cs="Leelawadee"/>
                <w:sz w:val="32"/>
                <w:szCs w:val="28"/>
              </w:rPr>
              <w:t>4</w:t>
            </w:r>
            <w:r w:rsidR="00B231EF" w:rsidRPr="00AB3325">
              <w:rPr>
                <w:rFonts w:ascii="Perpetua" w:hAnsi="Perpetua" w:cs="Leelawadee"/>
                <w:sz w:val="32"/>
                <w:szCs w:val="28"/>
              </w:rPr>
              <w:t>.</w:t>
            </w:r>
          </w:p>
        </w:tc>
        <w:tc>
          <w:tcPr>
            <w:tcW w:w="8425" w:type="dxa"/>
            <w:tcBorders>
              <w:right w:val="single" w:sz="4" w:space="0" w:color="auto"/>
            </w:tcBorders>
          </w:tcPr>
          <w:p w14:paraId="2F78B109" w14:textId="0D82807B" w:rsidR="004A0AB6" w:rsidRPr="005E4000" w:rsidRDefault="00FC046B" w:rsidP="00151931">
            <w:pPr>
              <w:spacing w:before="120" w:after="120" w:line="228" w:lineRule="auto"/>
              <w:rPr>
                <w:rFonts w:ascii="Perpetua" w:hAnsi="Perpetua"/>
                <w:sz w:val="32"/>
                <w:szCs w:val="28"/>
              </w:rPr>
            </w:pPr>
            <w:r w:rsidRPr="002220F5">
              <w:rPr>
                <w:rFonts w:ascii="Perpetua" w:hAnsi="Perpetua"/>
                <w:sz w:val="32"/>
                <w:szCs w:val="28"/>
                <w:highlight w:val="yellow"/>
              </w:rPr>
              <w:t>The share of the lower-tier partnership</w:t>
            </w:r>
            <w:r w:rsidR="00627845" w:rsidRPr="002220F5">
              <w:rPr>
                <w:rFonts w:ascii="Perpetua" w:hAnsi="Perpetua"/>
                <w:sz w:val="32"/>
                <w:szCs w:val="28"/>
                <w:highlight w:val="yellow"/>
              </w:rPr>
              <w:t>’s</w:t>
            </w:r>
            <w:r w:rsidRPr="002220F5">
              <w:rPr>
                <w:rFonts w:ascii="Perpetua" w:hAnsi="Perpetua"/>
                <w:sz w:val="32"/>
                <w:szCs w:val="28"/>
                <w:highlight w:val="yellow"/>
              </w:rPr>
              <w:t xml:space="preserve"> apportionment factor</w:t>
            </w:r>
            <w:r w:rsidR="00E61229" w:rsidRPr="002220F5">
              <w:rPr>
                <w:rFonts w:ascii="Perpetua" w:hAnsi="Perpetua"/>
                <w:sz w:val="32"/>
                <w:szCs w:val="28"/>
                <w:highlight w:val="yellow"/>
              </w:rPr>
              <w:t>s</w:t>
            </w:r>
            <w:r w:rsidRPr="002220F5">
              <w:rPr>
                <w:rFonts w:ascii="Perpetua" w:hAnsi="Perpetua"/>
                <w:sz w:val="32"/>
                <w:szCs w:val="28"/>
                <w:highlight w:val="yellow"/>
              </w:rPr>
              <w:t xml:space="preserve"> to be included</w:t>
            </w:r>
            <w:r w:rsidR="00603CAF" w:rsidRPr="002220F5">
              <w:rPr>
                <w:rFonts w:ascii="Perpetua" w:hAnsi="Perpetua"/>
                <w:sz w:val="32"/>
                <w:szCs w:val="28"/>
                <w:highlight w:val="yellow"/>
              </w:rPr>
              <w:t xml:space="preserve"> when blending </w:t>
            </w:r>
            <w:r w:rsidR="00473C5F" w:rsidRPr="002220F5">
              <w:rPr>
                <w:rFonts w:ascii="Perpetua" w:hAnsi="Perpetua"/>
                <w:sz w:val="32"/>
                <w:szCs w:val="28"/>
                <w:highlight w:val="yellow"/>
              </w:rPr>
              <w:t>apportionment factors under P</w:t>
            </w:r>
            <w:r w:rsidR="00DD21BC" w:rsidRPr="002220F5">
              <w:rPr>
                <w:rFonts w:ascii="Perpetua" w:hAnsi="Perpetua"/>
                <w:sz w:val="32"/>
                <w:szCs w:val="28"/>
                <w:highlight w:val="yellow"/>
              </w:rPr>
              <w:t xml:space="preserve">aragraph </w:t>
            </w:r>
            <w:r w:rsidR="00BC7F06">
              <w:rPr>
                <w:rFonts w:ascii="Perpetua" w:hAnsi="Perpetua"/>
                <w:sz w:val="32"/>
                <w:szCs w:val="28"/>
                <w:highlight w:val="yellow"/>
              </w:rPr>
              <w:t>3</w:t>
            </w:r>
            <w:r w:rsidRPr="002220F5">
              <w:rPr>
                <w:rFonts w:ascii="Perpetua" w:hAnsi="Perpetua"/>
                <w:sz w:val="32"/>
                <w:szCs w:val="28"/>
                <w:highlight w:val="yellow"/>
              </w:rPr>
              <w:t xml:space="preserve"> </w:t>
            </w:r>
            <w:r w:rsidR="00627845" w:rsidRPr="002220F5">
              <w:rPr>
                <w:rFonts w:ascii="Perpetua" w:hAnsi="Perpetua"/>
                <w:sz w:val="32"/>
                <w:szCs w:val="28"/>
                <w:highlight w:val="yellow"/>
              </w:rPr>
              <w:t xml:space="preserve">of this subpart </w:t>
            </w:r>
            <w:r w:rsidRPr="002220F5">
              <w:rPr>
                <w:rFonts w:ascii="Perpetua" w:hAnsi="Perpetua"/>
                <w:sz w:val="32"/>
                <w:szCs w:val="28"/>
                <w:highlight w:val="yellow"/>
              </w:rPr>
              <w:t xml:space="preserve">is determined using a ratio which is the </w:t>
            </w:r>
            <w:r w:rsidR="005913E9" w:rsidRPr="002220F5">
              <w:rPr>
                <w:rFonts w:ascii="Perpetua" w:hAnsi="Perpetua"/>
                <w:sz w:val="32"/>
                <w:szCs w:val="28"/>
                <w:highlight w:val="yellow"/>
              </w:rPr>
              <w:t xml:space="preserve">partner’s </w:t>
            </w:r>
            <w:r w:rsidRPr="002220F5">
              <w:rPr>
                <w:rFonts w:ascii="Perpetua" w:hAnsi="Perpetua"/>
                <w:sz w:val="32"/>
                <w:szCs w:val="28"/>
                <w:highlight w:val="yellow"/>
              </w:rPr>
              <w:t xml:space="preserve">total </w:t>
            </w:r>
            <w:r w:rsidR="00814763">
              <w:rPr>
                <w:rFonts w:ascii="Perpetua" w:hAnsi="Perpetua"/>
                <w:sz w:val="32"/>
                <w:szCs w:val="28"/>
                <w:highlight w:val="yellow"/>
              </w:rPr>
              <w:t>unitary guaranteed</w:t>
            </w:r>
            <w:r w:rsidR="005A3E39">
              <w:rPr>
                <w:rFonts w:ascii="Perpetua" w:hAnsi="Perpetua"/>
                <w:sz w:val="32"/>
                <w:szCs w:val="28"/>
                <w:highlight w:val="yellow"/>
              </w:rPr>
              <w:t xml:space="preserve"> </w:t>
            </w:r>
            <w:r w:rsidR="00981204" w:rsidRPr="002220F5">
              <w:rPr>
                <w:rFonts w:ascii="Perpetua" w:hAnsi="Perpetua"/>
                <w:sz w:val="32"/>
                <w:szCs w:val="28"/>
                <w:highlight w:val="yellow"/>
              </w:rPr>
              <w:t xml:space="preserve">payments and </w:t>
            </w:r>
            <w:r w:rsidR="00085B58" w:rsidRPr="002220F5">
              <w:rPr>
                <w:rFonts w:ascii="Perpetua" w:hAnsi="Perpetua"/>
                <w:sz w:val="32"/>
                <w:szCs w:val="28"/>
                <w:highlight w:val="yellow"/>
              </w:rPr>
              <w:t>distributive shares</w:t>
            </w:r>
            <w:r w:rsidR="00B71440" w:rsidRPr="002220F5">
              <w:rPr>
                <w:rFonts w:ascii="Perpetua" w:hAnsi="Perpetua"/>
                <w:sz w:val="32"/>
                <w:szCs w:val="28"/>
                <w:highlight w:val="yellow"/>
              </w:rPr>
              <w:t xml:space="preserve"> of items </w:t>
            </w:r>
            <w:r w:rsidR="000D4681" w:rsidRPr="002220F5">
              <w:rPr>
                <w:rFonts w:ascii="Perpetua" w:hAnsi="Perpetua"/>
                <w:sz w:val="32"/>
                <w:szCs w:val="28"/>
                <w:highlight w:val="yellow"/>
              </w:rPr>
              <w:t xml:space="preserve">computed using the absolute value of those items, </w:t>
            </w:r>
            <w:r w:rsidRPr="002220F5">
              <w:rPr>
                <w:rFonts w:ascii="Perpetua" w:hAnsi="Perpetua"/>
                <w:sz w:val="32"/>
                <w:szCs w:val="28"/>
                <w:highlight w:val="yellow"/>
              </w:rPr>
              <w:t xml:space="preserve">divided by the total of all the </w:t>
            </w:r>
            <w:r w:rsidR="00085B58" w:rsidRPr="002220F5">
              <w:rPr>
                <w:rFonts w:ascii="Perpetua" w:hAnsi="Perpetua"/>
                <w:sz w:val="32"/>
                <w:szCs w:val="28"/>
                <w:highlight w:val="yellow"/>
              </w:rPr>
              <w:t xml:space="preserve">unitary </w:t>
            </w:r>
            <w:r w:rsidR="002E0FDC">
              <w:rPr>
                <w:rFonts w:ascii="Perpetua" w:hAnsi="Perpetua"/>
                <w:sz w:val="32"/>
                <w:szCs w:val="28"/>
                <w:highlight w:val="yellow"/>
              </w:rPr>
              <w:t xml:space="preserve">guaranteed </w:t>
            </w:r>
            <w:r w:rsidR="00956874" w:rsidRPr="002220F5">
              <w:rPr>
                <w:rFonts w:ascii="Perpetua" w:hAnsi="Perpetua"/>
                <w:sz w:val="32"/>
                <w:szCs w:val="28"/>
                <w:highlight w:val="yellow"/>
              </w:rPr>
              <w:t xml:space="preserve">payments and </w:t>
            </w:r>
            <w:r w:rsidRPr="002220F5">
              <w:rPr>
                <w:rFonts w:ascii="Perpetua" w:hAnsi="Perpetua"/>
                <w:sz w:val="32"/>
                <w:szCs w:val="28"/>
                <w:highlight w:val="yellow"/>
              </w:rPr>
              <w:t xml:space="preserve">distributive shares </w:t>
            </w:r>
            <w:r w:rsidR="00085B58" w:rsidRPr="002220F5">
              <w:rPr>
                <w:rFonts w:ascii="Perpetua" w:hAnsi="Perpetua"/>
                <w:sz w:val="32"/>
                <w:szCs w:val="28"/>
                <w:highlight w:val="yellow"/>
              </w:rPr>
              <w:t xml:space="preserve">of items </w:t>
            </w:r>
            <w:r w:rsidR="00D619BE" w:rsidRPr="002220F5">
              <w:rPr>
                <w:rFonts w:ascii="Perpetua" w:hAnsi="Perpetua"/>
                <w:sz w:val="32"/>
                <w:szCs w:val="28"/>
                <w:highlight w:val="yellow"/>
              </w:rPr>
              <w:t>to all partners</w:t>
            </w:r>
            <w:r w:rsidR="00567A0F">
              <w:rPr>
                <w:rFonts w:ascii="Perpetua" w:hAnsi="Perpetua"/>
                <w:sz w:val="32"/>
                <w:szCs w:val="28"/>
                <w:highlight w:val="yellow"/>
              </w:rPr>
              <w:t xml:space="preserve"> of the lower-tier partnership</w:t>
            </w:r>
            <w:r w:rsidR="00D619BE" w:rsidRPr="002220F5">
              <w:rPr>
                <w:rFonts w:ascii="Perpetua" w:hAnsi="Perpetua"/>
                <w:sz w:val="32"/>
                <w:szCs w:val="28"/>
                <w:highlight w:val="yellow"/>
              </w:rPr>
              <w:t xml:space="preserve"> </w:t>
            </w:r>
            <w:r w:rsidR="00085B58" w:rsidRPr="002220F5">
              <w:rPr>
                <w:rFonts w:ascii="Perpetua" w:hAnsi="Perpetua"/>
                <w:sz w:val="32"/>
                <w:szCs w:val="28"/>
                <w:highlight w:val="yellow"/>
              </w:rPr>
              <w:t>computed using the absolute value of those items</w:t>
            </w:r>
            <w:r w:rsidRPr="002220F5">
              <w:rPr>
                <w:rFonts w:ascii="Perpetua" w:hAnsi="Perpetua"/>
                <w:sz w:val="32"/>
                <w:szCs w:val="28"/>
                <w:highlight w:val="yellow"/>
              </w:rPr>
              <w:t>.</w:t>
            </w:r>
            <w:r w:rsidRPr="005E4000">
              <w:rPr>
                <w:rFonts w:ascii="Perpetua" w:hAnsi="Perpetua"/>
                <w:sz w:val="32"/>
                <w:szCs w:val="28"/>
              </w:rPr>
              <w:t xml:space="preserve"> </w:t>
            </w:r>
          </w:p>
          <w:p w14:paraId="4FFC721C" w14:textId="08FC94F6" w:rsidR="00746478" w:rsidRPr="00437747" w:rsidRDefault="00004DA7" w:rsidP="009E7F0C">
            <w:pPr>
              <w:spacing w:before="240" w:after="120" w:line="228" w:lineRule="auto"/>
              <w:rPr>
                <w:strike/>
              </w:rPr>
            </w:pPr>
            <w:r w:rsidRPr="002220F5">
              <w:rPr>
                <w:rFonts w:ascii="Perpetua" w:hAnsi="Perpetua"/>
                <w:sz w:val="32"/>
                <w:szCs w:val="28"/>
                <w:highlight w:val="yellow"/>
              </w:rPr>
              <w:t xml:space="preserve">In determining the blended </w:t>
            </w:r>
            <w:r w:rsidR="009C1DFE" w:rsidRPr="002220F5">
              <w:rPr>
                <w:rFonts w:ascii="Perpetua" w:hAnsi="Perpetua"/>
                <w:sz w:val="32"/>
                <w:szCs w:val="28"/>
                <w:highlight w:val="yellow"/>
              </w:rPr>
              <w:t>receipts</w:t>
            </w:r>
            <w:r w:rsidRPr="002220F5">
              <w:rPr>
                <w:rFonts w:ascii="Perpetua" w:hAnsi="Perpetua"/>
                <w:sz w:val="32"/>
                <w:szCs w:val="28"/>
                <w:highlight w:val="yellow"/>
              </w:rPr>
              <w:t xml:space="preserve"> factor, any </w:t>
            </w:r>
            <w:r w:rsidR="009C1DFE" w:rsidRPr="002220F5">
              <w:rPr>
                <w:rFonts w:ascii="Perpetua" w:hAnsi="Perpetua"/>
                <w:sz w:val="32"/>
                <w:szCs w:val="28"/>
                <w:highlight w:val="yellow"/>
              </w:rPr>
              <w:t xml:space="preserve">receipts </w:t>
            </w:r>
            <w:r w:rsidRPr="002220F5">
              <w:rPr>
                <w:rFonts w:ascii="Perpetua" w:hAnsi="Perpetua"/>
                <w:sz w:val="32"/>
                <w:szCs w:val="28"/>
                <w:highlight w:val="yellow"/>
              </w:rPr>
              <w:t xml:space="preserve">representing transactions between the partner and partnership will be eliminated </w:t>
            </w:r>
            <w:r w:rsidR="00CA270E" w:rsidRPr="002220F5">
              <w:rPr>
                <w:rFonts w:ascii="Perpetua" w:hAnsi="Perpetua"/>
                <w:sz w:val="32"/>
                <w:szCs w:val="28"/>
                <w:highlight w:val="yellow"/>
              </w:rPr>
              <w:t xml:space="preserve">from that blended factor </w:t>
            </w:r>
            <w:r w:rsidRPr="002220F5">
              <w:rPr>
                <w:rFonts w:ascii="Perpetua" w:hAnsi="Perpetua"/>
                <w:sz w:val="32"/>
                <w:szCs w:val="28"/>
                <w:highlight w:val="yellow"/>
              </w:rPr>
              <w:t xml:space="preserve">to the extent of the partner’s </w:t>
            </w:r>
            <w:r w:rsidR="00CA270E" w:rsidRPr="002220F5">
              <w:rPr>
                <w:rFonts w:ascii="Perpetua" w:hAnsi="Perpetua"/>
                <w:sz w:val="32"/>
                <w:szCs w:val="28"/>
                <w:highlight w:val="yellow"/>
              </w:rPr>
              <w:t xml:space="preserve">distributive </w:t>
            </w:r>
            <w:r w:rsidRPr="002220F5">
              <w:rPr>
                <w:rFonts w:ascii="Perpetua" w:hAnsi="Perpetua"/>
                <w:sz w:val="32"/>
                <w:szCs w:val="28"/>
                <w:highlight w:val="yellow"/>
              </w:rPr>
              <w:t>share</w:t>
            </w:r>
            <w:r w:rsidR="001E5C22" w:rsidRPr="002220F5">
              <w:rPr>
                <w:rFonts w:ascii="Perpetua" w:hAnsi="Perpetua"/>
                <w:sz w:val="32"/>
                <w:szCs w:val="28"/>
                <w:highlight w:val="yellow"/>
              </w:rPr>
              <w:t xml:space="preserve"> of </w:t>
            </w:r>
            <w:r w:rsidR="00CA270E" w:rsidRPr="002220F5">
              <w:rPr>
                <w:rFonts w:ascii="Perpetua" w:hAnsi="Perpetua"/>
                <w:sz w:val="32"/>
                <w:szCs w:val="28"/>
                <w:highlight w:val="yellow"/>
              </w:rPr>
              <w:t xml:space="preserve">the </w:t>
            </w:r>
            <w:r w:rsidR="00FA3B2C">
              <w:rPr>
                <w:rFonts w:ascii="Perpetua" w:hAnsi="Perpetua"/>
                <w:sz w:val="32"/>
                <w:szCs w:val="28"/>
                <w:highlight w:val="yellow"/>
              </w:rPr>
              <w:t xml:space="preserve">partnership </w:t>
            </w:r>
            <w:r w:rsidR="00CA270E" w:rsidRPr="002220F5">
              <w:rPr>
                <w:rFonts w:ascii="Perpetua" w:hAnsi="Perpetua"/>
                <w:sz w:val="32"/>
                <w:szCs w:val="28"/>
                <w:highlight w:val="yellow"/>
              </w:rPr>
              <w:t>items (receipts or expenses) associated with t</w:t>
            </w:r>
            <w:r w:rsidR="00DE5DD7" w:rsidRPr="002220F5">
              <w:rPr>
                <w:rFonts w:ascii="Perpetua" w:hAnsi="Perpetua"/>
                <w:sz w:val="32"/>
                <w:szCs w:val="28"/>
                <w:highlight w:val="yellow"/>
              </w:rPr>
              <w:t>hose transactions</w:t>
            </w:r>
            <w:r w:rsidRPr="002220F5">
              <w:rPr>
                <w:rFonts w:ascii="Perpetua" w:hAnsi="Perpetua"/>
                <w:sz w:val="32"/>
                <w:szCs w:val="28"/>
                <w:highlight w:val="yellow"/>
              </w:rPr>
              <w:t>.</w:t>
            </w:r>
          </w:p>
        </w:tc>
        <w:tc>
          <w:tcPr>
            <w:tcW w:w="5115" w:type="dxa"/>
            <w:tcBorders>
              <w:top w:val="single" w:sz="4" w:space="0" w:color="auto"/>
              <w:left w:val="single" w:sz="4" w:space="0" w:color="auto"/>
              <w:bottom w:val="single" w:sz="4" w:space="0" w:color="auto"/>
              <w:right w:val="single" w:sz="4" w:space="0" w:color="auto"/>
            </w:tcBorders>
          </w:tcPr>
          <w:p w14:paraId="3EFC3AC0" w14:textId="048F89E0" w:rsidR="00B231EF" w:rsidRPr="00F64E40" w:rsidRDefault="00B231EF" w:rsidP="00FA3B2C">
            <w:pPr>
              <w:spacing w:before="120" w:after="12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The provision now includes a specific reference to how guaranteed payments will go into the calculation of the ratio to determine the partner’s share of partnership factors. </w:t>
            </w:r>
          </w:p>
          <w:p w14:paraId="46F2E2B5" w14:textId="77777777" w:rsidR="00B231EF" w:rsidRDefault="008C66FF" w:rsidP="00FA3B2C">
            <w:pPr>
              <w:spacing w:before="120" w:after="12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Also, the drafter’s note that was included here—stating that states might adopt the absolute value method only for partnerships making special allocations—was removed. It caused confusion as to whether not using that method would reach a different result in those circumstances. (It will not.) And, as the drafter’s note for this Subpart C above explains, the result will also be the same where there are no guaranteed payments and the special allocations are not disproportionate.</w:t>
            </w:r>
          </w:p>
          <w:p w14:paraId="3668801A" w14:textId="2D5D1E77" w:rsidR="00004DA7" w:rsidRPr="00151931" w:rsidRDefault="00004DA7" w:rsidP="00FA3B2C">
            <w:pPr>
              <w:spacing w:before="120" w:after="12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The provision now includes a specific reference to how guaranteed payments will be treated in the calculation of the blended factors. </w:t>
            </w:r>
          </w:p>
        </w:tc>
      </w:tr>
      <w:tr w:rsidR="00B231EF" w14:paraId="35859BEE" w14:textId="77777777" w:rsidTr="00683701">
        <w:tc>
          <w:tcPr>
            <w:tcW w:w="535" w:type="dxa"/>
          </w:tcPr>
          <w:p w14:paraId="6CF7FAF2" w14:textId="75207A75" w:rsidR="00B231EF" w:rsidRPr="00AB3325" w:rsidRDefault="00B231EF" w:rsidP="004E6EB3">
            <w:pPr>
              <w:spacing w:before="80" w:after="80" w:line="228" w:lineRule="auto"/>
              <w:rPr>
                <w:rFonts w:ascii="Perpetua" w:hAnsi="Perpetua" w:cs="Leelawadee"/>
                <w:sz w:val="32"/>
                <w:szCs w:val="28"/>
              </w:rPr>
            </w:pPr>
          </w:p>
        </w:tc>
        <w:tc>
          <w:tcPr>
            <w:tcW w:w="603" w:type="dxa"/>
          </w:tcPr>
          <w:p w14:paraId="0063100D" w14:textId="3FDF7E71" w:rsidR="00B231EF" w:rsidRPr="00AB3325" w:rsidRDefault="00BC7F06" w:rsidP="004E6EB3">
            <w:pPr>
              <w:spacing w:before="80" w:after="80" w:line="228" w:lineRule="auto"/>
              <w:rPr>
                <w:rFonts w:ascii="Perpetua" w:hAnsi="Perpetua" w:cs="Leelawadee"/>
                <w:sz w:val="32"/>
                <w:szCs w:val="28"/>
              </w:rPr>
            </w:pPr>
            <w:r>
              <w:rPr>
                <w:rFonts w:ascii="Perpetua" w:hAnsi="Perpetua" w:cs="Leelawadee"/>
                <w:sz w:val="32"/>
                <w:szCs w:val="28"/>
              </w:rPr>
              <w:t>5</w:t>
            </w:r>
            <w:r w:rsidR="00B231EF" w:rsidRPr="00AB3325">
              <w:rPr>
                <w:rFonts w:ascii="Perpetua" w:hAnsi="Perpetua" w:cs="Leelawadee"/>
                <w:sz w:val="32"/>
                <w:szCs w:val="28"/>
              </w:rPr>
              <w:t>.</w:t>
            </w:r>
          </w:p>
        </w:tc>
        <w:tc>
          <w:tcPr>
            <w:tcW w:w="8425" w:type="dxa"/>
            <w:tcBorders>
              <w:right w:val="single" w:sz="4" w:space="0" w:color="auto"/>
            </w:tcBorders>
          </w:tcPr>
          <w:p w14:paraId="736B7931" w14:textId="0AC78F3D" w:rsidR="00B231EF" w:rsidRPr="00AB3325" w:rsidRDefault="00B231EF" w:rsidP="004E6EB3">
            <w:pPr>
              <w:spacing w:before="80" w:after="80" w:line="228" w:lineRule="auto"/>
              <w:rPr>
                <w:rFonts w:ascii="Perpetua" w:hAnsi="Perpetua"/>
                <w:sz w:val="32"/>
                <w:szCs w:val="28"/>
              </w:rPr>
            </w:pPr>
            <w:r w:rsidRPr="00081934">
              <w:rPr>
                <w:rFonts w:ascii="Perpetua" w:hAnsi="Perpetua"/>
                <w:sz w:val="32"/>
                <w:szCs w:val="28"/>
                <w:highlight w:val="yellow"/>
              </w:rPr>
              <w:t>If</w:t>
            </w:r>
            <w:r w:rsidR="0063014F" w:rsidRPr="00081934">
              <w:rPr>
                <w:rFonts w:ascii="Perpetua" w:hAnsi="Perpetua"/>
                <w:sz w:val="32"/>
                <w:szCs w:val="28"/>
                <w:highlight w:val="yellow"/>
              </w:rPr>
              <w:t xml:space="preserve"> any guaranteed payments </w:t>
            </w:r>
            <w:r w:rsidR="0063014F">
              <w:rPr>
                <w:rFonts w:ascii="Perpetua" w:hAnsi="Perpetua"/>
                <w:sz w:val="32"/>
                <w:szCs w:val="28"/>
                <w:highlight w:val="yellow"/>
              </w:rPr>
              <w:t>or</w:t>
            </w:r>
            <w:r w:rsidRPr="00AB3325">
              <w:rPr>
                <w:rFonts w:ascii="Perpetua" w:hAnsi="Perpetua"/>
                <w:sz w:val="32"/>
                <w:szCs w:val="28"/>
                <w:highlight w:val="yellow"/>
              </w:rPr>
              <w:t xml:space="preserve"> items allocated to the upper-tier partnership or other pass-through entity by the lower-tier partnership are properly determined not to have a sufficient unitary relationship to the upper-tier partnership’s or other pass-through entity’s business activity generating apportionable income, the upper-tier partnership or other pass-through entity will source these</w:t>
            </w:r>
            <w:r w:rsidR="002508DD">
              <w:rPr>
                <w:rFonts w:ascii="Perpetua" w:hAnsi="Perpetua"/>
                <w:sz w:val="32"/>
                <w:szCs w:val="28"/>
                <w:highlight w:val="yellow"/>
              </w:rPr>
              <w:t xml:space="preserve"> guaranteed</w:t>
            </w:r>
            <w:r w:rsidRPr="00AB3325">
              <w:rPr>
                <w:rFonts w:ascii="Perpetua" w:hAnsi="Perpetua"/>
                <w:sz w:val="32"/>
                <w:szCs w:val="28"/>
                <w:highlight w:val="yellow"/>
              </w:rPr>
              <w:t xml:space="preserve"> </w:t>
            </w:r>
            <w:r w:rsidR="009005A1">
              <w:rPr>
                <w:rFonts w:ascii="Perpetua" w:hAnsi="Perpetua"/>
                <w:sz w:val="32"/>
                <w:szCs w:val="28"/>
                <w:highlight w:val="yellow"/>
              </w:rPr>
              <w:t xml:space="preserve">payments or </w:t>
            </w:r>
            <w:r w:rsidRPr="00AB3325">
              <w:rPr>
                <w:rFonts w:ascii="Perpetua" w:hAnsi="Perpetua"/>
                <w:sz w:val="32"/>
                <w:szCs w:val="28"/>
                <w:highlight w:val="yellow"/>
              </w:rPr>
              <w:t xml:space="preserve">items </w:t>
            </w:r>
            <w:r w:rsidR="00BE41FD">
              <w:rPr>
                <w:rFonts w:ascii="Perpetua" w:hAnsi="Perpetua"/>
                <w:sz w:val="32"/>
                <w:szCs w:val="28"/>
                <w:highlight w:val="yellow"/>
              </w:rPr>
              <w:t xml:space="preserve">as stated </w:t>
            </w:r>
            <w:r w:rsidR="00964445">
              <w:rPr>
                <w:rFonts w:ascii="Perpetua" w:hAnsi="Perpetua"/>
                <w:sz w:val="32"/>
                <w:szCs w:val="28"/>
                <w:highlight w:val="yellow"/>
              </w:rPr>
              <w:t>in the</w:t>
            </w:r>
            <w:r w:rsidRPr="00AB3325">
              <w:rPr>
                <w:rFonts w:ascii="Perpetua" w:hAnsi="Perpetua"/>
                <w:sz w:val="32"/>
                <w:szCs w:val="28"/>
                <w:highlight w:val="yellow"/>
              </w:rPr>
              <w:t xml:space="preserve"> information from the lower-tier partnership as provided by Subpart B</w:t>
            </w:r>
            <w:r w:rsidR="00E5335A">
              <w:rPr>
                <w:rFonts w:ascii="Perpetua" w:hAnsi="Perpetua"/>
                <w:sz w:val="32"/>
                <w:szCs w:val="28"/>
                <w:highlight w:val="yellow"/>
              </w:rPr>
              <w:t>.</w:t>
            </w:r>
            <w:r w:rsidR="005834B3" w:rsidRPr="00AB3325">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tcPr>
          <w:p w14:paraId="7D154F06" w14:textId="48F5502F"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Paragraph </w:t>
            </w:r>
            <w:r w:rsidR="004A3A3B">
              <w:rPr>
                <w:rFonts w:ascii="Tahoma" w:hAnsi="Tahoma" w:cs="Tahoma"/>
                <w:color w:val="3A7C22" w:themeColor="accent6" w:themeShade="BF"/>
                <w:sz w:val="22"/>
                <w:szCs w:val="22"/>
              </w:rPr>
              <w:t>4</w:t>
            </w:r>
            <w:r w:rsidRPr="00F64E40">
              <w:rPr>
                <w:rFonts w:ascii="Tahoma" w:hAnsi="Tahoma" w:cs="Tahoma"/>
                <w:color w:val="3A7C22" w:themeColor="accent6" w:themeShade="BF"/>
                <w:sz w:val="22"/>
                <w:szCs w:val="22"/>
              </w:rPr>
              <w:t xml:space="preserve"> is added to make clear that the default method is to source partnership items at the partnership level, retaining that sourcing as items are allocated to and reported by partners</w:t>
            </w:r>
            <w:r w:rsidR="00295C94" w:rsidRPr="00F64E40">
              <w:rPr>
                <w:rFonts w:ascii="Tahoma" w:hAnsi="Tahoma" w:cs="Tahoma"/>
                <w:color w:val="3A7C22" w:themeColor="accent6" w:themeShade="BF"/>
                <w:sz w:val="22"/>
                <w:szCs w:val="22"/>
              </w:rPr>
              <w:t xml:space="preserve"> or beneficial interest holders of an upper-tier partnership or other pass-through entity</w:t>
            </w:r>
            <w:r w:rsidRPr="00F64E40">
              <w:rPr>
                <w:rFonts w:ascii="Tahoma" w:hAnsi="Tahoma" w:cs="Tahoma"/>
                <w:color w:val="3A7C22" w:themeColor="accent6" w:themeShade="BF"/>
                <w:sz w:val="22"/>
                <w:szCs w:val="22"/>
              </w:rPr>
              <w:t xml:space="preserve">. </w:t>
            </w:r>
          </w:p>
        </w:tc>
      </w:tr>
      <w:tr w:rsidR="000201FD" w14:paraId="6347952B" w14:textId="77777777" w:rsidTr="00683701">
        <w:tc>
          <w:tcPr>
            <w:tcW w:w="535" w:type="dxa"/>
          </w:tcPr>
          <w:p w14:paraId="7314B44C" w14:textId="77777777" w:rsidR="000201FD" w:rsidRPr="00AB3325" w:rsidRDefault="000201FD" w:rsidP="004E6EB3">
            <w:pPr>
              <w:spacing w:before="80" w:after="80" w:line="228" w:lineRule="auto"/>
              <w:rPr>
                <w:rFonts w:ascii="Perpetua" w:hAnsi="Perpetua" w:cs="Leelawadee"/>
                <w:sz w:val="32"/>
                <w:szCs w:val="28"/>
              </w:rPr>
            </w:pPr>
          </w:p>
        </w:tc>
        <w:tc>
          <w:tcPr>
            <w:tcW w:w="603" w:type="dxa"/>
          </w:tcPr>
          <w:p w14:paraId="7C55C8C8" w14:textId="08DA5662" w:rsidR="000201FD" w:rsidRDefault="00BC7F06" w:rsidP="004E6EB3">
            <w:pPr>
              <w:spacing w:before="80" w:after="80" w:line="228" w:lineRule="auto"/>
              <w:rPr>
                <w:rFonts w:ascii="Perpetua" w:hAnsi="Perpetua" w:cs="Leelawadee"/>
                <w:sz w:val="32"/>
                <w:szCs w:val="28"/>
              </w:rPr>
            </w:pPr>
            <w:r>
              <w:rPr>
                <w:rFonts w:ascii="Perpetua" w:hAnsi="Perpetua" w:cs="Leelawadee"/>
                <w:sz w:val="32"/>
                <w:szCs w:val="28"/>
              </w:rPr>
              <w:t>6</w:t>
            </w:r>
            <w:r w:rsidR="000201FD">
              <w:rPr>
                <w:rFonts w:ascii="Perpetua" w:hAnsi="Perpetua" w:cs="Leelawadee"/>
                <w:sz w:val="32"/>
                <w:szCs w:val="28"/>
              </w:rPr>
              <w:t xml:space="preserve">. </w:t>
            </w:r>
          </w:p>
        </w:tc>
        <w:tc>
          <w:tcPr>
            <w:tcW w:w="8425" w:type="dxa"/>
            <w:tcBorders>
              <w:right w:val="single" w:sz="4" w:space="0" w:color="auto"/>
            </w:tcBorders>
          </w:tcPr>
          <w:p w14:paraId="0204A68F" w14:textId="57F7A55B" w:rsidR="000201FD" w:rsidRPr="00AB3325" w:rsidRDefault="00CC3121" w:rsidP="004E6EB3">
            <w:pPr>
              <w:spacing w:before="80" w:after="80" w:line="228" w:lineRule="auto"/>
              <w:rPr>
                <w:rFonts w:ascii="Perpetua" w:hAnsi="Perpetua"/>
                <w:sz w:val="32"/>
                <w:szCs w:val="28"/>
                <w:highlight w:val="yellow"/>
              </w:rPr>
            </w:pPr>
            <w:r>
              <w:rPr>
                <w:rFonts w:ascii="Perpetua" w:hAnsi="Perpetua"/>
                <w:sz w:val="32"/>
                <w:szCs w:val="28"/>
                <w:highlight w:val="yellow"/>
              </w:rPr>
              <w:t xml:space="preserve">Upper-tier partnerships and other pass-through entities </w:t>
            </w:r>
            <w:r w:rsidRPr="000201FD">
              <w:rPr>
                <w:rFonts w:ascii="Perpetua" w:hAnsi="Perpetua"/>
                <w:sz w:val="32"/>
                <w:szCs w:val="28"/>
                <w:highlight w:val="yellow"/>
              </w:rPr>
              <w:t xml:space="preserve">must </w:t>
            </w:r>
            <w:r>
              <w:rPr>
                <w:rFonts w:ascii="Perpetua" w:hAnsi="Perpetua"/>
                <w:sz w:val="32"/>
                <w:szCs w:val="28"/>
                <w:highlight w:val="yellow"/>
              </w:rPr>
              <w:t>provide sufficient sourcing information</w:t>
            </w:r>
            <w:r w:rsidRPr="000201FD">
              <w:rPr>
                <w:rFonts w:ascii="Perpetua" w:hAnsi="Perpetua"/>
                <w:sz w:val="32"/>
                <w:szCs w:val="28"/>
                <w:highlight w:val="yellow"/>
              </w:rPr>
              <w:t xml:space="preserve"> </w:t>
            </w:r>
            <w:r w:rsidR="006F742F">
              <w:rPr>
                <w:rFonts w:ascii="Perpetua" w:hAnsi="Perpetua"/>
                <w:sz w:val="32"/>
                <w:szCs w:val="28"/>
                <w:highlight w:val="yellow"/>
              </w:rPr>
              <w:t xml:space="preserve">for their partners or beneficial interest holders to properly source </w:t>
            </w:r>
            <w:r w:rsidR="00250599">
              <w:rPr>
                <w:rFonts w:ascii="Perpetua" w:hAnsi="Perpetua"/>
                <w:sz w:val="32"/>
                <w:szCs w:val="28"/>
                <w:highlight w:val="yellow"/>
              </w:rPr>
              <w:t>their guaranteed payments or distributive share income</w:t>
            </w:r>
            <w:r w:rsidR="004528DD">
              <w:rPr>
                <w:rFonts w:ascii="Perpetua" w:hAnsi="Perpetua"/>
                <w:sz w:val="32"/>
                <w:szCs w:val="28"/>
                <w:highlight w:val="yellow"/>
              </w:rPr>
              <w:t xml:space="preserve"> in accordance with these provisions</w:t>
            </w:r>
            <w:r w:rsidR="00250599">
              <w:rPr>
                <w:rFonts w:ascii="Perpetua" w:hAnsi="Perpetua"/>
                <w:sz w:val="32"/>
                <w:szCs w:val="28"/>
                <w:highlight w:val="yellow"/>
              </w:rPr>
              <w:t xml:space="preserve">. </w:t>
            </w:r>
          </w:p>
        </w:tc>
        <w:tc>
          <w:tcPr>
            <w:tcW w:w="5115" w:type="dxa"/>
            <w:tcBorders>
              <w:top w:val="single" w:sz="4" w:space="0" w:color="auto"/>
              <w:left w:val="single" w:sz="4" w:space="0" w:color="auto"/>
              <w:bottom w:val="single" w:sz="4" w:space="0" w:color="auto"/>
              <w:right w:val="single" w:sz="4" w:space="0" w:color="auto"/>
            </w:tcBorders>
          </w:tcPr>
          <w:p w14:paraId="07765FD8" w14:textId="539F27FA" w:rsidR="000201FD" w:rsidRPr="00F64E40" w:rsidRDefault="004A3A3B" w:rsidP="004E6EB3">
            <w:pPr>
              <w:spacing w:before="80" w:after="80" w:line="276" w:lineRule="auto"/>
              <w:rPr>
                <w:rFonts w:ascii="Tahoma" w:hAnsi="Tahoma" w:cs="Tahoma"/>
                <w:color w:val="3A7C22" w:themeColor="accent6" w:themeShade="BF"/>
                <w:sz w:val="22"/>
                <w:szCs w:val="22"/>
              </w:rPr>
            </w:pPr>
            <w:r>
              <w:rPr>
                <w:rFonts w:ascii="Tahoma" w:hAnsi="Tahoma" w:cs="Tahoma"/>
                <w:color w:val="3A7C22" w:themeColor="accent6" w:themeShade="BF"/>
                <w:sz w:val="22"/>
                <w:szCs w:val="22"/>
              </w:rPr>
              <w:t xml:space="preserve">This Paragraph 5 is added to make clear that the </w:t>
            </w:r>
            <w:r w:rsidR="00AC1B8A">
              <w:rPr>
                <w:rFonts w:ascii="Tahoma" w:hAnsi="Tahoma" w:cs="Tahoma"/>
                <w:color w:val="3A7C22" w:themeColor="accent6" w:themeShade="BF"/>
                <w:sz w:val="22"/>
                <w:szCs w:val="22"/>
              </w:rPr>
              <w:t>tiered partnership or other pass-through entity is required to report information to its partners or beneficial interest holders in accordance with these rules.</w:t>
            </w:r>
          </w:p>
        </w:tc>
      </w:tr>
      <w:tr w:rsidR="00B231EF" w14:paraId="5F6B3EB4" w14:textId="77777777" w:rsidTr="00683701">
        <w:tc>
          <w:tcPr>
            <w:tcW w:w="535" w:type="dxa"/>
          </w:tcPr>
          <w:p w14:paraId="0E05BBA6" w14:textId="4AD92894"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D.</w:t>
            </w:r>
          </w:p>
        </w:tc>
        <w:tc>
          <w:tcPr>
            <w:tcW w:w="9028" w:type="dxa"/>
            <w:gridSpan w:val="2"/>
          </w:tcPr>
          <w:p w14:paraId="4E012687" w14:textId="3FBDEE8D"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rPr>
              <w:t>Corporate Partner Treatment of Items from Partnerships:</w:t>
            </w:r>
          </w:p>
        </w:tc>
        <w:tc>
          <w:tcPr>
            <w:tcW w:w="5115" w:type="dxa"/>
            <w:tcBorders>
              <w:top w:val="single" w:sz="4" w:space="0" w:color="auto"/>
            </w:tcBorders>
          </w:tcPr>
          <w:p w14:paraId="500EB60F" w14:textId="77777777" w:rsidR="00B231EF" w:rsidRPr="00B9257B" w:rsidRDefault="00B231EF" w:rsidP="004E6EB3">
            <w:pPr>
              <w:spacing w:before="80" w:after="80" w:line="276" w:lineRule="auto"/>
              <w:rPr>
                <w:rFonts w:ascii="Tahoma" w:hAnsi="Tahoma" w:cs="Tahoma"/>
                <w:color w:val="7A18FC"/>
                <w:sz w:val="22"/>
                <w:szCs w:val="22"/>
              </w:rPr>
            </w:pPr>
          </w:p>
        </w:tc>
      </w:tr>
      <w:tr w:rsidR="00D55252" w14:paraId="3D2809B8" w14:textId="77777777" w:rsidTr="001821AF">
        <w:tc>
          <w:tcPr>
            <w:tcW w:w="535" w:type="dxa"/>
          </w:tcPr>
          <w:p w14:paraId="7931D43C" w14:textId="77777777" w:rsidR="00D55252" w:rsidRPr="00AB3325" w:rsidRDefault="00D55252" w:rsidP="004E6EB3">
            <w:pPr>
              <w:spacing w:before="80" w:after="80" w:line="228" w:lineRule="auto"/>
              <w:rPr>
                <w:rFonts w:ascii="Perpetua" w:hAnsi="Perpetua" w:cs="Leelawadee"/>
                <w:sz w:val="32"/>
                <w:szCs w:val="28"/>
              </w:rPr>
            </w:pPr>
          </w:p>
        </w:tc>
        <w:tc>
          <w:tcPr>
            <w:tcW w:w="9028" w:type="dxa"/>
            <w:gridSpan w:val="2"/>
          </w:tcPr>
          <w:p w14:paraId="07A7F38B" w14:textId="2D1B9EC6" w:rsidR="00D55252" w:rsidRPr="00174E80" w:rsidRDefault="00D55252" w:rsidP="004E6EB3">
            <w:pPr>
              <w:spacing w:before="80" w:after="80" w:line="228" w:lineRule="auto"/>
              <w:rPr>
                <w:rFonts w:ascii="Perpetua" w:hAnsi="Perpetua"/>
                <w:i/>
                <w:iCs/>
                <w:sz w:val="32"/>
                <w:szCs w:val="28"/>
              </w:rPr>
            </w:pPr>
            <w:r w:rsidRPr="00174E80">
              <w:rPr>
                <w:rFonts w:ascii="Perpetua" w:hAnsi="Perpetua"/>
                <w:i/>
                <w:iCs/>
                <w:color w:val="0040F6"/>
                <w:sz w:val="32"/>
                <w:szCs w:val="28"/>
              </w:rPr>
              <w:t>See the Drafter’s Note for Subpart C above.</w:t>
            </w:r>
          </w:p>
        </w:tc>
        <w:tc>
          <w:tcPr>
            <w:tcW w:w="5115" w:type="dxa"/>
          </w:tcPr>
          <w:p w14:paraId="5136C4C8" w14:textId="77777777" w:rsidR="00D55252" w:rsidRPr="00B9257B" w:rsidRDefault="00D55252" w:rsidP="004E6EB3">
            <w:pPr>
              <w:spacing w:before="80" w:after="80" w:line="276" w:lineRule="auto"/>
              <w:rPr>
                <w:rFonts w:ascii="Tahoma" w:hAnsi="Tahoma" w:cs="Tahoma"/>
                <w:color w:val="7A18FC"/>
                <w:sz w:val="22"/>
                <w:szCs w:val="22"/>
              </w:rPr>
            </w:pPr>
          </w:p>
        </w:tc>
      </w:tr>
      <w:tr w:rsidR="00B231EF" w14:paraId="7111D9E3" w14:textId="77777777" w:rsidTr="001821AF">
        <w:tc>
          <w:tcPr>
            <w:tcW w:w="535" w:type="dxa"/>
          </w:tcPr>
          <w:p w14:paraId="3563C406" w14:textId="77777777" w:rsidR="00B231EF" w:rsidRPr="00AB3325" w:rsidRDefault="00B231EF" w:rsidP="004E6EB3">
            <w:pPr>
              <w:spacing w:before="80" w:after="80" w:line="228" w:lineRule="auto"/>
              <w:rPr>
                <w:rFonts w:ascii="Perpetua" w:hAnsi="Perpetua" w:cs="Leelawadee"/>
                <w:sz w:val="32"/>
                <w:szCs w:val="28"/>
              </w:rPr>
            </w:pPr>
          </w:p>
        </w:tc>
        <w:tc>
          <w:tcPr>
            <w:tcW w:w="9028" w:type="dxa"/>
            <w:gridSpan w:val="2"/>
          </w:tcPr>
          <w:p w14:paraId="46EEA880" w14:textId="7F63943B" w:rsidR="00B231EF" w:rsidRPr="00AB3325" w:rsidRDefault="00A06F02" w:rsidP="004E6EB3">
            <w:pPr>
              <w:spacing w:before="80" w:after="80" w:line="228" w:lineRule="auto"/>
              <w:rPr>
                <w:rFonts w:ascii="Perpetua" w:hAnsi="Perpetua"/>
                <w:sz w:val="32"/>
                <w:szCs w:val="28"/>
              </w:rPr>
            </w:pPr>
            <w:r w:rsidRPr="002814A8">
              <w:rPr>
                <w:rFonts w:ascii="Perpetua" w:hAnsi="Perpetua"/>
                <w:sz w:val="32"/>
                <w:szCs w:val="28"/>
                <w:highlight w:val="yellow"/>
              </w:rPr>
              <w:t xml:space="preserve">Guaranteed payments and </w:t>
            </w:r>
            <w:r w:rsidR="000F63B8" w:rsidRPr="002814A8">
              <w:rPr>
                <w:rFonts w:ascii="Perpetua" w:hAnsi="Perpetua"/>
                <w:sz w:val="32"/>
                <w:szCs w:val="28"/>
                <w:highlight w:val="yellow"/>
              </w:rPr>
              <w:t>i</w:t>
            </w:r>
            <w:r w:rsidR="00B231EF" w:rsidRPr="002814A8">
              <w:rPr>
                <w:rFonts w:ascii="Perpetua" w:hAnsi="Perpetua"/>
                <w:sz w:val="32"/>
                <w:szCs w:val="28"/>
                <w:highlight w:val="yellow"/>
              </w:rPr>
              <w:t>tems of income, expense, gain, loss or other tax items that are allocated to a corporate partner retain their tax character as determined in Subparts B and C</w:t>
            </w:r>
            <w:r w:rsidR="000F63B8" w:rsidRPr="002814A8">
              <w:rPr>
                <w:rFonts w:ascii="Perpetua" w:hAnsi="Perpetua"/>
                <w:sz w:val="32"/>
                <w:szCs w:val="28"/>
                <w:highlight w:val="yellow"/>
              </w:rPr>
              <w:t xml:space="preserve"> regardless if the allocations are made in accordance with the partner’s partnership interest, or are special, mandatory, or remedial allocations. But the </w:t>
            </w:r>
            <w:r w:rsidR="006E0143" w:rsidRPr="002814A8">
              <w:rPr>
                <w:rFonts w:ascii="Perpetua" w:hAnsi="Perpetua"/>
                <w:sz w:val="32"/>
                <w:szCs w:val="28"/>
                <w:highlight w:val="yellow"/>
              </w:rPr>
              <w:t>corporate partner</w:t>
            </w:r>
            <w:r w:rsidR="000F63B8" w:rsidRPr="002814A8">
              <w:rPr>
                <w:rFonts w:ascii="Perpetua" w:hAnsi="Perpetua"/>
                <w:sz w:val="32"/>
                <w:szCs w:val="28"/>
                <w:highlight w:val="yellow"/>
              </w:rPr>
              <w:t xml:space="preserve"> will also determine the following with respect to these guaranteed payments and </w:t>
            </w:r>
            <w:r w:rsidR="00EE70F6" w:rsidRPr="002814A8">
              <w:rPr>
                <w:rFonts w:ascii="Perpetua" w:hAnsi="Perpetua"/>
                <w:sz w:val="32"/>
                <w:szCs w:val="28"/>
                <w:highlight w:val="yellow"/>
              </w:rPr>
              <w:t>allocated</w:t>
            </w:r>
            <w:r w:rsidR="000F63B8" w:rsidRPr="002814A8">
              <w:rPr>
                <w:rFonts w:ascii="Perpetua" w:hAnsi="Perpetua"/>
                <w:sz w:val="32"/>
                <w:szCs w:val="28"/>
                <w:highlight w:val="yellow"/>
              </w:rPr>
              <w:t xml:space="preserve"> items:</w:t>
            </w:r>
            <w:r w:rsidR="00B231EF" w:rsidRPr="00AB3325">
              <w:rPr>
                <w:rFonts w:ascii="Perpetua" w:hAnsi="Perpetua"/>
                <w:sz w:val="32"/>
                <w:szCs w:val="28"/>
              </w:rPr>
              <w:t xml:space="preserve"> </w:t>
            </w:r>
          </w:p>
        </w:tc>
        <w:tc>
          <w:tcPr>
            <w:tcW w:w="5115" w:type="dxa"/>
          </w:tcPr>
          <w:p w14:paraId="4CC307DF" w14:textId="2AD7C817" w:rsidR="00B231EF" w:rsidRPr="00B9257B" w:rsidRDefault="00F82A99" w:rsidP="004E6EB3">
            <w:pPr>
              <w:spacing w:before="80" w:after="80" w:line="276" w:lineRule="auto"/>
              <w:rPr>
                <w:rFonts w:ascii="Tahoma" w:hAnsi="Tahoma" w:cs="Tahoma"/>
                <w:color w:val="7A18FC"/>
                <w:sz w:val="22"/>
                <w:szCs w:val="22"/>
              </w:rPr>
            </w:pPr>
            <w:r w:rsidRPr="00F64E40">
              <w:rPr>
                <w:rFonts w:ascii="Tahoma" w:hAnsi="Tahoma" w:cs="Tahoma"/>
                <w:color w:val="3A7C22" w:themeColor="accent6" w:themeShade="BF"/>
                <w:sz w:val="22"/>
                <w:szCs w:val="22"/>
              </w:rPr>
              <w:t>See the note</w:t>
            </w:r>
            <w:r w:rsidR="00CB57C0">
              <w:rPr>
                <w:rFonts w:ascii="Tahoma" w:hAnsi="Tahoma" w:cs="Tahoma"/>
                <w:color w:val="3A7C22" w:themeColor="accent6" w:themeShade="BF"/>
                <w:sz w:val="22"/>
                <w:szCs w:val="22"/>
              </w:rPr>
              <w:t>s</w:t>
            </w:r>
            <w:r w:rsidRPr="00F64E40">
              <w:rPr>
                <w:rFonts w:ascii="Tahoma" w:hAnsi="Tahoma" w:cs="Tahoma"/>
                <w:color w:val="3A7C22" w:themeColor="accent6" w:themeShade="BF"/>
                <w:sz w:val="22"/>
                <w:szCs w:val="22"/>
              </w:rPr>
              <w:t xml:space="preserve"> for Subpart C above</w:t>
            </w:r>
            <w:r w:rsidR="00CB57C0">
              <w:rPr>
                <w:rFonts w:ascii="Tahoma" w:hAnsi="Tahoma" w:cs="Tahoma"/>
                <w:color w:val="3A7C22" w:themeColor="accent6" w:themeShade="BF"/>
                <w:sz w:val="22"/>
                <w:szCs w:val="22"/>
              </w:rPr>
              <w:t>.</w:t>
            </w:r>
          </w:p>
        </w:tc>
      </w:tr>
      <w:tr w:rsidR="00B231EF" w14:paraId="182549D4" w14:textId="77777777" w:rsidTr="001821AF">
        <w:tc>
          <w:tcPr>
            <w:tcW w:w="535" w:type="dxa"/>
          </w:tcPr>
          <w:p w14:paraId="25307F4A"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5090093B" w14:textId="10F576BB"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40BF03FC" w14:textId="74C1CDA1" w:rsidR="00B231EF" w:rsidRPr="00AB3325" w:rsidRDefault="00B231EF" w:rsidP="004E6EB3">
            <w:pPr>
              <w:spacing w:before="80" w:after="80" w:line="228" w:lineRule="auto"/>
              <w:rPr>
                <w:rFonts w:ascii="Perpetua" w:hAnsi="Perpetua"/>
                <w:sz w:val="32"/>
                <w:szCs w:val="28"/>
              </w:rPr>
            </w:pPr>
            <w:r w:rsidRPr="002814A8">
              <w:rPr>
                <w:rFonts w:ascii="Perpetua" w:hAnsi="Perpetua"/>
                <w:sz w:val="32"/>
                <w:szCs w:val="28"/>
                <w:highlight w:val="yellow"/>
              </w:rPr>
              <w:t>Whether</w:t>
            </w:r>
            <w:r w:rsidR="0067462F" w:rsidRPr="002814A8">
              <w:rPr>
                <w:rFonts w:ascii="Perpetua" w:hAnsi="Perpetua"/>
                <w:sz w:val="32"/>
                <w:szCs w:val="28"/>
                <w:highlight w:val="yellow"/>
              </w:rPr>
              <w:t xml:space="preserve"> </w:t>
            </w:r>
            <w:r w:rsidR="00A05B53" w:rsidRPr="002814A8">
              <w:rPr>
                <w:rFonts w:ascii="Perpetua" w:hAnsi="Perpetua"/>
                <w:sz w:val="32"/>
                <w:szCs w:val="28"/>
                <w:highlight w:val="yellow"/>
              </w:rPr>
              <w:t xml:space="preserve">guaranteed payments </w:t>
            </w:r>
            <w:r w:rsidR="003B7965" w:rsidRPr="002814A8">
              <w:rPr>
                <w:rFonts w:ascii="Perpetua" w:hAnsi="Perpetua"/>
                <w:sz w:val="32"/>
                <w:szCs w:val="28"/>
                <w:highlight w:val="yellow"/>
              </w:rPr>
              <w:t>or</w:t>
            </w:r>
            <w:r w:rsidRPr="002814A8">
              <w:rPr>
                <w:rFonts w:ascii="Perpetua" w:hAnsi="Perpetua"/>
                <w:sz w:val="32"/>
                <w:szCs w:val="28"/>
                <w:highlight w:val="yellow"/>
              </w:rPr>
              <w:t xml:space="preserve"> items</w:t>
            </w:r>
            <w:r w:rsidRPr="00AB3325">
              <w:rPr>
                <w:rFonts w:ascii="Perpetua" w:hAnsi="Perpetua"/>
                <w:sz w:val="32"/>
                <w:szCs w:val="28"/>
              </w:rPr>
              <w:t xml:space="preserve"> determined by the partnership to be non-apportionable under Subparts B.2 or C.2 or apportionable under Subparts B.4 or C.3 of this Part </w:t>
            </w:r>
            <w:r w:rsidR="00C71817">
              <w:rPr>
                <w:rFonts w:ascii="Perpetua" w:hAnsi="Perpetua"/>
                <w:sz w:val="32"/>
                <w:szCs w:val="28"/>
              </w:rPr>
              <w:t>IV</w:t>
            </w:r>
            <w:r w:rsidR="00C71817" w:rsidRPr="00AB3325">
              <w:rPr>
                <w:rFonts w:ascii="Perpetua" w:hAnsi="Perpetua"/>
                <w:sz w:val="32"/>
                <w:szCs w:val="28"/>
              </w:rPr>
              <w:t xml:space="preserve"> </w:t>
            </w:r>
            <w:r w:rsidRPr="00AB3325">
              <w:rPr>
                <w:rFonts w:ascii="Perpetua" w:hAnsi="Perpetua"/>
                <w:sz w:val="32"/>
                <w:szCs w:val="28"/>
              </w:rPr>
              <w:t>have a sufficient unitary relationship to any business activity generating apportionable income in which the</w:t>
            </w:r>
            <w:r w:rsidR="00D45277">
              <w:rPr>
                <w:rFonts w:ascii="Perpetua" w:hAnsi="Perpetua"/>
                <w:sz w:val="32"/>
                <w:szCs w:val="28"/>
              </w:rPr>
              <w:t xml:space="preserve"> c</w:t>
            </w:r>
            <w:r w:rsidRPr="00AB3325">
              <w:rPr>
                <w:rFonts w:ascii="Perpetua" w:hAnsi="Perpetua"/>
                <w:sz w:val="32"/>
                <w:szCs w:val="28"/>
              </w:rPr>
              <w:t>orporate partner is engaged directly or through related entities.</w:t>
            </w:r>
          </w:p>
        </w:tc>
        <w:tc>
          <w:tcPr>
            <w:tcW w:w="5115" w:type="dxa"/>
          </w:tcPr>
          <w:p w14:paraId="7B08B56E" w14:textId="77777777" w:rsidR="00B231EF" w:rsidRPr="00B9257B" w:rsidRDefault="00B231EF" w:rsidP="004E6EB3">
            <w:pPr>
              <w:spacing w:before="80" w:after="80" w:line="276" w:lineRule="auto"/>
              <w:rPr>
                <w:rFonts w:ascii="Tahoma" w:hAnsi="Tahoma" w:cs="Tahoma"/>
                <w:color w:val="7A18FC"/>
                <w:sz w:val="22"/>
                <w:szCs w:val="22"/>
              </w:rPr>
            </w:pPr>
          </w:p>
        </w:tc>
      </w:tr>
      <w:tr w:rsidR="00B231EF" w14:paraId="1B061E88" w14:textId="77777777" w:rsidTr="001821AF">
        <w:tc>
          <w:tcPr>
            <w:tcW w:w="535" w:type="dxa"/>
          </w:tcPr>
          <w:p w14:paraId="18CE9814"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48ACFB73" w14:textId="18C216F9"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2F374FDB" w14:textId="30F84B6A" w:rsidR="00B231EF" w:rsidRPr="00AB3325" w:rsidRDefault="00B231EF" w:rsidP="004E6EB3">
            <w:pPr>
              <w:spacing w:before="80" w:after="80" w:line="228" w:lineRule="auto"/>
              <w:rPr>
                <w:rFonts w:ascii="Perpetua" w:hAnsi="Perpetua"/>
                <w:sz w:val="32"/>
                <w:szCs w:val="28"/>
              </w:rPr>
            </w:pPr>
            <w:r w:rsidRPr="005513AB">
              <w:rPr>
                <w:rFonts w:ascii="Perpetua" w:hAnsi="Perpetua"/>
                <w:sz w:val="32"/>
                <w:szCs w:val="28"/>
                <w:highlight w:val="yellow"/>
              </w:rPr>
              <w:t xml:space="preserve">If </w:t>
            </w:r>
            <w:r w:rsidR="00ED6716" w:rsidRPr="005513AB">
              <w:rPr>
                <w:rFonts w:ascii="Perpetua" w:hAnsi="Perpetua"/>
                <w:sz w:val="32"/>
                <w:szCs w:val="28"/>
                <w:highlight w:val="yellow"/>
              </w:rPr>
              <w:t xml:space="preserve">any </w:t>
            </w:r>
            <w:r w:rsidR="0082280F" w:rsidRPr="005513AB">
              <w:rPr>
                <w:rFonts w:ascii="Perpetua" w:hAnsi="Perpetua"/>
                <w:sz w:val="32"/>
                <w:szCs w:val="28"/>
                <w:highlight w:val="yellow"/>
              </w:rPr>
              <w:t xml:space="preserve">guaranteed payments or </w:t>
            </w:r>
            <w:r w:rsidRPr="005513AB">
              <w:rPr>
                <w:rFonts w:ascii="Perpetua" w:hAnsi="Perpetua"/>
                <w:sz w:val="32"/>
                <w:szCs w:val="28"/>
                <w:highlight w:val="yellow"/>
              </w:rPr>
              <w:t>items</w:t>
            </w:r>
            <w:r w:rsidRPr="00AB3325">
              <w:rPr>
                <w:rFonts w:ascii="Perpetua" w:hAnsi="Perpetua"/>
                <w:sz w:val="32"/>
                <w:szCs w:val="28"/>
              </w:rPr>
              <w:t xml:space="preserve"> determined to be non-apportionable by the partnership have a sufficient unitary relationship with business activity of the corporate partner generating apportionable income, the corporate partner will include these items in the apportionable income from that corporate partner’s related business activity to be apportioned using the corporate partner’s </w:t>
            </w:r>
            <w:r w:rsidR="00385323">
              <w:rPr>
                <w:rFonts w:ascii="Perpetua" w:hAnsi="Perpetua"/>
                <w:sz w:val="32"/>
                <w:szCs w:val="28"/>
              </w:rPr>
              <w:t>apportionment</w:t>
            </w:r>
            <w:r w:rsidRPr="00AB3325">
              <w:rPr>
                <w:rFonts w:ascii="Perpetua" w:hAnsi="Perpetua"/>
                <w:sz w:val="32"/>
                <w:szCs w:val="28"/>
              </w:rPr>
              <w:t xml:space="preserve"> factors.</w:t>
            </w:r>
          </w:p>
        </w:tc>
        <w:tc>
          <w:tcPr>
            <w:tcW w:w="5115" w:type="dxa"/>
          </w:tcPr>
          <w:p w14:paraId="77FF5FAB" w14:textId="77777777" w:rsidR="00B231EF" w:rsidRPr="00B9257B" w:rsidRDefault="00B231EF" w:rsidP="004E6EB3">
            <w:pPr>
              <w:spacing w:before="80" w:after="80" w:line="276" w:lineRule="auto"/>
              <w:rPr>
                <w:rFonts w:ascii="Tahoma" w:hAnsi="Tahoma" w:cs="Tahoma"/>
                <w:color w:val="7A18FC"/>
                <w:sz w:val="22"/>
                <w:szCs w:val="22"/>
              </w:rPr>
            </w:pPr>
          </w:p>
        </w:tc>
      </w:tr>
      <w:tr w:rsidR="00B231EF" w14:paraId="6CB7E67B" w14:textId="77777777" w:rsidTr="00683701">
        <w:tc>
          <w:tcPr>
            <w:tcW w:w="535" w:type="dxa"/>
          </w:tcPr>
          <w:p w14:paraId="66789A12"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BBB8E43" w14:textId="0E6074A3"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3C0BFF86" w14:textId="2A93008C" w:rsidR="00842F17" w:rsidRDefault="00B231EF" w:rsidP="004E6EB3">
            <w:pPr>
              <w:spacing w:before="80" w:after="80" w:line="228" w:lineRule="auto"/>
              <w:rPr>
                <w:rFonts w:ascii="Perpetua" w:hAnsi="Perpetua"/>
                <w:sz w:val="32"/>
                <w:szCs w:val="28"/>
              </w:rPr>
            </w:pPr>
            <w:r w:rsidRPr="005513AB">
              <w:rPr>
                <w:rFonts w:ascii="Perpetua" w:hAnsi="Perpetua"/>
                <w:sz w:val="32"/>
                <w:szCs w:val="28"/>
                <w:highlight w:val="yellow"/>
              </w:rPr>
              <w:t>If</w:t>
            </w:r>
            <w:r w:rsidR="002814A8" w:rsidRPr="005513AB">
              <w:rPr>
                <w:rFonts w:ascii="Perpetua" w:hAnsi="Perpetua"/>
                <w:sz w:val="32"/>
                <w:szCs w:val="28"/>
                <w:highlight w:val="yellow"/>
              </w:rPr>
              <w:t xml:space="preserve"> any</w:t>
            </w:r>
            <w:r w:rsidR="00FD6DA1" w:rsidRPr="005513AB">
              <w:rPr>
                <w:rFonts w:ascii="Perpetua" w:hAnsi="Perpetua"/>
                <w:sz w:val="32"/>
                <w:szCs w:val="28"/>
                <w:highlight w:val="yellow"/>
              </w:rPr>
              <w:t xml:space="preserve"> guaranteed payments or</w:t>
            </w:r>
            <w:r w:rsidRPr="005513AB">
              <w:rPr>
                <w:rFonts w:ascii="Perpetua" w:hAnsi="Perpetua"/>
                <w:sz w:val="32"/>
                <w:szCs w:val="28"/>
                <w:highlight w:val="yellow"/>
              </w:rPr>
              <w:t xml:space="preserve"> items</w:t>
            </w:r>
            <w:r w:rsidRPr="00AB3325">
              <w:rPr>
                <w:rFonts w:ascii="Perpetua" w:hAnsi="Perpetua"/>
                <w:sz w:val="32"/>
                <w:szCs w:val="28"/>
              </w:rPr>
              <w:t xml:space="preserve"> determined to be apportionable by the partnership have a sufficient unitary relationship with the business activity generating apportionable income of the corporate partner, the corporate partner will include these items in the apportionable income from that corporate partner’s related business activity</w:t>
            </w:r>
            <w:r w:rsidR="00A947BC">
              <w:rPr>
                <w:rFonts w:ascii="Perpetua" w:hAnsi="Perpetua"/>
                <w:sz w:val="32"/>
                <w:szCs w:val="28"/>
              </w:rPr>
              <w:t>.</w:t>
            </w:r>
          </w:p>
          <w:p w14:paraId="254D857F" w14:textId="3E0C0016" w:rsidR="00B231EF" w:rsidRPr="00AB3325" w:rsidRDefault="00842F17" w:rsidP="002B6A6A">
            <w:pPr>
              <w:spacing w:before="240" w:after="80" w:line="228" w:lineRule="auto"/>
              <w:rPr>
                <w:rFonts w:ascii="Perpetua" w:hAnsi="Perpetua"/>
                <w:sz w:val="32"/>
                <w:szCs w:val="28"/>
              </w:rPr>
            </w:pPr>
            <w:r>
              <w:rPr>
                <w:rFonts w:ascii="Perpetua" w:hAnsi="Perpetua"/>
                <w:sz w:val="32"/>
                <w:szCs w:val="28"/>
              </w:rPr>
              <w:t>In addition, the corporate partner</w:t>
            </w:r>
            <w:r w:rsidR="00B231EF" w:rsidRPr="00AB3325">
              <w:rPr>
                <w:rFonts w:ascii="Perpetua" w:hAnsi="Perpetua"/>
                <w:sz w:val="32"/>
                <w:szCs w:val="28"/>
              </w:rPr>
              <w:t xml:space="preserve"> and will include </w:t>
            </w:r>
            <w:r w:rsidR="00465556">
              <w:rPr>
                <w:rFonts w:ascii="Perpetua" w:hAnsi="Perpetua"/>
                <w:sz w:val="32"/>
                <w:szCs w:val="28"/>
              </w:rPr>
              <w:t>the rel</w:t>
            </w:r>
            <w:r w:rsidR="00453F03">
              <w:rPr>
                <w:rFonts w:ascii="Perpetua" w:hAnsi="Perpetua"/>
                <w:sz w:val="32"/>
                <w:szCs w:val="28"/>
              </w:rPr>
              <w:t>a</w:t>
            </w:r>
            <w:r w:rsidR="00465556">
              <w:rPr>
                <w:rFonts w:ascii="Perpetua" w:hAnsi="Perpetua"/>
                <w:sz w:val="32"/>
                <w:szCs w:val="28"/>
              </w:rPr>
              <w:t>ted</w:t>
            </w:r>
            <w:r w:rsidR="00465556" w:rsidRPr="00AB3325">
              <w:rPr>
                <w:rFonts w:ascii="Perpetua" w:hAnsi="Perpetua"/>
                <w:sz w:val="32"/>
                <w:szCs w:val="28"/>
              </w:rPr>
              <w:t xml:space="preserve"> </w:t>
            </w:r>
            <w:r w:rsidR="00B231EF" w:rsidRPr="00AB3325">
              <w:rPr>
                <w:rFonts w:ascii="Perpetua" w:hAnsi="Perpetua"/>
                <w:sz w:val="32"/>
                <w:szCs w:val="28"/>
              </w:rPr>
              <w:t>share of the partnership’s</w:t>
            </w:r>
            <w:r w:rsidR="00A03C05">
              <w:rPr>
                <w:rFonts w:ascii="Perpetua" w:hAnsi="Perpetua"/>
                <w:sz w:val="32"/>
                <w:szCs w:val="28"/>
              </w:rPr>
              <w:t xml:space="preserve"> apportionment</w:t>
            </w:r>
            <w:r w:rsidR="00B231EF" w:rsidRPr="00AB3325">
              <w:rPr>
                <w:rFonts w:ascii="Perpetua" w:hAnsi="Perpetua"/>
                <w:sz w:val="32"/>
                <w:szCs w:val="28"/>
              </w:rPr>
              <w:t xml:space="preserve"> factors in the corporate partner’s apportionment factors.</w:t>
            </w:r>
            <w:r w:rsidR="00A7173C">
              <w:rPr>
                <w:rFonts w:ascii="Perpetua" w:hAnsi="Perpetua"/>
                <w:sz w:val="32"/>
                <w:szCs w:val="28"/>
              </w:rPr>
              <w:t xml:space="preserve"> </w:t>
            </w:r>
            <w:r w:rsidR="00A7173C" w:rsidRPr="00A7173C">
              <w:rPr>
                <w:rFonts w:ascii="Perpetua" w:hAnsi="Perpetua"/>
                <w:sz w:val="32"/>
                <w:szCs w:val="28"/>
                <w:highlight w:val="yellow"/>
              </w:rPr>
              <w:t>This inclusion of a share of partnership factors with the partner’s own factors</w:t>
            </w:r>
            <w:r w:rsidR="0033118B">
              <w:rPr>
                <w:rFonts w:ascii="Perpetua" w:hAnsi="Perpetua"/>
                <w:sz w:val="32"/>
                <w:szCs w:val="28"/>
                <w:highlight w:val="yellow"/>
              </w:rPr>
              <w:t xml:space="preserve"> </w:t>
            </w:r>
            <w:r w:rsidR="00A7173C" w:rsidRPr="00A7173C">
              <w:rPr>
                <w:rFonts w:ascii="Perpetua" w:hAnsi="Perpetua"/>
                <w:sz w:val="32"/>
                <w:szCs w:val="28"/>
                <w:highlight w:val="yellow"/>
              </w:rPr>
              <w:t xml:space="preserve">will be referred to as the blending of apportionment </w:t>
            </w:r>
            <w:r w:rsidR="00A7173C" w:rsidRPr="00432D03">
              <w:rPr>
                <w:rFonts w:ascii="Perpetua" w:hAnsi="Perpetua"/>
                <w:sz w:val="32"/>
                <w:szCs w:val="28"/>
                <w:highlight w:val="yellow"/>
              </w:rPr>
              <w:t>factors.</w:t>
            </w:r>
            <w:r w:rsidR="00FD4B7A">
              <w:rPr>
                <w:rFonts w:ascii="Perpetua" w:hAnsi="Perpetua"/>
                <w:sz w:val="32"/>
                <w:szCs w:val="28"/>
                <w:highlight w:val="yellow"/>
              </w:rPr>
              <w:t xml:space="preserve"> </w:t>
            </w:r>
            <w:r w:rsidR="00A243E6" w:rsidRPr="00432D03">
              <w:rPr>
                <w:rFonts w:ascii="Perpetua" w:hAnsi="Perpetua"/>
                <w:sz w:val="32"/>
                <w:szCs w:val="28"/>
                <w:highlight w:val="yellow"/>
              </w:rPr>
              <w:t>Under this calculation, the corporate partner adds its share of the partnership’s factor components to its own factor components, and the corporate partner’s apportionment factors are recalculated based on the resulting aggregations.</w:t>
            </w:r>
          </w:p>
        </w:tc>
        <w:tc>
          <w:tcPr>
            <w:tcW w:w="5115" w:type="dxa"/>
            <w:tcBorders>
              <w:bottom w:val="single" w:sz="4" w:space="0" w:color="auto"/>
            </w:tcBorders>
          </w:tcPr>
          <w:p w14:paraId="2A0714DB" w14:textId="77777777" w:rsidR="00B231EF" w:rsidRPr="00B9257B" w:rsidRDefault="00B231EF" w:rsidP="004E6EB3">
            <w:pPr>
              <w:spacing w:before="80" w:after="80" w:line="276" w:lineRule="auto"/>
              <w:rPr>
                <w:rFonts w:ascii="Tahoma" w:hAnsi="Tahoma" w:cs="Tahoma"/>
                <w:color w:val="7A18FC"/>
                <w:sz w:val="22"/>
                <w:szCs w:val="22"/>
              </w:rPr>
            </w:pPr>
          </w:p>
        </w:tc>
      </w:tr>
      <w:tr w:rsidR="00B231EF" w14:paraId="237B7DA2" w14:textId="77777777" w:rsidTr="00683701">
        <w:tc>
          <w:tcPr>
            <w:tcW w:w="535" w:type="dxa"/>
          </w:tcPr>
          <w:p w14:paraId="738E403D"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33436244" w14:textId="058F4E4E"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tcBorders>
              <w:right w:val="single" w:sz="4" w:space="0" w:color="auto"/>
            </w:tcBorders>
          </w:tcPr>
          <w:p w14:paraId="3B1D9927" w14:textId="79F59F69" w:rsidR="00B231EF" w:rsidRPr="00AB3325" w:rsidRDefault="00FF592D" w:rsidP="0042199A">
            <w:pPr>
              <w:spacing w:before="120"/>
              <w:rPr>
                <w:rFonts w:ascii="Perpetua" w:hAnsi="Perpetua"/>
                <w:sz w:val="32"/>
                <w:szCs w:val="28"/>
              </w:rPr>
            </w:pPr>
            <w:r w:rsidRPr="00F82A99">
              <w:rPr>
                <w:rFonts w:ascii="Perpetua" w:hAnsi="Perpetua"/>
                <w:sz w:val="32"/>
                <w:szCs w:val="28"/>
                <w:highlight w:val="yellow"/>
              </w:rPr>
              <w:t xml:space="preserve">The share of </w:t>
            </w:r>
            <w:r w:rsidR="00432D03" w:rsidRPr="00F82A99">
              <w:rPr>
                <w:rFonts w:ascii="Perpetua" w:hAnsi="Perpetua"/>
                <w:sz w:val="32"/>
                <w:szCs w:val="28"/>
                <w:highlight w:val="yellow"/>
              </w:rPr>
              <w:t>the</w:t>
            </w:r>
            <w:r w:rsidRPr="00F82A99">
              <w:rPr>
                <w:rFonts w:ascii="Perpetua" w:hAnsi="Perpetua"/>
                <w:sz w:val="32"/>
                <w:szCs w:val="28"/>
                <w:highlight w:val="yellow"/>
              </w:rPr>
              <w:t xml:space="preserve"> partnership’s apportionment factors to be included when blending apportionment factors under Paragraph 3 of this subpart is determined using a ratio which is the partner’s total unitary </w:t>
            </w:r>
            <w:r w:rsidR="002508DD">
              <w:rPr>
                <w:rFonts w:ascii="Perpetua" w:hAnsi="Perpetua"/>
                <w:sz w:val="32"/>
                <w:szCs w:val="28"/>
                <w:highlight w:val="yellow"/>
              </w:rPr>
              <w:t xml:space="preserve">guaranteed </w:t>
            </w:r>
            <w:r w:rsidRPr="00F82A99">
              <w:rPr>
                <w:rFonts w:ascii="Perpetua" w:hAnsi="Perpetua"/>
                <w:sz w:val="32"/>
                <w:szCs w:val="28"/>
                <w:highlight w:val="yellow"/>
              </w:rPr>
              <w:t>payments and distributive shares of items computed using the absolute value of those items</w:t>
            </w:r>
            <w:r w:rsidR="00D04188" w:rsidRPr="002220F5">
              <w:rPr>
                <w:rFonts w:ascii="Perpetua" w:hAnsi="Perpetua"/>
                <w:sz w:val="32"/>
                <w:szCs w:val="28"/>
                <w:highlight w:val="yellow"/>
              </w:rPr>
              <w:t xml:space="preserve"> divided by the total of all the unitary </w:t>
            </w:r>
            <w:r w:rsidR="00D04188">
              <w:rPr>
                <w:rFonts w:ascii="Perpetua" w:hAnsi="Perpetua"/>
                <w:sz w:val="32"/>
                <w:szCs w:val="28"/>
                <w:highlight w:val="yellow"/>
              </w:rPr>
              <w:t xml:space="preserve">guaranteed </w:t>
            </w:r>
            <w:r w:rsidR="00D04188" w:rsidRPr="002220F5">
              <w:rPr>
                <w:rFonts w:ascii="Perpetua" w:hAnsi="Perpetua"/>
                <w:sz w:val="32"/>
                <w:szCs w:val="28"/>
                <w:highlight w:val="yellow"/>
              </w:rPr>
              <w:t>payments and distributive shares of items to all partners</w:t>
            </w:r>
            <w:r w:rsidR="00D04188">
              <w:rPr>
                <w:rFonts w:ascii="Perpetua" w:hAnsi="Perpetua"/>
                <w:sz w:val="32"/>
                <w:szCs w:val="28"/>
                <w:highlight w:val="yellow"/>
              </w:rPr>
              <w:t xml:space="preserve"> of the lower-tier partnership</w:t>
            </w:r>
            <w:r w:rsidR="00D04188" w:rsidRPr="002220F5">
              <w:rPr>
                <w:rFonts w:ascii="Perpetua" w:hAnsi="Perpetua"/>
                <w:sz w:val="32"/>
                <w:szCs w:val="28"/>
                <w:highlight w:val="yellow"/>
              </w:rPr>
              <w:t xml:space="preserve"> computed using the absolute value of those items</w:t>
            </w:r>
            <w:r w:rsidRPr="00F82A99">
              <w:rPr>
                <w:rFonts w:ascii="Perpetua" w:hAnsi="Perpetua"/>
                <w:sz w:val="32"/>
                <w:szCs w:val="28"/>
                <w:highlight w:val="yellow"/>
              </w:rPr>
              <w:t>.</w:t>
            </w:r>
            <w:r w:rsidRPr="00F82A99">
              <w:rPr>
                <w:rFonts w:ascii="Perpetua" w:hAnsi="Perpetua"/>
                <w:sz w:val="32"/>
                <w:szCs w:val="28"/>
              </w:rPr>
              <w:t xml:space="preserve"> </w:t>
            </w:r>
          </w:p>
        </w:tc>
        <w:tc>
          <w:tcPr>
            <w:tcW w:w="5115" w:type="dxa"/>
            <w:tcBorders>
              <w:top w:val="single" w:sz="4" w:space="0" w:color="auto"/>
              <w:left w:val="single" w:sz="4" w:space="0" w:color="auto"/>
              <w:bottom w:val="single" w:sz="4" w:space="0" w:color="auto"/>
              <w:right w:val="single" w:sz="4" w:space="0" w:color="auto"/>
            </w:tcBorders>
          </w:tcPr>
          <w:p w14:paraId="72B1F647" w14:textId="009396DB"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The provision now includes a specific reference to how guaranteed payments will go into the calculation of the ratio to determine the partner’s share of partnership factors. </w:t>
            </w:r>
          </w:p>
          <w:p w14:paraId="79894DD3" w14:textId="544DB46A" w:rsidR="00B231EF" w:rsidRPr="00F64E40" w:rsidRDefault="00AF0589"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Also, the drafter’s note that was included here—stating that states might adopt the absolute value method only for partnerships making special allocations—was removed</w:t>
            </w:r>
            <w:r w:rsidR="00484EFF">
              <w:rPr>
                <w:rFonts w:ascii="Tahoma" w:hAnsi="Tahoma" w:cs="Tahoma"/>
                <w:color w:val="3A7C22" w:themeColor="accent6" w:themeShade="BF"/>
                <w:sz w:val="22"/>
                <w:szCs w:val="22"/>
              </w:rPr>
              <w:t xml:space="preserve"> as it</w:t>
            </w:r>
            <w:r w:rsidRPr="00F64E40">
              <w:rPr>
                <w:rFonts w:ascii="Tahoma" w:hAnsi="Tahoma" w:cs="Tahoma"/>
                <w:color w:val="3A7C22" w:themeColor="accent6" w:themeShade="BF"/>
                <w:sz w:val="22"/>
                <w:szCs w:val="22"/>
              </w:rPr>
              <w:t xml:space="preserve"> caused confusion</w:t>
            </w:r>
            <w:r w:rsidR="00484EFF">
              <w:rPr>
                <w:rFonts w:ascii="Tahoma" w:hAnsi="Tahoma" w:cs="Tahoma"/>
                <w:color w:val="3A7C22" w:themeColor="accent6" w:themeShade="BF"/>
                <w:sz w:val="22"/>
                <w:szCs w:val="22"/>
              </w:rPr>
              <w:t>.</w:t>
            </w:r>
            <w:r w:rsidRPr="00F64E40">
              <w:rPr>
                <w:rFonts w:ascii="Tahoma" w:hAnsi="Tahoma" w:cs="Tahoma"/>
                <w:color w:val="3A7C22" w:themeColor="accent6" w:themeShade="BF"/>
                <w:sz w:val="22"/>
                <w:szCs w:val="22"/>
              </w:rPr>
              <w:t xml:space="preserve"> </w:t>
            </w:r>
          </w:p>
        </w:tc>
      </w:tr>
      <w:tr w:rsidR="00B231EF" w14:paraId="008DD434" w14:textId="77777777" w:rsidTr="00683701">
        <w:tc>
          <w:tcPr>
            <w:tcW w:w="535" w:type="dxa"/>
          </w:tcPr>
          <w:p w14:paraId="67399B8E" w14:textId="77777777" w:rsidR="00B231EF" w:rsidRPr="00AB3325" w:rsidRDefault="00B231EF" w:rsidP="004E6EB3">
            <w:pPr>
              <w:spacing w:before="80" w:after="80" w:line="228" w:lineRule="auto"/>
              <w:rPr>
                <w:rFonts w:ascii="Perpetua" w:hAnsi="Perpetua" w:cs="Leelawadee"/>
                <w:sz w:val="32"/>
                <w:szCs w:val="28"/>
              </w:rPr>
            </w:pPr>
          </w:p>
        </w:tc>
        <w:tc>
          <w:tcPr>
            <w:tcW w:w="603" w:type="dxa"/>
          </w:tcPr>
          <w:p w14:paraId="28118D6D" w14:textId="58181D22" w:rsidR="00B231EF" w:rsidRPr="00AB3325" w:rsidRDefault="00B231EF" w:rsidP="004E6EB3">
            <w:pPr>
              <w:spacing w:before="80" w:after="80" w:line="228" w:lineRule="auto"/>
              <w:rPr>
                <w:rFonts w:ascii="Perpetua" w:hAnsi="Perpetua" w:cs="Leelawadee"/>
                <w:sz w:val="32"/>
                <w:szCs w:val="28"/>
              </w:rPr>
            </w:pPr>
          </w:p>
        </w:tc>
        <w:tc>
          <w:tcPr>
            <w:tcW w:w="8425" w:type="dxa"/>
            <w:tcBorders>
              <w:right w:val="single" w:sz="4" w:space="0" w:color="auto"/>
            </w:tcBorders>
          </w:tcPr>
          <w:p w14:paraId="446B4538" w14:textId="2A7672AA" w:rsidR="00B231EF" w:rsidRPr="00AB3325" w:rsidRDefault="004649E5" w:rsidP="004E6EB3">
            <w:pPr>
              <w:spacing w:before="80" w:after="80" w:line="228" w:lineRule="auto"/>
              <w:rPr>
                <w:rFonts w:ascii="Perpetua" w:hAnsi="Perpetua"/>
                <w:sz w:val="32"/>
                <w:szCs w:val="28"/>
              </w:rPr>
            </w:pPr>
            <w:r w:rsidRPr="00F82A99">
              <w:rPr>
                <w:rFonts w:ascii="Perpetua" w:hAnsi="Perpetua"/>
                <w:sz w:val="32"/>
                <w:szCs w:val="28"/>
                <w:highlight w:val="yellow"/>
              </w:rPr>
              <w:t>In determining the blended receipts factor, any receipts representing transactions between the partner and partnership will be eliminated from that blended factor to the extent of the partner’s distributive share of the items (receipts or expenses) associated with those transactions.</w:t>
            </w:r>
          </w:p>
        </w:tc>
        <w:tc>
          <w:tcPr>
            <w:tcW w:w="5115" w:type="dxa"/>
            <w:tcBorders>
              <w:top w:val="single" w:sz="4" w:space="0" w:color="auto"/>
              <w:left w:val="single" w:sz="4" w:space="0" w:color="auto"/>
              <w:bottom w:val="single" w:sz="4" w:space="0" w:color="auto"/>
              <w:right w:val="single" w:sz="4" w:space="0" w:color="auto"/>
            </w:tcBorders>
          </w:tcPr>
          <w:p w14:paraId="624B5F24" w14:textId="0BD5CAC4" w:rsidR="00B231EF" w:rsidRPr="00F64E40" w:rsidRDefault="00B231EF" w:rsidP="004E6EB3">
            <w:pPr>
              <w:spacing w:before="80" w:after="80" w:line="276" w:lineRule="auto"/>
              <w:rPr>
                <w:rFonts w:ascii="Tahoma" w:hAnsi="Tahoma" w:cs="Tahoma"/>
                <w:color w:val="3A7C22" w:themeColor="accent6" w:themeShade="BF"/>
                <w:sz w:val="22"/>
                <w:szCs w:val="22"/>
              </w:rPr>
            </w:pPr>
          </w:p>
        </w:tc>
      </w:tr>
      <w:tr w:rsidR="0006262D" w14:paraId="02C53857" w14:textId="77777777" w:rsidTr="00683701">
        <w:tc>
          <w:tcPr>
            <w:tcW w:w="535" w:type="dxa"/>
          </w:tcPr>
          <w:p w14:paraId="584F2608" w14:textId="77777777" w:rsidR="0006262D" w:rsidRPr="00AB3325" w:rsidRDefault="0006262D" w:rsidP="004E6EB3">
            <w:pPr>
              <w:spacing w:before="80" w:after="80" w:line="228" w:lineRule="auto"/>
              <w:rPr>
                <w:rFonts w:ascii="Perpetua" w:hAnsi="Perpetua" w:cs="Leelawadee"/>
                <w:sz w:val="32"/>
                <w:szCs w:val="28"/>
              </w:rPr>
            </w:pPr>
          </w:p>
        </w:tc>
        <w:tc>
          <w:tcPr>
            <w:tcW w:w="603" w:type="dxa"/>
          </w:tcPr>
          <w:p w14:paraId="6F72F21F" w14:textId="071FC99C" w:rsidR="0006262D" w:rsidRPr="00AB3325" w:rsidRDefault="009806D0" w:rsidP="004E6EB3">
            <w:pPr>
              <w:spacing w:before="80" w:after="80" w:line="228" w:lineRule="auto"/>
              <w:rPr>
                <w:rFonts w:ascii="Perpetua" w:hAnsi="Perpetua" w:cs="Leelawadee"/>
                <w:sz w:val="32"/>
                <w:szCs w:val="28"/>
              </w:rPr>
            </w:pPr>
            <w:r>
              <w:rPr>
                <w:rFonts w:ascii="Perpetua" w:hAnsi="Perpetua" w:cs="Leelawadee"/>
                <w:sz w:val="32"/>
                <w:szCs w:val="28"/>
              </w:rPr>
              <w:t>5</w:t>
            </w:r>
            <w:r w:rsidR="0006262D">
              <w:rPr>
                <w:rFonts w:ascii="Perpetua" w:hAnsi="Perpetua" w:cs="Leelawadee"/>
                <w:sz w:val="32"/>
                <w:szCs w:val="28"/>
              </w:rPr>
              <w:t xml:space="preserve">. </w:t>
            </w:r>
          </w:p>
        </w:tc>
        <w:tc>
          <w:tcPr>
            <w:tcW w:w="8425" w:type="dxa"/>
            <w:tcBorders>
              <w:right w:val="single" w:sz="4" w:space="0" w:color="auto"/>
            </w:tcBorders>
          </w:tcPr>
          <w:p w14:paraId="27BF7AB6" w14:textId="75D25647" w:rsidR="0006262D" w:rsidRPr="00AB3325" w:rsidRDefault="0006262D" w:rsidP="004E6EB3">
            <w:pPr>
              <w:spacing w:before="80" w:after="80" w:line="228" w:lineRule="auto"/>
              <w:rPr>
                <w:rFonts w:ascii="Perpetua" w:hAnsi="Perpetua"/>
                <w:sz w:val="32"/>
                <w:szCs w:val="28"/>
              </w:rPr>
            </w:pPr>
            <w:r w:rsidRPr="00AB3325">
              <w:rPr>
                <w:rFonts w:ascii="Perpetua" w:hAnsi="Perpetua"/>
                <w:sz w:val="32"/>
                <w:szCs w:val="28"/>
                <w:highlight w:val="yellow"/>
              </w:rPr>
              <w:t xml:space="preserve">If </w:t>
            </w:r>
            <w:r w:rsidR="002914F9">
              <w:rPr>
                <w:rFonts w:ascii="Perpetua" w:hAnsi="Perpetua"/>
                <w:sz w:val="32"/>
                <w:szCs w:val="28"/>
                <w:highlight w:val="yellow"/>
              </w:rPr>
              <w:t xml:space="preserve">guaranteed payments or </w:t>
            </w:r>
            <w:r w:rsidRPr="00AB3325">
              <w:rPr>
                <w:rFonts w:ascii="Perpetua" w:hAnsi="Perpetua"/>
                <w:sz w:val="32"/>
                <w:szCs w:val="28"/>
                <w:highlight w:val="yellow"/>
              </w:rPr>
              <w:t xml:space="preserve">items allocated to the </w:t>
            </w:r>
            <w:r w:rsidR="00870ED3">
              <w:rPr>
                <w:rFonts w:ascii="Perpetua" w:hAnsi="Perpetua"/>
                <w:sz w:val="32"/>
                <w:szCs w:val="28"/>
                <w:highlight w:val="yellow"/>
              </w:rPr>
              <w:t>corporate partner</w:t>
            </w:r>
            <w:r w:rsidRPr="00AB3325">
              <w:rPr>
                <w:rFonts w:ascii="Perpetua" w:hAnsi="Perpetua"/>
                <w:sz w:val="32"/>
                <w:szCs w:val="28"/>
                <w:highlight w:val="yellow"/>
              </w:rPr>
              <w:t xml:space="preserve"> are properly determined not to have a sufficient unitary relationship to the </w:t>
            </w:r>
            <w:r w:rsidR="002D5EE1">
              <w:rPr>
                <w:rFonts w:ascii="Perpetua" w:hAnsi="Perpetua"/>
                <w:sz w:val="32"/>
                <w:szCs w:val="28"/>
                <w:highlight w:val="yellow"/>
              </w:rPr>
              <w:t>partner’s</w:t>
            </w:r>
            <w:r w:rsidRPr="00AB3325">
              <w:rPr>
                <w:rFonts w:ascii="Perpetua" w:hAnsi="Perpetua"/>
                <w:sz w:val="32"/>
                <w:szCs w:val="28"/>
                <w:highlight w:val="yellow"/>
              </w:rPr>
              <w:t xml:space="preserve"> business activity generating apportionable income, the </w:t>
            </w:r>
            <w:r w:rsidR="002D5EE1">
              <w:rPr>
                <w:rFonts w:ascii="Perpetua" w:hAnsi="Perpetua"/>
                <w:sz w:val="32"/>
                <w:szCs w:val="28"/>
                <w:highlight w:val="yellow"/>
              </w:rPr>
              <w:t>corporate partner</w:t>
            </w:r>
            <w:r w:rsidRPr="00AB3325">
              <w:rPr>
                <w:rFonts w:ascii="Perpetua" w:hAnsi="Perpetua"/>
                <w:sz w:val="32"/>
                <w:szCs w:val="28"/>
                <w:highlight w:val="yellow"/>
              </w:rPr>
              <w:t xml:space="preserve"> will source these items </w:t>
            </w:r>
            <w:r w:rsidR="002A6C70">
              <w:rPr>
                <w:rFonts w:ascii="Perpetua" w:hAnsi="Perpetua"/>
                <w:sz w:val="32"/>
                <w:szCs w:val="28"/>
                <w:highlight w:val="yellow"/>
              </w:rPr>
              <w:t>as stated in</w:t>
            </w:r>
            <w:r w:rsidR="002A6C70" w:rsidRPr="00AB3325">
              <w:rPr>
                <w:rFonts w:ascii="Perpetua" w:hAnsi="Perpetua"/>
                <w:sz w:val="32"/>
                <w:szCs w:val="28"/>
                <w:highlight w:val="yellow"/>
              </w:rPr>
              <w:t xml:space="preserve"> </w:t>
            </w:r>
            <w:r w:rsidRPr="00AB3325">
              <w:rPr>
                <w:rFonts w:ascii="Perpetua" w:hAnsi="Perpetua"/>
                <w:sz w:val="32"/>
                <w:szCs w:val="28"/>
                <w:highlight w:val="yellow"/>
              </w:rPr>
              <w:t>information from the lower-tier partnership as provided by Subpart B</w:t>
            </w:r>
            <w:r w:rsidR="002D5EE1">
              <w:rPr>
                <w:rFonts w:ascii="Perpetua" w:hAnsi="Perpetua"/>
                <w:sz w:val="32"/>
                <w:szCs w:val="28"/>
              </w:rPr>
              <w:t>.</w:t>
            </w:r>
          </w:p>
        </w:tc>
        <w:tc>
          <w:tcPr>
            <w:tcW w:w="5115" w:type="dxa"/>
            <w:tcBorders>
              <w:top w:val="single" w:sz="4" w:space="0" w:color="auto"/>
              <w:left w:val="single" w:sz="4" w:space="0" w:color="auto"/>
              <w:bottom w:val="single" w:sz="4" w:space="0" w:color="auto"/>
              <w:right w:val="single" w:sz="4" w:space="0" w:color="auto"/>
            </w:tcBorders>
          </w:tcPr>
          <w:p w14:paraId="77D35DDF" w14:textId="3224CD44" w:rsidR="0006262D" w:rsidRPr="00F64E40" w:rsidRDefault="00DD3625"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Paragraph 6 is added to make clear that the default method is to source partnership items at the partnership level, retaining that sourcing as items are allocated to and reported by </w:t>
            </w:r>
            <w:r w:rsidR="00031B3C" w:rsidRPr="00F64E40">
              <w:rPr>
                <w:rFonts w:ascii="Tahoma" w:hAnsi="Tahoma" w:cs="Tahoma"/>
                <w:color w:val="3A7C22" w:themeColor="accent6" w:themeShade="BF"/>
                <w:sz w:val="22"/>
                <w:szCs w:val="22"/>
              </w:rPr>
              <w:t>corporate partners</w:t>
            </w:r>
            <w:r w:rsidRPr="00F64E40">
              <w:rPr>
                <w:rFonts w:ascii="Tahoma" w:hAnsi="Tahoma" w:cs="Tahoma"/>
                <w:color w:val="3A7C22" w:themeColor="accent6" w:themeShade="BF"/>
                <w:sz w:val="22"/>
                <w:szCs w:val="22"/>
              </w:rPr>
              <w:t>.</w:t>
            </w:r>
          </w:p>
        </w:tc>
      </w:tr>
      <w:tr w:rsidR="00B231EF" w14:paraId="3C9EC624" w14:textId="77777777" w:rsidTr="00683701">
        <w:tc>
          <w:tcPr>
            <w:tcW w:w="535" w:type="dxa"/>
          </w:tcPr>
          <w:p w14:paraId="39872251" w14:textId="44F68651" w:rsidR="00B231EF" w:rsidRPr="00AB3325" w:rsidRDefault="00B231EF" w:rsidP="004E6EB3">
            <w:pPr>
              <w:spacing w:before="80" w:after="80" w:line="228" w:lineRule="auto"/>
              <w:rPr>
                <w:rFonts w:ascii="Perpetua" w:hAnsi="Perpetua" w:cs="Leelawadee"/>
                <w:sz w:val="32"/>
                <w:szCs w:val="28"/>
              </w:rPr>
            </w:pPr>
            <w:r w:rsidRPr="00AB3325">
              <w:rPr>
                <w:rFonts w:ascii="Perpetua" w:hAnsi="Perpetua" w:cs="Leelawadee"/>
                <w:sz w:val="32"/>
                <w:szCs w:val="28"/>
              </w:rPr>
              <w:t>E.</w:t>
            </w:r>
          </w:p>
        </w:tc>
        <w:tc>
          <w:tcPr>
            <w:tcW w:w="9028" w:type="dxa"/>
            <w:gridSpan w:val="2"/>
            <w:tcBorders>
              <w:right w:val="single" w:sz="4" w:space="0" w:color="auto"/>
            </w:tcBorders>
          </w:tcPr>
          <w:p w14:paraId="72B9623B" w14:textId="5546ED88"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highlight w:val="yellow"/>
              </w:rPr>
              <w:t>All Other Partners Treatment of Items from Partnerships</w:t>
            </w:r>
          </w:p>
        </w:tc>
        <w:tc>
          <w:tcPr>
            <w:tcW w:w="5115" w:type="dxa"/>
            <w:tcBorders>
              <w:top w:val="single" w:sz="4" w:space="0" w:color="auto"/>
              <w:left w:val="single" w:sz="4" w:space="0" w:color="auto"/>
              <w:bottom w:val="single" w:sz="4" w:space="0" w:color="auto"/>
              <w:right w:val="single" w:sz="4" w:space="0" w:color="auto"/>
            </w:tcBorders>
          </w:tcPr>
          <w:p w14:paraId="4CFA626D" w14:textId="508CD282" w:rsidR="00B231EF" w:rsidRPr="00F64E40" w:rsidRDefault="00B57A65"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New provision.</w:t>
            </w:r>
          </w:p>
        </w:tc>
      </w:tr>
      <w:tr w:rsidR="00B231EF" w14:paraId="11D5F9CD" w14:textId="77777777" w:rsidTr="00683701">
        <w:tc>
          <w:tcPr>
            <w:tcW w:w="535" w:type="dxa"/>
          </w:tcPr>
          <w:p w14:paraId="0800FEBF" w14:textId="77777777" w:rsidR="00B231EF" w:rsidRPr="00AB3325" w:rsidRDefault="00B231EF" w:rsidP="004E6EB3">
            <w:pPr>
              <w:spacing w:before="80" w:after="80" w:line="228" w:lineRule="auto"/>
              <w:rPr>
                <w:rFonts w:ascii="Perpetua" w:hAnsi="Perpetua" w:cs="Leelawadee"/>
                <w:sz w:val="32"/>
                <w:szCs w:val="28"/>
              </w:rPr>
            </w:pPr>
          </w:p>
        </w:tc>
        <w:tc>
          <w:tcPr>
            <w:tcW w:w="9028" w:type="dxa"/>
            <w:gridSpan w:val="2"/>
            <w:tcBorders>
              <w:right w:val="single" w:sz="4" w:space="0" w:color="auto"/>
            </w:tcBorders>
          </w:tcPr>
          <w:p w14:paraId="1F8DC046" w14:textId="63EECB69" w:rsidR="00B231EF" w:rsidRPr="00AB3325" w:rsidRDefault="00B231EF" w:rsidP="004E6EB3">
            <w:pPr>
              <w:spacing w:before="80" w:after="80" w:line="228" w:lineRule="auto"/>
              <w:rPr>
                <w:rFonts w:ascii="Perpetua" w:hAnsi="Perpetua"/>
                <w:sz w:val="32"/>
                <w:szCs w:val="28"/>
              </w:rPr>
            </w:pPr>
            <w:r w:rsidRPr="00AB3325">
              <w:rPr>
                <w:rFonts w:ascii="Perpetua" w:hAnsi="Perpetua"/>
                <w:sz w:val="32"/>
                <w:szCs w:val="28"/>
                <w:highlight w:val="yellow"/>
              </w:rPr>
              <w:t xml:space="preserve">Items allocated to other partners will be sourced using information from the partnership as provided </w:t>
            </w:r>
            <w:r w:rsidR="00682287">
              <w:rPr>
                <w:rFonts w:ascii="Perpetua" w:hAnsi="Perpetua"/>
                <w:sz w:val="32"/>
                <w:szCs w:val="28"/>
                <w:highlight w:val="yellow"/>
              </w:rPr>
              <w:t>in</w:t>
            </w:r>
            <w:r w:rsidRPr="00AB3325">
              <w:rPr>
                <w:rFonts w:ascii="Perpetua" w:hAnsi="Perpetua"/>
                <w:sz w:val="32"/>
                <w:szCs w:val="28"/>
                <w:highlight w:val="yellow"/>
              </w:rPr>
              <w:t xml:space="preserve"> Subpart B, unless other provisions of [</w:t>
            </w:r>
            <w:r w:rsidR="00443658">
              <w:rPr>
                <w:rFonts w:ascii="Perpetua" w:hAnsi="Perpetua"/>
                <w:sz w:val="32"/>
                <w:szCs w:val="28"/>
                <w:highlight w:val="yellow"/>
              </w:rPr>
              <w:t>STATE</w:t>
            </w:r>
            <w:r w:rsidRPr="00AB3325">
              <w:rPr>
                <w:rFonts w:ascii="Perpetua" w:hAnsi="Perpetua"/>
                <w:sz w:val="32"/>
                <w:szCs w:val="28"/>
                <w:highlight w:val="yellow"/>
              </w:rPr>
              <w:t>] law provide for different sourcing treatment.</w:t>
            </w:r>
            <w:r w:rsidRPr="00AB3325">
              <w:rPr>
                <w:rFonts w:ascii="Perpetua" w:hAnsi="Perpetua"/>
                <w:sz w:val="32"/>
                <w:szCs w:val="28"/>
              </w:rPr>
              <w:t xml:space="preserve"> </w:t>
            </w:r>
          </w:p>
        </w:tc>
        <w:tc>
          <w:tcPr>
            <w:tcW w:w="5115" w:type="dxa"/>
            <w:tcBorders>
              <w:top w:val="single" w:sz="4" w:space="0" w:color="auto"/>
              <w:left w:val="single" w:sz="4" w:space="0" w:color="auto"/>
              <w:bottom w:val="single" w:sz="4" w:space="0" w:color="auto"/>
              <w:right w:val="single" w:sz="4" w:space="0" w:color="auto"/>
            </w:tcBorders>
          </w:tcPr>
          <w:p w14:paraId="1C15F7F4" w14:textId="643F3654" w:rsidR="00B231EF" w:rsidRPr="00F64E40" w:rsidRDefault="00B231EF" w:rsidP="004E6EB3">
            <w:pPr>
              <w:spacing w:before="80" w:after="80" w:line="276" w:lineRule="auto"/>
              <w:rPr>
                <w:rFonts w:ascii="Tahoma" w:hAnsi="Tahoma" w:cs="Tahoma"/>
                <w:color w:val="3A7C22" w:themeColor="accent6" w:themeShade="BF"/>
                <w:sz w:val="22"/>
                <w:szCs w:val="22"/>
              </w:rPr>
            </w:pPr>
            <w:r w:rsidRPr="00F64E40">
              <w:rPr>
                <w:rFonts w:ascii="Tahoma" w:hAnsi="Tahoma" w:cs="Tahoma"/>
                <w:color w:val="3A7C22" w:themeColor="accent6" w:themeShade="BF"/>
                <w:sz w:val="22"/>
                <w:szCs w:val="22"/>
              </w:rPr>
              <w:t xml:space="preserve">This ties the provisions here to the treatment of partnership income for partners other than tiered-partnerships, other pass-through entities, or corporations. This may include individuals and proprietorships or taxable trusts. States will need to separately provide information on how the partnership income received by these taxpayers, especially proprietorships or trusts otherwise engaged in business, will be treated. </w:t>
            </w:r>
          </w:p>
        </w:tc>
      </w:tr>
      <w:tr w:rsidR="00B231EF" w14:paraId="3216015A" w14:textId="77777777" w:rsidTr="00A22F44">
        <w:tc>
          <w:tcPr>
            <w:tcW w:w="14678" w:type="dxa"/>
            <w:gridSpan w:val="4"/>
          </w:tcPr>
          <w:p w14:paraId="21E6F50E" w14:textId="77777777" w:rsidR="00851E68" w:rsidRDefault="00851E68" w:rsidP="00851E68">
            <w:pPr>
              <w:spacing w:before="80" w:after="80" w:line="276" w:lineRule="auto"/>
              <w:rPr>
                <w:rFonts w:ascii="Perpetua" w:hAnsi="Perpetua"/>
                <w:b/>
                <w:bCs/>
                <w:sz w:val="32"/>
                <w:szCs w:val="28"/>
                <w:u w:val="single"/>
              </w:rPr>
            </w:pPr>
          </w:p>
          <w:p w14:paraId="17FF2408" w14:textId="3666D430" w:rsidR="00B231EF" w:rsidRPr="00AB3325" w:rsidRDefault="00B231EF" w:rsidP="00851E68">
            <w:pPr>
              <w:spacing w:before="80" w:after="80" w:line="276" w:lineRule="auto"/>
              <w:rPr>
                <w:rFonts w:ascii="Perpetua" w:hAnsi="Perpetua" w:cs="Leelawadee"/>
                <w:b/>
                <w:bCs/>
                <w:sz w:val="32"/>
                <w:szCs w:val="28"/>
              </w:rPr>
            </w:pPr>
            <w:r w:rsidRPr="00AB3325">
              <w:rPr>
                <w:rFonts w:ascii="Perpetua" w:hAnsi="Perpetua"/>
                <w:b/>
                <w:bCs/>
                <w:sz w:val="32"/>
                <w:szCs w:val="28"/>
                <w:u w:val="single"/>
              </w:rPr>
              <w:t>Part V.  Application of Federal Tax Requirements, Limitations, and Anti-Abuse Rules</w:t>
            </w:r>
          </w:p>
        </w:tc>
      </w:tr>
      <w:tr w:rsidR="00B231EF" w14:paraId="77D54B32" w14:textId="77777777">
        <w:tc>
          <w:tcPr>
            <w:tcW w:w="535" w:type="dxa"/>
          </w:tcPr>
          <w:p w14:paraId="3661ACFC" w14:textId="77777777" w:rsidR="00B231EF" w:rsidRPr="00AB3325" w:rsidRDefault="00B231EF" w:rsidP="00851E68">
            <w:pPr>
              <w:spacing w:before="80" w:after="80" w:line="228" w:lineRule="auto"/>
              <w:rPr>
                <w:rFonts w:ascii="Perpetua" w:hAnsi="Perpetua" w:cs="Leelawadee"/>
                <w:sz w:val="32"/>
                <w:szCs w:val="28"/>
              </w:rPr>
            </w:pPr>
          </w:p>
        </w:tc>
        <w:tc>
          <w:tcPr>
            <w:tcW w:w="14143" w:type="dxa"/>
            <w:gridSpan w:val="3"/>
          </w:tcPr>
          <w:p w14:paraId="7B8D53D0" w14:textId="5F06602B" w:rsidR="00B231EF" w:rsidRPr="00174E80" w:rsidRDefault="00B231EF" w:rsidP="006A52D3">
            <w:pPr>
              <w:spacing w:before="80" w:after="80"/>
              <w:rPr>
                <w:rFonts w:ascii="Perpetua" w:hAnsi="Perpetua" w:cs="Leelawadee"/>
                <w:b/>
                <w:bCs/>
                <w:i/>
                <w:iCs/>
                <w:sz w:val="30"/>
                <w:szCs w:val="30"/>
              </w:rPr>
            </w:pPr>
            <w:r w:rsidRPr="00174E80">
              <w:rPr>
                <w:rFonts w:ascii="Perpetua" w:hAnsi="Perpetua" w:cs="Leelawadee"/>
                <w:i/>
                <w:iCs/>
                <w:color w:val="0040F6"/>
                <w:sz w:val="32"/>
                <w:szCs w:val="28"/>
              </w:rPr>
              <w:t xml:space="preserve">Drafter’s Note: These provisions should also be considered for adoption in taxing individual partners as well as for tiered and corporate partners. Note that these types of anti-abuse rules as used in the federal tax system are often accompanied by lengthy regulations explaining their application in different circumstances. A few states have also adopted more detailed rules focusing </w:t>
            </w:r>
            <w:r w:rsidR="00FB6FD5" w:rsidRPr="00174E80">
              <w:rPr>
                <w:rFonts w:ascii="Perpetua" w:hAnsi="Perpetua" w:cs="Leelawadee"/>
                <w:i/>
                <w:iCs/>
                <w:color w:val="0040F6"/>
                <w:sz w:val="32"/>
                <w:szCs w:val="28"/>
              </w:rPr>
              <w:t>on</w:t>
            </w:r>
            <w:r w:rsidRPr="00174E80">
              <w:rPr>
                <w:rFonts w:ascii="Perpetua" w:hAnsi="Perpetua" w:cs="Leelawadee"/>
                <w:i/>
                <w:iCs/>
                <w:color w:val="0040F6"/>
                <w:sz w:val="32"/>
                <w:szCs w:val="28"/>
              </w:rPr>
              <w:t xml:space="preserve"> how these anti-abuse provisions apply in the state tax context, especially where state sourcing rules are affected even if federal tax is not. (See the related white paper and sections discussing anti-abuse rules as well as the rules that New York has adopted.)</w:t>
            </w:r>
          </w:p>
        </w:tc>
      </w:tr>
      <w:tr w:rsidR="00B231EF" w14:paraId="2DCC5A7B" w14:textId="77777777" w:rsidTr="001821AF">
        <w:tc>
          <w:tcPr>
            <w:tcW w:w="535" w:type="dxa"/>
          </w:tcPr>
          <w:p w14:paraId="786EA86E" w14:textId="68B58FAE"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lastRenderedPageBreak/>
              <w:t>A.</w:t>
            </w:r>
          </w:p>
        </w:tc>
        <w:tc>
          <w:tcPr>
            <w:tcW w:w="9028" w:type="dxa"/>
            <w:gridSpan w:val="2"/>
          </w:tcPr>
          <w:p w14:paraId="6DB0B5DD" w14:textId="15E064D5"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u w:val="single"/>
              </w:rPr>
              <w:t>Rules Setting Specific Requirements or Limitations</w:t>
            </w:r>
            <w:r w:rsidRPr="00AB3325">
              <w:rPr>
                <w:rFonts w:ascii="Perpetua" w:hAnsi="Perpetua"/>
                <w:sz w:val="32"/>
                <w:szCs w:val="28"/>
              </w:rPr>
              <w:t>: Various federal tax rules apply to determine the proper tax treatment of partnership income under the Internal Revenue Code. See, generally, Subchapter K, and the related federal regulations. To the extent these rules set specific requirements for or limitations on certain treatment of partnership items for federal tax purposes, those requirements or limitations also apply to any directly related state tax effects.</w:t>
            </w:r>
          </w:p>
        </w:tc>
        <w:tc>
          <w:tcPr>
            <w:tcW w:w="5115" w:type="dxa"/>
          </w:tcPr>
          <w:p w14:paraId="6FD3DCD9"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21D84463" w14:textId="77777777" w:rsidTr="001821AF">
        <w:tc>
          <w:tcPr>
            <w:tcW w:w="535" w:type="dxa"/>
          </w:tcPr>
          <w:p w14:paraId="7FB4F984" w14:textId="1D835A1B"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00B7F9E4" w14:textId="215BDF71"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u w:val="single"/>
              </w:rPr>
              <w:t>Rules Based on Economic Effect or Substance</w:t>
            </w:r>
            <w:r w:rsidRPr="00AB3325">
              <w:rPr>
                <w:rFonts w:ascii="Perpetua" w:hAnsi="Perpetua"/>
                <w:sz w:val="32"/>
                <w:szCs w:val="28"/>
              </w:rPr>
              <w:t xml:space="preserve">: Other federal tax rules provide that the results of the federal tax treatment claimed must be consistent with the economic effect or substance of the activities or transactions undertaken or purported to be undertaken. Where the tax results are not consistent with the economic effect or substance, these rules may require modification of the tax treatment. To the extent these rules limit certain treatment of partnership items for federal tax purposes, they also limit any directly related state tax effects. </w:t>
            </w:r>
          </w:p>
          <w:p w14:paraId="2CFA425F" w14:textId="77777777"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 xml:space="preserve">In addition, these rules may also be applied in determining the proper treatment of partnership income where the effect is solely on the state tax result, including the application of sourcing rules under [REFERENCE TO STATE SOURCING RULES]. In applying these federal requirements to the state tax treatment of partnership income, the inquiry will not be limited to the effect on federal taxes or the tax result but will also consider whether the state tax results fairly represent the economic effect or substance of the activities or transactions. </w:t>
            </w:r>
          </w:p>
          <w:p w14:paraId="7D4CE59E" w14:textId="17D1063D"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In particular, the following federal requirements will be applied when determining the proper state tax treatment, including the sourcing of partnership income:</w:t>
            </w:r>
          </w:p>
        </w:tc>
        <w:tc>
          <w:tcPr>
            <w:tcW w:w="5115" w:type="dxa"/>
          </w:tcPr>
          <w:p w14:paraId="69ACB63D" w14:textId="56F49A9D" w:rsidR="00B231EF" w:rsidRPr="002610F7" w:rsidRDefault="00B231EF" w:rsidP="00851E68">
            <w:pPr>
              <w:spacing w:before="80" w:after="80" w:line="276" w:lineRule="auto"/>
              <w:rPr>
                <w:rFonts w:ascii="Tahoma" w:hAnsi="Tahoma" w:cs="Tahoma"/>
                <w:color w:val="7A18FC"/>
                <w:sz w:val="22"/>
                <w:szCs w:val="22"/>
              </w:rPr>
            </w:pPr>
          </w:p>
        </w:tc>
      </w:tr>
      <w:tr w:rsidR="00B231EF" w14:paraId="6EE7A4FA" w14:textId="77777777" w:rsidTr="001821AF">
        <w:tc>
          <w:tcPr>
            <w:tcW w:w="535" w:type="dxa"/>
          </w:tcPr>
          <w:p w14:paraId="609565C7"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5E6E7123" w14:textId="4811A17A"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4DF7307E" w14:textId="7DE0822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 xml:space="preserve">The general federal tax economic substance rule set out in IRC </w:t>
            </w:r>
            <w:r w:rsidR="00E977FD">
              <w:rPr>
                <w:rFonts w:ascii="Perpetua" w:hAnsi="Perpetua"/>
                <w:sz w:val="32"/>
                <w:szCs w:val="28"/>
              </w:rPr>
              <w:br/>
            </w:r>
            <w:r w:rsidRPr="00AB3325">
              <w:rPr>
                <w:rFonts w:ascii="Perpetua" w:hAnsi="Perpetua"/>
                <w:sz w:val="32"/>
                <w:szCs w:val="28"/>
              </w:rPr>
              <w:t>§ 7701(o);</w:t>
            </w:r>
          </w:p>
        </w:tc>
        <w:tc>
          <w:tcPr>
            <w:tcW w:w="5115" w:type="dxa"/>
          </w:tcPr>
          <w:p w14:paraId="32B54367"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71311281" w14:textId="77777777" w:rsidTr="001821AF">
        <w:tc>
          <w:tcPr>
            <w:tcW w:w="535" w:type="dxa"/>
          </w:tcPr>
          <w:p w14:paraId="5DB04FA9"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4FECEBC6" w14:textId="4AA1B668"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4F1DDB8D" w14:textId="613CCF8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general partnership anti-abuse rule set out in IRS Reg. § 1.701-2;</w:t>
            </w:r>
          </w:p>
        </w:tc>
        <w:tc>
          <w:tcPr>
            <w:tcW w:w="5115" w:type="dxa"/>
          </w:tcPr>
          <w:p w14:paraId="1258BC00"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0BB168C3" w14:textId="77777777" w:rsidTr="001821AF">
        <w:tc>
          <w:tcPr>
            <w:tcW w:w="535" w:type="dxa"/>
          </w:tcPr>
          <w:p w14:paraId="5898BEE6"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76E06900" w14:textId="72F5822E"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1A2910F9" w14:textId="23FEFE4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substantial economic effect requirements under IRC § 704(b) and related regulations;</w:t>
            </w:r>
          </w:p>
        </w:tc>
        <w:tc>
          <w:tcPr>
            <w:tcW w:w="5115" w:type="dxa"/>
          </w:tcPr>
          <w:p w14:paraId="38255818"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38778475" w14:textId="77777777" w:rsidTr="001821AF">
        <w:tc>
          <w:tcPr>
            <w:tcW w:w="535" w:type="dxa"/>
          </w:tcPr>
          <w:p w14:paraId="3D139CA7"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346D95CD" w14:textId="679721D3"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4.</w:t>
            </w:r>
          </w:p>
        </w:tc>
        <w:tc>
          <w:tcPr>
            <w:tcW w:w="8425" w:type="dxa"/>
          </w:tcPr>
          <w:p w14:paraId="6B1898DC" w14:textId="521EAD05"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rule for determining the effects of related-party transactions under IRC § 482;</w:t>
            </w:r>
          </w:p>
        </w:tc>
        <w:tc>
          <w:tcPr>
            <w:tcW w:w="5115" w:type="dxa"/>
          </w:tcPr>
          <w:p w14:paraId="7233635B"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429A8935" w14:textId="77777777" w:rsidTr="001821AF">
        <w:tc>
          <w:tcPr>
            <w:tcW w:w="535" w:type="dxa"/>
          </w:tcPr>
          <w:p w14:paraId="44F94275" w14:textId="77777777" w:rsidR="00B231EF" w:rsidRPr="00AB3325" w:rsidRDefault="00B231EF" w:rsidP="00851E68">
            <w:pPr>
              <w:spacing w:before="80" w:after="80" w:line="228" w:lineRule="auto"/>
              <w:rPr>
                <w:rFonts w:ascii="Perpetua" w:hAnsi="Perpetua" w:cs="Leelawadee"/>
                <w:sz w:val="32"/>
                <w:szCs w:val="28"/>
              </w:rPr>
            </w:pPr>
          </w:p>
        </w:tc>
        <w:tc>
          <w:tcPr>
            <w:tcW w:w="603" w:type="dxa"/>
          </w:tcPr>
          <w:p w14:paraId="29776E8D" w14:textId="46B445AE"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5.</w:t>
            </w:r>
          </w:p>
        </w:tc>
        <w:tc>
          <w:tcPr>
            <w:tcW w:w="8425" w:type="dxa"/>
          </w:tcPr>
          <w:p w14:paraId="65D8EE36" w14:textId="6C9AB4E9"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consistency requirement of IRC § 6222.</w:t>
            </w:r>
          </w:p>
        </w:tc>
        <w:tc>
          <w:tcPr>
            <w:tcW w:w="5115" w:type="dxa"/>
          </w:tcPr>
          <w:p w14:paraId="439EEA97"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23959AEF" w14:textId="77777777" w:rsidTr="001821AF">
        <w:tc>
          <w:tcPr>
            <w:tcW w:w="535" w:type="dxa"/>
          </w:tcPr>
          <w:p w14:paraId="1D3D2F6D" w14:textId="38BD2986"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9028" w:type="dxa"/>
            <w:gridSpan w:val="2"/>
          </w:tcPr>
          <w:p w14:paraId="76E5489B" w14:textId="522EDC54"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In the case of mandatory allocations of built-in gains (losses) to the contributing partner as required under Subchapter K, the source of those gains (losses) will be determined under the rules of Part V of this Section unless there is evidence that the property was contributed by the partner to the partnership in order to shift the sourcing of that gain (loss).</w:t>
            </w:r>
          </w:p>
        </w:tc>
        <w:tc>
          <w:tcPr>
            <w:tcW w:w="5115" w:type="dxa"/>
          </w:tcPr>
          <w:p w14:paraId="2C8C75F2" w14:textId="77777777" w:rsidR="00B231EF" w:rsidRPr="002610F7" w:rsidRDefault="00B231EF" w:rsidP="00851E68">
            <w:pPr>
              <w:spacing w:before="80" w:after="80" w:line="276" w:lineRule="auto"/>
              <w:rPr>
                <w:rFonts w:ascii="Tahoma" w:hAnsi="Tahoma" w:cs="Tahoma"/>
                <w:color w:val="7A18FC"/>
                <w:sz w:val="22"/>
                <w:szCs w:val="22"/>
              </w:rPr>
            </w:pPr>
          </w:p>
        </w:tc>
      </w:tr>
      <w:tr w:rsidR="00B231EF" w14:paraId="7814C1FC" w14:textId="77777777" w:rsidTr="00A22F44">
        <w:tc>
          <w:tcPr>
            <w:tcW w:w="14678" w:type="dxa"/>
            <w:gridSpan w:val="4"/>
          </w:tcPr>
          <w:p w14:paraId="6A92C479" w14:textId="77777777" w:rsidR="007554AB" w:rsidRDefault="007554AB" w:rsidP="00851E68">
            <w:pPr>
              <w:spacing w:before="80" w:after="80" w:line="276" w:lineRule="auto"/>
              <w:rPr>
                <w:rFonts w:ascii="Perpetua" w:hAnsi="Perpetua"/>
                <w:b/>
                <w:bCs/>
                <w:sz w:val="32"/>
                <w:szCs w:val="28"/>
                <w:u w:val="single"/>
              </w:rPr>
            </w:pPr>
          </w:p>
          <w:p w14:paraId="60249FD6" w14:textId="55E919E2" w:rsidR="00B231EF" w:rsidRPr="00AB3325" w:rsidRDefault="00B231EF" w:rsidP="00851E68">
            <w:pPr>
              <w:spacing w:before="80" w:after="80" w:line="276" w:lineRule="auto"/>
              <w:rPr>
                <w:rFonts w:ascii="Perpetua" w:hAnsi="Perpetua" w:cs="Leelawadee"/>
                <w:b/>
                <w:bCs/>
                <w:sz w:val="32"/>
                <w:szCs w:val="28"/>
              </w:rPr>
            </w:pPr>
            <w:r w:rsidRPr="00AB3325">
              <w:rPr>
                <w:rFonts w:ascii="Perpetua" w:hAnsi="Perpetua"/>
                <w:b/>
                <w:bCs/>
                <w:sz w:val="32"/>
                <w:szCs w:val="28"/>
                <w:u w:val="single"/>
              </w:rPr>
              <w:t>Part VI. Sufficient Unitary Relationship</w:t>
            </w:r>
          </w:p>
        </w:tc>
      </w:tr>
      <w:tr w:rsidR="00B231EF" w14:paraId="78C476E6" w14:textId="77777777">
        <w:tc>
          <w:tcPr>
            <w:tcW w:w="535" w:type="dxa"/>
          </w:tcPr>
          <w:p w14:paraId="7644B0B1" w14:textId="77777777" w:rsidR="00B231EF" w:rsidRDefault="00B231EF" w:rsidP="00851E68">
            <w:pPr>
              <w:spacing w:before="80" w:after="80" w:line="228" w:lineRule="auto"/>
              <w:rPr>
                <w:rFonts w:ascii="Perpetua" w:hAnsi="Perpetua" w:cs="Leelawadee"/>
                <w:sz w:val="28"/>
              </w:rPr>
            </w:pPr>
          </w:p>
        </w:tc>
        <w:tc>
          <w:tcPr>
            <w:tcW w:w="14143" w:type="dxa"/>
            <w:gridSpan w:val="3"/>
          </w:tcPr>
          <w:p w14:paraId="034C1E78" w14:textId="58D5BD0E" w:rsidR="00B231EF" w:rsidRPr="00174E80" w:rsidRDefault="00B231EF" w:rsidP="006A52D3">
            <w:pPr>
              <w:spacing w:before="80" w:after="80" w:line="228" w:lineRule="auto"/>
              <w:rPr>
                <w:rFonts w:ascii="Perpetua" w:hAnsi="Perpetua"/>
                <w:i/>
                <w:iCs/>
                <w:color w:val="0040F6"/>
                <w:sz w:val="32"/>
                <w:szCs w:val="28"/>
              </w:rPr>
            </w:pPr>
            <w:r w:rsidRPr="00174E80">
              <w:rPr>
                <w:rFonts w:ascii="Perpetua" w:hAnsi="Perpetua"/>
                <w:i/>
                <w:iCs/>
                <w:color w:val="0040F6"/>
                <w:sz w:val="32"/>
                <w:szCs w:val="28"/>
              </w:rPr>
              <w:t xml:space="preserve">[Drafter’s Note: The “unitary business” principle is a concept created by the U.S. Supreme Court to limit </w:t>
            </w:r>
            <w:r w:rsidR="00060C43" w:rsidRPr="00174E80">
              <w:rPr>
                <w:rFonts w:ascii="Perpetua" w:hAnsi="Perpetua"/>
                <w:i/>
                <w:iCs/>
                <w:color w:val="0040F6"/>
                <w:sz w:val="32"/>
                <w:szCs w:val="28"/>
              </w:rPr>
              <w:t>how</w:t>
            </w:r>
            <w:r w:rsidRPr="00174E80">
              <w:rPr>
                <w:rFonts w:ascii="Perpetua" w:hAnsi="Perpetua"/>
                <w:i/>
                <w:iCs/>
                <w:color w:val="0040F6"/>
                <w:sz w:val="32"/>
                <w:szCs w:val="28"/>
              </w:rPr>
              <w:t xml:space="preserve"> states may assert the power to tax a portion of multistate income—in particular where formulary apportionment is used to apportion net income. Since its creation, the Court has applied this principle in less than 30 cases, all of which involve taxable entities or businesses (generally corporations). </w:t>
            </w:r>
            <w:r w:rsidR="00587AB7">
              <w:rPr>
                <w:rFonts w:ascii="Perpetua" w:hAnsi="Perpetua"/>
                <w:i/>
                <w:iCs/>
                <w:color w:val="0040F6"/>
                <w:sz w:val="32"/>
                <w:szCs w:val="28"/>
              </w:rPr>
              <w:t>To date, t</w:t>
            </w:r>
            <w:r w:rsidR="00CC6D22">
              <w:rPr>
                <w:rFonts w:ascii="Perpetua" w:hAnsi="Perpetua"/>
                <w:i/>
                <w:iCs/>
                <w:color w:val="0040F6"/>
                <w:sz w:val="32"/>
                <w:szCs w:val="28"/>
              </w:rPr>
              <w:t>he</w:t>
            </w:r>
            <w:r w:rsidRPr="00174E80">
              <w:rPr>
                <w:rFonts w:ascii="Perpetua" w:hAnsi="Perpetua"/>
                <w:i/>
                <w:iCs/>
                <w:color w:val="0040F6"/>
                <w:sz w:val="32"/>
                <w:szCs w:val="28"/>
              </w:rPr>
              <w:t xml:space="preserve"> Supreme Court </w:t>
            </w:r>
            <w:r w:rsidR="00CC6D22">
              <w:rPr>
                <w:rFonts w:ascii="Perpetua" w:hAnsi="Perpetua"/>
                <w:i/>
                <w:iCs/>
                <w:color w:val="0040F6"/>
                <w:sz w:val="32"/>
                <w:szCs w:val="28"/>
              </w:rPr>
              <w:t xml:space="preserve">has never </w:t>
            </w:r>
            <w:r w:rsidRPr="00174E80">
              <w:rPr>
                <w:rFonts w:ascii="Perpetua" w:hAnsi="Perpetua"/>
                <w:i/>
                <w:iCs/>
                <w:color w:val="0040F6"/>
                <w:sz w:val="32"/>
                <w:szCs w:val="28"/>
              </w:rPr>
              <w:t xml:space="preserve">applied the principle in the context of partnership taxation under the pass-through system where the income of the partnership is attributed to </w:t>
            </w:r>
            <w:r w:rsidR="00011CDA">
              <w:rPr>
                <w:rFonts w:ascii="Perpetua" w:hAnsi="Perpetua"/>
                <w:i/>
                <w:iCs/>
                <w:color w:val="0040F6"/>
                <w:sz w:val="32"/>
                <w:szCs w:val="28"/>
              </w:rPr>
              <w:t>its</w:t>
            </w:r>
            <w:r w:rsidR="00011CDA" w:rsidRPr="00174E80">
              <w:rPr>
                <w:rFonts w:ascii="Perpetua" w:hAnsi="Perpetua"/>
                <w:i/>
                <w:iCs/>
                <w:color w:val="0040F6"/>
                <w:sz w:val="32"/>
                <w:szCs w:val="28"/>
              </w:rPr>
              <w:t xml:space="preserve"> </w:t>
            </w:r>
            <w:r w:rsidRPr="00174E80">
              <w:rPr>
                <w:rFonts w:ascii="Perpetua" w:hAnsi="Perpetua"/>
                <w:i/>
                <w:iCs/>
                <w:color w:val="0040F6"/>
                <w:sz w:val="32"/>
                <w:szCs w:val="28"/>
              </w:rPr>
              <w:t xml:space="preserve">partners. </w:t>
            </w:r>
          </w:p>
          <w:p w14:paraId="1A399A64" w14:textId="41148AD6" w:rsidR="00B231EF" w:rsidRPr="00174E80" w:rsidRDefault="00B231EF" w:rsidP="006A52D3">
            <w:pPr>
              <w:spacing w:before="80" w:after="80" w:line="228" w:lineRule="auto"/>
              <w:rPr>
                <w:rFonts w:ascii="Perpetua" w:hAnsi="Perpetua"/>
                <w:i/>
                <w:iCs/>
                <w:color w:val="0040F6"/>
                <w:sz w:val="32"/>
                <w:szCs w:val="28"/>
              </w:rPr>
            </w:pPr>
            <w:r w:rsidRPr="00174E80">
              <w:rPr>
                <w:rFonts w:ascii="Perpetua" w:hAnsi="Perpetua"/>
                <w:i/>
                <w:iCs/>
                <w:color w:val="0040F6"/>
                <w:sz w:val="32"/>
                <w:szCs w:val="28"/>
              </w:rPr>
              <w:t xml:space="preserve">Because the unitary business principle is a judicial creation, states have limited authority to issue binding regulations—and </w:t>
            </w:r>
            <w:r w:rsidR="00011CDA">
              <w:rPr>
                <w:rFonts w:ascii="Perpetua" w:hAnsi="Perpetua"/>
                <w:i/>
                <w:iCs/>
                <w:color w:val="0040F6"/>
                <w:sz w:val="32"/>
                <w:szCs w:val="28"/>
              </w:rPr>
              <w:t>its</w:t>
            </w:r>
            <w:r w:rsidR="00011CDA" w:rsidRPr="00174E80">
              <w:rPr>
                <w:rFonts w:ascii="Perpetua" w:hAnsi="Perpetua"/>
                <w:i/>
                <w:iCs/>
                <w:color w:val="0040F6"/>
                <w:sz w:val="32"/>
                <w:szCs w:val="28"/>
              </w:rPr>
              <w:t xml:space="preserve"> </w:t>
            </w:r>
            <w:r w:rsidRPr="00174E80">
              <w:rPr>
                <w:rFonts w:ascii="Perpetua" w:hAnsi="Perpetua"/>
                <w:i/>
                <w:iCs/>
                <w:color w:val="0040F6"/>
                <w:sz w:val="32"/>
                <w:szCs w:val="28"/>
              </w:rPr>
              <w:t xml:space="preserve">application may be dependent upon specific facts and circumstances. As a result, states may have less in the way of specific statutory or regulatory provisions addressing the application of the principle than they would for other tax provisions, relying instead on litigation to address uncertain cases. </w:t>
            </w:r>
          </w:p>
          <w:p w14:paraId="2EE4BC08" w14:textId="2050E804" w:rsidR="00B231EF" w:rsidRPr="00174E80" w:rsidRDefault="00B231EF" w:rsidP="006A52D3">
            <w:pPr>
              <w:spacing w:before="80" w:after="80" w:line="228" w:lineRule="auto"/>
              <w:rPr>
                <w:rFonts w:ascii="Perpetua" w:hAnsi="Perpetua"/>
                <w:i/>
                <w:iCs/>
                <w:color w:val="0040F6"/>
                <w:sz w:val="32"/>
                <w:szCs w:val="28"/>
              </w:rPr>
            </w:pPr>
            <w:r w:rsidRPr="00174E80">
              <w:rPr>
                <w:rFonts w:ascii="Perpetua" w:hAnsi="Perpetua"/>
                <w:i/>
                <w:iCs/>
                <w:color w:val="0040F6"/>
                <w:sz w:val="32"/>
                <w:szCs w:val="28"/>
              </w:rPr>
              <w:t>Nevertheless, it appears that there may be circumstances in which the application of apportionment to partnership income will require taking into account the activities and factors of partnerships and their partners in order to achieve fair apportionment. And since partnership structures are very flexible and can change</w:t>
            </w:r>
            <w:r w:rsidR="0093391D">
              <w:rPr>
                <w:rFonts w:ascii="Perpetua" w:hAnsi="Perpetua"/>
                <w:i/>
                <w:iCs/>
                <w:color w:val="0040F6"/>
                <w:sz w:val="32"/>
                <w:szCs w:val="28"/>
              </w:rPr>
              <w:t xml:space="preserve"> from year to year</w:t>
            </w:r>
            <w:r w:rsidRPr="00174E80">
              <w:rPr>
                <w:rFonts w:ascii="Perpetua" w:hAnsi="Perpetua"/>
                <w:i/>
                <w:iCs/>
                <w:color w:val="0040F6"/>
                <w:sz w:val="32"/>
                <w:szCs w:val="28"/>
              </w:rPr>
              <w:t xml:space="preserve">, states that look only to the activities of a </w:t>
            </w:r>
            <w:r w:rsidR="002C2834">
              <w:rPr>
                <w:rFonts w:ascii="Perpetua" w:hAnsi="Perpetua"/>
                <w:i/>
                <w:iCs/>
                <w:color w:val="0040F6"/>
                <w:sz w:val="32"/>
                <w:szCs w:val="28"/>
              </w:rPr>
              <w:t>single</w:t>
            </w:r>
            <w:r w:rsidR="002C2834" w:rsidRPr="00174E80">
              <w:rPr>
                <w:rFonts w:ascii="Perpetua" w:hAnsi="Perpetua"/>
                <w:i/>
                <w:iCs/>
                <w:color w:val="0040F6"/>
                <w:sz w:val="32"/>
                <w:szCs w:val="28"/>
              </w:rPr>
              <w:t xml:space="preserve"> </w:t>
            </w:r>
            <w:r w:rsidRPr="00174E80">
              <w:rPr>
                <w:rFonts w:ascii="Perpetua" w:hAnsi="Perpetua"/>
                <w:i/>
                <w:iCs/>
                <w:color w:val="0040F6"/>
                <w:sz w:val="32"/>
                <w:szCs w:val="28"/>
              </w:rPr>
              <w:t xml:space="preserve">entity may </w:t>
            </w:r>
            <w:r w:rsidR="005E6A05">
              <w:rPr>
                <w:rFonts w:ascii="Perpetua" w:hAnsi="Perpetua"/>
                <w:i/>
                <w:iCs/>
                <w:color w:val="0040F6"/>
                <w:sz w:val="32"/>
                <w:szCs w:val="28"/>
              </w:rPr>
              <w:t xml:space="preserve">find that the sourcing of income can be easily </w:t>
            </w:r>
            <w:r w:rsidR="000F04E7">
              <w:rPr>
                <w:rFonts w:ascii="Perpetua" w:hAnsi="Perpetua"/>
                <w:i/>
                <w:iCs/>
                <w:color w:val="0040F6"/>
                <w:sz w:val="32"/>
                <w:szCs w:val="28"/>
              </w:rPr>
              <w:t xml:space="preserve">shifted. </w:t>
            </w:r>
          </w:p>
          <w:p w14:paraId="2EEA978B" w14:textId="5CA2C0B4" w:rsidR="00B231EF" w:rsidRPr="00174E80" w:rsidRDefault="00B231EF" w:rsidP="006A52D3">
            <w:pPr>
              <w:spacing w:before="80" w:after="80" w:line="228" w:lineRule="auto"/>
              <w:rPr>
                <w:rFonts w:ascii="Perpetua" w:hAnsi="Perpetua" w:cs="Leelawadee"/>
                <w:b/>
                <w:bCs/>
                <w:i/>
                <w:iCs/>
                <w:sz w:val="30"/>
                <w:szCs w:val="30"/>
              </w:rPr>
            </w:pPr>
            <w:r w:rsidRPr="00174E80">
              <w:rPr>
                <w:rFonts w:ascii="Perpetua" w:hAnsi="Perpetua"/>
                <w:i/>
                <w:iCs/>
                <w:color w:val="0040F6"/>
                <w:sz w:val="32"/>
                <w:szCs w:val="28"/>
              </w:rPr>
              <w:lastRenderedPageBreak/>
              <w:t>To address this, states can provide for “blended apportionment” as provided in Part IV.(C) and (D) above. In order to do</w:t>
            </w:r>
            <w:r w:rsidR="00E977FD" w:rsidRPr="00174E80">
              <w:rPr>
                <w:rFonts w:ascii="Perpetua" w:hAnsi="Perpetua"/>
                <w:i/>
                <w:iCs/>
                <w:color w:val="0040F6"/>
                <w:sz w:val="32"/>
                <w:szCs w:val="28"/>
              </w:rPr>
              <w:t xml:space="preserve"> </w:t>
            </w:r>
            <w:r w:rsidRPr="00174E80">
              <w:rPr>
                <w:rFonts w:ascii="Perpetua" w:hAnsi="Perpetua"/>
                <w:i/>
                <w:iCs/>
                <w:color w:val="0040F6"/>
                <w:sz w:val="32"/>
                <w:szCs w:val="28"/>
              </w:rPr>
              <w:t>this, states will have to consider the application of the unitary business principle in this context. States may also want to consider other limitations on the use of blended apportionment, such as limits related to the amount of a partner’s distributive share.]</w:t>
            </w:r>
          </w:p>
        </w:tc>
      </w:tr>
      <w:tr w:rsidR="00B231EF" w14:paraId="5F69BF05" w14:textId="77777777" w:rsidTr="001821AF">
        <w:tc>
          <w:tcPr>
            <w:tcW w:w="9563" w:type="dxa"/>
            <w:gridSpan w:val="3"/>
          </w:tcPr>
          <w:p w14:paraId="4F0165C2" w14:textId="73CC97C1"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lastRenderedPageBreak/>
              <w:t>The term “sufficient unitary relationship” as used in this section refers to the necessary relationship between items of income and the apportionment factors used to source that income, especially in the pass-through tax system used to impose tax on partners for their shares of partnership income. The term takes into account all the facts and circumstances relevant to the sourcing treatment of particular items of income including:</w:t>
            </w:r>
          </w:p>
        </w:tc>
        <w:tc>
          <w:tcPr>
            <w:tcW w:w="5115" w:type="dxa"/>
          </w:tcPr>
          <w:p w14:paraId="1E668E31"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31D5C786" w14:textId="77777777" w:rsidTr="001821AF">
        <w:tc>
          <w:tcPr>
            <w:tcW w:w="535" w:type="dxa"/>
          </w:tcPr>
          <w:p w14:paraId="021D7FCD" w14:textId="270E4A76" w:rsidR="00B231EF" w:rsidRPr="008F2CF7" w:rsidRDefault="00B231EF" w:rsidP="00851E68">
            <w:pPr>
              <w:spacing w:before="80" w:after="80" w:line="228" w:lineRule="auto"/>
              <w:rPr>
                <w:rFonts w:ascii="Perpetua" w:hAnsi="Perpetua" w:cs="Leelawadee"/>
                <w:sz w:val="28"/>
              </w:rPr>
            </w:pPr>
            <w:r>
              <w:rPr>
                <w:rFonts w:ascii="Perpetua" w:hAnsi="Perpetua" w:cs="Leelawadee"/>
                <w:sz w:val="28"/>
              </w:rPr>
              <w:t>A.</w:t>
            </w:r>
          </w:p>
        </w:tc>
        <w:tc>
          <w:tcPr>
            <w:tcW w:w="9028" w:type="dxa"/>
            <w:gridSpan w:val="2"/>
          </w:tcPr>
          <w:p w14:paraId="19B9D500" w14:textId="31ED8D4A"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relationship between the partnership that recognizes the income or items and the partners, including tiered partners, or other entities that are engaged in the related business activities generating other income or items, including:</w:t>
            </w:r>
          </w:p>
        </w:tc>
        <w:tc>
          <w:tcPr>
            <w:tcW w:w="5115" w:type="dxa"/>
          </w:tcPr>
          <w:p w14:paraId="257C6FB2"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6151981C" w14:textId="77777777" w:rsidTr="001821AF">
        <w:tc>
          <w:tcPr>
            <w:tcW w:w="535" w:type="dxa"/>
          </w:tcPr>
          <w:p w14:paraId="364B40FA" w14:textId="77777777" w:rsidR="00B231EF" w:rsidRPr="008F2CF7" w:rsidRDefault="00B231EF" w:rsidP="00851E68">
            <w:pPr>
              <w:spacing w:before="80" w:after="80" w:line="228" w:lineRule="auto"/>
              <w:rPr>
                <w:rFonts w:ascii="Perpetua" w:hAnsi="Perpetua" w:cs="Leelawadee"/>
                <w:sz w:val="28"/>
              </w:rPr>
            </w:pPr>
          </w:p>
        </w:tc>
        <w:tc>
          <w:tcPr>
            <w:tcW w:w="603" w:type="dxa"/>
          </w:tcPr>
          <w:p w14:paraId="00088DD1" w14:textId="5D910DC9"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1.</w:t>
            </w:r>
          </w:p>
        </w:tc>
        <w:tc>
          <w:tcPr>
            <w:tcW w:w="8425" w:type="dxa"/>
          </w:tcPr>
          <w:p w14:paraId="633539FB" w14:textId="1C600503"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of actual common control, direct or indirect, held or exercised over the business activities, regardless of the share of partnership capital held;</w:t>
            </w:r>
          </w:p>
        </w:tc>
        <w:tc>
          <w:tcPr>
            <w:tcW w:w="5115" w:type="dxa"/>
          </w:tcPr>
          <w:p w14:paraId="31533CD5"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28A051A9" w14:textId="77777777" w:rsidTr="001821AF">
        <w:tc>
          <w:tcPr>
            <w:tcW w:w="535" w:type="dxa"/>
          </w:tcPr>
          <w:p w14:paraId="4057A4CC" w14:textId="77777777" w:rsidR="00B231EF" w:rsidRPr="008F2CF7" w:rsidRDefault="00B231EF" w:rsidP="00851E68">
            <w:pPr>
              <w:spacing w:before="80" w:after="80" w:line="228" w:lineRule="auto"/>
              <w:rPr>
                <w:rFonts w:ascii="Perpetua" w:hAnsi="Perpetua" w:cs="Leelawadee"/>
                <w:sz w:val="28"/>
              </w:rPr>
            </w:pPr>
          </w:p>
        </w:tc>
        <w:tc>
          <w:tcPr>
            <w:tcW w:w="603" w:type="dxa"/>
          </w:tcPr>
          <w:p w14:paraId="7D59EDD0" w14:textId="1BD0EE31"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2.</w:t>
            </w:r>
          </w:p>
        </w:tc>
        <w:tc>
          <w:tcPr>
            <w:tcW w:w="8425" w:type="dxa"/>
          </w:tcPr>
          <w:p w14:paraId="7E053E3E" w14:textId="3D058A19"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to which related activities are integrated or coordinated;</w:t>
            </w:r>
          </w:p>
        </w:tc>
        <w:tc>
          <w:tcPr>
            <w:tcW w:w="5115" w:type="dxa"/>
          </w:tcPr>
          <w:p w14:paraId="540A425A"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45D595E9" w14:textId="77777777" w:rsidTr="001821AF">
        <w:tc>
          <w:tcPr>
            <w:tcW w:w="535" w:type="dxa"/>
          </w:tcPr>
          <w:p w14:paraId="1E4E77F2" w14:textId="77777777" w:rsidR="00B231EF" w:rsidRPr="008F2CF7" w:rsidRDefault="00B231EF" w:rsidP="00851E68">
            <w:pPr>
              <w:spacing w:before="80" w:after="80" w:line="228" w:lineRule="auto"/>
              <w:rPr>
                <w:rFonts w:ascii="Perpetua" w:hAnsi="Perpetua" w:cs="Leelawadee"/>
                <w:sz w:val="28"/>
              </w:rPr>
            </w:pPr>
          </w:p>
        </w:tc>
        <w:tc>
          <w:tcPr>
            <w:tcW w:w="603" w:type="dxa"/>
          </w:tcPr>
          <w:p w14:paraId="435C317E" w14:textId="13CAF214"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3.</w:t>
            </w:r>
          </w:p>
        </w:tc>
        <w:tc>
          <w:tcPr>
            <w:tcW w:w="8425" w:type="dxa"/>
          </w:tcPr>
          <w:p w14:paraId="42E3798D" w14:textId="1AB858D9"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to which resources and costs are shared; and</w:t>
            </w:r>
          </w:p>
        </w:tc>
        <w:tc>
          <w:tcPr>
            <w:tcW w:w="5115" w:type="dxa"/>
          </w:tcPr>
          <w:p w14:paraId="3F30951F"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709FD1B3" w14:textId="77777777" w:rsidTr="001821AF">
        <w:tc>
          <w:tcPr>
            <w:tcW w:w="535" w:type="dxa"/>
          </w:tcPr>
          <w:p w14:paraId="1240B5C8" w14:textId="77777777" w:rsidR="00B231EF" w:rsidRPr="008F2CF7" w:rsidRDefault="00B231EF" w:rsidP="00851E68">
            <w:pPr>
              <w:spacing w:before="80" w:after="80" w:line="228" w:lineRule="auto"/>
              <w:rPr>
                <w:rFonts w:ascii="Perpetua" w:hAnsi="Perpetua" w:cs="Leelawadee"/>
                <w:sz w:val="28"/>
              </w:rPr>
            </w:pPr>
          </w:p>
        </w:tc>
        <w:tc>
          <w:tcPr>
            <w:tcW w:w="603" w:type="dxa"/>
          </w:tcPr>
          <w:p w14:paraId="578A77FF" w14:textId="4EE4EB67"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 xml:space="preserve">4. </w:t>
            </w:r>
          </w:p>
        </w:tc>
        <w:tc>
          <w:tcPr>
            <w:tcW w:w="8425" w:type="dxa"/>
          </w:tcPr>
          <w:p w14:paraId="762A5045" w14:textId="19A60F26"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of transactions or flows of value between the entities.</w:t>
            </w:r>
          </w:p>
        </w:tc>
        <w:tc>
          <w:tcPr>
            <w:tcW w:w="5115" w:type="dxa"/>
          </w:tcPr>
          <w:p w14:paraId="1A635AD1"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207B63A9" w14:textId="77777777" w:rsidTr="001821AF">
        <w:tc>
          <w:tcPr>
            <w:tcW w:w="535" w:type="dxa"/>
          </w:tcPr>
          <w:p w14:paraId="2E410834" w14:textId="06312505"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B.</w:t>
            </w:r>
          </w:p>
        </w:tc>
        <w:tc>
          <w:tcPr>
            <w:tcW w:w="9028" w:type="dxa"/>
            <w:gridSpan w:val="2"/>
          </w:tcPr>
          <w:p w14:paraId="4C7C44AD" w14:textId="619782E2"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extent of common use by the partnership and partners, including tiered partners, of assets held by the partnership or partners.</w:t>
            </w:r>
          </w:p>
        </w:tc>
        <w:tc>
          <w:tcPr>
            <w:tcW w:w="5115" w:type="dxa"/>
          </w:tcPr>
          <w:p w14:paraId="425DB87D" w14:textId="77777777" w:rsidR="00B231EF" w:rsidRPr="002610F7" w:rsidRDefault="00B231EF" w:rsidP="00851E68">
            <w:pPr>
              <w:spacing w:before="80" w:after="80" w:line="276" w:lineRule="auto"/>
              <w:rPr>
                <w:rFonts w:ascii="Tahoma" w:hAnsi="Tahoma" w:cs="Tahoma"/>
                <w:b/>
                <w:bCs/>
                <w:color w:val="7A18FC"/>
                <w:sz w:val="22"/>
                <w:szCs w:val="22"/>
              </w:rPr>
            </w:pPr>
          </w:p>
        </w:tc>
      </w:tr>
      <w:tr w:rsidR="00B231EF" w14:paraId="2F5C5DBC" w14:textId="77777777" w:rsidTr="001821AF">
        <w:tc>
          <w:tcPr>
            <w:tcW w:w="535" w:type="dxa"/>
          </w:tcPr>
          <w:p w14:paraId="727CAAA5" w14:textId="68476269" w:rsidR="00B231EF" w:rsidRPr="00AB3325" w:rsidRDefault="00B231EF" w:rsidP="00851E68">
            <w:pPr>
              <w:spacing w:before="80" w:after="80" w:line="228" w:lineRule="auto"/>
              <w:rPr>
                <w:rFonts w:ascii="Perpetua" w:hAnsi="Perpetua" w:cs="Leelawadee"/>
                <w:sz w:val="32"/>
                <w:szCs w:val="28"/>
              </w:rPr>
            </w:pPr>
            <w:r w:rsidRPr="00AB3325">
              <w:rPr>
                <w:rFonts w:ascii="Perpetua" w:hAnsi="Perpetua" w:cs="Leelawadee"/>
                <w:sz w:val="32"/>
                <w:szCs w:val="28"/>
              </w:rPr>
              <w:t>C.</w:t>
            </w:r>
          </w:p>
        </w:tc>
        <w:tc>
          <w:tcPr>
            <w:tcW w:w="9028" w:type="dxa"/>
            <w:gridSpan w:val="2"/>
          </w:tcPr>
          <w:p w14:paraId="539B76A3" w14:textId="6CDB19E1" w:rsidR="00B231EF" w:rsidRPr="00AB3325" w:rsidRDefault="00B231EF" w:rsidP="00851E68">
            <w:pPr>
              <w:spacing w:before="80" w:after="80" w:line="228" w:lineRule="auto"/>
              <w:rPr>
                <w:rFonts w:ascii="Perpetua" w:hAnsi="Perpetua"/>
                <w:sz w:val="32"/>
                <w:szCs w:val="28"/>
              </w:rPr>
            </w:pPr>
            <w:r w:rsidRPr="00AB3325">
              <w:rPr>
                <w:rFonts w:ascii="Perpetua" w:hAnsi="Perpetua"/>
                <w:sz w:val="32"/>
                <w:szCs w:val="28"/>
              </w:rPr>
              <w:t>The nature of common use by the partnership and partners, including tiered partners, of assets held by the partnership or partners.</w:t>
            </w:r>
          </w:p>
        </w:tc>
        <w:tc>
          <w:tcPr>
            <w:tcW w:w="5115" w:type="dxa"/>
          </w:tcPr>
          <w:p w14:paraId="7748651F" w14:textId="77777777" w:rsidR="00B231EF" w:rsidRPr="002610F7" w:rsidRDefault="00B231EF" w:rsidP="00851E68">
            <w:pPr>
              <w:spacing w:before="80" w:after="80" w:line="276" w:lineRule="auto"/>
              <w:rPr>
                <w:rFonts w:ascii="Tahoma" w:hAnsi="Tahoma" w:cs="Tahoma"/>
                <w:b/>
                <w:bCs/>
                <w:color w:val="7A18FC"/>
                <w:sz w:val="22"/>
                <w:szCs w:val="22"/>
              </w:rPr>
            </w:pPr>
          </w:p>
        </w:tc>
      </w:tr>
    </w:tbl>
    <w:p w14:paraId="7019E809" w14:textId="77777777" w:rsidR="00E14CBB" w:rsidRPr="00E14CBB" w:rsidRDefault="00E14CBB" w:rsidP="001821AF">
      <w:pPr>
        <w:spacing w:before="120" w:after="120" w:line="228" w:lineRule="auto"/>
        <w:rPr>
          <w:rFonts w:ascii="Perpetua" w:hAnsi="Perpetua"/>
          <w:b/>
          <w:bCs/>
          <w:sz w:val="28"/>
        </w:rPr>
      </w:pPr>
    </w:p>
    <w:p w14:paraId="2CE78D8B" w14:textId="77777777" w:rsidR="00E14CBB" w:rsidRPr="00E14CBB" w:rsidRDefault="00E14CBB" w:rsidP="001821AF">
      <w:pPr>
        <w:spacing w:before="120" w:after="120" w:line="228" w:lineRule="auto"/>
        <w:jc w:val="center"/>
        <w:rPr>
          <w:rFonts w:ascii="Perpetua" w:hAnsi="Perpetua"/>
          <w:b/>
          <w:bCs/>
          <w:sz w:val="32"/>
          <w:szCs w:val="28"/>
        </w:rPr>
      </w:pPr>
    </w:p>
    <w:p w14:paraId="4A2DD31B" w14:textId="77777777" w:rsidR="00E14CBB" w:rsidRPr="00E14CBB" w:rsidRDefault="00E14CBB" w:rsidP="001821AF">
      <w:pPr>
        <w:rPr>
          <w:rFonts w:ascii="Perpetua" w:hAnsi="Perpetua"/>
          <w:b/>
          <w:bCs/>
          <w:sz w:val="32"/>
          <w:szCs w:val="28"/>
        </w:rPr>
      </w:pPr>
      <w:r w:rsidRPr="00E14CBB">
        <w:rPr>
          <w:rFonts w:ascii="Perpetua" w:hAnsi="Perpetua"/>
          <w:b/>
          <w:bCs/>
          <w:sz w:val="32"/>
          <w:szCs w:val="28"/>
        </w:rP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35"/>
        <w:gridCol w:w="1530"/>
        <w:gridCol w:w="7380"/>
        <w:gridCol w:w="2880"/>
        <w:gridCol w:w="2353"/>
      </w:tblGrid>
      <w:tr w:rsidR="00CF1C9F" w:rsidRPr="008F2CF7" w14:paraId="360D7368" w14:textId="77777777" w:rsidTr="00A22F44">
        <w:tc>
          <w:tcPr>
            <w:tcW w:w="14678" w:type="dxa"/>
            <w:gridSpan w:val="5"/>
          </w:tcPr>
          <w:p w14:paraId="5BFF7575" w14:textId="19D7DBB1" w:rsidR="00CF1C9F" w:rsidRPr="002B6C11" w:rsidRDefault="00CF1C9F" w:rsidP="001821AF">
            <w:pPr>
              <w:spacing w:before="120" w:after="120" w:line="228" w:lineRule="auto"/>
              <w:jc w:val="center"/>
              <w:rPr>
                <w:rFonts w:ascii="Perpetua" w:hAnsi="Perpetua" w:cs="Leelawadee"/>
                <w:b/>
                <w:bCs/>
                <w:sz w:val="36"/>
                <w:szCs w:val="36"/>
              </w:rPr>
            </w:pPr>
            <w:r w:rsidRPr="002B6C11">
              <w:rPr>
                <w:rFonts w:ascii="Perpetua" w:hAnsi="Perpetua" w:cs="Leelawadee"/>
                <w:b/>
                <w:bCs/>
                <w:sz w:val="36"/>
                <w:szCs w:val="36"/>
              </w:rPr>
              <w:lastRenderedPageBreak/>
              <w:t xml:space="preserve">SOURCING OF GUARANTEED PAYMENTS FOR SERVICES AND </w:t>
            </w:r>
            <w:r w:rsidR="002B6C11">
              <w:rPr>
                <w:rFonts w:ascii="Perpetua" w:hAnsi="Perpetua" w:cs="Leelawadee"/>
                <w:b/>
                <w:bCs/>
                <w:sz w:val="36"/>
                <w:szCs w:val="36"/>
              </w:rPr>
              <w:br/>
            </w:r>
            <w:r w:rsidRPr="002B6C11">
              <w:rPr>
                <w:rFonts w:ascii="Perpetua" w:hAnsi="Perpetua" w:cs="Leelawadee"/>
                <w:b/>
                <w:bCs/>
                <w:sz w:val="36"/>
                <w:szCs w:val="36"/>
              </w:rPr>
              <w:t>ADDITIONAL CREDIT FOR TAXES PAID TO OTHER STATES</w:t>
            </w:r>
          </w:p>
          <w:p w14:paraId="4DA46041" w14:textId="0ED0A04F" w:rsidR="00CF1C9F" w:rsidRPr="008F2CF7" w:rsidRDefault="00ED62CB" w:rsidP="001821AF">
            <w:pPr>
              <w:spacing w:before="120" w:after="120" w:line="228" w:lineRule="auto"/>
              <w:jc w:val="center"/>
              <w:rPr>
                <w:rFonts w:ascii="Perpetua" w:hAnsi="Perpetua" w:cs="Leelawadee"/>
                <w:b/>
                <w:bCs/>
                <w:sz w:val="30"/>
                <w:szCs w:val="30"/>
              </w:rPr>
            </w:pPr>
            <w:r w:rsidRPr="00AB3325">
              <w:rPr>
                <w:rFonts w:ascii="Perpetua" w:hAnsi="Perpetua" w:cs="Leelawadee"/>
                <w:b/>
                <w:bCs/>
                <w:sz w:val="32"/>
                <w:szCs w:val="32"/>
              </w:rPr>
              <w:t>Draft</w:t>
            </w:r>
            <w:r w:rsidR="001E5F59" w:rsidRPr="00AB3325">
              <w:rPr>
                <w:rFonts w:ascii="Perpetua" w:hAnsi="Perpetua" w:cs="Leelawadee"/>
                <w:b/>
                <w:bCs/>
                <w:sz w:val="32"/>
                <w:szCs w:val="32"/>
              </w:rPr>
              <w:t xml:space="preserve">ed in the Form of </w:t>
            </w:r>
            <w:r w:rsidR="00DA3EAA" w:rsidRPr="00AB3325">
              <w:rPr>
                <w:rFonts w:ascii="Perpetua" w:hAnsi="Perpetua" w:cs="Leelawadee"/>
                <w:b/>
                <w:bCs/>
                <w:sz w:val="32"/>
                <w:szCs w:val="32"/>
              </w:rPr>
              <w:t>Statutes and Regulations</w:t>
            </w:r>
          </w:p>
        </w:tc>
      </w:tr>
      <w:tr w:rsidR="00381C2D" w:rsidRPr="008F2CF7" w14:paraId="6D156A3B" w14:textId="77777777" w:rsidTr="00A22F44">
        <w:tc>
          <w:tcPr>
            <w:tcW w:w="2065" w:type="dxa"/>
            <w:gridSpan w:val="2"/>
          </w:tcPr>
          <w:p w14:paraId="5849A4DB" w14:textId="77777777" w:rsidR="00381C2D" w:rsidRDefault="00381C2D" w:rsidP="001821AF">
            <w:pPr>
              <w:spacing w:before="120" w:after="120" w:line="228" w:lineRule="auto"/>
              <w:rPr>
                <w:rFonts w:ascii="Perpetua" w:hAnsi="Perpetua" w:cs="Leelawadee"/>
                <w:sz w:val="28"/>
              </w:rPr>
            </w:pPr>
          </w:p>
        </w:tc>
        <w:tc>
          <w:tcPr>
            <w:tcW w:w="10260" w:type="dxa"/>
            <w:gridSpan w:val="2"/>
          </w:tcPr>
          <w:p w14:paraId="03F60417" w14:textId="77777777" w:rsidR="00381C2D" w:rsidRPr="00174E80" w:rsidRDefault="00381C2D" w:rsidP="001821AF">
            <w:pPr>
              <w:spacing w:before="120" w:after="120" w:line="228" w:lineRule="auto"/>
              <w:rPr>
                <w:rFonts w:ascii="Perpetua" w:hAnsi="Perpetua" w:cs="Leelawadee"/>
                <w:b/>
                <w:bCs/>
                <w:i/>
                <w:iCs/>
                <w:color w:val="0040F6"/>
                <w:sz w:val="32"/>
                <w:szCs w:val="28"/>
              </w:rPr>
            </w:pPr>
            <w:r w:rsidRPr="00174E80">
              <w:rPr>
                <w:rFonts w:ascii="Perpetua" w:hAnsi="Perpetua" w:cs="Leelawadee"/>
                <w:b/>
                <w:bCs/>
                <w:i/>
                <w:iCs/>
                <w:color w:val="0040F6"/>
                <w:sz w:val="32"/>
                <w:szCs w:val="28"/>
              </w:rPr>
              <w:t xml:space="preserve">General Drafter’s Note: </w:t>
            </w:r>
          </w:p>
          <w:p w14:paraId="1007A29A" w14:textId="2EBB9F2F" w:rsidR="00381C2D" w:rsidRPr="00174E80" w:rsidRDefault="00381C2D" w:rsidP="001821AF">
            <w:pPr>
              <w:spacing w:before="120" w:after="120" w:line="228" w:lineRule="auto"/>
              <w:rPr>
                <w:rFonts w:ascii="Perpetua" w:hAnsi="Perpetua" w:cs="Leelawadee"/>
                <w:i/>
                <w:iCs/>
                <w:color w:val="0040F6"/>
                <w:sz w:val="32"/>
                <w:szCs w:val="28"/>
              </w:rPr>
            </w:pPr>
            <w:r w:rsidRPr="00174E80">
              <w:rPr>
                <w:rFonts w:ascii="Perpetua" w:hAnsi="Perpetua" w:cs="Leelawadee"/>
                <w:i/>
                <w:iCs/>
                <w:color w:val="0040F6"/>
                <w:sz w:val="32"/>
                <w:szCs w:val="28"/>
              </w:rPr>
              <w:t xml:space="preserve">The draft provisions below include: (1) a general statute for sourcing and taxing guaranteed payments for services; (2) regulations implementing that general statute; and (3) a statute providing an additional credit for taxes paid to other states. </w:t>
            </w:r>
          </w:p>
          <w:p w14:paraId="4EF51279" w14:textId="0C680B94" w:rsidR="00381C2D" w:rsidRPr="00174E80" w:rsidRDefault="00381C2D" w:rsidP="001821AF">
            <w:pPr>
              <w:spacing w:before="120" w:after="120" w:line="228" w:lineRule="auto"/>
              <w:rPr>
                <w:rFonts w:ascii="Perpetua" w:hAnsi="Perpetua" w:cs="Leelawadee"/>
                <w:i/>
                <w:iCs/>
                <w:sz w:val="28"/>
              </w:rPr>
            </w:pPr>
            <w:r w:rsidRPr="00174E80">
              <w:rPr>
                <w:rFonts w:ascii="Perpetua" w:hAnsi="Perpetua" w:cs="Leelawadee"/>
                <w:i/>
                <w:iCs/>
                <w:color w:val="0040F6"/>
                <w:sz w:val="32"/>
                <w:szCs w:val="28"/>
              </w:rPr>
              <w:t xml:space="preserve">Federal tax rules generally source guaranteed payments for services to the location where the partner performs the services. See IRC § 911. But the majority of states that specifically address this issue do not follow this approach </w:t>
            </w:r>
            <w:r w:rsidR="00AB7F43">
              <w:rPr>
                <w:rFonts w:ascii="Perpetua" w:hAnsi="Perpetua" w:cs="Leelawadee"/>
                <w:i/>
                <w:iCs/>
                <w:color w:val="0040F6"/>
                <w:sz w:val="32"/>
                <w:szCs w:val="28"/>
              </w:rPr>
              <w:t>and</w:t>
            </w:r>
            <w:r w:rsidR="00AB7F43" w:rsidRPr="00174E80">
              <w:rPr>
                <w:rFonts w:ascii="Perpetua" w:hAnsi="Perpetua" w:cs="Leelawadee"/>
                <w:i/>
                <w:iCs/>
                <w:color w:val="0040F6"/>
                <w:sz w:val="32"/>
                <w:szCs w:val="28"/>
              </w:rPr>
              <w:t xml:space="preserve"> </w:t>
            </w:r>
            <w:r w:rsidRPr="00174E80">
              <w:rPr>
                <w:rFonts w:ascii="Perpetua" w:hAnsi="Perpetua" w:cs="Leelawadee"/>
                <w:i/>
                <w:iCs/>
                <w:color w:val="0040F6"/>
                <w:sz w:val="32"/>
                <w:szCs w:val="28"/>
              </w:rPr>
              <w:t>instead require partners to source the guaranteed payments in the same manner as distributive share.</w:t>
            </w:r>
          </w:p>
        </w:tc>
        <w:tc>
          <w:tcPr>
            <w:tcW w:w="2353" w:type="dxa"/>
          </w:tcPr>
          <w:p w14:paraId="2AD29E73" w14:textId="77777777" w:rsidR="00381C2D" w:rsidRPr="00174E80" w:rsidRDefault="00381C2D" w:rsidP="001821AF">
            <w:pPr>
              <w:spacing w:line="276" w:lineRule="auto"/>
              <w:rPr>
                <w:rFonts w:ascii="Perpetua" w:hAnsi="Perpetua" w:cs="Leelawadee"/>
                <w:b/>
                <w:bCs/>
                <w:i/>
                <w:iCs/>
                <w:sz w:val="30"/>
                <w:szCs w:val="30"/>
              </w:rPr>
            </w:pPr>
          </w:p>
        </w:tc>
      </w:tr>
      <w:tr w:rsidR="00381C2D" w:rsidRPr="008F2CF7" w14:paraId="2E200C9C" w14:textId="77777777" w:rsidTr="00A22F44">
        <w:tc>
          <w:tcPr>
            <w:tcW w:w="14678" w:type="dxa"/>
            <w:gridSpan w:val="5"/>
          </w:tcPr>
          <w:p w14:paraId="7B34A80E" w14:textId="2E48404B" w:rsidR="00381C2D" w:rsidRPr="004F62D4" w:rsidRDefault="006A2A33" w:rsidP="001821AF">
            <w:pPr>
              <w:spacing w:before="120" w:after="120" w:line="228" w:lineRule="auto"/>
              <w:rPr>
                <w:rFonts w:ascii="Perpetua" w:hAnsi="Perpetua"/>
                <w:b/>
                <w:bCs/>
                <w:sz w:val="32"/>
                <w:szCs w:val="28"/>
                <w:u w:val="single"/>
              </w:rPr>
            </w:pPr>
            <w:r w:rsidRPr="004F62D4">
              <w:rPr>
                <w:rFonts w:ascii="Perpetua" w:hAnsi="Perpetua"/>
                <w:b/>
                <w:bCs/>
                <w:sz w:val="32"/>
                <w:szCs w:val="28"/>
                <w:u w:val="single"/>
              </w:rPr>
              <w:t>SOURCING STATUTORY SECTION #</w:t>
            </w:r>
          </w:p>
        </w:tc>
      </w:tr>
      <w:tr w:rsidR="006A2A33" w:rsidRPr="008F2CF7" w14:paraId="1C780E27" w14:textId="77777777" w:rsidTr="00A22F44">
        <w:tc>
          <w:tcPr>
            <w:tcW w:w="14678" w:type="dxa"/>
            <w:gridSpan w:val="5"/>
          </w:tcPr>
          <w:p w14:paraId="6FFEC929" w14:textId="32608E3D" w:rsidR="006A2A33" w:rsidRPr="004F62D4" w:rsidRDefault="006A2A33" w:rsidP="001821AF">
            <w:pPr>
              <w:spacing w:before="120" w:after="120" w:line="228" w:lineRule="auto"/>
              <w:rPr>
                <w:rFonts w:ascii="Perpetua" w:hAnsi="Perpetua"/>
                <w:b/>
                <w:bCs/>
                <w:sz w:val="32"/>
                <w:szCs w:val="28"/>
                <w:u w:val="single"/>
              </w:rPr>
            </w:pPr>
            <w:r w:rsidRPr="004F62D4">
              <w:rPr>
                <w:rFonts w:ascii="Perpetua" w:hAnsi="Perpetua"/>
                <w:b/>
                <w:bCs/>
                <w:sz w:val="32"/>
                <w:szCs w:val="28"/>
                <w:u w:val="single"/>
              </w:rPr>
              <w:t>Part I. State Sourcing and Taxation of Certain Guaranteed Payments</w:t>
            </w:r>
          </w:p>
        </w:tc>
      </w:tr>
      <w:tr w:rsidR="003F5D09" w:rsidRPr="008F2CF7" w14:paraId="344A2E7D" w14:textId="77777777" w:rsidTr="002610F7">
        <w:tc>
          <w:tcPr>
            <w:tcW w:w="535" w:type="dxa"/>
          </w:tcPr>
          <w:p w14:paraId="217B80C0" w14:textId="17F8316B" w:rsidR="003F5D09" w:rsidRPr="004F62D4" w:rsidRDefault="003F5D09" w:rsidP="001821AF">
            <w:pPr>
              <w:spacing w:before="120" w:after="120" w:line="228" w:lineRule="auto"/>
              <w:rPr>
                <w:rFonts w:ascii="Perpetua" w:hAnsi="Perpetua" w:cs="Leelawadee"/>
                <w:sz w:val="32"/>
                <w:szCs w:val="28"/>
              </w:rPr>
            </w:pPr>
            <w:r w:rsidRPr="004F62D4">
              <w:rPr>
                <w:rFonts w:ascii="Perpetua" w:hAnsi="Perpetua" w:cs="Leelawadee"/>
                <w:sz w:val="32"/>
                <w:szCs w:val="28"/>
              </w:rPr>
              <w:t>A.</w:t>
            </w:r>
          </w:p>
        </w:tc>
        <w:tc>
          <w:tcPr>
            <w:tcW w:w="8910" w:type="dxa"/>
            <w:gridSpan w:val="2"/>
          </w:tcPr>
          <w:p w14:paraId="1BF810B0" w14:textId="448322F9" w:rsidR="003F5D09" w:rsidRPr="004F62D4" w:rsidRDefault="003F5D09" w:rsidP="001821AF">
            <w:pPr>
              <w:spacing w:before="120" w:after="120" w:line="228" w:lineRule="auto"/>
              <w:rPr>
                <w:rFonts w:ascii="Perpetua" w:hAnsi="Perpetua"/>
                <w:sz w:val="32"/>
                <w:szCs w:val="28"/>
              </w:rPr>
            </w:pPr>
            <w:r w:rsidRPr="004F62D4">
              <w:rPr>
                <w:rFonts w:ascii="Perpetua" w:hAnsi="Perpetua"/>
                <w:sz w:val="32"/>
                <w:szCs w:val="28"/>
              </w:rPr>
              <w:t>General Rule</w:t>
            </w:r>
          </w:p>
        </w:tc>
        <w:tc>
          <w:tcPr>
            <w:tcW w:w="5233" w:type="dxa"/>
            <w:gridSpan w:val="2"/>
          </w:tcPr>
          <w:p w14:paraId="51DA06F8" w14:textId="77777777" w:rsidR="003F5D09" w:rsidRPr="00061DA4" w:rsidRDefault="003F5D09" w:rsidP="00BC6DC0">
            <w:pPr>
              <w:spacing w:before="120" w:after="120" w:line="276" w:lineRule="auto"/>
              <w:rPr>
                <w:rFonts w:ascii="Tahoma" w:hAnsi="Tahoma" w:cs="Tahoma"/>
                <w:color w:val="3A3A3A" w:themeColor="background2" w:themeShade="40"/>
                <w:sz w:val="22"/>
                <w:szCs w:val="22"/>
              </w:rPr>
            </w:pPr>
          </w:p>
        </w:tc>
      </w:tr>
      <w:tr w:rsidR="004661B4" w:rsidRPr="008F2CF7" w14:paraId="2F27BB4D" w14:textId="77777777" w:rsidTr="00D03D2C">
        <w:tc>
          <w:tcPr>
            <w:tcW w:w="535" w:type="dxa"/>
          </w:tcPr>
          <w:p w14:paraId="4B1DF48C" w14:textId="77777777" w:rsidR="004661B4" w:rsidRDefault="004661B4" w:rsidP="001821AF">
            <w:pPr>
              <w:spacing w:before="120" w:after="120" w:line="228" w:lineRule="auto"/>
              <w:rPr>
                <w:rFonts w:ascii="Perpetua" w:hAnsi="Perpetua" w:cs="Leelawadee"/>
                <w:sz w:val="28"/>
              </w:rPr>
            </w:pPr>
          </w:p>
        </w:tc>
        <w:tc>
          <w:tcPr>
            <w:tcW w:w="8910" w:type="dxa"/>
            <w:gridSpan w:val="2"/>
          </w:tcPr>
          <w:p w14:paraId="31921F6F" w14:textId="77777777" w:rsidR="00F51EDE" w:rsidRPr="00174E80" w:rsidRDefault="004661B4" w:rsidP="001821AF">
            <w:pPr>
              <w:spacing w:before="120" w:after="120" w:line="228" w:lineRule="auto"/>
              <w:rPr>
                <w:rFonts w:ascii="Perpetua" w:hAnsi="Perpetua" w:cs="Leelawadee"/>
                <w:i/>
                <w:iCs/>
                <w:color w:val="0040F6"/>
                <w:sz w:val="32"/>
              </w:rPr>
            </w:pPr>
            <w:r w:rsidRPr="00174E80">
              <w:rPr>
                <w:rFonts w:ascii="Perpetua" w:hAnsi="Perpetua" w:cs="Leelawadee"/>
                <w:i/>
                <w:iCs/>
                <w:color w:val="0040F6"/>
                <w:sz w:val="32"/>
              </w:rPr>
              <w:t>Drafter’s Note: The general rule here provides that guaranteed payments for services will be sourced by the state in the same way as distributive share.</w:t>
            </w:r>
          </w:p>
          <w:p w14:paraId="2204E082" w14:textId="3FCD7AA8" w:rsidR="004661B4" w:rsidRPr="00174E80" w:rsidRDefault="00F51EDE" w:rsidP="001821AF">
            <w:pPr>
              <w:spacing w:before="120" w:after="120" w:line="228" w:lineRule="auto"/>
              <w:rPr>
                <w:rFonts w:ascii="Perpetua" w:hAnsi="Perpetua" w:cs="Leelawadee"/>
                <w:i/>
                <w:iCs/>
                <w:color w:val="0040F6"/>
                <w:sz w:val="32"/>
              </w:rPr>
            </w:pPr>
            <w:r w:rsidRPr="00174E80">
              <w:rPr>
                <w:rFonts w:ascii="Perpetua" w:hAnsi="Perpetua" w:cs="Leelawadee"/>
                <w:i/>
                <w:iCs/>
                <w:color w:val="0040F6"/>
                <w:sz w:val="32"/>
                <w:highlight w:val="yellow"/>
              </w:rPr>
              <w:t>A</w:t>
            </w:r>
            <w:r w:rsidR="00363B89" w:rsidRPr="00174E80">
              <w:rPr>
                <w:rFonts w:ascii="Perpetua" w:hAnsi="Perpetua" w:cs="Leelawadee"/>
                <w:i/>
                <w:iCs/>
                <w:color w:val="0040F6"/>
                <w:sz w:val="32"/>
                <w:highlight w:val="yellow"/>
              </w:rPr>
              <w:t xml:space="preserve">lso note that this </w:t>
            </w:r>
            <w:r w:rsidR="00572B2E" w:rsidRPr="00174E80">
              <w:rPr>
                <w:rFonts w:ascii="Perpetua" w:hAnsi="Perpetua" w:cs="Leelawadee"/>
                <w:i/>
                <w:iCs/>
                <w:color w:val="0040F6"/>
                <w:sz w:val="32"/>
                <w:highlight w:val="yellow"/>
              </w:rPr>
              <w:t xml:space="preserve">provision is for taxes applied </w:t>
            </w:r>
            <w:r w:rsidR="00404DC2" w:rsidRPr="00174E80">
              <w:rPr>
                <w:rFonts w:ascii="Perpetua" w:hAnsi="Perpetua" w:cs="Leelawadee"/>
                <w:i/>
                <w:iCs/>
                <w:color w:val="0040F6"/>
                <w:sz w:val="32"/>
                <w:highlight w:val="yellow"/>
              </w:rPr>
              <w:t xml:space="preserve">to income of entities </w:t>
            </w:r>
            <w:r w:rsidR="00572B2E" w:rsidRPr="00174E80">
              <w:rPr>
                <w:rFonts w:ascii="Perpetua" w:hAnsi="Perpetua" w:cs="Leelawadee"/>
                <w:i/>
                <w:iCs/>
                <w:color w:val="0040F6"/>
                <w:sz w:val="32"/>
                <w:highlight w:val="yellow"/>
              </w:rPr>
              <w:t xml:space="preserve">on a pass-through basis. Comments on this provision noted that </w:t>
            </w:r>
            <w:r w:rsidR="006812AF" w:rsidRPr="00174E80">
              <w:rPr>
                <w:rFonts w:ascii="Perpetua" w:hAnsi="Perpetua" w:cs="Leelawadee"/>
                <w:i/>
                <w:iCs/>
                <w:color w:val="0040F6"/>
                <w:sz w:val="32"/>
                <w:highlight w:val="yellow"/>
              </w:rPr>
              <w:t xml:space="preserve">some states may not have addressed the potential </w:t>
            </w:r>
            <w:r w:rsidRPr="00174E80">
              <w:rPr>
                <w:rFonts w:ascii="Perpetua" w:hAnsi="Perpetua" w:cs="Leelawadee"/>
                <w:i/>
                <w:iCs/>
                <w:color w:val="0040F6"/>
                <w:sz w:val="32"/>
                <w:highlight w:val="yellow"/>
              </w:rPr>
              <w:t>double</w:t>
            </w:r>
            <w:r w:rsidR="00404DC2" w:rsidRPr="00174E80">
              <w:rPr>
                <w:rFonts w:ascii="Perpetua" w:hAnsi="Perpetua" w:cs="Leelawadee"/>
                <w:i/>
                <w:iCs/>
                <w:color w:val="0040F6"/>
                <w:sz w:val="32"/>
                <w:highlight w:val="yellow"/>
              </w:rPr>
              <w:t>-</w:t>
            </w:r>
            <w:r w:rsidRPr="00174E80">
              <w:rPr>
                <w:rFonts w:ascii="Perpetua" w:hAnsi="Perpetua" w:cs="Leelawadee"/>
                <w:i/>
                <w:iCs/>
                <w:color w:val="0040F6"/>
                <w:sz w:val="32"/>
                <w:highlight w:val="yellow"/>
              </w:rPr>
              <w:t>counting of guaranteed payments</w:t>
            </w:r>
            <w:r w:rsidR="006812AF" w:rsidRPr="00174E80">
              <w:rPr>
                <w:rFonts w:ascii="Perpetua" w:hAnsi="Perpetua" w:cs="Leelawadee"/>
                <w:i/>
                <w:iCs/>
                <w:color w:val="0040F6"/>
                <w:sz w:val="32"/>
                <w:highlight w:val="yellow"/>
              </w:rPr>
              <w:t xml:space="preserve"> that may result where there is an entity-level tax</w:t>
            </w:r>
            <w:r w:rsidR="00617468" w:rsidRPr="00174E80">
              <w:rPr>
                <w:rFonts w:ascii="Perpetua" w:hAnsi="Perpetua" w:cs="Leelawadee"/>
                <w:i/>
                <w:iCs/>
                <w:color w:val="0040F6"/>
                <w:sz w:val="32"/>
                <w:highlight w:val="yellow"/>
              </w:rPr>
              <w:t xml:space="preserve"> so that the payments are included in the </w:t>
            </w:r>
            <w:r w:rsidRPr="00174E80">
              <w:rPr>
                <w:rFonts w:ascii="Perpetua" w:hAnsi="Perpetua" w:cs="Leelawadee"/>
                <w:i/>
                <w:iCs/>
                <w:color w:val="0040F6"/>
                <w:sz w:val="32"/>
                <w:highlight w:val="yellow"/>
              </w:rPr>
              <w:t>partnership’s apportionable business income and again as separately sourced income to the partner.</w:t>
            </w:r>
          </w:p>
        </w:tc>
        <w:tc>
          <w:tcPr>
            <w:tcW w:w="5233" w:type="dxa"/>
            <w:gridSpan w:val="2"/>
          </w:tcPr>
          <w:p w14:paraId="3025A495" w14:textId="77777777" w:rsidR="004661B4" w:rsidRPr="008F2CF7" w:rsidRDefault="004661B4" w:rsidP="00BC6DC0">
            <w:pPr>
              <w:spacing w:before="120" w:after="120" w:line="276" w:lineRule="auto"/>
              <w:rPr>
                <w:rFonts w:ascii="Perpetua" w:hAnsi="Perpetua" w:cs="Leelawadee"/>
                <w:b/>
                <w:bCs/>
                <w:sz w:val="30"/>
                <w:szCs w:val="30"/>
              </w:rPr>
            </w:pPr>
          </w:p>
        </w:tc>
      </w:tr>
      <w:tr w:rsidR="00BA7505" w:rsidRPr="008F2CF7" w14:paraId="77F7EBE1" w14:textId="77777777" w:rsidTr="002610F7">
        <w:tc>
          <w:tcPr>
            <w:tcW w:w="535" w:type="dxa"/>
          </w:tcPr>
          <w:p w14:paraId="1E36159C" w14:textId="7E18B855" w:rsidR="00BA7505" w:rsidRPr="008F2CF7" w:rsidRDefault="00BA7505" w:rsidP="001821AF">
            <w:pPr>
              <w:spacing w:before="120" w:after="120" w:line="228" w:lineRule="auto"/>
              <w:rPr>
                <w:rFonts w:ascii="Perpetua" w:hAnsi="Perpetua" w:cs="Leelawadee"/>
                <w:sz w:val="28"/>
              </w:rPr>
            </w:pPr>
          </w:p>
        </w:tc>
        <w:tc>
          <w:tcPr>
            <w:tcW w:w="8910" w:type="dxa"/>
            <w:gridSpan w:val="2"/>
          </w:tcPr>
          <w:p w14:paraId="2741F4C2" w14:textId="0C1C7316" w:rsidR="00BA7505" w:rsidRPr="004F62D4" w:rsidRDefault="00BA7505" w:rsidP="001821AF">
            <w:pPr>
              <w:spacing w:before="120" w:after="120" w:line="228" w:lineRule="auto"/>
              <w:rPr>
                <w:rFonts w:ascii="Perpetua" w:hAnsi="Perpetua"/>
                <w:sz w:val="32"/>
                <w:szCs w:val="28"/>
              </w:rPr>
            </w:pPr>
            <w:r w:rsidRPr="004F62D4">
              <w:rPr>
                <w:rFonts w:ascii="Perpetua" w:hAnsi="Perpetua"/>
                <w:sz w:val="32"/>
                <w:szCs w:val="28"/>
              </w:rPr>
              <w:t xml:space="preserve">Guaranteed payments recognized under Section 707(c) of the Internal Revenue Code by a direct, nonresident individual partner for the performance of services are sourced to this state as provided in </w:t>
            </w:r>
            <w:r w:rsidRPr="004F62D4">
              <w:rPr>
                <w:rFonts w:ascii="Perpetua" w:hAnsi="Perpetua"/>
                <w:sz w:val="32"/>
                <w:szCs w:val="28"/>
              </w:rPr>
              <w:lastRenderedPageBreak/>
              <w:t>[REFERENCE TO SECTION OF STATE LAW THAT GOVERNS THE SOURCING OF PARTNERSHIP DISTRIBUTIVE SHARE USING GENERAL ALLOCATION AND APPORTIONMENT RULES APPLIED AT THE PARTNERSHIP LEVEL.].</w:t>
            </w:r>
          </w:p>
        </w:tc>
        <w:tc>
          <w:tcPr>
            <w:tcW w:w="5233" w:type="dxa"/>
            <w:gridSpan w:val="2"/>
          </w:tcPr>
          <w:p w14:paraId="3E8B102A" w14:textId="77777777" w:rsidR="00BA7505" w:rsidRPr="00061DA4" w:rsidRDefault="00BA7505" w:rsidP="00BC6DC0">
            <w:pPr>
              <w:spacing w:before="120" w:after="120" w:line="276" w:lineRule="auto"/>
              <w:rPr>
                <w:rFonts w:ascii="Tahoma" w:hAnsi="Tahoma" w:cs="Tahoma"/>
                <w:color w:val="3A3A3A" w:themeColor="background2" w:themeShade="40"/>
                <w:sz w:val="22"/>
                <w:szCs w:val="22"/>
              </w:rPr>
            </w:pPr>
          </w:p>
        </w:tc>
      </w:tr>
      <w:tr w:rsidR="003F5D09" w:rsidRPr="008F2CF7" w14:paraId="75107240" w14:textId="77777777" w:rsidTr="002610F7">
        <w:tc>
          <w:tcPr>
            <w:tcW w:w="535" w:type="dxa"/>
          </w:tcPr>
          <w:p w14:paraId="71696605" w14:textId="22899E4C" w:rsidR="003F5D09" w:rsidRPr="008F2CF7" w:rsidRDefault="003F5D09" w:rsidP="001821AF">
            <w:pPr>
              <w:spacing w:before="120" w:after="120" w:line="228" w:lineRule="auto"/>
              <w:rPr>
                <w:rFonts w:ascii="Perpetua" w:hAnsi="Perpetua" w:cs="Leelawadee"/>
                <w:sz w:val="28"/>
              </w:rPr>
            </w:pPr>
            <w:r>
              <w:rPr>
                <w:rFonts w:ascii="Perpetua" w:hAnsi="Perpetua" w:cs="Leelawadee"/>
                <w:sz w:val="28"/>
              </w:rPr>
              <w:t>B.</w:t>
            </w:r>
          </w:p>
        </w:tc>
        <w:tc>
          <w:tcPr>
            <w:tcW w:w="8910" w:type="dxa"/>
            <w:gridSpan w:val="2"/>
          </w:tcPr>
          <w:p w14:paraId="6D3FC2B8" w14:textId="2894B66D" w:rsidR="003F5D09" w:rsidRPr="004F62D4" w:rsidRDefault="003F5D09" w:rsidP="001821AF">
            <w:pPr>
              <w:spacing w:before="120" w:after="120" w:line="228" w:lineRule="auto"/>
              <w:rPr>
                <w:rFonts w:ascii="Perpetua" w:hAnsi="Perpetua"/>
                <w:sz w:val="32"/>
                <w:szCs w:val="28"/>
              </w:rPr>
            </w:pPr>
            <w:r w:rsidRPr="004F62D4">
              <w:rPr>
                <w:rFonts w:ascii="Perpetua" w:hAnsi="Perpetua"/>
                <w:sz w:val="32"/>
                <w:szCs w:val="28"/>
              </w:rPr>
              <w:t>Guaranteed Payments Made to a Retired Partner</w:t>
            </w:r>
          </w:p>
        </w:tc>
        <w:tc>
          <w:tcPr>
            <w:tcW w:w="5233" w:type="dxa"/>
            <w:gridSpan w:val="2"/>
          </w:tcPr>
          <w:p w14:paraId="145AA8F5" w14:textId="77777777" w:rsidR="003F5D09" w:rsidRPr="00061DA4" w:rsidRDefault="003F5D09" w:rsidP="00BC6DC0">
            <w:pPr>
              <w:spacing w:before="120" w:after="120" w:line="276" w:lineRule="auto"/>
              <w:rPr>
                <w:rFonts w:ascii="Tahoma" w:hAnsi="Tahoma" w:cs="Tahoma"/>
                <w:color w:val="3A3A3A" w:themeColor="background2" w:themeShade="40"/>
                <w:sz w:val="22"/>
                <w:szCs w:val="22"/>
              </w:rPr>
            </w:pPr>
          </w:p>
        </w:tc>
      </w:tr>
      <w:tr w:rsidR="004661B4" w:rsidRPr="008F2CF7" w14:paraId="44FBE8A7" w14:textId="77777777" w:rsidTr="002610F7">
        <w:tc>
          <w:tcPr>
            <w:tcW w:w="535" w:type="dxa"/>
          </w:tcPr>
          <w:p w14:paraId="5F54C2A2" w14:textId="77777777" w:rsidR="004661B4" w:rsidRDefault="004661B4" w:rsidP="001821AF">
            <w:pPr>
              <w:spacing w:before="120" w:after="120" w:line="228" w:lineRule="auto"/>
              <w:rPr>
                <w:rFonts w:ascii="Perpetua" w:hAnsi="Perpetua" w:cs="Leelawadee"/>
                <w:sz w:val="28"/>
              </w:rPr>
            </w:pPr>
          </w:p>
        </w:tc>
        <w:tc>
          <w:tcPr>
            <w:tcW w:w="8910" w:type="dxa"/>
            <w:gridSpan w:val="2"/>
          </w:tcPr>
          <w:p w14:paraId="25248A3C" w14:textId="31613026" w:rsidR="004661B4" w:rsidRPr="00174E80" w:rsidRDefault="004661B4" w:rsidP="001821AF">
            <w:pPr>
              <w:spacing w:before="120" w:after="120" w:line="228" w:lineRule="auto"/>
              <w:rPr>
                <w:rFonts w:ascii="Perpetua" w:hAnsi="Perpetua" w:cs="Leelawadee"/>
                <w:i/>
                <w:iCs/>
                <w:sz w:val="28"/>
              </w:rPr>
            </w:pPr>
            <w:r w:rsidRPr="00174E80">
              <w:rPr>
                <w:rFonts w:ascii="Perpetua" w:hAnsi="Perpetua" w:cs="Leelawadee"/>
                <w:i/>
                <w:iCs/>
                <w:color w:val="0040F6"/>
                <w:sz w:val="32"/>
              </w:rPr>
              <w:t>Drafter’s Note: Under federal pension law, certain guaranteed payments to retired partners can only be sourced to their state of residence. Subsection (B) satisfies this requirement by sourcing such payments made to nonresidents outside of the state.</w:t>
            </w:r>
          </w:p>
        </w:tc>
        <w:tc>
          <w:tcPr>
            <w:tcW w:w="5233" w:type="dxa"/>
            <w:gridSpan w:val="2"/>
          </w:tcPr>
          <w:p w14:paraId="05D7DB12" w14:textId="77777777" w:rsidR="004661B4" w:rsidRPr="008F2CF7" w:rsidRDefault="004661B4" w:rsidP="00BC6DC0">
            <w:pPr>
              <w:spacing w:before="120" w:after="120" w:line="276" w:lineRule="auto"/>
              <w:rPr>
                <w:rFonts w:ascii="Perpetua" w:hAnsi="Perpetua" w:cs="Leelawadee"/>
                <w:b/>
                <w:bCs/>
                <w:sz w:val="30"/>
                <w:szCs w:val="30"/>
              </w:rPr>
            </w:pPr>
          </w:p>
        </w:tc>
      </w:tr>
      <w:tr w:rsidR="003F5D09" w:rsidRPr="008F2CF7" w14:paraId="05BD9F95" w14:textId="77777777" w:rsidTr="002610F7">
        <w:tc>
          <w:tcPr>
            <w:tcW w:w="535" w:type="dxa"/>
          </w:tcPr>
          <w:p w14:paraId="46355C27" w14:textId="77777777" w:rsidR="003F5D09" w:rsidRPr="008F2CF7" w:rsidRDefault="003F5D09" w:rsidP="001821AF">
            <w:pPr>
              <w:spacing w:before="120" w:after="120" w:line="228" w:lineRule="auto"/>
              <w:rPr>
                <w:rFonts w:ascii="Perpetua" w:hAnsi="Perpetua" w:cs="Leelawadee"/>
                <w:sz w:val="28"/>
              </w:rPr>
            </w:pPr>
          </w:p>
        </w:tc>
        <w:tc>
          <w:tcPr>
            <w:tcW w:w="8910" w:type="dxa"/>
            <w:gridSpan w:val="2"/>
          </w:tcPr>
          <w:p w14:paraId="5DBF1F4C" w14:textId="668A50AA" w:rsidR="003F5D09" w:rsidRPr="004F62D4" w:rsidRDefault="003F5D09" w:rsidP="001821AF">
            <w:pPr>
              <w:spacing w:before="120" w:after="120" w:line="228" w:lineRule="auto"/>
              <w:rPr>
                <w:rFonts w:ascii="Perpetua" w:hAnsi="Perpetua"/>
                <w:sz w:val="32"/>
                <w:szCs w:val="28"/>
              </w:rPr>
            </w:pPr>
            <w:r w:rsidRPr="004F62D4">
              <w:rPr>
                <w:rFonts w:ascii="Perpetua" w:hAnsi="Perpetua"/>
                <w:sz w:val="32"/>
                <w:szCs w:val="28"/>
              </w:rPr>
              <w:t>Guaranteed payments made to a retired nonresident partner are sourced outside of this state provided the payment is “retirement income” as defined in 4 U.S.C. § 114(b)(1)(I).</w:t>
            </w:r>
          </w:p>
        </w:tc>
        <w:tc>
          <w:tcPr>
            <w:tcW w:w="5233" w:type="dxa"/>
            <w:gridSpan w:val="2"/>
          </w:tcPr>
          <w:p w14:paraId="63D53776" w14:textId="77777777" w:rsidR="003F5D09" w:rsidRPr="00061DA4" w:rsidRDefault="003F5D09" w:rsidP="00BC6DC0">
            <w:pPr>
              <w:spacing w:before="120" w:after="120" w:line="276" w:lineRule="auto"/>
              <w:rPr>
                <w:rFonts w:ascii="Tahoma" w:hAnsi="Tahoma" w:cs="Tahoma"/>
                <w:color w:val="3A3A3A" w:themeColor="background2" w:themeShade="40"/>
                <w:sz w:val="22"/>
                <w:szCs w:val="22"/>
              </w:rPr>
            </w:pPr>
          </w:p>
        </w:tc>
      </w:tr>
      <w:tr w:rsidR="00D83677" w:rsidRPr="008F2CF7" w14:paraId="4107AB59" w14:textId="77777777" w:rsidTr="002610F7">
        <w:tc>
          <w:tcPr>
            <w:tcW w:w="535" w:type="dxa"/>
          </w:tcPr>
          <w:p w14:paraId="39882E88" w14:textId="54C57144" w:rsidR="00D83677" w:rsidRPr="008F2CF7" w:rsidRDefault="00D83677" w:rsidP="001821AF">
            <w:pPr>
              <w:spacing w:before="120" w:after="120" w:line="228" w:lineRule="auto"/>
              <w:rPr>
                <w:rFonts w:ascii="Perpetua" w:hAnsi="Perpetua" w:cs="Leelawadee"/>
                <w:sz w:val="28"/>
              </w:rPr>
            </w:pPr>
            <w:r>
              <w:rPr>
                <w:rFonts w:ascii="Perpetua" w:hAnsi="Perpetua" w:cs="Leelawadee"/>
                <w:sz w:val="28"/>
              </w:rPr>
              <w:t>C.</w:t>
            </w:r>
          </w:p>
        </w:tc>
        <w:tc>
          <w:tcPr>
            <w:tcW w:w="8910" w:type="dxa"/>
            <w:gridSpan w:val="2"/>
          </w:tcPr>
          <w:p w14:paraId="69D311D4" w14:textId="514020C4" w:rsidR="00D83677" w:rsidRPr="004F62D4" w:rsidRDefault="00D83677" w:rsidP="001821AF">
            <w:pPr>
              <w:spacing w:before="120" w:after="120" w:line="228" w:lineRule="auto"/>
              <w:rPr>
                <w:rFonts w:ascii="Perpetua" w:hAnsi="Perpetua"/>
                <w:sz w:val="32"/>
                <w:szCs w:val="28"/>
              </w:rPr>
            </w:pPr>
            <w:r w:rsidRPr="004F62D4">
              <w:rPr>
                <w:rFonts w:ascii="Perpetua" w:hAnsi="Perpetua"/>
                <w:sz w:val="32"/>
                <w:szCs w:val="28"/>
              </w:rPr>
              <w:t>Guaranteed Payments Made to Foreign Partners and Domestic Partners Performing Services Overseas</w:t>
            </w:r>
          </w:p>
        </w:tc>
        <w:tc>
          <w:tcPr>
            <w:tcW w:w="5233" w:type="dxa"/>
            <w:gridSpan w:val="2"/>
          </w:tcPr>
          <w:p w14:paraId="35BA2419" w14:textId="658E5888" w:rsidR="00D83677" w:rsidRPr="00061DA4" w:rsidRDefault="00D83677" w:rsidP="00BC6DC0">
            <w:pPr>
              <w:spacing w:before="120" w:after="120" w:line="276" w:lineRule="auto"/>
              <w:rPr>
                <w:rFonts w:ascii="Tahoma" w:hAnsi="Tahoma" w:cs="Tahoma"/>
                <w:color w:val="3A3A3A" w:themeColor="background2" w:themeShade="40"/>
                <w:sz w:val="22"/>
                <w:szCs w:val="22"/>
              </w:rPr>
            </w:pPr>
          </w:p>
        </w:tc>
      </w:tr>
      <w:tr w:rsidR="002610F7" w:rsidRPr="008F2CF7" w14:paraId="61186D03" w14:textId="77777777">
        <w:tc>
          <w:tcPr>
            <w:tcW w:w="535" w:type="dxa"/>
          </w:tcPr>
          <w:p w14:paraId="0434B509" w14:textId="77777777" w:rsidR="002610F7" w:rsidRDefault="002610F7" w:rsidP="001821AF">
            <w:pPr>
              <w:spacing w:before="120" w:after="120" w:line="228" w:lineRule="auto"/>
              <w:rPr>
                <w:rFonts w:ascii="Perpetua" w:hAnsi="Perpetua" w:cs="Leelawadee"/>
                <w:sz w:val="28"/>
              </w:rPr>
            </w:pPr>
          </w:p>
        </w:tc>
        <w:tc>
          <w:tcPr>
            <w:tcW w:w="8910" w:type="dxa"/>
            <w:gridSpan w:val="2"/>
          </w:tcPr>
          <w:p w14:paraId="6928926E" w14:textId="1AB2508B" w:rsidR="002610F7" w:rsidRPr="00174E80" w:rsidRDefault="002610F7" w:rsidP="001821AF">
            <w:pPr>
              <w:spacing w:before="120" w:after="120" w:line="228" w:lineRule="auto"/>
              <w:rPr>
                <w:rFonts w:ascii="Perpetua" w:hAnsi="Perpetua" w:cs="Leelawadee"/>
                <w:i/>
                <w:iCs/>
                <w:sz w:val="32"/>
              </w:rPr>
            </w:pPr>
            <w:r w:rsidRPr="00174E80">
              <w:rPr>
                <w:rFonts w:ascii="Perpetua" w:hAnsi="Perpetua" w:cs="Leelawadee"/>
                <w:i/>
                <w:iCs/>
                <w:color w:val="0040F6"/>
                <w:sz w:val="32"/>
              </w:rPr>
              <w:t>Drafter’s Note: This decouples the state from the federal sourcing rules for guaranteed payments for</w:t>
            </w:r>
            <w:r w:rsidR="000E5676" w:rsidRPr="00174E80">
              <w:rPr>
                <w:rFonts w:ascii="Perpetua" w:hAnsi="Perpetua" w:cs="Leelawadee"/>
                <w:i/>
                <w:iCs/>
                <w:color w:val="0040F6"/>
                <w:sz w:val="32"/>
              </w:rPr>
              <w:t xml:space="preserve"> services. Note that state statutes that conform the state’s law to federal taxable income or adjusted gross income may also need to be amended.</w:t>
            </w:r>
            <w:r w:rsidRPr="00174E80">
              <w:rPr>
                <w:rFonts w:ascii="Perpetua" w:hAnsi="Perpetua" w:cs="Leelawadee"/>
                <w:i/>
                <w:iCs/>
                <w:color w:val="0040F6"/>
                <w:sz w:val="32"/>
              </w:rPr>
              <w:t xml:space="preserve"> </w:t>
            </w:r>
          </w:p>
        </w:tc>
        <w:tc>
          <w:tcPr>
            <w:tcW w:w="5233" w:type="dxa"/>
            <w:gridSpan w:val="2"/>
          </w:tcPr>
          <w:p w14:paraId="12444BB0" w14:textId="77777777" w:rsidR="002610F7" w:rsidRPr="008F2CF7" w:rsidRDefault="002610F7" w:rsidP="00BC6DC0">
            <w:pPr>
              <w:spacing w:before="120" w:after="120" w:line="276" w:lineRule="auto"/>
              <w:rPr>
                <w:rFonts w:ascii="Perpetua" w:hAnsi="Perpetua" w:cs="Leelawadee"/>
                <w:b/>
                <w:bCs/>
                <w:sz w:val="30"/>
                <w:szCs w:val="30"/>
              </w:rPr>
            </w:pPr>
          </w:p>
        </w:tc>
      </w:tr>
      <w:tr w:rsidR="00D83677" w:rsidRPr="008F2CF7" w14:paraId="1FAB0A4A" w14:textId="77777777" w:rsidTr="002610F7">
        <w:tc>
          <w:tcPr>
            <w:tcW w:w="535" w:type="dxa"/>
          </w:tcPr>
          <w:p w14:paraId="30C2AF75" w14:textId="77777777" w:rsidR="00D83677" w:rsidRPr="008F2CF7" w:rsidRDefault="00D83677" w:rsidP="001821AF">
            <w:pPr>
              <w:spacing w:before="120" w:after="120" w:line="228" w:lineRule="auto"/>
              <w:rPr>
                <w:rFonts w:ascii="Perpetua" w:hAnsi="Perpetua" w:cs="Leelawadee"/>
                <w:sz w:val="28"/>
              </w:rPr>
            </w:pPr>
          </w:p>
        </w:tc>
        <w:tc>
          <w:tcPr>
            <w:tcW w:w="8910" w:type="dxa"/>
            <w:gridSpan w:val="2"/>
          </w:tcPr>
          <w:p w14:paraId="08C7504C" w14:textId="7985EFCC" w:rsidR="00D83677" w:rsidRPr="00E14CBB" w:rsidRDefault="00D83677" w:rsidP="001821AF">
            <w:pPr>
              <w:spacing w:before="120" w:after="120" w:line="228" w:lineRule="auto"/>
              <w:rPr>
                <w:rFonts w:ascii="Perpetua" w:hAnsi="Perpetua"/>
                <w:sz w:val="28"/>
              </w:rPr>
            </w:pPr>
            <w:r w:rsidRPr="00864A39">
              <w:rPr>
                <w:rFonts w:ascii="Perpetua" w:hAnsi="Perpetua"/>
                <w:sz w:val="32"/>
                <w:szCs w:val="28"/>
              </w:rPr>
              <w:t xml:space="preserve">Notwithstanding any provision of federal law, including IRC § 911, guaranteed payments made to foreign partners and to domestic partners performing services in a foreign country are sourced using the general rule of subsection (a). </w:t>
            </w:r>
          </w:p>
        </w:tc>
        <w:tc>
          <w:tcPr>
            <w:tcW w:w="5233" w:type="dxa"/>
            <w:gridSpan w:val="2"/>
          </w:tcPr>
          <w:p w14:paraId="40412EBE" w14:textId="77777777" w:rsidR="00D83677" w:rsidRPr="00061DA4" w:rsidRDefault="00D83677" w:rsidP="00BC6DC0">
            <w:pPr>
              <w:spacing w:before="120" w:after="120" w:line="276" w:lineRule="auto"/>
              <w:rPr>
                <w:rFonts w:ascii="Tahoma" w:hAnsi="Tahoma" w:cs="Tahoma"/>
                <w:color w:val="3A3A3A" w:themeColor="background2" w:themeShade="40"/>
                <w:sz w:val="22"/>
                <w:szCs w:val="22"/>
              </w:rPr>
            </w:pPr>
          </w:p>
        </w:tc>
      </w:tr>
    </w:tbl>
    <w:p w14:paraId="1EDB64A4" w14:textId="77777777" w:rsidR="007E4075" w:rsidRDefault="007E4075">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445"/>
        <w:gridCol w:w="90"/>
        <w:gridCol w:w="555"/>
        <w:gridCol w:w="525"/>
        <w:gridCol w:w="540"/>
        <w:gridCol w:w="7290"/>
        <w:gridCol w:w="5233"/>
      </w:tblGrid>
      <w:tr w:rsidR="00E36FFC" w:rsidRPr="008F2CF7" w14:paraId="2692FBA2" w14:textId="77777777" w:rsidTr="00A22F44">
        <w:tc>
          <w:tcPr>
            <w:tcW w:w="14678" w:type="dxa"/>
            <w:gridSpan w:val="7"/>
          </w:tcPr>
          <w:p w14:paraId="6B07D569" w14:textId="16503A5B" w:rsidR="00E36FFC" w:rsidRPr="00864A39" w:rsidRDefault="0037438D" w:rsidP="001821AF">
            <w:pPr>
              <w:spacing w:line="276" w:lineRule="auto"/>
              <w:rPr>
                <w:rFonts w:ascii="Perpetua" w:hAnsi="Perpetua" w:cs="Leelawadee"/>
                <w:b/>
                <w:bCs/>
                <w:sz w:val="32"/>
                <w:szCs w:val="28"/>
              </w:rPr>
            </w:pPr>
            <w:r w:rsidRPr="00864A39">
              <w:rPr>
                <w:rFonts w:ascii="Perpetua" w:hAnsi="Perpetua"/>
                <w:b/>
                <w:bCs/>
                <w:sz w:val="32"/>
                <w:szCs w:val="28"/>
                <w:u w:val="single"/>
              </w:rPr>
              <w:lastRenderedPageBreak/>
              <w:t>SOURCING REGULATORY PROVISIONS</w:t>
            </w:r>
          </w:p>
        </w:tc>
      </w:tr>
      <w:tr w:rsidR="0037438D" w:rsidRPr="008F2CF7" w14:paraId="13B20474" w14:textId="77777777" w:rsidTr="00A22F44">
        <w:tc>
          <w:tcPr>
            <w:tcW w:w="14678" w:type="dxa"/>
            <w:gridSpan w:val="7"/>
          </w:tcPr>
          <w:p w14:paraId="1B47270E" w14:textId="3799F7B1" w:rsidR="0037438D" w:rsidRPr="00864A39" w:rsidRDefault="0037438D" w:rsidP="001821AF">
            <w:pPr>
              <w:spacing w:line="276" w:lineRule="auto"/>
              <w:rPr>
                <w:rFonts w:ascii="Perpetua" w:hAnsi="Perpetua" w:cs="Leelawadee"/>
                <w:b/>
                <w:bCs/>
                <w:sz w:val="32"/>
                <w:szCs w:val="28"/>
              </w:rPr>
            </w:pPr>
            <w:r w:rsidRPr="00864A39">
              <w:rPr>
                <w:rFonts w:ascii="Perpetua" w:hAnsi="Perpetua"/>
                <w:b/>
                <w:bCs/>
                <w:sz w:val="32"/>
                <w:szCs w:val="28"/>
                <w:u w:val="single"/>
              </w:rPr>
              <w:t>Sourcing of Certain Guaranteed Payments</w:t>
            </w:r>
          </w:p>
        </w:tc>
      </w:tr>
      <w:tr w:rsidR="00D03D2C" w:rsidRPr="008F2CF7" w14:paraId="11CAA291" w14:textId="77777777">
        <w:tc>
          <w:tcPr>
            <w:tcW w:w="535" w:type="dxa"/>
            <w:gridSpan w:val="2"/>
          </w:tcPr>
          <w:p w14:paraId="7D86EC25" w14:textId="77777777" w:rsidR="00D03D2C" w:rsidRPr="00864A39" w:rsidRDefault="00D03D2C" w:rsidP="001821AF">
            <w:pPr>
              <w:spacing w:before="120" w:after="120" w:line="228" w:lineRule="auto"/>
              <w:rPr>
                <w:rFonts w:ascii="Perpetua" w:hAnsi="Perpetua" w:cs="Leelawadee"/>
                <w:sz w:val="32"/>
                <w:szCs w:val="28"/>
              </w:rPr>
            </w:pPr>
          </w:p>
        </w:tc>
        <w:tc>
          <w:tcPr>
            <w:tcW w:w="14143" w:type="dxa"/>
            <w:gridSpan w:val="5"/>
          </w:tcPr>
          <w:p w14:paraId="510A4374" w14:textId="47A3AD3D" w:rsidR="00D03D2C" w:rsidRPr="00174E80" w:rsidRDefault="00D03D2C" w:rsidP="00263087">
            <w:pPr>
              <w:rPr>
                <w:rFonts w:ascii="Perpetua" w:hAnsi="Perpetua" w:cs="Leelawadee"/>
                <w:b/>
                <w:bCs/>
                <w:i/>
                <w:iCs/>
                <w:sz w:val="30"/>
                <w:szCs w:val="30"/>
              </w:rPr>
            </w:pPr>
            <w:r w:rsidRPr="00174E80">
              <w:rPr>
                <w:rFonts w:ascii="Perpetua" w:hAnsi="Perpetua" w:cs="Leelawadee"/>
                <w:i/>
                <w:iCs/>
                <w:color w:val="0040F6"/>
                <w:sz w:val="32"/>
                <w:szCs w:val="28"/>
              </w:rPr>
              <w:t>Drafter’s Note: The purpose of this regulation is to provide guidance on the imposition of state income tax on certain guaranteed payments for services and the sourcing of those payments.</w:t>
            </w:r>
          </w:p>
        </w:tc>
      </w:tr>
      <w:tr w:rsidR="00781555" w:rsidRPr="008F2CF7" w14:paraId="2CFB819B" w14:textId="77777777" w:rsidTr="002610F7">
        <w:tc>
          <w:tcPr>
            <w:tcW w:w="9445" w:type="dxa"/>
            <w:gridSpan w:val="6"/>
          </w:tcPr>
          <w:p w14:paraId="30BF8603" w14:textId="382E517D" w:rsidR="00781555" w:rsidRPr="00864A39" w:rsidRDefault="00781555" w:rsidP="001821AF">
            <w:pPr>
              <w:spacing w:before="120" w:after="120" w:line="228" w:lineRule="auto"/>
              <w:rPr>
                <w:rFonts w:ascii="Perpetua" w:hAnsi="Perpetua"/>
                <w:sz w:val="32"/>
                <w:szCs w:val="28"/>
              </w:rPr>
            </w:pPr>
            <w:r w:rsidRPr="00864A39">
              <w:rPr>
                <w:rFonts w:ascii="Perpetua" w:hAnsi="Perpetua"/>
                <w:b/>
                <w:bCs/>
                <w:sz w:val="32"/>
                <w:szCs w:val="28"/>
              </w:rPr>
              <w:t>Examples:</w:t>
            </w:r>
          </w:p>
        </w:tc>
        <w:tc>
          <w:tcPr>
            <w:tcW w:w="5233" w:type="dxa"/>
          </w:tcPr>
          <w:p w14:paraId="0B3FE331"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0DF240A2" w14:textId="77777777" w:rsidTr="002610F7">
        <w:tc>
          <w:tcPr>
            <w:tcW w:w="9445" w:type="dxa"/>
            <w:gridSpan w:val="6"/>
          </w:tcPr>
          <w:p w14:paraId="1752D0DE" w14:textId="77777777" w:rsidR="00781555" w:rsidRPr="00864A39" w:rsidRDefault="00781555" w:rsidP="00263087">
            <w:pPr>
              <w:spacing w:before="120" w:line="228" w:lineRule="auto"/>
              <w:rPr>
                <w:rFonts w:ascii="Perpetua" w:hAnsi="Perpetua"/>
                <w:sz w:val="32"/>
                <w:szCs w:val="28"/>
              </w:rPr>
            </w:pPr>
            <w:r w:rsidRPr="00864A39">
              <w:rPr>
                <w:rFonts w:ascii="Perpetua" w:hAnsi="Perpetua"/>
                <w:sz w:val="32"/>
                <w:szCs w:val="28"/>
              </w:rPr>
              <w:t>In examples 1 - 5, assume the following:</w:t>
            </w:r>
          </w:p>
          <w:p w14:paraId="14F6D4C0"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Partnership X has a 20% apportionment factor in this state.</w:t>
            </w:r>
          </w:p>
          <w:p w14:paraId="5C4C829F"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Partnership X’s Federal 1065 shows $150,000 of gross receipts and $50,000 of guaranteed payments and no other income or deductions.</w:t>
            </w:r>
          </w:p>
          <w:p w14:paraId="7E3BE26D"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Smith is a nonresident partner that holds a 10% interest in Partnership X.</w:t>
            </w:r>
          </w:p>
          <w:p w14:paraId="5A6A798A"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Jones is a nonresident partner that holds a 90% interest in Partnership X.</w:t>
            </w:r>
          </w:p>
          <w:p w14:paraId="41C58C68" w14:textId="77777777" w:rsidR="00781555" w:rsidRPr="00864A39"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The Partnership X agreement provides that Smith will receive the $50,000 in guaranteed payments and Smith and Jones will be allocated distributive share items according to their respective interests in the partnership.</w:t>
            </w:r>
          </w:p>
          <w:p w14:paraId="768E86E5" w14:textId="7ACF15DD" w:rsidR="00781555" w:rsidRPr="00032CB2" w:rsidRDefault="00781555" w:rsidP="00111E0D">
            <w:pPr>
              <w:numPr>
                <w:ilvl w:val="0"/>
                <w:numId w:val="4"/>
              </w:numPr>
              <w:spacing w:line="228" w:lineRule="auto"/>
              <w:rPr>
                <w:rFonts w:ascii="Perpetua" w:hAnsi="Perpetua"/>
                <w:sz w:val="32"/>
                <w:szCs w:val="28"/>
              </w:rPr>
            </w:pPr>
            <w:r w:rsidRPr="00864A39">
              <w:rPr>
                <w:rFonts w:ascii="Perpetua" w:hAnsi="Perpetua"/>
                <w:sz w:val="32"/>
                <w:szCs w:val="28"/>
              </w:rPr>
              <w:t>Neither Smith nor Jones has other income in this state.</w:t>
            </w:r>
          </w:p>
        </w:tc>
        <w:tc>
          <w:tcPr>
            <w:tcW w:w="5233" w:type="dxa"/>
          </w:tcPr>
          <w:p w14:paraId="46CEFDFA" w14:textId="2C671198"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4A513B4E" w14:textId="77777777" w:rsidTr="002610F7">
        <w:tc>
          <w:tcPr>
            <w:tcW w:w="535" w:type="dxa"/>
            <w:gridSpan w:val="2"/>
          </w:tcPr>
          <w:p w14:paraId="1CF411E1" w14:textId="77777777" w:rsidR="00E343D8" w:rsidRPr="008F2CF7" w:rsidRDefault="00E343D8" w:rsidP="001821AF">
            <w:pPr>
              <w:spacing w:before="120" w:after="120" w:line="228" w:lineRule="auto"/>
              <w:rPr>
                <w:rFonts w:ascii="Perpetua" w:hAnsi="Perpetua" w:cs="Leelawadee"/>
                <w:sz w:val="28"/>
              </w:rPr>
            </w:pPr>
          </w:p>
        </w:tc>
        <w:tc>
          <w:tcPr>
            <w:tcW w:w="8910" w:type="dxa"/>
            <w:gridSpan w:val="4"/>
          </w:tcPr>
          <w:p w14:paraId="6478AB79" w14:textId="272EDFD0"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u w:val="single"/>
              </w:rPr>
              <w:t>Simple Example 1</w:t>
            </w:r>
            <w:r w:rsidRPr="00864A39">
              <w:rPr>
                <w:rFonts w:ascii="Perpetua" w:hAnsi="Perpetua"/>
                <w:sz w:val="32"/>
                <w:szCs w:val="28"/>
              </w:rPr>
              <w:t xml:space="preserve">: </w:t>
            </w:r>
          </w:p>
          <w:p w14:paraId="045730E7" w14:textId="77777777"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rPr>
              <w:t xml:space="preserve">Partnership X will have $100,000 ($150,000 gross receipts - $50,000 guaranteed payment) of ordinary business income that it will pass through to Jones and Smith. As a result, Smith’s distributive share of partnership ordinary business income will be $10,000, and Jones’ distributive share will be $90,000. Partnership X’s apportionment factors will apply to the distributive shares so Smith will have an apportioned distributive share of $2,000 in this state and Jones will have an apportioned distributive share of $18,000 in this state. </w:t>
            </w:r>
          </w:p>
          <w:p w14:paraId="7A75427A" w14:textId="1FFBCFA2"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rPr>
              <w:lastRenderedPageBreak/>
              <w:t>Pursuant to subsection (b), Smith will also apportion 20% of her guaranteed payment ($10,000) to this state. As a result, Smith’s taxable income in this state will be $12,000.</w:t>
            </w:r>
          </w:p>
        </w:tc>
        <w:tc>
          <w:tcPr>
            <w:tcW w:w="5233" w:type="dxa"/>
          </w:tcPr>
          <w:p w14:paraId="0E32B4DD"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6A85562F" w14:textId="77777777" w:rsidTr="002610F7">
        <w:tc>
          <w:tcPr>
            <w:tcW w:w="535" w:type="dxa"/>
            <w:gridSpan w:val="2"/>
          </w:tcPr>
          <w:p w14:paraId="4AED2A13" w14:textId="77777777" w:rsidR="00781555" w:rsidRPr="008F2CF7" w:rsidRDefault="00781555" w:rsidP="001821AF">
            <w:pPr>
              <w:spacing w:before="120" w:after="120" w:line="228" w:lineRule="auto"/>
              <w:rPr>
                <w:rFonts w:ascii="Perpetua" w:hAnsi="Perpetua" w:cs="Leelawadee"/>
                <w:sz w:val="28"/>
              </w:rPr>
            </w:pPr>
          </w:p>
        </w:tc>
        <w:tc>
          <w:tcPr>
            <w:tcW w:w="8910" w:type="dxa"/>
            <w:gridSpan w:val="4"/>
          </w:tcPr>
          <w:p w14:paraId="52802340" w14:textId="3DAD9E1D"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u w:val="single"/>
              </w:rPr>
              <w:t>Example 2</w:t>
            </w:r>
            <w:r w:rsidRPr="00864A39">
              <w:rPr>
                <w:rFonts w:ascii="Perpetua" w:hAnsi="Perpetua"/>
                <w:sz w:val="32"/>
                <w:szCs w:val="28"/>
              </w:rPr>
              <w:t>: Assume also that Smith is a retired partner, and the guaranteed payment meets the requirements of “retirement income” as defined in 4 U.S.C. § 114(b)(1)(I).</w:t>
            </w:r>
          </w:p>
          <w:p w14:paraId="077401A2" w14:textId="5A31DD07" w:rsidR="00781555" w:rsidRPr="00864A39" w:rsidRDefault="00781555" w:rsidP="001821AF">
            <w:pPr>
              <w:spacing w:before="120" w:after="120" w:line="228" w:lineRule="auto"/>
              <w:rPr>
                <w:rFonts w:ascii="Perpetua" w:hAnsi="Perpetua"/>
                <w:sz w:val="32"/>
                <w:szCs w:val="28"/>
                <w:u w:val="single"/>
              </w:rPr>
            </w:pPr>
            <w:r w:rsidRPr="00864A39">
              <w:rPr>
                <w:rFonts w:ascii="Perpetua" w:hAnsi="Perpetua"/>
                <w:sz w:val="32"/>
                <w:szCs w:val="28"/>
              </w:rPr>
              <w:t>In this scenario, subsection (c) provides that the entire guaranteed payment will be sourced outside of this state. Other items of distributive share will be sourced according to [</w:t>
            </w:r>
            <w:r w:rsidR="00727A32" w:rsidRPr="00864A39">
              <w:rPr>
                <w:rFonts w:ascii="Perpetua" w:hAnsi="Perpetua"/>
                <w:sz w:val="32"/>
                <w:szCs w:val="28"/>
              </w:rPr>
              <w:t>REFERENCE TO MODEL STATUTORY PROVISIONS ABOVE</w:t>
            </w:r>
            <w:r w:rsidRPr="00864A39">
              <w:rPr>
                <w:rFonts w:ascii="Perpetua" w:hAnsi="Perpetua"/>
                <w:sz w:val="32"/>
                <w:szCs w:val="28"/>
              </w:rPr>
              <w:t>]. As a result, Smith and Jones will have $2,000 and $18,000, respectively, of apportioned distributive share income in this state.</w:t>
            </w:r>
          </w:p>
        </w:tc>
        <w:tc>
          <w:tcPr>
            <w:tcW w:w="5233" w:type="dxa"/>
          </w:tcPr>
          <w:p w14:paraId="32A12140"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188EAC7F" w14:textId="77777777" w:rsidTr="002610F7">
        <w:tc>
          <w:tcPr>
            <w:tcW w:w="535" w:type="dxa"/>
            <w:gridSpan w:val="2"/>
          </w:tcPr>
          <w:p w14:paraId="6AF06524" w14:textId="77777777" w:rsidR="00781555" w:rsidRPr="008F2CF7" w:rsidRDefault="00781555" w:rsidP="001821AF">
            <w:pPr>
              <w:spacing w:before="120" w:after="120" w:line="228" w:lineRule="auto"/>
              <w:rPr>
                <w:rFonts w:ascii="Perpetua" w:hAnsi="Perpetua" w:cs="Leelawadee"/>
                <w:sz w:val="28"/>
              </w:rPr>
            </w:pPr>
          </w:p>
        </w:tc>
        <w:tc>
          <w:tcPr>
            <w:tcW w:w="8910" w:type="dxa"/>
            <w:gridSpan w:val="4"/>
          </w:tcPr>
          <w:p w14:paraId="6666AE4D" w14:textId="7AEB6A79"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u w:val="single"/>
              </w:rPr>
              <w:t>Example 3</w:t>
            </w:r>
            <w:r w:rsidRPr="00864A39">
              <w:rPr>
                <w:rFonts w:ascii="Perpetua" w:hAnsi="Perpetua"/>
                <w:sz w:val="32"/>
                <w:szCs w:val="28"/>
              </w:rPr>
              <w:t>: Assume Smith receives the guaranteed payment for services performed outside of the United States.</w:t>
            </w:r>
          </w:p>
          <w:p w14:paraId="2365074C" w14:textId="077E2788" w:rsidR="00781555" w:rsidRPr="00864A39" w:rsidRDefault="00781555" w:rsidP="001821AF">
            <w:pPr>
              <w:spacing w:before="120" w:after="120" w:line="228" w:lineRule="auto"/>
              <w:rPr>
                <w:rFonts w:ascii="Perpetua" w:hAnsi="Perpetua"/>
                <w:sz w:val="32"/>
                <w:szCs w:val="28"/>
                <w:u w:val="single"/>
              </w:rPr>
            </w:pPr>
            <w:r w:rsidRPr="00864A39">
              <w:rPr>
                <w:rFonts w:ascii="Perpetua" w:hAnsi="Perpetua"/>
                <w:sz w:val="32"/>
                <w:szCs w:val="28"/>
              </w:rPr>
              <w:t>Under [</w:t>
            </w:r>
            <w:r w:rsidR="00727A32" w:rsidRPr="00864A39">
              <w:rPr>
                <w:rFonts w:ascii="Perpetua" w:hAnsi="Perpetua"/>
                <w:sz w:val="32"/>
                <w:szCs w:val="28"/>
              </w:rPr>
              <w:t>REFERENCE TO THE MODEL ACT, SUBSECTION (C)</w:t>
            </w:r>
            <w:r w:rsidRPr="00864A39">
              <w:rPr>
                <w:rFonts w:ascii="Perpetua" w:hAnsi="Perpetua"/>
                <w:sz w:val="32"/>
                <w:szCs w:val="28"/>
              </w:rPr>
              <w:t>], guaranteed payments made to foreign partners are sourced the same as guaranteed payments made to domestic nonresident partners. Therefore, the result will be the same as in example 1, above.</w:t>
            </w:r>
          </w:p>
        </w:tc>
        <w:tc>
          <w:tcPr>
            <w:tcW w:w="5233" w:type="dxa"/>
          </w:tcPr>
          <w:p w14:paraId="225E5925" w14:textId="77777777" w:rsidR="00781555" w:rsidRPr="002610F7" w:rsidRDefault="00781555" w:rsidP="00BC6DC0">
            <w:pPr>
              <w:spacing w:before="120" w:after="120" w:line="276" w:lineRule="auto"/>
              <w:rPr>
                <w:rFonts w:ascii="Tahoma" w:hAnsi="Tahoma" w:cs="Tahoma"/>
                <w:color w:val="7A18FC"/>
                <w:sz w:val="22"/>
                <w:szCs w:val="22"/>
              </w:rPr>
            </w:pPr>
          </w:p>
        </w:tc>
      </w:tr>
      <w:tr w:rsidR="00781555" w:rsidRPr="008F2CF7" w14:paraId="21F80ECB" w14:textId="77777777" w:rsidTr="002610F7">
        <w:tc>
          <w:tcPr>
            <w:tcW w:w="9445" w:type="dxa"/>
            <w:gridSpan w:val="6"/>
          </w:tcPr>
          <w:p w14:paraId="7EEE92D6" w14:textId="7C1338CA" w:rsidR="00781555" w:rsidRPr="00864A39" w:rsidRDefault="00781555" w:rsidP="001821AF">
            <w:pPr>
              <w:spacing w:before="120" w:after="120" w:line="228" w:lineRule="auto"/>
              <w:rPr>
                <w:rFonts w:ascii="Perpetua" w:hAnsi="Perpetua"/>
                <w:sz w:val="32"/>
                <w:szCs w:val="28"/>
              </w:rPr>
            </w:pPr>
            <w:r w:rsidRPr="00864A39">
              <w:rPr>
                <w:rFonts w:ascii="Perpetua" w:hAnsi="Perpetua"/>
                <w:sz w:val="32"/>
                <w:szCs w:val="28"/>
              </w:rPr>
              <w:t>In examples 4 and 5, assume the following:</w:t>
            </w:r>
          </w:p>
          <w:p w14:paraId="218405D8" w14:textId="77777777" w:rsidR="00781555" w:rsidRPr="00864A39" w:rsidRDefault="00781555" w:rsidP="00111E0D">
            <w:pPr>
              <w:numPr>
                <w:ilvl w:val="0"/>
                <w:numId w:val="6"/>
              </w:numPr>
              <w:spacing w:line="228" w:lineRule="auto"/>
              <w:rPr>
                <w:rFonts w:ascii="Perpetua" w:hAnsi="Perpetua"/>
                <w:sz w:val="32"/>
                <w:szCs w:val="28"/>
              </w:rPr>
            </w:pPr>
            <w:r w:rsidRPr="00864A39">
              <w:rPr>
                <w:rFonts w:ascii="Perpetua" w:hAnsi="Perpetua"/>
                <w:sz w:val="32"/>
                <w:szCs w:val="28"/>
              </w:rPr>
              <w:t>Partnership X has offices and activities in this state.</w:t>
            </w:r>
          </w:p>
          <w:p w14:paraId="60E0F91F" w14:textId="77777777" w:rsidR="00781555" w:rsidRPr="00864A39" w:rsidRDefault="00781555" w:rsidP="00111E0D">
            <w:pPr>
              <w:numPr>
                <w:ilvl w:val="0"/>
                <w:numId w:val="6"/>
              </w:numPr>
              <w:spacing w:line="228" w:lineRule="auto"/>
              <w:rPr>
                <w:rFonts w:ascii="Perpetua" w:hAnsi="Perpetua"/>
                <w:sz w:val="32"/>
                <w:szCs w:val="28"/>
              </w:rPr>
            </w:pPr>
            <w:r w:rsidRPr="00864A39">
              <w:rPr>
                <w:rFonts w:ascii="Perpetua" w:hAnsi="Perpetua"/>
                <w:sz w:val="32"/>
                <w:szCs w:val="28"/>
              </w:rPr>
              <w:t>Partnership X has a 20% apportionment factor in this state.</w:t>
            </w:r>
          </w:p>
          <w:p w14:paraId="31C2094E"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Partnership X’s Federal 1065 shows $40,000 of gross receipts and no other income.</w:t>
            </w:r>
          </w:p>
          <w:p w14:paraId="7BEBD684"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Partnership X’s Federal 1065 shows a $50,000 guaranteed payment and no other deductions.</w:t>
            </w:r>
          </w:p>
          <w:p w14:paraId="21917659"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Smith is a nonresident partner that holds a 10% interest in Partnership X.</w:t>
            </w:r>
          </w:p>
          <w:p w14:paraId="6475F97D"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lastRenderedPageBreak/>
              <w:t>Jones is a nonresident partner that holds a 90% interest in Partnership X.</w:t>
            </w:r>
          </w:p>
          <w:p w14:paraId="1CF1235A" w14:textId="77777777" w:rsidR="00781555" w:rsidRPr="00864A39" w:rsidRDefault="00781555" w:rsidP="00111E0D">
            <w:pPr>
              <w:numPr>
                <w:ilvl w:val="0"/>
                <w:numId w:val="5"/>
              </w:numPr>
              <w:spacing w:line="228" w:lineRule="auto"/>
              <w:ind w:left="1440"/>
              <w:rPr>
                <w:rFonts w:ascii="Perpetua" w:hAnsi="Perpetua"/>
                <w:sz w:val="32"/>
                <w:szCs w:val="28"/>
              </w:rPr>
            </w:pPr>
            <w:r w:rsidRPr="00864A39">
              <w:rPr>
                <w:rFonts w:ascii="Perpetua" w:hAnsi="Perpetua"/>
                <w:sz w:val="32"/>
                <w:szCs w:val="28"/>
              </w:rPr>
              <w:t>The Partnership X agreement provides that Smith and Jones will allocate distributive share items according to their respective interests in the partnership.</w:t>
            </w:r>
          </w:p>
          <w:p w14:paraId="399B9CDC" w14:textId="0D7F456B" w:rsidR="00781555" w:rsidRPr="00864A39" w:rsidRDefault="00781555" w:rsidP="00111E0D">
            <w:pPr>
              <w:numPr>
                <w:ilvl w:val="0"/>
                <w:numId w:val="5"/>
              </w:numPr>
              <w:spacing w:after="120" w:line="228" w:lineRule="auto"/>
              <w:ind w:left="1440"/>
              <w:rPr>
                <w:rFonts w:ascii="Perpetua" w:hAnsi="Perpetua"/>
                <w:sz w:val="32"/>
                <w:szCs w:val="28"/>
              </w:rPr>
            </w:pPr>
            <w:r w:rsidRPr="00864A39">
              <w:rPr>
                <w:rFonts w:ascii="Perpetua" w:hAnsi="Perpetua"/>
                <w:sz w:val="32"/>
                <w:szCs w:val="28"/>
              </w:rPr>
              <w:t>Neither Smith nor Jones has other income.</w:t>
            </w:r>
          </w:p>
        </w:tc>
        <w:tc>
          <w:tcPr>
            <w:tcW w:w="5233" w:type="dxa"/>
          </w:tcPr>
          <w:p w14:paraId="48AFF934" w14:textId="77777777" w:rsidR="00781555" w:rsidRPr="002610F7" w:rsidRDefault="00781555" w:rsidP="00BC6DC0">
            <w:pPr>
              <w:spacing w:before="120" w:after="120" w:line="276" w:lineRule="auto"/>
              <w:rPr>
                <w:rFonts w:ascii="Tahoma" w:hAnsi="Tahoma" w:cs="Tahoma"/>
                <w:color w:val="7A18FC"/>
                <w:sz w:val="22"/>
                <w:szCs w:val="22"/>
              </w:rPr>
            </w:pPr>
          </w:p>
        </w:tc>
      </w:tr>
      <w:tr w:rsidR="00756446" w:rsidRPr="008F2CF7" w14:paraId="311926F2" w14:textId="77777777" w:rsidTr="002610F7">
        <w:tc>
          <w:tcPr>
            <w:tcW w:w="535" w:type="dxa"/>
            <w:gridSpan w:val="2"/>
          </w:tcPr>
          <w:p w14:paraId="30B8F2DD" w14:textId="77777777" w:rsidR="00756446" w:rsidRPr="008F2CF7" w:rsidRDefault="00756446" w:rsidP="001821AF">
            <w:pPr>
              <w:spacing w:before="120" w:after="120" w:line="228" w:lineRule="auto"/>
              <w:rPr>
                <w:rFonts w:ascii="Perpetua" w:hAnsi="Perpetua" w:cs="Leelawadee"/>
                <w:sz w:val="28"/>
              </w:rPr>
            </w:pPr>
          </w:p>
        </w:tc>
        <w:tc>
          <w:tcPr>
            <w:tcW w:w="8910" w:type="dxa"/>
            <w:gridSpan w:val="4"/>
          </w:tcPr>
          <w:p w14:paraId="724F7475" w14:textId="77777777" w:rsidR="00756446" w:rsidRPr="00864A39" w:rsidRDefault="00756446" w:rsidP="001821AF">
            <w:pPr>
              <w:spacing w:before="120" w:after="120" w:line="228" w:lineRule="auto"/>
              <w:rPr>
                <w:rFonts w:ascii="Perpetua" w:hAnsi="Perpetua"/>
                <w:sz w:val="32"/>
                <w:szCs w:val="28"/>
              </w:rPr>
            </w:pPr>
            <w:r w:rsidRPr="00864A39">
              <w:rPr>
                <w:rFonts w:ascii="Perpetua" w:hAnsi="Perpetua"/>
                <w:sz w:val="32"/>
                <w:szCs w:val="28"/>
                <w:u w:val="single"/>
              </w:rPr>
              <w:t>Simple Example 4</w:t>
            </w:r>
            <w:r w:rsidRPr="00864A39">
              <w:rPr>
                <w:rFonts w:ascii="Perpetua" w:hAnsi="Perpetua"/>
                <w:sz w:val="32"/>
                <w:szCs w:val="28"/>
              </w:rPr>
              <w:t>:</w:t>
            </w:r>
          </w:p>
          <w:p w14:paraId="6D338FA2" w14:textId="77777777" w:rsidR="00756446" w:rsidRPr="00864A39" w:rsidRDefault="00756446" w:rsidP="001821AF">
            <w:pPr>
              <w:spacing w:before="120" w:after="120" w:line="228" w:lineRule="auto"/>
              <w:rPr>
                <w:rFonts w:ascii="Perpetua" w:hAnsi="Perpetua"/>
                <w:sz w:val="32"/>
                <w:szCs w:val="28"/>
              </w:rPr>
            </w:pPr>
            <w:r w:rsidRPr="00864A39">
              <w:rPr>
                <w:rFonts w:ascii="Perpetua" w:hAnsi="Perpetua"/>
                <w:sz w:val="32"/>
                <w:szCs w:val="28"/>
              </w:rPr>
              <w:t xml:space="preserve">Partnership X will have $10,000 of ordinary business loss ($40,000 gross receipts - $50,000 guaranteed payment). Smith and Jones will have $1,000 and $9,000, respectively of distributive share of this ordinary business loss. Partnership X’s apportionment factors will apply to the distributive shares so Smith will have an apportioned distributive share loss of $200 in this state and Jones will have an apportioned distributive share loss of $1,800 in this state. </w:t>
            </w:r>
          </w:p>
          <w:p w14:paraId="4249C4D4" w14:textId="6E1A1FAD" w:rsidR="00756446" w:rsidRPr="00864A39" w:rsidRDefault="00756446" w:rsidP="001821AF">
            <w:pPr>
              <w:spacing w:before="120" w:after="120" w:line="228" w:lineRule="auto"/>
              <w:rPr>
                <w:rFonts w:ascii="Perpetua" w:hAnsi="Perpetua"/>
                <w:sz w:val="32"/>
                <w:szCs w:val="28"/>
                <w:u w:val="single"/>
              </w:rPr>
            </w:pPr>
            <w:r w:rsidRPr="00864A39">
              <w:rPr>
                <w:rFonts w:ascii="Perpetua" w:hAnsi="Perpetua"/>
                <w:sz w:val="32"/>
                <w:szCs w:val="28"/>
              </w:rPr>
              <w:t>Pursuant to subsection (b), Smith will also apportion 20% of her guaranteed payment to this state. So, her apportioned guaranteed payment will be $10,000, which gives Smith total apportioned income in this state of $9,800.</w:t>
            </w:r>
          </w:p>
        </w:tc>
        <w:tc>
          <w:tcPr>
            <w:tcW w:w="5233" w:type="dxa"/>
          </w:tcPr>
          <w:p w14:paraId="561CFCC0" w14:textId="77777777" w:rsidR="00756446" w:rsidRPr="002610F7" w:rsidRDefault="00756446" w:rsidP="00BC6DC0">
            <w:pPr>
              <w:spacing w:before="120" w:after="120" w:line="276" w:lineRule="auto"/>
              <w:rPr>
                <w:rFonts w:ascii="Tahoma" w:hAnsi="Tahoma" w:cs="Tahoma"/>
                <w:color w:val="7A18FC"/>
                <w:sz w:val="22"/>
                <w:szCs w:val="22"/>
              </w:rPr>
            </w:pPr>
          </w:p>
        </w:tc>
      </w:tr>
      <w:tr w:rsidR="00756446" w:rsidRPr="008F2CF7" w14:paraId="329A3CDC" w14:textId="77777777" w:rsidTr="002610F7">
        <w:tc>
          <w:tcPr>
            <w:tcW w:w="535" w:type="dxa"/>
            <w:gridSpan w:val="2"/>
          </w:tcPr>
          <w:p w14:paraId="2C4B1780" w14:textId="77777777" w:rsidR="00756446" w:rsidRPr="008F2CF7" w:rsidRDefault="00756446" w:rsidP="001821AF">
            <w:pPr>
              <w:spacing w:before="120" w:after="120" w:line="228" w:lineRule="auto"/>
              <w:rPr>
                <w:rFonts w:ascii="Perpetua" w:hAnsi="Perpetua" w:cs="Leelawadee"/>
                <w:sz w:val="28"/>
              </w:rPr>
            </w:pPr>
          </w:p>
        </w:tc>
        <w:tc>
          <w:tcPr>
            <w:tcW w:w="8910" w:type="dxa"/>
            <w:gridSpan w:val="4"/>
          </w:tcPr>
          <w:p w14:paraId="5D05784A" w14:textId="77777777" w:rsidR="00756446" w:rsidRPr="00864A39" w:rsidRDefault="00756446" w:rsidP="001821AF">
            <w:pPr>
              <w:spacing w:before="120" w:after="120" w:line="228" w:lineRule="auto"/>
              <w:rPr>
                <w:rFonts w:ascii="Perpetua" w:hAnsi="Perpetua"/>
                <w:sz w:val="32"/>
                <w:szCs w:val="28"/>
              </w:rPr>
            </w:pPr>
            <w:r w:rsidRPr="00864A39">
              <w:rPr>
                <w:rFonts w:ascii="Perpetua" w:hAnsi="Perpetua"/>
                <w:sz w:val="32"/>
                <w:szCs w:val="28"/>
                <w:u w:val="single"/>
              </w:rPr>
              <w:t>Example 5</w:t>
            </w:r>
            <w:r w:rsidRPr="00864A39">
              <w:rPr>
                <w:rFonts w:ascii="Perpetua" w:hAnsi="Perpetua"/>
                <w:sz w:val="32"/>
                <w:szCs w:val="28"/>
              </w:rPr>
              <w:t>: Smith is a retired partner, and the guaranteed payment meets the requirements of “retirement income” as defined in 4 U.S.C. § 114(b)(1)(I).</w:t>
            </w:r>
          </w:p>
          <w:p w14:paraId="166137D7" w14:textId="45778161" w:rsidR="00756446" w:rsidRPr="00E14CBB" w:rsidRDefault="00756446" w:rsidP="001821AF">
            <w:pPr>
              <w:spacing w:before="120" w:after="120" w:line="228" w:lineRule="auto"/>
              <w:rPr>
                <w:rFonts w:ascii="Perpetua" w:hAnsi="Perpetua"/>
                <w:sz w:val="28"/>
              </w:rPr>
            </w:pPr>
            <w:r w:rsidRPr="00864A39">
              <w:rPr>
                <w:rFonts w:ascii="Perpetua" w:hAnsi="Perpetua"/>
                <w:sz w:val="32"/>
                <w:szCs w:val="28"/>
              </w:rPr>
              <w:t>In this scenario, subsection (c) provides that the entire guaranteed payment will be sourced outside of this state. Other items of distributive share will be sourced according to [</w:t>
            </w:r>
            <w:r w:rsidR="00727A32" w:rsidRPr="00864A39">
              <w:rPr>
                <w:rFonts w:ascii="Perpetua" w:hAnsi="Perpetua"/>
                <w:sz w:val="32"/>
                <w:szCs w:val="28"/>
              </w:rPr>
              <w:t>REFERENCE TO STATE SOURCING STATUTES AND RULES APPLICABLE TO DISTRIBUTIVE SHARE ITEMS</w:t>
            </w:r>
            <w:r w:rsidRPr="00864A39">
              <w:rPr>
                <w:rFonts w:ascii="Perpetua" w:hAnsi="Perpetua"/>
                <w:sz w:val="32"/>
                <w:szCs w:val="28"/>
              </w:rPr>
              <w:t>]. As a result, Smith will have $200 of apportioned distributive share loss in this state and Jones will have an apportioned distributive share loss of $1,800 in this state.</w:t>
            </w:r>
          </w:p>
        </w:tc>
        <w:tc>
          <w:tcPr>
            <w:tcW w:w="5233" w:type="dxa"/>
          </w:tcPr>
          <w:p w14:paraId="09C3AB96" w14:textId="77777777" w:rsidR="00756446" w:rsidRPr="002610F7" w:rsidRDefault="00756446" w:rsidP="00BC6DC0">
            <w:pPr>
              <w:spacing w:before="120" w:after="120" w:line="276" w:lineRule="auto"/>
              <w:rPr>
                <w:rFonts w:ascii="Tahoma" w:hAnsi="Tahoma" w:cs="Tahoma"/>
                <w:color w:val="7A18FC"/>
                <w:sz w:val="22"/>
                <w:szCs w:val="22"/>
              </w:rPr>
            </w:pPr>
          </w:p>
        </w:tc>
      </w:tr>
      <w:tr w:rsidR="00701905" w:rsidRPr="008F2CF7" w14:paraId="6DA5BF01" w14:textId="77777777" w:rsidTr="00A22F44">
        <w:tc>
          <w:tcPr>
            <w:tcW w:w="14678" w:type="dxa"/>
            <w:gridSpan w:val="7"/>
          </w:tcPr>
          <w:p w14:paraId="0C31CD83" w14:textId="3A1344DB" w:rsidR="00701905" w:rsidRPr="00701905" w:rsidRDefault="00701905" w:rsidP="001821AF">
            <w:pPr>
              <w:spacing w:before="120" w:after="120" w:line="228" w:lineRule="auto"/>
              <w:rPr>
                <w:rFonts w:ascii="Perpetua" w:hAnsi="Perpetua"/>
                <w:b/>
                <w:bCs/>
                <w:sz w:val="28"/>
                <w:u w:val="single"/>
              </w:rPr>
            </w:pPr>
            <w:r w:rsidRPr="00864A39">
              <w:rPr>
                <w:rFonts w:ascii="Perpetua" w:hAnsi="Perpetua"/>
                <w:b/>
                <w:bCs/>
                <w:sz w:val="32"/>
                <w:szCs w:val="28"/>
                <w:u w:val="single"/>
              </w:rPr>
              <w:lastRenderedPageBreak/>
              <w:t>CREDIT STATUTORY SECTION #</w:t>
            </w:r>
          </w:p>
        </w:tc>
      </w:tr>
      <w:tr w:rsidR="00D03D2C" w:rsidRPr="008F2CF7" w14:paraId="225F0854" w14:textId="77777777">
        <w:tc>
          <w:tcPr>
            <w:tcW w:w="535" w:type="dxa"/>
            <w:gridSpan w:val="2"/>
          </w:tcPr>
          <w:p w14:paraId="1DBE90E8" w14:textId="77777777" w:rsidR="00D03D2C" w:rsidRDefault="00D03D2C" w:rsidP="001821AF">
            <w:pPr>
              <w:spacing w:before="120" w:after="120" w:line="228" w:lineRule="auto"/>
              <w:rPr>
                <w:rFonts w:ascii="Perpetua" w:hAnsi="Perpetua" w:cs="Leelawadee"/>
                <w:sz w:val="28"/>
              </w:rPr>
            </w:pPr>
          </w:p>
        </w:tc>
        <w:tc>
          <w:tcPr>
            <w:tcW w:w="14143" w:type="dxa"/>
            <w:gridSpan w:val="5"/>
          </w:tcPr>
          <w:p w14:paraId="17A4A51D" w14:textId="2BC09F7B" w:rsidR="00D03D2C" w:rsidRPr="00174E80" w:rsidRDefault="00D03D2C" w:rsidP="001821AF">
            <w:pPr>
              <w:spacing w:line="276" w:lineRule="auto"/>
              <w:rPr>
                <w:rFonts w:ascii="Perpetua" w:hAnsi="Perpetua" w:cs="Leelawadee"/>
                <w:b/>
                <w:bCs/>
                <w:i/>
                <w:iCs/>
                <w:sz w:val="30"/>
                <w:szCs w:val="30"/>
              </w:rPr>
            </w:pPr>
            <w:r w:rsidRPr="00174E80">
              <w:rPr>
                <w:rFonts w:ascii="Perpetua" w:hAnsi="Perpetua" w:cs="Leelawadee"/>
                <w:i/>
                <w:iCs/>
                <w:color w:val="0040F6"/>
                <w:sz w:val="32"/>
              </w:rPr>
              <w:t>Drafter’s Note: The additional credit below recognizes that a minority of states source guaranteed payments for services based on the location of the performance of the service. This credit is drafted as a statute to be adopted by residency states that source guaranteed payments in the same way as distributive share, and may wish to provide their residents with a credit if they would otherwise pay tax on the guaranteed payment sourced to the location of performance.</w:t>
            </w:r>
          </w:p>
        </w:tc>
      </w:tr>
      <w:tr w:rsidR="003F13B4" w:rsidRPr="008F2CF7" w14:paraId="2D8AE59F" w14:textId="77777777" w:rsidTr="00A22F44">
        <w:tc>
          <w:tcPr>
            <w:tcW w:w="14678" w:type="dxa"/>
            <w:gridSpan w:val="7"/>
          </w:tcPr>
          <w:p w14:paraId="161289DC" w14:textId="77777777" w:rsidR="0011245E" w:rsidRDefault="0011245E" w:rsidP="001821AF">
            <w:pPr>
              <w:spacing w:line="276" w:lineRule="auto"/>
              <w:rPr>
                <w:rFonts w:ascii="Perpetua" w:hAnsi="Perpetua"/>
                <w:b/>
                <w:bCs/>
                <w:sz w:val="32"/>
                <w:szCs w:val="28"/>
              </w:rPr>
            </w:pPr>
          </w:p>
          <w:p w14:paraId="4F41E213" w14:textId="05E750C7" w:rsidR="003F13B4" w:rsidRPr="00864A39" w:rsidRDefault="003F13B4" w:rsidP="001821AF">
            <w:pPr>
              <w:spacing w:line="276" w:lineRule="auto"/>
              <w:rPr>
                <w:rFonts w:ascii="Perpetua" w:hAnsi="Perpetua" w:cs="Leelawadee"/>
                <w:b/>
                <w:bCs/>
                <w:sz w:val="32"/>
                <w:szCs w:val="28"/>
              </w:rPr>
            </w:pPr>
            <w:r w:rsidRPr="00864A39">
              <w:rPr>
                <w:rFonts w:ascii="Perpetua" w:hAnsi="Perpetua"/>
                <w:b/>
                <w:bCs/>
                <w:sz w:val="32"/>
                <w:szCs w:val="28"/>
              </w:rPr>
              <w:t>Part I. Additional Credit for Taxes Paid to Other States on Certain Guaranteed Payments</w:t>
            </w:r>
          </w:p>
        </w:tc>
      </w:tr>
      <w:tr w:rsidR="00D03D2C" w:rsidRPr="008F2CF7" w14:paraId="7F5F19EF" w14:textId="77777777">
        <w:tc>
          <w:tcPr>
            <w:tcW w:w="445" w:type="dxa"/>
          </w:tcPr>
          <w:p w14:paraId="2ABB2CC1" w14:textId="77777777" w:rsidR="00D03D2C" w:rsidRDefault="00D03D2C" w:rsidP="001821AF">
            <w:pPr>
              <w:spacing w:before="120" w:after="120" w:line="228" w:lineRule="auto"/>
              <w:rPr>
                <w:rFonts w:ascii="Perpetua" w:hAnsi="Perpetua" w:cs="Leelawadee"/>
                <w:sz w:val="28"/>
              </w:rPr>
            </w:pPr>
          </w:p>
        </w:tc>
        <w:tc>
          <w:tcPr>
            <w:tcW w:w="14233" w:type="dxa"/>
            <w:gridSpan w:val="6"/>
          </w:tcPr>
          <w:p w14:paraId="0B881A21" w14:textId="4178365F" w:rsidR="00D03D2C" w:rsidRPr="00174E80" w:rsidRDefault="00D03D2C" w:rsidP="001821AF">
            <w:pPr>
              <w:spacing w:line="276" w:lineRule="auto"/>
              <w:rPr>
                <w:rFonts w:ascii="Perpetua" w:hAnsi="Perpetua" w:cs="Leelawadee"/>
                <w:b/>
                <w:bCs/>
                <w:i/>
                <w:iCs/>
                <w:sz w:val="30"/>
                <w:szCs w:val="30"/>
              </w:rPr>
            </w:pPr>
            <w:r w:rsidRPr="00174E80">
              <w:rPr>
                <w:rFonts w:ascii="Perpetua" w:hAnsi="Perpetua"/>
                <w:i/>
                <w:iCs/>
                <w:color w:val="0040F6"/>
                <w:sz w:val="32"/>
                <w:szCs w:val="28"/>
              </w:rPr>
              <w:t xml:space="preserve">Drafter’s Note – It may be that states already have a credit equivalent to this provision. </w:t>
            </w:r>
          </w:p>
        </w:tc>
      </w:tr>
      <w:tr w:rsidR="003F13B4" w:rsidRPr="008F2CF7" w14:paraId="3395CD82" w14:textId="77777777" w:rsidTr="002610F7">
        <w:tc>
          <w:tcPr>
            <w:tcW w:w="535" w:type="dxa"/>
            <w:gridSpan w:val="2"/>
          </w:tcPr>
          <w:p w14:paraId="4B9FAF5A" w14:textId="7FD76C4E"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A.</w:t>
            </w:r>
          </w:p>
        </w:tc>
        <w:tc>
          <w:tcPr>
            <w:tcW w:w="8910" w:type="dxa"/>
            <w:gridSpan w:val="4"/>
          </w:tcPr>
          <w:p w14:paraId="32579AF3" w14:textId="6E63F528" w:rsidR="003F13B4" w:rsidRPr="00864A39" w:rsidRDefault="003F13B4" w:rsidP="001821AF">
            <w:pPr>
              <w:spacing w:before="120" w:after="120" w:line="228" w:lineRule="auto"/>
              <w:rPr>
                <w:rFonts w:ascii="Perpetua" w:hAnsi="Perpetua"/>
                <w:sz w:val="32"/>
                <w:szCs w:val="28"/>
              </w:rPr>
            </w:pPr>
            <w:r w:rsidRPr="00864A39" w:rsidDel="00AA7342">
              <w:rPr>
                <w:rFonts w:ascii="Perpetua" w:hAnsi="Perpetua"/>
                <w:sz w:val="32"/>
                <w:szCs w:val="28"/>
              </w:rPr>
              <w:t xml:space="preserve">Additional </w:t>
            </w:r>
            <w:r w:rsidRPr="00864A39">
              <w:rPr>
                <w:rFonts w:ascii="Perpetua" w:hAnsi="Perpetua"/>
                <w:sz w:val="32"/>
                <w:szCs w:val="28"/>
              </w:rPr>
              <w:t>Credit for Taxes Paid to Other States on Certain Guaranteed Payments</w:t>
            </w:r>
          </w:p>
        </w:tc>
        <w:tc>
          <w:tcPr>
            <w:tcW w:w="5233" w:type="dxa"/>
          </w:tcPr>
          <w:p w14:paraId="660A48C0"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47136277" w14:textId="77777777" w:rsidTr="002610F7">
        <w:tc>
          <w:tcPr>
            <w:tcW w:w="535" w:type="dxa"/>
            <w:gridSpan w:val="2"/>
          </w:tcPr>
          <w:p w14:paraId="019A789C" w14:textId="77777777" w:rsidR="003F13B4" w:rsidRPr="00864A39" w:rsidRDefault="003F13B4" w:rsidP="001821AF">
            <w:pPr>
              <w:spacing w:before="120" w:after="120" w:line="228" w:lineRule="auto"/>
              <w:rPr>
                <w:rFonts w:ascii="Perpetua" w:hAnsi="Perpetua" w:cs="Leelawadee"/>
                <w:sz w:val="32"/>
                <w:szCs w:val="28"/>
              </w:rPr>
            </w:pPr>
          </w:p>
        </w:tc>
        <w:tc>
          <w:tcPr>
            <w:tcW w:w="8910" w:type="dxa"/>
            <w:gridSpan w:val="4"/>
          </w:tcPr>
          <w:p w14:paraId="1E11AB67" w14:textId="4879D868"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 xml:space="preserve">A resident in this state that receives a guaranteed payment for services under IRC § 707(c) performed for a partnership in which that resident owns a direct interest and where the services are performed in another state which imposes an income tax on the guaranteed payment based on the location of the service performed may claim </w:t>
            </w:r>
            <w:r w:rsidRPr="00864A39" w:rsidDel="00AA7342">
              <w:rPr>
                <w:rFonts w:ascii="Perpetua" w:hAnsi="Perpetua"/>
                <w:sz w:val="32"/>
                <w:szCs w:val="28"/>
              </w:rPr>
              <w:t>an additional</w:t>
            </w:r>
            <w:r w:rsidRPr="00864A39">
              <w:rPr>
                <w:rFonts w:ascii="Perpetua" w:hAnsi="Perpetua"/>
                <w:sz w:val="32"/>
                <w:szCs w:val="28"/>
              </w:rPr>
              <w:t xml:space="preserve"> credit against the tax owed in this state, computed by multiplying the allowable effective tax rate times the allowable guaranteed payment.</w:t>
            </w:r>
          </w:p>
        </w:tc>
        <w:tc>
          <w:tcPr>
            <w:tcW w:w="5233" w:type="dxa"/>
          </w:tcPr>
          <w:p w14:paraId="5D66AD4E"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1405E3D4" w14:textId="77777777" w:rsidTr="002610F7">
        <w:tc>
          <w:tcPr>
            <w:tcW w:w="535" w:type="dxa"/>
            <w:gridSpan w:val="2"/>
          </w:tcPr>
          <w:p w14:paraId="687E4202" w14:textId="1D19104C"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B.</w:t>
            </w:r>
          </w:p>
        </w:tc>
        <w:tc>
          <w:tcPr>
            <w:tcW w:w="8910" w:type="dxa"/>
            <w:gridSpan w:val="4"/>
          </w:tcPr>
          <w:p w14:paraId="65B08695" w14:textId="649654C1"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Definitions</w:t>
            </w:r>
          </w:p>
        </w:tc>
        <w:tc>
          <w:tcPr>
            <w:tcW w:w="5233" w:type="dxa"/>
          </w:tcPr>
          <w:p w14:paraId="57C0A1A4"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6E50F03B" w14:textId="77777777" w:rsidTr="002610F7">
        <w:tc>
          <w:tcPr>
            <w:tcW w:w="535" w:type="dxa"/>
            <w:gridSpan w:val="2"/>
          </w:tcPr>
          <w:p w14:paraId="099DEA5F" w14:textId="77777777" w:rsidR="003F13B4" w:rsidRPr="00864A39" w:rsidRDefault="003F13B4" w:rsidP="001821AF">
            <w:pPr>
              <w:spacing w:before="120" w:after="120" w:line="228" w:lineRule="auto"/>
              <w:rPr>
                <w:rFonts w:ascii="Perpetua" w:hAnsi="Perpetua" w:cs="Leelawadee"/>
                <w:sz w:val="32"/>
                <w:szCs w:val="28"/>
              </w:rPr>
            </w:pPr>
          </w:p>
        </w:tc>
        <w:tc>
          <w:tcPr>
            <w:tcW w:w="8910" w:type="dxa"/>
            <w:gridSpan w:val="4"/>
          </w:tcPr>
          <w:p w14:paraId="0A3504B9" w14:textId="79224C8E"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For purposes of this credit:</w:t>
            </w:r>
          </w:p>
        </w:tc>
        <w:tc>
          <w:tcPr>
            <w:tcW w:w="5233" w:type="dxa"/>
          </w:tcPr>
          <w:p w14:paraId="1D94BE30"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2FE159D7" w14:textId="77777777" w:rsidTr="002610F7">
        <w:tc>
          <w:tcPr>
            <w:tcW w:w="535" w:type="dxa"/>
            <w:gridSpan w:val="2"/>
          </w:tcPr>
          <w:p w14:paraId="2F105B0F"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21821901" w14:textId="55A65196"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1.</w:t>
            </w:r>
          </w:p>
        </w:tc>
        <w:tc>
          <w:tcPr>
            <w:tcW w:w="8355" w:type="dxa"/>
            <w:gridSpan w:val="3"/>
          </w:tcPr>
          <w:p w14:paraId="17060AF1" w14:textId="729B1D14"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allowable effective tax rate equals the lesser of:</w:t>
            </w:r>
          </w:p>
        </w:tc>
        <w:tc>
          <w:tcPr>
            <w:tcW w:w="5233" w:type="dxa"/>
          </w:tcPr>
          <w:p w14:paraId="395FEBAF"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5BF09F2C" w14:textId="77777777" w:rsidTr="002610F7">
        <w:tc>
          <w:tcPr>
            <w:tcW w:w="535" w:type="dxa"/>
            <w:gridSpan w:val="2"/>
          </w:tcPr>
          <w:p w14:paraId="5D8C3B6E"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67D0E10C"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58AFB5E5" w14:textId="4756AD7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a.</w:t>
            </w:r>
          </w:p>
        </w:tc>
        <w:tc>
          <w:tcPr>
            <w:tcW w:w="7830" w:type="dxa"/>
            <w:gridSpan w:val="2"/>
          </w:tcPr>
          <w:p w14:paraId="53566D63" w14:textId="343FAAE1"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of the resident’s tax on total net income properly reported in this state before the credit provided by this section divided by the amount of that total net income; or</w:t>
            </w:r>
          </w:p>
        </w:tc>
        <w:tc>
          <w:tcPr>
            <w:tcW w:w="5233" w:type="dxa"/>
          </w:tcPr>
          <w:p w14:paraId="235A580D" w14:textId="77777777" w:rsidR="003F13B4" w:rsidRPr="002610F7" w:rsidRDefault="003F13B4" w:rsidP="00BC6DC0">
            <w:pPr>
              <w:spacing w:before="120" w:after="120" w:line="276" w:lineRule="auto"/>
              <w:rPr>
                <w:rFonts w:ascii="Tahoma" w:hAnsi="Tahoma" w:cs="Tahoma"/>
                <w:color w:val="7A18FC"/>
                <w:sz w:val="22"/>
                <w:szCs w:val="22"/>
              </w:rPr>
            </w:pPr>
          </w:p>
        </w:tc>
      </w:tr>
      <w:tr w:rsidR="003F13B4" w:rsidRPr="008F2CF7" w14:paraId="61E3E95B" w14:textId="77777777" w:rsidTr="002610F7">
        <w:tc>
          <w:tcPr>
            <w:tcW w:w="535" w:type="dxa"/>
            <w:gridSpan w:val="2"/>
          </w:tcPr>
          <w:p w14:paraId="3AD320F1"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50A3A061"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304C997B" w14:textId="77B913FE"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b.</w:t>
            </w:r>
          </w:p>
        </w:tc>
        <w:tc>
          <w:tcPr>
            <w:tcW w:w="7830" w:type="dxa"/>
            <w:gridSpan w:val="2"/>
          </w:tcPr>
          <w:p w14:paraId="05A8E146" w14:textId="424AF976"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of the resident’s tax paid on total net income properly reported in the other state, including any tax paid by the partnership on the resident’s behalf, divided by the amount of that total net income.</w:t>
            </w:r>
          </w:p>
        </w:tc>
        <w:tc>
          <w:tcPr>
            <w:tcW w:w="5233" w:type="dxa"/>
          </w:tcPr>
          <w:p w14:paraId="61B1179E"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0426E335" w14:textId="77777777" w:rsidTr="002610F7">
        <w:tc>
          <w:tcPr>
            <w:tcW w:w="535" w:type="dxa"/>
            <w:gridSpan w:val="2"/>
          </w:tcPr>
          <w:p w14:paraId="2D248F1D"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6E93145D" w14:textId="348565F6" w:rsidR="003F13B4" w:rsidRPr="00864A39" w:rsidRDefault="003F13B4" w:rsidP="001821AF">
            <w:pPr>
              <w:spacing w:before="120" w:after="120" w:line="228" w:lineRule="auto"/>
              <w:rPr>
                <w:rFonts w:ascii="Perpetua" w:hAnsi="Perpetua" w:cs="Leelawadee"/>
                <w:sz w:val="32"/>
                <w:szCs w:val="28"/>
              </w:rPr>
            </w:pPr>
            <w:r w:rsidRPr="00864A39">
              <w:rPr>
                <w:rFonts w:ascii="Perpetua" w:hAnsi="Perpetua" w:cs="Leelawadee"/>
                <w:sz w:val="32"/>
                <w:szCs w:val="28"/>
              </w:rPr>
              <w:t>2.</w:t>
            </w:r>
          </w:p>
        </w:tc>
        <w:tc>
          <w:tcPr>
            <w:tcW w:w="8355" w:type="dxa"/>
            <w:gridSpan w:val="3"/>
          </w:tcPr>
          <w:p w14:paraId="1B8122E8" w14:textId="334DF355"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allowable guaranteed payment equals the lesser of:</w:t>
            </w:r>
          </w:p>
        </w:tc>
        <w:tc>
          <w:tcPr>
            <w:tcW w:w="5233" w:type="dxa"/>
          </w:tcPr>
          <w:p w14:paraId="55B7B851"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76FCD501" w14:textId="77777777" w:rsidTr="002610F7">
        <w:tc>
          <w:tcPr>
            <w:tcW w:w="535" w:type="dxa"/>
            <w:gridSpan w:val="2"/>
          </w:tcPr>
          <w:p w14:paraId="55D7794F"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4655B726"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13CC70F3" w14:textId="736F32AA"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a.</w:t>
            </w:r>
          </w:p>
        </w:tc>
        <w:tc>
          <w:tcPr>
            <w:tcW w:w="7830" w:type="dxa"/>
            <w:gridSpan w:val="2"/>
          </w:tcPr>
          <w:p w14:paraId="616000CC" w14:textId="39857053"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of the partner’s guaranteed payment properly reported as taxable to the other state; or</w:t>
            </w:r>
          </w:p>
        </w:tc>
        <w:tc>
          <w:tcPr>
            <w:tcW w:w="5233" w:type="dxa"/>
          </w:tcPr>
          <w:p w14:paraId="43C851F4"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5C384A08" w14:textId="77777777" w:rsidTr="002610F7">
        <w:tc>
          <w:tcPr>
            <w:tcW w:w="535" w:type="dxa"/>
            <w:gridSpan w:val="2"/>
          </w:tcPr>
          <w:p w14:paraId="54832620"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465A6D2C"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161AF8C5" w14:textId="409555B7"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b.</w:t>
            </w:r>
          </w:p>
        </w:tc>
        <w:tc>
          <w:tcPr>
            <w:tcW w:w="7830" w:type="dxa"/>
            <w:gridSpan w:val="2"/>
          </w:tcPr>
          <w:p w14:paraId="23C6517E" w14:textId="4AE95DBA"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amount that results from subtracting the partner’s distributive share of any related partnership net loss from the partner’s total guaranteed payment for services [</w:t>
            </w:r>
            <w:r w:rsidR="00B65EBB" w:rsidRPr="00864A39">
              <w:rPr>
                <w:rFonts w:ascii="Perpetua" w:hAnsi="Perpetua"/>
                <w:sz w:val="32"/>
                <w:szCs w:val="28"/>
              </w:rPr>
              <w:t>SUBJECT TO OTHER LIMITS THE STATE MAY IMPOSE</w:t>
            </w:r>
            <w:r w:rsidRPr="00864A39">
              <w:rPr>
                <w:rFonts w:ascii="Perpetua" w:hAnsi="Perpetua"/>
                <w:sz w:val="32"/>
                <w:szCs w:val="28"/>
              </w:rPr>
              <w:t>], multiplied by the ratio of the number of partner working days spent in the state divided by the total partner working days in the tax year, where:</w:t>
            </w:r>
          </w:p>
        </w:tc>
        <w:tc>
          <w:tcPr>
            <w:tcW w:w="5233" w:type="dxa"/>
          </w:tcPr>
          <w:p w14:paraId="1A3AC8DB"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35E97771" w14:textId="77777777" w:rsidTr="002610F7">
        <w:tc>
          <w:tcPr>
            <w:tcW w:w="535" w:type="dxa"/>
            <w:gridSpan w:val="2"/>
          </w:tcPr>
          <w:p w14:paraId="2EA40F63"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66EF12EB"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7CB5A5EC" w14:textId="77777777" w:rsidR="003F13B4" w:rsidRPr="00864A39" w:rsidRDefault="003F13B4" w:rsidP="001821AF">
            <w:pPr>
              <w:spacing w:before="120" w:after="120" w:line="228" w:lineRule="auto"/>
              <w:rPr>
                <w:rFonts w:ascii="Perpetua" w:hAnsi="Perpetua"/>
                <w:sz w:val="32"/>
                <w:szCs w:val="28"/>
              </w:rPr>
            </w:pPr>
          </w:p>
        </w:tc>
        <w:tc>
          <w:tcPr>
            <w:tcW w:w="540" w:type="dxa"/>
          </w:tcPr>
          <w:p w14:paraId="7B8F95C9" w14:textId="47F5A152" w:rsidR="003F13B4" w:rsidRPr="00864A39" w:rsidRDefault="003F13B4" w:rsidP="001821AF">
            <w:pPr>
              <w:spacing w:before="120" w:after="120" w:line="228" w:lineRule="auto"/>
              <w:rPr>
                <w:rFonts w:ascii="Perpetua" w:hAnsi="Perpetua"/>
                <w:sz w:val="32"/>
                <w:szCs w:val="28"/>
              </w:rPr>
            </w:pPr>
            <w:proofErr w:type="spellStart"/>
            <w:r w:rsidRPr="00864A39">
              <w:rPr>
                <w:rFonts w:ascii="Perpetua" w:hAnsi="Perpetua"/>
                <w:sz w:val="32"/>
                <w:szCs w:val="28"/>
              </w:rPr>
              <w:t>i</w:t>
            </w:r>
            <w:proofErr w:type="spellEnd"/>
            <w:r w:rsidRPr="00864A39">
              <w:rPr>
                <w:rFonts w:ascii="Perpetua" w:hAnsi="Perpetua"/>
                <w:sz w:val="32"/>
                <w:szCs w:val="28"/>
              </w:rPr>
              <w:t>.</w:t>
            </w:r>
          </w:p>
        </w:tc>
        <w:tc>
          <w:tcPr>
            <w:tcW w:w="7290" w:type="dxa"/>
          </w:tcPr>
          <w:p w14:paraId="5FAB45CB" w14:textId="3BC2C595"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The partner’s distributive share of any related partnership net loss is equal to the amount of the partner’s distributive share of expense and loss in excess of the partner’s distributive share of income and gain from the partnership that is allocated to the partner and properly reported in this state;</w:t>
            </w:r>
          </w:p>
        </w:tc>
        <w:tc>
          <w:tcPr>
            <w:tcW w:w="5233" w:type="dxa"/>
          </w:tcPr>
          <w:p w14:paraId="74212085"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1B5F412B" w14:textId="77777777" w:rsidTr="002610F7">
        <w:tc>
          <w:tcPr>
            <w:tcW w:w="535" w:type="dxa"/>
            <w:gridSpan w:val="2"/>
          </w:tcPr>
          <w:p w14:paraId="24F5E26B"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07FBF299"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6796953F" w14:textId="77777777" w:rsidR="003F13B4" w:rsidRPr="00864A39" w:rsidRDefault="003F13B4" w:rsidP="001821AF">
            <w:pPr>
              <w:spacing w:before="120" w:after="120" w:line="228" w:lineRule="auto"/>
              <w:rPr>
                <w:rFonts w:ascii="Perpetua" w:hAnsi="Perpetua"/>
                <w:sz w:val="32"/>
                <w:szCs w:val="28"/>
              </w:rPr>
            </w:pPr>
          </w:p>
        </w:tc>
        <w:tc>
          <w:tcPr>
            <w:tcW w:w="540" w:type="dxa"/>
          </w:tcPr>
          <w:p w14:paraId="16E87E89" w14:textId="3E6238D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ii.</w:t>
            </w:r>
          </w:p>
        </w:tc>
        <w:tc>
          <w:tcPr>
            <w:tcW w:w="7290" w:type="dxa"/>
          </w:tcPr>
          <w:p w14:paraId="704B0FC7" w14:textId="69DA4E46"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Partner working days are the total days during the tax year in which the partner performed services for the partnership; and</w:t>
            </w:r>
          </w:p>
        </w:tc>
        <w:tc>
          <w:tcPr>
            <w:tcW w:w="5233" w:type="dxa"/>
          </w:tcPr>
          <w:p w14:paraId="1B014921" w14:textId="77777777" w:rsidR="003F13B4" w:rsidRPr="002610F7" w:rsidRDefault="003F13B4" w:rsidP="000E4BEF">
            <w:pPr>
              <w:spacing w:before="120" w:after="120" w:line="276" w:lineRule="auto"/>
              <w:rPr>
                <w:rFonts w:ascii="Tahoma" w:hAnsi="Tahoma" w:cs="Tahoma"/>
                <w:color w:val="7A18FC"/>
                <w:sz w:val="22"/>
                <w:szCs w:val="22"/>
              </w:rPr>
            </w:pPr>
          </w:p>
        </w:tc>
      </w:tr>
      <w:tr w:rsidR="003F13B4" w:rsidRPr="008F2CF7" w14:paraId="6DE8DEC4" w14:textId="77777777" w:rsidTr="002610F7">
        <w:tc>
          <w:tcPr>
            <w:tcW w:w="535" w:type="dxa"/>
            <w:gridSpan w:val="2"/>
          </w:tcPr>
          <w:p w14:paraId="730BDE01" w14:textId="77777777" w:rsidR="003F13B4" w:rsidRPr="00864A39" w:rsidRDefault="003F13B4" w:rsidP="001821AF">
            <w:pPr>
              <w:spacing w:before="120" w:after="120" w:line="228" w:lineRule="auto"/>
              <w:rPr>
                <w:rFonts w:ascii="Perpetua" w:hAnsi="Perpetua" w:cs="Leelawadee"/>
                <w:sz w:val="32"/>
                <w:szCs w:val="28"/>
              </w:rPr>
            </w:pPr>
          </w:p>
        </w:tc>
        <w:tc>
          <w:tcPr>
            <w:tcW w:w="555" w:type="dxa"/>
          </w:tcPr>
          <w:p w14:paraId="2950BCD5" w14:textId="77777777" w:rsidR="003F13B4" w:rsidRPr="00864A39" w:rsidRDefault="003F13B4" w:rsidP="001821AF">
            <w:pPr>
              <w:spacing w:before="120" w:after="120" w:line="228" w:lineRule="auto"/>
              <w:rPr>
                <w:rFonts w:ascii="Perpetua" w:hAnsi="Perpetua" w:cs="Leelawadee"/>
                <w:sz w:val="32"/>
                <w:szCs w:val="28"/>
              </w:rPr>
            </w:pPr>
          </w:p>
        </w:tc>
        <w:tc>
          <w:tcPr>
            <w:tcW w:w="525" w:type="dxa"/>
          </w:tcPr>
          <w:p w14:paraId="19690395" w14:textId="77777777" w:rsidR="003F13B4" w:rsidRPr="00864A39" w:rsidRDefault="003F13B4" w:rsidP="001821AF">
            <w:pPr>
              <w:spacing w:before="120" w:after="120" w:line="228" w:lineRule="auto"/>
              <w:rPr>
                <w:rFonts w:ascii="Perpetua" w:hAnsi="Perpetua"/>
                <w:sz w:val="32"/>
                <w:szCs w:val="28"/>
              </w:rPr>
            </w:pPr>
          </w:p>
        </w:tc>
        <w:tc>
          <w:tcPr>
            <w:tcW w:w="540" w:type="dxa"/>
          </w:tcPr>
          <w:p w14:paraId="6CBB3A8D" w14:textId="0EBCF20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iii.</w:t>
            </w:r>
          </w:p>
        </w:tc>
        <w:tc>
          <w:tcPr>
            <w:tcW w:w="7290" w:type="dxa"/>
          </w:tcPr>
          <w:p w14:paraId="65C221BD" w14:textId="04CE8EB2" w:rsidR="003F13B4" w:rsidRPr="00864A39" w:rsidRDefault="003F13B4" w:rsidP="001821AF">
            <w:pPr>
              <w:spacing w:before="120" w:after="120" w:line="228" w:lineRule="auto"/>
              <w:rPr>
                <w:rFonts w:ascii="Perpetua" w:hAnsi="Perpetua"/>
                <w:sz w:val="32"/>
                <w:szCs w:val="28"/>
              </w:rPr>
            </w:pPr>
            <w:r w:rsidRPr="00864A39">
              <w:rPr>
                <w:rFonts w:ascii="Perpetua" w:hAnsi="Perpetua"/>
                <w:sz w:val="32"/>
                <w:szCs w:val="28"/>
              </w:rPr>
              <w:t>Partner working days spent in the state equals total days during which the time the partner spent performing services in that state exceeds the time spent working in any other state.</w:t>
            </w:r>
          </w:p>
        </w:tc>
        <w:tc>
          <w:tcPr>
            <w:tcW w:w="5233" w:type="dxa"/>
          </w:tcPr>
          <w:p w14:paraId="71B2A821" w14:textId="77777777" w:rsidR="003F13B4" w:rsidRPr="002610F7" w:rsidRDefault="003F13B4" w:rsidP="000E4BEF">
            <w:pPr>
              <w:spacing w:before="120" w:after="120" w:line="276" w:lineRule="auto"/>
              <w:rPr>
                <w:rFonts w:ascii="Tahoma" w:hAnsi="Tahoma" w:cs="Tahoma"/>
                <w:color w:val="7A18FC"/>
                <w:sz w:val="22"/>
                <w:szCs w:val="22"/>
              </w:rPr>
            </w:pPr>
          </w:p>
        </w:tc>
      </w:tr>
    </w:tbl>
    <w:p w14:paraId="2A3C8A80" w14:textId="77777777" w:rsidR="00E14CBB" w:rsidRDefault="00E14CBB" w:rsidP="001821AF">
      <w:pPr>
        <w:spacing w:before="240" w:after="120" w:line="228" w:lineRule="auto"/>
        <w:jc w:val="center"/>
        <w:rPr>
          <w:rFonts w:ascii="Perpetua" w:hAnsi="Perpetua" w:cs="Leelawadee"/>
          <w:b/>
          <w:bCs/>
          <w:sz w:val="28"/>
        </w:rPr>
      </w:pP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63"/>
        <w:gridCol w:w="563"/>
        <w:gridCol w:w="637"/>
        <w:gridCol w:w="302"/>
        <w:gridCol w:w="7718"/>
        <w:gridCol w:w="2992"/>
        <w:gridCol w:w="1903"/>
      </w:tblGrid>
      <w:tr w:rsidR="00404F26" w:rsidRPr="008F2CF7" w14:paraId="549F33CE" w14:textId="77777777" w:rsidTr="00A22F44">
        <w:tc>
          <w:tcPr>
            <w:tcW w:w="14678" w:type="dxa"/>
            <w:gridSpan w:val="7"/>
          </w:tcPr>
          <w:p w14:paraId="7602630F" w14:textId="398B72C4" w:rsidR="00404F26" w:rsidRPr="008F2CF7" w:rsidRDefault="00404F26" w:rsidP="001821AF">
            <w:pPr>
              <w:spacing w:line="276" w:lineRule="auto"/>
              <w:jc w:val="center"/>
              <w:rPr>
                <w:rFonts w:ascii="Perpetua" w:hAnsi="Perpetua" w:cs="Leelawadee"/>
                <w:b/>
                <w:bCs/>
                <w:sz w:val="30"/>
                <w:szCs w:val="30"/>
              </w:rPr>
            </w:pPr>
            <w:r w:rsidRPr="00850AA9">
              <w:rPr>
                <w:rFonts w:ascii="Perpetua" w:hAnsi="Perpetua" w:cs="Leelawadee"/>
                <w:b/>
                <w:bCs/>
                <w:sz w:val="36"/>
                <w:szCs w:val="36"/>
              </w:rPr>
              <w:t>STATE TAX TREATMENT OF INVESTMENT PARTNERSHIPS</w:t>
            </w:r>
            <w:r w:rsidRPr="00850AA9">
              <w:rPr>
                <w:rFonts w:ascii="Perpetua" w:hAnsi="Perpetua" w:cs="Leelawadee"/>
                <w:b/>
                <w:bCs/>
                <w:sz w:val="36"/>
                <w:szCs w:val="32"/>
              </w:rPr>
              <w:br/>
            </w:r>
            <w:r w:rsidRPr="00B0568A">
              <w:rPr>
                <w:rFonts w:ascii="Perpetua" w:hAnsi="Perpetua" w:cs="Leelawadee"/>
                <w:b/>
                <w:bCs/>
                <w:sz w:val="32"/>
                <w:szCs w:val="28"/>
              </w:rPr>
              <w:t>Drafted in the Form of Regulations</w:t>
            </w:r>
          </w:p>
        </w:tc>
      </w:tr>
      <w:tr w:rsidR="005A2C81" w:rsidRPr="008F2CF7" w14:paraId="596A9775" w14:textId="77777777" w:rsidTr="0011245E">
        <w:tc>
          <w:tcPr>
            <w:tcW w:w="2065" w:type="dxa"/>
            <w:gridSpan w:val="4"/>
          </w:tcPr>
          <w:p w14:paraId="7D57E904" w14:textId="77777777" w:rsidR="005A2C81" w:rsidRDefault="005A2C81" w:rsidP="001821AF">
            <w:pPr>
              <w:spacing w:before="120" w:after="120" w:line="228" w:lineRule="auto"/>
              <w:rPr>
                <w:rFonts w:ascii="Perpetua" w:hAnsi="Perpetua" w:cs="Leelawadee"/>
                <w:sz w:val="28"/>
              </w:rPr>
            </w:pPr>
          </w:p>
        </w:tc>
        <w:tc>
          <w:tcPr>
            <w:tcW w:w="10710" w:type="dxa"/>
            <w:gridSpan w:val="2"/>
          </w:tcPr>
          <w:p w14:paraId="1D51B5E8" w14:textId="77777777" w:rsidR="005A2C81" w:rsidRPr="007D680E" w:rsidRDefault="005A2C81" w:rsidP="00082FCA">
            <w:pPr>
              <w:spacing w:before="240" w:after="120"/>
              <w:rPr>
                <w:rFonts w:ascii="Perpetua" w:hAnsi="Perpetua" w:cs="Leelawadee"/>
                <w:b/>
                <w:bCs/>
                <w:i/>
                <w:iCs/>
                <w:color w:val="0040F6"/>
                <w:sz w:val="32"/>
              </w:rPr>
            </w:pPr>
            <w:r w:rsidRPr="007D680E">
              <w:rPr>
                <w:rFonts w:ascii="Perpetua" w:hAnsi="Perpetua" w:cs="Leelawadee"/>
                <w:b/>
                <w:bCs/>
                <w:i/>
                <w:iCs/>
                <w:color w:val="0040F6"/>
                <w:sz w:val="32"/>
              </w:rPr>
              <w:t>General Drafter’s Note:</w:t>
            </w:r>
          </w:p>
          <w:p w14:paraId="62BC3D53" w14:textId="77777777" w:rsidR="005A2C81" w:rsidRPr="007D680E" w:rsidRDefault="005A2C81" w:rsidP="00082FCA">
            <w:pPr>
              <w:spacing w:before="240" w:after="120"/>
              <w:rPr>
                <w:rFonts w:ascii="Perpetua" w:hAnsi="Perpetua" w:cs="Leelawadee"/>
                <w:i/>
                <w:iCs/>
                <w:color w:val="0040F6"/>
                <w:sz w:val="32"/>
              </w:rPr>
            </w:pPr>
            <w:r w:rsidRPr="007D680E">
              <w:rPr>
                <w:rFonts w:ascii="Perpetua" w:hAnsi="Perpetua" w:cs="Leelawadee"/>
                <w:i/>
                <w:iCs/>
                <w:color w:val="0040F6"/>
                <w:sz w:val="32"/>
              </w:rPr>
              <w:t xml:space="preserve">While states typically look to the activities of the partnership when sourcing the partnership’s income, the majority of states provide that the partnership’s activities (including its in-state property and payroll) will not determine the sourcing of income that is primarily from investment activities. </w:t>
            </w:r>
          </w:p>
          <w:p w14:paraId="6A899442" w14:textId="6051E316" w:rsidR="005A2C81" w:rsidRPr="007D680E" w:rsidRDefault="005A2C81" w:rsidP="00082FCA">
            <w:pPr>
              <w:spacing w:before="240" w:after="120"/>
              <w:rPr>
                <w:rFonts w:ascii="Perpetua" w:hAnsi="Perpetua"/>
                <w:i/>
                <w:iCs/>
                <w:color w:val="0040F6"/>
                <w:sz w:val="32"/>
                <w:szCs w:val="28"/>
              </w:rPr>
            </w:pPr>
            <w:r w:rsidRPr="007D680E">
              <w:rPr>
                <w:rFonts w:ascii="Perpetua" w:hAnsi="Perpetua" w:cs="Leelawadee"/>
                <w:i/>
                <w:iCs/>
                <w:color w:val="0040F6"/>
                <w:sz w:val="32"/>
              </w:rPr>
              <w:t xml:space="preserve">The model’s approach </w:t>
            </w:r>
            <w:r w:rsidR="00C2652A">
              <w:rPr>
                <w:rFonts w:ascii="Perpetua" w:hAnsi="Perpetua" w:cs="Leelawadee"/>
                <w:i/>
                <w:iCs/>
                <w:color w:val="0040F6"/>
                <w:sz w:val="32"/>
              </w:rPr>
              <w:t>to</w:t>
            </w:r>
            <w:r w:rsidR="00B65871">
              <w:rPr>
                <w:rFonts w:ascii="Perpetua" w:hAnsi="Perpetua" w:cs="Leelawadee"/>
                <w:i/>
                <w:iCs/>
                <w:color w:val="0040F6"/>
                <w:sz w:val="32"/>
              </w:rPr>
              <w:t xml:space="preserve"> this exception </w:t>
            </w:r>
            <w:r w:rsidRPr="007D680E">
              <w:rPr>
                <w:rFonts w:ascii="Perpetua" w:hAnsi="Perpetua" w:cs="Leelawadee"/>
                <w:i/>
                <w:iCs/>
                <w:color w:val="0040F6"/>
                <w:sz w:val="32"/>
              </w:rPr>
              <w:t xml:space="preserve">is limited to those </w:t>
            </w:r>
            <w:r w:rsidRPr="007D680E">
              <w:rPr>
                <w:rFonts w:ascii="Perpetua" w:hAnsi="Perpetua"/>
                <w:i/>
                <w:iCs/>
                <w:color w:val="0040F6"/>
                <w:sz w:val="32"/>
                <w:szCs w:val="28"/>
              </w:rPr>
              <w:t>partners who are nonresident individuals (or taxed as nonresident individuals)</w:t>
            </w:r>
            <w:r w:rsidR="0067122E">
              <w:rPr>
                <w:rFonts w:ascii="Perpetua" w:hAnsi="Perpetua"/>
                <w:i/>
                <w:iCs/>
                <w:color w:val="0040F6"/>
                <w:sz w:val="32"/>
                <w:szCs w:val="28"/>
              </w:rPr>
              <w:t xml:space="preserve"> and source</w:t>
            </w:r>
            <w:r w:rsidR="00C2652A">
              <w:rPr>
                <w:rFonts w:ascii="Perpetua" w:hAnsi="Perpetua"/>
                <w:i/>
                <w:iCs/>
                <w:color w:val="0040F6"/>
                <w:sz w:val="32"/>
                <w:szCs w:val="28"/>
              </w:rPr>
              <w:t>s</w:t>
            </w:r>
            <w:r w:rsidR="0067122E">
              <w:rPr>
                <w:rFonts w:ascii="Perpetua" w:hAnsi="Perpetua"/>
                <w:i/>
                <w:iCs/>
                <w:color w:val="0040F6"/>
                <w:sz w:val="32"/>
                <w:szCs w:val="28"/>
              </w:rPr>
              <w:t xml:space="preserve"> </w:t>
            </w:r>
            <w:r w:rsidR="00DA5334">
              <w:rPr>
                <w:rFonts w:ascii="Perpetua" w:hAnsi="Perpetua"/>
                <w:i/>
                <w:iCs/>
                <w:color w:val="0040F6"/>
                <w:sz w:val="32"/>
                <w:szCs w:val="28"/>
              </w:rPr>
              <w:t>income as if the nonresident partner held the corresp</w:t>
            </w:r>
            <w:r w:rsidR="0027381E">
              <w:rPr>
                <w:rFonts w:ascii="Perpetua" w:hAnsi="Perpetua"/>
                <w:i/>
                <w:iCs/>
                <w:color w:val="0040F6"/>
                <w:sz w:val="32"/>
                <w:szCs w:val="28"/>
              </w:rPr>
              <w:t>onding assets directly</w:t>
            </w:r>
            <w:r w:rsidRPr="007D680E">
              <w:rPr>
                <w:rFonts w:ascii="Perpetua" w:hAnsi="Perpetua"/>
                <w:i/>
                <w:iCs/>
                <w:color w:val="0040F6"/>
                <w:sz w:val="32"/>
                <w:szCs w:val="28"/>
              </w:rPr>
              <w:t>. In addition, the following requirements apply:</w:t>
            </w:r>
          </w:p>
          <w:p w14:paraId="76E481F7" w14:textId="77777777" w:rsidR="005A2C81" w:rsidRPr="007D680E" w:rsidRDefault="005A2C81" w:rsidP="00082FCA">
            <w:pPr>
              <w:numPr>
                <w:ilvl w:val="0"/>
                <w:numId w:val="3"/>
              </w:numPr>
              <w:spacing w:after="120"/>
              <w:contextualSpacing/>
              <w:rPr>
                <w:rFonts w:ascii="Perpetua" w:hAnsi="Perpetua"/>
                <w:i/>
                <w:iCs/>
                <w:color w:val="0040F6"/>
                <w:sz w:val="32"/>
                <w:szCs w:val="28"/>
              </w:rPr>
            </w:pPr>
            <w:r w:rsidRPr="007D680E">
              <w:rPr>
                <w:rFonts w:ascii="Perpetua" w:hAnsi="Perpetua"/>
                <w:i/>
                <w:iCs/>
                <w:color w:val="0040F6"/>
                <w:sz w:val="32"/>
                <w:szCs w:val="28"/>
              </w:rPr>
              <w:t>The partner does not engage in managing the investment partnership.</w:t>
            </w:r>
          </w:p>
          <w:p w14:paraId="375AD0F9" w14:textId="77777777" w:rsidR="005A2C81" w:rsidRPr="007D680E" w:rsidRDefault="005A2C81" w:rsidP="00082FCA">
            <w:pPr>
              <w:numPr>
                <w:ilvl w:val="0"/>
                <w:numId w:val="3"/>
              </w:numPr>
              <w:spacing w:after="120"/>
              <w:contextualSpacing/>
              <w:rPr>
                <w:rFonts w:ascii="Perpetua" w:hAnsi="Perpetua"/>
                <w:i/>
                <w:iCs/>
                <w:color w:val="0040F6"/>
                <w:sz w:val="32"/>
                <w:szCs w:val="28"/>
              </w:rPr>
            </w:pPr>
            <w:r w:rsidRPr="007D680E">
              <w:rPr>
                <w:rFonts w:ascii="Perpetua" w:hAnsi="Perpetua"/>
                <w:i/>
                <w:iCs/>
                <w:color w:val="0040F6"/>
                <w:sz w:val="32"/>
                <w:szCs w:val="28"/>
              </w:rPr>
              <w:t>The partner is not a dealer in investments.</w:t>
            </w:r>
          </w:p>
          <w:p w14:paraId="320FBE32" w14:textId="77777777" w:rsidR="005A2C81" w:rsidRPr="007D680E" w:rsidRDefault="005A2C81" w:rsidP="00082FCA">
            <w:pPr>
              <w:numPr>
                <w:ilvl w:val="0"/>
                <w:numId w:val="3"/>
              </w:numPr>
              <w:spacing w:after="120"/>
              <w:contextualSpacing/>
              <w:rPr>
                <w:rFonts w:ascii="Perpetua" w:hAnsi="Perpetua"/>
                <w:i/>
                <w:iCs/>
                <w:color w:val="0040F6"/>
                <w:sz w:val="32"/>
                <w:szCs w:val="28"/>
              </w:rPr>
            </w:pPr>
            <w:r w:rsidRPr="007D680E">
              <w:rPr>
                <w:rFonts w:ascii="Perpetua" w:hAnsi="Perpetua"/>
                <w:i/>
                <w:iCs/>
                <w:color w:val="0040F6"/>
                <w:sz w:val="32"/>
                <w:szCs w:val="28"/>
              </w:rPr>
              <w:t xml:space="preserve">The investment partnership interest is not held as part of the business of the partner. </w:t>
            </w:r>
          </w:p>
          <w:p w14:paraId="74DBFA67" w14:textId="24F27A83" w:rsidR="005A2C81" w:rsidRPr="005A2C81" w:rsidRDefault="005A2C81" w:rsidP="00082FCA">
            <w:pPr>
              <w:numPr>
                <w:ilvl w:val="0"/>
                <w:numId w:val="3"/>
              </w:numPr>
              <w:spacing w:after="120"/>
              <w:contextualSpacing/>
              <w:rPr>
                <w:rFonts w:ascii="Perpetua" w:hAnsi="Perpetua"/>
                <w:color w:val="0040F6"/>
                <w:sz w:val="28"/>
              </w:rPr>
            </w:pPr>
            <w:r w:rsidRPr="007D680E">
              <w:rPr>
                <w:rFonts w:ascii="Perpetua" w:hAnsi="Perpetua"/>
                <w:i/>
                <w:iCs/>
                <w:color w:val="0040F6"/>
                <w:sz w:val="32"/>
                <w:szCs w:val="28"/>
              </w:rPr>
              <w:t>The partnership is not unitary with any other business.</w:t>
            </w:r>
          </w:p>
        </w:tc>
        <w:tc>
          <w:tcPr>
            <w:tcW w:w="1903" w:type="dxa"/>
          </w:tcPr>
          <w:p w14:paraId="3622357C" w14:textId="77777777" w:rsidR="005A2C81" w:rsidRPr="008F2CF7" w:rsidRDefault="005A2C81" w:rsidP="001821AF">
            <w:pPr>
              <w:spacing w:line="276" w:lineRule="auto"/>
              <w:rPr>
                <w:rFonts w:ascii="Perpetua" w:hAnsi="Perpetua" w:cs="Leelawadee"/>
                <w:b/>
                <w:bCs/>
                <w:sz w:val="30"/>
                <w:szCs w:val="30"/>
              </w:rPr>
            </w:pPr>
          </w:p>
        </w:tc>
      </w:tr>
      <w:tr w:rsidR="007A410B" w:rsidRPr="008F2CF7" w14:paraId="7B51EC46" w14:textId="77777777" w:rsidTr="001821AF">
        <w:tc>
          <w:tcPr>
            <w:tcW w:w="9783" w:type="dxa"/>
            <w:gridSpan w:val="5"/>
          </w:tcPr>
          <w:p w14:paraId="12BB8535" w14:textId="722F7C85" w:rsidR="007A410B" w:rsidRPr="00B0568A" w:rsidRDefault="007A410B" w:rsidP="001821AF">
            <w:pPr>
              <w:spacing w:before="120" w:after="120" w:line="228" w:lineRule="auto"/>
              <w:rPr>
                <w:rFonts w:ascii="Perpetua" w:hAnsi="Perpetua"/>
                <w:sz w:val="32"/>
                <w:szCs w:val="28"/>
              </w:rPr>
            </w:pPr>
            <w:r w:rsidRPr="00B0568A">
              <w:rPr>
                <w:rFonts w:ascii="Perpetua" w:hAnsi="Perpetua"/>
                <w:b/>
                <w:bCs/>
                <w:sz w:val="32"/>
                <w:szCs w:val="28"/>
                <w:u w:val="single"/>
              </w:rPr>
              <w:t>SOURCING REGULATION PROVISIONS</w:t>
            </w:r>
            <w:r w:rsidRPr="00B0568A">
              <w:rPr>
                <w:rFonts w:ascii="Perpetua" w:hAnsi="Perpetua"/>
                <w:b/>
                <w:bCs/>
                <w:sz w:val="32"/>
                <w:szCs w:val="28"/>
              </w:rPr>
              <w:t>:</w:t>
            </w:r>
          </w:p>
        </w:tc>
        <w:tc>
          <w:tcPr>
            <w:tcW w:w="4895" w:type="dxa"/>
            <w:gridSpan w:val="2"/>
          </w:tcPr>
          <w:p w14:paraId="639236EC"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3DD4322E" w14:textId="77777777" w:rsidTr="001821AF">
        <w:tc>
          <w:tcPr>
            <w:tcW w:w="9783" w:type="dxa"/>
            <w:gridSpan w:val="5"/>
          </w:tcPr>
          <w:p w14:paraId="573576B0" w14:textId="4E0C5725" w:rsidR="007A410B" w:rsidRPr="00B0568A" w:rsidRDefault="007A410B" w:rsidP="001821AF">
            <w:pPr>
              <w:spacing w:before="120" w:after="120" w:line="228" w:lineRule="auto"/>
              <w:rPr>
                <w:rFonts w:ascii="Perpetua" w:hAnsi="Perpetua"/>
                <w:b/>
                <w:bCs/>
                <w:sz w:val="32"/>
                <w:szCs w:val="28"/>
                <w:u w:val="single"/>
              </w:rPr>
            </w:pPr>
            <w:r w:rsidRPr="00B0568A">
              <w:rPr>
                <w:rFonts w:ascii="Perpetua" w:hAnsi="Perpetua"/>
                <w:b/>
                <w:bCs/>
                <w:sz w:val="32"/>
                <w:szCs w:val="28"/>
                <w:u w:val="single"/>
              </w:rPr>
              <w:t>Sourcing of Investment Partnership Income</w:t>
            </w:r>
          </w:p>
        </w:tc>
        <w:tc>
          <w:tcPr>
            <w:tcW w:w="4895" w:type="dxa"/>
            <w:gridSpan w:val="2"/>
          </w:tcPr>
          <w:p w14:paraId="49257A5E"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266ED9EC" w14:textId="77777777" w:rsidTr="001821AF">
        <w:tc>
          <w:tcPr>
            <w:tcW w:w="563" w:type="dxa"/>
          </w:tcPr>
          <w:p w14:paraId="2EBACA49" w14:textId="6C435354"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(a)</w:t>
            </w:r>
          </w:p>
        </w:tc>
        <w:tc>
          <w:tcPr>
            <w:tcW w:w="9220" w:type="dxa"/>
            <w:gridSpan w:val="4"/>
          </w:tcPr>
          <w:p w14:paraId="7AECDB8A" w14:textId="4606A5E2" w:rsidR="007A410B" w:rsidRPr="00B0568A" w:rsidRDefault="007A410B" w:rsidP="001821AF">
            <w:pPr>
              <w:spacing w:before="120" w:after="120" w:line="228" w:lineRule="auto"/>
              <w:rPr>
                <w:rFonts w:ascii="Perpetua" w:hAnsi="Perpetua"/>
                <w:sz w:val="32"/>
                <w:szCs w:val="28"/>
              </w:rPr>
            </w:pPr>
            <w:r w:rsidRPr="00B0568A">
              <w:rPr>
                <w:rFonts w:ascii="Perpetua" w:hAnsi="Perpetua" w:cs="Leelawadee"/>
                <w:sz w:val="32"/>
                <w:szCs w:val="28"/>
              </w:rPr>
              <w:t>General Rule</w:t>
            </w:r>
          </w:p>
        </w:tc>
        <w:tc>
          <w:tcPr>
            <w:tcW w:w="4895" w:type="dxa"/>
            <w:gridSpan w:val="2"/>
          </w:tcPr>
          <w:p w14:paraId="3AB75619"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6800A84D" w14:textId="77777777" w:rsidTr="001821AF">
        <w:tc>
          <w:tcPr>
            <w:tcW w:w="563" w:type="dxa"/>
          </w:tcPr>
          <w:p w14:paraId="4B1CA728"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267651ED" w14:textId="04493E5D" w:rsidR="007A410B" w:rsidRPr="00B0568A" w:rsidRDefault="007A410B" w:rsidP="001821AF">
            <w:pPr>
              <w:spacing w:after="120" w:line="228" w:lineRule="auto"/>
              <w:rPr>
                <w:rFonts w:ascii="Perpetua" w:hAnsi="Perpetua"/>
                <w:sz w:val="32"/>
                <w:szCs w:val="28"/>
              </w:rPr>
            </w:pPr>
            <w:r w:rsidRPr="00B0568A">
              <w:rPr>
                <w:rFonts w:ascii="Perpetua" w:hAnsi="Perpetua"/>
                <w:sz w:val="32"/>
                <w:szCs w:val="28"/>
              </w:rPr>
              <w:t>Under the [REFERENCE TO STATE’S INDIVIDUAL INCOME TAX], a nonresident partner’s distributive share of partnership income is generally allocated and apportioned to this state at the partnership level based on the partnership’s business or other activities in this state. See [</w:t>
            </w:r>
            <w:r w:rsidR="00B65EBB" w:rsidRPr="00B0568A">
              <w:rPr>
                <w:rFonts w:ascii="Perpetua" w:hAnsi="Perpetua"/>
                <w:sz w:val="32"/>
                <w:szCs w:val="28"/>
              </w:rPr>
              <w:t xml:space="preserve">INSERT REFERENCE TO APPLICABLE STATUTES AND REGULATIONS, INCLUDING UDITPA IF APPLICABLE, AND TO </w:t>
            </w:r>
            <w:r w:rsidRPr="00B0568A">
              <w:rPr>
                <w:rFonts w:ascii="Perpetua" w:hAnsi="Perpetua"/>
                <w:sz w:val="32"/>
                <w:szCs w:val="28"/>
              </w:rPr>
              <w:t xml:space="preserve">IRC § 702]. But the investment related activities of a qualified investment partnership in this state do not affect how certain nonresident partners source their distributive share </w:t>
            </w:r>
            <w:r w:rsidRPr="00B0568A">
              <w:rPr>
                <w:rFonts w:ascii="Perpetua" w:hAnsi="Perpetua"/>
                <w:sz w:val="32"/>
                <w:szCs w:val="28"/>
              </w:rPr>
              <w:lastRenderedPageBreak/>
              <w:t>of that partnership’s investment income. Rather, the sourcing rules for nonresidents apply to the items of income making up the partner’s distributive share from the qualified investment partnership as though the partner earned (or incurred) the items directly. See [</w:t>
            </w:r>
            <w:r w:rsidR="00B65EBB" w:rsidRPr="00B0568A">
              <w:rPr>
                <w:rFonts w:ascii="Perpetua" w:hAnsi="Perpetua"/>
                <w:sz w:val="32"/>
                <w:szCs w:val="28"/>
              </w:rPr>
              <w:t>REFERENCE TO APPLICABLE STATUTES AND REGULATIONS GOVERNING SOURCING OF INCOME FOR NONRESIDENTS</w:t>
            </w:r>
            <w:r w:rsidRPr="00B0568A">
              <w:rPr>
                <w:rFonts w:ascii="Perpetua" w:hAnsi="Perpetua"/>
                <w:sz w:val="32"/>
                <w:szCs w:val="28"/>
              </w:rPr>
              <w:t xml:space="preserve">]. </w:t>
            </w:r>
          </w:p>
        </w:tc>
        <w:tc>
          <w:tcPr>
            <w:tcW w:w="4895" w:type="dxa"/>
            <w:gridSpan w:val="2"/>
          </w:tcPr>
          <w:p w14:paraId="231B43B1"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34AFADB8" w14:textId="77777777" w:rsidTr="001821AF">
        <w:tc>
          <w:tcPr>
            <w:tcW w:w="563" w:type="dxa"/>
          </w:tcPr>
          <w:p w14:paraId="6C76843C" w14:textId="04507CF5"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(b)</w:t>
            </w:r>
          </w:p>
        </w:tc>
        <w:tc>
          <w:tcPr>
            <w:tcW w:w="9220" w:type="dxa"/>
            <w:gridSpan w:val="4"/>
          </w:tcPr>
          <w:p w14:paraId="4652D777" w14:textId="060E88D9"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Applicability to Certain Nonresident Partners</w:t>
            </w:r>
          </w:p>
        </w:tc>
        <w:tc>
          <w:tcPr>
            <w:tcW w:w="4895" w:type="dxa"/>
            <w:gridSpan w:val="2"/>
          </w:tcPr>
          <w:p w14:paraId="4B486DF8"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C5E72C2" w14:textId="77777777" w:rsidTr="001821AF">
        <w:tc>
          <w:tcPr>
            <w:tcW w:w="563" w:type="dxa"/>
          </w:tcPr>
          <w:p w14:paraId="384386AE"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46DDAA25" w14:textId="20323CA1"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This rule, which provides that the investment related activities of a qualified investment partnership in this state will not affect the sourcing of distributive share income from that partnership, applies to the partners of the qualified investment partnership who are nonresident individuals [AND TRUSTS AND/OR ESTATES, IF APPLICABLE], and therefore pay tax on a source basis to the state, and who do not actively engage in the management of the qualified investment partnership, including recruiting investors, overseeing investments, performing administrative functions, and similar activities.</w:t>
            </w:r>
          </w:p>
        </w:tc>
        <w:tc>
          <w:tcPr>
            <w:tcW w:w="4895" w:type="dxa"/>
            <w:gridSpan w:val="2"/>
          </w:tcPr>
          <w:p w14:paraId="4E89ED39"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EA788E4" w14:textId="77777777" w:rsidTr="001821AF">
        <w:tc>
          <w:tcPr>
            <w:tcW w:w="563" w:type="dxa"/>
          </w:tcPr>
          <w:p w14:paraId="563E4055" w14:textId="0E872BC5"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(c)</w:t>
            </w:r>
          </w:p>
        </w:tc>
        <w:tc>
          <w:tcPr>
            <w:tcW w:w="9220" w:type="dxa"/>
            <w:gridSpan w:val="4"/>
          </w:tcPr>
          <w:p w14:paraId="0DDE494D" w14:textId="4374CF74"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“Qualified Investment Partnership”</w:t>
            </w:r>
          </w:p>
        </w:tc>
        <w:tc>
          <w:tcPr>
            <w:tcW w:w="4895" w:type="dxa"/>
            <w:gridSpan w:val="2"/>
          </w:tcPr>
          <w:p w14:paraId="02BCC393"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77840E21" w14:textId="77777777" w:rsidTr="001821AF">
        <w:tc>
          <w:tcPr>
            <w:tcW w:w="563" w:type="dxa"/>
          </w:tcPr>
          <w:p w14:paraId="307FA13D"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516565B0" w14:textId="5D0CB45A" w:rsidR="007A410B" w:rsidRPr="00B0568A" w:rsidRDefault="007A410B" w:rsidP="001821AF">
            <w:pPr>
              <w:spacing w:after="120" w:line="228" w:lineRule="auto"/>
              <w:rPr>
                <w:rFonts w:ascii="Perpetua" w:hAnsi="Perpetua"/>
                <w:sz w:val="32"/>
                <w:szCs w:val="28"/>
              </w:rPr>
            </w:pPr>
            <w:r w:rsidRPr="00B0568A">
              <w:rPr>
                <w:rFonts w:ascii="Perpetua" w:hAnsi="Perpetua"/>
                <w:sz w:val="32"/>
                <w:szCs w:val="28"/>
              </w:rPr>
              <w:t>A qualified investment partnership, as used in this regulation, means a partnership that:</w:t>
            </w:r>
          </w:p>
        </w:tc>
        <w:tc>
          <w:tcPr>
            <w:tcW w:w="4895" w:type="dxa"/>
            <w:gridSpan w:val="2"/>
          </w:tcPr>
          <w:p w14:paraId="696F8D13"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7A5F9EFC" w14:textId="77777777" w:rsidTr="001821AF">
        <w:tc>
          <w:tcPr>
            <w:tcW w:w="563" w:type="dxa"/>
          </w:tcPr>
          <w:p w14:paraId="0803749B"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079D1C47" w14:textId="58CE93AC"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(1)</w:t>
            </w:r>
          </w:p>
        </w:tc>
        <w:tc>
          <w:tcPr>
            <w:tcW w:w="8657" w:type="dxa"/>
            <w:gridSpan w:val="3"/>
          </w:tcPr>
          <w:p w14:paraId="46C1D162" w14:textId="710A6DCD"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act as a dealer under 26 U.S.C. § 475(c);</w:t>
            </w:r>
          </w:p>
        </w:tc>
        <w:tc>
          <w:tcPr>
            <w:tcW w:w="4895" w:type="dxa"/>
            <w:gridSpan w:val="2"/>
          </w:tcPr>
          <w:p w14:paraId="1F4D7A75"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2C37ECD7" w14:textId="77777777" w:rsidTr="001821AF">
        <w:tc>
          <w:tcPr>
            <w:tcW w:w="563" w:type="dxa"/>
          </w:tcPr>
          <w:p w14:paraId="6863E072"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5AA65B8A" w14:textId="30653931"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(2)</w:t>
            </w:r>
          </w:p>
        </w:tc>
        <w:tc>
          <w:tcPr>
            <w:tcW w:w="8657" w:type="dxa"/>
            <w:gridSpan w:val="3"/>
          </w:tcPr>
          <w:p w14:paraId="568699FA" w14:textId="1AF17E1E"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act as a financial institution as defined by [REFERENCE TO STATE LAW]; and</w:t>
            </w:r>
          </w:p>
        </w:tc>
        <w:tc>
          <w:tcPr>
            <w:tcW w:w="4895" w:type="dxa"/>
            <w:gridSpan w:val="2"/>
          </w:tcPr>
          <w:p w14:paraId="6BA82247"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1D772B3" w14:textId="77777777" w:rsidTr="001821AF">
        <w:tc>
          <w:tcPr>
            <w:tcW w:w="563" w:type="dxa"/>
          </w:tcPr>
          <w:p w14:paraId="511B5CCC"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21C3DF4B" w14:textId="44E41696"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(3)</w:t>
            </w:r>
          </w:p>
        </w:tc>
        <w:tc>
          <w:tcPr>
            <w:tcW w:w="8657" w:type="dxa"/>
            <w:gridSpan w:val="3"/>
          </w:tcPr>
          <w:p w14:paraId="03490AF5" w14:textId="1A16ED64"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holds assets solely for investment purposes and:</w:t>
            </w:r>
          </w:p>
        </w:tc>
        <w:tc>
          <w:tcPr>
            <w:tcW w:w="4895" w:type="dxa"/>
            <w:gridSpan w:val="2"/>
          </w:tcPr>
          <w:p w14:paraId="468FB31E"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F4C4926" w14:textId="77777777" w:rsidTr="001821AF">
        <w:tc>
          <w:tcPr>
            <w:tcW w:w="563" w:type="dxa"/>
          </w:tcPr>
          <w:p w14:paraId="0AB9DA6C"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16FD1E9A" w14:textId="77777777" w:rsidR="007A410B" w:rsidRPr="00B0568A" w:rsidRDefault="007A410B" w:rsidP="001821AF">
            <w:pPr>
              <w:spacing w:before="120" w:after="120" w:line="228" w:lineRule="auto"/>
              <w:rPr>
                <w:rFonts w:ascii="Perpetua" w:hAnsi="Perpetua" w:cs="Leelawadee"/>
                <w:sz w:val="32"/>
                <w:szCs w:val="28"/>
              </w:rPr>
            </w:pPr>
          </w:p>
        </w:tc>
        <w:tc>
          <w:tcPr>
            <w:tcW w:w="637" w:type="dxa"/>
          </w:tcPr>
          <w:p w14:paraId="078BCAB9" w14:textId="4F636E6D"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w:t>
            </w:r>
            <w:proofErr w:type="spellStart"/>
            <w:r w:rsidRPr="00B0568A">
              <w:rPr>
                <w:rFonts w:ascii="Perpetua" w:hAnsi="Perpetua"/>
                <w:sz w:val="32"/>
                <w:szCs w:val="28"/>
              </w:rPr>
              <w:t>i</w:t>
            </w:r>
            <w:proofErr w:type="spellEnd"/>
            <w:r w:rsidRPr="00B0568A">
              <w:rPr>
                <w:rFonts w:ascii="Perpetua" w:hAnsi="Perpetua"/>
                <w:sz w:val="32"/>
                <w:szCs w:val="28"/>
              </w:rPr>
              <w:t>)</w:t>
            </w:r>
          </w:p>
        </w:tc>
        <w:tc>
          <w:tcPr>
            <w:tcW w:w="8020" w:type="dxa"/>
            <w:gridSpan w:val="2"/>
          </w:tcPr>
          <w:p w14:paraId="18ECC758" w14:textId="21F37E14"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materially participate or otherwise actively engage in the activities of the businesses in which it holds interests;</w:t>
            </w:r>
          </w:p>
        </w:tc>
        <w:tc>
          <w:tcPr>
            <w:tcW w:w="4895" w:type="dxa"/>
            <w:gridSpan w:val="2"/>
          </w:tcPr>
          <w:p w14:paraId="24F67DFE"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11F0BE12" w14:textId="77777777" w:rsidTr="001821AF">
        <w:tc>
          <w:tcPr>
            <w:tcW w:w="563" w:type="dxa"/>
          </w:tcPr>
          <w:p w14:paraId="2D341B03"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42FD1E8D" w14:textId="77777777" w:rsidR="007A410B" w:rsidRPr="00B0568A" w:rsidRDefault="007A410B" w:rsidP="001821AF">
            <w:pPr>
              <w:spacing w:before="120" w:after="120" w:line="228" w:lineRule="auto"/>
              <w:rPr>
                <w:rFonts w:ascii="Perpetua" w:hAnsi="Perpetua" w:cs="Leelawadee"/>
                <w:sz w:val="32"/>
                <w:szCs w:val="28"/>
              </w:rPr>
            </w:pPr>
          </w:p>
        </w:tc>
        <w:tc>
          <w:tcPr>
            <w:tcW w:w="637" w:type="dxa"/>
          </w:tcPr>
          <w:p w14:paraId="0389E69C" w14:textId="4C3321C1"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(ii)</w:t>
            </w:r>
          </w:p>
        </w:tc>
        <w:tc>
          <w:tcPr>
            <w:tcW w:w="8020" w:type="dxa"/>
            <w:gridSpan w:val="2"/>
          </w:tcPr>
          <w:p w14:paraId="5C60AAEA" w14:textId="4B2205F8"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is not unitary with a business in which it holds interests; and</w:t>
            </w:r>
          </w:p>
        </w:tc>
        <w:tc>
          <w:tcPr>
            <w:tcW w:w="4895" w:type="dxa"/>
            <w:gridSpan w:val="2"/>
          </w:tcPr>
          <w:p w14:paraId="53F24FEB"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504A774F" w14:textId="77777777" w:rsidTr="001821AF">
        <w:tc>
          <w:tcPr>
            <w:tcW w:w="563" w:type="dxa"/>
          </w:tcPr>
          <w:p w14:paraId="437DF608" w14:textId="77777777" w:rsidR="007A410B" w:rsidRPr="00B0568A" w:rsidRDefault="007A410B" w:rsidP="001821AF">
            <w:pPr>
              <w:spacing w:before="120" w:after="120" w:line="228" w:lineRule="auto"/>
              <w:rPr>
                <w:rFonts w:ascii="Perpetua" w:hAnsi="Perpetua" w:cs="Leelawadee"/>
                <w:sz w:val="32"/>
                <w:szCs w:val="28"/>
              </w:rPr>
            </w:pPr>
          </w:p>
        </w:tc>
        <w:tc>
          <w:tcPr>
            <w:tcW w:w="563" w:type="dxa"/>
          </w:tcPr>
          <w:p w14:paraId="52546F2A" w14:textId="77777777" w:rsidR="007A410B" w:rsidRPr="00B0568A" w:rsidRDefault="007A410B" w:rsidP="001821AF">
            <w:pPr>
              <w:spacing w:before="120" w:after="120" w:line="228" w:lineRule="auto"/>
              <w:rPr>
                <w:rFonts w:ascii="Perpetua" w:hAnsi="Perpetua" w:cs="Leelawadee"/>
                <w:sz w:val="32"/>
                <w:szCs w:val="28"/>
              </w:rPr>
            </w:pPr>
          </w:p>
        </w:tc>
        <w:tc>
          <w:tcPr>
            <w:tcW w:w="637" w:type="dxa"/>
          </w:tcPr>
          <w:p w14:paraId="0C398B6F" w14:textId="5F1D0A7E"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(iii)</w:t>
            </w:r>
          </w:p>
        </w:tc>
        <w:tc>
          <w:tcPr>
            <w:tcW w:w="8020" w:type="dxa"/>
            <w:gridSpan w:val="2"/>
          </w:tcPr>
          <w:p w14:paraId="16A6C764" w14:textId="4586DF4B" w:rsidR="007A410B" w:rsidRPr="00B0568A" w:rsidRDefault="007A410B" w:rsidP="001821AF">
            <w:pPr>
              <w:spacing w:before="120" w:after="120" w:line="228" w:lineRule="auto"/>
              <w:rPr>
                <w:rFonts w:ascii="Perpetua" w:hAnsi="Perpetua"/>
                <w:sz w:val="32"/>
                <w:szCs w:val="28"/>
              </w:rPr>
            </w:pPr>
            <w:r w:rsidRPr="00B0568A">
              <w:rPr>
                <w:rFonts w:ascii="Perpetua" w:hAnsi="Perpetua"/>
                <w:sz w:val="32"/>
                <w:szCs w:val="28"/>
              </w:rPr>
              <w:t>does not use or employ assets in any way other than for investment.</w:t>
            </w:r>
          </w:p>
        </w:tc>
        <w:tc>
          <w:tcPr>
            <w:tcW w:w="4895" w:type="dxa"/>
            <w:gridSpan w:val="2"/>
          </w:tcPr>
          <w:p w14:paraId="74A3F066"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50EA0CCC" w14:textId="77777777" w:rsidTr="001821AF">
        <w:tc>
          <w:tcPr>
            <w:tcW w:w="563" w:type="dxa"/>
          </w:tcPr>
          <w:p w14:paraId="7D46BDEA" w14:textId="77777777" w:rsidR="007A410B" w:rsidRDefault="007A410B" w:rsidP="001821AF">
            <w:pPr>
              <w:spacing w:before="120" w:after="120" w:line="228" w:lineRule="auto"/>
              <w:rPr>
                <w:rFonts w:ascii="Perpetua" w:hAnsi="Perpetua" w:cs="Leelawadee"/>
                <w:sz w:val="28"/>
              </w:rPr>
            </w:pPr>
          </w:p>
        </w:tc>
        <w:tc>
          <w:tcPr>
            <w:tcW w:w="563" w:type="dxa"/>
          </w:tcPr>
          <w:p w14:paraId="1DF0B844" w14:textId="77777777" w:rsidR="007A410B" w:rsidRDefault="007A410B" w:rsidP="001821AF">
            <w:pPr>
              <w:spacing w:before="120" w:after="120" w:line="228" w:lineRule="auto"/>
              <w:rPr>
                <w:rFonts w:ascii="Perpetua" w:hAnsi="Perpetua" w:cs="Leelawadee"/>
                <w:sz w:val="28"/>
              </w:rPr>
            </w:pPr>
          </w:p>
        </w:tc>
        <w:tc>
          <w:tcPr>
            <w:tcW w:w="637" w:type="dxa"/>
          </w:tcPr>
          <w:p w14:paraId="36D9BEBA" w14:textId="77777777" w:rsidR="007A410B" w:rsidRPr="00E14CBB" w:rsidRDefault="007A410B" w:rsidP="001821AF">
            <w:pPr>
              <w:spacing w:before="120" w:after="120" w:line="228" w:lineRule="auto"/>
              <w:rPr>
                <w:rFonts w:ascii="Perpetua" w:hAnsi="Perpetua"/>
                <w:sz w:val="28"/>
              </w:rPr>
            </w:pPr>
          </w:p>
        </w:tc>
        <w:tc>
          <w:tcPr>
            <w:tcW w:w="8020" w:type="dxa"/>
            <w:gridSpan w:val="2"/>
          </w:tcPr>
          <w:p w14:paraId="5A76BDFC" w14:textId="0B65E640" w:rsidR="007A410B" w:rsidRPr="007D680E" w:rsidRDefault="007A410B" w:rsidP="001821AF">
            <w:pPr>
              <w:spacing w:before="120" w:after="120" w:line="228" w:lineRule="auto"/>
              <w:rPr>
                <w:rFonts w:ascii="Perpetua" w:hAnsi="Perpetua"/>
                <w:i/>
                <w:iCs/>
                <w:sz w:val="28"/>
              </w:rPr>
            </w:pPr>
            <w:r w:rsidRPr="007D680E">
              <w:rPr>
                <w:rFonts w:ascii="Perpetua" w:hAnsi="Perpetua"/>
                <w:i/>
                <w:iCs/>
                <w:color w:val="0040F6"/>
                <w:sz w:val="32"/>
                <w:szCs w:val="28"/>
              </w:rPr>
              <w:t xml:space="preserve">DRAFTER’S NOTE – The term “materially participate” </w:t>
            </w:r>
            <w:r w:rsidR="00160410">
              <w:rPr>
                <w:rFonts w:ascii="Perpetua" w:hAnsi="Perpetua"/>
                <w:i/>
                <w:iCs/>
                <w:color w:val="0040F6"/>
                <w:sz w:val="32"/>
                <w:szCs w:val="28"/>
              </w:rPr>
              <w:t>is a term</w:t>
            </w:r>
            <w:r w:rsidRPr="007D680E">
              <w:rPr>
                <w:rFonts w:ascii="Perpetua" w:hAnsi="Perpetua"/>
                <w:i/>
                <w:iCs/>
                <w:color w:val="0040F6"/>
                <w:sz w:val="32"/>
                <w:szCs w:val="28"/>
              </w:rPr>
              <w:t xml:space="preserve"> used under federal tax law</w:t>
            </w:r>
            <w:r w:rsidR="00160410">
              <w:rPr>
                <w:rFonts w:ascii="Perpetua" w:hAnsi="Perpetua"/>
                <w:i/>
                <w:iCs/>
                <w:color w:val="0040F6"/>
                <w:sz w:val="32"/>
                <w:szCs w:val="28"/>
              </w:rPr>
              <w:t>, IRC § 469,</w:t>
            </w:r>
            <w:r w:rsidRPr="007D680E">
              <w:rPr>
                <w:rFonts w:ascii="Perpetua" w:hAnsi="Perpetua"/>
                <w:i/>
                <w:iCs/>
                <w:color w:val="0040F6"/>
                <w:sz w:val="32"/>
                <w:szCs w:val="28"/>
              </w:rPr>
              <w:t xml:space="preserve"> to limit the ability to offset expenses/losses against income/gains in certain circumstance</w:t>
            </w:r>
            <w:r w:rsidR="00067C0A">
              <w:rPr>
                <w:rFonts w:ascii="Perpetua" w:hAnsi="Perpetua"/>
                <w:i/>
                <w:iCs/>
                <w:color w:val="0040F6"/>
                <w:sz w:val="32"/>
                <w:szCs w:val="28"/>
              </w:rPr>
              <w:t xml:space="preserve">s. The term “actively engage” </w:t>
            </w:r>
            <w:r w:rsidR="00F45B61">
              <w:rPr>
                <w:rFonts w:ascii="Perpetua" w:hAnsi="Perpetua"/>
                <w:i/>
                <w:iCs/>
                <w:color w:val="0040F6"/>
                <w:sz w:val="32"/>
                <w:szCs w:val="28"/>
              </w:rPr>
              <w:t xml:space="preserve">allows states to expand on this concept where they determine that activities constitute business activities. </w:t>
            </w:r>
          </w:p>
        </w:tc>
        <w:tc>
          <w:tcPr>
            <w:tcW w:w="4895" w:type="dxa"/>
            <w:gridSpan w:val="2"/>
          </w:tcPr>
          <w:p w14:paraId="357E7F65"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011BE0F9" w14:textId="77777777" w:rsidTr="001821AF">
        <w:tc>
          <w:tcPr>
            <w:tcW w:w="563" w:type="dxa"/>
          </w:tcPr>
          <w:p w14:paraId="62D55F01" w14:textId="0E1C188C" w:rsidR="007A410B" w:rsidRPr="00B0568A" w:rsidRDefault="007A410B" w:rsidP="001821AF">
            <w:pPr>
              <w:spacing w:before="120" w:after="120" w:line="228" w:lineRule="auto"/>
              <w:rPr>
                <w:rFonts w:ascii="Perpetua" w:hAnsi="Perpetua" w:cs="Leelawadee"/>
                <w:sz w:val="32"/>
                <w:szCs w:val="28"/>
              </w:rPr>
            </w:pPr>
            <w:r w:rsidRPr="00B0568A">
              <w:rPr>
                <w:rFonts w:ascii="Perpetua" w:hAnsi="Perpetua" w:cs="Leelawadee"/>
                <w:sz w:val="32"/>
                <w:szCs w:val="28"/>
              </w:rPr>
              <w:t>(d)</w:t>
            </w:r>
          </w:p>
        </w:tc>
        <w:tc>
          <w:tcPr>
            <w:tcW w:w="9220" w:type="dxa"/>
            <w:gridSpan w:val="4"/>
          </w:tcPr>
          <w:p w14:paraId="3BCA7B98" w14:textId="7D6D7523" w:rsidR="007A410B" w:rsidRPr="00B0568A" w:rsidRDefault="007A410B" w:rsidP="001821AF">
            <w:pPr>
              <w:spacing w:before="120" w:after="120" w:line="228" w:lineRule="auto"/>
              <w:rPr>
                <w:rFonts w:ascii="Perpetua" w:hAnsi="Perpetua"/>
                <w:color w:val="0040F6"/>
                <w:sz w:val="32"/>
                <w:szCs w:val="28"/>
              </w:rPr>
            </w:pPr>
            <w:r w:rsidRPr="00B0568A">
              <w:rPr>
                <w:rFonts w:ascii="Perpetua" w:hAnsi="Perpetua"/>
                <w:sz w:val="32"/>
                <w:szCs w:val="28"/>
              </w:rPr>
              <w:t>Safe Harbor</w:t>
            </w:r>
          </w:p>
        </w:tc>
        <w:tc>
          <w:tcPr>
            <w:tcW w:w="4895" w:type="dxa"/>
            <w:gridSpan w:val="2"/>
          </w:tcPr>
          <w:p w14:paraId="710FAAE4" w14:textId="77777777" w:rsidR="007A410B" w:rsidRPr="002610F7" w:rsidRDefault="007A410B" w:rsidP="001821AF">
            <w:pPr>
              <w:spacing w:line="276" w:lineRule="auto"/>
              <w:rPr>
                <w:rFonts w:ascii="Tahoma" w:hAnsi="Tahoma" w:cs="Tahoma"/>
                <w:color w:val="7A18FC"/>
                <w:sz w:val="22"/>
                <w:szCs w:val="22"/>
              </w:rPr>
            </w:pPr>
          </w:p>
        </w:tc>
      </w:tr>
      <w:tr w:rsidR="007A410B" w:rsidRPr="008F2CF7" w14:paraId="225B5165" w14:textId="77777777" w:rsidTr="001821AF">
        <w:tc>
          <w:tcPr>
            <w:tcW w:w="563" w:type="dxa"/>
          </w:tcPr>
          <w:p w14:paraId="5B117232" w14:textId="77777777" w:rsidR="007A410B" w:rsidRPr="00B0568A" w:rsidRDefault="007A410B" w:rsidP="001821AF">
            <w:pPr>
              <w:spacing w:before="120" w:after="120" w:line="228" w:lineRule="auto"/>
              <w:rPr>
                <w:rFonts w:ascii="Perpetua" w:hAnsi="Perpetua" w:cs="Leelawadee"/>
                <w:sz w:val="32"/>
                <w:szCs w:val="28"/>
              </w:rPr>
            </w:pPr>
          </w:p>
        </w:tc>
        <w:tc>
          <w:tcPr>
            <w:tcW w:w="9220" w:type="dxa"/>
            <w:gridSpan w:val="4"/>
          </w:tcPr>
          <w:p w14:paraId="62C80A02" w14:textId="5C958019" w:rsidR="007A410B" w:rsidRPr="00B0568A" w:rsidRDefault="007A410B" w:rsidP="001821AF">
            <w:pPr>
              <w:spacing w:before="120" w:after="120" w:line="228" w:lineRule="auto"/>
              <w:rPr>
                <w:rFonts w:ascii="Perpetua" w:hAnsi="Perpetua"/>
                <w:color w:val="0040F6"/>
                <w:sz w:val="32"/>
                <w:szCs w:val="28"/>
              </w:rPr>
            </w:pPr>
            <w:r w:rsidRPr="00B0568A">
              <w:rPr>
                <w:rFonts w:ascii="Perpetua" w:hAnsi="Perpetua"/>
                <w:sz w:val="32"/>
                <w:szCs w:val="28"/>
              </w:rPr>
              <w:t>A partnership will be presumed to be a qualified investment partnership if, during the tax period in which the income is recognized, no less than 90 percent of the cost of the partnership’s total assets consists of the following:</w:t>
            </w:r>
          </w:p>
        </w:tc>
        <w:tc>
          <w:tcPr>
            <w:tcW w:w="4895" w:type="dxa"/>
            <w:gridSpan w:val="2"/>
          </w:tcPr>
          <w:p w14:paraId="1707D3F6" w14:textId="77777777" w:rsidR="007A410B" w:rsidRPr="002610F7" w:rsidRDefault="007A410B" w:rsidP="001821AF">
            <w:pPr>
              <w:spacing w:line="276" w:lineRule="auto"/>
              <w:rPr>
                <w:rFonts w:ascii="Tahoma" w:hAnsi="Tahoma" w:cs="Tahoma"/>
                <w:color w:val="7A18FC"/>
                <w:sz w:val="22"/>
                <w:szCs w:val="22"/>
              </w:rPr>
            </w:pPr>
          </w:p>
        </w:tc>
      </w:tr>
      <w:tr w:rsidR="006C112D" w:rsidRPr="008F2CF7" w14:paraId="42B0C960" w14:textId="77777777" w:rsidTr="001821AF">
        <w:tc>
          <w:tcPr>
            <w:tcW w:w="563" w:type="dxa"/>
          </w:tcPr>
          <w:p w14:paraId="54D5111B"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0CFE13B3" w14:textId="1DDE392F"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(1)</w:t>
            </w:r>
          </w:p>
        </w:tc>
        <w:tc>
          <w:tcPr>
            <w:tcW w:w="8657" w:type="dxa"/>
            <w:gridSpan w:val="3"/>
          </w:tcPr>
          <w:p w14:paraId="4CC989AE" w14:textId="17FBD6FE"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Common stock of publicly traded corporations, including preferred or debt securities convertible into common stock; and preferred stock, including debt securities convertible into preferred stock;</w:t>
            </w:r>
          </w:p>
        </w:tc>
        <w:tc>
          <w:tcPr>
            <w:tcW w:w="4895" w:type="dxa"/>
            <w:gridSpan w:val="2"/>
          </w:tcPr>
          <w:p w14:paraId="09CE1964"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3C6307CA" w14:textId="77777777" w:rsidTr="001821AF">
        <w:tc>
          <w:tcPr>
            <w:tcW w:w="563" w:type="dxa"/>
          </w:tcPr>
          <w:p w14:paraId="26E8189E"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31051BA6" w14:textId="5795A22B"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(2)</w:t>
            </w:r>
          </w:p>
        </w:tc>
        <w:tc>
          <w:tcPr>
            <w:tcW w:w="8657" w:type="dxa"/>
            <w:gridSpan w:val="3"/>
          </w:tcPr>
          <w:p w14:paraId="757FC2B3" w14:textId="4B5098F3"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Bonds, debentures, and other debt securities such as certificates of deposit and collateralized securities available for sale or trade through public markets;</w:t>
            </w:r>
          </w:p>
        </w:tc>
        <w:tc>
          <w:tcPr>
            <w:tcW w:w="4895" w:type="dxa"/>
            <w:gridSpan w:val="2"/>
          </w:tcPr>
          <w:p w14:paraId="33BEDE4D"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1006BF74" w14:textId="77777777" w:rsidTr="00D03D2C">
        <w:tc>
          <w:tcPr>
            <w:tcW w:w="563" w:type="dxa"/>
          </w:tcPr>
          <w:p w14:paraId="2B6FEE8C"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001F33B3" w14:textId="4260DAE4"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(3)</w:t>
            </w:r>
          </w:p>
        </w:tc>
        <w:tc>
          <w:tcPr>
            <w:tcW w:w="8657" w:type="dxa"/>
            <w:gridSpan w:val="3"/>
          </w:tcPr>
          <w:p w14:paraId="04A85DFD" w14:textId="62F082D0"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Deposits and any other obligations of banks and other financial institutions regulated by the United States government, a state, or by any political subdivision or governmental agency thereof, and cash and cash equivalents, including foreign currencies;</w:t>
            </w:r>
          </w:p>
        </w:tc>
        <w:tc>
          <w:tcPr>
            <w:tcW w:w="4895" w:type="dxa"/>
            <w:gridSpan w:val="2"/>
          </w:tcPr>
          <w:p w14:paraId="5813F0B9"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5A51811F" w14:textId="77777777" w:rsidTr="001821AF">
        <w:tc>
          <w:tcPr>
            <w:tcW w:w="563" w:type="dxa"/>
          </w:tcPr>
          <w:p w14:paraId="29AB9CA8"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37A5931A" w14:textId="59EC2578"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(4)</w:t>
            </w:r>
          </w:p>
        </w:tc>
        <w:tc>
          <w:tcPr>
            <w:tcW w:w="8657" w:type="dxa"/>
            <w:gridSpan w:val="3"/>
          </w:tcPr>
          <w:p w14:paraId="06BE3F54" w14:textId="2F98F042" w:rsidR="006C112D" w:rsidRPr="00B0568A" w:rsidRDefault="006C112D" w:rsidP="001821AF">
            <w:pPr>
              <w:spacing w:before="120" w:after="120" w:line="228" w:lineRule="auto"/>
              <w:rPr>
                <w:rFonts w:ascii="Perpetua" w:hAnsi="Perpetua"/>
                <w:color w:val="0040F6"/>
                <w:sz w:val="32"/>
                <w:szCs w:val="28"/>
              </w:rPr>
            </w:pPr>
            <w:r w:rsidRPr="00B0568A">
              <w:rPr>
                <w:rFonts w:ascii="Perpetua" w:hAnsi="Perpetua"/>
                <w:sz w:val="32"/>
                <w:szCs w:val="28"/>
              </w:rPr>
              <w:t>Corporate stock and bond index securities, future contracts, derivative securities, warrants or options on securities, and other similar financial securities and instruments available for sale or trade through public markets;</w:t>
            </w:r>
          </w:p>
        </w:tc>
        <w:tc>
          <w:tcPr>
            <w:tcW w:w="4895" w:type="dxa"/>
            <w:gridSpan w:val="2"/>
          </w:tcPr>
          <w:p w14:paraId="728E5B4D" w14:textId="77777777" w:rsidR="006C112D" w:rsidRPr="002610F7" w:rsidRDefault="006C112D" w:rsidP="001821AF">
            <w:pPr>
              <w:spacing w:line="276" w:lineRule="auto"/>
              <w:rPr>
                <w:rFonts w:ascii="Tahoma" w:hAnsi="Tahoma" w:cs="Tahoma"/>
                <w:color w:val="7A18FC"/>
                <w:sz w:val="22"/>
                <w:szCs w:val="22"/>
              </w:rPr>
            </w:pPr>
          </w:p>
        </w:tc>
      </w:tr>
      <w:tr w:rsidR="006C112D" w:rsidRPr="008F2CF7" w14:paraId="154A0D98" w14:textId="77777777" w:rsidTr="001821AF">
        <w:tc>
          <w:tcPr>
            <w:tcW w:w="563" w:type="dxa"/>
          </w:tcPr>
          <w:p w14:paraId="7138E376" w14:textId="77777777" w:rsidR="006C112D" w:rsidRPr="00B0568A" w:rsidRDefault="006C112D" w:rsidP="001821AF">
            <w:pPr>
              <w:spacing w:before="120" w:after="120" w:line="228" w:lineRule="auto"/>
              <w:rPr>
                <w:rFonts w:ascii="Perpetua" w:hAnsi="Perpetua" w:cs="Leelawadee"/>
                <w:sz w:val="32"/>
                <w:szCs w:val="28"/>
              </w:rPr>
            </w:pPr>
          </w:p>
        </w:tc>
        <w:tc>
          <w:tcPr>
            <w:tcW w:w="563" w:type="dxa"/>
          </w:tcPr>
          <w:p w14:paraId="2E7B0913" w14:textId="6D58C3D2" w:rsidR="006C112D" w:rsidRPr="00B0568A" w:rsidRDefault="006C112D" w:rsidP="001821AF">
            <w:pPr>
              <w:spacing w:before="120" w:after="120" w:line="228" w:lineRule="auto"/>
              <w:rPr>
                <w:rFonts w:ascii="Perpetua" w:hAnsi="Perpetua" w:cs="Leelawadee"/>
                <w:sz w:val="32"/>
                <w:szCs w:val="28"/>
              </w:rPr>
            </w:pPr>
            <w:r w:rsidRPr="00B0568A">
              <w:rPr>
                <w:rFonts w:ascii="Perpetua" w:hAnsi="Perpetua" w:cs="Leelawadee"/>
                <w:sz w:val="32"/>
                <w:szCs w:val="28"/>
              </w:rPr>
              <w:t>(5)</w:t>
            </w:r>
          </w:p>
        </w:tc>
        <w:tc>
          <w:tcPr>
            <w:tcW w:w="8657" w:type="dxa"/>
            <w:gridSpan w:val="3"/>
          </w:tcPr>
          <w:p w14:paraId="4117E443" w14:textId="158A30EF" w:rsidR="006C112D" w:rsidRPr="00B0568A" w:rsidRDefault="006C112D" w:rsidP="001821AF">
            <w:pPr>
              <w:spacing w:before="120" w:after="120" w:line="228" w:lineRule="auto"/>
              <w:rPr>
                <w:rFonts w:ascii="Perpetua" w:hAnsi="Perpetua"/>
                <w:sz w:val="32"/>
                <w:szCs w:val="28"/>
              </w:rPr>
            </w:pPr>
            <w:r w:rsidRPr="00B0568A">
              <w:rPr>
                <w:rFonts w:ascii="Perpetua" w:hAnsi="Perpetua"/>
                <w:sz w:val="32"/>
                <w:szCs w:val="28"/>
              </w:rPr>
              <w:t>Interests in partnerships or other pass-through entities but only if those partnerships or entities meet the requirements of this safe harbor;</w:t>
            </w:r>
          </w:p>
        </w:tc>
        <w:tc>
          <w:tcPr>
            <w:tcW w:w="4895" w:type="dxa"/>
            <w:gridSpan w:val="2"/>
          </w:tcPr>
          <w:p w14:paraId="30CBCB7B" w14:textId="77777777" w:rsidR="006C112D" w:rsidRPr="002610F7" w:rsidRDefault="006C112D" w:rsidP="001821AF">
            <w:pPr>
              <w:spacing w:line="276" w:lineRule="auto"/>
              <w:rPr>
                <w:rFonts w:ascii="Tahoma" w:hAnsi="Tahoma" w:cs="Tahoma"/>
                <w:color w:val="7A18FC"/>
                <w:sz w:val="22"/>
                <w:szCs w:val="22"/>
              </w:rPr>
            </w:pPr>
          </w:p>
        </w:tc>
      </w:tr>
      <w:tr w:rsidR="00EC198B" w:rsidRPr="008F2CF7" w14:paraId="7FCD2527" w14:textId="77777777" w:rsidTr="001821AF">
        <w:tc>
          <w:tcPr>
            <w:tcW w:w="563" w:type="dxa"/>
          </w:tcPr>
          <w:p w14:paraId="085970D9" w14:textId="77777777" w:rsidR="00EC198B" w:rsidRPr="00B0568A" w:rsidRDefault="00EC198B" w:rsidP="001821AF">
            <w:pPr>
              <w:spacing w:before="120" w:after="120" w:line="228" w:lineRule="auto"/>
              <w:rPr>
                <w:rFonts w:ascii="Perpetua" w:hAnsi="Perpetua" w:cs="Leelawadee"/>
                <w:sz w:val="32"/>
                <w:szCs w:val="28"/>
              </w:rPr>
            </w:pPr>
          </w:p>
        </w:tc>
        <w:tc>
          <w:tcPr>
            <w:tcW w:w="563" w:type="dxa"/>
          </w:tcPr>
          <w:p w14:paraId="6A4ADC51" w14:textId="0C7FF803" w:rsidR="00EC198B" w:rsidRPr="00B0568A" w:rsidRDefault="00EC198B" w:rsidP="001821AF">
            <w:pPr>
              <w:spacing w:before="120" w:after="120" w:line="228" w:lineRule="auto"/>
              <w:rPr>
                <w:rFonts w:ascii="Perpetua" w:hAnsi="Perpetua" w:cs="Leelawadee"/>
                <w:sz w:val="32"/>
                <w:szCs w:val="28"/>
              </w:rPr>
            </w:pPr>
            <w:r w:rsidRPr="00B0568A">
              <w:rPr>
                <w:rFonts w:ascii="Perpetua" w:hAnsi="Perpetua" w:cs="Leelawadee"/>
                <w:sz w:val="32"/>
                <w:szCs w:val="28"/>
              </w:rPr>
              <w:t>(6)</w:t>
            </w:r>
          </w:p>
        </w:tc>
        <w:tc>
          <w:tcPr>
            <w:tcW w:w="8657" w:type="dxa"/>
            <w:gridSpan w:val="3"/>
          </w:tcPr>
          <w:p w14:paraId="54F30510" w14:textId="25636187"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Other similar or related financial or investments contracts, instruments, or securities; and</w:t>
            </w:r>
          </w:p>
        </w:tc>
        <w:tc>
          <w:tcPr>
            <w:tcW w:w="4895" w:type="dxa"/>
            <w:gridSpan w:val="2"/>
          </w:tcPr>
          <w:p w14:paraId="0C8C5CB4" w14:textId="77777777" w:rsidR="00EC198B" w:rsidRPr="002610F7" w:rsidRDefault="00EC198B" w:rsidP="001821AF">
            <w:pPr>
              <w:spacing w:line="276" w:lineRule="auto"/>
              <w:rPr>
                <w:rFonts w:ascii="Tahoma" w:hAnsi="Tahoma" w:cs="Tahoma"/>
                <w:color w:val="7A18FC"/>
                <w:sz w:val="22"/>
                <w:szCs w:val="22"/>
              </w:rPr>
            </w:pPr>
          </w:p>
        </w:tc>
      </w:tr>
      <w:tr w:rsidR="00EC198B" w:rsidRPr="008F2CF7" w14:paraId="4431DF20" w14:textId="77777777" w:rsidTr="001821AF">
        <w:tc>
          <w:tcPr>
            <w:tcW w:w="563" w:type="dxa"/>
          </w:tcPr>
          <w:p w14:paraId="083DEE47" w14:textId="77777777" w:rsidR="00EC198B" w:rsidRPr="00B0568A" w:rsidRDefault="00EC198B" w:rsidP="001821AF">
            <w:pPr>
              <w:spacing w:before="120" w:after="120" w:line="228" w:lineRule="auto"/>
              <w:rPr>
                <w:rFonts w:ascii="Perpetua" w:hAnsi="Perpetua" w:cs="Leelawadee"/>
                <w:sz w:val="32"/>
                <w:szCs w:val="28"/>
              </w:rPr>
            </w:pPr>
          </w:p>
        </w:tc>
        <w:tc>
          <w:tcPr>
            <w:tcW w:w="563" w:type="dxa"/>
          </w:tcPr>
          <w:p w14:paraId="4AEABE0F" w14:textId="5E6E51B8" w:rsidR="00EC198B" w:rsidRPr="00B0568A" w:rsidRDefault="00EC198B" w:rsidP="001821AF">
            <w:pPr>
              <w:spacing w:before="120" w:after="120" w:line="228" w:lineRule="auto"/>
              <w:rPr>
                <w:rFonts w:ascii="Perpetua" w:hAnsi="Perpetua" w:cs="Leelawadee"/>
                <w:sz w:val="32"/>
                <w:szCs w:val="28"/>
              </w:rPr>
            </w:pPr>
            <w:r w:rsidRPr="00B0568A">
              <w:rPr>
                <w:rFonts w:ascii="Perpetua" w:hAnsi="Perpetua" w:cs="Leelawadee"/>
                <w:sz w:val="32"/>
                <w:szCs w:val="28"/>
              </w:rPr>
              <w:t>(7)</w:t>
            </w:r>
          </w:p>
        </w:tc>
        <w:tc>
          <w:tcPr>
            <w:tcW w:w="8657" w:type="dxa"/>
            <w:gridSpan w:val="3"/>
          </w:tcPr>
          <w:p w14:paraId="2A8A1BFE" w14:textId="08E83DDC"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Office facilities and other tangible and intangible personal property reasonably necessary to carry on its investment activities, including accounts receivable.</w:t>
            </w:r>
          </w:p>
        </w:tc>
        <w:tc>
          <w:tcPr>
            <w:tcW w:w="4895" w:type="dxa"/>
            <w:gridSpan w:val="2"/>
          </w:tcPr>
          <w:p w14:paraId="0B7C8CCA" w14:textId="77777777" w:rsidR="00EC198B" w:rsidRPr="002610F7" w:rsidRDefault="00EC198B" w:rsidP="001821AF">
            <w:pPr>
              <w:spacing w:line="276" w:lineRule="auto"/>
              <w:rPr>
                <w:rFonts w:ascii="Tahoma" w:hAnsi="Tahoma" w:cs="Tahoma"/>
                <w:color w:val="7A18FC"/>
                <w:sz w:val="22"/>
                <w:szCs w:val="22"/>
              </w:rPr>
            </w:pPr>
          </w:p>
        </w:tc>
      </w:tr>
      <w:tr w:rsidR="00EC198B" w:rsidRPr="008F2CF7" w14:paraId="4CDB0BB0" w14:textId="77777777" w:rsidTr="001821AF">
        <w:tc>
          <w:tcPr>
            <w:tcW w:w="563" w:type="dxa"/>
          </w:tcPr>
          <w:p w14:paraId="15D82EE6" w14:textId="77777777" w:rsidR="00EC198B" w:rsidRDefault="00EC198B" w:rsidP="001821AF">
            <w:pPr>
              <w:spacing w:before="120" w:after="120" w:line="228" w:lineRule="auto"/>
              <w:rPr>
                <w:rFonts w:ascii="Perpetua" w:hAnsi="Perpetua" w:cs="Leelawadee"/>
                <w:sz w:val="28"/>
              </w:rPr>
            </w:pPr>
          </w:p>
        </w:tc>
        <w:tc>
          <w:tcPr>
            <w:tcW w:w="9220" w:type="dxa"/>
            <w:gridSpan w:val="4"/>
          </w:tcPr>
          <w:p w14:paraId="218BDF29" w14:textId="018F3151" w:rsidR="00EC198B" w:rsidRPr="00B0568A" w:rsidRDefault="00EC198B" w:rsidP="001821AF">
            <w:pPr>
              <w:spacing w:after="120" w:line="228" w:lineRule="auto"/>
              <w:rPr>
                <w:rFonts w:ascii="Perpetua" w:hAnsi="Perpetua"/>
                <w:color w:val="0040F6"/>
                <w:sz w:val="32"/>
                <w:szCs w:val="28"/>
              </w:rPr>
            </w:pPr>
            <w:r w:rsidRPr="00B0568A">
              <w:rPr>
                <w:rFonts w:ascii="Perpetua" w:hAnsi="Perpetua"/>
                <w:sz w:val="32"/>
                <w:szCs w:val="28"/>
              </w:rPr>
              <w:t>The presumption provided here is intended to act as a safe harbor and does not limit the application of the general rule provided in Section (c) of this regulation. The presumption provided by this Section (d) can be rebutted if the [STATE TAX AGENCY] can show that the investment partnership lacks economic substance or was put into place to evade tax.</w:t>
            </w:r>
          </w:p>
        </w:tc>
        <w:tc>
          <w:tcPr>
            <w:tcW w:w="4895" w:type="dxa"/>
            <w:gridSpan w:val="2"/>
          </w:tcPr>
          <w:p w14:paraId="39E2CCE4" w14:textId="77777777" w:rsidR="00EC198B" w:rsidRPr="002610F7" w:rsidRDefault="00EC198B" w:rsidP="001821AF">
            <w:pPr>
              <w:spacing w:line="276" w:lineRule="auto"/>
              <w:rPr>
                <w:rFonts w:ascii="Tahoma" w:hAnsi="Tahoma" w:cs="Tahoma"/>
                <w:color w:val="7A18FC"/>
                <w:sz w:val="22"/>
                <w:szCs w:val="22"/>
              </w:rPr>
            </w:pPr>
          </w:p>
        </w:tc>
      </w:tr>
      <w:tr w:rsidR="00EC198B" w:rsidRPr="008F2CF7" w14:paraId="29CBA79A" w14:textId="77777777" w:rsidTr="001821AF">
        <w:trPr>
          <w:trHeight w:val="422"/>
        </w:trPr>
        <w:tc>
          <w:tcPr>
            <w:tcW w:w="563" w:type="dxa"/>
          </w:tcPr>
          <w:p w14:paraId="0E6FE4DF" w14:textId="6F8C193E" w:rsidR="00EC198B" w:rsidRDefault="00EC198B" w:rsidP="001821AF">
            <w:pPr>
              <w:spacing w:before="120" w:after="120" w:line="228" w:lineRule="auto"/>
              <w:rPr>
                <w:rFonts w:ascii="Perpetua" w:hAnsi="Perpetua" w:cs="Leelawadee"/>
                <w:sz w:val="28"/>
              </w:rPr>
            </w:pPr>
            <w:r>
              <w:rPr>
                <w:rFonts w:ascii="Perpetua" w:hAnsi="Perpetua" w:cs="Leelawadee"/>
                <w:sz w:val="28"/>
              </w:rPr>
              <w:t>(e)</w:t>
            </w:r>
          </w:p>
        </w:tc>
        <w:tc>
          <w:tcPr>
            <w:tcW w:w="9220" w:type="dxa"/>
            <w:gridSpan w:val="4"/>
          </w:tcPr>
          <w:p w14:paraId="75ABEF6A" w14:textId="3AB52B3D"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Examples</w:t>
            </w:r>
          </w:p>
        </w:tc>
        <w:tc>
          <w:tcPr>
            <w:tcW w:w="4895" w:type="dxa"/>
            <w:gridSpan w:val="2"/>
          </w:tcPr>
          <w:p w14:paraId="5ED84493"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6EA7B46C" w14:textId="77777777" w:rsidTr="001821AF">
        <w:tc>
          <w:tcPr>
            <w:tcW w:w="563" w:type="dxa"/>
          </w:tcPr>
          <w:p w14:paraId="0870AF7C" w14:textId="77777777" w:rsidR="00EC198B" w:rsidRDefault="00EC198B" w:rsidP="001821AF">
            <w:pPr>
              <w:spacing w:before="120" w:after="120" w:line="228" w:lineRule="auto"/>
              <w:rPr>
                <w:rFonts w:ascii="Perpetua" w:hAnsi="Perpetua" w:cs="Leelawadee"/>
                <w:sz w:val="28"/>
              </w:rPr>
            </w:pPr>
          </w:p>
        </w:tc>
        <w:tc>
          <w:tcPr>
            <w:tcW w:w="9220" w:type="dxa"/>
            <w:gridSpan w:val="4"/>
          </w:tcPr>
          <w:p w14:paraId="6608E124" w14:textId="4EF50F92" w:rsidR="00EC198B" w:rsidRPr="00B0568A" w:rsidRDefault="00EC198B" w:rsidP="001821AF">
            <w:pPr>
              <w:spacing w:line="228" w:lineRule="auto"/>
              <w:rPr>
                <w:rFonts w:ascii="Perpetua" w:hAnsi="Perpetua"/>
                <w:sz w:val="32"/>
                <w:szCs w:val="28"/>
              </w:rPr>
            </w:pPr>
            <w:r w:rsidRPr="00B0568A">
              <w:rPr>
                <w:rFonts w:ascii="Perpetua" w:hAnsi="Perpetua"/>
                <w:sz w:val="32"/>
                <w:szCs w:val="28"/>
              </w:rPr>
              <w:t>General Assumptions: In each of the examples below, assume Smith is a nonresident partner that holds an interest in Partnership X which has offices and activities in this state.</w:t>
            </w:r>
          </w:p>
        </w:tc>
        <w:tc>
          <w:tcPr>
            <w:tcW w:w="4895" w:type="dxa"/>
            <w:gridSpan w:val="2"/>
          </w:tcPr>
          <w:p w14:paraId="3275DCE3"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4F6E8BCA" w14:textId="77777777" w:rsidTr="001821AF">
        <w:tc>
          <w:tcPr>
            <w:tcW w:w="563" w:type="dxa"/>
          </w:tcPr>
          <w:p w14:paraId="483BD6F1" w14:textId="77777777" w:rsidR="00EC198B" w:rsidRDefault="00EC198B" w:rsidP="001821AF">
            <w:pPr>
              <w:spacing w:before="120" w:after="120" w:line="228" w:lineRule="auto"/>
              <w:rPr>
                <w:rFonts w:ascii="Perpetua" w:hAnsi="Perpetua" w:cs="Leelawadee"/>
                <w:sz w:val="28"/>
              </w:rPr>
            </w:pPr>
          </w:p>
        </w:tc>
        <w:tc>
          <w:tcPr>
            <w:tcW w:w="9220" w:type="dxa"/>
            <w:gridSpan w:val="4"/>
          </w:tcPr>
          <w:p w14:paraId="205F7E77" w14:textId="3A171FE7"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 xml:space="preserve">(1) Simple Example: </w:t>
            </w:r>
          </w:p>
          <w:p w14:paraId="0A834C03" w14:textId="77777777" w:rsidR="00EC198B" w:rsidRPr="00B0568A" w:rsidRDefault="00EC198B" w:rsidP="00111E0D">
            <w:pPr>
              <w:pStyle w:val="ListParagraph"/>
              <w:numPr>
                <w:ilvl w:val="0"/>
                <w:numId w:val="7"/>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6A07CC14" w14:textId="77777777" w:rsidR="00EC198B" w:rsidRPr="00B0568A" w:rsidRDefault="00EC198B" w:rsidP="00111E0D">
            <w:pPr>
              <w:pStyle w:val="ListParagraph"/>
              <w:numPr>
                <w:ilvl w:val="0"/>
                <w:numId w:val="7"/>
              </w:numPr>
              <w:spacing w:after="240" w:line="264" w:lineRule="auto"/>
              <w:rPr>
                <w:rFonts w:ascii="Perpetua" w:hAnsi="Perpetua"/>
                <w:sz w:val="32"/>
                <w:szCs w:val="28"/>
              </w:rPr>
            </w:pPr>
            <w:r w:rsidRPr="00B0568A">
              <w:rPr>
                <w:rFonts w:ascii="Perpetua" w:hAnsi="Perpetua"/>
                <w:sz w:val="32"/>
                <w:szCs w:val="28"/>
              </w:rPr>
              <w:t xml:space="preserve">X meets the safe harbor of Section (d) of this regulation. </w:t>
            </w:r>
          </w:p>
          <w:p w14:paraId="6B599449" w14:textId="77777777" w:rsidR="00EC198B" w:rsidRPr="00B0568A" w:rsidRDefault="00EC198B" w:rsidP="00111E0D">
            <w:pPr>
              <w:pStyle w:val="ListParagraph"/>
              <w:numPr>
                <w:ilvl w:val="0"/>
                <w:numId w:val="7"/>
              </w:numPr>
              <w:spacing w:before="120" w:after="120" w:line="228" w:lineRule="auto"/>
              <w:rPr>
                <w:rFonts w:ascii="Perpetua" w:hAnsi="Perpetua"/>
                <w:sz w:val="32"/>
                <w:szCs w:val="28"/>
              </w:rPr>
            </w:pPr>
            <w:r w:rsidRPr="00B0568A">
              <w:rPr>
                <w:rFonts w:ascii="Perpetua" w:hAnsi="Perpetua"/>
                <w:sz w:val="32"/>
                <w:szCs w:val="28"/>
              </w:rPr>
              <w:t>X has dividends from corporate stock.</w:t>
            </w:r>
          </w:p>
          <w:p w14:paraId="3AB1AB80" w14:textId="7E8B5B7A"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such dividends from investment in corporate stock recognized by an individual would be sourced to the individual’s state of residence. [REFERENCE TO STATUTES AND REGULATIONS.] Therefore, Smith’s distributive share of the dividend income of X is not sourced to this state.</w:t>
            </w:r>
          </w:p>
        </w:tc>
        <w:tc>
          <w:tcPr>
            <w:tcW w:w="4895" w:type="dxa"/>
            <w:gridSpan w:val="2"/>
          </w:tcPr>
          <w:p w14:paraId="0B9432D3"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1E645806" w14:textId="77777777" w:rsidTr="001821AF">
        <w:tc>
          <w:tcPr>
            <w:tcW w:w="563" w:type="dxa"/>
          </w:tcPr>
          <w:p w14:paraId="64B7BB00" w14:textId="77777777" w:rsidR="00EC198B" w:rsidRDefault="00EC198B" w:rsidP="001821AF">
            <w:pPr>
              <w:spacing w:before="120" w:after="120" w:line="228" w:lineRule="auto"/>
              <w:rPr>
                <w:rFonts w:ascii="Perpetua" w:hAnsi="Perpetua" w:cs="Leelawadee"/>
                <w:sz w:val="28"/>
              </w:rPr>
            </w:pPr>
          </w:p>
        </w:tc>
        <w:tc>
          <w:tcPr>
            <w:tcW w:w="9220" w:type="dxa"/>
            <w:gridSpan w:val="4"/>
          </w:tcPr>
          <w:p w14:paraId="11D19DFF" w14:textId="57BD4365" w:rsidR="00EC198B" w:rsidRPr="00B0568A" w:rsidRDefault="00EC198B" w:rsidP="001821AF">
            <w:pPr>
              <w:spacing w:line="228" w:lineRule="auto"/>
              <w:rPr>
                <w:rFonts w:ascii="Perpetua" w:hAnsi="Perpetua"/>
                <w:sz w:val="32"/>
                <w:szCs w:val="28"/>
              </w:rPr>
            </w:pPr>
            <w:r w:rsidRPr="00B0568A">
              <w:rPr>
                <w:rFonts w:ascii="Perpetua" w:hAnsi="Perpetua"/>
                <w:sz w:val="32"/>
                <w:szCs w:val="28"/>
              </w:rPr>
              <w:t xml:space="preserve">(2) Partnership X Meets General Criteria but not Safe Harbor: </w:t>
            </w:r>
          </w:p>
          <w:p w14:paraId="31A6FAC2" w14:textId="77777777" w:rsidR="00EC198B" w:rsidRPr="00B0568A" w:rsidRDefault="00EC198B" w:rsidP="00111E0D">
            <w:pPr>
              <w:pStyle w:val="ListParagraph"/>
              <w:numPr>
                <w:ilvl w:val="0"/>
                <w:numId w:val="8"/>
              </w:numPr>
              <w:spacing w:after="240" w:line="264" w:lineRule="auto"/>
              <w:rPr>
                <w:rFonts w:ascii="Perpetua" w:hAnsi="Perpetua"/>
                <w:sz w:val="32"/>
                <w:szCs w:val="28"/>
              </w:rPr>
            </w:pPr>
            <w:r w:rsidRPr="00B0568A">
              <w:rPr>
                <w:rFonts w:ascii="Perpetua" w:hAnsi="Perpetua"/>
                <w:sz w:val="32"/>
                <w:szCs w:val="28"/>
              </w:rPr>
              <w:t>Smith meets the criteria of Section (b) of this regulation.</w:t>
            </w:r>
          </w:p>
          <w:p w14:paraId="6DEEA403" w14:textId="77777777" w:rsidR="00EC198B" w:rsidRPr="00B0568A" w:rsidRDefault="00EC198B" w:rsidP="00111E0D">
            <w:pPr>
              <w:pStyle w:val="ListParagraph"/>
              <w:numPr>
                <w:ilvl w:val="0"/>
                <w:numId w:val="8"/>
              </w:numPr>
              <w:spacing w:after="240" w:line="264" w:lineRule="auto"/>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7717087D" w14:textId="77777777" w:rsidR="00EC198B" w:rsidRPr="00B0568A" w:rsidRDefault="00EC198B" w:rsidP="00111E0D">
            <w:pPr>
              <w:pStyle w:val="ListParagraph"/>
              <w:numPr>
                <w:ilvl w:val="0"/>
                <w:numId w:val="8"/>
              </w:numPr>
              <w:spacing w:after="240" w:line="264" w:lineRule="auto"/>
              <w:rPr>
                <w:rFonts w:ascii="Perpetua" w:hAnsi="Perpetua"/>
                <w:sz w:val="32"/>
                <w:szCs w:val="28"/>
              </w:rPr>
            </w:pPr>
            <w:r w:rsidRPr="00B0568A">
              <w:rPr>
                <w:rFonts w:ascii="Perpetua" w:hAnsi="Perpetua"/>
                <w:sz w:val="32"/>
                <w:szCs w:val="28"/>
              </w:rPr>
              <w:t xml:space="preserve">X has dividends from corporate stock. </w:t>
            </w:r>
          </w:p>
          <w:p w14:paraId="778DD7BF" w14:textId="43414BD5"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fact that X is not presumed to be a qualified investment partnership does not prevent it from being treated as one. The activities of X in this state do not determine how Smith’s distributive share of the dividends are sourced. Rather, under state statutes and regulations, such dividends from corporate stock recognized by an individual would be sourced to the individual’s state of residence. [REFERENCE TO STATUTES AND REGULATIONS.] Therefore, Smith’s distributive share of the dividend income of X is not sourced to this state.</w:t>
            </w:r>
          </w:p>
        </w:tc>
        <w:tc>
          <w:tcPr>
            <w:tcW w:w="4895" w:type="dxa"/>
            <w:gridSpan w:val="2"/>
          </w:tcPr>
          <w:p w14:paraId="25934900"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71CB9C64" w14:textId="77777777" w:rsidTr="001821AF">
        <w:tc>
          <w:tcPr>
            <w:tcW w:w="563" w:type="dxa"/>
          </w:tcPr>
          <w:p w14:paraId="06B5DD91" w14:textId="77777777" w:rsidR="00EC198B" w:rsidRDefault="00EC198B" w:rsidP="001821AF">
            <w:pPr>
              <w:spacing w:before="120" w:after="120" w:line="228" w:lineRule="auto"/>
              <w:rPr>
                <w:rFonts w:ascii="Perpetua" w:hAnsi="Perpetua" w:cs="Leelawadee"/>
                <w:sz w:val="28"/>
              </w:rPr>
            </w:pPr>
          </w:p>
        </w:tc>
        <w:tc>
          <w:tcPr>
            <w:tcW w:w="9220" w:type="dxa"/>
            <w:gridSpan w:val="4"/>
          </w:tcPr>
          <w:p w14:paraId="190F6FEC" w14:textId="3922DECB"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(3) Partnership X has Gain from Sale of Real Property in this State:</w:t>
            </w:r>
          </w:p>
          <w:p w14:paraId="004561F7"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Partner Smith owns an interest in Partnership X. </w:t>
            </w:r>
          </w:p>
          <w:p w14:paraId="00CC012C"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2D55B08E"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4B6308F2" w14:textId="77777777" w:rsidR="00EC198B" w:rsidRPr="00B0568A" w:rsidRDefault="00EC198B" w:rsidP="00111E0D">
            <w:pPr>
              <w:pStyle w:val="ListParagraph"/>
              <w:numPr>
                <w:ilvl w:val="0"/>
                <w:numId w:val="9"/>
              </w:numPr>
              <w:spacing w:after="240" w:line="264" w:lineRule="auto"/>
              <w:rPr>
                <w:rFonts w:ascii="Perpetua" w:hAnsi="Perpetua"/>
                <w:sz w:val="32"/>
                <w:szCs w:val="28"/>
              </w:rPr>
            </w:pPr>
            <w:r w:rsidRPr="00B0568A">
              <w:rPr>
                <w:rFonts w:ascii="Perpetua" w:hAnsi="Perpetua"/>
                <w:sz w:val="32"/>
                <w:szCs w:val="28"/>
              </w:rPr>
              <w:t xml:space="preserve">X has a capital gain from the sale of real property in this state. </w:t>
            </w:r>
          </w:p>
          <w:p w14:paraId="67A6EE87" w14:textId="3B07159A"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 xml:space="preserve">The fact that X is not presumed to be a qualified investment partnership does not prevent it from being treated as one. As such, the activities of X in this state do not determine how Smith’s distributive share of the capital gain is sourced. Rather, under state statutes and regulations, such capital gains from real property in the state that are recognized by an individual would be </w:t>
            </w:r>
            <w:r w:rsidRPr="00B0568A">
              <w:rPr>
                <w:rFonts w:ascii="Perpetua" w:hAnsi="Perpetua"/>
                <w:sz w:val="32"/>
                <w:szCs w:val="28"/>
              </w:rPr>
              <w:lastRenderedPageBreak/>
              <w:t>sourced to this state. [REFERENCE TO STATUTES AND REGULATIONS.] Therefore, Smith’s distributive share of the capital gains is sourced to this state.</w:t>
            </w:r>
          </w:p>
          <w:p w14:paraId="0A01AD31" w14:textId="57E30E33"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If X were found not to meet the definition of a qualified investment partnership under Section (c), then X’s activities in the state might affect the sourcing of the gain from the sale of real property. If the gain were determined to be part of X’s unitary business, then the gain would be apportioned as part of X’s business income using [REFERENCE TO STATE’S APPORTIONMENT RULES APPLIED TO PARTNERSHIPS]. If the gain were determined to be nonbusiness [OR NONAPPORTIONABLE] income of X, then the gain would be allocated under [REFERENCE TO STATE’S RULES FOR SOURCING NONBUSINESS INCOME].</w:t>
            </w:r>
          </w:p>
        </w:tc>
        <w:tc>
          <w:tcPr>
            <w:tcW w:w="4895" w:type="dxa"/>
            <w:gridSpan w:val="2"/>
          </w:tcPr>
          <w:p w14:paraId="13E9220A"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359738A8" w14:textId="77777777" w:rsidTr="001821AF">
        <w:tc>
          <w:tcPr>
            <w:tcW w:w="563" w:type="dxa"/>
          </w:tcPr>
          <w:p w14:paraId="62757F3A" w14:textId="77777777" w:rsidR="00EC198B" w:rsidRDefault="00EC198B" w:rsidP="001821AF">
            <w:pPr>
              <w:spacing w:before="120" w:after="120" w:line="228" w:lineRule="auto"/>
              <w:rPr>
                <w:rFonts w:ascii="Perpetua" w:hAnsi="Perpetua" w:cs="Leelawadee"/>
                <w:sz w:val="28"/>
              </w:rPr>
            </w:pPr>
          </w:p>
        </w:tc>
        <w:tc>
          <w:tcPr>
            <w:tcW w:w="9220" w:type="dxa"/>
            <w:gridSpan w:val="4"/>
          </w:tcPr>
          <w:p w14:paraId="48E16907" w14:textId="1E7A380B"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 xml:space="preserve">(4) Partnership has in Distributive Share Income from Another Partnership: </w:t>
            </w:r>
          </w:p>
          <w:p w14:paraId="0A8710EE" w14:textId="77777777" w:rsidR="00EC198B" w:rsidRPr="00B0568A" w:rsidRDefault="00EC198B" w:rsidP="00111E0D">
            <w:pPr>
              <w:numPr>
                <w:ilvl w:val="0"/>
                <w:numId w:val="2"/>
              </w:numPr>
              <w:spacing w:after="240" w:line="264" w:lineRule="auto"/>
              <w:ind w:left="360"/>
              <w:contextualSpacing/>
              <w:rPr>
                <w:rFonts w:ascii="Perpetua" w:hAnsi="Perpetua"/>
                <w:sz w:val="32"/>
                <w:szCs w:val="28"/>
              </w:rPr>
            </w:pPr>
            <w:r w:rsidRPr="00B0568A">
              <w:rPr>
                <w:rFonts w:ascii="Perpetua" w:hAnsi="Perpetua"/>
                <w:sz w:val="32"/>
                <w:szCs w:val="28"/>
              </w:rPr>
              <w:t xml:space="preserve">Smith meets the criteria of Section (b) of this regulation. </w:t>
            </w:r>
          </w:p>
          <w:p w14:paraId="7AA136B3" w14:textId="77777777" w:rsidR="00EC198B" w:rsidRPr="00B0568A" w:rsidRDefault="00EC198B" w:rsidP="00111E0D">
            <w:pPr>
              <w:numPr>
                <w:ilvl w:val="0"/>
                <w:numId w:val="2"/>
              </w:numPr>
              <w:spacing w:after="240" w:line="264" w:lineRule="auto"/>
              <w:ind w:left="360"/>
              <w:contextualSpacing/>
              <w:rPr>
                <w:rFonts w:ascii="Perpetua" w:hAnsi="Perpetua"/>
                <w:sz w:val="32"/>
                <w:szCs w:val="28"/>
              </w:rPr>
            </w:pPr>
            <w:r w:rsidRPr="00B0568A">
              <w:rPr>
                <w:rFonts w:ascii="Perpetua" w:hAnsi="Perpetua"/>
                <w:sz w:val="32"/>
                <w:szCs w:val="28"/>
              </w:rPr>
              <w:t xml:space="preserve">X does not meet the safe harbor of Section (d) of this regulation, but otherwise meets the definition of a qualified investment partnership under Section (c). </w:t>
            </w:r>
          </w:p>
          <w:p w14:paraId="15BC72BB" w14:textId="77777777" w:rsidR="00EC198B" w:rsidRPr="00B0568A" w:rsidRDefault="00EC198B" w:rsidP="00111E0D">
            <w:pPr>
              <w:numPr>
                <w:ilvl w:val="0"/>
                <w:numId w:val="2"/>
              </w:numPr>
              <w:spacing w:after="240" w:line="264" w:lineRule="auto"/>
              <w:ind w:left="360"/>
              <w:contextualSpacing/>
              <w:rPr>
                <w:rFonts w:ascii="Perpetua" w:hAnsi="Perpetua"/>
                <w:sz w:val="32"/>
                <w:szCs w:val="28"/>
              </w:rPr>
            </w:pPr>
            <w:r w:rsidRPr="00B0568A">
              <w:rPr>
                <w:rFonts w:ascii="Perpetua" w:hAnsi="Perpetua"/>
                <w:sz w:val="32"/>
                <w:szCs w:val="28"/>
              </w:rPr>
              <w:t xml:space="preserve">X has distributive share income from an interest in Partnership Y, doing business in this state. </w:t>
            </w:r>
          </w:p>
          <w:p w14:paraId="509ED133" w14:textId="19D48C04"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fact that X is not presumed to be a qualified investment partnership does not prevent it from being treated as one. The activities of X in this state do not determine how Smith’s distributive share of the capital gain is sourced. Rather, under state statutes and regulations, such distributive share income recognized by an individual would be sourced to this state based on the activities of Partnership Y. [REFERENCE TO STATUTES AND REGULATIONS.] Therefore, Smith’s distributive share of the income of Partnership Y, flowing through Partnership X, is sourced to this state based on the activities of Partnership Y.</w:t>
            </w:r>
          </w:p>
        </w:tc>
        <w:tc>
          <w:tcPr>
            <w:tcW w:w="4895" w:type="dxa"/>
            <w:gridSpan w:val="2"/>
          </w:tcPr>
          <w:p w14:paraId="7A33F050"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079A1CF1" w14:textId="77777777" w:rsidTr="00D03D2C">
        <w:tc>
          <w:tcPr>
            <w:tcW w:w="563" w:type="dxa"/>
          </w:tcPr>
          <w:p w14:paraId="0B1F5E1C" w14:textId="77777777" w:rsidR="00EC198B" w:rsidRDefault="00EC198B" w:rsidP="001821AF">
            <w:pPr>
              <w:spacing w:before="120" w:after="120" w:line="228" w:lineRule="auto"/>
              <w:rPr>
                <w:rFonts w:ascii="Perpetua" w:hAnsi="Perpetua" w:cs="Leelawadee"/>
                <w:sz w:val="28"/>
              </w:rPr>
            </w:pPr>
          </w:p>
        </w:tc>
        <w:tc>
          <w:tcPr>
            <w:tcW w:w="9220" w:type="dxa"/>
            <w:gridSpan w:val="4"/>
          </w:tcPr>
          <w:p w14:paraId="318487E9" w14:textId="035D4F2D" w:rsidR="00EC198B" w:rsidRPr="00B0568A" w:rsidRDefault="00EC198B" w:rsidP="001821AF">
            <w:pPr>
              <w:spacing w:line="228" w:lineRule="auto"/>
              <w:rPr>
                <w:rFonts w:ascii="Perpetua" w:hAnsi="Perpetua"/>
                <w:sz w:val="32"/>
                <w:szCs w:val="28"/>
              </w:rPr>
            </w:pPr>
            <w:r w:rsidRPr="00B0568A">
              <w:rPr>
                <w:rFonts w:ascii="Perpetua" w:hAnsi="Perpetua"/>
                <w:sz w:val="32"/>
                <w:szCs w:val="28"/>
              </w:rPr>
              <w:t>(5) Partnership X is a Qualified Investment Partnership but Smith is a Dealer:</w:t>
            </w:r>
          </w:p>
          <w:p w14:paraId="445EC7EA" w14:textId="77777777" w:rsidR="00EC198B" w:rsidRPr="00B0568A" w:rsidRDefault="00EC198B" w:rsidP="00111E0D">
            <w:pPr>
              <w:pStyle w:val="ListParagraph"/>
              <w:numPr>
                <w:ilvl w:val="0"/>
                <w:numId w:val="10"/>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032846C9" w14:textId="77777777" w:rsidR="00EC198B" w:rsidRPr="00B0568A" w:rsidRDefault="00EC198B" w:rsidP="00111E0D">
            <w:pPr>
              <w:pStyle w:val="ListParagraph"/>
              <w:numPr>
                <w:ilvl w:val="0"/>
                <w:numId w:val="10"/>
              </w:numPr>
              <w:spacing w:after="240" w:line="264" w:lineRule="auto"/>
              <w:rPr>
                <w:rFonts w:ascii="Perpetua" w:hAnsi="Perpetua"/>
                <w:sz w:val="32"/>
                <w:szCs w:val="28"/>
              </w:rPr>
            </w:pPr>
            <w:r w:rsidRPr="00B0568A">
              <w:rPr>
                <w:rFonts w:ascii="Perpetua" w:hAnsi="Perpetua"/>
                <w:sz w:val="32"/>
                <w:szCs w:val="28"/>
              </w:rPr>
              <w:t xml:space="preserve">X meets the safe harbor of Section (d) of this regulation. </w:t>
            </w:r>
          </w:p>
          <w:p w14:paraId="3B303A47" w14:textId="77777777" w:rsidR="00EC198B" w:rsidRPr="00B0568A" w:rsidRDefault="00EC198B" w:rsidP="00111E0D">
            <w:pPr>
              <w:pStyle w:val="ListParagraph"/>
              <w:numPr>
                <w:ilvl w:val="0"/>
                <w:numId w:val="10"/>
              </w:numPr>
              <w:spacing w:after="240" w:line="264" w:lineRule="auto"/>
              <w:rPr>
                <w:rFonts w:ascii="Perpetua" w:hAnsi="Perpetua"/>
                <w:sz w:val="32"/>
                <w:szCs w:val="28"/>
              </w:rPr>
            </w:pPr>
            <w:r w:rsidRPr="00B0568A">
              <w:rPr>
                <w:rFonts w:ascii="Perpetua" w:hAnsi="Perpetua"/>
                <w:sz w:val="32"/>
                <w:szCs w:val="28"/>
              </w:rPr>
              <w:t xml:space="preserve">Smith acts as a dealer in investments and has customers in this state. </w:t>
            </w:r>
          </w:p>
          <w:p w14:paraId="4D6A0E45" w14:textId="42B69680"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Smith’s investment in X would be considered part of the inventory of assets with respect to which Smith acts as a dealer. [REFERENCE TO STATUTES AND REGULATIONS.] Therefore, Smith’s distributive share from X is sourced to this state as part of the income of Smith’s business as a dealer in this state.</w:t>
            </w:r>
          </w:p>
        </w:tc>
        <w:tc>
          <w:tcPr>
            <w:tcW w:w="4895" w:type="dxa"/>
            <w:gridSpan w:val="2"/>
          </w:tcPr>
          <w:p w14:paraId="6B2BBA61"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35CCB229" w14:textId="77777777" w:rsidTr="00D03D2C">
        <w:tc>
          <w:tcPr>
            <w:tcW w:w="563" w:type="dxa"/>
          </w:tcPr>
          <w:p w14:paraId="199A6A1E" w14:textId="77777777" w:rsidR="00EC198B" w:rsidRDefault="00EC198B" w:rsidP="001821AF">
            <w:pPr>
              <w:spacing w:before="120" w:after="120" w:line="228" w:lineRule="auto"/>
              <w:rPr>
                <w:rFonts w:ascii="Perpetua" w:hAnsi="Perpetua" w:cs="Leelawadee"/>
                <w:sz w:val="28"/>
              </w:rPr>
            </w:pPr>
          </w:p>
        </w:tc>
        <w:tc>
          <w:tcPr>
            <w:tcW w:w="9220" w:type="dxa"/>
            <w:gridSpan w:val="4"/>
          </w:tcPr>
          <w:p w14:paraId="72F56E0A" w14:textId="49A48656"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(6) Smith Uses Investment in Partnership X in Another Business:</w:t>
            </w:r>
          </w:p>
          <w:p w14:paraId="4C8B5DDC" w14:textId="77777777"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 xml:space="preserve">Smith meets the criteria of Section (b) of this regulation. </w:t>
            </w:r>
          </w:p>
          <w:p w14:paraId="199C8DE0" w14:textId="77777777"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 xml:space="preserve">X meets the safe harbor of Section (d) of this regulation. </w:t>
            </w:r>
          </w:p>
          <w:p w14:paraId="25FB92C2" w14:textId="77777777"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 xml:space="preserve">Smith operates Business Y, a sole proprietorship, in this state. </w:t>
            </w:r>
          </w:p>
          <w:p w14:paraId="3F39E1C9" w14:textId="3C901215" w:rsidR="00EC198B" w:rsidRPr="00B0568A" w:rsidRDefault="00EC198B" w:rsidP="00111E0D">
            <w:pPr>
              <w:pStyle w:val="ListParagraph"/>
              <w:numPr>
                <w:ilvl w:val="0"/>
                <w:numId w:val="11"/>
              </w:numPr>
              <w:spacing w:after="240" w:line="264" w:lineRule="auto"/>
              <w:rPr>
                <w:rFonts w:ascii="Perpetua" w:hAnsi="Perpetua"/>
                <w:sz w:val="32"/>
                <w:szCs w:val="28"/>
              </w:rPr>
            </w:pPr>
            <w:r w:rsidRPr="00B0568A">
              <w:rPr>
                <w:rFonts w:ascii="Perpetua" w:hAnsi="Perpetua"/>
                <w:sz w:val="32"/>
                <w:szCs w:val="28"/>
              </w:rPr>
              <w:t>Under state statutes and regulations, Smith’s investment in X would be considered part of the business income of Business Y.  [</w:t>
            </w:r>
            <w:r w:rsidR="000350FA">
              <w:rPr>
                <w:rFonts w:ascii="Perpetua" w:hAnsi="Perpetua"/>
                <w:sz w:val="32"/>
                <w:szCs w:val="28"/>
              </w:rPr>
              <w:t>R</w:t>
            </w:r>
            <w:r w:rsidR="000350FA" w:rsidRPr="00B0568A">
              <w:rPr>
                <w:rFonts w:ascii="Perpetua" w:hAnsi="Perpetua"/>
                <w:sz w:val="32"/>
                <w:szCs w:val="28"/>
              </w:rPr>
              <w:t>EFERENCE TO STATUTES AND REGULATIONS</w:t>
            </w:r>
            <w:r w:rsidRPr="00B0568A">
              <w:rPr>
                <w:rFonts w:ascii="Perpetua" w:hAnsi="Perpetua"/>
                <w:sz w:val="32"/>
                <w:szCs w:val="28"/>
              </w:rPr>
              <w:t xml:space="preserve">.] </w:t>
            </w:r>
          </w:p>
          <w:p w14:paraId="53E5CC47" w14:textId="2A97B689"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The activities of X in this state do not determine how Smith’s distributive share of the dividends are sourced. Rather, under state statutes and regulations, the distributive share from X would be sourced to this state as part of the income of Business Y.</w:t>
            </w:r>
          </w:p>
        </w:tc>
        <w:tc>
          <w:tcPr>
            <w:tcW w:w="4895" w:type="dxa"/>
            <w:gridSpan w:val="2"/>
          </w:tcPr>
          <w:p w14:paraId="28B7FF5F" w14:textId="77777777" w:rsidR="00EC198B" w:rsidRPr="002610F7" w:rsidRDefault="00EC198B" w:rsidP="001821AF">
            <w:pPr>
              <w:spacing w:before="120" w:after="120" w:line="276" w:lineRule="auto"/>
              <w:rPr>
                <w:rFonts w:ascii="Tahoma" w:hAnsi="Tahoma" w:cs="Tahoma"/>
                <w:color w:val="7A18FC"/>
                <w:sz w:val="22"/>
                <w:szCs w:val="22"/>
              </w:rPr>
            </w:pPr>
          </w:p>
        </w:tc>
      </w:tr>
    </w:tbl>
    <w:p w14:paraId="0BCFD80F" w14:textId="77777777" w:rsidR="0006519D" w:rsidRDefault="0006519D">
      <w:r>
        <w:br w:type="page"/>
      </w:r>
    </w:p>
    <w:tbl>
      <w:tblPr>
        <w:tblStyle w:val="TableGrid"/>
        <w:tblW w:w="0" w:type="auto"/>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563"/>
        <w:gridCol w:w="9220"/>
        <w:gridCol w:w="4895"/>
      </w:tblGrid>
      <w:tr w:rsidR="00EC198B" w:rsidRPr="008F2CF7" w14:paraId="131397FC" w14:textId="77777777" w:rsidTr="001821AF">
        <w:tc>
          <w:tcPr>
            <w:tcW w:w="563" w:type="dxa"/>
          </w:tcPr>
          <w:p w14:paraId="32D48E4F" w14:textId="0B8BC34B" w:rsidR="00EC198B" w:rsidRDefault="00EC198B" w:rsidP="001821AF">
            <w:pPr>
              <w:spacing w:before="120" w:after="120" w:line="228" w:lineRule="auto"/>
              <w:rPr>
                <w:rFonts w:ascii="Perpetua" w:hAnsi="Perpetua" w:cs="Leelawadee"/>
                <w:sz w:val="28"/>
              </w:rPr>
            </w:pPr>
          </w:p>
        </w:tc>
        <w:tc>
          <w:tcPr>
            <w:tcW w:w="9220" w:type="dxa"/>
          </w:tcPr>
          <w:p w14:paraId="409F720D" w14:textId="09F46666" w:rsidR="00EC198B" w:rsidRPr="00B0568A" w:rsidRDefault="00EC198B" w:rsidP="001821AF">
            <w:pPr>
              <w:spacing w:line="228" w:lineRule="auto"/>
              <w:rPr>
                <w:rFonts w:ascii="Perpetua" w:hAnsi="Perpetua"/>
                <w:sz w:val="32"/>
                <w:szCs w:val="28"/>
              </w:rPr>
            </w:pPr>
            <w:r w:rsidRPr="00B0568A">
              <w:rPr>
                <w:rFonts w:ascii="Perpetua" w:hAnsi="Perpetua"/>
                <w:sz w:val="32"/>
                <w:szCs w:val="28"/>
              </w:rPr>
              <w:t>(7) Smith Participates in the Management of the Qualified Investment Partnership:</w:t>
            </w:r>
          </w:p>
          <w:p w14:paraId="3FE721E2" w14:textId="77777777" w:rsidR="00EC198B" w:rsidRPr="00B0568A" w:rsidRDefault="00EC198B" w:rsidP="00111E0D">
            <w:pPr>
              <w:pStyle w:val="ListParagraph"/>
              <w:numPr>
                <w:ilvl w:val="0"/>
                <w:numId w:val="12"/>
              </w:numPr>
              <w:spacing w:after="240" w:line="264" w:lineRule="auto"/>
              <w:rPr>
                <w:rFonts w:ascii="Perpetua" w:hAnsi="Perpetua"/>
                <w:sz w:val="32"/>
                <w:szCs w:val="28"/>
              </w:rPr>
            </w:pPr>
            <w:r w:rsidRPr="00B0568A">
              <w:rPr>
                <w:rFonts w:ascii="Perpetua" w:hAnsi="Perpetua"/>
                <w:sz w:val="32"/>
                <w:szCs w:val="28"/>
              </w:rPr>
              <w:t>Smith is a minority partner but participates in the management of X and receives a carried interest (profits interest) for the services Smith performs.</w:t>
            </w:r>
          </w:p>
          <w:p w14:paraId="210BA7AE" w14:textId="77777777" w:rsidR="00EC198B" w:rsidRPr="00B0568A" w:rsidRDefault="00EC198B" w:rsidP="00111E0D">
            <w:pPr>
              <w:pStyle w:val="ListParagraph"/>
              <w:numPr>
                <w:ilvl w:val="0"/>
                <w:numId w:val="12"/>
              </w:numPr>
              <w:spacing w:after="240" w:line="264" w:lineRule="auto"/>
              <w:rPr>
                <w:rFonts w:ascii="Perpetua" w:hAnsi="Perpetua"/>
                <w:sz w:val="32"/>
                <w:szCs w:val="28"/>
              </w:rPr>
            </w:pPr>
            <w:r w:rsidRPr="00B0568A">
              <w:rPr>
                <w:rFonts w:ascii="Perpetua" w:hAnsi="Perpetua"/>
                <w:sz w:val="32"/>
                <w:szCs w:val="28"/>
              </w:rPr>
              <w:t xml:space="preserve">X has dividends from corporate stock. </w:t>
            </w:r>
          </w:p>
          <w:p w14:paraId="1F643336" w14:textId="572C8A1D" w:rsidR="00EC198B" w:rsidRPr="00B0568A" w:rsidRDefault="00EC198B" w:rsidP="001821AF">
            <w:pPr>
              <w:spacing w:before="120" w:after="120" w:line="228" w:lineRule="auto"/>
              <w:rPr>
                <w:rFonts w:ascii="Perpetua" w:hAnsi="Perpetua"/>
                <w:sz w:val="32"/>
                <w:szCs w:val="28"/>
              </w:rPr>
            </w:pPr>
            <w:r w:rsidRPr="00B0568A">
              <w:rPr>
                <w:rFonts w:ascii="Perpetua" w:hAnsi="Perpetua"/>
                <w:sz w:val="32"/>
                <w:szCs w:val="28"/>
              </w:rPr>
              <w:t>Because Smith is engaging in the management of X, Smith’s distributive share of income from X, including the share of dividends from corporate stock, is allocated and apportioned to this state based on the activities of X in this state.</w:t>
            </w:r>
          </w:p>
        </w:tc>
        <w:tc>
          <w:tcPr>
            <w:tcW w:w="4895" w:type="dxa"/>
          </w:tcPr>
          <w:p w14:paraId="33A3196F" w14:textId="77777777" w:rsidR="00EC198B" w:rsidRPr="002610F7" w:rsidRDefault="00EC198B" w:rsidP="001821AF">
            <w:pPr>
              <w:spacing w:before="120" w:after="120" w:line="276" w:lineRule="auto"/>
              <w:rPr>
                <w:rFonts w:ascii="Tahoma" w:hAnsi="Tahoma" w:cs="Tahoma"/>
                <w:color w:val="7A18FC"/>
                <w:sz w:val="22"/>
                <w:szCs w:val="22"/>
              </w:rPr>
            </w:pPr>
          </w:p>
        </w:tc>
      </w:tr>
      <w:tr w:rsidR="00EC198B" w:rsidRPr="008F2CF7" w14:paraId="683211C5" w14:textId="77777777" w:rsidTr="001821AF">
        <w:tc>
          <w:tcPr>
            <w:tcW w:w="563" w:type="dxa"/>
          </w:tcPr>
          <w:p w14:paraId="1F45D281" w14:textId="77777777" w:rsidR="00EC198B" w:rsidRDefault="00EC198B" w:rsidP="00EC198B">
            <w:pPr>
              <w:spacing w:before="120" w:after="120" w:line="228" w:lineRule="auto"/>
              <w:rPr>
                <w:rFonts w:ascii="Perpetua" w:hAnsi="Perpetua" w:cs="Leelawadee"/>
                <w:sz w:val="28"/>
              </w:rPr>
            </w:pPr>
          </w:p>
        </w:tc>
        <w:tc>
          <w:tcPr>
            <w:tcW w:w="9220" w:type="dxa"/>
          </w:tcPr>
          <w:p w14:paraId="3AEFCC1C" w14:textId="7964B6B9" w:rsidR="00EC198B" w:rsidRPr="00B0568A" w:rsidRDefault="00EC198B" w:rsidP="0006519D">
            <w:pPr>
              <w:spacing w:before="120" w:line="228" w:lineRule="auto"/>
              <w:rPr>
                <w:rFonts w:ascii="Perpetua" w:hAnsi="Perpetua"/>
                <w:sz w:val="32"/>
                <w:szCs w:val="28"/>
              </w:rPr>
            </w:pPr>
            <w:r w:rsidRPr="00B0568A">
              <w:rPr>
                <w:rFonts w:ascii="Perpetua" w:hAnsi="Perpetua"/>
                <w:sz w:val="32"/>
                <w:szCs w:val="28"/>
              </w:rPr>
              <w:t xml:space="preserve">(8) Smith Owns a Share of an S Corporation which Owns an Interest in Partnership X. </w:t>
            </w:r>
          </w:p>
          <w:p w14:paraId="54A95F13" w14:textId="1C76314E" w:rsidR="00EC198B" w:rsidRPr="00E14CBB" w:rsidRDefault="00EC198B" w:rsidP="00EC198B">
            <w:pPr>
              <w:spacing w:before="120" w:after="120" w:line="228" w:lineRule="auto"/>
              <w:rPr>
                <w:rFonts w:ascii="Perpetua" w:hAnsi="Perpetua"/>
                <w:sz w:val="28"/>
              </w:rPr>
            </w:pPr>
            <w:r w:rsidRPr="00B0568A">
              <w:rPr>
                <w:rFonts w:ascii="Perpetua" w:hAnsi="Perpetua"/>
                <w:sz w:val="32"/>
                <w:szCs w:val="28"/>
              </w:rPr>
              <w:t>Because the partner in this case, the S corporation, does not meet the criteria of Section (b) of this regulation, this regulation does not apply. Instead sourcing rules under [REFERENCE TO SOURCING OF S CORPORATION INCOME] would apply.</w:t>
            </w:r>
          </w:p>
        </w:tc>
        <w:tc>
          <w:tcPr>
            <w:tcW w:w="4895" w:type="dxa"/>
          </w:tcPr>
          <w:p w14:paraId="2D3BBF99" w14:textId="56B1E28E" w:rsidR="00EC198B" w:rsidRPr="002610F7" w:rsidRDefault="00EC198B" w:rsidP="00EC198B">
            <w:pPr>
              <w:spacing w:before="120" w:after="120" w:line="276" w:lineRule="auto"/>
              <w:rPr>
                <w:rFonts w:ascii="Tahoma" w:hAnsi="Tahoma" w:cs="Tahoma"/>
                <w:color w:val="7A18FC"/>
                <w:sz w:val="22"/>
                <w:szCs w:val="22"/>
              </w:rPr>
            </w:pPr>
          </w:p>
        </w:tc>
      </w:tr>
    </w:tbl>
    <w:p w14:paraId="1C5B4B44" w14:textId="1F1E4A19" w:rsidR="00A94F0B" w:rsidRDefault="00A94F0B" w:rsidP="00131FBD">
      <w:pPr>
        <w:ind w:right="2880"/>
      </w:pPr>
    </w:p>
    <w:p w14:paraId="48394E01" w14:textId="597255E7" w:rsidR="00D65959" w:rsidRDefault="00D65959">
      <w:r>
        <w:br w:type="page"/>
      </w:r>
    </w:p>
    <w:p w14:paraId="4EB3BC62" w14:textId="77777777" w:rsidR="00DD5018" w:rsidRDefault="00DD5018" w:rsidP="00DD5018">
      <w:pPr>
        <w:jc w:val="center"/>
        <w:rPr>
          <w:b/>
          <w:bCs/>
          <w:sz w:val="28"/>
          <w:szCs w:val="28"/>
        </w:rPr>
        <w:sectPr w:rsidR="00DD5018" w:rsidSect="00FB6A00">
          <w:footerReference w:type="default" r:id="rId16"/>
          <w:pgSz w:w="15840" w:h="12240" w:orient="landscape" w:code="1"/>
          <w:pgMar w:top="432" w:right="432" w:bottom="720" w:left="432" w:header="288" w:footer="288" w:gutter="0"/>
          <w:cols w:space="720"/>
          <w:titlePg/>
          <w:docGrid w:linePitch="360"/>
        </w:sectPr>
      </w:pPr>
    </w:p>
    <w:p w14:paraId="7EF5DE60" w14:textId="77777777" w:rsidR="00DD5018" w:rsidRPr="00C2609D" w:rsidRDefault="00DD5018" w:rsidP="00DD5018">
      <w:pPr>
        <w:jc w:val="center"/>
        <w:rPr>
          <w:b/>
          <w:bCs/>
          <w:color w:val="640000"/>
          <w:sz w:val="36"/>
          <w:szCs w:val="36"/>
        </w:rPr>
      </w:pPr>
      <w:r w:rsidRPr="00C2609D">
        <w:rPr>
          <w:b/>
          <w:bCs/>
          <w:color w:val="640000"/>
          <w:sz w:val="36"/>
          <w:szCs w:val="36"/>
        </w:rPr>
        <w:lastRenderedPageBreak/>
        <w:t>APPENDIX – COMMENTS &amp; RESPONSES</w:t>
      </w:r>
    </w:p>
    <w:p w14:paraId="3960FA3E" w14:textId="723622AB" w:rsidR="00DD5018" w:rsidRDefault="00DD5018" w:rsidP="00DD5018">
      <w:r w:rsidRPr="002D140E">
        <w:rPr>
          <w:b/>
          <w:bCs/>
        </w:rPr>
        <w:t>Note:</w:t>
      </w:r>
      <w:r>
        <w:t xml:space="preserve"> Much of what is </w:t>
      </w:r>
      <w:r w:rsidR="00434F7A">
        <w:t>summarized</w:t>
      </w:r>
      <w:r>
        <w:t xml:space="preserve"> in this appendix has also been discussed in the MTC work group calls and is covered in the MTC Revised White Paper on State Tax Sourcing of Partnership Income, available on the project page, here: </w:t>
      </w:r>
      <w:hyperlink r:id="rId17" w:history="1">
        <w:r w:rsidRPr="00D86B61">
          <w:rPr>
            <w:rStyle w:val="Hyperlink"/>
            <w:sz w:val="20"/>
            <w:szCs w:val="20"/>
          </w:rPr>
          <w:t>https://mtc.gov/wp-content/uploads/2026/01/White-Paper-on-Sourcing-Partnership-Income-1-29-26.pdf</w:t>
        </w:r>
      </w:hyperlink>
      <w:r w:rsidRPr="00D86B61">
        <w:rPr>
          <w:sz w:val="20"/>
          <w:szCs w:val="20"/>
        </w:rPr>
        <w:t>.</w:t>
      </w:r>
      <w:r>
        <w:t xml:space="preserve"> </w:t>
      </w:r>
    </w:p>
    <w:p w14:paraId="586CEF9E" w14:textId="77777777" w:rsidR="00DD5018" w:rsidRDefault="00DD5018" w:rsidP="00DD5018">
      <w:r>
        <w:t xml:space="preserve">The MTC received comments on the revised combined draft model provisions from the AICPA, the Eversheds Sutherland law firm, and the Energy Investment Council. The comments from the AICPA suggesting certain specific wording changes or clarifications, and the responses to those comments are summarized in a table at the end of this appendix.   </w:t>
      </w:r>
    </w:p>
    <w:p w14:paraId="66316B18" w14:textId="77777777" w:rsidR="00DD5018" w:rsidRDefault="00DD5018" w:rsidP="00DD5018">
      <w:r>
        <w:t xml:space="preserve">Two issues generated more extensive comments from all three groups: </w:t>
      </w:r>
    </w:p>
    <w:p w14:paraId="10E66ABD" w14:textId="77777777" w:rsidR="00DD5018" w:rsidRDefault="00DD5018" w:rsidP="00111E0D">
      <w:pPr>
        <w:pStyle w:val="ListParagraph"/>
        <w:numPr>
          <w:ilvl w:val="0"/>
          <w:numId w:val="18"/>
        </w:numPr>
        <w:contextualSpacing w:val="0"/>
      </w:pPr>
      <w:r>
        <w:t xml:space="preserve">Partnership information reporting requirements, and </w:t>
      </w:r>
    </w:p>
    <w:p w14:paraId="7299812A" w14:textId="77777777" w:rsidR="00DD5018" w:rsidRDefault="00DD5018" w:rsidP="00111E0D">
      <w:pPr>
        <w:pStyle w:val="ListParagraph"/>
        <w:numPr>
          <w:ilvl w:val="0"/>
          <w:numId w:val="18"/>
        </w:numPr>
      </w:pPr>
      <w:r>
        <w:t xml:space="preserve">Use of the absolute value method to determine a partner’s share of partnership factors when blending. </w:t>
      </w:r>
    </w:p>
    <w:p w14:paraId="05FD246B" w14:textId="03586FAA" w:rsidR="00DD5018" w:rsidRDefault="00DD5018" w:rsidP="00DD5018">
      <w:r>
        <w:t xml:space="preserve">The comments about these two issues have also been discussed as part of the recent work group calls. In order to fully respond to these comments, additional context is needed. </w:t>
      </w:r>
      <w:r w:rsidR="003D5D56">
        <w:t>The</w:t>
      </w:r>
      <w:r>
        <w:t xml:space="preserve"> comments are summarized here, along with that context, before setting out the responses. </w:t>
      </w:r>
    </w:p>
    <w:p w14:paraId="2BAAF94C" w14:textId="77777777" w:rsidR="00DD5018" w:rsidRPr="0033293C" w:rsidRDefault="00DD5018" w:rsidP="0033293C">
      <w:pPr>
        <w:pBdr>
          <w:bottom w:val="single" w:sz="4" w:space="1" w:color="auto"/>
        </w:pBdr>
        <w:spacing w:before="240"/>
        <w:jc w:val="center"/>
        <w:rPr>
          <w:b/>
          <w:bCs/>
          <w:sz w:val="28"/>
          <w:szCs w:val="28"/>
        </w:rPr>
      </w:pPr>
      <w:r w:rsidRPr="0033293C">
        <w:rPr>
          <w:b/>
          <w:bCs/>
          <w:sz w:val="28"/>
          <w:szCs w:val="28"/>
        </w:rPr>
        <w:t>Information Reporting Requirements</w:t>
      </w:r>
    </w:p>
    <w:p w14:paraId="592AB4D8" w14:textId="23606E88" w:rsidR="00DD5018" w:rsidRPr="002D7923" w:rsidRDefault="00DD5018" w:rsidP="00DD5018">
      <w:r>
        <w:t>Part III of the draft model provisions set</w:t>
      </w:r>
      <w:r w:rsidR="009D4C56">
        <w:t>s</w:t>
      </w:r>
      <w:r>
        <w:t xml:space="preserve"> out requirements for partnerships to report certain information to their partners that is necessary for direct and indirect partners to comply with their </w:t>
      </w:r>
      <w:r w:rsidR="00BD5B5C">
        <w:t xml:space="preserve">state </w:t>
      </w:r>
      <w:r>
        <w:t xml:space="preserve">tax reporting </w:t>
      </w:r>
      <w:r w:rsidR="00BD5B5C">
        <w:t>obligations</w:t>
      </w:r>
      <w:r>
        <w:t xml:space="preserve"> and to </w:t>
      </w:r>
      <w:r w:rsidR="00BD5B5C">
        <w:t xml:space="preserve">also </w:t>
      </w:r>
      <w:r>
        <w:t xml:space="preserve">provide certain information to the state that will confirm this information. </w:t>
      </w:r>
    </w:p>
    <w:p w14:paraId="5668B34F" w14:textId="77777777" w:rsidR="00DD5018" w:rsidRPr="00BB7345" w:rsidRDefault="00DD5018" w:rsidP="00C06376">
      <w:pPr>
        <w:spacing w:after="120"/>
        <w:ind w:left="720"/>
        <w:rPr>
          <w:b/>
          <w:bCs/>
          <w:u w:val="single"/>
        </w:rPr>
      </w:pPr>
      <w:r w:rsidRPr="00BB7345">
        <w:rPr>
          <w:b/>
          <w:bCs/>
          <w:u w:val="single"/>
        </w:rPr>
        <w:t>Summary of Comments</w:t>
      </w:r>
    </w:p>
    <w:p w14:paraId="09B3CCAC" w14:textId="77777777" w:rsidR="00DD5018" w:rsidRDefault="00DD5018" w:rsidP="00C06376">
      <w:pPr>
        <w:spacing w:after="120"/>
        <w:ind w:left="720"/>
      </w:pPr>
      <w:r>
        <w:t xml:space="preserve">The AICPA, in its comments, addresses two main issues with respect to information reporting requirements, and these comments were also echoed by the EIC. </w:t>
      </w:r>
    </w:p>
    <w:p w14:paraId="51BF9656" w14:textId="30C4EBDA" w:rsidR="00DD5018" w:rsidRDefault="00DD5018" w:rsidP="00111E0D">
      <w:pPr>
        <w:pStyle w:val="ListParagraph"/>
        <w:numPr>
          <w:ilvl w:val="0"/>
          <w:numId w:val="19"/>
        </w:numPr>
        <w:spacing w:after="120"/>
        <w:ind w:left="1440"/>
        <w:contextualSpacing w:val="0"/>
      </w:pPr>
      <w:r>
        <w:t xml:space="preserve">First, the AICPA </w:t>
      </w:r>
      <w:r w:rsidR="00C06376">
        <w:t>requests</w:t>
      </w:r>
      <w:r>
        <w:t xml:space="preserve"> that </w:t>
      </w:r>
      <w:r w:rsidR="00C06376">
        <w:t>the provision</w:t>
      </w:r>
      <w:r w:rsidR="007F0551">
        <w:t>s</w:t>
      </w:r>
      <w:r>
        <w:t xml:space="preserve"> clarify and limit</w:t>
      </w:r>
      <w:r w:rsidRPr="00663269">
        <w:t xml:space="preserve"> how partnerships </w:t>
      </w:r>
      <w:r>
        <w:t>may be required to “</w:t>
      </w:r>
      <w:r w:rsidRPr="00663269">
        <w:t>report direct or indirect partner information</w:t>
      </w:r>
      <w:r w:rsidR="007F0551">
        <w:t>,</w:t>
      </w:r>
      <w:r>
        <w:t xml:space="preserve">” </w:t>
      </w:r>
      <w:r w:rsidR="00FB03A9">
        <w:t>asserting that the r</w:t>
      </w:r>
      <w:r>
        <w:t>equirements provide that “</w:t>
      </w:r>
      <w:r w:rsidRPr="007F0379">
        <w:t xml:space="preserve">partnerships must obtain and provide to the state tax agency certain partner level information for any state in which the partnership has a direct or indirect partner doing business in or resident in.” </w:t>
      </w:r>
    </w:p>
    <w:p w14:paraId="0E643125" w14:textId="77777777" w:rsidR="00F31D01" w:rsidRDefault="00DD5018" w:rsidP="00111E0D">
      <w:pPr>
        <w:pStyle w:val="ListParagraph"/>
        <w:numPr>
          <w:ilvl w:val="0"/>
          <w:numId w:val="19"/>
        </w:numPr>
        <w:ind w:left="1440"/>
      </w:pPr>
      <w:r>
        <w:lastRenderedPageBreak/>
        <w:t xml:space="preserve">Second, the AICPA’s comments also include this statement: </w:t>
      </w:r>
    </w:p>
    <w:p w14:paraId="3DF72F65" w14:textId="544C4E49" w:rsidR="00DD5018" w:rsidRDefault="00DD5018" w:rsidP="00F31D01">
      <w:pPr>
        <w:pStyle w:val="ListParagraph"/>
        <w:ind w:left="2160" w:right="720"/>
      </w:pPr>
      <w:r>
        <w:t xml:space="preserve">“The model provisions require a partnership to provide to the state tax agency ‘any information’ the agency deems necessary to verify the information reported to partners under Subpart A, as directed through regulations, forms, or instructions. This requirement is overly broad and effectively grants open-ended authority to the state tax agency to require additional information without clear parameters or limitations. In particular, the provision does not appear to contemplate how throwback sales should be determined in a partnership context.” </w:t>
      </w:r>
    </w:p>
    <w:p w14:paraId="4EE1FA7A" w14:textId="77777777" w:rsidR="00DD5018" w:rsidRDefault="00DD5018" w:rsidP="002C3B1B">
      <w:pPr>
        <w:ind w:left="720"/>
      </w:pPr>
      <w:r>
        <w:t xml:space="preserve">The AICPA also references information related to specific state adjustments and the proper application of state throw-back rules as examples of information which a partnership would not know is necessary to provide for an indirect partner to comply with the tax law of a state where the partner is resident or doing business. </w:t>
      </w:r>
    </w:p>
    <w:p w14:paraId="4E52EA6B" w14:textId="6025A15E" w:rsidR="00DD5018" w:rsidRPr="00BB7345" w:rsidRDefault="00D968E3" w:rsidP="002C3B1B">
      <w:pPr>
        <w:ind w:left="720"/>
        <w:rPr>
          <w:b/>
          <w:bCs/>
          <w:u w:val="single"/>
        </w:rPr>
      </w:pPr>
      <w:r>
        <w:rPr>
          <w:b/>
          <w:bCs/>
          <w:u w:val="single"/>
        </w:rPr>
        <w:t xml:space="preserve">Context &amp; </w:t>
      </w:r>
      <w:r w:rsidR="00DD5018" w:rsidRPr="00BB7345">
        <w:rPr>
          <w:b/>
          <w:bCs/>
          <w:u w:val="single"/>
        </w:rPr>
        <w:t>Response</w:t>
      </w:r>
    </w:p>
    <w:p w14:paraId="5DF7EB61" w14:textId="0772BFBB" w:rsidR="00DD5018" w:rsidRDefault="00DD5018" w:rsidP="002C3B1B">
      <w:pPr>
        <w:ind w:left="720"/>
      </w:pPr>
      <w:r>
        <w:t>In responding to these comments, context is critical. This section first sets out that context and then provides a response to the comments, below.</w:t>
      </w:r>
    </w:p>
    <w:p w14:paraId="0B0DC048" w14:textId="77777777" w:rsidR="00DD5018" w:rsidRDefault="00DD5018" w:rsidP="002C3B1B">
      <w:pPr>
        <w:ind w:left="1440"/>
      </w:pPr>
      <w:r w:rsidRPr="009E54D4">
        <w:rPr>
          <w:u w:val="single"/>
        </w:rPr>
        <w:t>Important Context</w:t>
      </w:r>
    </w:p>
    <w:p w14:paraId="29964E0B" w14:textId="47C04618" w:rsidR="00DD5018" w:rsidRDefault="00DD5018" w:rsidP="002C3B1B">
      <w:pPr>
        <w:ind w:left="1440"/>
      </w:pPr>
      <w:r>
        <w:t>Partnerships are creatures of state law. Under this law, partners agree to act collectively and give the partnership certain rights to do so. But forming a partnership does not alleviate partners of their individual legal responsibilities. Rather, partnerships are required to maintain and provide necessary information so that the partners can comply with their individual legal obligations.</w:t>
      </w:r>
      <w:r>
        <w:rPr>
          <w:rStyle w:val="FootnoteReference"/>
        </w:rPr>
        <w:footnoteReference w:id="1"/>
      </w:r>
      <w:r>
        <w:t xml:space="preserve"> Certain information must</w:t>
      </w:r>
      <w:r w:rsidR="0078752D">
        <w:t xml:space="preserve"> legally</w:t>
      </w:r>
      <w:r>
        <w:t xml:space="preserve"> be provided by all partnerships, and other information must be provided when requested by partners.</w:t>
      </w:r>
      <w:r>
        <w:rPr>
          <w:rStyle w:val="FootnoteReference"/>
        </w:rPr>
        <w:footnoteReference w:id="2"/>
      </w:r>
      <w:r>
        <w:t xml:space="preserve"> In this way, the law prevents partnerships from being used as a legal shield. And while these state partnership laws do not specifically address state tax information reporting requirements specifically, they allow for these requirements to be imposed under the state’s tax law.</w:t>
      </w:r>
    </w:p>
    <w:p w14:paraId="063CC534" w14:textId="77777777" w:rsidR="00DD5018" w:rsidRDefault="00DD5018" w:rsidP="002C3B1B">
      <w:pPr>
        <w:ind w:left="1440"/>
      </w:pPr>
      <w:r>
        <w:lastRenderedPageBreak/>
        <w:t>When it comes to taxing partnership income, states generally conform to the federal pass-through system.</w:t>
      </w:r>
      <w:r>
        <w:rPr>
          <w:rStyle w:val="FootnoteReference"/>
        </w:rPr>
        <w:footnoteReference w:id="3"/>
      </w:r>
      <w:r>
        <w:t xml:space="preserve"> This federal system provides a number of taxpayer benefits. The income is taxed only once, when earned, and not again when distributed. Also, because the character of the tax items is determined at the partnership level, certain benefits, such as the treatment of capital gains, are maintained as that income flows through. This federal system also provides substantial flexibility to structuring partnerships.</w:t>
      </w:r>
      <w:r w:rsidRPr="00A7638A">
        <w:t xml:space="preserve"> </w:t>
      </w:r>
      <w:r>
        <w:t>But for the system to function properly, information must be transmitted by partnerships to the taxpaying partners, whether direct or indirect.</w:t>
      </w:r>
    </w:p>
    <w:p w14:paraId="6466211F" w14:textId="77777777" w:rsidR="00DD5018" w:rsidRDefault="00DD5018" w:rsidP="002C3B1B">
      <w:pPr>
        <w:ind w:left="1440"/>
      </w:pPr>
      <w:r>
        <w:t xml:space="preserve">Today, investors and businesses are forming larger, more complex partnerships than ever before. The creation of these complex structures with multiple tiers may be driven by diverse investment and other interests, and the structures may change over time. These structures may provide significant economic benefits, but they come with certain administrative costs. An important cost involves the need to transmit information through these complex structures in order to reach the ultimate partners and investors. </w:t>
      </w:r>
    </w:p>
    <w:p w14:paraId="3D119C2C" w14:textId="77777777" w:rsidR="00DD5018" w:rsidRDefault="00DD5018" w:rsidP="002C3B1B">
      <w:pPr>
        <w:ind w:left="1440"/>
      </w:pPr>
      <w:r>
        <w:t xml:space="preserve">A partnership’s direct and indirect partners and investors may be resident or doing business in states where the partnership has no activities. But the law would still require that these partners report and pay tax on their partnership income in accordance with that state’s law. To the extent the state conforms to the federal substantive tax rules, this simplifies state tax reporting. But all states also require additional information to show that multistate income has been properly sourced. This information must be provided by the partnership. </w:t>
      </w:r>
    </w:p>
    <w:p w14:paraId="67A10BC3" w14:textId="14DD28E6" w:rsidR="00DD5018" w:rsidRDefault="00DD5018" w:rsidP="002C3B1B">
      <w:pPr>
        <w:ind w:left="1440"/>
      </w:pPr>
      <w:r>
        <w:t>The federal tax law delegates to the IRS the authority to require partnership information reporting using broad, general terms.</w:t>
      </w:r>
      <w:r>
        <w:rPr>
          <w:rStyle w:val="FootnoteReference"/>
        </w:rPr>
        <w:footnoteReference w:id="4"/>
      </w:r>
      <w:r>
        <w:t xml:space="preserve"> IRS regulations then provide that the specific information reporting requirements will </w:t>
      </w:r>
      <w:r w:rsidR="00D7351A">
        <w:t xml:space="preserve">have </w:t>
      </w:r>
      <w:r>
        <w:t>to be set out in much more detail in IRS forms and instructions.</w:t>
      </w:r>
      <w:r>
        <w:rPr>
          <w:rStyle w:val="FootnoteReference"/>
        </w:rPr>
        <w:footnoteReference w:id="5"/>
      </w:r>
      <w:r>
        <w:t xml:space="preserve"> Those forms and instructions are widely seen as becoming more detailed over time and as substantive rules change.</w:t>
      </w:r>
      <w:r>
        <w:rPr>
          <w:rStyle w:val="FootnoteReference"/>
        </w:rPr>
        <w:footnoteReference w:id="6"/>
      </w:r>
      <w:r>
        <w:t xml:space="preserve"> This adaptability is important. The federal information reporting requirements apply not only to the partnership that recognizes the tax items in the first place, but also to any upper-tier partnerships through which those items flow. Each partnership in the structure is, therefore, required to maintain and properly report information obtained from lower tiers. </w:t>
      </w:r>
    </w:p>
    <w:p w14:paraId="5BFC22CD" w14:textId="011A7622" w:rsidR="002C3B1B" w:rsidRPr="007A08BD" w:rsidRDefault="00DD5018" w:rsidP="007A08BD">
      <w:pPr>
        <w:ind w:left="1440"/>
      </w:pPr>
      <w:r>
        <w:lastRenderedPageBreak/>
        <w:t>Finally, it should be noted that federal and state tax related information is not the only information that must flow through these complex structures. Economic results must also be tracked and reported so that individual and corporate investors and other affiliated businesses can ensure that they have received the economic benefits to which they have agreed. And, under the federal pass-through system, the tax-related information generally tracks this same economic information.</w:t>
      </w:r>
      <w:r>
        <w:rPr>
          <w:rStyle w:val="FootnoteReference"/>
        </w:rPr>
        <w:footnoteReference w:id="7"/>
      </w:r>
    </w:p>
    <w:p w14:paraId="357D0EE5" w14:textId="1D157A28" w:rsidR="00DD5018" w:rsidRDefault="00DD5018" w:rsidP="002C3B1B">
      <w:pPr>
        <w:ind w:left="1440"/>
      </w:pPr>
      <w:r w:rsidRPr="0063414D">
        <w:rPr>
          <w:u w:val="single"/>
        </w:rPr>
        <w:t>Response to Comments</w:t>
      </w:r>
    </w:p>
    <w:p w14:paraId="19B127DB" w14:textId="77777777" w:rsidR="00DD5018" w:rsidRDefault="00DD5018" w:rsidP="002C3B1B">
      <w:pPr>
        <w:ind w:left="1440"/>
      </w:pPr>
      <w:r>
        <w:t xml:space="preserve">Since receiving the AICPA comments, work group calls have made clear that the model information reporting requirements do not require that partnerships obtain information on the tax attributes of their partners or information identifying their indirect partners, or to report this information to the state. Here is what Subpart A of Part III provides: </w:t>
      </w:r>
    </w:p>
    <w:p w14:paraId="3C52CD08" w14:textId="301C006F" w:rsidR="00DD5018" w:rsidRDefault="00DD5018" w:rsidP="002C3B1B">
      <w:pPr>
        <w:ind w:left="2160"/>
      </w:pPr>
      <w:r w:rsidRPr="00F82E2B">
        <w:t>“</w:t>
      </w:r>
      <w:r w:rsidR="00DB4AD0" w:rsidRPr="00F82E2B">
        <w:t xml:space="preserve">A partnership shall provide </w:t>
      </w:r>
      <w:r w:rsidR="00DB4AD0" w:rsidRPr="00F82E2B">
        <w:rPr>
          <w:b/>
          <w:bCs/>
        </w:rPr>
        <w:t>to its direct partners</w:t>
      </w:r>
      <w:r w:rsidR="00DB4AD0" w:rsidRPr="00F82E2B">
        <w:t xml:space="preserve"> the </w:t>
      </w:r>
      <w:r w:rsidR="00DB4AD0" w:rsidRPr="00F82E2B">
        <w:rPr>
          <w:b/>
          <w:bCs/>
        </w:rPr>
        <w:t>information necessary for its direct and indirect partners or beneficial interest holders to properly compute and report their [STATE] tax</w:t>
      </w:r>
      <w:r w:rsidR="00DB4AD0" w:rsidRPr="00F82E2B">
        <w:t>. Necessary information includes any information as described or provided for in regulations, forms, and instructions issued by the [STATE TAX AGENCY].</w:t>
      </w:r>
      <w:r w:rsidRPr="00F82E2B">
        <w:t>”</w:t>
      </w:r>
    </w:p>
    <w:p w14:paraId="4F9088E4" w14:textId="6E113634" w:rsidR="00DD5018" w:rsidRDefault="00DD5018" w:rsidP="002C3B1B">
      <w:pPr>
        <w:ind w:left="1440"/>
      </w:pPr>
      <w:r>
        <w:t xml:space="preserve">As </w:t>
      </w:r>
      <w:r w:rsidR="002460E2">
        <w:t>noted above</w:t>
      </w:r>
      <w:r>
        <w:t xml:space="preserve">, general state laws governing partnerships already </w:t>
      </w:r>
      <w:r w:rsidR="001F7141">
        <w:t xml:space="preserve">require </w:t>
      </w:r>
      <w:r>
        <w:t>that the partnership must provide information necessary for partners to comply with the law. The provision above makes clear that, to the extent the partnership has tax information necessary for partners, whether direct or indirect, to comply with the state’s tax law, the partnership must provide that tax-related information to its direct partners.</w:t>
      </w:r>
    </w:p>
    <w:p w14:paraId="76E07CA0" w14:textId="77777777" w:rsidR="00DD5018" w:rsidRDefault="00DD5018" w:rsidP="002C3B1B">
      <w:pPr>
        <w:ind w:left="1440"/>
      </w:pPr>
      <w:r>
        <w:t xml:space="preserve">But we also understand that the primary concern behind these comments is whether partnerships can necessarily know that certain partners or indirect partners will need tax-related information in order to properly file in a state where the partnership itself has no activity. This kind of information pertains to things like specific state adjustments to federally-reported income and the application of state sourcing rules. </w:t>
      </w:r>
    </w:p>
    <w:p w14:paraId="1D19F240" w14:textId="755EC5FA" w:rsidR="00DD5018" w:rsidRDefault="00DD5018" w:rsidP="002C3B1B">
      <w:pPr>
        <w:ind w:left="1440"/>
      </w:pPr>
      <w:r>
        <w:t xml:space="preserve">We agree that, in cases where a lower-tier partnership has no information that would indicate that a partner or indirect partner needs certain state tax information, those partners may have the responsibility to effectively request that information. States can facilitate this request by providing a list of information (e.g. state adjustments, whether the state has a receipts throw-back rule, etc.) </w:t>
      </w:r>
      <w:r>
        <w:lastRenderedPageBreak/>
        <w:t>that taxpayer</w:t>
      </w:r>
      <w:r w:rsidR="002531CD">
        <w:t>s</w:t>
      </w:r>
      <w:r>
        <w:t xml:space="preserve"> can then provide to entities in which </w:t>
      </w:r>
      <w:r w:rsidR="002531CD">
        <w:t>they ho</w:t>
      </w:r>
      <w:r w:rsidR="007B7B37">
        <w:t>ld</w:t>
      </w:r>
      <w:r>
        <w:t xml:space="preserve"> a direct interest, and which would, in turn, be provided by that entity to any entities in which it holds interests, etc. To address this, Section E was included in Part III. </w:t>
      </w:r>
    </w:p>
    <w:p w14:paraId="076F38ED" w14:textId="77777777" w:rsidR="00DD5018" w:rsidRDefault="00DD5018" w:rsidP="002C3B1B">
      <w:pPr>
        <w:ind w:left="1440"/>
      </w:pPr>
      <w:r>
        <w:t>We also generally disagree with the AICPA’s comment that the model requires partnerships to report any information to the state that it deems necessary—a requirement which they assert is overly broad without clear parameters or limitations. Subpart B of Part III states:</w:t>
      </w:r>
    </w:p>
    <w:p w14:paraId="50E78E00" w14:textId="77777777" w:rsidR="00DD5018" w:rsidRDefault="00DD5018" w:rsidP="002C3B1B">
      <w:pPr>
        <w:ind w:left="2160"/>
      </w:pPr>
      <w:r w:rsidRPr="005F4CBE">
        <w:t xml:space="preserve">A partnership shall provide to the [STATE TAX AGENCY] certain information as directed by the [STATE TAX AGENCY] necessary </w:t>
      </w:r>
      <w:r w:rsidRPr="005E7899">
        <w:rPr>
          <w:b/>
          <w:bCs/>
        </w:rPr>
        <w:t>to verify the information required to be reported to partners under Subpart A</w:t>
      </w:r>
      <w:r w:rsidRPr="005F4CBE">
        <w:t>, above and as provided in regulations, forms, and instructions issued by the [STATE TAX AGENCY].</w:t>
      </w:r>
    </w:p>
    <w:p w14:paraId="5E3F6ECA" w14:textId="77777777" w:rsidR="00DD5018" w:rsidRDefault="00DD5018" w:rsidP="002C3B1B">
      <w:pPr>
        <w:ind w:left="1440"/>
      </w:pPr>
      <w:r>
        <w:t xml:space="preserve">Subpart C of Part III then goes on to list specific types of information that this may include. </w:t>
      </w:r>
    </w:p>
    <w:p w14:paraId="428A1E97" w14:textId="7EF982FB" w:rsidR="00DD5018" w:rsidRDefault="007B7C97" w:rsidP="002C3B1B">
      <w:pPr>
        <w:ind w:left="1440"/>
      </w:pPr>
      <w:r>
        <w:t>T</w:t>
      </w:r>
      <w:r w:rsidR="00DD5018">
        <w:t>his is similar to the approach to information reporting taken by the federal government—where statutes provide authority for the IRS to require information reporting by partnerships and the specific requirements are set out in regulations, forms, and instructions.</w:t>
      </w:r>
    </w:p>
    <w:p w14:paraId="47C44D37" w14:textId="1ABF65A5" w:rsidR="00DD5018" w:rsidRDefault="001D3461" w:rsidP="002C3B1B">
      <w:pPr>
        <w:ind w:left="1440"/>
      </w:pPr>
      <w:r>
        <w:t>State</w:t>
      </w:r>
      <w:r w:rsidR="00DD5018">
        <w:t xml:space="preserve"> information reporting requirements in the draft model provisions are directly tied to the pass-through system and substantive state tax rules. While this system and the differences in state tax rules may contribute to the administrative difficulties of information reporting, most of that difficulty is caused by complex, multi-tiered structures. If states were to limit information reporting requirements for these large complex structures, the</w:t>
      </w:r>
      <w:r w:rsidR="004A14F5">
        <w:t>y</w:t>
      </w:r>
      <w:r w:rsidR="00DD5018">
        <w:t xml:space="preserve"> could </w:t>
      </w:r>
      <w:r w:rsidR="004A14F5">
        <w:t xml:space="preserve">then </w:t>
      </w:r>
      <w:r w:rsidR="00DD5018">
        <w:t xml:space="preserve">easily be used to avoid state tax obligations.  </w:t>
      </w:r>
    </w:p>
    <w:p w14:paraId="50D2FFF6" w14:textId="77777777" w:rsidR="00DD5018" w:rsidRDefault="00DD5018" w:rsidP="00DD5018">
      <w:pPr>
        <w:pBdr>
          <w:bottom w:val="single" w:sz="4" w:space="1" w:color="auto"/>
        </w:pBdr>
        <w:jc w:val="center"/>
        <w:rPr>
          <w:b/>
          <w:bCs/>
        </w:rPr>
      </w:pPr>
    </w:p>
    <w:p w14:paraId="49B2570F" w14:textId="4AF09CB8" w:rsidR="00DD5018" w:rsidRDefault="00DD5018" w:rsidP="00DD5018">
      <w:pPr>
        <w:rPr>
          <w:b/>
          <w:bCs/>
        </w:rPr>
      </w:pPr>
    </w:p>
    <w:p w14:paraId="33388CD0" w14:textId="77777777" w:rsidR="004A14F5" w:rsidRDefault="004A14F5">
      <w:pPr>
        <w:rPr>
          <w:b/>
          <w:bCs/>
          <w:sz w:val="26"/>
          <w:szCs w:val="26"/>
        </w:rPr>
      </w:pPr>
      <w:r>
        <w:rPr>
          <w:b/>
          <w:bCs/>
          <w:sz w:val="26"/>
          <w:szCs w:val="26"/>
        </w:rPr>
        <w:br w:type="page"/>
      </w:r>
    </w:p>
    <w:p w14:paraId="7F040BF6" w14:textId="77777777" w:rsidR="00AB1C3E" w:rsidRDefault="00AB1C3E" w:rsidP="00DD5018">
      <w:pPr>
        <w:pBdr>
          <w:bottom w:val="single" w:sz="4" w:space="1" w:color="auto"/>
        </w:pBdr>
        <w:jc w:val="center"/>
        <w:rPr>
          <w:b/>
          <w:bCs/>
          <w:sz w:val="28"/>
          <w:szCs w:val="28"/>
        </w:rPr>
      </w:pPr>
    </w:p>
    <w:p w14:paraId="59C2BA5B" w14:textId="464C7A7E" w:rsidR="00DD5018" w:rsidRPr="004A14F5" w:rsidRDefault="00DD5018" w:rsidP="00DD5018">
      <w:pPr>
        <w:pBdr>
          <w:bottom w:val="single" w:sz="4" w:space="1" w:color="auto"/>
        </w:pBdr>
        <w:jc w:val="center"/>
        <w:rPr>
          <w:b/>
          <w:bCs/>
          <w:sz w:val="28"/>
          <w:szCs w:val="28"/>
        </w:rPr>
      </w:pPr>
      <w:r w:rsidRPr="004A14F5">
        <w:rPr>
          <w:b/>
          <w:bCs/>
          <w:sz w:val="28"/>
          <w:szCs w:val="28"/>
        </w:rPr>
        <w:t>Use of the Absolute Value Method</w:t>
      </w:r>
    </w:p>
    <w:p w14:paraId="1E742215" w14:textId="796ED970" w:rsidR="00DD5018" w:rsidRDefault="00DD5018" w:rsidP="00DD5018">
      <w:r>
        <w:t xml:space="preserve">Part IV of the draft model provisions sets out the methods for sourcing partnership income and addresses tiered and corporate partners in particular. The default method for sourcing partnership income is to source that income applying state rules at the partnership level. </w:t>
      </w:r>
      <w:r w:rsidR="008128B3">
        <w:t xml:space="preserve">As a result, </w:t>
      </w:r>
      <w:r w:rsidR="00093EC2">
        <w:t xml:space="preserve">when sourcing their distributive share, </w:t>
      </w:r>
      <w:r w:rsidR="008128B3">
        <w:t xml:space="preserve">a tiered or corporate partner </w:t>
      </w:r>
      <w:r w:rsidR="00093EC2">
        <w:t xml:space="preserve">would simply </w:t>
      </w:r>
      <w:r w:rsidR="00565FF8">
        <w:t>replicate</w:t>
      </w:r>
      <w:r w:rsidR="00093EC2">
        <w:t xml:space="preserve"> the sourcing determined at the partnership level.</w:t>
      </w:r>
    </w:p>
    <w:p w14:paraId="684C3E1E" w14:textId="3917D08A" w:rsidR="00DD5018" w:rsidRDefault="00565FF8" w:rsidP="00DD5018">
      <w:r>
        <w:t>However</w:t>
      </w:r>
      <w:r w:rsidR="00DD5018">
        <w:t>, in certain circumstances,</w:t>
      </w:r>
      <w:r w:rsidR="008766C7">
        <w:t xml:space="preserve"> fair apportionment </w:t>
      </w:r>
      <w:r w:rsidR="00310C2C">
        <w:t>may</w:t>
      </w:r>
      <w:r w:rsidR="008766C7">
        <w:t xml:space="preserve"> require that</w:t>
      </w:r>
      <w:r w:rsidR="00DD5018">
        <w:t xml:space="preserve"> the </w:t>
      </w:r>
      <w:r w:rsidR="006D5447">
        <w:t xml:space="preserve">tiered or corporate partner </w:t>
      </w:r>
      <w:r w:rsidR="00DD5018">
        <w:t xml:space="preserve">use </w:t>
      </w:r>
      <w:r w:rsidR="008766C7">
        <w:t xml:space="preserve">the </w:t>
      </w:r>
      <w:r w:rsidR="00DD5018">
        <w:t>blending</w:t>
      </w:r>
      <w:r w:rsidR="00C10F18">
        <w:t xml:space="preserve"> </w:t>
      </w:r>
      <w:r w:rsidR="008766C7">
        <w:t>method</w:t>
      </w:r>
      <w:r w:rsidR="00DD5018">
        <w:t>—</w:t>
      </w:r>
      <w:r w:rsidR="007510AF">
        <w:t xml:space="preserve">adding </w:t>
      </w:r>
      <w:r w:rsidR="00DD5018">
        <w:t xml:space="preserve">the distributive share </w:t>
      </w:r>
      <w:r w:rsidR="008E5468">
        <w:t xml:space="preserve">to </w:t>
      </w:r>
      <w:r w:rsidR="00DD5018">
        <w:t>the partner’s own apportionable income base and also</w:t>
      </w:r>
      <w:r w:rsidR="003961EB">
        <w:t xml:space="preserve"> adding</w:t>
      </w:r>
      <w:r w:rsidR="00DD5018">
        <w:t xml:space="preserve"> a share of partnership apportionment factor</w:t>
      </w:r>
      <w:r w:rsidR="005B7835">
        <w:t xml:space="preserve"> component</w:t>
      </w:r>
      <w:r w:rsidR="00DD5018">
        <w:t xml:space="preserve">s </w:t>
      </w:r>
      <w:r w:rsidR="003961EB">
        <w:t>i</w:t>
      </w:r>
      <w:r w:rsidR="003B4204">
        <w:t>n</w:t>
      </w:r>
      <w:r w:rsidR="003961EB">
        <w:t xml:space="preserve">to </w:t>
      </w:r>
      <w:r w:rsidR="00DD5018">
        <w:t>the partner’s apportionment formula</w:t>
      </w:r>
      <w:r w:rsidR="007361D0">
        <w:t xml:space="preserve"> used to apportion that base</w:t>
      </w:r>
      <w:r w:rsidR="00DD5018">
        <w:t>. To apply blending, the partner’s share of partnership factor</w:t>
      </w:r>
      <w:r w:rsidR="005B7835">
        <w:t xml:space="preserve"> component</w:t>
      </w:r>
      <w:r w:rsidR="00DD5018">
        <w:t>s must be determined.</w:t>
      </w:r>
    </w:p>
    <w:p w14:paraId="4FF7F178" w14:textId="77777777" w:rsidR="00DD5018" w:rsidRDefault="00DD5018" w:rsidP="00DD5018">
      <w:pPr>
        <w:rPr>
          <w:u w:val="single"/>
        </w:rPr>
      </w:pPr>
      <w:r>
        <w:rPr>
          <w:u w:val="single"/>
        </w:rPr>
        <w:t>Distributive Share Method and Absolute Value Approach</w:t>
      </w:r>
    </w:p>
    <w:p w14:paraId="24187031" w14:textId="77777777" w:rsidR="009225F8" w:rsidRDefault="00DD5018" w:rsidP="00DD5018">
      <w:r w:rsidRPr="00EA3276">
        <w:t>To determine the partner’s share of partnership apportionment factor</w:t>
      </w:r>
      <w:r w:rsidR="00754AED" w:rsidRPr="00EA3276">
        <w:t xml:space="preserve"> component</w:t>
      </w:r>
      <w:r w:rsidRPr="00EA3276">
        <w:t xml:space="preserve">s for blending, the current version of the draft model provisions uses the </w:t>
      </w:r>
      <w:r w:rsidR="009225F8">
        <w:t xml:space="preserve">following </w:t>
      </w:r>
      <w:r w:rsidRPr="00EA3276">
        <w:t>ratio</w:t>
      </w:r>
      <w:r w:rsidR="009225F8">
        <w:t>:</w:t>
      </w:r>
      <w:r w:rsidRPr="00EA3276">
        <w:t xml:space="preserve"> </w:t>
      </w:r>
    </w:p>
    <w:p w14:paraId="5F4994D3" w14:textId="75DAFF48" w:rsidR="00605A7B" w:rsidRDefault="00605A7B" w:rsidP="00F31A17">
      <w:pPr>
        <w:spacing w:after="120"/>
        <w:ind w:left="1440"/>
      </w:pPr>
      <w:r>
        <w:t xml:space="preserve">Partner’s </w:t>
      </w:r>
      <w:r w:rsidR="009471EB">
        <w:t>guaranteed payment and distributive share of partnership items (including the expense associated with guaranteed payments)</w:t>
      </w:r>
      <w:r w:rsidR="00533FE2">
        <w:t xml:space="preserve"> from the partnership’s unitary business</w:t>
      </w:r>
      <w:r w:rsidR="009471EB">
        <w:t xml:space="preserve"> using the absolute value method</w:t>
      </w:r>
    </w:p>
    <w:p w14:paraId="58FD9D7B" w14:textId="41209DBB" w:rsidR="009471EB" w:rsidRDefault="0002046D" w:rsidP="00F31A17">
      <w:pPr>
        <w:pBdr>
          <w:top w:val="single" w:sz="4" w:space="1" w:color="auto"/>
        </w:pBdr>
        <w:ind w:left="1440"/>
      </w:pPr>
      <w:r>
        <w:t xml:space="preserve">Total amount of all partner’s </w:t>
      </w:r>
      <w:r w:rsidR="007B23D2">
        <w:t xml:space="preserve">guaranteed payments and </w:t>
      </w:r>
      <w:r w:rsidR="008902F4">
        <w:t xml:space="preserve">distributive shares of partnership items (including expense associated with guaranteed payments) </w:t>
      </w:r>
      <w:r w:rsidR="00F31A17">
        <w:t xml:space="preserve">from the partnership’s unitary business using the absolute value method. </w:t>
      </w:r>
    </w:p>
    <w:p w14:paraId="2FAA60EF" w14:textId="16AC68C1" w:rsidR="00DD5018" w:rsidRPr="0095180F" w:rsidRDefault="00DD5018" w:rsidP="00DD5018">
      <w:r w:rsidRPr="00EA3276">
        <w:t xml:space="preserve">This method will be referred to here as the </w:t>
      </w:r>
      <w:r w:rsidR="0004325D" w:rsidRPr="00EA3276">
        <w:t>“</w:t>
      </w:r>
      <w:r w:rsidRPr="00EA3276">
        <w:t>distributive</w:t>
      </w:r>
      <w:r>
        <w:t xml:space="preserve"> share method.</w:t>
      </w:r>
      <w:r w:rsidR="0004325D">
        <w:t>”</w:t>
      </w:r>
      <w:r>
        <w:t xml:space="preserve"> Because partnerships may make </w:t>
      </w:r>
      <w:r w:rsidR="00DD40BF">
        <w:t xml:space="preserve">guaranteed payments, </w:t>
      </w:r>
      <w:r>
        <w:t>disproportionate special allocations</w:t>
      </w:r>
      <w:r w:rsidR="00DD40BF">
        <w:t>, or mandatory or remedial allocations</w:t>
      </w:r>
      <w:r>
        <w:t xml:space="preserve"> of items,</w:t>
      </w:r>
      <w:r w:rsidR="00DD40BF">
        <w:t xml:space="preserve"> </w:t>
      </w:r>
      <w:r>
        <w:t>this distributive share method can produce a negative ratio</w:t>
      </w:r>
      <w:r w:rsidR="00D01374">
        <w:t xml:space="preserve"> or one that exceeds 100%</w:t>
      </w:r>
      <w:r>
        <w:t xml:space="preserve">. To eliminate this problem and </w:t>
      </w:r>
      <w:r w:rsidR="006F313E">
        <w:t xml:space="preserve">to </w:t>
      </w:r>
      <w:r>
        <w:t xml:space="preserve">better reflect the effect of </w:t>
      </w:r>
      <w:r w:rsidR="0060217E">
        <w:t xml:space="preserve">the partnership income on the partner’s own unitary income, </w:t>
      </w:r>
      <w:r>
        <w:t>the model also applies the absolute value approach when calculating th</w:t>
      </w:r>
      <w:r w:rsidR="00725F63">
        <w:t>at</w:t>
      </w:r>
      <w:r>
        <w:t xml:space="preserve"> ratio.  </w:t>
      </w:r>
    </w:p>
    <w:p w14:paraId="7972DB1A" w14:textId="77777777" w:rsidR="00AB1C3E" w:rsidRDefault="00AB1C3E">
      <w:pPr>
        <w:rPr>
          <w:b/>
          <w:bCs/>
        </w:rPr>
      </w:pPr>
      <w:r>
        <w:rPr>
          <w:b/>
          <w:bCs/>
        </w:rPr>
        <w:br w:type="page"/>
      </w:r>
    </w:p>
    <w:p w14:paraId="3655900F" w14:textId="3F1DE8A5" w:rsidR="00DD5018" w:rsidRDefault="00DD5018" w:rsidP="002203FC">
      <w:pPr>
        <w:ind w:left="720"/>
        <w:rPr>
          <w:b/>
          <w:bCs/>
        </w:rPr>
      </w:pPr>
      <w:r>
        <w:rPr>
          <w:b/>
          <w:bCs/>
        </w:rPr>
        <w:lastRenderedPageBreak/>
        <w:t>Summary of Comments</w:t>
      </w:r>
    </w:p>
    <w:p w14:paraId="0B84641F" w14:textId="77777777" w:rsidR="00DD5018" w:rsidRPr="00E85F8D" w:rsidRDefault="00DD5018" w:rsidP="002203FC">
      <w:pPr>
        <w:ind w:left="720"/>
      </w:pPr>
      <w:r>
        <w:t xml:space="preserve">All three groups submitting comments on the draft model provisions had comments on the use of the absolute value method. These comments were more detailed and there are common themes. Rather than simply reiterating the comments, the bullets below summarize these common themes. </w:t>
      </w:r>
    </w:p>
    <w:p w14:paraId="7101B67A" w14:textId="77777777" w:rsidR="00DD5018" w:rsidRDefault="00DD5018" w:rsidP="00C409AD">
      <w:pPr>
        <w:pStyle w:val="ListParagraph"/>
        <w:numPr>
          <w:ilvl w:val="0"/>
          <w:numId w:val="20"/>
        </w:numPr>
        <w:spacing w:before="240" w:after="120"/>
        <w:ind w:left="1483"/>
        <w:contextualSpacing w:val="0"/>
      </w:pPr>
      <w:r>
        <w:t>The comments set out a number of circumstances in which there may be allocations that do not correspond to a partner’s share of capital, including:</w:t>
      </w:r>
    </w:p>
    <w:p w14:paraId="69C24F84" w14:textId="52D3E459" w:rsidR="00DD5018" w:rsidRDefault="00DD5018" w:rsidP="00111E0D">
      <w:pPr>
        <w:pStyle w:val="ListParagraph"/>
        <w:numPr>
          <w:ilvl w:val="1"/>
          <w:numId w:val="20"/>
        </w:numPr>
        <w:spacing w:before="120" w:after="120"/>
        <w:ind w:left="2200"/>
      </w:pPr>
      <w:r>
        <w:t>Special allocations generally</w:t>
      </w:r>
      <w:r w:rsidR="00A45ED3">
        <w:t>,</w:t>
      </w:r>
    </w:p>
    <w:p w14:paraId="5E717C0E" w14:textId="77777777" w:rsidR="00DD5018" w:rsidRDefault="00DD5018" w:rsidP="00111E0D">
      <w:pPr>
        <w:pStyle w:val="ListParagraph"/>
        <w:numPr>
          <w:ilvl w:val="1"/>
          <w:numId w:val="20"/>
        </w:numPr>
        <w:spacing w:before="120" w:after="120"/>
        <w:ind w:left="2200"/>
      </w:pPr>
      <w:r>
        <w:t>Use of preferred equity,</w:t>
      </w:r>
    </w:p>
    <w:p w14:paraId="42B0FDA7" w14:textId="77777777" w:rsidR="00DD5018" w:rsidRDefault="00DD5018" w:rsidP="00111E0D">
      <w:pPr>
        <w:pStyle w:val="ListParagraph"/>
        <w:numPr>
          <w:ilvl w:val="1"/>
          <w:numId w:val="20"/>
        </w:numPr>
        <w:spacing w:before="120" w:after="120"/>
        <w:ind w:left="2200"/>
      </w:pPr>
      <w:r>
        <w:t xml:space="preserve">Mandatory (remedial) allocations, and </w:t>
      </w:r>
    </w:p>
    <w:p w14:paraId="1AFFBDF8" w14:textId="77777777" w:rsidR="00DD5018" w:rsidRDefault="00DD5018" w:rsidP="00111E0D">
      <w:pPr>
        <w:pStyle w:val="ListParagraph"/>
        <w:numPr>
          <w:ilvl w:val="1"/>
          <w:numId w:val="20"/>
        </w:numPr>
        <w:spacing w:before="120" w:after="120"/>
        <w:ind w:left="2200"/>
      </w:pPr>
      <w:r>
        <w:t>Allocations related to IRC § 743(b) adjustments.</w:t>
      </w:r>
    </w:p>
    <w:p w14:paraId="6027A5D0" w14:textId="77777777" w:rsidR="00DD5018" w:rsidRDefault="00DD5018" w:rsidP="000B0C47">
      <w:pPr>
        <w:pStyle w:val="ListParagraph"/>
        <w:numPr>
          <w:ilvl w:val="0"/>
          <w:numId w:val="20"/>
        </w:numPr>
        <w:spacing w:before="240" w:after="120"/>
        <w:ind w:left="1483"/>
        <w:contextualSpacing w:val="0"/>
      </w:pPr>
      <w:r>
        <w:t xml:space="preserve">The comments criticize the absolute value approach, and presumably also the use of the distributive share method, on the basis that the approach: </w:t>
      </w:r>
    </w:p>
    <w:p w14:paraId="6C110AC8" w14:textId="3867CF6A" w:rsidR="00DD5018" w:rsidRDefault="00DD5018" w:rsidP="00111E0D">
      <w:pPr>
        <w:pStyle w:val="ListParagraph"/>
        <w:numPr>
          <w:ilvl w:val="1"/>
          <w:numId w:val="20"/>
        </w:numPr>
        <w:spacing w:before="120" w:after="120"/>
        <w:ind w:left="2200"/>
      </w:pPr>
      <w:r>
        <w:t>Results in a “</w:t>
      </w:r>
      <w:r w:rsidRPr="00B03B8B">
        <w:t>negative economic item</w:t>
      </w:r>
      <w:r>
        <w:t>” determining the share of partnership factors</w:t>
      </w:r>
      <w:r w:rsidR="00B343BC">
        <w:t>,</w:t>
      </w:r>
      <w:r>
        <w:t xml:space="preserve"> </w:t>
      </w:r>
    </w:p>
    <w:p w14:paraId="64D77BE9" w14:textId="77777777" w:rsidR="00DD5018" w:rsidRDefault="00DD5018" w:rsidP="00111E0D">
      <w:pPr>
        <w:pStyle w:val="ListParagraph"/>
        <w:numPr>
          <w:ilvl w:val="1"/>
          <w:numId w:val="20"/>
        </w:numPr>
        <w:spacing w:before="120" w:after="120"/>
        <w:ind w:left="2200"/>
      </w:pPr>
      <w:r>
        <w:t>Does not reflect the partner’s capital or ownership share, and</w:t>
      </w:r>
    </w:p>
    <w:p w14:paraId="39B99128" w14:textId="5C3E18E7" w:rsidR="00DD5018" w:rsidRDefault="00DD5018" w:rsidP="00111E0D">
      <w:pPr>
        <w:pStyle w:val="ListParagraph"/>
        <w:numPr>
          <w:ilvl w:val="1"/>
          <w:numId w:val="20"/>
        </w:numPr>
        <w:spacing w:before="120" w:after="120"/>
        <w:ind w:left="2200"/>
      </w:pPr>
      <w:r>
        <w:t>Does not reflect the</w:t>
      </w:r>
      <w:r w:rsidR="00B744F2">
        <w:t xml:space="preserve"> specific </w:t>
      </w:r>
      <w:r>
        <w:t xml:space="preserve"> factors </w:t>
      </w:r>
      <w:r w:rsidR="00363109">
        <w:t xml:space="preserve">(receipts or property) </w:t>
      </w:r>
      <w:r>
        <w:t xml:space="preserve">that might be </w:t>
      </w:r>
      <w:r w:rsidR="00363109">
        <w:t xml:space="preserve">more directly </w:t>
      </w:r>
      <w:r>
        <w:t>associated with certain specially allocated items.</w:t>
      </w:r>
    </w:p>
    <w:p w14:paraId="1F027A82" w14:textId="77777777" w:rsidR="00DD5018" w:rsidRDefault="00DD5018" w:rsidP="00C409AD">
      <w:pPr>
        <w:pStyle w:val="ListParagraph"/>
        <w:numPr>
          <w:ilvl w:val="0"/>
          <w:numId w:val="20"/>
        </w:numPr>
        <w:spacing w:before="240" w:after="120"/>
        <w:ind w:left="1483"/>
        <w:contextualSpacing w:val="0"/>
      </w:pPr>
      <w:r>
        <w:t>The comments suggest that rather than mandating the absolute value approach:</w:t>
      </w:r>
    </w:p>
    <w:p w14:paraId="3D2291F0" w14:textId="77777777" w:rsidR="00DD5018" w:rsidRDefault="00DD5018" w:rsidP="00111E0D">
      <w:pPr>
        <w:pStyle w:val="ListParagraph"/>
        <w:numPr>
          <w:ilvl w:val="1"/>
          <w:numId w:val="20"/>
        </w:numPr>
        <w:spacing w:before="120" w:after="120"/>
        <w:ind w:left="2200"/>
      </w:pPr>
      <w:r>
        <w:t>The rules should allow taxpayers the flexibility to use any other reasonable methods; or</w:t>
      </w:r>
    </w:p>
    <w:p w14:paraId="72456D51" w14:textId="77777777" w:rsidR="00DD5018" w:rsidRDefault="00DD5018" w:rsidP="00111E0D">
      <w:pPr>
        <w:pStyle w:val="ListParagraph"/>
        <w:numPr>
          <w:ilvl w:val="1"/>
          <w:numId w:val="20"/>
        </w:numPr>
        <w:spacing w:before="120" w:after="120"/>
        <w:ind w:left="2200"/>
      </w:pPr>
      <w:r>
        <w:t xml:space="preserve">The absolute value approach should be used only to prevent abuse. </w:t>
      </w:r>
    </w:p>
    <w:p w14:paraId="6C7FA10D" w14:textId="77777777" w:rsidR="00DD5018" w:rsidRDefault="00DD5018" w:rsidP="00C409AD">
      <w:pPr>
        <w:pStyle w:val="ListParagraph"/>
        <w:numPr>
          <w:ilvl w:val="0"/>
          <w:numId w:val="20"/>
        </w:numPr>
        <w:spacing w:before="240"/>
        <w:ind w:left="1483"/>
        <w:contextualSpacing w:val="0"/>
      </w:pPr>
      <w:r>
        <w:t xml:space="preserve">The comments argue that the method may not be workable in large complex structures. </w:t>
      </w:r>
    </w:p>
    <w:p w14:paraId="6B8EA490" w14:textId="77777777" w:rsidR="00EC3E1B" w:rsidRDefault="00EC3E1B" w:rsidP="002203FC">
      <w:pPr>
        <w:ind w:left="720"/>
        <w:rPr>
          <w:b/>
          <w:bCs/>
          <w:u w:val="single"/>
        </w:rPr>
      </w:pPr>
    </w:p>
    <w:p w14:paraId="77526DD3" w14:textId="2C8325A9" w:rsidR="00DD5018" w:rsidRPr="00BB7345" w:rsidRDefault="00264FB8" w:rsidP="002203FC">
      <w:pPr>
        <w:ind w:left="720"/>
        <w:rPr>
          <w:b/>
          <w:bCs/>
          <w:u w:val="single"/>
        </w:rPr>
      </w:pPr>
      <w:r>
        <w:rPr>
          <w:b/>
          <w:bCs/>
          <w:u w:val="single"/>
        </w:rPr>
        <w:t xml:space="preserve">Context &amp; </w:t>
      </w:r>
      <w:r w:rsidR="00DD5018" w:rsidRPr="00BB7345">
        <w:rPr>
          <w:b/>
          <w:bCs/>
          <w:u w:val="single"/>
        </w:rPr>
        <w:t>Response</w:t>
      </w:r>
    </w:p>
    <w:p w14:paraId="304C2C78" w14:textId="6660188A" w:rsidR="00DD5018" w:rsidRDefault="00DD5018" w:rsidP="002203FC">
      <w:pPr>
        <w:ind w:left="720"/>
      </w:pPr>
      <w:r>
        <w:t xml:space="preserve">As with the information reporting comments, there is important context with respect to understanding the comments on the use of the absolute value approach. </w:t>
      </w:r>
      <w:r w:rsidR="00EC5235">
        <w:t>T</w:t>
      </w:r>
      <w:r>
        <w:t xml:space="preserve">his section first sets out that context and then provides a response to the comments, below. </w:t>
      </w:r>
    </w:p>
    <w:p w14:paraId="33096C53" w14:textId="77777777" w:rsidR="00EC3E1B" w:rsidRDefault="00EC3E1B" w:rsidP="002203FC">
      <w:pPr>
        <w:ind w:left="1440"/>
        <w:rPr>
          <w:u w:val="single"/>
        </w:rPr>
      </w:pPr>
    </w:p>
    <w:p w14:paraId="7552B1F6" w14:textId="5A4C0FDD" w:rsidR="00DD5018" w:rsidRDefault="00DD5018" w:rsidP="002203FC">
      <w:pPr>
        <w:ind w:left="1440"/>
      </w:pPr>
      <w:r w:rsidRPr="009E54D4">
        <w:rPr>
          <w:u w:val="single"/>
        </w:rPr>
        <w:lastRenderedPageBreak/>
        <w:t>Important Context</w:t>
      </w:r>
    </w:p>
    <w:p w14:paraId="00821751" w14:textId="7E4ABB40" w:rsidR="00DD5018" w:rsidRDefault="00E25C7A" w:rsidP="002203FC">
      <w:pPr>
        <w:ind w:left="1440"/>
      </w:pPr>
      <w:r>
        <w:t xml:space="preserve">Certain </w:t>
      </w:r>
      <w:r w:rsidR="00DD5018">
        <w:t xml:space="preserve">information is necessary to fully </w:t>
      </w:r>
      <w:r w:rsidR="004926F7">
        <w:t xml:space="preserve">understand and respond </w:t>
      </w:r>
      <w:r w:rsidR="00DD5018">
        <w:t xml:space="preserve">to some of the comments made concerning the absolute value method. </w:t>
      </w:r>
    </w:p>
    <w:p w14:paraId="19C5361A" w14:textId="01AD176E" w:rsidR="00DD5018" w:rsidRDefault="00DD5018" w:rsidP="00A904AD">
      <w:pPr>
        <w:spacing w:before="120"/>
        <w:ind w:left="1440"/>
      </w:pPr>
      <w:r>
        <w:tab/>
      </w:r>
      <w:r>
        <w:rPr>
          <w:u w:val="single"/>
        </w:rPr>
        <w:t>Importance of state’s choice of formulary apportionment versus specific assignment</w:t>
      </w:r>
      <w:r w:rsidRPr="00E90A77">
        <w:t xml:space="preserve"> </w:t>
      </w:r>
      <w:r>
        <w:t>–</w:t>
      </w:r>
    </w:p>
    <w:p w14:paraId="3DB93559" w14:textId="6F7FB8D3" w:rsidR="00DD5018" w:rsidRDefault="00DD5018" w:rsidP="002203FC">
      <w:pPr>
        <w:spacing w:before="120" w:after="120"/>
        <w:ind w:left="2160"/>
      </w:pPr>
      <w:r>
        <w:t>Federal and international business income sourcing rules generally use an approach to sourcing</w:t>
      </w:r>
      <w:r w:rsidR="00184F5C">
        <w:t xml:space="preserve"> income that </w:t>
      </w:r>
      <w:r>
        <w:t xml:space="preserve">we will refer to as specific assignment. Under </w:t>
      </w:r>
      <w:r w:rsidR="006E08A8">
        <w:t>specific assignment</w:t>
      </w:r>
      <w:r>
        <w:t xml:space="preserve">, different types of income will be sourced to a location based on the underlying activity or associated transaction. Certain direct expenses are similarly sourced and then indirect expenses are categorized and apportioned based on the sourcing of the gross income. </w:t>
      </w:r>
    </w:p>
    <w:p w14:paraId="05407BA1" w14:textId="11E27773" w:rsidR="00DD5018" w:rsidRDefault="00DD5018" w:rsidP="002203FC">
      <w:pPr>
        <w:spacing w:before="120" w:after="120"/>
        <w:ind w:left="2160"/>
      </w:pPr>
      <w:r>
        <w:t xml:space="preserve">States do not use this specific assignment approach when sourcing </w:t>
      </w:r>
      <w:r w:rsidR="006F6F20">
        <w:t xml:space="preserve">apportionable </w:t>
      </w:r>
      <w:r>
        <w:t>multistate</w:t>
      </w:r>
      <w:r w:rsidR="00D25D02">
        <w:t xml:space="preserve"> or multinational </w:t>
      </w:r>
      <w:r>
        <w:t xml:space="preserve"> income. Rather, they </w:t>
      </w:r>
      <w:r w:rsidR="00B623B5">
        <w:t xml:space="preserve">apportion </w:t>
      </w:r>
      <w:r>
        <w:t>net business income</w:t>
      </w:r>
      <w:r w:rsidR="00B623B5">
        <w:t xml:space="preserve"> using a formula of certain factors</w:t>
      </w:r>
      <w:r>
        <w:t>. Th</w:t>
      </w:r>
      <w:r w:rsidR="00B623B5">
        <w:t xml:space="preserve">at </w:t>
      </w:r>
      <w:r>
        <w:t xml:space="preserve">formula is typically </w:t>
      </w:r>
      <w:r w:rsidR="00DC5DB2">
        <w:t xml:space="preserve">composed </w:t>
      </w:r>
      <w:r>
        <w:t xml:space="preserve">of the amounts of receipts, </w:t>
      </w:r>
      <w:r w:rsidR="00B623B5">
        <w:t xml:space="preserve">tangible and real </w:t>
      </w:r>
      <w:r>
        <w:t>property, and/or payroll in the state versus the amounts that the business has everywhere. A single apportionment formula can be applied to the net income of a unitary business—including a business composed of separate entities. Most states today use a single-sales or receipts factor formula. Using formulary apportionment to source net income means that all tax items (receipts, gains, expenses, losses, etc.) that go into that net</w:t>
      </w:r>
      <w:r w:rsidR="00F46F27">
        <w:t xml:space="preserve"> apportionable </w:t>
      </w:r>
      <w:r>
        <w:t xml:space="preserve"> income amount are effectively apportioned the same way. </w:t>
      </w:r>
    </w:p>
    <w:p w14:paraId="15D374A8" w14:textId="45A64C21" w:rsidR="00DD5018" w:rsidRDefault="00061040" w:rsidP="002203FC">
      <w:pPr>
        <w:spacing w:before="120" w:after="120"/>
        <w:ind w:left="2160"/>
      </w:pPr>
      <w:r>
        <w:t>A</w:t>
      </w:r>
      <w:r w:rsidR="00DD5018">
        <w:t xml:space="preserve">ssume State X has a single-receipts factor formula and Corp has 50% of its receipts in State X. Corp would not only </w:t>
      </w:r>
      <w:r w:rsidR="00F46F27">
        <w:t>ap</w:t>
      </w:r>
      <w:r w:rsidR="000D0B98">
        <w:t>portion</w:t>
      </w:r>
      <w:r w:rsidR="00DD5018">
        <w:t xml:space="preserve"> 50% of its gross receipts from sales to State X, it would also </w:t>
      </w:r>
      <w:r w:rsidR="000D0B98">
        <w:t>apportion</w:t>
      </w:r>
      <w:r w:rsidR="00DD5018">
        <w:t xml:space="preserve"> 50% of its returns and allowances, apportionable interest income, payroll expense, interest expense, administrative and overhead services costs, and depreciation to State X. The fact that some or all of the interest expense, overhead costs, or depreciation expense have no other connection to State X or </w:t>
      </w:r>
      <w:r w:rsidR="003568FD">
        <w:t>to</w:t>
      </w:r>
      <w:r w:rsidR="000D0B98">
        <w:t xml:space="preserve"> </w:t>
      </w:r>
      <w:r w:rsidR="00DD5018">
        <w:t>the factors used in the State X apportionment formula does not matter. Such is formulary apportionment.</w:t>
      </w:r>
    </w:p>
    <w:p w14:paraId="6C2F081A" w14:textId="25E695BA" w:rsidR="00DD5018" w:rsidRDefault="00DD5018" w:rsidP="002203FC">
      <w:pPr>
        <w:spacing w:before="120" w:after="120"/>
        <w:ind w:left="2160"/>
      </w:pPr>
      <w:r>
        <w:t xml:space="preserve">Using formulary apportionment versus specific assignment may lead to very different sourcing results. </w:t>
      </w:r>
      <w:r w:rsidR="002D7C3B">
        <w:t>Despite</w:t>
      </w:r>
      <w:r w:rsidR="00B73388">
        <w:t xml:space="preserve"> these differences, formulary apportionment has </w:t>
      </w:r>
      <w:r>
        <w:t xml:space="preserve">been found to be constitutional. </w:t>
      </w:r>
      <w:r w:rsidR="002D7C3B">
        <w:t xml:space="preserve">Nor </w:t>
      </w:r>
      <w:r w:rsidR="00DC2EA0">
        <w:t xml:space="preserve">can it be said that one method is more “accurate.” </w:t>
      </w:r>
      <w:r>
        <w:t xml:space="preserve">See </w:t>
      </w:r>
      <w:r>
        <w:rPr>
          <w:i/>
          <w:iCs/>
        </w:rPr>
        <w:t>Container Corp. v. Franchise Tax Bd.</w:t>
      </w:r>
      <w:r>
        <w:t>, 463 U.S. 159 (1983).</w:t>
      </w:r>
    </w:p>
    <w:p w14:paraId="6356BAB0" w14:textId="3CFDA5BA" w:rsidR="00DD5018" w:rsidRDefault="00DD5018" w:rsidP="002203FC">
      <w:pPr>
        <w:spacing w:before="120" w:after="120"/>
        <w:ind w:left="2160"/>
      </w:pPr>
      <w:r>
        <w:lastRenderedPageBreak/>
        <w:t xml:space="preserve">States generally use formulary apportionment for business income of partnerships, S corporations, and proprietorships as well as corporations. This creates parity in how </w:t>
      </w:r>
      <w:r w:rsidR="00DC2EA0">
        <w:t xml:space="preserve">states source and tax </w:t>
      </w:r>
      <w:r>
        <w:t xml:space="preserve">multistate business income. That said, we are aware that in some cases, partnerships holding particular income-producing assets (e.g., real property) have used the location of those assets to source the receipts generated, assigning direct expenses to that same location and apportioning overhead expenses in an approach that is similar to specific assignment. In some cases, the result may not be significantly different than if that partnership used formulary apportionment to source the net income. </w:t>
      </w:r>
    </w:p>
    <w:p w14:paraId="1144EBD9" w14:textId="77777777" w:rsidR="00DD5018" w:rsidRPr="00C621DB" w:rsidRDefault="00DD5018" w:rsidP="00A904AD">
      <w:pPr>
        <w:spacing w:before="240" w:after="120"/>
        <w:ind w:left="2160"/>
        <w:rPr>
          <w:u w:val="single"/>
        </w:rPr>
      </w:pPr>
      <w:r>
        <w:rPr>
          <w:u w:val="single"/>
        </w:rPr>
        <w:t>Use of blending and its relationship to factor representation</w:t>
      </w:r>
      <w:r w:rsidRPr="002912D9">
        <w:t xml:space="preserve"> –</w:t>
      </w:r>
    </w:p>
    <w:p w14:paraId="1C18AB9E" w14:textId="4B729FB5" w:rsidR="00DD5018" w:rsidRDefault="00DD5018" w:rsidP="002203FC">
      <w:pPr>
        <w:spacing w:before="120" w:after="120"/>
        <w:ind w:left="2160"/>
      </w:pPr>
      <w:r>
        <w:t xml:space="preserve">Most states require related corporations engaged in a unitary business to combine their factors and their income when applying formulary apportionment. </w:t>
      </w:r>
      <w:r w:rsidR="00A904AD">
        <w:t>F</w:t>
      </w:r>
      <w:r>
        <w:t>or example, assume two corporations—Parent and Sub—engage in a unitary business. Parent provides certain services to Sub and Sub sells intangible products to its customers. In combining the income and receipts factors of Parent and Sub, any intercompany charges will be eliminated. The combined factors of both entities would then be used to apportion the combined net income. This means that the factors of Parent will affect the sourcing of Sub’s income, and vice versa.</w:t>
      </w:r>
    </w:p>
    <w:p w14:paraId="797C8052" w14:textId="499E47A0" w:rsidR="00DD5018" w:rsidRDefault="00DD5018" w:rsidP="002203FC">
      <w:pPr>
        <w:spacing w:before="120" w:after="120"/>
        <w:ind w:left="2160"/>
      </w:pPr>
      <w:r>
        <w:t>Blending is a method sometimes used for apportioning partnership income. When using blending,</w:t>
      </w:r>
      <w:r w:rsidR="00CF282B">
        <w:t xml:space="preserve"> rather than sourcing partnership income based on the entity’s application of sourcing rules</w:t>
      </w:r>
      <w:r w:rsidR="00781D65">
        <w:t>,</w:t>
      </w:r>
      <w:r>
        <w:t xml:space="preserve"> the partner will include its distributive share and guaranteed payments from the partnership in its apportionable base, offsetting the related income and expense from any partner</w:t>
      </w:r>
      <w:r w:rsidR="00195472">
        <w:t xml:space="preserve"> </w:t>
      </w:r>
      <w:r>
        <w:t>/</w:t>
      </w:r>
      <w:r w:rsidR="00195472">
        <w:t xml:space="preserve"> </w:t>
      </w:r>
      <w:r>
        <w:t>partnership transactions, and will also include a share of the partnership’s factor</w:t>
      </w:r>
      <w:r w:rsidR="00336313">
        <w:t xml:space="preserve"> component</w:t>
      </w:r>
      <w:r>
        <w:t>s</w:t>
      </w:r>
      <w:r w:rsidR="00832A43">
        <w:t xml:space="preserve"> (receipts, property or payroll amounts)</w:t>
      </w:r>
      <w:r>
        <w:t xml:space="preserve"> in its apportionment formula. </w:t>
      </w:r>
    </w:p>
    <w:p w14:paraId="63611C51" w14:textId="77777777" w:rsidR="00C030CE" w:rsidRDefault="00DD5018" w:rsidP="00781D65">
      <w:pPr>
        <w:spacing w:before="120" w:after="120"/>
        <w:ind w:left="2160"/>
      </w:pPr>
      <w:r>
        <w:t xml:space="preserve">Under the draft model provisions, blending will only be used by a direct partner that is engaged in business. Blending will also only be used when that partner and partnership have a sufficient unitary relationship. So, blending will not apply to the vast majority of partners. </w:t>
      </w:r>
    </w:p>
    <w:p w14:paraId="00C3CF19" w14:textId="1C75844C" w:rsidR="00DD5018" w:rsidRDefault="00781D65" w:rsidP="00781D65">
      <w:pPr>
        <w:spacing w:before="120" w:after="120"/>
        <w:ind w:left="2160"/>
      </w:pPr>
      <w:r>
        <w:t>And, a</w:t>
      </w:r>
      <w:r w:rsidR="00DD5018">
        <w:t xml:space="preserve">s discussed in the white paper (see Note at the beginning of this appendix), and in the work group calls, blending may be necessary </w:t>
      </w:r>
      <w:r w:rsidR="004D63BD">
        <w:t>to</w:t>
      </w:r>
      <w:r w:rsidR="00DD5018">
        <w:t xml:space="preserve"> provide the kind of factor representation needed for fair apportionment. That is, to the extent a partner’s net </w:t>
      </w:r>
      <w:r w:rsidR="00DD5018">
        <w:lastRenderedPageBreak/>
        <w:t>apportionable income is affected by its share of partnership items, the inclusion of partnership factors may be necessary to fairly represent the source of that blended partner/partnership income. The question blending poses is how to compute the share of partnership factors to include in the partner’s apportionment formula.</w:t>
      </w:r>
    </w:p>
    <w:p w14:paraId="72EC9C30" w14:textId="13D14BBF" w:rsidR="00DD5018" w:rsidRDefault="00756BFD" w:rsidP="00C030CE">
      <w:pPr>
        <w:spacing w:before="240" w:after="120"/>
        <w:ind w:left="2160"/>
        <w:rPr>
          <w:u w:val="single"/>
        </w:rPr>
      </w:pPr>
      <w:r>
        <w:rPr>
          <w:u w:val="single"/>
        </w:rPr>
        <w:t>How</w:t>
      </w:r>
      <w:r w:rsidR="00DD5018">
        <w:rPr>
          <w:u w:val="single"/>
        </w:rPr>
        <w:t xml:space="preserve"> special allocations </w:t>
      </w:r>
      <w:r>
        <w:rPr>
          <w:u w:val="single"/>
        </w:rPr>
        <w:t xml:space="preserve">and guaranteed payments </w:t>
      </w:r>
      <w:r w:rsidR="00DD5018">
        <w:rPr>
          <w:u w:val="single"/>
        </w:rPr>
        <w:t>affect shares of partnership income</w:t>
      </w:r>
      <w:r w:rsidR="00DD5018" w:rsidRPr="009048A4">
        <w:t xml:space="preserve"> –</w:t>
      </w:r>
    </w:p>
    <w:p w14:paraId="7A30E0C9" w14:textId="4990CCEC" w:rsidR="00DD5018" w:rsidRDefault="00DD5018" w:rsidP="002203FC">
      <w:pPr>
        <w:spacing w:before="120" w:after="120"/>
        <w:ind w:left="2160"/>
      </w:pPr>
      <w:r>
        <w:t>But before addressing how the share of partnership factors may be computed, it is important to understand guaranteed payments and so-called “special allocations</w:t>
      </w:r>
      <w:r w:rsidR="000C4C93">
        <w:t>,</w:t>
      </w:r>
      <w:r>
        <w:t>”</w:t>
      </w:r>
      <w:r w:rsidR="004F2963">
        <w:t xml:space="preserve"> or mandatory or remedial allocations.</w:t>
      </w:r>
      <w:r>
        <w:t xml:space="preserve"> In addition to the MTC white paper referenced in the Note above, the MTC also published a separate white paper on guaranteed payments, focusing on the sourcing of guaranteed payments for services, here: </w:t>
      </w:r>
      <w:hyperlink r:id="rId18" w:history="1">
        <w:r w:rsidRPr="00FF2C4E">
          <w:rPr>
            <w:rStyle w:val="Hyperlink"/>
          </w:rPr>
          <w:t>https://mtc.gov/wp-content/uploads/2023/12/White-Paper-on-Guaranteed-Payments-Final-Version-October-12-2023-Updated-12-11-23.pdf</w:t>
        </w:r>
      </w:hyperlink>
      <w:r>
        <w:t xml:space="preserve">. </w:t>
      </w:r>
    </w:p>
    <w:p w14:paraId="402C746F" w14:textId="555C93EE" w:rsidR="00DD5018" w:rsidRDefault="00DD5018" w:rsidP="002203FC">
      <w:pPr>
        <w:spacing w:before="120" w:after="120"/>
        <w:ind w:left="2160"/>
      </w:pPr>
      <w:r>
        <w:rPr>
          <w:i/>
          <w:iCs/>
        </w:rPr>
        <w:t>Guaranteed payments</w:t>
      </w:r>
      <w:r>
        <w:t xml:space="preserve"> –</w:t>
      </w:r>
    </w:p>
    <w:p w14:paraId="047B9215" w14:textId="521F863D" w:rsidR="00DD5018" w:rsidRPr="005E1BBD" w:rsidRDefault="00DD5018" w:rsidP="002203FC">
      <w:pPr>
        <w:spacing w:before="120" w:after="120"/>
        <w:ind w:left="2160"/>
      </w:pPr>
      <w:r>
        <w:t xml:space="preserve">Under IRC § 707(c), a partner may receive a payment for acting in the capacity </w:t>
      </w:r>
      <w:r w:rsidR="00445753">
        <w:t xml:space="preserve">of a partner </w:t>
      </w:r>
      <w:r>
        <w:t>(rather than in a separate capacity under § 707(a)) for performing services for or providing capital to the partnership. The partnership treats the guaranteed payment as deductible or capitalizable expense (depending on the type of service) and the partner treats it as ordinary income. So, in this respect, the partner’s treatment of the guaranteed payment differs from the treatment of other distributive share items whose character is attributed to the partner. But the partner will also receive an allocation of th</w:t>
      </w:r>
      <w:r w:rsidR="00527D16">
        <w:t>at</w:t>
      </w:r>
      <w:r>
        <w:t xml:space="preserve"> partner’s share of the expense associated with the guaranteed payment. And, in other respects, the guaranteed payment is treated as partnership distributive share.</w:t>
      </w:r>
      <w:r>
        <w:rPr>
          <w:rStyle w:val="FootnoteReference"/>
        </w:rPr>
        <w:footnoteReference w:id="8"/>
      </w:r>
      <w:r>
        <w:t xml:space="preserve"> </w:t>
      </w:r>
    </w:p>
    <w:p w14:paraId="139FD53F" w14:textId="77777777" w:rsidR="00DD5018" w:rsidRDefault="00DD5018" w:rsidP="002203FC">
      <w:pPr>
        <w:spacing w:before="120" w:after="120"/>
        <w:ind w:left="2160"/>
        <w:rPr>
          <w:i/>
          <w:iCs/>
        </w:rPr>
      </w:pPr>
      <w:r>
        <w:rPr>
          <w:i/>
          <w:iCs/>
        </w:rPr>
        <w:t>Special allocations –</w:t>
      </w:r>
    </w:p>
    <w:p w14:paraId="75C48C67" w14:textId="77777777" w:rsidR="00DD5018" w:rsidRDefault="00DD5018" w:rsidP="002203FC">
      <w:pPr>
        <w:spacing w:before="120" w:after="120"/>
        <w:ind w:left="2160"/>
      </w:pPr>
      <w:r>
        <w:t xml:space="preserve">Under IRC Subchapter K, partnerships are not required to make allocations of net distributive share income to partners based on the partner’s capital ownership. Nor are they required to allocate to a partner the same share of all items of partnership income, expense, gain, or loss. Rather, partners can agree to what are referred to as special allocations. See IRC § 704(b). </w:t>
      </w:r>
    </w:p>
    <w:p w14:paraId="104B464E" w14:textId="005FBD86" w:rsidR="00DD5018" w:rsidRDefault="00DD5018" w:rsidP="002203FC">
      <w:pPr>
        <w:spacing w:before="120" w:after="120"/>
        <w:ind w:left="2160"/>
      </w:pPr>
      <w:r>
        <w:lastRenderedPageBreak/>
        <w:t xml:space="preserve">Assume Partnership has two partners X and Y. When the partnership is formed, X and Y share partnership capital 50/50. They can agree to share partnership income in a host of different ways, including, for illustration purposes, the following scenarios: </w:t>
      </w:r>
    </w:p>
    <w:p w14:paraId="32D4CD9E" w14:textId="77777777" w:rsidR="00DD5018" w:rsidRDefault="00DD5018" w:rsidP="00111E0D">
      <w:pPr>
        <w:pStyle w:val="ListParagraph"/>
        <w:numPr>
          <w:ilvl w:val="0"/>
          <w:numId w:val="21"/>
        </w:numPr>
        <w:spacing w:before="120" w:after="120"/>
        <w:ind w:left="2880"/>
      </w:pPr>
      <w:r>
        <w:t>Sharing all items 50/50 (no special allocations)</w:t>
      </w:r>
    </w:p>
    <w:p w14:paraId="28E0F17A" w14:textId="77777777" w:rsidR="00DD5018" w:rsidRDefault="00DD5018" w:rsidP="00111E0D">
      <w:pPr>
        <w:pStyle w:val="ListParagraph"/>
        <w:numPr>
          <w:ilvl w:val="0"/>
          <w:numId w:val="21"/>
        </w:numPr>
        <w:spacing w:before="120" w:after="120"/>
        <w:ind w:left="2880"/>
      </w:pPr>
      <w:r>
        <w:t>Sharing all items 80/20 (referred to here as “proportionate special allocations”)</w:t>
      </w:r>
    </w:p>
    <w:p w14:paraId="589CAF4F" w14:textId="77777777" w:rsidR="00DD5018" w:rsidRDefault="00DD5018" w:rsidP="00111E0D">
      <w:pPr>
        <w:pStyle w:val="ListParagraph"/>
        <w:numPr>
          <w:ilvl w:val="0"/>
          <w:numId w:val="21"/>
        </w:numPr>
        <w:spacing w:before="120" w:after="120"/>
        <w:ind w:left="2880"/>
      </w:pPr>
      <w:r>
        <w:t>Sharing certain items 50/50 and other items 80/20 (referred to here as “disproportionate special allocations”)</w:t>
      </w:r>
    </w:p>
    <w:p w14:paraId="0DFE4950" w14:textId="332ED2DD" w:rsidR="00DD5018" w:rsidRDefault="00DD5018" w:rsidP="002203FC">
      <w:pPr>
        <w:spacing w:before="120" w:after="120"/>
        <w:ind w:left="2160"/>
      </w:pPr>
      <w:r>
        <w:t xml:space="preserve">One important thing to know about special allocations is that they effectively change the partner’s tax capital account over time. (The same is not true of guaranteed payments.) </w:t>
      </w:r>
      <w:r w:rsidR="004326FA">
        <w:t>A</w:t>
      </w:r>
      <w:r>
        <w:t xml:space="preserve">ssume that X and Y choose option 2 above, where X receives 80% of partnership income and items even though X only holds 50% of the partnership’s initial capital. If the partnership has taxable income, that 80% allocation of income will be credited to X’s capital account, increasing </w:t>
      </w:r>
      <w:r w:rsidR="00AB7768">
        <w:t>X’s share of capital</w:t>
      </w:r>
      <w:r>
        <w:t xml:space="preserve"> relative to Y’s share of capital. If the partnership has a tax loss, the 80% allocation of that loss will be subtracted from X’s capital account, decreasing it relative to Y’s share of capital.</w:t>
      </w:r>
    </w:p>
    <w:p w14:paraId="6F4F2CD8" w14:textId="77777777" w:rsidR="00DD5018" w:rsidRDefault="00DD5018" w:rsidP="002203FC">
      <w:pPr>
        <w:spacing w:before="120" w:after="120"/>
        <w:ind w:left="2160"/>
      </w:pPr>
      <w:r>
        <w:t>Another thing to know is that partners can also agree that these allocations of partnership income and items will change over time or from year to year. For example, some partnerships use targeted allocations of partnership income (sometimes referred to as preferred allocations) in order to provide certain partners a targeted amount capital which is designed to give them a certain return on their initial investments. The amount and share of these targeted allocations each year may depend on the partnership results in that year.</w:t>
      </w:r>
    </w:p>
    <w:p w14:paraId="4B784FCE" w14:textId="48815077" w:rsidR="00DD5018" w:rsidRDefault="00DD5018" w:rsidP="002203FC">
      <w:pPr>
        <w:spacing w:before="120" w:after="120"/>
        <w:ind w:left="2160"/>
      </w:pPr>
      <w:r>
        <w:t>In addition, the share of partnership items allocated to a partner may be affected by other rules under Subchapter K. For example</w:t>
      </w:r>
      <w:r w:rsidR="00066740">
        <w:t>,</w:t>
      </w:r>
      <w:r>
        <w:t xml:space="preserve"> when a partner has contributed property with a different fair market value than the partner’s own basis (IRC § 704(c)) that partner may be allocated the built-in gain recognized when the partnership sells that asset. Or, when a partner buys a partnership interest for an amount that is different than the selling-partner’s capital, that partner may be allocated additional depreciation associated with an adjustment to that partner’s inside basis. The former will affect the partner’s tax capital account, the latter will not. </w:t>
      </w:r>
    </w:p>
    <w:p w14:paraId="36DD8E39" w14:textId="77777777" w:rsidR="00AE6FC1" w:rsidRDefault="00AE6FC1" w:rsidP="002203FC">
      <w:pPr>
        <w:spacing w:before="120" w:after="120"/>
        <w:ind w:left="1440"/>
        <w:rPr>
          <w:u w:val="single"/>
        </w:rPr>
      </w:pPr>
    </w:p>
    <w:p w14:paraId="2074C758" w14:textId="1EEE4BC5" w:rsidR="00DD5018" w:rsidRDefault="00DD5018" w:rsidP="002203FC">
      <w:pPr>
        <w:spacing w:before="120" w:after="120"/>
        <w:ind w:left="1440"/>
      </w:pPr>
      <w:r>
        <w:rPr>
          <w:u w:val="single"/>
        </w:rPr>
        <w:lastRenderedPageBreak/>
        <w:t>Possible different approaches for computing a partner’s share of partnership factors</w:t>
      </w:r>
      <w:r>
        <w:t xml:space="preserve"> –</w:t>
      </w:r>
    </w:p>
    <w:p w14:paraId="3B102D19" w14:textId="77777777" w:rsidR="00DD5018" w:rsidRDefault="00DD5018" w:rsidP="002203FC">
      <w:pPr>
        <w:spacing w:before="120" w:after="120"/>
        <w:ind w:left="1440"/>
      </w:pPr>
      <w:r>
        <w:t xml:space="preserve">Returning to how a partner’s share of factors may be determined when using blended apportionment—the methods most often discussed are: </w:t>
      </w:r>
    </w:p>
    <w:p w14:paraId="769EDF69" w14:textId="0CFF9CE9" w:rsidR="00DD5018" w:rsidRDefault="00E507B6" w:rsidP="00E507B6">
      <w:pPr>
        <w:pStyle w:val="ListParagraph"/>
        <w:numPr>
          <w:ilvl w:val="0"/>
          <w:numId w:val="22"/>
        </w:numPr>
        <w:spacing w:after="240"/>
        <w:ind w:left="2160"/>
        <w:contextualSpacing w:val="0"/>
      </w:pPr>
      <w:r>
        <w:t xml:space="preserve">Specific association –  </w:t>
      </w:r>
      <w:r w:rsidR="00DD5018">
        <w:t xml:space="preserve">Associating the share of the particular factors with the partnership items allocated to the partners (specific association method); </w:t>
      </w:r>
    </w:p>
    <w:p w14:paraId="47EDBC59" w14:textId="4AFD7378" w:rsidR="00DD5018" w:rsidRDefault="00E507B6" w:rsidP="00E507B6">
      <w:pPr>
        <w:pStyle w:val="ListParagraph"/>
        <w:numPr>
          <w:ilvl w:val="0"/>
          <w:numId w:val="22"/>
        </w:numPr>
        <w:spacing w:after="240"/>
        <w:ind w:left="2160"/>
        <w:contextualSpacing w:val="0"/>
      </w:pPr>
      <w:r>
        <w:t xml:space="preserve">Capital – </w:t>
      </w:r>
      <w:r w:rsidR="00DD5018">
        <w:t xml:space="preserve">Using the partner’s share of capital (capital share method), or </w:t>
      </w:r>
    </w:p>
    <w:p w14:paraId="065F9041" w14:textId="4D707979" w:rsidR="00DD5018" w:rsidRDefault="00E507B6" w:rsidP="00E507B6">
      <w:pPr>
        <w:pStyle w:val="ListParagraph"/>
        <w:numPr>
          <w:ilvl w:val="0"/>
          <w:numId w:val="22"/>
        </w:numPr>
        <w:spacing w:before="120" w:after="120"/>
        <w:ind w:left="2160"/>
      </w:pPr>
      <w:r>
        <w:t xml:space="preserve">Distributive Share –  </w:t>
      </w:r>
      <w:r w:rsidR="00DD5018">
        <w:t xml:space="preserve">Using a ratio based on the partner’s distributive share (distributive share method). </w:t>
      </w:r>
    </w:p>
    <w:p w14:paraId="1B2DD300" w14:textId="77777777" w:rsidR="00DD5018" w:rsidRDefault="00DD5018" w:rsidP="00E507B6">
      <w:pPr>
        <w:spacing w:before="240" w:after="120"/>
        <w:ind w:left="1440"/>
      </w:pPr>
      <w:r>
        <w:rPr>
          <w:u w:val="single"/>
        </w:rPr>
        <w:t>Why the specific association method is inappropriate</w:t>
      </w:r>
      <w:r>
        <w:t xml:space="preserve"> – </w:t>
      </w:r>
    </w:p>
    <w:p w14:paraId="4804621E" w14:textId="7B700548" w:rsidR="00DD5018" w:rsidRPr="002B5288" w:rsidRDefault="00DD5018" w:rsidP="002203FC">
      <w:pPr>
        <w:spacing w:before="120" w:after="120"/>
        <w:ind w:left="1440"/>
      </w:pPr>
      <w:r>
        <w:t xml:space="preserve">As discussed above, states have chosen to source multistate income not by using the </w:t>
      </w:r>
      <w:r w:rsidR="00A1730F">
        <w:t xml:space="preserve">international sourcing </w:t>
      </w:r>
      <w:r>
        <w:t xml:space="preserve">approach—specifically assigning the receipts from </w:t>
      </w:r>
      <w:r w:rsidR="001753CE">
        <w:t xml:space="preserve">each </w:t>
      </w:r>
      <w:r>
        <w:t>activit</w:t>
      </w:r>
      <w:r w:rsidR="001753CE">
        <w:t>y</w:t>
      </w:r>
      <w:r>
        <w:t xml:space="preserve"> and transaction to </w:t>
      </w:r>
      <w:r w:rsidR="001753CE">
        <w:t xml:space="preserve">certain </w:t>
      </w:r>
      <w:r>
        <w:t>locations</w:t>
      </w:r>
      <w:r w:rsidR="00B44161">
        <w:t>,</w:t>
      </w:r>
      <w:r>
        <w:t xml:space="preserve"> associating direct expenses</w:t>
      </w:r>
      <w:r w:rsidR="001753CE">
        <w:t xml:space="preserve"> with those receipts</w:t>
      </w:r>
      <w:r>
        <w:t xml:space="preserve">, and </w:t>
      </w:r>
      <w:r w:rsidR="001753CE">
        <w:t xml:space="preserve">then </w:t>
      </w:r>
      <w:r>
        <w:t>apportioning indirect expenses—but</w:t>
      </w:r>
      <w:r w:rsidR="001753CE">
        <w:t>, instead,</w:t>
      </w:r>
      <w:r>
        <w:t xml:space="preserve"> by </w:t>
      </w:r>
      <w:r w:rsidR="00DA7006">
        <w:t xml:space="preserve">apportioning </w:t>
      </w:r>
      <w:r>
        <w:t xml:space="preserve">net income. </w:t>
      </w:r>
      <w:r w:rsidR="00B44161">
        <w:t>T</w:t>
      </w:r>
      <w:r>
        <w:t>he apportionment formula is used to source not just items with which th</w:t>
      </w:r>
      <w:r w:rsidR="001753CE">
        <w:t>e factors of that</w:t>
      </w:r>
      <w:r>
        <w:t xml:space="preserve"> formula might be directly connected (e.g., receipts, depreciation, and payroll expense) but all items that go into the calculation of net </w:t>
      </w:r>
      <w:r w:rsidR="001753CE">
        <w:t xml:space="preserve">apportionable </w:t>
      </w:r>
      <w:r>
        <w:t>income</w:t>
      </w:r>
      <w:r w:rsidR="00E5607A">
        <w:t xml:space="preserve"> of the same unitary business</w:t>
      </w:r>
      <w:r>
        <w:t xml:space="preserve">. </w:t>
      </w:r>
    </w:p>
    <w:p w14:paraId="5CBD4CDD" w14:textId="77777777" w:rsidR="00856603" w:rsidRDefault="00DD5018" w:rsidP="002203FC">
      <w:pPr>
        <w:spacing w:before="120" w:after="120"/>
        <w:ind w:left="1440"/>
      </w:pPr>
      <w:r>
        <w:t xml:space="preserve">The specific association method of determining </w:t>
      </w:r>
      <w:r w:rsidR="00753271">
        <w:t xml:space="preserve">the sourcing of </w:t>
      </w:r>
      <w:r>
        <w:t xml:space="preserve">a partner’s share of partnership items would appear to abandon this very foundational premise </w:t>
      </w:r>
      <w:r w:rsidR="00A52382">
        <w:t>of</w:t>
      </w:r>
      <w:r w:rsidR="006C666A">
        <w:t xml:space="preserve"> </w:t>
      </w:r>
      <w:r>
        <w:t>formulary apportionment and require that, when blending, the partner look to specific types of income or partnership items when determining the associated partnership factor</w:t>
      </w:r>
      <w:r w:rsidR="00A70D28">
        <w:t xml:space="preserve"> component</w:t>
      </w:r>
      <w:r>
        <w:t xml:space="preserve">s to include in that partner’s apportionment formula. </w:t>
      </w:r>
    </w:p>
    <w:p w14:paraId="6B34FECC" w14:textId="4C844441" w:rsidR="00DD5018" w:rsidRDefault="00DD5018" w:rsidP="002203FC">
      <w:pPr>
        <w:spacing w:before="120" w:after="120"/>
        <w:ind w:left="1440"/>
      </w:pPr>
      <w:r>
        <w:t>And given that blending would only be used where the partner</w:t>
      </w:r>
      <w:r w:rsidR="001753CE">
        <w:t xml:space="preserve"> itself</w:t>
      </w:r>
      <w:r>
        <w:t xml:space="preserve"> has </w:t>
      </w:r>
      <w:r w:rsidRPr="001753CE">
        <w:t xml:space="preserve">income earned from a business which has a sufficient unitary relationship with the partnership’s business, this would mean that the </w:t>
      </w:r>
      <w:r w:rsidR="005B072A">
        <w:t xml:space="preserve">apportionment factors used to apportion the </w:t>
      </w:r>
      <w:r w:rsidRPr="001753CE">
        <w:t xml:space="preserve">partnership income included in the </w:t>
      </w:r>
      <w:r w:rsidR="00652AB6">
        <w:t xml:space="preserve">partner’s </w:t>
      </w:r>
      <w:r w:rsidRPr="001753CE">
        <w:t xml:space="preserve">apportionable base would </w:t>
      </w:r>
      <w:r w:rsidR="00FE4572" w:rsidRPr="001753CE">
        <w:t xml:space="preserve">be </w:t>
      </w:r>
      <w:r w:rsidR="005B072A">
        <w:t>determined</w:t>
      </w:r>
      <w:r w:rsidR="00652AB6">
        <w:t xml:space="preserve"> and included in the formula using a different basis than the partner’s own </w:t>
      </w:r>
      <w:r w:rsidR="00856603">
        <w:t xml:space="preserve">apportionment </w:t>
      </w:r>
      <w:r w:rsidR="00FE4572" w:rsidRPr="001753CE">
        <w:t>factors</w:t>
      </w:r>
      <w:r w:rsidRPr="001753CE">
        <w:t>.</w:t>
      </w:r>
      <w:r>
        <w:t xml:space="preserve">  </w:t>
      </w:r>
    </w:p>
    <w:p w14:paraId="2F40AC88" w14:textId="77777777" w:rsidR="00856603" w:rsidRDefault="00856603" w:rsidP="002203FC">
      <w:pPr>
        <w:spacing w:before="120" w:after="120"/>
        <w:ind w:left="1440"/>
        <w:rPr>
          <w:u w:val="single"/>
        </w:rPr>
      </w:pPr>
    </w:p>
    <w:p w14:paraId="117CDFC3" w14:textId="77777777" w:rsidR="00856603" w:rsidRDefault="00856603" w:rsidP="002203FC">
      <w:pPr>
        <w:spacing w:before="120" w:after="120"/>
        <w:ind w:left="1440"/>
        <w:rPr>
          <w:u w:val="single"/>
        </w:rPr>
      </w:pPr>
    </w:p>
    <w:p w14:paraId="6B1FD982" w14:textId="7EA0E832" w:rsidR="00DD5018" w:rsidRDefault="00DD5018" w:rsidP="002203FC">
      <w:pPr>
        <w:spacing w:before="120" w:after="120"/>
        <w:ind w:left="1440"/>
      </w:pPr>
      <w:r>
        <w:rPr>
          <w:u w:val="single"/>
        </w:rPr>
        <w:lastRenderedPageBreak/>
        <w:t>Evaluating the capital share and distributive share approaches</w:t>
      </w:r>
      <w:r>
        <w:t xml:space="preserve"> –</w:t>
      </w:r>
    </w:p>
    <w:p w14:paraId="3FE844BE" w14:textId="77777777" w:rsidR="00DD5018" w:rsidRDefault="00DD5018" w:rsidP="002203FC">
      <w:pPr>
        <w:spacing w:before="120" w:after="120"/>
        <w:ind w:left="1440"/>
      </w:pPr>
      <w:r>
        <w:t xml:space="preserve">This leaves two general methods to consider—the capital share method and the distributive share method. Where there are guaranteed payments, mandatory (or remedial) allocations, or proportionate or disproportionate special allocations, the share of factors computed under the capital share and distributive share methods will </w:t>
      </w:r>
      <w:r w:rsidRPr="00CB0973">
        <w:t>differ.</w:t>
      </w:r>
      <w:r>
        <w:t xml:space="preserve"> </w:t>
      </w:r>
    </w:p>
    <w:p w14:paraId="4CA1F1E2" w14:textId="39B25CF7" w:rsidR="00DD5018" w:rsidRDefault="00DD5018" w:rsidP="002203FC">
      <w:pPr>
        <w:spacing w:before="120" w:after="120"/>
        <w:ind w:left="1440"/>
      </w:pPr>
      <w:r>
        <w:t>So, under Scenario 2 above, if X uses blending, the capital share method results in X including 50% of the partnership factor</w:t>
      </w:r>
      <w:r w:rsidR="007427F3">
        <w:t xml:space="preserve"> component</w:t>
      </w:r>
      <w:r>
        <w:t xml:space="preserve">s whereas using the distributive share method results in X including 80% of those </w:t>
      </w:r>
      <w:r w:rsidR="007427F3">
        <w:t>components</w:t>
      </w:r>
      <w:r>
        <w:t xml:space="preserve">. But note, again, because special allocations of partnership income will affect the partner’s tax capital, the difference may also change over time. Assume, again, that X and Y adopt option 2 for sharing partnership income giving X an 80% share. If the partnership has income each year for a period of years, all things being equal, X’s share of capital will grow until it reaches and, perhaps exceeds, this 80/20 ratio. </w:t>
      </w:r>
    </w:p>
    <w:p w14:paraId="7BC9422A" w14:textId="72C8907B" w:rsidR="00DD5018" w:rsidRPr="00BE2F7D" w:rsidRDefault="00DD5018" w:rsidP="002203FC">
      <w:pPr>
        <w:spacing w:before="120" w:after="120"/>
        <w:ind w:left="1440"/>
        <w:rPr>
          <w:i/>
          <w:iCs/>
        </w:rPr>
      </w:pPr>
      <w:r>
        <w:t>The results will also differ where there are guaranteed payments. Again, take X and Y, the 50/50 partners described above. Assume the partners agree to share partnership income and items 50/50 but that X will receive a guaranteed payment of $100,000 for performing services for the partnership. Now assume that Partnership has net distributive share income of $200,000 before the guaranteed payment. X will receive the $100,000 guaranteed payment which will also reduce the partnership’s net distributive share income to $100,000 which will be split 50/50 between the partners. So X will receive</w:t>
      </w:r>
      <w:r w:rsidR="00E07270">
        <w:t xml:space="preserve"> a total of</w:t>
      </w:r>
      <w:r>
        <w:t xml:space="preserve"> $150,000 of distributive share and guaranteed payments and Y will receive $50,000. So, if X uses blending, the capital share method results in X including 50% of the partnership factors whereas using the distributive share method results in X including 75%</w:t>
      </w:r>
      <w:r w:rsidR="00877C68">
        <w:t xml:space="preserve"> (without the absolute value method, discussed below).</w:t>
      </w:r>
    </w:p>
    <w:p w14:paraId="72FC4801" w14:textId="77777777" w:rsidR="00DD5018" w:rsidRDefault="00DD5018" w:rsidP="002203FC">
      <w:pPr>
        <w:spacing w:before="120" w:after="120"/>
        <w:ind w:left="1440"/>
        <w:rPr>
          <w:u w:val="single"/>
        </w:rPr>
      </w:pPr>
      <w:r>
        <w:rPr>
          <w:u w:val="single"/>
        </w:rPr>
        <w:t>Why the distributive share method is recommended</w:t>
      </w:r>
      <w:r w:rsidRPr="002E398C">
        <w:t xml:space="preserve"> –</w:t>
      </w:r>
    </w:p>
    <w:p w14:paraId="53634D37" w14:textId="56EB41D4" w:rsidR="00DD5018" w:rsidRDefault="00DD5018" w:rsidP="002203FC">
      <w:pPr>
        <w:spacing w:before="120" w:after="120"/>
        <w:ind w:left="1440"/>
      </w:pPr>
      <w:r>
        <w:t xml:space="preserve">The white paper (referenced in the Note at the beginning of this appendix) recommends the use of the distributive share method. The most important reason for this is because the apportionment formula is meant to source </w:t>
      </w:r>
      <w:r w:rsidRPr="007E1E87">
        <w:rPr>
          <w:b/>
          <w:bCs/>
          <w:i/>
          <w:iCs/>
        </w:rPr>
        <w:t>income, not capital</w:t>
      </w:r>
      <w:r>
        <w:rPr>
          <w:i/>
          <w:iCs/>
        </w:rPr>
        <w:t xml:space="preserve">. </w:t>
      </w:r>
      <w:r>
        <w:t xml:space="preserve">Take an extreme example. Assume that two partners, X and Y, have initial capital in a partnership that they share 60/40, and that X’s business and the business of the partnership have a sufficient unitary relationship. But they also agree Y will receive 100% of the income generated in Year 1. Why should X include any share of the partnership’s factors in its apportionment formula when its distributive share of partnership income in Year 1 is 0%? </w:t>
      </w:r>
      <w:r w:rsidR="00DB6E8A">
        <w:t>T</w:t>
      </w:r>
      <w:r>
        <w:t xml:space="preserve">he argument that using the share of capital is more fair appears </w:t>
      </w:r>
      <w:r w:rsidR="00717E51">
        <w:t xml:space="preserve">to </w:t>
      </w:r>
      <w:r>
        <w:lastRenderedPageBreak/>
        <w:t xml:space="preserve">disregard the fact that capital does not determine a partner’s share of the </w:t>
      </w:r>
      <w:r>
        <w:rPr>
          <w:i/>
          <w:iCs/>
        </w:rPr>
        <w:t>partnership’s income</w:t>
      </w:r>
      <w:r>
        <w:t xml:space="preserve"> and it is </w:t>
      </w:r>
      <w:r>
        <w:rPr>
          <w:i/>
          <w:iCs/>
        </w:rPr>
        <w:t>income</w:t>
      </w:r>
      <w:r>
        <w:t xml:space="preserve"> that is being apportioned.</w:t>
      </w:r>
    </w:p>
    <w:p w14:paraId="239624C1" w14:textId="272E1538" w:rsidR="00DD5018" w:rsidRDefault="00DD5018" w:rsidP="002203FC">
      <w:pPr>
        <w:spacing w:before="120" w:after="120"/>
        <w:ind w:left="1440"/>
      </w:pPr>
      <w:r>
        <w:t xml:space="preserve">There does not seem to be any basis, therefore, </w:t>
      </w:r>
      <w:r w:rsidR="00E5330D">
        <w:t>to argue that</w:t>
      </w:r>
      <w:r>
        <w:t xml:space="preserve"> the distributive share method does not fairly reflect the factors associated with the income included in the partner’s blended income. But the use of the distributive share method is complicated by the fact that computing the share will lead to anomalous results when there are certain special</w:t>
      </w:r>
      <w:r w:rsidR="00E5330D">
        <w:t xml:space="preserve">, </w:t>
      </w:r>
      <w:r>
        <w:t>mandatory</w:t>
      </w:r>
      <w:r w:rsidR="008D642B">
        <w:t xml:space="preserve">, or remedial </w:t>
      </w:r>
      <w:r>
        <w:t>allocations or guaranteed payments resulting in a disproportionate amount of some partnership i</w:t>
      </w:r>
      <w:r w:rsidR="008D642B">
        <w:t>ncome or items</w:t>
      </w:r>
      <w:r>
        <w:t xml:space="preserve"> being allocated to the partner. To address this, the draft model rules apply the absolute value approach.</w:t>
      </w:r>
    </w:p>
    <w:p w14:paraId="520CB78F" w14:textId="77777777" w:rsidR="00DD5018" w:rsidRDefault="00DD5018" w:rsidP="0025592E">
      <w:pPr>
        <w:spacing w:before="240" w:after="120"/>
        <w:ind w:left="1440"/>
      </w:pPr>
      <w:r w:rsidRPr="007D2B60">
        <w:rPr>
          <w:u w:val="single"/>
        </w:rPr>
        <w:t>How the absolute value approach works</w:t>
      </w:r>
      <w:r>
        <w:t xml:space="preserve"> –</w:t>
      </w:r>
    </w:p>
    <w:p w14:paraId="4CEAD2AC" w14:textId="4980C7C9" w:rsidR="00DD5018" w:rsidRDefault="00DD5018" w:rsidP="002203FC">
      <w:pPr>
        <w:spacing w:before="120" w:after="120"/>
        <w:ind w:left="1440"/>
      </w:pPr>
      <w:r>
        <w:t>Where there are no disproportionate special allocations, mandatory allocations, or guaranteed payments, the use of the absolute value method makes no difference in computing the partner’s share of factor</w:t>
      </w:r>
      <w:r w:rsidR="005C4506">
        <w:t xml:space="preserve"> component</w:t>
      </w:r>
      <w:r>
        <w:t>s under the distributive share method. So, for example, assume two partners have a 50/50 capital ownership share. Whether they agree to share all partnership items 50/50 or 80/20, the use of the absolute value approach will not make a difference in the share of factors determined using the distributive share method.</w:t>
      </w:r>
    </w:p>
    <w:p w14:paraId="198FF38A" w14:textId="77777777" w:rsidR="00A46F43" w:rsidRDefault="00DD5018" w:rsidP="002203FC">
      <w:pPr>
        <w:spacing w:before="120" w:after="120"/>
        <w:ind w:left="1440"/>
      </w:pPr>
      <w:r>
        <w:t xml:space="preserve">When there are disproportionate special allocations, mandatory allocations, or guaranteed payments, the result will be different when using the distributive share method with versus without the absolute value approach. </w:t>
      </w:r>
    </w:p>
    <w:p w14:paraId="67A0F5A3" w14:textId="7DA0B6C1" w:rsidR="00DD5018" w:rsidRDefault="00DD5018" w:rsidP="002203FC">
      <w:pPr>
        <w:spacing w:before="120" w:after="120"/>
        <w:ind w:left="1440"/>
      </w:pPr>
      <w:r>
        <w:t xml:space="preserve">For example, assume X and Y own 50/50 shares of partnership capital and Y’s own business has a sufficient unitary relationship with the partnership’s business so that Y will use blended apportionment. Also assume that the partners agree that Y will receive 80% of partnership receipts and only 20% of partnership expenses. Now assume that partnership receipts are $100,000 and partnership expenses are $80,000—so that Y receives $80,000 of receipts and $16,000 of expenses. </w:t>
      </w:r>
    </w:p>
    <w:p w14:paraId="7EA14487" w14:textId="77777777" w:rsidR="00DD5018" w:rsidRDefault="00DD5018" w:rsidP="008D642B">
      <w:pPr>
        <w:pStyle w:val="ListParagraph"/>
        <w:numPr>
          <w:ilvl w:val="0"/>
          <w:numId w:val="23"/>
        </w:numPr>
        <w:spacing w:before="240" w:after="120"/>
        <w:contextualSpacing w:val="0"/>
      </w:pPr>
      <w:r>
        <w:t>Using the distributive share method without the absolute value approach:</w:t>
      </w:r>
    </w:p>
    <w:p w14:paraId="0BCEF5D8" w14:textId="77777777" w:rsidR="00DD5018" w:rsidRDefault="00DD5018" w:rsidP="00111E0D">
      <w:pPr>
        <w:pStyle w:val="ListParagraph"/>
        <w:numPr>
          <w:ilvl w:val="1"/>
          <w:numId w:val="23"/>
        </w:numPr>
        <w:spacing w:before="120" w:after="120"/>
      </w:pPr>
      <w:r>
        <w:t xml:space="preserve">Y’s net distributive share of $64,000 ÷ </w:t>
      </w:r>
      <w:r>
        <w:br/>
        <w:t xml:space="preserve">The partnership’s total net distributive share of $20,000 </w:t>
      </w:r>
      <w:r>
        <w:br/>
        <w:t>= 320%</w:t>
      </w:r>
    </w:p>
    <w:p w14:paraId="09872417" w14:textId="77777777" w:rsidR="008D642B" w:rsidRDefault="008D642B" w:rsidP="008D642B">
      <w:pPr>
        <w:spacing w:before="120" w:after="120"/>
      </w:pPr>
    </w:p>
    <w:p w14:paraId="1DBA0A41" w14:textId="77777777" w:rsidR="00DD5018" w:rsidRDefault="00DD5018" w:rsidP="00111E0D">
      <w:pPr>
        <w:pStyle w:val="ListParagraph"/>
        <w:numPr>
          <w:ilvl w:val="0"/>
          <w:numId w:val="23"/>
        </w:numPr>
        <w:spacing w:before="120" w:after="120"/>
      </w:pPr>
      <w:r>
        <w:t>Using the distributive share method with the absolute value approach:</w:t>
      </w:r>
    </w:p>
    <w:p w14:paraId="05282E97" w14:textId="77777777" w:rsidR="00DD5018" w:rsidRDefault="00DD5018" w:rsidP="00111E0D">
      <w:pPr>
        <w:pStyle w:val="ListParagraph"/>
        <w:numPr>
          <w:ilvl w:val="1"/>
          <w:numId w:val="23"/>
        </w:numPr>
        <w:spacing w:before="120" w:after="120"/>
      </w:pPr>
      <w:r>
        <w:t>Y’s absolute value of receipts and expenses of $96,000 ÷</w:t>
      </w:r>
      <w:r>
        <w:br/>
        <w:t>The partnership’s absolute value of receipts and expense of $180,000</w:t>
      </w:r>
      <w:r>
        <w:br/>
        <w:t>= 53%</w:t>
      </w:r>
    </w:p>
    <w:p w14:paraId="71901B90" w14:textId="722EE7BF" w:rsidR="00DD5018" w:rsidRDefault="00DD5018" w:rsidP="00A46F43">
      <w:pPr>
        <w:spacing w:before="240" w:after="120"/>
        <w:ind w:left="720"/>
        <w:rPr>
          <w:u w:val="single"/>
        </w:rPr>
      </w:pPr>
      <w:r w:rsidRPr="00340E05">
        <w:rPr>
          <w:u w:val="single"/>
        </w:rPr>
        <w:t>Response</w:t>
      </w:r>
      <w:r>
        <w:rPr>
          <w:u w:val="single"/>
        </w:rPr>
        <w:t xml:space="preserve"> to Comments</w:t>
      </w:r>
    </w:p>
    <w:p w14:paraId="407E52CE" w14:textId="6AB3A2AD" w:rsidR="00DD5018" w:rsidRPr="00F442C0" w:rsidRDefault="00DD5018" w:rsidP="00EE7736">
      <w:pPr>
        <w:spacing w:before="120" w:after="120"/>
        <w:ind w:left="720"/>
      </w:pPr>
      <w:r>
        <w:t xml:space="preserve">This section provides a response to the comments as summarized, drawing on the context set </w:t>
      </w:r>
      <w:r w:rsidR="00521368">
        <w:t>out</w:t>
      </w:r>
      <w:r>
        <w:t xml:space="preserve"> above.  </w:t>
      </w:r>
    </w:p>
    <w:p w14:paraId="493B8D77" w14:textId="77777777" w:rsidR="00DD5018" w:rsidRDefault="00DD5018" w:rsidP="00EE7736">
      <w:pPr>
        <w:spacing w:before="120" w:after="120"/>
        <w:ind w:left="720"/>
      </w:pPr>
      <w:r>
        <w:t>First, we agree that there are a number of circumstances in which there may be allocations that do not correspond to a partner’s share of capital, including:</w:t>
      </w:r>
    </w:p>
    <w:p w14:paraId="0CAEE5E6" w14:textId="77777777" w:rsidR="00DD5018" w:rsidRDefault="00DD5018" w:rsidP="00111E0D">
      <w:pPr>
        <w:pStyle w:val="ListParagraph"/>
        <w:numPr>
          <w:ilvl w:val="0"/>
          <w:numId w:val="20"/>
        </w:numPr>
        <w:spacing w:before="120" w:after="120"/>
        <w:ind w:left="1480"/>
      </w:pPr>
      <w:r>
        <w:t>Special allocations generally;</w:t>
      </w:r>
    </w:p>
    <w:p w14:paraId="2CB66FF6" w14:textId="77777777" w:rsidR="00DD5018" w:rsidRDefault="00DD5018" w:rsidP="00111E0D">
      <w:pPr>
        <w:pStyle w:val="ListParagraph"/>
        <w:numPr>
          <w:ilvl w:val="0"/>
          <w:numId w:val="20"/>
        </w:numPr>
        <w:spacing w:before="120" w:after="120"/>
        <w:ind w:left="1480"/>
      </w:pPr>
      <w:r>
        <w:t>Use of preferred equity,</w:t>
      </w:r>
    </w:p>
    <w:p w14:paraId="6DF20E2D" w14:textId="77777777" w:rsidR="00DD5018" w:rsidRDefault="00DD5018" w:rsidP="00111E0D">
      <w:pPr>
        <w:pStyle w:val="ListParagraph"/>
        <w:numPr>
          <w:ilvl w:val="0"/>
          <w:numId w:val="20"/>
        </w:numPr>
        <w:spacing w:before="120" w:after="120"/>
        <w:ind w:left="1480"/>
      </w:pPr>
      <w:r>
        <w:t xml:space="preserve">Mandatory (remedial) allocations, and </w:t>
      </w:r>
    </w:p>
    <w:p w14:paraId="7A16BE11" w14:textId="77777777" w:rsidR="00DD5018" w:rsidRDefault="00DD5018" w:rsidP="00111E0D">
      <w:pPr>
        <w:pStyle w:val="ListParagraph"/>
        <w:numPr>
          <w:ilvl w:val="0"/>
          <w:numId w:val="20"/>
        </w:numPr>
        <w:spacing w:before="120" w:after="120"/>
        <w:ind w:left="1480"/>
      </w:pPr>
      <w:r>
        <w:t>Allocations related to IRC § 743(b) adjustments.</w:t>
      </w:r>
    </w:p>
    <w:p w14:paraId="55869DC4" w14:textId="73E053CB" w:rsidR="00DD5018" w:rsidRDefault="00DD5018" w:rsidP="00EE7736">
      <w:pPr>
        <w:spacing w:before="120" w:after="120"/>
        <w:ind w:left="720"/>
      </w:pPr>
      <w:r>
        <w:t xml:space="preserve">Also, as the context above discusses, guaranteed payments can also be made to partners which are not in accordance with that partner’s share of capital. The fact that these allocations and guaranteed payments result in effects on the partner’s income that do not correspond to the partner’s ownership share is the main reason why, when blending, the capital share method </w:t>
      </w:r>
      <w:r w:rsidR="00C36708">
        <w:t>is an</w:t>
      </w:r>
      <w:r>
        <w:t xml:space="preserve"> </w:t>
      </w:r>
      <w:r w:rsidR="00337F91">
        <w:t xml:space="preserve">inappropriate </w:t>
      </w:r>
      <w:r>
        <w:t xml:space="preserve">method for determining the partner’s share of partnership factors. </w:t>
      </w:r>
    </w:p>
    <w:p w14:paraId="5520A968" w14:textId="77777777" w:rsidR="001576EB" w:rsidRDefault="00DD5018" w:rsidP="00EE7736">
      <w:pPr>
        <w:spacing w:before="120" w:after="120"/>
        <w:ind w:left="720"/>
      </w:pPr>
      <w:r>
        <w:t xml:space="preserve">In addition, the following criticisms of the distributive share method using the absolute value approach do not appear well-founded for the reasons given below. But first, </w:t>
      </w:r>
      <w:r w:rsidR="00C13FD3">
        <w:t xml:space="preserve">the </w:t>
      </w:r>
      <w:r>
        <w:t xml:space="preserve">following essential elements of the blended apportionment approach </w:t>
      </w:r>
      <w:r w:rsidR="00C13FD3">
        <w:t xml:space="preserve">should be kept </w:t>
      </w:r>
      <w:r>
        <w:t xml:space="preserve">in mind. </w:t>
      </w:r>
    </w:p>
    <w:p w14:paraId="52E4D4A9" w14:textId="77777777" w:rsidR="001576EB" w:rsidRDefault="00DD5018" w:rsidP="00DC3D85">
      <w:pPr>
        <w:pStyle w:val="ListParagraph"/>
        <w:numPr>
          <w:ilvl w:val="0"/>
          <w:numId w:val="25"/>
        </w:numPr>
        <w:spacing w:before="120" w:after="120"/>
        <w:contextualSpacing w:val="0"/>
      </w:pPr>
      <w:r>
        <w:t xml:space="preserve">First, as with the state sourcing rules generally, </w:t>
      </w:r>
      <w:r w:rsidR="001576EB">
        <w:t xml:space="preserve">blended apportionment </w:t>
      </w:r>
      <w:r>
        <w:t xml:space="preserve">relies on formulary apportionment, not specific assignment of items of income and expense. </w:t>
      </w:r>
    </w:p>
    <w:p w14:paraId="285F5154" w14:textId="519A786C" w:rsidR="00DD5018" w:rsidRDefault="00DD5018" w:rsidP="00DC3D85">
      <w:pPr>
        <w:pStyle w:val="ListParagraph"/>
        <w:numPr>
          <w:ilvl w:val="0"/>
          <w:numId w:val="25"/>
        </w:numPr>
        <w:spacing w:before="120" w:after="120"/>
        <w:contextualSpacing w:val="0"/>
      </w:pPr>
      <w:r>
        <w:t xml:space="preserve">Second, </w:t>
      </w:r>
      <w:r w:rsidR="001576EB">
        <w:t xml:space="preserve">blended apportionment </w:t>
      </w:r>
      <w:r>
        <w:t xml:space="preserve"> will only apply when the partnership’s own business has a sufficient unitary relationship with the partnership’s business so that the partner’s apportionable income would include its partnership distributive share and its apportionment formula would include a share of partnership factors.</w:t>
      </w:r>
    </w:p>
    <w:p w14:paraId="14CECD67" w14:textId="77777777" w:rsidR="00DC3D85" w:rsidRDefault="00DC3D85" w:rsidP="00DC3D85">
      <w:pPr>
        <w:spacing w:before="120" w:after="120"/>
        <w:rPr>
          <w:u w:val="single"/>
        </w:rPr>
      </w:pPr>
    </w:p>
    <w:p w14:paraId="116E0D48" w14:textId="46004E76" w:rsidR="00DC3D85" w:rsidRPr="001F3709" w:rsidRDefault="00DD5018" w:rsidP="000D72CC">
      <w:pPr>
        <w:spacing w:before="120" w:after="120"/>
        <w:ind w:left="720"/>
        <w:rPr>
          <w:b/>
          <w:bCs/>
        </w:rPr>
      </w:pPr>
      <w:r w:rsidRPr="001F3709">
        <w:rPr>
          <w:b/>
          <w:bCs/>
          <w:u w:val="single"/>
        </w:rPr>
        <w:lastRenderedPageBreak/>
        <w:t>Criticism</w:t>
      </w:r>
      <w:r w:rsidRPr="001F3709">
        <w:rPr>
          <w:b/>
          <w:bCs/>
        </w:rPr>
        <w:t xml:space="preserve">: </w:t>
      </w:r>
    </w:p>
    <w:p w14:paraId="6BBFD748" w14:textId="60D2C8CB" w:rsidR="00DD5018" w:rsidRPr="001F3709" w:rsidRDefault="00DD5018" w:rsidP="000D72CC">
      <w:pPr>
        <w:spacing w:before="120" w:after="120"/>
        <w:ind w:left="720"/>
        <w:rPr>
          <w:b/>
          <w:bCs/>
        </w:rPr>
      </w:pPr>
      <w:r w:rsidRPr="001F3709">
        <w:rPr>
          <w:b/>
          <w:bCs/>
        </w:rPr>
        <w:t>The distributive share method results in a “negative economic item” determining the share of partnership factors.</w:t>
      </w:r>
    </w:p>
    <w:p w14:paraId="1D3FCC12" w14:textId="77777777" w:rsidR="00DC3D85" w:rsidRDefault="00DD5018" w:rsidP="000D72CC">
      <w:pPr>
        <w:spacing w:before="120" w:after="120"/>
        <w:ind w:left="720"/>
      </w:pPr>
      <w:r w:rsidRPr="000D72CC">
        <w:rPr>
          <w:u w:val="single"/>
        </w:rPr>
        <w:t>Response</w:t>
      </w:r>
      <w:r>
        <w:t xml:space="preserve">: </w:t>
      </w:r>
    </w:p>
    <w:p w14:paraId="39B2E835" w14:textId="309D4A80" w:rsidR="00DD5018" w:rsidRDefault="00DD5018" w:rsidP="000D72CC">
      <w:pPr>
        <w:spacing w:before="120" w:after="120"/>
        <w:ind w:left="720"/>
      </w:pPr>
      <w:r>
        <w:t>What the comments refer to as “negative economic items” have as much effect on partnership net income as any positive economic items. Indeed, as noted in the context above, states use apportionment factors to apportion both negative and positive items that make up net income. Therefore, the fact that a part</w:t>
      </w:r>
      <w:r w:rsidR="00574134">
        <w:t>n</w:t>
      </w:r>
      <w:r>
        <w:t xml:space="preserve">er’s share of partnership expenses may be much greater than its share of partnership receipts does not counsel against using the absolute value approach. Rather, it is exactly that effect of these disproportionate allocations on the partner’s income that is important when determining the partner’s share of related partnership factors. </w:t>
      </w:r>
    </w:p>
    <w:p w14:paraId="1F830742" w14:textId="77777777" w:rsidR="00DD5018" w:rsidRDefault="00DD5018" w:rsidP="000D72CC">
      <w:pPr>
        <w:pStyle w:val="ListParagraph"/>
        <w:spacing w:before="120" w:after="120"/>
        <w:contextualSpacing w:val="0"/>
      </w:pPr>
      <w:r w:rsidRPr="00CC7D48">
        <w:t xml:space="preserve">The comments also contrast the “magnitude” of items with the partner’s “actual </w:t>
      </w:r>
      <w:r w:rsidRPr="007865D5">
        <w:t>net</w:t>
      </w:r>
      <w:r w:rsidRPr="00CC7D48">
        <w:t xml:space="preserve"> income” from the partnership. </w:t>
      </w:r>
      <w:r>
        <w:t>However,</w:t>
      </w:r>
      <w:r w:rsidRPr="00CC7D48">
        <w:t xml:space="preserve"> “net income” </w:t>
      </w:r>
      <w:r>
        <w:t>is simply</w:t>
      </w:r>
      <w:r w:rsidRPr="00CC7D48">
        <w:t xml:space="preserve"> shorthand for net income</w:t>
      </w:r>
      <w:r>
        <w:t xml:space="preserve"> </w:t>
      </w:r>
      <w:r w:rsidRPr="00B848AE">
        <w:rPr>
          <w:i/>
          <w:iCs/>
        </w:rPr>
        <w:t>or loss</w:t>
      </w:r>
      <w:r>
        <w:t xml:space="preserve">. </w:t>
      </w:r>
      <w:r w:rsidRPr="00CC7D48">
        <w:t xml:space="preserve">After all, it is not the case that multistate businesses that have expense in excess of revenue—that is, a loss—don’t apportion that loss or don’t </w:t>
      </w:r>
      <w:r>
        <w:t xml:space="preserve">use the </w:t>
      </w:r>
      <w:r w:rsidRPr="00CC7D48">
        <w:t xml:space="preserve">normal apportionment factors </w:t>
      </w:r>
      <w:r>
        <w:t>when doing so</w:t>
      </w:r>
      <w:r w:rsidRPr="00CC7D48">
        <w:t xml:space="preserve">. And if that business apportions the loss on the basis of a receipts factor, it is, effectively using receipts sourced to the state (or “positive input” as the comments </w:t>
      </w:r>
      <w:r>
        <w:t xml:space="preserve">would </w:t>
      </w:r>
      <w:r w:rsidRPr="00CC7D48">
        <w:t>refer to it) as a basis for assigning expenses (or “negative economic items”).</w:t>
      </w:r>
    </w:p>
    <w:p w14:paraId="1316CBA9" w14:textId="77777777" w:rsidR="000D72CC" w:rsidRDefault="00DD5018" w:rsidP="000D72CC">
      <w:pPr>
        <w:pStyle w:val="ListParagraph"/>
        <w:spacing w:before="120" w:after="120"/>
        <w:contextualSpacing w:val="0"/>
      </w:pPr>
      <w:r w:rsidRPr="00CC7D48">
        <w:t xml:space="preserve">For example, assume that in Year 1 a start-up partnership business has deductible expenses of $1 million incurred from activity entirely in State Y and only one customer, in State X, from whom it has received $100,000 in receipts. Also assume both states use a single receipts-factor apportionment formula and would source the </w:t>
      </w:r>
      <w:r>
        <w:t xml:space="preserve">partnership </w:t>
      </w:r>
      <w:r w:rsidRPr="00CC7D48">
        <w:t>receipts to State X. If th</w:t>
      </w:r>
      <w:r>
        <w:t>e</w:t>
      </w:r>
      <w:r w:rsidRPr="00CC7D48">
        <w:t xml:space="preserve"> partnership apportions its $900</w:t>
      </w:r>
      <w:r>
        <w:t>,</w:t>
      </w:r>
      <w:r w:rsidRPr="00CC7D48">
        <w:t xml:space="preserve">000 net loss at the entity level, it will apportion it entirely to State X. That is, all of the deductions (which are included in the apportionable net loss) will be sourced to State X. </w:t>
      </w:r>
    </w:p>
    <w:p w14:paraId="0049E7FF" w14:textId="52549CF9" w:rsidR="00DD5018" w:rsidRDefault="00DD5018" w:rsidP="000D72CC">
      <w:pPr>
        <w:pStyle w:val="ListParagraph"/>
        <w:spacing w:before="120" w:after="120"/>
        <w:contextualSpacing w:val="0"/>
      </w:pPr>
      <w:r w:rsidRPr="00CC7D48">
        <w:t>Now assume that the partnership has a 50% partner to whom the partnership has allocated 100% of the expense deductions. If th</w:t>
      </w:r>
      <w:r>
        <w:t>at</w:t>
      </w:r>
      <w:r w:rsidRPr="00CC7D48">
        <w:t xml:space="preserve"> partner does not use blending, it would </w:t>
      </w:r>
      <w:r>
        <w:t xml:space="preserve">simply source its distributive share of those deductions </w:t>
      </w:r>
      <w:r w:rsidRPr="00CC7D48">
        <w:t>entirely to State X and would include them as a reduction to any other income it might separately source to State X. That is, the deductions would be sourced by the partnership using the partnership’s own apportionment formula applied to those items of expense, and that would determine where those deductions are sourced</w:t>
      </w:r>
      <w:r>
        <w:t xml:space="preserve"> for the partner as well</w:t>
      </w:r>
      <w:r w:rsidRPr="00CC7D48">
        <w:t>.</w:t>
      </w:r>
    </w:p>
    <w:p w14:paraId="2E55DB09" w14:textId="2A58FEF6" w:rsidR="00DD5018" w:rsidRDefault="00DD5018" w:rsidP="00DC3D85">
      <w:pPr>
        <w:pStyle w:val="ListParagraph"/>
        <w:spacing w:before="120" w:after="120"/>
        <w:ind w:left="1080"/>
        <w:contextualSpacing w:val="0"/>
      </w:pPr>
      <w:r w:rsidRPr="00CC7D48">
        <w:lastRenderedPageBreak/>
        <w:t xml:space="preserve">But if the partner’s own business has a sufficient unitary relationship with the partnership’s business so that the partner would use blending, then the partner would include its 100% allocation of the partnership’s deductions in the partner’s apportionable base, combining and offsetting those deductions against the partner’s other apportionable income before that blended base is </w:t>
      </w:r>
      <w:r>
        <w:t xml:space="preserve">then </w:t>
      </w:r>
      <w:r w:rsidRPr="00CC7D48">
        <w:t>apportioned.</w:t>
      </w:r>
      <w:r>
        <w:t xml:space="preserve"> There is no reason why, </w:t>
      </w:r>
      <w:r w:rsidR="00CF5718">
        <w:t xml:space="preserve">in </w:t>
      </w:r>
      <w:r>
        <w:t xml:space="preserve">this case, the location of the expense rather than the location of the receipts should determine how those deductions are sourced, or why the partner’s share of partnership receipts should not be affected by </w:t>
      </w:r>
      <w:r w:rsidR="005A721C">
        <w:t xml:space="preserve">the </w:t>
      </w:r>
      <w:r>
        <w:t xml:space="preserve">magnitude of the partner’s share of partnership deductions. </w:t>
      </w:r>
      <w:r w:rsidRPr="00CC7D48">
        <w:t xml:space="preserve"> </w:t>
      </w:r>
    </w:p>
    <w:p w14:paraId="025C7946" w14:textId="77777777" w:rsidR="001F3709" w:rsidRPr="001F3709" w:rsidRDefault="00DD5018" w:rsidP="003E3938">
      <w:pPr>
        <w:pStyle w:val="ListParagraph"/>
        <w:spacing w:before="240" w:after="120"/>
        <w:ind w:left="1080"/>
        <w:contextualSpacing w:val="0"/>
        <w:rPr>
          <w:b/>
          <w:bCs/>
        </w:rPr>
      </w:pPr>
      <w:r w:rsidRPr="001F3709">
        <w:rPr>
          <w:b/>
          <w:bCs/>
          <w:u w:val="single"/>
        </w:rPr>
        <w:t>Criticism</w:t>
      </w:r>
      <w:r w:rsidRPr="001F3709">
        <w:rPr>
          <w:b/>
          <w:bCs/>
        </w:rPr>
        <w:t xml:space="preserve">: </w:t>
      </w:r>
    </w:p>
    <w:p w14:paraId="2EC0AC7E" w14:textId="7FFF5B3F" w:rsidR="00DD5018" w:rsidRPr="001F3709" w:rsidRDefault="00DD5018" w:rsidP="001F3709">
      <w:pPr>
        <w:pStyle w:val="ListParagraph"/>
        <w:spacing w:before="120" w:after="120"/>
        <w:ind w:left="1080"/>
        <w:contextualSpacing w:val="0"/>
        <w:rPr>
          <w:b/>
          <w:bCs/>
        </w:rPr>
      </w:pPr>
      <w:r w:rsidRPr="001F3709">
        <w:rPr>
          <w:b/>
          <w:bCs/>
        </w:rPr>
        <w:t>The method does not reflect the partner’s capital or ownership share.</w:t>
      </w:r>
    </w:p>
    <w:p w14:paraId="2AAD3D1B" w14:textId="77777777" w:rsidR="001F3709" w:rsidRDefault="00DD5018" w:rsidP="001F3709">
      <w:pPr>
        <w:spacing w:before="120" w:after="120"/>
        <w:ind w:left="1080"/>
      </w:pPr>
      <w:r w:rsidRPr="001F3709">
        <w:rPr>
          <w:u w:val="single"/>
        </w:rPr>
        <w:t>Response</w:t>
      </w:r>
      <w:r>
        <w:t>:</w:t>
      </w:r>
    </w:p>
    <w:p w14:paraId="30A61F0A" w14:textId="6E7AAF77" w:rsidR="00DD5018" w:rsidRDefault="00DD5018" w:rsidP="001F3709">
      <w:pPr>
        <w:spacing w:before="120" w:after="120"/>
        <w:ind w:left="1080"/>
      </w:pPr>
      <w:r>
        <w:t>As discussed in the context above, apportionment is not applied to capital or the taxation of capital, it is applied to income. Nor are partners required to share partnership income and items in the same proportions as their share of partnership capital. Therefore, the fact that the method does not reflect the partner’s capital is not a sound criticism of the distributive share method or the absolute value approach.</w:t>
      </w:r>
    </w:p>
    <w:p w14:paraId="6EFF0B51" w14:textId="77777777" w:rsidR="001F3709" w:rsidRPr="001F3709" w:rsidRDefault="00DD5018" w:rsidP="003E3938">
      <w:pPr>
        <w:spacing w:before="240" w:after="120"/>
        <w:ind w:left="1080"/>
        <w:rPr>
          <w:b/>
          <w:bCs/>
        </w:rPr>
      </w:pPr>
      <w:r w:rsidRPr="001F3709">
        <w:rPr>
          <w:b/>
          <w:bCs/>
          <w:u w:val="single"/>
        </w:rPr>
        <w:t>Criticism</w:t>
      </w:r>
      <w:r w:rsidRPr="001F3709">
        <w:rPr>
          <w:b/>
          <w:bCs/>
        </w:rPr>
        <w:t xml:space="preserve">: </w:t>
      </w:r>
    </w:p>
    <w:p w14:paraId="68ECCBA3" w14:textId="77777777" w:rsidR="001F3709" w:rsidRPr="001F3709" w:rsidRDefault="00DD5018" w:rsidP="001F3709">
      <w:pPr>
        <w:spacing w:before="120" w:after="120"/>
        <w:ind w:left="1080"/>
        <w:rPr>
          <w:b/>
          <w:bCs/>
        </w:rPr>
      </w:pPr>
      <w:r w:rsidRPr="001F3709">
        <w:rPr>
          <w:b/>
          <w:bCs/>
        </w:rPr>
        <w:t>The method does not reflect the factors that might be directly associated with certain specially allocated items.</w:t>
      </w:r>
    </w:p>
    <w:p w14:paraId="2A9D455C" w14:textId="77777777" w:rsidR="001F3709" w:rsidRDefault="00DD5018" w:rsidP="001F3709">
      <w:pPr>
        <w:spacing w:before="120" w:after="120"/>
        <w:ind w:left="1080"/>
      </w:pPr>
      <w:r w:rsidRPr="001F3709">
        <w:rPr>
          <w:u w:val="single"/>
        </w:rPr>
        <w:t>Response</w:t>
      </w:r>
      <w:r>
        <w:t xml:space="preserve">: </w:t>
      </w:r>
    </w:p>
    <w:p w14:paraId="04507403" w14:textId="5F4D114B" w:rsidR="00DD5018" w:rsidRDefault="00DD5018" w:rsidP="001F3709">
      <w:pPr>
        <w:spacing w:before="120" w:after="120"/>
        <w:ind w:left="1080"/>
      </w:pPr>
      <w:r>
        <w:t>As discussed in the context above, formulary apportionment is regularly used to source items of income and expense that are not directly associated with the particular factors included in the apportionment formula. This criticism implies that the proper method for sourcing partnership income is a kind of specific assignment approach, as used by the international tax system, rather than formulary apportionment. To take this approach for partnership income would differentiate how that income is sourced when compared to similar income of C corporations or proprietorships.</w:t>
      </w:r>
    </w:p>
    <w:p w14:paraId="4B8E4C7B" w14:textId="77777777" w:rsidR="003E3938" w:rsidRDefault="003E3938">
      <w:r>
        <w:br w:type="page"/>
      </w:r>
    </w:p>
    <w:p w14:paraId="1D7F373D" w14:textId="685CCF6C" w:rsidR="00DD5018" w:rsidRDefault="00DD5018" w:rsidP="00EE7736">
      <w:pPr>
        <w:ind w:left="720"/>
      </w:pPr>
      <w:r>
        <w:lastRenderedPageBreak/>
        <w:t xml:space="preserve">Finally, the comments suggest that rather than mandating the use of the distributive share method using the absolute value approach, the rules should allow taxpayers the flexibility to use any other reasonable methods or should only apply the </w:t>
      </w:r>
      <w:r w:rsidR="0055251D">
        <w:t xml:space="preserve">absolute value </w:t>
      </w:r>
      <w:r>
        <w:t xml:space="preserve">approach to prevent abuse. The comments also argue that the distributive share method using the absolute value approach may not be workable in large complex structures. </w:t>
      </w:r>
    </w:p>
    <w:p w14:paraId="3476CFB7" w14:textId="77777777" w:rsidR="00DD5018" w:rsidRDefault="00DD5018" w:rsidP="00EE7736">
      <w:pPr>
        <w:spacing w:before="120" w:after="120"/>
        <w:ind w:left="720"/>
      </w:pPr>
      <w:r>
        <w:t>To be clear, the application of blending and the use of the distributive share method using the absolute value approach would be done by direct partners that have a sufficient unitary relationship with the partnership. Presumably, in that case, the partnership and partner have sufficient information and can share that information as necessary to properly apply the method.</w:t>
      </w:r>
    </w:p>
    <w:p w14:paraId="4D0B6DEE" w14:textId="283825EE" w:rsidR="00DD5018" w:rsidRDefault="00DD5018" w:rsidP="00EE7736">
      <w:pPr>
        <w:spacing w:before="120" w:after="120"/>
        <w:ind w:left="720"/>
      </w:pPr>
      <w:r>
        <w:t>As covered in the context section above, the other possible methods—the specific association and capital share methods—have been analyzed and discussed, both in the MTC white paper (see reference in the Note above) and in work group calls. Indeed, the comments appear to raise an additional problem with the capital share method, which is that a partner’s tax capital may change over the course of the year</w:t>
      </w:r>
      <w:r w:rsidR="00AD3E9A">
        <w:t>,</w:t>
      </w:r>
      <w:r>
        <w:t xml:space="preserve"> raising questions as to the point in time when that share would be applied to the partnership’s factors. Based on this analysis, ne</w:t>
      </w:r>
      <w:r w:rsidR="00FA7EB5">
        <w:t>i</w:t>
      </w:r>
      <w:r>
        <w:t xml:space="preserve">ther method appears reasonable. Rather, there are significant problems with these other methods. </w:t>
      </w:r>
    </w:p>
    <w:p w14:paraId="4A85241E" w14:textId="632BC8A1" w:rsidR="00DD5018" w:rsidRDefault="00DD5018" w:rsidP="00EE7736">
      <w:pPr>
        <w:spacing w:before="120" w:after="120"/>
        <w:ind w:left="720"/>
      </w:pPr>
      <w:r>
        <w:t>Nor is an open-ended provision allowing “any reasonable methods” likely to be administrable given that there appears to be no standard for when the distributive share method is unreasonable or what makes other methods more reasonable. Simply allowing other methods to be used for sourcing partnership income would undermine parity in sourcing business income generally. Nor can states simply allow any other reasonable method without creating significant complexity and uncertainty—two things which we agree should be avoided when possible.</w:t>
      </w:r>
      <w:r w:rsidR="000C3154">
        <w:t xml:space="preserve"> Finally, there may be circumstances in which the </w:t>
      </w:r>
      <w:r w:rsidR="00F96200">
        <w:t xml:space="preserve">state would use its general authority to grant equitable apportionment where there are genuine </w:t>
      </w:r>
      <w:r w:rsidR="00977EB9">
        <w:t>problems with the use of the distributive share method using the absolute value approach.</w:t>
      </w:r>
      <w:r w:rsidR="00F96200">
        <w:t xml:space="preserve"> </w:t>
      </w:r>
    </w:p>
    <w:p w14:paraId="70C778E0" w14:textId="1947C19D" w:rsidR="00DD5018" w:rsidRPr="009F7F20" w:rsidRDefault="00EE7736" w:rsidP="00EE7736">
      <w:pPr>
        <w:ind w:left="720"/>
        <w:rPr>
          <w:b/>
          <w:bCs/>
        </w:rPr>
      </w:pPr>
      <w:r>
        <w:t>As</w:t>
      </w:r>
      <w:r w:rsidR="00DD5018">
        <w:t xml:space="preserve"> for the absolute value approach being used only when there is abuse, this is not the focus of blending, the use of the distributive share method, or the absolute value approach. The focus is to provide factor representation for the income flowing through the partnership and included in the partner’s apportionable income. </w:t>
      </w:r>
      <w:r w:rsidR="00DD5018" w:rsidRPr="009F7F20">
        <w:rPr>
          <w:b/>
          <w:bCs/>
        </w:rPr>
        <w:tab/>
        <w:t xml:space="preserve"> </w:t>
      </w:r>
    </w:p>
    <w:p w14:paraId="5B73F9C4" w14:textId="77777777" w:rsidR="00C5130E" w:rsidRDefault="00C5130E">
      <w:r>
        <w:br w:type="page"/>
      </w:r>
    </w:p>
    <w:tbl>
      <w:tblPr>
        <w:tblStyle w:val="TableGrid"/>
        <w:tblW w:w="0" w:type="auto"/>
        <w:tblInd w:w="-95" w:type="dxa"/>
        <w:tblLook w:val="04A0" w:firstRow="1" w:lastRow="0" w:firstColumn="1" w:lastColumn="0" w:noHBand="0" w:noVBand="1"/>
      </w:tblPr>
      <w:tblGrid>
        <w:gridCol w:w="2619"/>
        <w:gridCol w:w="137"/>
        <w:gridCol w:w="8849"/>
      </w:tblGrid>
      <w:tr w:rsidR="00DD5018" w14:paraId="4FCC69C6" w14:textId="77777777" w:rsidTr="00F60695">
        <w:tc>
          <w:tcPr>
            <w:tcW w:w="11605" w:type="dxa"/>
            <w:gridSpan w:val="3"/>
          </w:tcPr>
          <w:p w14:paraId="3842788E" w14:textId="28979D22" w:rsidR="00DD5018" w:rsidRDefault="00DD5018">
            <w:pPr>
              <w:spacing w:before="120" w:after="120"/>
              <w:jc w:val="center"/>
              <w:rPr>
                <w:b/>
                <w:bCs/>
                <w:sz w:val="28"/>
                <w:szCs w:val="28"/>
              </w:rPr>
            </w:pPr>
            <w:r w:rsidRPr="00AE4E7E">
              <w:rPr>
                <w:b/>
                <w:bCs/>
                <w:sz w:val="28"/>
                <w:szCs w:val="28"/>
              </w:rPr>
              <w:lastRenderedPageBreak/>
              <w:t>Responses to AICPA Comments – May 21, 2026</w:t>
            </w:r>
          </w:p>
          <w:p w14:paraId="6917C423" w14:textId="77777777" w:rsidR="00DD5018" w:rsidRPr="00F33645" w:rsidRDefault="00DD5018">
            <w:pPr>
              <w:spacing w:before="120" w:after="120"/>
              <w:jc w:val="center"/>
            </w:pPr>
            <w:r w:rsidRPr="00FF7DC3">
              <w:t>The comments and responses are summarized by general category and the type of response.</w:t>
            </w:r>
          </w:p>
        </w:tc>
      </w:tr>
      <w:tr w:rsidR="00DD5018" w14:paraId="34F8CFBA" w14:textId="77777777" w:rsidTr="00545149">
        <w:tc>
          <w:tcPr>
            <w:tcW w:w="11605" w:type="dxa"/>
            <w:gridSpan w:val="3"/>
            <w:shd w:val="clear" w:color="auto" w:fill="ADADAD" w:themeFill="background2" w:themeFillShade="BF"/>
          </w:tcPr>
          <w:p w14:paraId="7002C2D1" w14:textId="77777777" w:rsidR="00DD5018" w:rsidRPr="009706F8" w:rsidRDefault="00DD5018" w:rsidP="000E49BD">
            <w:pPr>
              <w:spacing w:before="120"/>
              <w:jc w:val="center"/>
              <w:rPr>
                <w:b/>
                <w:bCs/>
              </w:rPr>
            </w:pPr>
            <w:r>
              <w:rPr>
                <w:b/>
                <w:bCs/>
              </w:rPr>
              <w:t>Clarifications and Minor Wording Changes</w:t>
            </w:r>
          </w:p>
        </w:tc>
      </w:tr>
      <w:tr w:rsidR="00DD5018" w14:paraId="67A8EE8D" w14:textId="77777777" w:rsidTr="00F60695">
        <w:tc>
          <w:tcPr>
            <w:tcW w:w="2619" w:type="dxa"/>
            <w:shd w:val="clear" w:color="auto" w:fill="E2E2E2"/>
          </w:tcPr>
          <w:p w14:paraId="4845D987" w14:textId="77777777" w:rsidR="00DD5018" w:rsidRPr="008D0774" w:rsidRDefault="00DD5018">
            <w:pPr>
              <w:spacing w:before="120" w:after="120"/>
              <w:rPr>
                <w:b/>
                <w:bCs/>
              </w:rPr>
            </w:pPr>
            <w:r w:rsidRPr="008D0774">
              <w:rPr>
                <w:b/>
                <w:bCs/>
              </w:rPr>
              <w:t>Comments:</w:t>
            </w:r>
          </w:p>
          <w:p w14:paraId="3AB6EA68" w14:textId="77777777" w:rsidR="00DD5018" w:rsidRPr="008D0774" w:rsidRDefault="00DD5018">
            <w:pPr>
              <w:spacing w:before="120" w:after="120"/>
              <w:rPr>
                <w:b/>
                <w:bCs/>
              </w:rPr>
            </w:pPr>
            <w:r w:rsidRPr="008D0774">
              <w:rPr>
                <w:b/>
                <w:bCs/>
              </w:rPr>
              <w:t xml:space="preserve">Minor wording changes. </w:t>
            </w:r>
          </w:p>
        </w:tc>
        <w:tc>
          <w:tcPr>
            <w:tcW w:w="8986" w:type="dxa"/>
            <w:gridSpan w:val="2"/>
            <w:shd w:val="clear" w:color="auto" w:fill="E2E2E2"/>
          </w:tcPr>
          <w:p w14:paraId="164B73DF" w14:textId="77777777" w:rsidR="00DD5018" w:rsidRDefault="00DD5018">
            <w:pPr>
              <w:spacing w:before="120" w:after="120"/>
            </w:pPr>
            <w:r>
              <w:t>The AICPA made a number of comments recommending clarifications or minor wording changes (not separately summarized here).</w:t>
            </w:r>
          </w:p>
        </w:tc>
      </w:tr>
      <w:tr w:rsidR="00DD5018" w14:paraId="60DC4793" w14:textId="77777777" w:rsidTr="00F60695">
        <w:tc>
          <w:tcPr>
            <w:tcW w:w="2619" w:type="dxa"/>
          </w:tcPr>
          <w:p w14:paraId="56D48E6F" w14:textId="77777777" w:rsidR="00DD5018" w:rsidRPr="008D0774" w:rsidRDefault="00DD5018">
            <w:pPr>
              <w:spacing w:before="120" w:after="120"/>
              <w:rPr>
                <w:b/>
                <w:bCs/>
              </w:rPr>
            </w:pPr>
            <w:r w:rsidRPr="008D0774">
              <w:rPr>
                <w:b/>
                <w:bCs/>
              </w:rPr>
              <w:t>Response:</w:t>
            </w:r>
          </w:p>
        </w:tc>
        <w:tc>
          <w:tcPr>
            <w:tcW w:w="8986" w:type="dxa"/>
            <w:gridSpan w:val="2"/>
          </w:tcPr>
          <w:p w14:paraId="336911CA" w14:textId="77777777" w:rsidR="00DD5018" w:rsidRDefault="00DD5018">
            <w:pPr>
              <w:spacing w:before="120" w:after="120"/>
            </w:pPr>
            <w:r>
              <w:t xml:space="preserve">Unless otherwise noted, those changes (or similar modifications) have been made. </w:t>
            </w:r>
          </w:p>
        </w:tc>
      </w:tr>
      <w:tr w:rsidR="00DD5018" w14:paraId="4D8BD568" w14:textId="77777777" w:rsidTr="00F60695">
        <w:tc>
          <w:tcPr>
            <w:tcW w:w="11605" w:type="dxa"/>
            <w:gridSpan w:val="3"/>
            <w:shd w:val="clear" w:color="auto" w:fill="ADADAD" w:themeFill="background2" w:themeFillShade="BF"/>
          </w:tcPr>
          <w:p w14:paraId="7DB2C065" w14:textId="77777777" w:rsidR="00DD5018" w:rsidRPr="00BB428B" w:rsidRDefault="00DD5018" w:rsidP="000E49BD">
            <w:pPr>
              <w:spacing w:before="120"/>
              <w:jc w:val="center"/>
              <w:rPr>
                <w:b/>
                <w:bCs/>
              </w:rPr>
            </w:pPr>
            <w:r>
              <w:rPr>
                <w:b/>
                <w:bCs/>
              </w:rPr>
              <w:t>Comments on Applicability</w:t>
            </w:r>
          </w:p>
        </w:tc>
      </w:tr>
      <w:tr w:rsidR="00DD5018" w14:paraId="5DDCFB37" w14:textId="77777777" w:rsidTr="00F60695">
        <w:tc>
          <w:tcPr>
            <w:tcW w:w="2619" w:type="dxa"/>
            <w:shd w:val="clear" w:color="auto" w:fill="E2E2E2"/>
          </w:tcPr>
          <w:p w14:paraId="0886D438" w14:textId="77777777" w:rsidR="00DD5018" w:rsidRPr="008D0774" w:rsidRDefault="00DD5018">
            <w:pPr>
              <w:spacing w:before="120" w:after="120"/>
              <w:rPr>
                <w:b/>
                <w:bCs/>
              </w:rPr>
            </w:pPr>
            <w:r w:rsidRPr="008D0774">
              <w:rPr>
                <w:b/>
                <w:bCs/>
              </w:rPr>
              <w:t xml:space="preserve">Comment: </w:t>
            </w:r>
          </w:p>
          <w:p w14:paraId="37882F3A" w14:textId="7B63DD27" w:rsidR="00DD5018" w:rsidRPr="008D0774" w:rsidRDefault="00DD5018">
            <w:pPr>
              <w:spacing w:before="120" w:after="120"/>
              <w:rPr>
                <w:b/>
                <w:bCs/>
              </w:rPr>
            </w:pPr>
            <w:r w:rsidRPr="008D0774">
              <w:rPr>
                <w:b/>
                <w:bCs/>
              </w:rPr>
              <w:t>Include other passthrough entit</w:t>
            </w:r>
            <w:r w:rsidR="00073B61">
              <w:rPr>
                <w:b/>
                <w:bCs/>
              </w:rPr>
              <w:t>ies</w:t>
            </w:r>
            <w:r w:rsidRPr="008D0774">
              <w:rPr>
                <w:b/>
                <w:bCs/>
              </w:rPr>
              <w:t xml:space="preserve"> in definition of indirect partner. </w:t>
            </w:r>
          </w:p>
        </w:tc>
        <w:tc>
          <w:tcPr>
            <w:tcW w:w="8986" w:type="dxa"/>
            <w:gridSpan w:val="2"/>
            <w:shd w:val="clear" w:color="auto" w:fill="E2E2E2"/>
          </w:tcPr>
          <w:p w14:paraId="7E889776" w14:textId="574E3745" w:rsidR="00DD5018" w:rsidRDefault="00DD5018">
            <w:pPr>
              <w:spacing w:before="120" w:after="120"/>
            </w:pPr>
            <w:r>
              <w:t xml:space="preserve">Change the definition of an indirect partner to: </w:t>
            </w:r>
            <w:r w:rsidRPr="00D229AF">
              <w:t>“An owner of a pass-through entity that, itself, owns an interest in another pass</w:t>
            </w:r>
            <w:r w:rsidR="00FE71FA">
              <w:t>-</w:t>
            </w:r>
            <w:r w:rsidRPr="00D229AF">
              <w:t>through entity.”</w:t>
            </w:r>
          </w:p>
          <w:p w14:paraId="59279070" w14:textId="77777777" w:rsidR="00DD5018" w:rsidRDefault="00DD5018">
            <w:pPr>
              <w:spacing w:before="120" w:after="120"/>
            </w:pPr>
          </w:p>
        </w:tc>
      </w:tr>
      <w:tr w:rsidR="00DD5018" w14:paraId="00D0C7C3" w14:textId="77777777" w:rsidTr="00F60695">
        <w:tc>
          <w:tcPr>
            <w:tcW w:w="2619" w:type="dxa"/>
          </w:tcPr>
          <w:p w14:paraId="019E67B8" w14:textId="77777777" w:rsidR="00DD5018" w:rsidRPr="008D0774" w:rsidRDefault="00DD5018">
            <w:pPr>
              <w:spacing w:before="120" w:after="120"/>
              <w:rPr>
                <w:b/>
                <w:bCs/>
              </w:rPr>
            </w:pPr>
            <w:r w:rsidRPr="008D0774">
              <w:rPr>
                <w:b/>
                <w:bCs/>
              </w:rPr>
              <w:t xml:space="preserve">Response: </w:t>
            </w:r>
          </w:p>
        </w:tc>
        <w:tc>
          <w:tcPr>
            <w:tcW w:w="8986" w:type="dxa"/>
            <w:gridSpan w:val="2"/>
          </w:tcPr>
          <w:p w14:paraId="34FD9F30" w14:textId="77777777" w:rsidR="00DD5018" w:rsidRDefault="00DD5018">
            <w:pPr>
              <w:spacing w:before="120" w:after="120"/>
            </w:pPr>
            <w:r>
              <w:t>Because these provisions are intended to address entities taxed under Subchapter K, we need to be careful how other pass-throughs are included so that states adopting these rules can understand how they may affect other types of pass-throughs. Rather than simply changing the definition of “indirect partner,” changes were made to the provisions to add the terms “other pass-through entity” and “beneficial interest holder.”</w:t>
            </w:r>
          </w:p>
        </w:tc>
      </w:tr>
      <w:tr w:rsidR="00DD5018" w14:paraId="5D7D69D5" w14:textId="77777777" w:rsidTr="00F60695">
        <w:tc>
          <w:tcPr>
            <w:tcW w:w="2619" w:type="dxa"/>
            <w:shd w:val="clear" w:color="auto" w:fill="E2E2E2"/>
          </w:tcPr>
          <w:p w14:paraId="648C4237" w14:textId="77777777" w:rsidR="00DD5018" w:rsidRPr="008D0774" w:rsidRDefault="00DD5018">
            <w:pPr>
              <w:spacing w:before="120" w:after="120"/>
              <w:rPr>
                <w:b/>
                <w:bCs/>
              </w:rPr>
            </w:pPr>
            <w:r w:rsidRPr="008D0774">
              <w:rPr>
                <w:b/>
                <w:bCs/>
              </w:rPr>
              <w:t xml:space="preserve">Comment: </w:t>
            </w:r>
          </w:p>
          <w:p w14:paraId="73D52D47" w14:textId="77777777" w:rsidR="00DD5018" w:rsidRPr="008D0774" w:rsidRDefault="00DD5018">
            <w:pPr>
              <w:spacing w:before="120" w:after="120"/>
              <w:rPr>
                <w:b/>
                <w:bCs/>
              </w:rPr>
            </w:pPr>
            <w:r w:rsidRPr="008D0774">
              <w:rPr>
                <w:b/>
                <w:bCs/>
              </w:rPr>
              <w:t xml:space="preserve">Exclude entities paying PTE tax from definition of partnership. </w:t>
            </w:r>
          </w:p>
        </w:tc>
        <w:tc>
          <w:tcPr>
            <w:tcW w:w="8986" w:type="dxa"/>
            <w:gridSpan w:val="2"/>
            <w:shd w:val="clear" w:color="auto" w:fill="E2E2E2"/>
          </w:tcPr>
          <w:p w14:paraId="54370310" w14:textId="330B34CA" w:rsidR="00DD5018" w:rsidRDefault="00DD5018">
            <w:pPr>
              <w:spacing w:before="120" w:after="120"/>
            </w:pPr>
            <w:r>
              <w:t>Add to the definition of “partnership” – “</w:t>
            </w:r>
            <w:r w:rsidRPr="00F64D51">
              <w:t xml:space="preserve">Entities that have validly elected under a state’s so-called pass-through entity tax (PTET) law to become taxable by the state at the entity level, are not considered partnerships for this purpose, and are not subject to this act nor are their owners in their capacity as such,” </w:t>
            </w:r>
            <w:r>
              <w:t xml:space="preserve"> . . . </w:t>
            </w:r>
            <w:r w:rsidRPr="00F64D51">
              <w:t xml:space="preserve"> </w:t>
            </w:r>
          </w:p>
        </w:tc>
      </w:tr>
      <w:tr w:rsidR="00DD5018" w14:paraId="214798C6" w14:textId="77777777" w:rsidTr="00F60695">
        <w:tc>
          <w:tcPr>
            <w:tcW w:w="2619" w:type="dxa"/>
          </w:tcPr>
          <w:p w14:paraId="2F51F53C" w14:textId="77777777" w:rsidR="00DD5018" w:rsidRPr="008D0774" w:rsidRDefault="00DD5018">
            <w:pPr>
              <w:spacing w:before="120" w:after="120"/>
              <w:rPr>
                <w:b/>
                <w:bCs/>
              </w:rPr>
            </w:pPr>
            <w:r w:rsidRPr="008D0774">
              <w:rPr>
                <w:b/>
                <w:bCs/>
              </w:rPr>
              <w:t xml:space="preserve">Response: </w:t>
            </w:r>
          </w:p>
        </w:tc>
        <w:tc>
          <w:tcPr>
            <w:tcW w:w="8986" w:type="dxa"/>
            <w:gridSpan w:val="2"/>
          </w:tcPr>
          <w:p w14:paraId="7639C500" w14:textId="4941DE14" w:rsidR="00DD5018" w:rsidRDefault="00DD5018">
            <w:pPr>
              <w:spacing w:before="120" w:after="120"/>
            </w:pPr>
            <w:r>
              <w:t xml:space="preserve">We cannot exclude </w:t>
            </w:r>
            <w:r w:rsidR="00D67C7A">
              <w:t>PTEs from</w:t>
            </w:r>
            <w:r>
              <w:t xml:space="preserve"> being treated as partnerships subject to the provisions here. States that allow taxes to be paid at the entity level also generally require the partners to continue to determine their share of partnership income, and source it properly, in order to determine their tax and to obtain the credit for taxes paid at the entity level, as well as credits for taxes paid by residents to other states.</w:t>
            </w:r>
          </w:p>
        </w:tc>
      </w:tr>
      <w:tr w:rsidR="00DD5018" w14:paraId="28CCB9A9" w14:textId="77777777" w:rsidTr="00F60695">
        <w:tc>
          <w:tcPr>
            <w:tcW w:w="11605" w:type="dxa"/>
            <w:gridSpan w:val="3"/>
            <w:shd w:val="clear" w:color="auto" w:fill="ADADAD" w:themeFill="background2" w:themeFillShade="BF"/>
          </w:tcPr>
          <w:p w14:paraId="52BC9C80" w14:textId="4907373E" w:rsidR="00DD5018" w:rsidRPr="00FC4422" w:rsidRDefault="00DD5018" w:rsidP="00F60695">
            <w:pPr>
              <w:spacing w:before="120"/>
              <w:jc w:val="center"/>
              <w:rPr>
                <w:b/>
                <w:bCs/>
              </w:rPr>
            </w:pPr>
            <w:r w:rsidRPr="00FC4422">
              <w:rPr>
                <w:b/>
                <w:bCs/>
              </w:rPr>
              <w:lastRenderedPageBreak/>
              <w:t>Comments on Blending – When and How</w:t>
            </w:r>
          </w:p>
        </w:tc>
      </w:tr>
      <w:tr w:rsidR="00DD5018" w14:paraId="30EFF7B2" w14:textId="77777777" w:rsidTr="00F60695">
        <w:tc>
          <w:tcPr>
            <w:tcW w:w="2756" w:type="dxa"/>
            <w:gridSpan w:val="2"/>
            <w:shd w:val="clear" w:color="auto" w:fill="E2E2E2"/>
          </w:tcPr>
          <w:p w14:paraId="3230FEBC" w14:textId="77777777" w:rsidR="00545149" w:rsidRDefault="00DD5018">
            <w:pPr>
              <w:spacing w:before="120" w:after="120"/>
              <w:rPr>
                <w:b/>
                <w:bCs/>
              </w:rPr>
            </w:pPr>
            <w:r w:rsidRPr="008D0774">
              <w:rPr>
                <w:b/>
                <w:bCs/>
              </w:rPr>
              <w:t xml:space="preserve">Comment: </w:t>
            </w:r>
          </w:p>
          <w:p w14:paraId="50FB5618" w14:textId="0E356A05" w:rsidR="00DD5018" w:rsidRPr="008D0774" w:rsidRDefault="00DD5018">
            <w:pPr>
              <w:spacing w:before="120" w:after="120"/>
              <w:rPr>
                <w:b/>
                <w:bCs/>
              </w:rPr>
            </w:pPr>
            <w:r w:rsidRPr="008D0774">
              <w:rPr>
                <w:b/>
                <w:bCs/>
              </w:rPr>
              <w:t>Application of the Unitary Business Principle</w:t>
            </w:r>
          </w:p>
        </w:tc>
        <w:tc>
          <w:tcPr>
            <w:tcW w:w="8849" w:type="dxa"/>
            <w:shd w:val="clear" w:color="auto" w:fill="E2E2E2"/>
          </w:tcPr>
          <w:p w14:paraId="5522BE6B" w14:textId="77777777" w:rsidR="00DD5018" w:rsidRDefault="00DD5018">
            <w:pPr>
              <w:spacing w:before="120" w:after="120"/>
            </w:pPr>
            <w:r>
              <w:t xml:space="preserve">The AICPA asked that the model “apply the unitary business principle to partnership income sourcing” and </w:t>
            </w:r>
            <w:r w:rsidRPr="00CC43BE">
              <w:t>recommends that it be confirmed in both the MTC white paper and commentary to the model provisions that the unitary business principle (UBP) applies to partnership income sourcing.</w:t>
            </w:r>
            <w:r>
              <w:t xml:space="preserve"> (See also specific recommendation as to the language to be substituted, discussed below.)</w:t>
            </w:r>
          </w:p>
        </w:tc>
      </w:tr>
      <w:tr w:rsidR="00DD5018" w14:paraId="4A3AD28C" w14:textId="77777777" w:rsidTr="00F60695">
        <w:tc>
          <w:tcPr>
            <w:tcW w:w="2756" w:type="dxa"/>
            <w:gridSpan w:val="2"/>
          </w:tcPr>
          <w:p w14:paraId="00FE45EE" w14:textId="77777777" w:rsidR="00DD5018" w:rsidRPr="008D0774" w:rsidRDefault="00DD5018">
            <w:pPr>
              <w:spacing w:before="120" w:after="120"/>
              <w:rPr>
                <w:b/>
                <w:bCs/>
              </w:rPr>
            </w:pPr>
            <w:r w:rsidRPr="008D0774">
              <w:rPr>
                <w:b/>
                <w:bCs/>
              </w:rPr>
              <w:t xml:space="preserve">Response: </w:t>
            </w:r>
          </w:p>
        </w:tc>
        <w:tc>
          <w:tcPr>
            <w:tcW w:w="8849" w:type="dxa"/>
          </w:tcPr>
          <w:p w14:paraId="224B9FB6" w14:textId="6707BE6B" w:rsidR="00DD5018" w:rsidRDefault="00DD5018" w:rsidP="00545149">
            <w:pPr>
              <w:spacing w:before="120" w:after="120"/>
            </w:pPr>
            <w:r>
              <w:t>Certain clarifying changes to the language were made. But note—as the work group has discussed, the application of the UBP to the state sourcing of distributive share income attributed by a partnership to a partner has never been addressed by the U.S. Supreme Court and there is uncertainty both because of the attribution principle and important differences between corporations and partnerships.</w:t>
            </w:r>
            <w:r w:rsidR="00545149">
              <w:t xml:space="preserve"> </w:t>
            </w:r>
            <w:r>
              <w:t>Also, the model does set out criteria for when partners and partnerships will have a sufficient unitary relationship. These criteria are similar to the long-standing criteria applied to entities as well as businesses and their assets.</w:t>
            </w:r>
          </w:p>
        </w:tc>
      </w:tr>
      <w:tr w:rsidR="00DD5018" w14:paraId="113FEDE9" w14:textId="77777777" w:rsidTr="00F60695">
        <w:tc>
          <w:tcPr>
            <w:tcW w:w="2756" w:type="dxa"/>
            <w:gridSpan w:val="2"/>
            <w:shd w:val="clear" w:color="auto" w:fill="E2E2E2"/>
          </w:tcPr>
          <w:p w14:paraId="4DAC1EFF" w14:textId="77777777" w:rsidR="00DD5018" w:rsidRPr="008D0774" w:rsidRDefault="00DD5018">
            <w:pPr>
              <w:spacing w:before="120" w:after="120"/>
              <w:rPr>
                <w:b/>
                <w:bCs/>
              </w:rPr>
            </w:pPr>
            <w:r w:rsidRPr="008D0774">
              <w:rPr>
                <w:b/>
                <w:bCs/>
              </w:rPr>
              <w:t>Comment:</w:t>
            </w:r>
          </w:p>
          <w:p w14:paraId="5F2E0A2E" w14:textId="77777777" w:rsidR="00DD5018" w:rsidRPr="008D0774" w:rsidRDefault="00DD5018">
            <w:pPr>
              <w:spacing w:before="120" w:after="120"/>
              <w:rPr>
                <w:b/>
                <w:bCs/>
              </w:rPr>
            </w:pPr>
            <w:r w:rsidRPr="008D0774">
              <w:rPr>
                <w:b/>
                <w:bCs/>
              </w:rPr>
              <w:t xml:space="preserve">Include reference to </w:t>
            </w:r>
            <w:r w:rsidRPr="008D0774">
              <w:rPr>
                <w:b/>
                <w:bCs/>
                <w:i/>
                <w:iCs/>
              </w:rPr>
              <w:t>Rawat</w:t>
            </w:r>
            <w:r w:rsidRPr="008D0774">
              <w:rPr>
                <w:b/>
                <w:bCs/>
              </w:rPr>
              <w:t xml:space="preserve"> decision.</w:t>
            </w:r>
          </w:p>
        </w:tc>
        <w:tc>
          <w:tcPr>
            <w:tcW w:w="8849" w:type="dxa"/>
            <w:shd w:val="clear" w:color="auto" w:fill="E2E2E2"/>
          </w:tcPr>
          <w:p w14:paraId="044975FC" w14:textId="77777777" w:rsidR="00DD5018" w:rsidRDefault="00DD5018">
            <w:pPr>
              <w:spacing w:before="120" w:after="120"/>
            </w:pPr>
            <w:r>
              <w:t xml:space="preserve">The AICPA asked that the model </w:t>
            </w:r>
            <w:r w:rsidRPr="00CC43BE">
              <w:t xml:space="preserve">Include the decision in </w:t>
            </w:r>
            <w:r w:rsidRPr="004428C2">
              <w:rPr>
                <w:i/>
                <w:iCs/>
              </w:rPr>
              <w:t>Rawat v. Comm’r</w:t>
            </w:r>
            <w:r w:rsidRPr="00CC43BE">
              <w:t xml:space="preserve"> with section 751 in the model provision regarding the appropriate law for determining the character of a partner’s gain on disposition of their interest in the partnership</w:t>
            </w:r>
            <w:r>
              <w:t>.</w:t>
            </w:r>
          </w:p>
        </w:tc>
      </w:tr>
      <w:tr w:rsidR="00DD5018" w14:paraId="1DE57859" w14:textId="77777777" w:rsidTr="00F60695">
        <w:tc>
          <w:tcPr>
            <w:tcW w:w="2756" w:type="dxa"/>
            <w:gridSpan w:val="2"/>
          </w:tcPr>
          <w:p w14:paraId="5C96C14F" w14:textId="77777777" w:rsidR="00DD5018" w:rsidRPr="008D0774" w:rsidRDefault="00DD5018">
            <w:pPr>
              <w:spacing w:before="120" w:after="120"/>
              <w:rPr>
                <w:b/>
                <w:bCs/>
              </w:rPr>
            </w:pPr>
            <w:r w:rsidRPr="008D0774">
              <w:rPr>
                <w:b/>
                <w:bCs/>
              </w:rPr>
              <w:t>Response:</w:t>
            </w:r>
          </w:p>
        </w:tc>
        <w:tc>
          <w:tcPr>
            <w:tcW w:w="8849" w:type="dxa"/>
          </w:tcPr>
          <w:p w14:paraId="1E82E059" w14:textId="77777777" w:rsidR="00DD5018" w:rsidRDefault="00DD5018">
            <w:pPr>
              <w:spacing w:before="120" w:after="120"/>
            </w:pPr>
            <w:r>
              <w:t xml:space="preserve">The model provisions do not address the sourcing of a partner’s gain from the sale of a partnership interest. Therefore, this recommendation would be inappropriate. </w:t>
            </w:r>
          </w:p>
        </w:tc>
      </w:tr>
      <w:tr w:rsidR="00DD5018" w14:paraId="65752F47" w14:textId="77777777" w:rsidTr="00F60695">
        <w:tc>
          <w:tcPr>
            <w:tcW w:w="2756" w:type="dxa"/>
            <w:gridSpan w:val="2"/>
            <w:shd w:val="clear" w:color="auto" w:fill="E2E2E2"/>
          </w:tcPr>
          <w:p w14:paraId="0746A2C9" w14:textId="77777777" w:rsidR="00DD5018" w:rsidRPr="008D0774" w:rsidRDefault="00DD5018">
            <w:pPr>
              <w:spacing w:before="120" w:after="120"/>
              <w:rPr>
                <w:b/>
                <w:bCs/>
              </w:rPr>
            </w:pPr>
            <w:r w:rsidRPr="008D0774">
              <w:rPr>
                <w:b/>
                <w:bCs/>
              </w:rPr>
              <w:t xml:space="preserve">Comment: </w:t>
            </w:r>
          </w:p>
          <w:p w14:paraId="3BDFB231" w14:textId="77777777" w:rsidR="00DD5018" w:rsidRPr="008D0774" w:rsidRDefault="00DD5018">
            <w:pPr>
              <w:spacing w:before="120" w:after="120"/>
              <w:rPr>
                <w:b/>
                <w:bCs/>
              </w:rPr>
            </w:pPr>
            <w:r w:rsidRPr="008D0774">
              <w:rPr>
                <w:b/>
                <w:bCs/>
              </w:rPr>
              <w:t xml:space="preserve">Specify that corporate sourcing rules are used. </w:t>
            </w:r>
          </w:p>
        </w:tc>
        <w:tc>
          <w:tcPr>
            <w:tcW w:w="8849" w:type="dxa"/>
            <w:shd w:val="clear" w:color="auto" w:fill="E2E2E2"/>
          </w:tcPr>
          <w:p w14:paraId="0FC3CBFC" w14:textId="77777777" w:rsidR="00DD5018" w:rsidRDefault="00DD5018">
            <w:pPr>
              <w:spacing w:before="120" w:after="120"/>
            </w:pPr>
            <w:r w:rsidRPr="00843F56">
              <w:t>Clarify the applicable sourcing rules for partnership income</w:t>
            </w:r>
            <w:r>
              <w:t>. The comment notes: “</w:t>
            </w:r>
            <w:r w:rsidRPr="00843F56">
              <w:t>Many states apply corporate sourcing rules when determining the sourcing of partnership income, even when the partners are individuals, recognizing that partnerships frequently operate as business entities rather than pass-throughs of passive investment income. Explicitly identifying the applicable sourcing regime as the corporate sourcing rules would promote uniformity, reduce the risk of inconsistent application across states, and simplify compliance for partnerships responsible for computing nonresident and composite tax. This approach illustrates the importance of clear statutory rules, along with a corresponding repeal of inconsistent sourcing rules in the existing state statutes and/or regulations.</w:t>
            </w:r>
            <w:r>
              <w:t xml:space="preserve">” </w:t>
            </w:r>
          </w:p>
        </w:tc>
      </w:tr>
    </w:tbl>
    <w:p w14:paraId="089A801E" w14:textId="77777777" w:rsidR="00EE7736" w:rsidRDefault="00EE7736">
      <w:r>
        <w:br w:type="page"/>
      </w:r>
    </w:p>
    <w:tbl>
      <w:tblPr>
        <w:tblStyle w:val="TableGrid"/>
        <w:tblW w:w="0" w:type="auto"/>
        <w:tblInd w:w="-95" w:type="dxa"/>
        <w:tblLook w:val="04A0" w:firstRow="1" w:lastRow="0" w:firstColumn="1" w:lastColumn="0" w:noHBand="0" w:noVBand="1"/>
      </w:tblPr>
      <w:tblGrid>
        <w:gridCol w:w="2752"/>
        <w:gridCol w:w="8853"/>
      </w:tblGrid>
      <w:tr w:rsidR="00DD5018" w14:paraId="28ABDAFB" w14:textId="77777777" w:rsidTr="00EE7736">
        <w:tc>
          <w:tcPr>
            <w:tcW w:w="2970" w:type="dxa"/>
          </w:tcPr>
          <w:p w14:paraId="5BA3A17D" w14:textId="0034E74F" w:rsidR="00DD5018" w:rsidRPr="008D0774" w:rsidRDefault="00DD5018">
            <w:pPr>
              <w:spacing w:before="120" w:after="120"/>
              <w:rPr>
                <w:b/>
                <w:bCs/>
              </w:rPr>
            </w:pPr>
            <w:r w:rsidRPr="008D0774">
              <w:rPr>
                <w:b/>
                <w:bCs/>
              </w:rPr>
              <w:lastRenderedPageBreak/>
              <w:t>Response:</w:t>
            </w:r>
          </w:p>
        </w:tc>
        <w:tc>
          <w:tcPr>
            <w:tcW w:w="9990" w:type="dxa"/>
          </w:tcPr>
          <w:p w14:paraId="1CF61C64" w14:textId="2C3F3B93" w:rsidR="00DD5018" w:rsidRDefault="00DD5018" w:rsidP="000F47AE">
            <w:pPr>
              <w:spacing w:before="120" w:after="120"/>
            </w:pPr>
            <w:r>
              <w:t>This comment appears addressed to a small minority of states or issues where there is a substantial difference in how individuals and corporations would source business income. It appears that the AICPA is correct in asserting that it would increase uniformity and consistency, including consistency in the treatment of entity-level taxes, for states to apply the same sourcing rules (presumably those that would apply to the income of corporations).</w:t>
            </w:r>
            <w:r w:rsidR="000F47AE">
              <w:t xml:space="preserve"> </w:t>
            </w:r>
            <w:r>
              <w:t xml:space="preserve">Therefore, we have included a drafter’s note in Part III to this effect.    </w:t>
            </w:r>
          </w:p>
        </w:tc>
      </w:tr>
      <w:tr w:rsidR="00DD5018" w14:paraId="459B078E" w14:textId="77777777" w:rsidTr="00EE7736">
        <w:tc>
          <w:tcPr>
            <w:tcW w:w="2970" w:type="dxa"/>
            <w:shd w:val="clear" w:color="auto" w:fill="E2E2E2"/>
          </w:tcPr>
          <w:p w14:paraId="63FCA0EE" w14:textId="77777777" w:rsidR="00DD5018" w:rsidRPr="008D0774" w:rsidRDefault="00DD5018">
            <w:pPr>
              <w:spacing w:before="120" w:after="120"/>
              <w:rPr>
                <w:b/>
                <w:bCs/>
              </w:rPr>
            </w:pPr>
            <w:r w:rsidRPr="008D0774">
              <w:rPr>
                <w:b/>
                <w:bCs/>
              </w:rPr>
              <w:t>Comment:</w:t>
            </w:r>
          </w:p>
          <w:p w14:paraId="6DB6AAD1" w14:textId="77777777" w:rsidR="00DD5018" w:rsidRPr="008D0774" w:rsidRDefault="00DD5018">
            <w:pPr>
              <w:spacing w:before="120" w:after="120"/>
              <w:rPr>
                <w:b/>
                <w:bCs/>
              </w:rPr>
            </w:pPr>
            <w:r w:rsidRPr="008D0774">
              <w:rPr>
                <w:b/>
                <w:bCs/>
              </w:rPr>
              <w:t>Avoid duplicative inclusion of guaranteed payments.</w:t>
            </w:r>
          </w:p>
        </w:tc>
        <w:tc>
          <w:tcPr>
            <w:tcW w:w="9990" w:type="dxa"/>
            <w:shd w:val="clear" w:color="auto" w:fill="E2E2E2"/>
          </w:tcPr>
          <w:p w14:paraId="20EAB45E" w14:textId="77777777" w:rsidR="00E6591D" w:rsidRDefault="00DD5018">
            <w:pPr>
              <w:spacing w:before="120" w:after="120"/>
            </w:pPr>
            <w:r w:rsidRPr="00FC5990">
              <w:t xml:space="preserve">“Sourcing of Guaranteed Payments for Services and Additional Credit for Taxes Paid to Other States” (Page 15) 1. Modify “Part I: State Sourcing and Taxation of Certain Guaranteed Payments” </w:t>
            </w:r>
          </w:p>
          <w:p w14:paraId="13C40465" w14:textId="7E3A62BC" w:rsidR="00DD5018" w:rsidRDefault="00DD5018">
            <w:pPr>
              <w:spacing w:before="120" w:after="120"/>
            </w:pPr>
            <w:r w:rsidRPr="00FC5990">
              <w:t>A. Avoid double counting of guaranteed payments. The model provisions do not specifically address the risk of double counting guaranteed payments, an</w:t>
            </w:r>
            <w:r>
              <w:t xml:space="preserve"> omission that can lead to a common and significant sourcing error. Without explicit guidance, guaranteed payments may be inadvertently included both in the partnership’s apportionable business income and again as separately sourced income to the partner, resulting in duplicative treatment of the same income. Recommendation The AICPA recommends that the model provisions include explicit language addressing the sourcing of guaranteed payments to avoid double counting and taxing of guaranteed payments.</w:t>
            </w:r>
          </w:p>
          <w:p w14:paraId="5183BA9D" w14:textId="7F0F7A77" w:rsidR="00DD5018" w:rsidRDefault="00DD5018">
            <w:pPr>
              <w:spacing w:before="120" w:after="120"/>
            </w:pPr>
            <w:r>
              <w:t>Guaranteed payments should be excluded from ordinary business income before distributive shares are determined, ensuring that the same income is not included both in the partnership’s apportioned business income and again as a separately sourced payment. The guaranteed</w:t>
            </w:r>
            <w:r w:rsidR="00B43C7E">
              <w:t xml:space="preserve"> </w:t>
            </w:r>
            <w:r>
              <w:t xml:space="preserve">payments can then be sourced independently using the partnership’s apportionment factor. </w:t>
            </w:r>
          </w:p>
        </w:tc>
      </w:tr>
      <w:tr w:rsidR="00DD5018" w14:paraId="0BC61274" w14:textId="77777777" w:rsidTr="00EE7736">
        <w:tc>
          <w:tcPr>
            <w:tcW w:w="2970" w:type="dxa"/>
          </w:tcPr>
          <w:p w14:paraId="677DA95A" w14:textId="77777777" w:rsidR="00DD5018" w:rsidRPr="008D0774" w:rsidRDefault="00DD5018">
            <w:pPr>
              <w:spacing w:before="120" w:after="120"/>
              <w:rPr>
                <w:b/>
                <w:bCs/>
              </w:rPr>
            </w:pPr>
            <w:r w:rsidRPr="008D0774">
              <w:rPr>
                <w:b/>
                <w:bCs/>
              </w:rPr>
              <w:t>Response:</w:t>
            </w:r>
          </w:p>
        </w:tc>
        <w:tc>
          <w:tcPr>
            <w:tcW w:w="9990" w:type="dxa"/>
          </w:tcPr>
          <w:p w14:paraId="5C4BD34D" w14:textId="77777777" w:rsidR="00E6591D" w:rsidRDefault="00DD5018">
            <w:pPr>
              <w:spacing w:before="120" w:after="120"/>
            </w:pPr>
            <w:r>
              <w:t xml:space="preserve">The special rule for sourcing guaranteed payments set out in the draft model rules addresses the sourcing of guaranteed payments for services to individuals and is intended to bring uniformity to an area where states use two different rules. It does not appear that the approach recommended in the model would lead to double-counting of guaranteed payments. It appears that this issue is raised in the context of PTE filing, otherwise, it would not be possible for the guaranteed payment to be “included both in the partnership’s apportionable business income and again separately sourced income to the partner.” </w:t>
            </w:r>
          </w:p>
          <w:p w14:paraId="7CD971EF" w14:textId="61F70370" w:rsidR="00DD5018" w:rsidRDefault="00DD5018">
            <w:pPr>
              <w:spacing w:before="120" w:after="120"/>
            </w:pPr>
            <w:r>
              <w:t xml:space="preserve">We agree that this could happen under the PTE context. But the provision here is not directed at PTE tax reporting, but at the reporting of tax on a pass-through basis. </w:t>
            </w:r>
            <w:r>
              <w:lastRenderedPageBreak/>
              <w:t xml:space="preserve">Nevertheless, we can add a drafter’s note to the section to make the point that what the partner would do is take the partnership’s apportionment formula and apply that formula to both the partner’s distributive share income and the partner’s guaranteed payments. </w:t>
            </w:r>
          </w:p>
          <w:p w14:paraId="3E0CCA9F" w14:textId="6B14F721" w:rsidR="00DD5018" w:rsidRDefault="00DD5018">
            <w:pPr>
              <w:spacing w:before="120" w:after="120"/>
            </w:pPr>
            <w:r>
              <w:t>There is a separate, but related need to clarify the sourcing rules for tiered and corporate partners, however. We have added language there to address the treatment of guaranteed payments.</w:t>
            </w:r>
          </w:p>
        </w:tc>
      </w:tr>
    </w:tbl>
    <w:p w14:paraId="12565B15" w14:textId="77777777" w:rsidR="00D65959" w:rsidRDefault="00D65959" w:rsidP="004E6C25">
      <w:pPr>
        <w:ind w:right="2880"/>
      </w:pPr>
    </w:p>
    <w:sectPr w:rsidR="00D65959" w:rsidSect="00C2609D">
      <w:pgSz w:w="15840" w:h="12240" w:orient="landscape" w:code="1"/>
      <w:pgMar w:top="432" w:right="2160" w:bottom="720" w:left="216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864A8" w14:textId="77777777" w:rsidR="00F73286" w:rsidRDefault="00F73286" w:rsidP="005B64B9">
      <w:pPr>
        <w:spacing w:after="0" w:line="240" w:lineRule="auto"/>
      </w:pPr>
      <w:r>
        <w:separator/>
      </w:r>
    </w:p>
  </w:endnote>
  <w:endnote w:type="continuationSeparator" w:id="0">
    <w:p w14:paraId="7CEB8E59" w14:textId="77777777" w:rsidR="00F73286" w:rsidRDefault="00F73286" w:rsidP="005B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erpetua">
    <w:altName w:val="Cambria"/>
    <w:panose1 w:val="02020502060401020303"/>
    <w:charset w:val="00"/>
    <w:family w:val="roman"/>
    <w:pitch w:val="variable"/>
    <w:sig w:usb0="00000003" w:usb1="00000000" w:usb2="00000000" w:usb3="00000000" w:csb0="00000001" w:csb1="00000000"/>
  </w:font>
  <w:font w:name="Leelawadee">
    <w:panose1 w:val="020B0502040204020203"/>
    <w:charset w:val="00"/>
    <w:family w:val="swiss"/>
    <w:pitch w:val="variable"/>
    <w:sig w:usb0="0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A13F" w14:textId="6CFB8DF4" w:rsidR="00E14CBB" w:rsidRPr="009F5C9B" w:rsidRDefault="005B5900">
    <w:pPr>
      <w:pStyle w:val="Footer"/>
      <w:rPr>
        <w:sz w:val="20"/>
        <w:szCs w:val="18"/>
      </w:rPr>
    </w:pPr>
    <w:r w:rsidRPr="009F5C9B">
      <w:rPr>
        <w:sz w:val="20"/>
        <w:szCs w:val="18"/>
      </w:rPr>
      <w:t>MTC Draft Combined Model Partnership Provisions – Working Copy</w:t>
    </w:r>
    <w:r w:rsidR="009F5C9B" w:rsidRPr="009F5C9B">
      <w:rPr>
        <w:sz w:val="20"/>
        <w:szCs w:val="18"/>
      </w:rPr>
      <w:t xml:space="preserve"> </w:t>
    </w:r>
    <w:r w:rsidR="00106976">
      <w:rPr>
        <w:sz w:val="20"/>
        <w:szCs w:val="18"/>
      </w:rPr>
      <w:t xml:space="preserve">– September 15, 2026 </w:t>
    </w:r>
    <w:r w:rsidR="009F5C9B" w:rsidRPr="009F5C9B">
      <w:rPr>
        <w:sz w:val="20"/>
        <w:szCs w:val="18"/>
      </w:rPr>
      <w:t xml:space="preserve">– Page </w:t>
    </w:r>
    <w:r w:rsidR="009F5C9B" w:rsidRPr="009F5C9B">
      <w:rPr>
        <w:sz w:val="20"/>
        <w:szCs w:val="18"/>
      </w:rPr>
      <w:fldChar w:fldCharType="begin"/>
    </w:r>
    <w:r w:rsidR="009F5C9B" w:rsidRPr="009F5C9B">
      <w:rPr>
        <w:sz w:val="20"/>
        <w:szCs w:val="18"/>
      </w:rPr>
      <w:instrText xml:space="preserve"> PAGE   \* MERGEFORMAT </w:instrText>
    </w:r>
    <w:r w:rsidR="009F5C9B" w:rsidRPr="009F5C9B">
      <w:rPr>
        <w:sz w:val="20"/>
        <w:szCs w:val="18"/>
      </w:rPr>
      <w:fldChar w:fldCharType="separate"/>
    </w:r>
    <w:r w:rsidR="009F5C9B" w:rsidRPr="009F5C9B">
      <w:rPr>
        <w:noProof/>
        <w:sz w:val="20"/>
        <w:szCs w:val="18"/>
      </w:rPr>
      <w:t>1</w:t>
    </w:r>
    <w:r w:rsidR="009F5C9B" w:rsidRPr="009F5C9B">
      <w:rPr>
        <w:noProof/>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27CE9" w14:textId="77777777" w:rsidR="00F73286" w:rsidRDefault="00F73286" w:rsidP="005B64B9">
      <w:pPr>
        <w:spacing w:after="0" w:line="240" w:lineRule="auto"/>
      </w:pPr>
      <w:r>
        <w:separator/>
      </w:r>
    </w:p>
  </w:footnote>
  <w:footnote w:type="continuationSeparator" w:id="0">
    <w:p w14:paraId="350C2996" w14:textId="77777777" w:rsidR="00F73286" w:rsidRDefault="00F73286" w:rsidP="005B64B9">
      <w:pPr>
        <w:spacing w:after="0" w:line="240" w:lineRule="auto"/>
      </w:pPr>
      <w:r>
        <w:continuationSeparator/>
      </w:r>
    </w:p>
  </w:footnote>
  <w:footnote w:id="1">
    <w:p w14:paraId="523536A2" w14:textId="77777777" w:rsidR="00DD5018" w:rsidRDefault="00DD5018" w:rsidP="00DD5018">
      <w:pPr>
        <w:pStyle w:val="FootnoteText"/>
      </w:pPr>
      <w:r>
        <w:rPr>
          <w:rStyle w:val="FootnoteReference"/>
        </w:rPr>
        <w:footnoteRef/>
      </w:r>
      <w:r>
        <w:t xml:space="preserve"> See for example the Uniform Law Commission Uniform Partnership Act-1997 (updated as of 2013), Sec. 408. Rights to Information of Partners and Persons Dissociated as Partner. available here:  ttps://www.uniformlaws.org/viewdocument/final-act-98?CommunityKey=52456941-7883-47a5-91b6-d2f086d0bb44&amp;tab=librarydocuments. </w:t>
      </w:r>
    </w:p>
  </w:footnote>
  <w:footnote w:id="2">
    <w:p w14:paraId="5E7DC150" w14:textId="77777777" w:rsidR="00DD5018" w:rsidRDefault="00DD5018" w:rsidP="00DD5018">
      <w:pPr>
        <w:pStyle w:val="FootnoteText"/>
      </w:pPr>
      <w:r>
        <w:rPr>
          <w:rStyle w:val="FootnoteReference"/>
        </w:rPr>
        <w:footnoteRef/>
      </w:r>
      <w:r>
        <w:t xml:space="preserve"> Id.</w:t>
      </w:r>
    </w:p>
  </w:footnote>
  <w:footnote w:id="3">
    <w:p w14:paraId="196DF973" w14:textId="77777777" w:rsidR="00DD5018" w:rsidRDefault="00DD5018" w:rsidP="00DD5018">
      <w:pPr>
        <w:pStyle w:val="FootnoteText"/>
      </w:pPr>
      <w:r>
        <w:rPr>
          <w:rStyle w:val="FootnoteReference"/>
        </w:rPr>
        <w:footnoteRef/>
      </w:r>
      <w:r>
        <w:t xml:space="preserve"> See IRC Subchapter K to which most states conform.</w:t>
      </w:r>
    </w:p>
  </w:footnote>
  <w:footnote w:id="4">
    <w:p w14:paraId="2B076D05" w14:textId="77777777" w:rsidR="00DD5018" w:rsidRDefault="00DD5018" w:rsidP="00DD5018">
      <w:pPr>
        <w:pStyle w:val="FootnoteText"/>
      </w:pPr>
      <w:r>
        <w:rPr>
          <w:rStyle w:val="FootnoteReference"/>
        </w:rPr>
        <w:footnoteRef/>
      </w:r>
      <w:r>
        <w:t xml:space="preserve"> See IRC §6031. </w:t>
      </w:r>
    </w:p>
  </w:footnote>
  <w:footnote w:id="5">
    <w:p w14:paraId="56EE3427" w14:textId="77777777" w:rsidR="00DD5018" w:rsidRDefault="00DD5018" w:rsidP="00DD5018">
      <w:pPr>
        <w:pStyle w:val="FootnoteText"/>
      </w:pPr>
      <w:r>
        <w:rPr>
          <w:rStyle w:val="FootnoteReference"/>
        </w:rPr>
        <w:footnoteRef/>
      </w:r>
      <w:r>
        <w:t xml:space="preserve"> See Reg. §6031(a)-1. </w:t>
      </w:r>
    </w:p>
  </w:footnote>
  <w:footnote w:id="6">
    <w:p w14:paraId="0B53A61F" w14:textId="77777777" w:rsidR="00DD5018" w:rsidRDefault="00DD5018" w:rsidP="00DD5018">
      <w:pPr>
        <w:pStyle w:val="FootnoteText"/>
      </w:pPr>
      <w:r>
        <w:rPr>
          <w:rStyle w:val="FootnoteReference"/>
        </w:rPr>
        <w:footnoteRef/>
      </w:r>
      <w:r>
        <w:t xml:space="preserve"> See IRS Form 1065 and Schedule K-1 and instructions. </w:t>
      </w:r>
    </w:p>
  </w:footnote>
  <w:footnote w:id="7">
    <w:p w14:paraId="2318A098" w14:textId="77777777" w:rsidR="00DD5018" w:rsidRPr="00F8101B" w:rsidRDefault="00DD5018" w:rsidP="00DD5018">
      <w:pPr>
        <w:pStyle w:val="FootnoteText"/>
      </w:pPr>
      <w:r>
        <w:rPr>
          <w:rStyle w:val="FootnoteReference"/>
        </w:rPr>
        <w:footnoteRef/>
      </w:r>
      <w:r>
        <w:t xml:space="preserve"> See IRC §704(b). </w:t>
      </w:r>
    </w:p>
  </w:footnote>
  <w:footnote w:id="8">
    <w:p w14:paraId="02D5BCF1" w14:textId="77777777" w:rsidR="00DD5018" w:rsidRDefault="00DD5018" w:rsidP="00DD5018">
      <w:pPr>
        <w:pStyle w:val="FootnoteText"/>
      </w:pPr>
      <w:r>
        <w:rPr>
          <w:rStyle w:val="FootnoteReference"/>
        </w:rPr>
        <w:footnoteRef/>
      </w:r>
      <w:r>
        <w:t xml:space="preserve"> See Reg. 1.701-1.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DB7"/>
    <w:multiLevelType w:val="hybridMultilevel"/>
    <w:tmpl w:val="A4B0A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D24214"/>
    <w:multiLevelType w:val="hybridMultilevel"/>
    <w:tmpl w:val="623609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F537BE"/>
    <w:multiLevelType w:val="hybridMultilevel"/>
    <w:tmpl w:val="88DCD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93E13"/>
    <w:multiLevelType w:val="hybridMultilevel"/>
    <w:tmpl w:val="3AC04D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632988"/>
    <w:multiLevelType w:val="hybridMultilevel"/>
    <w:tmpl w:val="7794D7E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B34523"/>
    <w:multiLevelType w:val="hybridMultilevel"/>
    <w:tmpl w:val="3A400F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D210D00"/>
    <w:multiLevelType w:val="hybridMultilevel"/>
    <w:tmpl w:val="E1D2F0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1D222F"/>
    <w:multiLevelType w:val="hybridMultilevel"/>
    <w:tmpl w:val="5E729D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7656B5D"/>
    <w:multiLevelType w:val="hybridMultilevel"/>
    <w:tmpl w:val="60BC8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5C3B7C"/>
    <w:multiLevelType w:val="hybridMultilevel"/>
    <w:tmpl w:val="6CEE6EA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FE0240B"/>
    <w:multiLevelType w:val="hybridMultilevel"/>
    <w:tmpl w:val="EDD0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62422E"/>
    <w:multiLevelType w:val="hybridMultilevel"/>
    <w:tmpl w:val="49C472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0787269"/>
    <w:multiLevelType w:val="hybridMultilevel"/>
    <w:tmpl w:val="03981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330AFE"/>
    <w:multiLevelType w:val="hybridMultilevel"/>
    <w:tmpl w:val="B9F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01B63F2"/>
    <w:multiLevelType w:val="hybridMultilevel"/>
    <w:tmpl w:val="FB78E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0037F8"/>
    <w:multiLevelType w:val="hybridMultilevel"/>
    <w:tmpl w:val="A606D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9511D3"/>
    <w:multiLevelType w:val="hybridMultilevel"/>
    <w:tmpl w:val="EABCC4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18276D9"/>
    <w:multiLevelType w:val="hybridMultilevel"/>
    <w:tmpl w:val="49F480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6A9C2F32"/>
    <w:multiLevelType w:val="hybridMultilevel"/>
    <w:tmpl w:val="BD6A2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C91A45"/>
    <w:multiLevelType w:val="hybridMultilevel"/>
    <w:tmpl w:val="241EF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96880"/>
    <w:multiLevelType w:val="hybridMultilevel"/>
    <w:tmpl w:val="7B724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8F51B86"/>
    <w:multiLevelType w:val="hybridMultilevel"/>
    <w:tmpl w:val="3D6E2B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93A7D10"/>
    <w:multiLevelType w:val="hybridMultilevel"/>
    <w:tmpl w:val="4D88EE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B49028C"/>
    <w:multiLevelType w:val="multilevel"/>
    <w:tmpl w:val="4A1C7A96"/>
    <w:styleLink w:val="Good"/>
    <w:lvl w:ilvl="0">
      <w:start w:val="1"/>
      <w:numFmt w:val="upperRoman"/>
      <w:lvlText w:val="%1.  "/>
      <w:lvlJc w:val="left"/>
      <w:pPr>
        <w:ind w:left="936" w:hanging="576"/>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BE1355D"/>
    <w:multiLevelType w:val="hybridMultilevel"/>
    <w:tmpl w:val="BB2C266C"/>
    <w:lvl w:ilvl="0" w:tplc="04090001">
      <w:start w:val="1"/>
      <w:numFmt w:val="bullet"/>
      <w:lvlText w:val=""/>
      <w:lvlJc w:val="left"/>
      <w:pPr>
        <w:ind w:left="760" w:hanging="360"/>
      </w:pPr>
      <w:rPr>
        <w:rFonts w:ascii="Symbol" w:hAnsi="Symbol"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97545803">
    <w:abstractNumId w:val="23"/>
  </w:num>
  <w:num w:numId="2" w16cid:durableId="900944369">
    <w:abstractNumId w:val="13"/>
  </w:num>
  <w:num w:numId="3" w16cid:durableId="291331188">
    <w:abstractNumId w:val="2"/>
  </w:num>
  <w:num w:numId="4" w16cid:durableId="1122305388">
    <w:abstractNumId w:val="17"/>
  </w:num>
  <w:num w:numId="5" w16cid:durableId="692876914">
    <w:abstractNumId w:val="20"/>
  </w:num>
  <w:num w:numId="6" w16cid:durableId="1324549189">
    <w:abstractNumId w:val="0"/>
  </w:num>
  <w:num w:numId="7" w16cid:durableId="919483079">
    <w:abstractNumId w:val="10"/>
  </w:num>
  <w:num w:numId="8" w16cid:durableId="1986085583">
    <w:abstractNumId w:val="14"/>
  </w:num>
  <w:num w:numId="9" w16cid:durableId="2049910786">
    <w:abstractNumId w:val="3"/>
  </w:num>
  <w:num w:numId="10" w16cid:durableId="1429546988">
    <w:abstractNumId w:val="8"/>
  </w:num>
  <w:num w:numId="11" w16cid:durableId="389036080">
    <w:abstractNumId w:val="12"/>
  </w:num>
  <w:num w:numId="12" w16cid:durableId="1053654137">
    <w:abstractNumId w:val="1"/>
  </w:num>
  <w:num w:numId="13" w16cid:durableId="253756343">
    <w:abstractNumId w:val="7"/>
  </w:num>
  <w:num w:numId="14" w16cid:durableId="991984797">
    <w:abstractNumId w:val="16"/>
  </w:num>
  <w:num w:numId="15" w16cid:durableId="355695819">
    <w:abstractNumId w:val="11"/>
  </w:num>
  <w:num w:numId="16" w16cid:durableId="1580288924">
    <w:abstractNumId w:val="15"/>
  </w:num>
  <w:num w:numId="17" w16cid:durableId="1121724447">
    <w:abstractNumId w:val="19"/>
  </w:num>
  <w:num w:numId="18" w16cid:durableId="1589073032">
    <w:abstractNumId w:val="6"/>
  </w:num>
  <w:num w:numId="19" w16cid:durableId="1419403402">
    <w:abstractNumId w:val="18"/>
  </w:num>
  <w:num w:numId="20" w16cid:durableId="1269121441">
    <w:abstractNumId w:val="24"/>
  </w:num>
  <w:num w:numId="21" w16cid:durableId="2084335664">
    <w:abstractNumId w:val="4"/>
  </w:num>
  <w:num w:numId="22" w16cid:durableId="1012872975">
    <w:abstractNumId w:val="22"/>
  </w:num>
  <w:num w:numId="23" w16cid:durableId="597448167">
    <w:abstractNumId w:val="9"/>
  </w:num>
  <w:num w:numId="24" w16cid:durableId="1140540728">
    <w:abstractNumId w:val="5"/>
  </w:num>
  <w:num w:numId="25" w16cid:durableId="2077702120">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BB"/>
    <w:rsid w:val="0000233F"/>
    <w:rsid w:val="0000341C"/>
    <w:rsid w:val="00004332"/>
    <w:rsid w:val="00004DA7"/>
    <w:rsid w:val="00006A21"/>
    <w:rsid w:val="0001178D"/>
    <w:rsid w:val="00011CDA"/>
    <w:rsid w:val="00012046"/>
    <w:rsid w:val="000131EE"/>
    <w:rsid w:val="00013266"/>
    <w:rsid w:val="00016042"/>
    <w:rsid w:val="000160E3"/>
    <w:rsid w:val="000201FD"/>
    <w:rsid w:val="0002046D"/>
    <w:rsid w:val="000218C0"/>
    <w:rsid w:val="0002251F"/>
    <w:rsid w:val="00023C28"/>
    <w:rsid w:val="000261CF"/>
    <w:rsid w:val="000306E2"/>
    <w:rsid w:val="00031B3C"/>
    <w:rsid w:val="00032CB2"/>
    <w:rsid w:val="00032E3D"/>
    <w:rsid w:val="00033CD3"/>
    <w:rsid w:val="00034A53"/>
    <w:rsid w:val="000350FA"/>
    <w:rsid w:val="00035429"/>
    <w:rsid w:val="00040406"/>
    <w:rsid w:val="000410FC"/>
    <w:rsid w:val="0004325D"/>
    <w:rsid w:val="000451C1"/>
    <w:rsid w:val="0004575A"/>
    <w:rsid w:val="000465BA"/>
    <w:rsid w:val="00050084"/>
    <w:rsid w:val="00050A56"/>
    <w:rsid w:val="00051195"/>
    <w:rsid w:val="000513D2"/>
    <w:rsid w:val="000531E0"/>
    <w:rsid w:val="00053D6B"/>
    <w:rsid w:val="0005443F"/>
    <w:rsid w:val="0005673A"/>
    <w:rsid w:val="00060C43"/>
    <w:rsid w:val="00061040"/>
    <w:rsid w:val="00061958"/>
    <w:rsid w:val="00061D11"/>
    <w:rsid w:val="00061DA4"/>
    <w:rsid w:val="0006200D"/>
    <w:rsid w:val="0006262D"/>
    <w:rsid w:val="00062BE3"/>
    <w:rsid w:val="0006406E"/>
    <w:rsid w:val="0006519D"/>
    <w:rsid w:val="000659EE"/>
    <w:rsid w:val="00066740"/>
    <w:rsid w:val="00067003"/>
    <w:rsid w:val="00067C0A"/>
    <w:rsid w:val="0007044C"/>
    <w:rsid w:val="0007381B"/>
    <w:rsid w:val="00073B61"/>
    <w:rsid w:val="00073D74"/>
    <w:rsid w:val="00073FE9"/>
    <w:rsid w:val="00080D8E"/>
    <w:rsid w:val="000815EC"/>
    <w:rsid w:val="00081934"/>
    <w:rsid w:val="00081E7C"/>
    <w:rsid w:val="00082A9D"/>
    <w:rsid w:val="00082FCA"/>
    <w:rsid w:val="000842CF"/>
    <w:rsid w:val="00084D6E"/>
    <w:rsid w:val="00085B58"/>
    <w:rsid w:val="00086BE9"/>
    <w:rsid w:val="00087290"/>
    <w:rsid w:val="00087E28"/>
    <w:rsid w:val="00093D0D"/>
    <w:rsid w:val="00093EC2"/>
    <w:rsid w:val="00097333"/>
    <w:rsid w:val="000A1192"/>
    <w:rsid w:val="000A32AF"/>
    <w:rsid w:val="000A4607"/>
    <w:rsid w:val="000A74DF"/>
    <w:rsid w:val="000B0BA0"/>
    <w:rsid w:val="000B0C47"/>
    <w:rsid w:val="000B1251"/>
    <w:rsid w:val="000B2768"/>
    <w:rsid w:val="000B5848"/>
    <w:rsid w:val="000B6D69"/>
    <w:rsid w:val="000B715E"/>
    <w:rsid w:val="000C1A4C"/>
    <w:rsid w:val="000C1DF8"/>
    <w:rsid w:val="000C3154"/>
    <w:rsid w:val="000C4C93"/>
    <w:rsid w:val="000C7327"/>
    <w:rsid w:val="000C79C4"/>
    <w:rsid w:val="000D0ADA"/>
    <w:rsid w:val="000D0B98"/>
    <w:rsid w:val="000D1171"/>
    <w:rsid w:val="000D323B"/>
    <w:rsid w:val="000D4681"/>
    <w:rsid w:val="000D48BC"/>
    <w:rsid w:val="000D72CC"/>
    <w:rsid w:val="000E02DA"/>
    <w:rsid w:val="000E061B"/>
    <w:rsid w:val="000E0B66"/>
    <w:rsid w:val="000E36E2"/>
    <w:rsid w:val="000E4381"/>
    <w:rsid w:val="000E49BD"/>
    <w:rsid w:val="000E4BEF"/>
    <w:rsid w:val="000E5207"/>
    <w:rsid w:val="000E5676"/>
    <w:rsid w:val="000E5FA1"/>
    <w:rsid w:val="000E68C3"/>
    <w:rsid w:val="000E7BC7"/>
    <w:rsid w:val="000F04E7"/>
    <w:rsid w:val="000F0935"/>
    <w:rsid w:val="000F347E"/>
    <w:rsid w:val="000F47AE"/>
    <w:rsid w:val="000F63B8"/>
    <w:rsid w:val="000F7260"/>
    <w:rsid w:val="000F73BE"/>
    <w:rsid w:val="0010013F"/>
    <w:rsid w:val="001019EF"/>
    <w:rsid w:val="0010281A"/>
    <w:rsid w:val="001043E3"/>
    <w:rsid w:val="0010538C"/>
    <w:rsid w:val="00106976"/>
    <w:rsid w:val="00111E0D"/>
    <w:rsid w:val="0011245E"/>
    <w:rsid w:val="001125FB"/>
    <w:rsid w:val="00112B28"/>
    <w:rsid w:val="001167BA"/>
    <w:rsid w:val="00117461"/>
    <w:rsid w:val="001176A2"/>
    <w:rsid w:val="00117F6A"/>
    <w:rsid w:val="00124953"/>
    <w:rsid w:val="00124B0F"/>
    <w:rsid w:val="0012599D"/>
    <w:rsid w:val="00125DD4"/>
    <w:rsid w:val="00126EF9"/>
    <w:rsid w:val="00127A15"/>
    <w:rsid w:val="00127D55"/>
    <w:rsid w:val="0013149C"/>
    <w:rsid w:val="00131FBD"/>
    <w:rsid w:val="001346E4"/>
    <w:rsid w:val="00134ABA"/>
    <w:rsid w:val="00136D1B"/>
    <w:rsid w:val="00136DF3"/>
    <w:rsid w:val="001401BE"/>
    <w:rsid w:val="00140F55"/>
    <w:rsid w:val="001465AD"/>
    <w:rsid w:val="001472A6"/>
    <w:rsid w:val="00151931"/>
    <w:rsid w:val="00157561"/>
    <w:rsid w:val="001576EB"/>
    <w:rsid w:val="00157C1C"/>
    <w:rsid w:val="00160410"/>
    <w:rsid w:val="001628C8"/>
    <w:rsid w:val="00162E17"/>
    <w:rsid w:val="00164178"/>
    <w:rsid w:val="0016550C"/>
    <w:rsid w:val="00165883"/>
    <w:rsid w:val="00167A85"/>
    <w:rsid w:val="00170E74"/>
    <w:rsid w:val="001716C6"/>
    <w:rsid w:val="00174E80"/>
    <w:rsid w:val="00175015"/>
    <w:rsid w:val="001753CE"/>
    <w:rsid w:val="001821AF"/>
    <w:rsid w:val="001828C1"/>
    <w:rsid w:val="00183509"/>
    <w:rsid w:val="00184416"/>
    <w:rsid w:val="00184817"/>
    <w:rsid w:val="00184F5C"/>
    <w:rsid w:val="00187B6E"/>
    <w:rsid w:val="00187DB5"/>
    <w:rsid w:val="00190F70"/>
    <w:rsid w:val="001918EC"/>
    <w:rsid w:val="00191BFC"/>
    <w:rsid w:val="001934FC"/>
    <w:rsid w:val="0019545A"/>
    <w:rsid w:val="00195472"/>
    <w:rsid w:val="00196461"/>
    <w:rsid w:val="00196CCA"/>
    <w:rsid w:val="00196E11"/>
    <w:rsid w:val="00197A2E"/>
    <w:rsid w:val="001A1346"/>
    <w:rsid w:val="001A13E2"/>
    <w:rsid w:val="001B0446"/>
    <w:rsid w:val="001B0E82"/>
    <w:rsid w:val="001B377A"/>
    <w:rsid w:val="001B3BF2"/>
    <w:rsid w:val="001B40BF"/>
    <w:rsid w:val="001B466F"/>
    <w:rsid w:val="001B67A3"/>
    <w:rsid w:val="001B693B"/>
    <w:rsid w:val="001C0D58"/>
    <w:rsid w:val="001C106C"/>
    <w:rsid w:val="001C34DE"/>
    <w:rsid w:val="001C5010"/>
    <w:rsid w:val="001C6458"/>
    <w:rsid w:val="001C7BEB"/>
    <w:rsid w:val="001D3461"/>
    <w:rsid w:val="001D46A1"/>
    <w:rsid w:val="001E1ABB"/>
    <w:rsid w:val="001E26B1"/>
    <w:rsid w:val="001E531F"/>
    <w:rsid w:val="001E5C22"/>
    <w:rsid w:val="001E5F59"/>
    <w:rsid w:val="001E6015"/>
    <w:rsid w:val="001E7D08"/>
    <w:rsid w:val="001F0001"/>
    <w:rsid w:val="001F0963"/>
    <w:rsid w:val="001F0E40"/>
    <w:rsid w:val="001F1993"/>
    <w:rsid w:val="001F2050"/>
    <w:rsid w:val="001F247B"/>
    <w:rsid w:val="001F27E2"/>
    <w:rsid w:val="001F3709"/>
    <w:rsid w:val="001F7141"/>
    <w:rsid w:val="001F7F02"/>
    <w:rsid w:val="00201484"/>
    <w:rsid w:val="00201C4F"/>
    <w:rsid w:val="0020208E"/>
    <w:rsid w:val="002035F1"/>
    <w:rsid w:val="00203FA4"/>
    <w:rsid w:val="002043FE"/>
    <w:rsid w:val="002046F6"/>
    <w:rsid w:val="002113CB"/>
    <w:rsid w:val="00212502"/>
    <w:rsid w:val="0021445A"/>
    <w:rsid w:val="0021465F"/>
    <w:rsid w:val="00214D67"/>
    <w:rsid w:val="00215A4D"/>
    <w:rsid w:val="00215EA4"/>
    <w:rsid w:val="00215FCA"/>
    <w:rsid w:val="00216E25"/>
    <w:rsid w:val="002203FC"/>
    <w:rsid w:val="00220F8A"/>
    <w:rsid w:val="002217E8"/>
    <w:rsid w:val="00221EEA"/>
    <w:rsid w:val="002220F5"/>
    <w:rsid w:val="00222DF9"/>
    <w:rsid w:val="00223150"/>
    <w:rsid w:val="0022397F"/>
    <w:rsid w:val="00224E96"/>
    <w:rsid w:val="00226316"/>
    <w:rsid w:val="00226D45"/>
    <w:rsid w:val="002279FE"/>
    <w:rsid w:val="00230178"/>
    <w:rsid w:val="002319A8"/>
    <w:rsid w:val="0023385D"/>
    <w:rsid w:val="00241A2E"/>
    <w:rsid w:val="00242776"/>
    <w:rsid w:val="002460E2"/>
    <w:rsid w:val="002501EC"/>
    <w:rsid w:val="00250599"/>
    <w:rsid w:val="002508DD"/>
    <w:rsid w:val="00251002"/>
    <w:rsid w:val="00251325"/>
    <w:rsid w:val="00252552"/>
    <w:rsid w:val="002531CD"/>
    <w:rsid w:val="00254752"/>
    <w:rsid w:val="00254964"/>
    <w:rsid w:val="002554F8"/>
    <w:rsid w:val="0025592E"/>
    <w:rsid w:val="00256F4F"/>
    <w:rsid w:val="00257983"/>
    <w:rsid w:val="002610F7"/>
    <w:rsid w:val="00263087"/>
    <w:rsid w:val="00264E7C"/>
    <w:rsid w:val="00264FB8"/>
    <w:rsid w:val="002667CC"/>
    <w:rsid w:val="002672EE"/>
    <w:rsid w:val="002704BA"/>
    <w:rsid w:val="00271282"/>
    <w:rsid w:val="0027381E"/>
    <w:rsid w:val="002751B1"/>
    <w:rsid w:val="0027677E"/>
    <w:rsid w:val="0027753C"/>
    <w:rsid w:val="00277A09"/>
    <w:rsid w:val="00277B8B"/>
    <w:rsid w:val="00277CA1"/>
    <w:rsid w:val="00280F6C"/>
    <w:rsid w:val="002814A8"/>
    <w:rsid w:val="002829C5"/>
    <w:rsid w:val="0028347B"/>
    <w:rsid w:val="00284978"/>
    <w:rsid w:val="0028547B"/>
    <w:rsid w:val="00286BA9"/>
    <w:rsid w:val="00287AE3"/>
    <w:rsid w:val="00287D65"/>
    <w:rsid w:val="00287DDA"/>
    <w:rsid w:val="00287DE7"/>
    <w:rsid w:val="002914A7"/>
    <w:rsid w:val="002914F9"/>
    <w:rsid w:val="002931A6"/>
    <w:rsid w:val="00295AD2"/>
    <w:rsid w:val="00295C94"/>
    <w:rsid w:val="0029619B"/>
    <w:rsid w:val="002A14F5"/>
    <w:rsid w:val="002A1682"/>
    <w:rsid w:val="002A174D"/>
    <w:rsid w:val="002A3205"/>
    <w:rsid w:val="002A3C20"/>
    <w:rsid w:val="002A478F"/>
    <w:rsid w:val="002A4C32"/>
    <w:rsid w:val="002A54E0"/>
    <w:rsid w:val="002A569F"/>
    <w:rsid w:val="002A5F86"/>
    <w:rsid w:val="002A6C70"/>
    <w:rsid w:val="002B46DD"/>
    <w:rsid w:val="002B5C09"/>
    <w:rsid w:val="002B6A6A"/>
    <w:rsid w:val="002B6C11"/>
    <w:rsid w:val="002B7241"/>
    <w:rsid w:val="002C0B1E"/>
    <w:rsid w:val="002C2834"/>
    <w:rsid w:val="002C358F"/>
    <w:rsid w:val="002C3B1B"/>
    <w:rsid w:val="002C59EA"/>
    <w:rsid w:val="002C7F2A"/>
    <w:rsid w:val="002D03D2"/>
    <w:rsid w:val="002D5911"/>
    <w:rsid w:val="002D5EE1"/>
    <w:rsid w:val="002D7B93"/>
    <w:rsid w:val="002D7C3B"/>
    <w:rsid w:val="002D7D7A"/>
    <w:rsid w:val="002E0BC7"/>
    <w:rsid w:val="002E0FDC"/>
    <w:rsid w:val="002E13A7"/>
    <w:rsid w:val="002E217F"/>
    <w:rsid w:val="002E2277"/>
    <w:rsid w:val="002E3034"/>
    <w:rsid w:val="002E3DAD"/>
    <w:rsid w:val="002E7153"/>
    <w:rsid w:val="002E78E8"/>
    <w:rsid w:val="002F10B0"/>
    <w:rsid w:val="002F1D29"/>
    <w:rsid w:val="002F3DF1"/>
    <w:rsid w:val="002F51DB"/>
    <w:rsid w:val="002F66AE"/>
    <w:rsid w:val="002F6807"/>
    <w:rsid w:val="002F6B21"/>
    <w:rsid w:val="002F7045"/>
    <w:rsid w:val="002F7A1F"/>
    <w:rsid w:val="00300271"/>
    <w:rsid w:val="00301131"/>
    <w:rsid w:val="0030453A"/>
    <w:rsid w:val="0030478E"/>
    <w:rsid w:val="0030517A"/>
    <w:rsid w:val="0030524A"/>
    <w:rsid w:val="003056FC"/>
    <w:rsid w:val="00306001"/>
    <w:rsid w:val="00307195"/>
    <w:rsid w:val="003073B2"/>
    <w:rsid w:val="00310C2C"/>
    <w:rsid w:val="00311DA9"/>
    <w:rsid w:val="003134D9"/>
    <w:rsid w:val="003139FB"/>
    <w:rsid w:val="00313D82"/>
    <w:rsid w:val="003140BD"/>
    <w:rsid w:val="003140E2"/>
    <w:rsid w:val="0031503E"/>
    <w:rsid w:val="00315949"/>
    <w:rsid w:val="003162C6"/>
    <w:rsid w:val="00320B58"/>
    <w:rsid w:val="003211AD"/>
    <w:rsid w:val="00323761"/>
    <w:rsid w:val="00323765"/>
    <w:rsid w:val="0032396A"/>
    <w:rsid w:val="00323B8E"/>
    <w:rsid w:val="00325F04"/>
    <w:rsid w:val="003267AE"/>
    <w:rsid w:val="00326B4C"/>
    <w:rsid w:val="0033052C"/>
    <w:rsid w:val="0033118B"/>
    <w:rsid w:val="0033293C"/>
    <w:rsid w:val="00332F8D"/>
    <w:rsid w:val="00336313"/>
    <w:rsid w:val="003370AD"/>
    <w:rsid w:val="00337F91"/>
    <w:rsid w:val="003408BC"/>
    <w:rsid w:val="00341562"/>
    <w:rsid w:val="00343101"/>
    <w:rsid w:val="00351E39"/>
    <w:rsid w:val="00354399"/>
    <w:rsid w:val="0035444E"/>
    <w:rsid w:val="00355EE0"/>
    <w:rsid w:val="003568FD"/>
    <w:rsid w:val="00356C13"/>
    <w:rsid w:val="003570C8"/>
    <w:rsid w:val="0036036C"/>
    <w:rsid w:val="003622AC"/>
    <w:rsid w:val="00363109"/>
    <w:rsid w:val="00363B89"/>
    <w:rsid w:val="00364996"/>
    <w:rsid w:val="0036506C"/>
    <w:rsid w:val="00365B94"/>
    <w:rsid w:val="003672D7"/>
    <w:rsid w:val="0037174B"/>
    <w:rsid w:val="00371AE6"/>
    <w:rsid w:val="00373054"/>
    <w:rsid w:val="00373959"/>
    <w:rsid w:val="00373C25"/>
    <w:rsid w:val="0037438D"/>
    <w:rsid w:val="003744DD"/>
    <w:rsid w:val="00374F92"/>
    <w:rsid w:val="00374FF6"/>
    <w:rsid w:val="003751E8"/>
    <w:rsid w:val="00376D31"/>
    <w:rsid w:val="00377338"/>
    <w:rsid w:val="00380AFA"/>
    <w:rsid w:val="0038166D"/>
    <w:rsid w:val="00381C2D"/>
    <w:rsid w:val="003850EF"/>
    <w:rsid w:val="00385323"/>
    <w:rsid w:val="00385328"/>
    <w:rsid w:val="0038550D"/>
    <w:rsid w:val="00386C6B"/>
    <w:rsid w:val="003874ED"/>
    <w:rsid w:val="003960BC"/>
    <w:rsid w:val="003961EB"/>
    <w:rsid w:val="003966EA"/>
    <w:rsid w:val="003A3CCC"/>
    <w:rsid w:val="003A3CDA"/>
    <w:rsid w:val="003A42F6"/>
    <w:rsid w:val="003A6B11"/>
    <w:rsid w:val="003A72E4"/>
    <w:rsid w:val="003A758C"/>
    <w:rsid w:val="003A7D6F"/>
    <w:rsid w:val="003B1BD1"/>
    <w:rsid w:val="003B1FC8"/>
    <w:rsid w:val="003B24C8"/>
    <w:rsid w:val="003B2733"/>
    <w:rsid w:val="003B29BE"/>
    <w:rsid w:val="003B3CD8"/>
    <w:rsid w:val="003B3DF0"/>
    <w:rsid w:val="003B4204"/>
    <w:rsid w:val="003B508A"/>
    <w:rsid w:val="003B51BF"/>
    <w:rsid w:val="003B539C"/>
    <w:rsid w:val="003B7304"/>
    <w:rsid w:val="003B7965"/>
    <w:rsid w:val="003C196A"/>
    <w:rsid w:val="003C4A17"/>
    <w:rsid w:val="003C4B2E"/>
    <w:rsid w:val="003C626B"/>
    <w:rsid w:val="003C781F"/>
    <w:rsid w:val="003D1AC7"/>
    <w:rsid w:val="003D30EE"/>
    <w:rsid w:val="003D35BD"/>
    <w:rsid w:val="003D3A04"/>
    <w:rsid w:val="003D4147"/>
    <w:rsid w:val="003D5D56"/>
    <w:rsid w:val="003D7613"/>
    <w:rsid w:val="003E3938"/>
    <w:rsid w:val="003E3AAC"/>
    <w:rsid w:val="003E5F53"/>
    <w:rsid w:val="003E7D0B"/>
    <w:rsid w:val="003F0A3F"/>
    <w:rsid w:val="003F13B4"/>
    <w:rsid w:val="003F1F29"/>
    <w:rsid w:val="003F3682"/>
    <w:rsid w:val="003F377B"/>
    <w:rsid w:val="003F42B6"/>
    <w:rsid w:val="003F5D09"/>
    <w:rsid w:val="003F6274"/>
    <w:rsid w:val="003F64F9"/>
    <w:rsid w:val="00400B7A"/>
    <w:rsid w:val="004014AB"/>
    <w:rsid w:val="00404688"/>
    <w:rsid w:val="00404DC2"/>
    <w:rsid w:val="00404F26"/>
    <w:rsid w:val="00405F9A"/>
    <w:rsid w:val="0041024C"/>
    <w:rsid w:val="00413EB8"/>
    <w:rsid w:val="004156ED"/>
    <w:rsid w:val="00416B96"/>
    <w:rsid w:val="00417177"/>
    <w:rsid w:val="0041720D"/>
    <w:rsid w:val="0042199A"/>
    <w:rsid w:val="00421A01"/>
    <w:rsid w:val="00421D48"/>
    <w:rsid w:val="004220FD"/>
    <w:rsid w:val="00423D7F"/>
    <w:rsid w:val="00424FF6"/>
    <w:rsid w:val="00425045"/>
    <w:rsid w:val="0042641A"/>
    <w:rsid w:val="004265E0"/>
    <w:rsid w:val="00427AE8"/>
    <w:rsid w:val="004301CB"/>
    <w:rsid w:val="004326FA"/>
    <w:rsid w:val="00432AE3"/>
    <w:rsid w:val="00432D03"/>
    <w:rsid w:val="00434F7A"/>
    <w:rsid w:val="00437747"/>
    <w:rsid w:val="00443658"/>
    <w:rsid w:val="00445753"/>
    <w:rsid w:val="00447711"/>
    <w:rsid w:val="00447A4E"/>
    <w:rsid w:val="004528DD"/>
    <w:rsid w:val="00453F03"/>
    <w:rsid w:val="00454B8A"/>
    <w:rsid w:val="00454CAC"/>
    <w:rsid w:val="00457035"/>
    <w:rsid w:val="0045745C"/>
    <w:rsid w:val="0046005F"/>
    <w:rsid w:val="004607E1"/>
    <w:rsid w:val="00460D5D"/>
    <w:rsid w:val="004620F9"/>
    <w:rsid w:val="00463B12"/>
    <w:rsid w:val="004649E5"/>
    <w:rsid w:val="00465556"/>
    <w:rsid w:val="004661B4"/>
    <w:rsid w:val="00473780"/>
    <w:rsid w:val="00473C5F"/>
    <w:rsid w:val="004808D5"/>
    <w:rsid w:val="00480A57"/>
    <w:rsid w:val="00481218"/>
    <w:rsid w:val="0048246F"/>
    <w:rsid w:val="004828BF"/>
    <w:rsid w:val="00483286"/>
    <w:rsid w:val="004837A4"/>
    <w:rsid w:val="00484EFF"/>
    <w:rsid w:val="0048539E"/>
    <w:rsid w:val="004853B0"/>
    <w:rsid w:val="00485C8E"/>
    <w:rsid w:val="00485FF0"/>
    <w:rsid w:val="00486241"/>
    <w:rsid w:val="00487002"/>
    <w:rsid w:val="0049140D"/>
    <w:rsid w:val="004926F7"/>
    <w:rsid w:val="00494BA1"/>
    <w:rsid w:val="00495FFB"/>
    <w:rsid w:val="00496B78"/>
    <w:rsid w:val="004978B6"/>
    <w:rsid w:val="00497FE3"/>
    <w:rsid w:val="004A09AA"/>
    <w:rsid w:val="004A0AB6"/>
    <w:rsid w:val="004A14F5"/>
    <w:rsid w:val="004A1EDE"/>
    <w:rsid w:val="004A1FF8"/>
    <w:rsid w:val="004A3A3B"/>
    <w:rsid w:val="004A45D7"/>
    <w:rsid w:val="004A4A24"/>
    <w:rsid w:val="004A7A0B"/>
    <w:rsid w:val="004B44E5"/>
    <w:rsid w:val="004B4CF9"/>
    <w:rsid w:val="004C1139"/>
    <w:rsid w:val="004C175C"/>
    <w:rsid w:val="004C20DB"/>
    <w:rsid w:val="004C2A7A"/>
    <w:rsid w:val="004D0BEC"/>
    <w:rsid w:val="004D2F3E"/>
    <w:rsid w:val="004D42BD"/>
    <w:rsid w:val="004D58F7"/>
    <w:rsid w:val="004D63BD"/>
    <w:rsid w:val="004D6D2D"/>
    <w:rsid w:val="004D6F2D"/>
    <w:rsid w:val="004E1020"/>
    <w:rsid w:val="004E210C"/>
    <w:rsid w:val="004E3785"/>
    <w:rsid w:val="004E42E8"/>
    <w:rsid w:val="004E5804"/>
    <w:rsid w:val="004E6C25"/>
    <w:rsid w:val="004E6EB3"/>
    <w:rsid w:val="004E7EB7"/>
    <w:rsid w:val="004F03E2"/>
    <w:rsid w:val="004F2963"/>
    <w:rsid w:val="004F476B"/>
    <w:rsid w:val="004F62D4"/>
    <w:rsid w:val="004F7187"/>
    <w:rsid w:val="00501210"/>
    <w:rsid w:val="00502015"/>
    <w:rsid w:val="005031E9"/>
    <w:rsid w:val="00504056"/>
    <w:rsid w:val="00504740"/>
    <w:rsid w:val="00505739"/>
    <w:rsid w:val="00507D64"/>
    <w:rsid w:val="0051142E"/>
    <w:rsid w:val="005115DE"/>
    <w:rsid w:val="00511ABC"/>
    <w:rsid w:val="0051476B"/>
    <w:rsid w:val="00515198"/>
    <w:rsid w:val="0051544C"/>
    <w:rsid w:val="00516C35"/>
    <w:rsid w:val="0051726F"/>
    <w:rsid w:val="005203DF"/>
    <w:rsid w:val="0052129A"/>
    <w:rsid w:val="00521368"/>
    <w:rsid w:val="005217B8"/>
    <w:rsid w:val="00524043"/>
    <w:rsid w:val="0052535E"/>
    <w:rsid w:val="00526E01"/>
    <w:rsid w:val="00527D16"/>
    <w:rsid w:val="0053034F"/>
    <w:rsid w:val="00530DC4"/>
    <w:rsid w:val="0053301C"/>
    <w:rsid w:val="00533FE2"/>
    <w:rsid w:val="005350B9"/>
    <w:rsid w:val="00535FB4"/>
    <w:rsid w:val="00536FEF"/>
    <w:rsid w:val="00541388"/>
    <w:rsid w:val="005420DA"/>
    <w:rsid w:val="0054409D"/>
    <w:rsid w:val="00545149"/>
    <w:rsid w:val="00546AD3"/>
    <w:rsid w:val="00547398"/>
    <w:rsid w:val="005477D7"/>
    <w:rsid w:val="005513AB"/>
    <w:rsid w:val="0055251D"/>
    <w:rsid w:val="005532AD"/>
    <w:rsid w:val="00554621"/>
    <w:rsid w:val="00555BDD"/>
    <w:rsid w:val="005628FA"/>
    <w:rsid w:val="00563365"/>
    <w:rsid w:val="00563DBB"/>
    <w:rsid w:val="00565FF8"/>
    <w:rsid w:val="00567A0F"/>
    <w:rsid w:val="005702D5"/>
    <w:rsid w:val="005716B8"/>
    <w:rsid w:val="005727CD"/>
    <w:rsid w:val="005729B9"/>
    <w:rsid w:val="00572B2E"/>
    <w:rsid w:val="00573AE9"/>
    <w:rsid w:val="00574134"/>
    <w:rsid w:val="00577CF1"/>
    <w:rsid w:val="00582B61"/>
    <w:rsid w:val="005834B3"/>
    <w:rsid w:val="00584C7E"/>
    <w:rsid w:val="00585B85"/>
    <w:rsid w:val="005862BB"/>
    <w:rsid w:val="00586DFA"/>
    <w:rsid w:val="00587AB7"/>
    <w:rsid w:val="005913E9"/>
    <w:rsid w:val="00591B95"/>
    <w:rsid w:val="00591C4C"/>
    <w:rsid w:val="005927C1"/>
    <w:rsid w:val="00592FF9"/>
    <w:rsid w:val="0059342F"/>
    <w:rsid w:val="00593736"/>
    <w:rsid w:val="005943FA"/>
    <w:rsid w:val="0059464E"/>
    <w:rsid w:val="00594A91"/>
    <w:rsid w:val="0059763C"/>
    <w:rsid w:val="005A1470"/>
    <w:rsid w:val="005A14F2"/>
    <w:rsid w:val="005A2C81"/>
    <w:rsid w:val="005A3E39"/>
    <w:rsid w:val="005A47BF"/>
    <w:rsid w:val="005A591D"/>
    <w:rsid w:val="005A6A39"/>
    <w:rsid w:val="005A721C"/>
    <w:rsid w:val="005B072A"/>
    <w:rsid w:val="005B27EC"/>
    <w:rsid w:val="005B3BF1"/>
    <w:rsid w:val="005B438E"/>
    <w:rsid w:val="005B5900"/>
    <w:rsid w:val="005B5C48"/>
    <w:rsid w:val="005B64B9"/>
    <w:rsid w:val="005B6E52"/>
    <w:rsid w:val="005B7252"/>
    <w:rsid w:val="005B7835"/>
    <w:rsid w:val="005C15D5"/>
    <w:rsid w:val="005C1993"/>
    <w:rsid w:val="005C2918"/>
    <w:rsid w:val="005C3727"/>
    <w:rsid w:val="005C4506"/>
    <w:rsid w:val="005C4DF9"/>
    <w:rsid w:val="005C536C"/>
    <w:rsid w:val="005C6164"/>
    <w:rsid w:val="005C6C11"/>
    <w:rsid w:val="005C6FE6"/>
    <w:rsid w:val="005D178A"/>
    <w:rsid w:val="005E07CF"/>
    <w:rsid w:val="005E2D4D"/>
    <w:rsid w:val="005E34A4"/>
    <w:rsid w:val="005E4000"/>
    <w:rsid w:val="005E6373"/>
    <w:rsid w:val="005E6A05"/>
    <w:rsid w:val="005F544C"/>
    <w:rsid w:val="005F596B"/>
    <w:rsid w:val="00600269"/>
    <w:rsid w:val="006012A0"/>
    <w:rsid w:val="0060217E"/>
    <w:rsid w:val="00603CAF"/>
    <w:rsid w:val="00603F89"/>
    <w:rsid w:val="0060412A"/>
    <w:rsid w:val="0060422C"/>
    <w:rsid w:val="006056D4"/>
    <w:rsid w:val="00605A7B"/>
    <w:rsid w:val="00606FCD"/>
    <w:rsid w:val="0060711F"/>
    <w:rsid w:val="00607261"/>
    <w:rsid w:val="00607DA9"/>
    <w:rsid w:val="00607ED2"/>
    <w:rsid w:val="00611A9D"/>
    <w:rsid w:val="00612D2C"/>
    <w:rsid w:val="00613AFD"/>
    <w:rsid w:val="00617468"/>
    <w:rsid w:val="00617D81"/>
    <w:rsid w:val="00622799"/>
    <w:rsid w:val="00622B7A"/>
    <w:rsid w:val="0062379E"/>
    <w:rsid w:val="0062474D"/>
    <w:rsid w:val="00624DD3"/>
    <w:rsid w:val="00624E4B"/>
    <w:rsid w:val="00625430"/>
    <w:rsid w:val="00627845"/>
    <w:rsid w:val="0063014F"/>
    <w:rsid w:val="00630677"/>
    <w:rsid w:val="00634F4A"/>
    <w:rsid w:val="006417A3"/>
    <w:rsid w:val="00644440"/>
    <w:rsid w:val="00645793"/>
    <w:rsid w:val="0064691B"/>
    <w:rsid w:val="00647F15"/>
    <w:rsid w:val="006500F5"/>
    <w:rsid w:val="00652997"/>
    <w:rsid w:val="00652AB6"/>
    <w:rsid w:val="00652D00"/>
    <w:rsid w:val="00653149"/>
    <w:rsid w:val="0065433B"/>
    <w:rsid w:val="006553DA"/>
    <w:rsid w:val="00655D40"/>
    <w:rsid w:val="00656C3D"/>
    <w:rsid w:val="00656E86"/>
    <w:rsid w:val="00656FF9"/>
    <w:rsid w:val="00662CB7"/>
    <w:rsid w:val="0066382A"/>
    <w:rsid w:val="006653B3"/>
    <w:rsid w:val="00667E7B"/>
    <w:rsid w:val="0067122E"/>
    <w:rsid w:val="006714EE"/>
    <w:rsid w:val="006723C1"/>
    <w:rsid w:val="00673AD5"/>
    <w:rsid w:val="00674198"/>
    <w:rsid w:val="0067462F"/>
    <w:rsid w:val="00674CB5"/>
    <w:rsid w:val="00677006"/>
    <w:rsid w:val="006812AF"/>
    <w:rsid w:val="00682287"/>
    <w:rsid w:val="00683701"/>
    <w:rsid w:val="006A2A33"/>
    <w:rsid w:val="006A3156"/>
    <w:rsid w:val="006A52D3"/>
    <w:rsid w:val="006A5309"/>
    <w:rsid w:val="006A64D8"/>
    <w:rsid w:val="006B1BDE"/>
    <w:rsid w:val="006B1F83"/>
    <w:rsid w:val="006B25D0"/>
    <w:rsid w:val="006B3D2B"/>
    <w:rsid w:val="006B3FE5"/>
    <w:rsid w:val="006B68FB"/>
    <w:rsid w:val="006B7727"/>
    <w:rsid w:val="006B7939"/>
    <w:rsid w:val="006C112D"/>
    <w:rsid w:val="006C347B"/>
    <w:rsid w:val="006C372B"/>
    <w:rsid w:val="006C4548"/>
    <w:rsid w:val="006C49C4"/>
    <w:rsid w:val="006C49E2"/>
    <w:rsid w:val="006C666A"/>
    <w:rsid w:val="006D0F12"/>
    <w:rsid w:val="006D1CFA"/>
    <w:rsid w:val="006D2032"/>
    <w:rsid w:val="006D26C8"/>
    <w:rsid w:val="006D26F5"/>
    <w:rsid w:val="006D5447"/>
    <w:rsid w:val="006D5D10"/>
    <w:rsid w:val="006D64B0"/>
    <w:rsid w:val="006E0143"/>
    <w:rsid w:val="006E01EB"/>
    <w:rsid w:val="006E08A8"/>
    <w:rsid w:val="006E0C86"/>
    <w:rsid w:val="006E1865"/>
    <w:rsid w:val="006E1CD4"/>
    <w:rsid w:val="006E2133"/>
    <w:rsid w:val="006E247D"/>
    <w:rsid w:val="006E5237"/>
    <w:rsid w:val="006E7C01"/>
    <w:rsid w:val="006F0F3B"/>
    <w:rsid w:val="006F313E"/>
    <w:rsid w:val="006F61DA"/>
    <w:rsid w:val="006F6F20"/>
    <w:rsid w:val="006F742F"/>
    <w:rsid w:val="00700394"/>
    <w:rsid w:val="00701883"/>
    <w:rsid w:val="00701905"/>
    <w:rsid w:val="007034A3"/>
    <w:rsid w:val="00703591"/>
    <w:rsid w:val="00703D2D"/>
    <w:rsid w:val="007044CA"/>
    <w:rsid w:val="00704685"/>
    <w:rsid w:val="00706B52"/>
    <w:rsid w:val="00714266"/>
    <w:rsid w:val="00714592"/>
    <w:rsid w:val="007150EA"/>
    <w:rsid w:val="0071539B"/>
    <w:rsid w:val="00715FDF"/>
    <w:rsid w:val="00716B0B"/>
    <w:rsid w:val="007178CD"/>
    <w:rsid w:val="00717E51"/>
    <w:rsid w:val="007218A5"/>
    <w:rsid w:val="0072191F"/>
    <w:rsid w:val="00722588"/>
    <w:rsid w:val="007228C1"/>
    <w:rsid w:val="00722F58"/>
    <w:rsid w:val="00724E87"/>
    <w:rsid w:val="00725972"/>
    <w:rsid w:val="00725F63"/>
    <w:rsid w:val="00727A32"/>
    <w:rsid w:val="00731CE3"/>
    <w:rsid w:val="00733532"/>
    <w:rsid w:val="0073353B"/>
    <w:rsid w:val="00734A53"/>
    <w:rsid w:val="007361D0"/>
    <w:rsid w:val="00736C2A"/>
    <w:rsid w:val="007427F3"/>
    <w:rsid w:val="007435EE"/>
    <w:rsid w:val="00746478"/>
    <w:rsid w:val="007510AF"/>
    <w:rsid w:val="00751832"/>
    <w:rsid w:val="00753271"/>
    <w:rsid w:val="00754AED"/>
    <w:rsid w:val="007554AB"/>
    <w:rsid w:val="00756446"/>
    <w:rsid w:val="00756BFD"/>
    <w:rsid w:val="00756C89"/>
    <w:rsid w:val="00756F24"/>
    <w:rsid w:val="00757CF3"/>
    <w:rsid w:val="007630B1"/>
    <w:rsid w:val="00764B3A"/>
    <w:rsid w:val="007715D7"/>
    <w:rsid w:val="00771C94"/>
    <w:rsid w:val="00774000"/>
    <w:rsid w:val="00774C59"/>
    <w:rsid w:val="00775A85"/>
    <w:rsid w:val="00781555"/>
    <w:rsid w:val="00781D65"/>
    <w:rsid w:val="0078289E"/>
    <w:rsid w:val="00782F64"/>
    <w:rsid w:val="00783A58"/>
    <w:rsid w:val="007849BE"/>
    <w:rsid w:val="007865D5"/>
    <w:rsid w:val="0078752D"/>
    <w:rsid w:val="007923A2"/>
    <w:rsid w:val="00793826"/>
    <w:rsid w:val="007945F3"/>
    <w:rsid w:val="00797663"/>
    <w:rsid w:val="00797E8A"/>
    <w:rsid w:val="007A08BD"/>
    <w:rsid w:val="007A1BD0"/>
    <w:rsid w:val="007A329E"/>
    <w:rsid w:val="007A410B"/>
    <w:rsid w:val="007A79DD"/>
    <w:rsid w:val="007B12B7"/>
    <w:rsid w:val="007B23D2"/>
    <w:rsid w:val="007B24C4"/>
    <w:rsid w:val="007B322C"/>
    <w:rsid w:val="007B3821"/>
    <w:rsid w:val="007B3F59"/>
    <w:rsid w:val="007B47CF"/>
    <w:rsid w:val="007B7031"/>
    <w:rsid w:val="007B70C8"/>
    <w:rsid w:val="007B7B37"/>
    <w:rsid w:val="007B7C97"/>
    <w:rsid w:val="007B7D5C"/>
    <w:rsid w:val="007C1F6A"/>
    <w:rsid w:val="007C3E64"/>
    <w:rsid w:val="007C4218"/>
    <w:rsid w:val="007C4A68"/>
    <w:rsid w:val="007C6884"/>
    <w:rsid w:val="007C7C1A"/>
    <w:rsid w:val="007D0AB3"/>
    <w:rsid w:val="007D1CF9"/>
    <w:rsid w:val="007D560C"/>
    <w:rsid w:val="007D568D"/>
    <w:rsid w:val="007D680E"/>
    <w:rsid w:val="007D69BB"/>
    <w:rsid w:val="007D6F39"/>
    <w:rsid w:val="007D7900"/>
    <w:rsid w:val="007E157D"/>
    <w:rsid w:val="007E1E3A"/>
    <w:rsid w:val="007E2602"/>
    <w:rsid w:val="007E3FA4"/>
    <w:rsid w:val="007E4075"/>
    <w:rsid w:val="007E4F7A"/>
    <w:rsid w:val="007E6412"/>
    <w:rsid w:val="007F02D3"/>
    <w:rsid w:val="007F0551"/>
    <w:rsid w:val="007F0DC7"/>
    <w:rsid w:val="007F1942"/>
    <w:rsid w:val="007F22E6"/>
    <w:rsid w:val="007F28BC"/>
    <w:rsid w:val="007F2FE8"/>
    <w:rsid w:val="007F40DA"/>
    <w:rsid w:val="007F5D6F"/>
    <w:rsid w:val="007F6A4E"/>
    <w:rsid w:val="007F78C8"/>
    <w:rsid w:val="0080131D"/>
    <w:rsid w:val="00802980"/>
    <w:rsid w:val="0080346C"/>
    <w:rsid w:val="00811391"/>
    <w:rsid w:val="00812883"/>
    <w:rsid w:val="008128B3"/>
    <w:rsid w:val="00814763"/>
    <w:rsid w:val="00816176"/>
    <w:rsid w:val="00820FD4"/>
    <w:rsid w:val="008225BB"/>
    <w:rsid w:val="0082280F"/>
    <w:rsid w:val="00823A64"/>
    <w:rsid w:val="008264F0"/>
    <w:rsid w:val="008321E4"/>
    <w:rsid w:val="00832A43"/>
    <w:rsid w:val="008369D2"/>
    <w:rsid w:val="00841962"/>
    <w:rsid w:val="00841BE4"/>
    <w:rsid w:val="00842F17"/>
    <w:rsid w:val="008469D6"/>
    <w:rsid w:val="00850AA9"/>
    <w:rsid w:val="00851E68"/>
    <w:rsid w:val="00851F0B"/>
    <w:rsid w:val="0085234C"/>
    <w:rsid w:val="00852365"/>
    <w:rsid w:val="0085247A"/>
    <w:rsid w:val="0085287D"/>
    <w:rsid w:val="0085479A"/>
    <w:rsid w:val="0085545E"/>
    <w:rsid w:val="008556BD"/>
    <w:rsid w:val="00855B2A"/>
    <w:rsid w:val="00855C4A"/>
    <w:rsid w:val="00856603"/>
    <w:rsid w:val="00857FF8"/>
    <w:rsid w:val="00861294"/>
    <w:rsid w:val="00861BEF"/>
    <w:rsid w:val="00862413"/>
    <w:rsid w:val="008629CA"/>
    <w:rsid w:val="00864A26"/>
    <w:rsid w:val="00864A39"/>
    <w:rsid w:val="0086562F"/>
    <w:rsid w:val="008656C9"/>
    <w:rsid w:val="00867913"/>
    <w:rsid w:val="00867A42"/>
    <w:rsid w:val="00870A29"/>
    <w:rsid w:val="00870ED3"/>
    <w:rsid w:val="00871A19"/>
    <w:rsid w:val="00872E35"/>
    <w:rsid w:val="00873A2C"/>
    <w:rsid w:val="00874541"/>
    <w:rsid w:val="0087599B"/>
    <w:rsid w:val="008766C7"/>
    <w:rsid w:val="00876930"/>
    <w:rsid w:val="00877C68"/>
    <w:rsid w:val="0088004F"/>
    <w:rsid w:val="00880328"/>
    <w:rsid w:val="0088139F"/>
    <w:rsid w:val="00881439"/>
    <w:rsid w:val="00883B75"/>
    <w:rsid w:val="008854EC"/>
    <w:rsid w:val="008902F4"/>
    <w:rsid w:val="00890C1A"/>
    <w:rsid w:val="008945CA"/>
    <w:rsid w:val="00894C07"/>
    <w:rsid w:val="00894F16"/>
    <w:rsid w:val="00897048"/>
    <w:rsid w:val="008A0203"/>
    <w:rsid w:val="008A2E4F"/>
    <w:rsid w:val="008A5B19"/>
    <w:rsid w:val="008A648A"/>
    <w:rsid w:val="008A690B"/>
    <w:rsid w:val="008A75E7"/>
    <w:rsid w:val="008B0529"/>
    <w:rsid w:val="008B0681"/>
    <w:rsid w:val="008B2017"/>
    <w:rsid w:val="008B2A78"/>
    <w:rsid w:val="008B5B36"/>
    <w:rsid w:val="008B5DBF"/>
    <w:rsid w:val="008B6490"/>
    <w:rsid w:val="008C0057"/>
    <w:rsid w:val="008C025F"/>
    <w:rsid w:val="008C0E6C"/>
    <w:rsid w:val="008C207D"/>
    <w:rsid w:val="008C4044"/>
    <w:rsid w:val="008C66FF"/>
    <w:rsid w:val="008D0AB0"/>
    <w:rsid w:val="008D256F"/>
    <w:rsid w:val="008D2709"/>
    <w:rsid w:val="008D29AB"/>
    <w:rsid w:val="008D642B"/>
    <w:rsid w:val="008D7602"/>
    <w:rsid w:val="008E0122"/>
    <w:rsid w:val="008E0485"/>
    <w:rsid w:val="008E1081"/>
    <w:rsid w:val="008E28C7"/>
    <w:rsid w:val="008E5468"/>
    <w:rsid w:val="008E55BB"/>
    <w:rsid w:val="008E6B71"/>
    <w:rsid w:val="008F2CF7"/>
    <w:rsid w:val="008F3B66"/>
    <w:rsid w:val="008F50E1"/>
    <w:rsid w:val="008F56A6"/>
    <w:rsid w:val="008F6518"/>
    <w:rsid w:val="009005A1"/>
    <w:rsid w:val="00900C39"/>
    <w:rsid w:val="009017BA"/>
    <w:rsid w:val="00906A31"/>
    <w:rsid w:val="00906EA9"/>
    <w:rsid w:val="00911C03"/>
    <w:rsid w:val="00912CEB"/>
    <w:rsid w:val="00913479"/>
    <w:rsid w:val="00913552"/>
    <w:rsid w:val="00915BA1"/>
    <w:rsid w:val="0091753B"/>
    <w:rsid w:val="0092189B"/>
    <w:rsid w:val="0092227E"/>
    <w:rsid w:val="009225F8"/>
    <w:rsid w:val="0092336B"/>
    <w:rsid w:val="00923CA8"/>
    <w:rsid w:val="00924AEB"/>
    <w:rsid w:val="00926726"/>
    <w:rsid w:val="00926950"/>
    <w:rsid w:val="00926A0F"/>
    <w:rsid w:val="00926AE1"/>
    <w:rsid w:val="00932049"/>
    <w:rsid w:val="0093391D"/>
    <w:rsid w:val="00940F31"/>
    <w:rsid w:val="00941281"/>
    <w:rsid w:val="00941AA1"/>
    <w:rsid w:val="00942945"/>
    <w:rsid w:val="00942AF6"/>
    <w:rsid w:val="0094344F"/>
    <w:rsid w:val="00943E73"/>
    <w:rsid w:val="0094486F"/>
    <w:rsid w:val="0094529D"/>
    <w:rsid w:val="00946397"/>
    <w:rsid w:val="009471EB"/>
    <w:rsid w:val="009508B8"/>
    <w:rsid w:val="00950B39"/>
    <w:rsid w:val="0095448E"/>
    <w:rsid w:val="00956874"/>
    <w:rsid w:val="009570B5"/>
    <w:rsid w:val="00957A3D"/>
    <w:rsid w:val="00960898"/>
    <w:rsid w:val="00964445"/>
    <w:rsid w:val="0096466E"/>
    <w:rsid w:val="009653B5"/>
    <w:rsid w:val="009668CD"/>
    <w:rsid w:val="00966D86"/>
    <w:rsid w:val="00966EF8"/>
    <w:rsid w:val="00971480"/>
    <w:rsid w:val="00975822"/>
    <w:rsid w:val="009763A8"/>
    <w:rsid w:val="00976889"/>
    <w:rsid w:val="00977EB9"/>
    <w:rsid w:val="00980636"/>
    <w:rsid w:val="009806D0"/>
    <w:rsid w:val="00981204"/>
    <w:rsid w:val="00983217"/>
    <w:rsid w:val="00983BC7"/>
    <w:rsid w:val="00985596"/>
    <w:rsid w:val="00987577"/>
    <w:rsid w:val="0099070B"/>
    <w:rsid w:val="00990C1B"/>
    <w:rsid w:val="00991738"/>
    <w:rsid w:val="0099356A"/>
    <w:rsid w:val="00993C6C"/>
    <w:rsid w:val="0099509D"/>
    <w:rsid w:val="00997E78"/>
    <w:rsid w:val="009A2A01"/>
    <w:rsid w:val="009A2C30"/>
    <w:rsid w:val="009A3129"/>
    <w:rsid w:val="009A3E54"/>
    <w:rsid w:val="009A407A"/>
    <w:rsid w:val="009A622B"/>
    <w:rsid w:val="009A645D"/>
    <w:rsid w:val="009A6809"/>
    <w:rsid w:val="009A70D8"/>
    <w:rsid w:val="009B01F8"/>
    <w:rsid w:val="009B0646"/>
    <w:rsid w:val="009B180D"/>
    <w:rsid w:val="009B6C23"/>
    <w:rsid w:val="009B73B4"/>
    <w:rsid w:val="009C1DFE"/>
    <w:rsid w:val="009C1ED8"/>
    <w:rsid w:val="009C21EC"/>
    <w:rsid w:val="009C26C4"/>
    <w:rsid w:val="009C274A"/>
    <w:rsid w:val="009C3339"/>
    <w:rsid w:val="009C36EA"/>
    <w:rsid w:val="009C3724"/>
    <w:rsid w:val="009C43A9"/>
    <w:rsid w:val="009C7544"/>
    <w:rsid w:val="009D1574"/>
    <w:rsid w:val="009D1933"/>
    <w:rsid w:val="009D4C56"/>
    <w:rsid w:val="009D776B"/>
    <w:rsid w:val="009E10CD"/>
    <w:rsid w:val="009E13EF"/>
    <w:rsid w:val="009E1707"/>
    <w:rsid w:val="009E1853"/>
    <w:rsid w:val="009E2409"/>
    <w:rsid w:val="009E25F7"/>
    <w:rsid w:val="009E42FC"/>
    <w:rsid w:val="009E50B8"/>
    <w:rsid w:val="009E5DA8"/>
    <w:rsid w:val="009E673F"/>
    <w:rsid w:val="009E6B1A"/>
    <w:rsid w:val="009E7F0C"/>
    <w:rsid w:val="009F2FCE"/>
    <w:rsid w:val="009F34A0"/>
    <w:rsid w:val="009F358A"/>
    <w:rsid w:val="009F373A"/>
    <w:rsid w:val="009F5C9B"/>
    <w:rsid w:val="00A00213"/>
    <w:rsid w:val="00A00477"/>
    <w:rsid w:val="00A02508"/>
    <w:rsid w:val="00A03466"/>
    <w:rsid w:val="00A03C05"/>
    <w:rsid w:val="00A04CCF"/>
    <w:rsid w:val="00A05B53"/>
    <w:rsid w:val="00A06F02"/>
    <w:rsid w:val="00A077F3"/>
    <w:rsid w:val="00A07973"/>
    <w:rsid w:val="00A07CDD"/>
    <w:rsid w:val="00A108EF"/>
    <w:rsid w:val="00A10BA5"/>
    <w:rsid w:val="00A12383"/>
    <w:rsid w:val="00A163FB"/>
    <w:rsid w:val="00A1730F"/>
    <w:rsid w:val="00A17644"/>
    <w:rsid w:val="00A176A2"/>
    <w:rsid w:val="00A20BCF"/>
    <w:rsid w:val="00A21330"/>
    <w:rsid w:val="00A21457"/>
    <w:rsid w:val="00A2237A"/>
    <w:rsid w:val="00A22E3F"/>
    <w:rsid w:val="00A22F44"/>
    <w:rsid w:val="00A24038"/>
    <w:rsid w:val="00A243E6"/>
    <w:rsid w:val="00A25941"/>
    <w:rsid w:val="00A2609E"/>
    <w:rsid w:val="00A26AFD"/>
    <w:rsid w:val="00A32860"/>
    <w:rsid w:val="00A34B38"/>
    <w:rsid w:val="00A364AF"/>
    <w:rsid w:val="00A37F77"/>
    <w:rsid w:val="00A402FD"/>
    <w:rsid w:val="00A41A9A"/>
    <w:rsid w:val="00A447B1"/>
    <w:rsid w:val="00A45ED3"/>
    <w:rsid w:val="00A46F43"/>
    <w:rsid w:val="00A4708C"/>
    <w:rsid w:val="00A47224"/>
    <w:rsid w:val="00A51DF5"/>
    <w:rsid w:val="00A52382"/>
    <w:rsid w:val="00A54F1F"/>
    <w:rsid w:val="00A57021"/>
    <w:rsid w:val="00A619D2"/>
    <w:rsid w:val="00A62AFB"/>
    <w:rsid w:val="00A63F04"/>
    <w:rsid w:val="00A6515C"/>
    <w:rsid w:val="00A700C3"/>
    <w:rsid w:val="00A70B58"/>
    <w:rsid w:val="00A70D28"/>
    <w:rsid w:val="00A7173C"/>
    <w:rsid w:val="00A73898"/>
    <w:rsid w:val="00A75567"/>
    <w:rsid w:val="00A76033"/>
    <w:rsid w:val="00A77FC9"/>
    <w:rsid w:val="00A813B7"/>
    <w:rsid w:val="00A8481E"/>
    <w:rsid w:val="00A86008"/>
    <w:rsid w:val="00A860A5"/>
    <w:rsid w:val="00A86759"/>
    <w:rsid w:val="00A87581"/>
    <w:rsid w:val="00A87E7C"/>
    <w:rsid w:val="00A87E80"/>
    <w:rsid w:val="00A904AD"/>
    <w:rsid w:val="00A9209F"/>
    <w:rsid w:val="00A94208"/>
    <w:rsid w:val="00A947BC"/>
    <w:rsid w:val="00A94F0B"/>
    <w:rsid w:val="00A952AF"/>
    <w:rsid w:val="00A95943"/>
    <w:rsid w:val="00A97815"/>
    <w:rsid w:val="00AA029F"/>
    <w:rsid w:val="00AA2E68"/>
    <w:rsid w:val="00AA3A59"/>
    <w:rsid w:val="00AA45C8"/>
    <w:rsid w:val="00AA6920"/>
    <w:rsid w:val="00AA6D2D"/>
    <w:rsid w:val="00AA7342"/>
    <w:rsid w:val="00AA73ED"/>
    <w:rsid w:val="00AB1C3E"/>
    <w:rsid w:val="00AB325D"/>
    <w:rsid w:val="00AB3325"/>
    <w:rsid w:val="00AB41E4"/>
    <w:rsid w:val="00AB4B1A"/>
    <w:rsid w:val="00AB67BC"/>
    <w:rsid w:val="00AB6B6F"/>
    <w:rsid w:val="00AB7768"/>
    <w:rsid w:val="00AB7B9F"/>
    <w:rsid w:val="00AB7F43"/>
    <w:rsid w:val="00AC11BF"/>
    <w:rsid w:val="00AC15CB"/>
    <w:rsid w:val="00AC1B8A"/>
    <w:rsid w:val="00AC41C0"/>
    <w:rsid w:val="00AC4A6F"/>
    <w:rsid w:val="00AC64D9"/>
    <w:rsid w:val="00AC7E47"/>
    <w:rsid w:val="00AD0CD0"/>
    <w:rsid w:val="00AD2D02"/>
    <w:rsid w:val="00AD37EE"/>
    <w:rsid w:val="00AD3E9A"/>
    <w:rsid w:val="00AD40DF"/>
    <w:rsid w:val="00AD45F6"/>
    <w:rsid w:val="00AD4C07"/>
    <w:rsid w:val="00AD506E"/>
    <w:rsid w:val="00AD7C87"/>
    <w:rsid w:val="00AE36F5"/>
    <w:rsid w:val="00AE4A2E"/>
    <w:rsid w:val="00AE4FB2"/>
    <w:rsid w:val="00AE68D3"/>
    <w:rsid w:val="00AE68D6"/>
    <w:rsid w:val="00AE6FC1"/>
    <w:rsid w:val="00AE7D50"/>
    <w:rsid w:val="00AF0589"/>
    <w:rsid w:val="00AF4F6D"/>
    <w:rsid w:val="00AF650F"/>
    <w:rsid w:val="00AF7563"/>
    <w:rsid w:val="00AF7F4F"/>
    <w:rsid w:val="00B00860"/>
    <w:rsid w:val="00B00C2C"/>
    <w:rsid w:val="00B01F41"/>
    <w:rsid w:val="00B01FE7"/>
    <w:rsid w:val="00B0207E"/>
    <w:rsid w:val="00B0224F"/>
    <w:rsid w:val="00B02EAC"/>
    <w:rsid w:val="00B0568A"/>
    <w:rsid w:val="00B0603A"/>
    <w:rsid w:val="00B10142"/>
    <w:rsid w:val="00B123A4"/>
    <w:rsid w:val="00B1561C"/>
    <w:rsid w:val="00B160E5"/>
    <w:rsid w:val="00B1649F"/>
    <w:rsid w:val="00B17870"/>
    <w:rsid w:val="00B231EF"/>
    <w:rsid w:val="00B24722"/>
    <w:rsid w:val="00B25055"/>
    <w:rsid w:val="00B25CFC"/>
    <w:rsid w:val="00B26618"/>
    <w:rsid w:val="00B27F0D"/>
    <w:rsid w:val="00B30315"/>
    <w:rsid w:val="00B303FB"/>
    <w:rsid w:val="00B3082A"/>
    <w:rsid w:val="00B321E9"/>
    <w:rsid w:val="00B32E28"/>
    <w:rsid w:val="00B32F5B"/>
    <w:rsid w:val="00B33532"/>
    <w:rsid w:val="00B343BC"/>
    <w:rsid w:val="00B3596C"/>
    <w:rsid w:val="00B35D67"/>
    <w:rsid w:val="00B36055"/>
    <w:rsid w:val="00B42A4D"/>
    <w:rsid w:val="00B42E91"/>
    <w:rsid w:val="00B43393"/>
    <w:rsid w:val="00B43C7E"/>
    <w:rsid w:val="00B43CF1"/>
    <w:rsid w:val="00B44161"/>
    <w:rsid w:val="00B44F51"/>
    <w:rsid w:val="00B454C6"/>
    <w:rsid w:val="00B47007"/>
    <w:rsid w:val="00B474C5"/>
    <w:rsid w:val="00B477AF"/>
    <w:rsid w:val="00B479DE"/>
    <w:rsid w:val="00B50BE4"/>
    <w:rsid w:val="00B53426"/>
    <w:rsid w:val="00B53CEB"/>
    <w:rsid w:val="00B562F1"/>
    <w:rsid w:val="00B57A65"/>
    <w:rsid w:val="00B57D71"/>
    <w:rsid w:val="00B623B5"/>
    <w:rsid w:val="00B62C87"/>
    <w:rsid w:val="00B63113"/>
    <w:rsid w:val="00B6336F"/>
    <w:rsid w:val="00B64100"/>
    <w:rsid w:val="00B65871"/>
    <w:rsid w:val="00B65B89"/>
    <w:rsid w:val="00B65EBB"/>
    <w:rsid w:val="00B66B6D"/>
    <w:rsid w:val="00B702BC"/>
    <w:rsid w:val="00B71440"/>
    <w:rsid w:val="00B73388"/>
    <w:rsid w:val="00B744F2"/>
    <w:rsid w:val="00B748ED"/>
    <w:rsid w:val="00B76224"/>
    <w:rsid w:val="00B76324"/>
    <w:rsid w:val="00B82F6C"/>
    <w:rsid w:val="00B848AE"/>
    <w:rsid w:val="00B90C71"/>
    <w:rsid w:val="00B9257B"/>
    <w:rsid w:val="00B93290"/>
    <w:rsid w:val="00B93ED7"/>
    <w:rsid w:val="00B94167"/>
    <w:rsid w:val="00B962AF"/>
    <w:rsid w:val="00BA03DD"/>
    <w:rsid w:val="00BA150A"/>
    <w:rsid w:val="00BA3795"/>
    <w:rsid w:val="00BA3CDD"/>
    <w:rsid w:val="00BA3D94"/>
    <w:rsid w:val="00BA6952"/>
    <w:rsid w:val="00BA7505"/>
    <w:rsid w:val="00BB0B67"/>
    <w:rsid w:val="00BB37C9"/>
    <w:rsid w:val="00BB40B3"/>
    <w:rsid w:val="00BB4E0A"/>
    <w:rsid w:val="00BB5FE5"/>
    <w:rsid w:val="00BC2AD3"/>
    <w:rsid w:val="00BC47EE"/>
    <w:rsid w:val="00BC6DC0"/>
    <w:rsid w:val="00BC7F06"/>
    <w:rsid w:val="00BD0191"/>
    <w:rsid w:val="00BD030D"/>
    <w:rsid w:val="00BD29CF"/>
    <w:rsid w:val="00BD2E6E"/>
    <w:rsid w:val="00BD55A0"/>
    <w:rsid w:val="00BD5B5C"/>
    <w:rsid w:val="00BD6900"/>
    <w:rsid w:val="00BD6B6A"/>
    <w:rsid w:val="00BE39B3"/>
    <w:rsid w:val="00BE41F2"/>
    <w:rsid w:val="00BE41FD"/>
    <w:rsid w:val="00BE5547"/>
    <w:rsid w:val="00BE7A45"/>
    <w:rsid w:val="00BE7DFE"/>
    <w:rsid w:val="00BF066F"/>
    <w:rsid w:val="00BF0827"/>
    <w:rsid w:val="00BF1F51"/>
    <w:rsid w:val="00BF2236"/>
    <w:rsid w:val="00BF292F"/>
    <w:rsid w:val="00BF37F1"/>
    <w:rsid w:val="00BF5702"/>
    <w:rsid w:val="00BF6407"/>
    <w:rsid w:val="00C0204E"/>
    <w:rsid w:val="00C02229"/>
    <w:rsid w:val="00C030CE"/>
    <w:rsid w:val="00C036BA"/>
    <w:rsid w:val="00C03E03"/>
    <w:rsid w:val="00C043DF"/>
    <w:rsid w:val="00C04964"/>
    <w:rsid w:val="00C04AFD"/>
    <w:rsid w:val="00C05CC3"/>
    <w:rsid w:val="00C05E98"/>
    <w:rsid w:val="00C06376"/>
    <w:rsid w:val="00C0768C"/>
    <w:rsid w:val="00C10C43"/>
    <w:rsid w:val="00C10F18"/>
    <w:rsid w:val="00C11FCF"/>
    <w:rsid w:val="00C13ED7"/>
    <w:rsid w:val="00C13FD3"/>
    <w:rsid w:val="00C15028"/>
    <w:rsid w:val="00C175B8"/>
    <w:rsid w:val="00C177DC"/>
    <w:rsid w:val="00C2197C"/>
    <w:rsid w:val="00C23D33"/>
    <w:rsid w:val="00C2609D"/>
    <w:rsid w:val="00C2652A"/>
    <w:rsid w:val="00C265BA"/>
    <w:rsid w:val="00C27233"/>
    <w:rsid w:val="00C272E2"/>
    <w:rsid w:val="00C27C20"/>
    <w:rsid w:val="00C30626"/>
    <w:rsid w:val="00C310FA"/>
    <w:rsid w:val="00C31B48"/>
    <w:rsid w:val="00C36708"/>
    <w:rsid w:val="00C37C56"/>
    <w:rsid w:val="00C37E56"/>
    <w:rsid w:val="00C409AD"/>
    <w:rsid w:val="00C44631"/>
    <w:rsid w:val="00C452CC"/>
    <w:rsid w:val="00C45585"/>
    <w:rsid w:val="00C46820"/>
    <w:rsid w:val="00C47593"/>
    <w:rsid w:val="00C503BC"/>
    <w:rsid w:val="00C50537"/>
    <w:rsid w:val="00C5130E"/>
    <w:rsid w:val="00C51DE8"/>
    <w:rsid w:val="00C52006"/>
    <w:rsid w:val="00C5584C"/>
    <w:rsid w:val="00C561A2"/>
    <w:rsid w:val="00C601E6"/>
    <w:rsid w:val="00C605B4"/>
    <w:rsid w:val="00C61412"/>
    <w:rsid w:val="00C647D3"/>
    <w:rsid w:val="00C65067"/>
    <w:rsid w:val="00C666A8"/>
    <w:rsid w:val="00C710A5"/>
    <w:rsid w:val="00C71817"/>
    <w:rsid w:val="00C71E57"/>
    <w:rsid w:val="00C767EA"/>
    <w:rsid w:val="00C80824"/>
    <w:rsid w:val="00C808BF"/>
    <w:rsid w:val="00C8203B"/>
    <w:rsid w:val="00C82C5C"/>
    <w:rsid w:val="00C832DC"/>
    <w:rsid w:val="00C8331B"/>
    <w:rsid w:val="00C83C6C"/>
    <w:rsid w:val="00C84986"/>
    <w:rsid w:val="00C8709E"/>
    <w:rsid w:val="00C87423"/>
    <w:rsid w:val="00C920E1"/>
    <w:rsid w:val="00C93ED8"/>
    <w:rsid w:val="00C9408B"/>
    <w:rsid w:val="00C941A7"/>
    <w:rsid w:val="00CA2116"/>
    <w:rsid w:val="00CA270E"/>
    <w:rsid w:val="00CA3748"/>
    <w:rsid w:val="00CA4C5E"/>
    <w:rsid w:val="00CA6C59"/>
    <w:rsid w:val="00CB0D0C"/>
    <w:rsid w:val="00CB18D7"/>
    <w:rsid w:val="00CB1DE1"/>
    <w:rsid w:val="00CB3300"/>
    <w:rsid w:val="00CB4334"/>
    <w:rsid w:val="00CB57C0"/>
    <w:rsid w:val="00CB5C83"/>
    <w:rsid w:val="00CB770A"/>
    <w:rsid w:val="00CB7B2D"/>
    <w:rsid w:val="00CC0AEB"/>
    <w:rsid w:val="00CC0C0A"/>
    <w:rsid w:val="00CC13BA"/>
    <w:rsid w:val="00CC146D"/>
    <w:rsid w:val="00CC1E6B"/>
    <w:rsid w:val="00CC238D"/>
    <w:rsid w:val="00CC270C"/>
    <w:rsid w:val="00CC3121"/>
    <w:rsid w:val="00CC5245"/>
    <w:rsid w:val="00CC6D22"/>
    <w:rsid w:val="00CD1595"/>
    <w:rsid w:val="00CD3D09"/>
    <w:rsid w:val="00CD4CD6"/>
    <w:rsid w:val="00CD7971"/>
    <w:rsid w:val="00CE139A"/>
    <w:rsid w:val="00CE1F3D"/>
    <w:rsid w:val="00CE3BBB"/>
    <w:rsid w:val="00CE5964"/>
    <w:rsid w:val="00CF1C9F"/>
    <w:rsid w:val="00CF2588"/>
    <w:rsid w:val="00CF282B"/>
    <w:rsid w:val="00CF359C"/>
    <w:rsid w:val="00CF38DB"/>
    <w:rsid w:val="00CF5718"/>
    <w:rsid w:val="00CF57D7"/>
    <w:rsid w:val="00CF584D"/>
    <w:rsid w:val="00CF6424"/>
    <w:rsid w:val="00CF66C8"/>
    <w:rsid w:val="00D00096"/>
    <w:rsid w:val="00D002C7"/>
    <w:rsid w:val="00D01374"/>
    <w:rsid w:val="00D03D2C"/>
    <w:rsid w:val="00D04188"/>
    <w:rsid w:val="00D04EC9"/>
    <w:rsid w:val="00D05D8C"/>
    <w:rsid w:val="00D062D7"/>
    <w:rsid w:val="00D06906"/>
    <w:rsid w:val="00D137E7"/>
    <w:rsid w:val="00D13E63"/>
    <w:rsid w:val="00D141EC"/>
    <w:rsid w:val="00D222C9"/>
    <w:rsid w:val="00D23307"/>
    <w:rsid w:val="00D23D5E"/>
    <w:rsid w:val="00D24B43"/>
    <w:rsid w:val="00D25A97"/>
    <w:rsid w:val="00D25B50"/>
    <w:rsid w:val="00D25D02"/>
    <w:rsid w:val="00D25DF1"/>
    <w:rsid w:val="00D32689"/>
    <w:rsid w:val="00D34310"/>
    <w:rsid w:val="00D348AE"/>
    <w:rsid w:val="00D3624C"/>
    <w:rsid w:val="00D37DD6"/>
    <w:rsid w:val="00D37FFE"/>
    <w:rsid w:val="00D40405"/>
    <w:rsid w:val="00D4067A"/>
    <w:rsid w:val="00D40CE4"/>
    <w:rsid w:val="00D4366C"/>
    <w:rsid w:val="00D45277"/>
    <w:rsid w:val="00D46E42"/>
    <w:rsid w:val="00D50D61"/>
    <w:rsid w:val="00D54E55"/>
    <w:rsid w:val="00D55252"/>
    <w:rsid w:val="00D6032E"/>
    <w:rsid w:val="00D61271"/>
    <w:rsid w:val="00D619BE"/>
    <w:rsid w:val="00D6282E"/>
    <w:rsid w:val="00D62C75"/>
    <w:rsid w:val="00D62D9D"/>
    <w:rsid w:val="00D63B38"/>
    <w:rsid w:val="00D65959"/>
    <w:rsid w:val="00D666BC"/>
    <w:rsid w:val="00D671D1"/>
    <w:rsid w:val="00D67C7A"/>
    <w:rsid w:val="00D67D87"/>
    <w:rsid w:val="00D67F0F"/>
    <w:rsid w:val="00D70C99"/>
    <w:rsid w:val="00D70DFA"/>
    <w:rsid w:val="00D71AC5"/>
    <w:rsid w:val="00D71D89"/>
    <w:rsid w:val="00D71E0F"/>
    <w:rsid w:val="00D72A3B"/>
    <w:rsid w:val="00D72B94"/>
    <w:rsid w:val="00D7351A"/>
    <w:rsid w:val="00D74B50"/>
    <w:rsid w:val="00D75424"/>
    <w:rsid w:val="00D76145"/>
    <w:rsid w:val="00D80283"/>
    <w:rsid w:val="00D80714"/>
    <w:rsid w:val="00D83419"/>
    <w:rsid w:val="00D83677"/>
    <w:rsid w:val="00D842FA"/>
    <w:rsid w:val="00D84B25"/>
    <w:rsid w:val="00D86377"/>
    <w:rsid w:val="00D8653A"/>
    <w:rsid w:val="00D9413A"/>
    <w:rsid w:val="00D944A4"/>
    <w:rsid w:val="00D968E3"/>
    <w:rsid w:val="00D97B55"/>
    <w:rsid w:val="00DA283C"/>
    <w:rsid w:val="00DA28FE"/>
    <w:rsid w:val="00DA33BF"/>
    <w:rsid w:val="00DA3EAA"/>
    <w:rsid w:val="00DA5334"/>
    <w:rsid w:val="00DA7006"/>
    <w:rsid w:val="00DA75DD"/>
    <w:rsid w:val="00DB174F"/>
    <w:rsid w:val="00DB2DE6"/>
    <w:rsid w:val="00DB363D"/>
    <w:rsid w:val="00DB4AD0"/>
    <w:rsid w:val="00DB6E8A"/>
    <w:rsid w:val="00DC2330"/>
    <w:rsid w:val="00DC2E93"/>
    <w:rsid w:val="00DC2EA0"/>
    <w:rsid w:val="00DC326F"/>
    <w:rsid w:val="00DC3D85"/>
    <w:rsid w:val="00DC40F4"/>
    <w:rsid w:val="00DC5DB2"/>
    <w:rsid w:val="00DD01F0"/>
    <w:rsid w:val="00DD09EE"/>
    <w:rsid w:val="00DD21BC"/>
    <w:rsid w:val="00DD331E"/>
    <w:rsid w:val="00DD350D"/>
    <w:rsid w:val="00DD3625"/>
    <w:rsid w:val="00DD40BF"/>
    <w:rsid w:val="00DD438D"/>
    <w:rsid w:val="00DD5018"/>
    <w:rsid w:val="00DD5A00"/>
    <w:rsid w:val="00DD7D9F"/>
    <w:rsid w:val="00DE2C94"/>
    <w:rsid w:val="00DE3376"/>
    <w:rsid w:val="00DE5DD7"/>
    <w:rsid w:val="00DE631C"/>
    <w:rsid w:val="00DE6438"/>
    <w:rsid w:val="00DE6C11"/>
    <w:rsid w:val="00DF2234"/>
    <w:rsid w:val="00E00287"/>
    <w:rsid w:val="00E0051E"/>
    <w:rsid w:val="00E051D8"/>
    <w:rsid w:val="00E05DFF"/>
    <w:rsid w:val="00E06097"/>
    <w:rsid w:val="00E07270"/>
    <w:rsid w:val="00E11607"/>
    <w:rsid w:val="00E14CBB"/>
    <w:rsid w:val="00E15226"/>
    <w:rsid w:val="00E166E9"/>
    <w:rsid w:val="00E202DF"/>
    <w:rsid w:val="00E21400"/>
    <w:rsid w:val="00E2219F"/>
    <w:rsid w:val="00E24D4E"/>
    <w:rsid w:val="00E24E1B"/>
    <w:rsid w:val="00E25398"/>
    <w:rsid w:val="00E258A6"/>
    <w:rsid w:val="00E25B37"/>
    <w:rsid w:val="00E25C7A"/>
    <w:rsid w:val="00E322E8"/>
    <w:rsid w:val="00E325CA"/>
    <w:rsid w:val="00E32736"/>
    <w:rsid w:val="00E343D8"/>
    <w:rsid w:val="00E3544D"/>
    <w:rsid w:val="00E365C0"/>
    <w:rsid w:val="00E36FFC"/>
    <w:rsid w:val="00E37DFF"/>
    <w:rsid w:val="00E41003"/>
    <w:rsid w:val="00E425FA"/>
    <w:rsid w:val="00E43A4B"/>
    <w:rsid w:val="00E43BAB"/>
    <w:rsid w:val="00E442DD"/>
    <w:rsid w:val="00E45F88"/>
    <w:rsid w:val="00E460C9"/>
    <w:rsid w:val="00E46747"/>
    <w:rsid w:val="00E4728A"/>
    <w:rsid w:val="00E47A05"/>
    <w:rsid w:val="00E47A68"/>
    <w:rsid w:val="00E5039A"/>
    <w:rsid w:val="00E507B6"/>
    <w:rsid w:val="00E51D63"/>
    <w:rsid w:val="00E5330D"/>
    <w:rsid w:val="00E5335A"/>
    <w:rsid w:val="00E539FB"/>
    <w:rsid w:val="00E54C8D"/>
    <w:rsid w:val="00E55BFA"/>
    <w:rsid w:val="00E5607A"/>
    <w:rsid w:val="00E56E00"/>
    <w:rsid w:val="00E61229"/>
    <w:rsid w:val="00E61BD1"/>
    <w:rsid w:val="00E648E1"/>
    <w:rsid w:val="00E6591D"/>
    <w:rsid w:val="00E66687"/>
    <w:rsid w:val="00E674ED"/>
    <w:rsid w:val="00E67BBD"/>
    <w:rsid w:val="00E67D8D"/>
    <w:rsid w:val="00E711D7"/>
    <w:rsid w:val="00E7124D"/>
    <w:rsid w:val="00E71319"/>
    <w:rsid w:val="00E71F73"/>
    <w:rsid w:val="00E72984"/>
    <w:rsid w:val="00E733E0"/>
    <w:rsid w:val="00E7520D"/>
    <w:rsid w:val="00E755B3"/>
    <w:rsid w:val="00E77FB8"/>
    <w:rsid w:val="00E80C26"/>
    <w:rsid w:val="00E81D15"/>
    <w:rsid w:val="00E858C3"/>
    <w:rsid w:val="00E86311"/>
    <w:rsid w:val="00E87739"/>
    <w:rsid w:val="00E907F4"/>
    <w:rsid w:val="00E91759"/>
    <w:rsid w:val="00E91F32"/>
    <w:rsid w:val="00E93354"/>
    <w:rsid w:val="00E93A97"/>
    <w:rsid w:val="00E93BC5"/>
    <w:rsid w:val="00E95BC7"/>
    <w:rsid w:val="00E95E30"/>
    <w:rsid w:val="00E96467"/>
    <w:rsid w:val="00E96838"/>
    <w:rsid w:val="00E96EA8"/>
    <w:rsid w:val="00E977FD"/>
    <w:rsid w:val="00EA0ECB"/>
    <w:rsid w:val="00EA2766"/>
    <w:rsid w:val="00EA3276"/>
    <w:rsid w:val="00EA3C54"/>
    <w:rsid w:val="00EB11A0"/>
    <w:rsid w:val="00EB196D"/>
    <w:rsid w:val="00EB3DD2"/>
    <w:rsid w:val="00EB3FFA"/>
    <w:rsid w:val="00EB42FF"/>
    <w:rsid w:val="00EC0A82"/>
    <w:rsid w:val="00EC0B94"/>
    <w:rsid w:val="00EC198B"/>
    <w:rsid w:val="00EC37CB"/>
    <w:rsid w:val="00EC3E1B"/>
    <w:rsid w:val="00EC48D9"/>
    <w:rsid w:val="00EC5235"/>
    <w:rsid w:val="00EC5C68"/>
    <w:rsid w:val="00EC6E4F"/>
    <w:rsid w:val="00EC787C"/>
    <w:rsid w:val="00ED1239"/>
    <w:rsid w:val="00ED1386"/>
    <w:rsid w:val="00ED1CE4"/>
    <w:rsid w:val="00ED2B27"/>
    <w:rsid w:val="00ED50D8"/>
    <w:rsid w:val="00ED548F"/>
    <w:rsid w:val="00ED5E5D"/>
    <w:rsid w:val="00ED62CB"/>
    <w:rsid w:val="00ED6716"/>
    <w:rsid w:val="00EE0597"/>
    <w:rsid w:val="00EE2417"/>
    <w:rsid w:val="00EE4B0A"/>
    <w:rsid w:val="00EE6503"/>
    <w:rsid w:val="00EE70F6"/>
    <w:rsid w:val="00EE7736"/>
    <w:rsid w:val="00EF0FE0"/>
    <w:rsid w:val="00EF108D"/>
    <w:rsid w:val="00EF4B8E"/>
    <w:rsid w:val="00EF57FA"/>
    <w:rsid w:val="00EF592A"/>
    <w:rsid w:val="00F0038D"/>
    <w:rsid w:val="00F00AA2"/>
    <w:rsid w:val="00F05331"/>
    <w:rsid w:val="00F075BB"/>
    <w:rsid w:val="00F10326"/>
    <w:rsid w:val="00F116DA"/>
    <w:rsid w:val="00F15FC3"/>
    <w:rsid w:val="00F170C9"/>
    <w:rsid w:val="00F17DF4"/>
    <w:rsid w:val="00F20ABB"/>
    <w:rsid w:val="00F238F8"/>
    <w:rsid w:val="00F23DCC"/>
    <w:rsid w:val="00F2559D"/>
    <w:rsid w:val="00F276AB"/>
    <w:rsid w:val="00F27D6D"/>
    <w:rsid w:val="00F30213"/>
    <w:rsid w:val="00F315B7"/>
    <w:rsid w:val="00F31A17"/>
    <w:rsid w:val="00F31D01"/>
    <w:rsid w:val="00F34783"/>
    <w:rsid w:val="00F358D3"/>
    <w:rsid w:val="00F40CF0"/>
    <w:rsid w:val="00F41360"/>
    <w:rsid w:val="00F42473"/>
    <w:rsid w:val="00F44BD0"/>
    <w:rsid w:val="00F44CE2"/>
    <w:rsid w:val="00F4537A"/>
    <w:rsid w:val="00F45B61"/>
    <w:rsid w:val="00F466B8"/>
    <w:rsid w:val="00F46F27"/>
    <w:rsid w:val="00F47157"/>
    <w:rsid w:val="00F5119D"/>
    <w:rsid w:val="00F51EDE"/>
    <w:rsid w:val="00F51FE2"/>
    <w:rsid w:val="00F53BCE"/>
    <w:rsid w:val="00F53C9D"/>
    <w:rsid w:val="00F54DC1"/>
    <w:rsid w:val="00F55394"/>
    <w:rsid w:val="00F555A0"/>
    <w:rsid w:val="00F56A3D"/>
    <w:rsid w:val="00F56D1F"/>
    <w:rsid w:val="00F60695"/>
    <w:rsid w:val="00F6104A"/>
    <w:rsid w:val="00F61915"/>
    <w:rsid w:val="00F63495"/>
    <w:rsid w:val="00F64E40"/>
    <w:rsid w:val="00F71016"/>
    <w:rsid w:val="00F72F1F"/>
    <w:rsid w:val="00F73286"/>
    <w:rsid w:val="00F73B29"/>
    <w:rsid w:val="00F73BDC"/>
    <w:rsid w:val="00F753F5"/>
    <w:rsid w:val="00F765E5"/>
    <w:rsid w:val="00F76FBB"/>
    <w:rsid w:val="00F77397"/>
    <w:rsid w:val="00F77BC2"/>
    <w:rsid w:val="00F80F38"/>
    <w:rsid w:val="00F8234B"/>
    <w:rsid w:val="00F82A99"/>
    <w:rsid w:val="00F82E2B"/>
    <w:rsid w:val="00F82E86"/>
    <w:rsid w:val="00F85BC4"/>
    <w:rsid w:val="00F8661F"/>
    <w:rsid w:val="00F87341"/>
    <w:rsid w:val="00F9121C"/>
    <w:rsid w:val="00F92731"/>
    <w:rsid w:val="00F93B4C"/>
    <w:rsid w:val="00F9449C"/>
    <w:rsid w:val="00F94B89"/>
    <w:rsid w:val="00F960F2"/>
    <w:rsid w:val="00F96200"/>
    <w:rsid w:val="00F963D1"/>
    <w:rsid w:val="00FA2B0E"/>
    <w:rsid w:val="00FA3B2C"/>
    <w:rsid w:val="00FA7026"/>
    <w:rsid w:val="00FA7EB5"/>
    <w:rsid w:val="00FB03A9"/>
    <w:rsid w:val="00FB192E"/>
    <w:rsid w:val="00FB1F66"/>
    <w:rsid w:val="00FB35A5"/>
    <w:rsid w:val="00FB4872"/>
    <w:rsid w:val="00FB62E5"/>
    <w:rsid w:val="00FB6A00"/>
    <w:rsid w:val="00FB6FD5"/>
    <w:rsid w:val="00FB7CDA"/>
    <w:rsid w:val="00FC046B"/>
    <w:rsid w:val="00FC1CB3"/>
    <w:rsid w:val="00FC1F27"/>
    <w:rsid w:val="00FC5DA0"/>
    <w:rsid w:val="00FC5F9C"/>
    <w:rsid w:val="00FC6E15"/>
    <w:rsid w:val="00FC7060"/>
    <w:rsid w:val="00FC7CD8"/>
    <w:rsid w:val="00FD1D46"/>
    <w:rsid w:val="00FD34BB"/>
    <w:rsid w:val="00FD3CD0"/>
    <w:rsid w:val="00FD4B7A"/>
    <w:rsid w:val="00FD5416"/>
    <w:rsid w:val="00FD5971"/>
    <w:rsid w:val="00FD5C58"/>
    <w:rsid w:val="00FD6DA1"/>
    <w:rsid w:val="00FE0C40"/>
    <w:rsid w:val="00FE16AD"/>
    <w:rsid w:val="00FE386B"/>
    <w:rsid w:val="00FE3ECD"/>
    <w:rsid w:val="00FE4572"/>
    <w:rsid w:val="00FE4588"/>
    <w:rsid w:val="00FE71FA"/>
    <w:rsid w:val="00FF0DED"/>
    <w:rsid w:val="00FF11FB"/>
    <w:rsid w:val="00FF2DB8"/>
    <w:rsid w:val="00FF4355"/>
    <w:rsid w:val="00FF4B7B"/>
    <w:rsid w:val="00FF592D"/>
    <w:rsid w:val="00FF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E0D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92D"/>
  </w:style>
  <w:style w:type="paragraph" w:styleId="Heading1">
    <w:name w:val="heading 1"/>
    <w:basedOn w:val="Normal"/>
    <w:next w:val="Normal"/>
    <w:link w:val="Heading1Char"/>
    <w:uiPriority w:val="9"/>
    <w:qFormat/>
    <w:rsid w:val="00E14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C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C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4C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4C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4C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4C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4C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C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C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C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C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C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CBB"/>
    <w:rPr>
      <w:rFonts w:eastAsiaTheme="majorEastAsia" w:cstheme="majorBidi"/>
      <w:color w:val="272727" w:themeColor="text1" w:themeTint="D8"/>
    </w:rPr>
  </w:style>
  <w:style w:type="paragraph" w:styleId="Title">
    <w:name w:val="Title"/>
    <w:basedOn w:val="Normal"/>
    <w:next w:val="Normal"/>
    <w:link w:val="TitleChar"/>
    <w:uiPriority w:val="10"/>
    <w:qFormat/>
    <w:rsid w:val="00E14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CBB"/>
    <w:pPr>
      <w:spacing w:before="160"/>
      <w:jc w:val="center"/>
    </w:pPr>
    <w:rPr>
      <w:i/>
      <w:iCs/>
      <w:color w:val="404040" w:themeColor="text1" w:themeTint="BF"/>
    </w:rPr>
  </w:style>
  <w:style w:type="character" w:customStyle="1" w:styleId="QuoteChar">
    <w:name w:val="Quote Char"/>
    <w:basedOn w:val="DefaultParagraphFont"/>
    <w:link w:val="Quote"/>
    <w:uiPriority w:val="29"/>
    <w:rsid w:val="00E14CBB"/>
    <w:rPr>
      <w:i/>
      <w:iCs/>
      <w:color w:val="404040" w:themeColor="text1" w:themeTint="BF"/>
    </w:rPr>
  </w:style>
  <w:style w:type="paragraph" w:styleId="ListParagraph">
    <w:name w:val="List Paragraph"/>
    <w:basedOn w:val="Normal"/>
    <w:uiPriority w:val="34"/>
    <w:qFormat/>
    <w:rsid w:val="00E14CBB"/>
    <w:pPr>
      <w:ind w:left="720"/>
      <w:contextualSpacing/>
    </w:pPr>
  </w:style>
  <w:style w:type="character" w:styleId="IntenseEmphasis">
    <w:name w:val="Intense Emphasis"/>
    <w:basedOn w:val="DefaultParagraphFont"/>
    <w:uiPriority w:val="21"/>
    <w:qFormat/>
    <w:rsid w:val="00E14CBB"/>
    <w:rPr>
      <w:i/>
      <w:iCs/>
      <w:color w:val="0F4761" w:themeColor="accent1" w:themeShade="BF"/>
    </w:rPr>
  </w:style>
  <w:style w:type="paragraph" w:styleId="IntenseQuote">
    <w:name w:val="Intense Quote"/>
    <w:basedOn w:val="Normal"/>
    <w:next w:val="Normal"/>
    <w:link w:val="IntenseQuoteChar"/>
    <w:uiPriority w:val="30"/>
    <w:qFormat/>
    <w:rsid w:val="00E14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4CBB"/>
    <w:rPr>
      <w:i/>
      <w:iCs/>
      <w:color w:val="0F4761" w:themeColor="accent1" w:themeShade="BF"/>
    </w:rPr>
  </w:style>
  <w:style w:type="character" w:styleId="IntenseReference">
    <w:name w:val="Intense Reference"/>
    <w:basedOn w:val="DefaultParagraphFont"/>
    <w:uiPriority w:val="32"/>
    <w:qFormat/>
    <w:rsid w:val="00E14CBB"/>
    <w:rPr>
      <w:b/>
      <w:bCs/>
      <w:smallCaps/>
      <w:color w:val="0F4761" w:themeColor="accent1" w:themeShade="BF"/>
      <w:spacing w:val="5"/>
    </w:rPr>
  </w:style>
  <w:style w:type="numbering" w:customStyle="1" w:styleId="Good">
    <w:name w:val="Good"/>
    <w:uiPriority w:val="99"/>
    <w:rsid w:val="00E14CBB"/>
    <w:pPr>
      <w:numPr>
        <w:numId w:val="1"/>
      </w:numPr>
    </w:pPr>
  </w:style>
  <w:style w:type="paragraph" w:styleId="Footer">
    <w:name w:val="footer"/>
    <w:basedOn w:val="Normal"/>
    <w:link w:val="FooterChar"/>
    <w:uiPriority w:val="99"/>
    <w:unhideWhenUsed/>
    <w:rsid w:val="00E14CBB"/>
    <w:pPr>
      <w:tabs>
        <w:tab w:val="center" w:pos="4680"/>
        <w:tab w:val="right" w:pos="9360"/>
      </w:tabs>
      <w:spacing w:after="0" w:line="240" w:lineRule="auto"/>
    </w:pPr>
    <w:rPr>
      <w:rFonts w:ascii="Perpetua" w:hAnsi="Perpetua"/>
      <w:sz w:val="28"/>
    </w:rPr>
  </w:style>
  <w:style w:type="character" w:customStyle="1" w:styleId="FooterChar">
    <w:name w:val="Footer Char"/>
    <w:basedOn w:val="DefaultParagraphFont"/>
    <w:link w:val="Footer"/>
    <w:uiPriority w:val="99"/>
    <w:rsid w:val="00E14CBB"/>
    <w:rPr>
      <w:rFonts w:ascii="Perpetua" w:hAnsi="Perpetua"/>
      <w:sz w:val="28"/>
    </w:rPr>
  </w:style>
  <w:style w:type="table" w:styleId="TableGrid">
    <w:name w:val="Table Grid"/>
    <w:basedOn w:val="TableNormal"/>
    <w:uiPriority w:val="39"/>
    <w:rsid w:val="00C76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4B9"/>
  </w:style>
  <w:style w:type="character" w:styleId="Hyperlink">
    <w:name w:val="Hyperlink"/>
    <w:basedOn w:val="DefaultParagraphFont"/>
    <w:uiPriority w:val="99"/>
    <w:unhideWhenUsed/>
    <w:rsid w:val="00EC5C68"/>
    <w:rPr>
      <w:color w:val="467886" w:themeColor="hyperlink"/>
      <w:u w:val="single"/>
    </w:rPr>
  </w:style>
  <w:style w:type="character" w:styleId="UnresolvedMention">
    <w:name w:val="Unresolved Mention"/>
    <w:basedOn w:val="DefaultParagraphFont"/>
    <w:uiPriority w:val="99"/>
    <w:semiHidden/>
    <w:unhideWhenUsed/>
    <w:rsid w:val="00F77397"/>
    <w:rPr>
      <w:color w:val="605E5C"/>
      <w:shd w:val="clear" w:color="auto" w:fill="E1DFDD"/>
    </w:rPr>
  </w:style>
  <w:style w:type="paragraph" w:styleId="FootnoteText">
    <w:name w:val="footnote text"/>
    <w:basedOn w:val="Normal"/>
    <w:link w:val="FootnoteTextChar"/>
    <w:uiPriority w:val="99"/>
    <w:semiHidden/>
    <w:unhideWhenUsed/>
    <w:rsid w:val="00DD50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5018"/>
    <w:rPr>
      <w:sz w:val="20"/>
      <w:szCs w:val="20"/>
    </w:rPr>
  </w:style>
  <w:style w:type="character" w:styleId="FootnoteReference">
    <w:name w:val="footnote reference"/>
    <w:basedOn w:val="DefaultParagraphFont"/>
    <w:uiPriority w:val="99"/>
    <w:semiHidden/>
    <w:unhideWhenUsed/>
    <w:rsid w:val="00DD5018"/>
    <w:rPr>
      <w:vertAlign w:val="superscript"/>
    </w:rPr>
  </w:style>
  <w:style w:type="paragraph" w:styleId="Revision">
    <w:name w:val="Revision"/>
    <w:hidden/>
    <w:uiPriority w:val="99"/>
    <w:semiHidden/>
    <w:rsid w:val="0035444E"/>
    <w:pPr>
      <w:spacing w:after="0" w:line="240" w:lineRule="auto"/>
    </w:pPr>
  </w:style>
  <w:style w:type="character" w:styleId="CommentReference">
    <w:name w:val="annotation reference"/>
    <w:basedOn w:val="DefaultParagraphFont"/>
    <w:uiPriority w:val="99"/>
    <w:semiHidden/>
    <w:unhideWhenUsed/>
    <w:rsid w:val="005862BB"/>
    <w:rPr>
      <w:sz w:val="16"/>
      <w:szCs w:val="16"/>
    </w:rPr>
  </w:style>
  <w:style w:type="paragraph" w:styleId="CommentText">
    <w:name w:val="annotation text"/>
    <w:basedOn w:val="Normal"/>
    <w:link w:val="CommentTextChar"/>
    <w:uiPriority w:val="99"/>
    <w:unhideWhenUsed/>
    <w:rsid w:val="005862BB"/>
    <w:pPr>
      <w:spacing w:line="240" w:lineRule="auto"/>
    </w:pPr>
    <w:rPr>
      <w:sz w:val="20"/>
      <w:szCs w:val="20"/>
    </w:rPr>
  </w:style>
  <w:style w:type="character" w:customStyle="1" w:styleId="CommentTextChar">
    <w:name w:val="Comment Text Char"/>
    <w:basedOn w:val="DefaultParagraphFont"/>
    <w:link w:val="CommentText"/>
    <w:uiPriority w:val="99"/>
    <w:rsid w:val="005862BB"/>
    <w:rPr>
      <w:sz w:val="20"/>
      <w:szCs w:val="20"/>
    </w:rPr>
  </w:style>
  <w:style w:type="paragraph" w:styleId="CommentSubject">
    <w:name w:val="annotation subject"/>
    <w:basedOn w:val="CommentText"/>
    <w:next w:val="CommentText"/>
    <w:link w:val="CommentSubjectChar"/>
    <w:uiPriority w:val="99"/>
    <w:semiHidden/>
    <w:unhideWhenUsed/>
    <w:rsid w:val="005862BB"/>
    <w:rPr>
      <w:b/>
      <w:bCs/>
    </w:rPr>
  </w:style>
  <w:style w:type="character" w:customStyle="1" w:styleId="CommentSubjectChar">
    <w:name w:val="Comment Subject Char"/>
    <w:basedOn w:val="CommentTextChar"/>
    <w:link w:val="CommentSubject"/>
    <w:uiPriority w:val="99"/>
    <w:semiHidden/>
    <w:rsid w:val="005862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tc.gov/uniformity/project-on-state-taxation-of-partnerships/" TargetMode="External"/><Relationship Id="rId18" Type="http://schemas.openxmlformats.org/officeDocument/2006/relationships/hyperlink" Target="https://mtc.gov/wp-content/uploads/2023/12/White-Paper-on-Guaranteed-Payments-Final-Version-October-12-2023-Updated-12-11-2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tc.gov/uniformity/adopted-uniformity-recommendations/" TargetMode="External"/><Relationship Id="rId17" Type="http://schemas.openxmlformats.org/officeDocument/2006/relationships/hyperlink" Target="https://mtc.gov/wp-content/uploads/2026/01/White-Paper-on-Sourcing-Partnership-Income-1-29-26.pdf"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tc.gov/wp-content/uploads/2024/12/Partnership-Outline-January-1-2025.pdf" TargetMode="External"/><Relationship Id="rId5" Type="http://schemas.openxmlformats.org/officeDocument/2006/relationships/webSettings" Target="webSettings.xml"/><Relationship Id="rId15" Type="http://schemas.openxmlformats.org/officeDocument/2006/relationships/hyperlink" Target="https://www.mtc.gov/uniformity/project-on-state-taxation-of-partnership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mtc.gov/uniformity/project-on-state-taxation-of-partner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228F0-2D95-4F18-84EE-9467062FF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18535</Words>
  <Characters>105655</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123943</CharactersWithSpaces>
  <SharedDoc>false</SharedDoc>
  <HLinks>
    <vt:vector size="42" baseType="variant">
      <vt:variant>
        <vt:i4>2031629</vt:i4>
      </vt:variant>
      <vt:variant>
        <vt:i4>18</vt:i4>
      </vt:variant>
      <vt:variant>
        <vt:i4>0</vt:i4>
      </vt:variant>
      <vt:variant>
        <vt:i4>5</vt:i4>
      </vt:variant>
      <vt:variant>
        <vt:lpwstr>https://mtc.gov/wp-content/uploads/2023/12/White-Paper-on-Guaranteed-Payments-Final-Version-October-12-2023-Updated-12-11-23.pdf</vt:lpwstr>
      </vt:variant>
      <vt:variant>
        <vt:lpwstr/>
      </vt:variant>
      <vt:variant>
        <vt:i4>655369</vt:i4>
      </vt:variant>
      <vt:variant>
        <vt:i4>15</vt:i4>
      </vt:variant>
      <vt:variant>
        <vt:i4>0</vt:i4>
      </vt:variant>
      <vt:variant>
        <vt:i4>5</vt:i4>
      </vt:variant>
      <vt:variant>
        <vt:lpwstr>https://mtc.gov/wp-content/uploads/2026/01/White-Paper-on-Sourcing-Partnership-Income-1-29-26.pdf</vt:lpwstr>
      </vt:variant>
      <vt:variant>
        <vt:lpwstr/>
      </vt:variant>
      <vt:variant>
        <vt:i4>327695</vt:i4>
      </vt:variant>
      <vt:variant>
        <vt:i4>12</vt:i4>
      </vt:variant>
      <vt:variant>
        <vt:i4>0</vt:i4>
      </vt:variant>
      <vt:variant>
        <vt:i4>5</vt:i4>
      </vt:variant>
      <vt:variant>
        <vt:lpwstr>https://www.mtc.gov/uniformity/project-on-state-taxation-of-partnerships/</vt:lpwstr>
      </vt:variant>
      <vt:variant>
        <vt:lpwstr/>
      </vt:variant>
      <vt:variant>
        <vt:i4>327695</vt:i4>
      </vt:variant>
      <vt:variant>
        <vt:i4>9</vt:i4>
      </vt:variant>
      <vt:variant>
        <vt:i4>0</vt:i4>
      </vt:variant>
      <vt:variant>
        <vt:i4>5</vt:i4>
      </vt:variant>
      <vt:variant>
        <vt:lpwstr>https://www.mtc.gov/uniformity/project-on-state-taxation-of-partnerships/</vt:lpwstr>
      </vt:variant>
      <vt:variant>
        <vt:lpwstr/>
      </vt:variant>
      <vt:variant>
        <vt:i4>327695</vt:i4>
      </vt:variant>
      <vt:variant>
        <vt:i4>6</vt:i4>
      </vt:variant>
      <vt:variant>
        <vt:i4>0</vt:i4>
      </vt:variant>
      <vt:variant>
        <vt:i4>5</vt:i4>
      </vt:variant>
      <vt:variant>
        <vt:lpwstr>https://www.mtc.gov/uniformity/project-on-state-taxation-of-partnerships/</vt:lpwstr>
      </vt:variant>
      <vt:variant>
        <vt:lpwstr/>
      </vt:variant>
      <vt:variant>
        <vt:i4>2162745</vt:i4>
      </vt:variant>
      <vt:variant>
        <vt:i4>3</vt:i4>
      </vt:variant>
      <vt:variant>
        <vt:i4>0</vt:i4>
      </vt:variant>
      <vt:variant>
        <vt:i4>5</vt:i4>
      </vt:variant>
      <vt:variant>
        <vt:lpwstr>https://www.mtc.gov/uniformity/adopted-uniformity-recommendations/</vt:lpwstr>
      </vt:variant>
      <vt:variant>
        <vt:lpwstr/>
      </vt:variant>
      <vt:variant>
        <vt:i4>6160415</vt:i4>
      </vt:variant>
      <vt:variant>
        <vt:i4>0</vt:i4>
      </vt:variant>
      <vt:variant>
        <vt:i4>0</vt:i4>
      </vt:variant>
      <vt:variant>
        <vt:i4>5</vt:i4>
      </vt:variant>
      <vt:variant>
        <vt:lpwstr>https://www.mtc.gov/wp-content/uploads/2024/12/Partnership-Outline-January-1-2025.pdf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2026-10-20T15:56:00Z</dcterms:created>
  <dcterms:modified xsi:type="dcterms:W3CDTF">2026-10-20T15:56:00Z</dcterms:modified>
</cp:coreProperties>
</file>