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2974D" w14:textId="258E1369" w:rsidR="00F1729A" w:rsidRDefault="00F1729A" w:rsidP="00F1729A">
      <w:pPr>
        <w:spacing w:after="0" w:line="240" w:lineRule="auto"/>
        <w:jc w:val="center"/>
      </w:pPr>
      <w:r>
        <w:rPr>
          <w:noProof/>
        </w:rPr>
        <w:drawing>
          <wp:inline distT="0" distB="0" distL="0" distR="0" wp14:anchorId="568B624F" wp14:editId="3C474F42">
            <wp:extent cx="1478877" cy="746760"/>
            <wp:effectExtent l="0" t="0" r="7620" b="0"/>
            <wp:docPr id="1" name="Picture 1" descr="MultiTax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76975" name="Picture 1" descr="MultiTax Commission"/>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94601" cy="754700"/>
                    </a:xfrm>
                    <a:prstGeom prst="rect">
                      <a:avLst/>
                    </a:prstGeom>
                    <a:noFill/>
                    <a:ln>
                      <a:noFill/>
                    </a:ln>
                  </pic:spPr>
                </pic:pic>
              </a:graphicData>
            </a:graphic>
          </wp:inline>
        </w:drawing>
      </w:r>
    </w:p>
    <w:p w14:paraId="7B0FBB36" w14:textId="77777777" w:rsidR="00F1729A" w:rsidRDefault="00F1729A" w:rsidP="0003502C">
      <w:pPr>
        <w:spacing w:after="0" w:line="240" w:lineRule="auto"/>
      </w:pPr>
    </w:p>
    <w:p w14:paraId="0C1732E1" w14:textId="21134376" w:rsidR="00E809BA" w:rsidRDefault="0003502C" w:rsidP="00F1729A">
      <w:pPr>
        <w:spacing w:after="0" w:line="240" w:lineRule="auto"/>
        <w:jc w:val="center"/>
        <w:rPr>
          <w:rFonts w:ascii="Garamond" w:hAnsi="Garamond"/>
          <w:b/>
          <w:bCs/>
          <w:sz w:val="36"/>
          <w:szCs w:val="36"/>
        </w:rPr>
      </w:pPr>
      <w:r w:rsidRPr="00F1729A">
        <w:rPr>
          <w:rFonts w:ascii="Garamond" w:hAnsi="Garamond"/>
          <w:b/>
          <w:bCs/>
          <w:sz w:val="36"/>
          <w:szCs w:val="36"/>
        </w:rPr>
        <w:t>White Paper Section</w:t>
      </w:r>
      <w:r w:rsidR="00851A86" w:rsidRPr="00F1729A">
        <w:rPr>
          <w:rFonts w:ascii="Garamond" w:hAnsi="Garamond"/>
          <w:b/>
          <w:bCs/>
          <w:sz w:val="36"/>
          <w:szCs w:val="36"/>
        </w:rPr>
        <w:t xml:space="preserve"> on Internet Tax Freedom Act</w:t>
      </w:r>
    </w:p>
    <w:p w14:paraId="003242AB" w14:textId="6F234453" w:rsidR="00F1729A" w:rsidRPr="00F1729A" w:rsidRDefault="006B003F" w:rsidP="00F1729A">
      <w:pPr>
        <w:spacing w:after="0" w:line="240" w:lineRule="auto"/>
        <w:jc w:val="center"/>
        <w:rPr>
          <w:rFonts w:ascii="Garamond" w:hAnsi="Garamond"/>
          <w:b/>
          <w:bCs/>
          <w:sz w:val="36"/>
          <w:szCs w:val="36"/>
        </w:rPr>
      </w:pPr>
      <w:r>
        <w:rPr>
          <w:rFonts w:ascii="Garamond" w:hAnsi="Garamond"/>
          <w:b/>
          <w:bCs/>
          <w:sz w:val="36"/>
          <w:szCs w:val="36"/>
        </w:rPr>
        <w:t>July 22</w:t>
      </w:r>
      <w:r w:rsidR="00F1729A">
        <w:rPr>
          <w:rFonts w:ascii="Garamond" w:hAnsi="Garamond"/>
          <w:b/>
          <w:bCs/>
          <w:sz w:val="36"/>
          <w:szCs w:val="36"/>
        </w:rPr>
        <w:t>, 202</w:t>
      </w:r>
      <w:r w:rsidR="00EF113E">
        <w:rPr>
          <w:rFonts w:ascii="Garamond" w:hAnsi="Garamond"/>
          <w:b/>
          <w:bCs/>
          <w:sz w:val="36"/>
          <w:szCs w:val="36"/>
        </w:rPr>
        <w:t>6</w:t>
      </w:r>
    </w:p>
    <w:p w14:paraId="3E75C112" w14:textId="77777777" w:rsidR="0003502C" w:rsidRDefault="0003502C" w:rsidP="0003502C">
      <w:pPr>
        <w:spacing w:after="0" w:line="240" w:lineRule="auto"/>
      </w:pPr>
    </w:p>
    <w:p w14:paraId="11E28472" w14:textId="3002150C" w:rsidR="00F1729A" w:rsidRPr="00F1729A" w:rsidRDefault="00F1729A" w:rsidP="00A04EF4">
      <w:pPr>
        <w:pStyle w:val="Heading1"/>
        <w:spacing w:before="0" w:after="160"/>
        <w:rPr>
          <w:rFonts w:ascii="Garamond" w:hAnsi="Garamond"/>
          <w:sz w:val="36"/>
          <w:szCs w:val="36"/>
        </w:rPr>
      </w:pPr>
      <w:r w:rsidRPr="00F1729A">
        <w:rPr>
          <w:rFonts w:ascii="Garamond" w:hAnsi="Garamond"/>
          <w:sz w:val="36"/>
          <w:szCs w:val="36"/>
        </w:rPr>
        <w:t xml:space="preserve">1. </w:t>
      </w:r>
      <w:r w:rsidR="005A2170">
        <w:rPr>
          <w:rFonts w:ascii="Garamond" w:hAnsi="Garamond"/>
          <w:sz w:val="36"/>
          <w:szCs w:val="36"/>
        </w:rPr>
        <w:t>Scope</w:t>
      </w:r>
    </w:p>
    <w:p w14:paraId="11860562" w14:textId="2105BFA3" w:rsidR="005A2170" w:rsidRDefault="005A2170" w:rsidP="00A04EF4">
      <w:pPr>
        <w:rPr>
          <w:rFonts w:ascii="Garamond" w:eastAsia="Times New Roman" w:hAnsi="Garamond" w:cs="Courier New"/>
          <w:color w:val="000000"/>
          <w:kern w:val="0"/>
          <w:sz w:val="26"/>
          <w:szCs w:val="26"/>
          <w14:ligatures w14:val="none"/>
        </w:rPr>
      </w:pPr>
      <w:r>
        <w:rPr>
          <w:rFonts w:ascii="Garamond" w:hAnsi="Garamond"/>
          <w:sz w:val="26"/>
          <w:szCs w:val="26"/>
        </w:rPr>
        <w:t>The Digital Products Work Group was formed to draft a Whitepaper on the issues states should consider when including digital products</w:t>
      </w:r>
      <w:r>
        <w:rPr>
          <w:rStyle w:val="FootnoteReference"/>
          <w:rFonts w:ascii="Garamond" w:hAnsi="Garamond"/>
          <w:sz w:val="26"/>
          <w:szCs w:val="26"/>
        </w:rPr>
        <w:footnoteReference w:id="1"/>
      </w:r>
      <w:r>
        <w:rPr>
          <w:rFonts w:ascii="Garamond" w:hAnsi="Garamond"/>
          <w:sz w:val="26"/>
          <w:szCs w:val="26"/>
        </w:rPr>
        <w:t xml:space="preserve"> in their sales tax base.</w:t>
      </w:r>
      <w:r>
        <w:rPr>
          <w:rStyle w:val="FootnoteReference"/>
          <w:rFonts w:ascii="Garamond" w:hAnsi="Garamond"/>
          <w:sz w:val="26"/>
          <w:szCs w:val="26"/>
        </w:rPr>
        <w:footnoteReference w:id="2"/>
      </w:r>
      <w:r>
        <w:rPr>
          <w:rFonts w:ascii="Garamond" w:hAnsi="Garamond"/>
          <w:sz w:val="26"/>
          <w:szCs w:val="26"/>
        </w:rPr>
        <w:t xml:space="preserve"> This section of the Whitepaper considers the Internet Tax Freedom Act</w:t>
      </w:r>
      <w:r>
        <w:rPr>
          <w:rStyle w:val="FootnoteReference"/>
          <w:rFonts w:ascii="Garamond" w:hAnsi="Garamond"/>
          <w:sz w:val="26"/>
          <w:szCs w:val="26"/>
        </w:rPr>
        <w:footnoteReference w:id="3"/>
      </w:r>
      <w:r>
        <w:rPr>
          <w:rFonts w:ascii="Garamond" w:hAnsi="Garamond"/>
          <w:sz w:val="26"/>
          <w:szCs w:val="26"/>
        </w:rPr>
        <w:t xml:space="preserve"> (ITFA). While the Work Group has not formally </w:t>
      </w:r>
      <w:r w:rsidR="00997C70">
        <w:rPr>
          <w:rFonts w:ascii="Garamond" w:hAnsi="Garamond"/>
          <w:sz w:val="26"/>
          <w:szCs w:val="26"/>
        </w:rPr>
        <w:t xml:space="preserve">considered </w:t>
      </w:r>
      <w:r>
        <w:rPr>
          <w:rFonts w:ascii="Garamond" w:hAnsi="Garamond"/>
          <w:sz w:val="26"/>
          <w:szCs w:val="26"/>
        </w:rPr>
        <w:t xml:space="preserve">the ITFA, any </w:t>
      </w:r>
      <w:r w:rsidR="00997C70">
        <w:rPr>
          <w:rFonts w:ascii="Garamond" w:hAnsi="Garamond"/>
          <w:sz w:val="26"/>
          <w:szCs w:val="26"/>
        </w:rPr>
        <w:t>attempt to include</w:t>
      </w:r>
      <w:r>
        <w:rPr>
          <w:rFonts w:ascii="Garamond" w:hAnsi="Garamond"/>
          <w:sz w:val="26"/>
          <w:szCs w:val="26"/>
        </w:rPr>
        <w:t xml:space="preserve"> digital product in a sales tax base</w:t>
      </w:r>
      <w:r w:rsidR="00997C70">
        <w:rPr>
          <w:rFonts w:ascii="Garamond" w:hAnsi="Garamond"/>
          <w:sz w:val="26"/>
          <w:szCs w:val="26"/>
        </w:rPr>
        <w:t xml:space="preserve"> will interact with the ITFA</w:t>
      </w:r>
      <w:r>
        <w:rPr>
          <w:rFonts w:ascii="Garamond" w:hAnsi="Garamond"/>
          <w:sz w:val="26"/>
          <w:szCs w:val="26"/>
        </w:rPr>
        <w:t xml:space="preserve">. </w:t>
      </w:r>
      <w:r>
        <w:rPr>
          <w:rFonts w:ascii="Garamond" w:eastAsia="Times New Roman" w:hAnsi="Garamond" w:cs="Courier New"/>
          <w:color w:val="000000"/>
          <w:kern w:val="0"/>
          <w:sz w:val="26"/>
          <w:szCs w:val="26"/>
          <w14:ligatures w14:val="none"/>
        </w:rPr>
        <w:t xml:space="preserve">This section of the Whitepaper briefly describes the important provisions of the ITFA and makes general recommendations regarding how states should approach </w:t>
      </w:r>
      <w:r w:rsidR="00997C70">
        <w:rPr>
          <w:rFonts w:ascii="Garamond" w:eastAsia="Times New Roman" w:hAnsi="Garamond" w:cs="Courier New"/>
          <w:color w:val="000000"/>
          <w:kern w:val="0"/>
          <w:sz w:val="26"/>
          <w:szCs w:val="26"/>
          <w14:ligatures w14:val="none"/>
        </w:rPr>
        <w:t xml:space="preserve">the </w:t>
      </w:r>
      <w:r>
        <w:rPr>
          <w:rFonts w:ascii="Garamond" w:eastAsia="Times New Roman" w:hAnsi="Garamond" w:cs="Courier New"/>
          <w:color w:val="000000"/>
          <w:kern w:val="0"/>
          <w:sz w:val="26"/>
          <w:szCs w:val="26"/>
          <w14:ligatures w14:val="none"/>
        </w:rPr>
        <w:t>ITFA when considering the addition of digital products to their sales tax bases.</w:t>
      </w:r>
    </w:p>
    <w:p w14:paraId="06068021" w14:textId="2AD501FF" w:rsidR="005A2170" w:rsidRPr="005A2170" w:rsidRDefault="005A2170" w:rsidP="00A04EF4">
      <w:pPr>
        <w:pStyle w:val="Heading1"/>
        <w:spacing w:before="0" w:after="160"/>
        <w:rPr>
          <w:rFonts w:ascii="Garamond" w:hAnsi="Garamond"/>
          <w:sz w:val="36"/>
          <w:szCs w:val="36"/>
        </w:rPr>
      </w:pPr>
      <w:r w:rsidRPr="005A2170">
        <w:rPr>
          <w:rFonts w:ascii="Garamond" w:hAnsi="Garamond"/>
          <w:sz w:val="36"/>
          <w:szCs w:val="36"/>
        </w:rPr>
        <w:t>2. Introduction</w:t>
      </w:r>
    </w:p>
    <w:p w14:paraId="012A1A07" w14:textId="11B6B886" w:rsidR="00B10295" w:rsidRDefault="00EE6408" w:rsidP="00A04EF4">
      <w:pPr>
        <w:rPr>
          <w:rFonts w:ascii="Garamond" w:hAnsi="Garamond"/>
          <w:sz w:val="26"/>
          <w:szCs w:val="26"/>
        </w:rPr>
      </w:pPr>
      <w:r w:rsidRPr="00F1729A">
        <w:rPr>
          <w:rFonts w:ascii="Garamond" w:hAnsi="Garamond"/>
          <w:sz w:val="26"/>
          <w:szCs w:val="26"/>
        </w:rPr>
        <w:t>The ITFA is a federal preemption statute barring states</w:t>
      </w:r>
      <w:r w:rsidR="00052F90">
        <w:rPr>
          <w:rFonts w:ascii="Garamond" w:hAnsi="Garamond"/>
          <w:sz w:val="26"/>
          <w:szCs w:val="26"/>
        </w:rPr>
        <w:t xml:space="preserve"> and their political subdivisions</w:t>
      </w:r>
      <w:r w:rsidR="002F4B22">
        <w:rPr>
          <w:rStyle w:val="FootnoteReference"/>
          <w:rFonts w:ascii="Garamond" w:hAnsi="Garamond"/>
          <w:sz w:val="26"/>
          <w:szCs w:val="26"/>
        </w:rPr>
        <w:footnoteReference w:id="4"/>
      </w:r>
      <w:r w:rsidRPr="00F1729A">
        <w:rPr>
          <w:rFonts w:ascii="Garamond" w:hAnsi="Garamond"/>
          <w:sz w:val="26"/>
          <w:szCs w:val="26"/>
        </w:rPr>
        <w:t xml:space="preserve"> from imposing tax</w:t>
      </w:r>
      <w:r w:rsidR="00B55663" w:rsidRPr="00F1729A">
        <w:rPr>
          <w:rFonts w:ascii="Garamond" w:hAnsi="Garamond"/>
          <w:sz w:val="26"/>
          <w:szCs w:val="26"/>
        </w:rPr>
        <w:t>es</w:t>
      </w:r>
      <w:r w:rsidRPr="00F1729A">
        <w:rPr>
          <w:rFonts w:ascii="Garamond" w:hAnsi="Garamond"/>
          <w:sz w:val="26"/>
          <w:szCs w:val="26"/>
        </w:rPr>
        <w:t xml:space="preserve"> on Internet access and </w:t>
      </w:r>
      <w:r w:rsidR="00A70C32" w:rsidRPr="00F1729A">
        <w:rPr>
          <w:rFonts w:ascii="Garamond" w:hAnsi="Garamond"/>
          <w:sz w:val="26"/>
          <w:szCs w:val="26"/>
        </w:rPr>
        <w:t>from</w:t>
      </w:r>
      <w:r w:rsidRPr="00F1729A">
        <w:rPr>
          <w:rFonts w:ascii="Garamond" w:hAnsi="Garamond"/>
          <w:sz w:val="26"/>
          <w:szCs w:val="26"/>
        </w:rPr>
        <w:t xml:space="preserve"> </w:t>
      </w:r>
      <w:r w:rsidR="00B55663" w:rsidRPr="00F1729A">
        <w:rPr>
          <w:rFonts w:ascii="Garamond" w:hAnsi="Garamond"/>
          <w:sz w:val="26"/>
          <w:szCs w:val="26"/>
        </w:rPr>
        <w:t xml:space="preserve">imposing </w:t>
      </w:r>
      <w:r w:rsidRPr="00F1729A">
        <w:rPr>
          <w:rFonts w:ascii="Garamond" w:hAnsi="Garamond"/>
          <w:sz w:val="26"/>
          <w:szCs w:val="26"/>
        </w:rPr>
        <w:t>multiple and discriminatory taxes on electronic commerce.</w:t>
      </w:r>
      <w:r w:rsidR="009912B3" w:rsidRPr="00F1729A">
        <w:rPr>
          <w:rFonts w:ascii="Garamond" w:hAnsi="Garamond"/>
          <w:sz w:val="26"/>
          <w:szCs w:val="26"/>
        </w:rPr>
        <w:t xml:space="preserve"> </w:t>
      </w:r>
    </w:p>
    <w:p w14:paraId="3561BE1F" w14:textId="77777777" w:rsidR="00A04EF4" w:rsidRDefault="00CC6D25" w:rsidP="00A04EF4">
      <w:pPr>
        <w:rPr>
          <w:rFonts w:ascii="Garamond" w:hAnsi="Garamond"/>
          <w:sz w:val="26"/>
          <w:szCs w:val="26"/>
        </w:rPr>
      </w:pPr>
      <w:r>
        <w:rPr>
          <w:rFonts w:ascii="Garamond" w:hAnsi="Garamond"/>
          <w:sz w:val="26"/>
          <w:szCs w:val="26"/>
        </w:rPr>
        <w:t xml:space="preserve">The context behind the ITFA was the growing Internet of the mid-to-late 1990s. </w:t>
      </w:r>
      <w:r w:rsidR="00DF2723">
        <w:rPr>
          <w:rFonts w:ascii="Garamond" w:hAnsi="Garamond"/>
          <w:sz w:val="26"/>
          <w:szCs w:val="26"/>
        </w:rPr>
        <w:t xml:space="preserve">The Internet’s inherently interstate nature made it seem uniquely susceptible to disruptive state and local taxation. </w:t>
      </w:r>
      <w:r>
        <w:rPr>
          <w:rFonts w:ascii="Garamond" w:hAnsi="Garamond"/>
          <w:sz w:val="26"/>
          <w:szCs w:val="26"/>
        </w:rPr>
        <w:t>The perception of the Internet and Internet-based commerce becoming targets of state and local taxation led directly to the creation of the ITFA</w:t>
      </w:r>
      <w:r w:rsidR="00DF2723">
        <w:rPr>
          <w:rFonts w:ascii="Garamond" w:hAnsi="Garamond"/>
          <w:sz w:val="26"/>
          <w:szCs w:val="26"/>
        </w:rPr>
        <w:t xml:space="preserve"> in 1998</w:t>
      </w:r>
      <w:r>
        <w:rPr>
          <w:rFonts w:ascii="Garamond" w:hAnsi="Garamond"/>
          <w:sz w:val="26"/>
          <w:szCs w:val="26"/>
        </w:rPr>
        <w:t>.</w:t>
      </w:r>
      <w:r>
        <w:rPr>
          <w:rStyle w:val="FootnoteReference"/>
          <w:rFonts w:ascii="Garamond" w:hAnsi="Garamond"/>
          <w:sz w:val="26"/>
          <w:szCs w:val="26"/>
        </w:rPr>
        <w:footnoteReference w:id="5"/>
      </w:r>
      <w:r w:rsidR="00A04EF4">
        <w:rPr>
          <w:rFonts w:ascii="Garamond" w:hAnsi="Garamond"/>
          <w:sz w:val="26"/>
          <w:szCs w:val="26"/>
        </w:rPr>
        <w:t xml:space="preserve"> </w:t>
      </w:r>
    </w:p>
    <w:p w14:paraId="5BCDB123" w14:textId="749583D6" w:rsidR="00A04EF4" w:rsidRDefault="007162D0" w:rsidP="00997C70">
      <w:pPr>
        <w:rPr>
          <w:rFonts w:ascii="Garamond" w:eastAsia="Times New Roman" w:hAnsi="Garamond" w:cs="Courier New"/>
          <w:color w:val="000000"/>
          <w:kern w:val="0"/>
          <w:sz w:val="26"/>
          <w:szCs w:val="26"/>
          <w14:ligatures w14:val="none"/>
        </w:rPr>
      </w:pPr>
      <w:r>
        <w:rPr>
          <w:rFonts w:ascii="Garamond" w:eastAsia="Times New Roman" w:hAnsi="Garamond" w:cs="Courier New"/>
          <w:color w:val="000000"/>
          <w:kern w:val="0"/>
          <w:sz w:val="26"/>
          <w:szCs w:val="26"/>
          <w14:ligatures w14:val="none"/>
        </w:rPr>
        <w:lastRenderedPageBreak/>
        <w:t xml:space="preserve">The </w:t>
      </w:r>
      <w:r w:rsidR="00EF113E">
        <w:rPr>
          <w:rFonts w:ascii="Garamond" w:eastAsia="Times New Roman" w:hAnsi="Garamond" w:cs="Courier New"/>
          <w:color w:val="000000"/>
          <w:kern w:val="0"/>
          <w:sz w:val="26"/>
          <w:szCs w:val="26"/>
          <w14:ligatures w14:val="none"/>
        </w:rPr>
        <w:t>ITFA was</w:t>
      </w:r>
      <w:r w:rsidR="00B10295" w:rsidRPr="00723029">
        <w:rPr>
          <w:rFonts w:ascii="Garamond" w:eastAsia="Times New Roman" w:hAnsi="Garamond" w:cs="Courier New"/>
          <w:color w:val="000000"/>
          <w:kern w:val="0"/>
          <w:sz w:val="26"/>
          <w:szCs w:val="26"/>
          <w14:ligatures w14:val="none"/>
        </w:rPr>
        <w:t xml:space="preserve"> originally temporary</w:t>
      </w:r>
      <w:r w:rsidR="00DF2723">
        <w:rPr>
          <w:rStyle w:val="FootnoteReference"/>
          <w:rFonts w:ascii="Garamond" w:eastAsia="Times New Roman" w:hAnsi="Garamond" w:cs="Courier New"/>
          <w:color w:val="000000"/>
          <w:kern w:val="0"/>
          <w:sz w:val="26"/>
          <w:szCs w:val="26"/>
          <w14:ligatures w14:val="none"/>
        </w:rPr>
        <w:footnoteReference w:id="6"/>
      </w:r>
      <w:r w:rsidR="00EF113E">
        <w:rPr>
          <w:rFonts w:ascii="Garamond" w:eastAsia="Times New Roman" w:hAnsi="Garamond" w:cs="Courier New"/>
          <w:color w:val="000000"/>
          <w:kern w:val="0"/>
          <w:sz w:val="26"/>
          <w:szCs w:val="26"/>
          <w14:ligatures w14:val="none"/>
        </w:rPr>
        <w:t xml:space="preserve"> but </w:t>
      </w:r>
      <w:r w:rsidR="00B10295" w:rsidRPr="00723029">
        <w:rPr>
          <w:rFonts w:ascii="Garamond" w:eastAsia="Times New Roman" w:hAnsi="Garamond" w:cs="Courier New"/>
          <w:color w:val="000000"/>
          <w:kern w:val="0"/>
          <w:sz w:val="26"/>
          <w:szCs w:val="26"/>
          <w14:ligatures w14:val="none"/>
        </w:rPr>
        <w:t>was subsequently amended</w:t>
      </w:r>
      <w:r w:rsidR="00205E78">
        <w:rPr>
          <w:rFonts w:ascii="Garamond" w:eastAsia="Times New Roman" w:hAnsi="Garamond" w:cs="Courier New"/>
          <w:color w:val="000000"/>
          <w:kern w:val="0"/>
          <w:sz w:val="26"/>
          <w:szCs w:val="26"/>
          <w14:ligatures w14:val="none"/>
        </w:rPr>
        <w:t xml:space="preserve"> </w:t>
      </w:r>
      <w:r w:rsidR="00665C57">
        <w:rPr>
          <w:rFonts w:ascii="Garamond" w:eastAsia="Times New Roman" w:hAnsi="Garamond" w:cs="Courier New"/>
          <w:color w:val="000000"/>
          <w:kern w:val="0"/>
          <w:sz w:val="26"/>
          <w:szCs w:val="26"/>
          <w14:ligatures w14:val="none"/>
        </w:rPr>
        <w:t xml:space="preserve">and extended </w:t>
      </w:r>
      <w:r w:rsidR="00205E78">
        <w:rPr>
          <w:rFonts w:ascii="Garamond" w:eastAsia="Times New Roman" w:hAnsi="Garamond" w:cs="Courier New"/>
          <w:color w:val="000000"/>
          <w:kern w:val="0"/>
          <w:sz w:val="26"/>
          <w:szCs w:val="26"/>
          <w14:ligatures w14:val="none"/>
        </w:rPr>
        <w:t>several time</w:t>
      </w:r>
      <w:r w:rsidR="002046C2">
        <w:rPr>
          <w:rFonts w:ascii="Garamond" w:eastAsia="Times New Roman" w:hAnsi="Garamond" w:cs="Courier New"/>
          <w:color w:val="000000"/>
          <w:kern w:val="0"/>
          <w:sz w:val="26"/>
          <w:szCs w:val="26"/>
          <w14:ligatures w14:val="none"/>
        </w:rPr>
        <w:t>s</w:t>
      </w:r>
      <w:r w:rsidR="00665C57">
        <w:rPr>
          <w:rFonts w:ascii="Garamond" w:eastAsia="Times New Roman" w:hAnsi="Garamond" w:cs="Courier New"/>
          <w:color w:val="000000"/>
          <w:kern w:val="0"/>
          <w:sz w:val="26"/>
          <w:szCs w:val="26"/>
          <w14:ligatures w14:val="none"/>
        </w:rPr>
        <w:t>,</w:t>
      </w:r>
      <w:r w:rsidR="00665C57">
        <w:rPr>
          <w:rStyle w:val="FootnoteReference"/>
          <w:rFonts w:ascii="Garamond" w:eastAsia="Times New Roman" w:hAnsi="Garamond" w:cs="Courier New"/>
          <w:color w:val="000000"/>
          <w:kern w:val="0"/>
          <w:sz w:val="26"/>
          <w:szCs w:val="26"/>
          <w14:ligatures w14:val="none"/>
        </w:rPr>
        <w:footnoteReference w:id="7"/>
      </w:r>
      <w:r w:rsidR="00B10295" w:rsidRPr="00723029">
        <w:rPr>
          <w:rFonts w:ascii="Garamond" w:eastAsia="Times New Roman" w:hAnsi="Garamond" w:cs="Courier New"/>
          <w:color w:val="000000"/>
          <w:kern w:val="0"/>
          <w:sz w:val="26"/>
          <w:szCs w:val="26"/>
          <w14:ligatures w14:val="none"/>
        </w:rPr>
        <w:t xml:space="preserve"> </w:t>
      </w:r>
      <w:r w:rsidR="00B10295" w:rsidRPr="00665C57">
        <w:rPr>
          <w:rFonts w:ascii="Garamond" w:eastAsia="Times New Roman" w:hAnsi="Garamond" w:cs="Courier New"/>
          <w:color w:val="000000"/>
          <w:kern w:val="0"/>
          <w:sz w:val="26"/>
          <w:szCs w:val="26"/>
          <w14:ligatures w14:val="none"/>
        </w:rPr>
        <w:t xml:space="preserve">and </w:t>
      </w:r>
      <w:r w:rsidR="00EF113E">
        <w:rPr>
          <w:rFonts w:ascii="Garamond" w:eastAsia="Times New Roman" w:hAnsi="Garamond" w:cs="Courier New"/>
          <w:color w:val="000000"/>
          <w:kern w:val="0"/>
          <w:sz w:val="26"/>
          <w:szCs w:val="26"/>
          <w14:ligatures w14:val="none"/>
        </w:rPr>
        <w:t>eventually</w:t>
      </w:r>
      <w:r w:rsidR="00B10295" w:rsidRPr="00723029">
        <w:rPr>
          <w:rFonts w:ascii="Garamond" w:eastAsia="Times New Roman" w:hAnsi="Garamond" w:cs="Courier New"/>
          <w:color w:val="000000"/>
          <w:kern w:val="0"/>
          <w:sz w:val="26"/>
          <w:szCs w:val="26"/>
          <w14:ligatures w14:val="none"/>
        </w:rPr>
        <w:t xml:space="preserve"> </w:t>
      </w:r>
      <w:r w:rsidR="00665C57">
        <w:rPr>
          <w:rFonts w:ascii="Garamond" w:eastAsia="Times New Roman" w:hAnsi="Garamond" w:cs="Courier New"/>
          <w:color w:val="000000"/>
          <w:kern w:val="0"/>
          <w:sz w:val="26"/>
          <w:szCs w:val="26"/>
          <w14:ligatures w14:val="none"/>
        </w:rPr>
        <w:t>made</w:t>
      </w:r>
      <w:r w:rsidR="00B10295" w:rsidRPr="00723029">
        <w:rPr>
          <w:rFonts w:ascii="Garamond" w:eastAsia="Times New Roman" w:hAnsi="Garamond" w:cs="Courier New"/>
          <w:color w:val="000000"/>
          <w:kern w:val="0"/>
          <w:sz w:val="26"/>
          <w:szCs w:val="26"/>
          <w14:ligatures w14:val="none"/>
        </w:rPr>
        <w:t xml:space="preserve"> permanent</w:t>
      </w:r>
      <w:r w:rsidR="002046C2">
        <w:rPr>
          <w:rFonts w:ascii="Garamond" w:eastAsia="Times New Roman" w:hAnsi="Garamond" w:cs="Courier New"/>
          <w:color w:val="000000"/>
          <w:kern w:val="0"/>
          <w:sz w:val="26"/>
          <w:szCs w:val="26"/>
          <w14:ligatures w14:val="none"/>
        </w:rPr>
        <w:t xml:space="preserve"> in </w:t>
      </w:r>
      <w:r w:rsidR="00665C57" w:rsidRPr="00EF113E">
        <w:rPr>
          <w:rFonts w:ascii="Garamond" w:eastAsia="Times New Roman" w:hAnsi="Garamond" w:cs="Courier New"/>
          <w:kern w:val="0"/>
          <w:sz w:val="26"/>
          <w:szCs w:val="26"/>
          <w14:ligatures w14:val="none"/>
        </w:rPr>
        <w:t>2016</w:t>
      </w:r>
      <w:r w:rsidR="002046C2">
        <w:rPr>
          <w:rFonts w:ascii="Garamond" w:eastAsia="Times New Roman" w:hAnsi="Garamond" w:cs="Courier New"/>
          <w:color w:val="000000"/>
          <w:kern w:val="0"/>
          <w:sz w:val="26"/>
          <w:szCs w:val="26"/>
          <w14:ligatures w14:val="none"/>
        </w:rPr>
        <w:t>.</w:t>
      </w:r>
      <w:r w:rsidR="00665C57">
        <w:rPr>
          <w:rStyle w:val="FootnoteReference"/>
          <w:rFonts w:ascii="Garamond" w:eastAsia="Times New Roman" w:hAnsi="Garamond" w:cs="Courier New"/>
          <w:color w:val="000000"/>
          <w:kern w:val="0"/>
          <w:sz w:val="26"/>
          <w:szCs w:val="26"/>
          <w14:ligatures w14:val="none"/>
        </w:rPr>
        <w:footnoteReference w:id="8"/>
      </w:r>
      <w:r w:rsidR="00DF2723">
        <w:rPr>
          <w:rFonts w:ascii="Garamond" w:eastAsia="Times New Roman" w:hAnsi="Garamond" w:cs="Courier New"/>
          <w:color w:val="000000"/>
          <w:kern w:val="0"/>
          <w:sz w:val="26"/>
          <w:szCs w:val="26"/>
          <w14:ligatures w14:val="none"/>
        </w:rPr>
        <w:t xml:space="preserve"> ITFA’s legacy clause expired in 2020.</w:t>
      </w:r>
      <w:r w:rsidR="00DF2723">
        <w:rPr>
          <w:rStyle w:val="FootnoteReference"/>
          <w:rFonts w:ascii="Garamond" w:eastAsia="Times New Roman" w:hAnsi="Garamond" w:cs="Courier New"/>
          <w:color w:val="000000"/>
          <w:kern w:val="0"/>
          <w:sz w:val="26"/>
          <w:szCs w:val="26"/>
          <w14:ligatures w14:val="none"/>
        </w:rPr>
        <w:footnoteReference w:id="9"/>
      </w:r>
    </w:p>
    <w:p w14:paraId="540E73A0" w14:textId="77777777" w:rsidR="00997C70" w:rsidRPr="00DF2723" w:rsidRDefault="00997C70" w:rsidP="00997C70">
      <w:pPr>
        <w:rPr>
          <w:rFonts w:ascii="Garamond" w:hAnsi="Garamond"/>
          <w:sz w:val="26"/>
          <w:szCs w:val="26"/>
        </w:rPr>
      </w:pPr>
    </w:p>
    <w:p w14:paraId="3A1C16AF" w14:textId="73DD7E13" w:rsidR="000A435F" w:rsidRPr="003D7B60" w:rsidRDefault="003D7B60" w:rsidP="00B10295">
      <w:pPr>
        <w:pStyle w:val="HTMLPreformatted"/>
        <w:rPr>
          <w:rFonts w:ascii="Garamond" w:eastAsia="Times New Roman" w:hAnsi="Garamond" w:cs="Courier New"/>
          <w:b/>
          <w:bCs/>
          <w:color w:val="000000"/>
          <w:kern w:val="0"/>
          <w:sz w:val="26"/>
          <w:szCs w:val="26"/>
          <w14:ligatures w14:val="none"/>
        </w:rPr>
      </w:pPr>
      <w:r w:rsidRPr="003D7B60">
        <w:rPr>
          <w:rFonts w:ascii="Garamond" w:eastAsia="Times New Roman" w:hAnsi="Garamond" w:cs="Courier New"/>
          <w:b/>
          <w:bCs/>
          <w:color w:val="000000"/>
          <w:kern w:val="0"/>
          <w:sz w:val="26"/>
          <w:szCs w:val="26"/>
          <w14:ligatures w14:val="none"/>
        </w:rPr>
        <w:t>ITFA’s timeline, visualized:</w:t>
      </w:r>
    </w:p>
    <w:p w14:paraId="2906A836" w14:textId="31961B66" w:rsidR="008165D8" w:rsidRDefault="000A435F" w:rsidP="00B10295">
      <w:pPr>
        <w:pStyle w:val="HTMLPreformatted"/>
        <w:rPr>
          <w:rFonts w:ascii="Garamond" w:eastAsia="Times New Roman" w:hAnsi="Garamond" w:cs="Courier New"/>
          <w:color w:val="000000"/>
          <w:kern w:val="0"/>
          <w:sz w:val="26"/>
          <w:szCs w:val="26"/>
          <w14:ligatures w14:val="none"/>
        </w:rPr>
      </w:pPr>
      <w:r>
        <w:rPr>
          <w:rFonts w:ascii="Garamond" w:eastAsia="Times New Roman" w:hAnsi="Garamond" w:cs="Courier New"/>
          <w:noProof/>
          <w:color w:val="000000"/>
          <w:kern w:val="0"/>
          <w:sz w:val="26"/>
          <w:szCs w:val="26"/>
        </w:rPr>
        <w:drawing>
          <wp:inline distT="0" distB="0" distL="0" distR="0" wp14:anchorId="3647CDEE" wp14:editId="336D5FF4">
            <wp:extent cx="5753100" cy="3200400"/>
            <wp:effectExtent l="0" t="0" r="57150" b="0"/>
            <wp:docPr id="19994594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0C8D874" w14:textId="77777777" w:rsidR="003D7B60" w:rsidRPr="00184C00" w:rsidRDefault="003D7B60" w:rsidP="00184C00">
      <w:pPr>
        <w:pStyle w:val="HTMLPreformatted"/>
        <w:rPr>
          <w:rFonts w:ascii="Courier New" w:eastAsia="Times New Roman" w:hAnsi="Courier New" w:cs="Courier New"/>
          <w:color w:val="000000"/>
          <w:kern w:val="0"/>
          <w14:ligatures w14:val="none"/>
        </w:rPr>
      </w:pPr>
    </w:p>
    <w:p w14:paraId="1FAB3863" w14:textId="0276E223" w:rsidR="007162D0" w:rsidRDefault="00BE72B5" w:rsidP="00930F0A">
      <w:pPr>
        <w:rPr>
          <w:rFonts w:ascii="Garamond" w:hAnsi="Garamond"/>
          <w:sz w:val="26"/>
          <w:szCs w:val="26"/>
        </w:rPr>
      </w:pPr>
      <w:r>
        <w:rPr>
          <w:rFonts w:ascii="Garamond" w:hAnsi="Garamond"/>
          <w:sz w:val="26"/>
          <w:szCs w:val="26"/>
        </w:rPr>
        <w:t>Because</w:t>
      </w:r>
      <w:r w:rsidR="009912B3" w:rsidRPr="00F1729A">
        <w:rPr>
          <w:rFonts w:ascii="Garamond" w:hAnsi="Garamond"/>
          <w:sz w:val="26"/>
          <w:szCs w:val="26"/>
        </w:rPr>
        <w:t xml:space="preserve"> no federal agency </w:t>
      </w:r>
      <w:r w:rsidR="00F258B6">
        <w:rPr>
          <w:rFonts w:ascii="Garamond" w:hAnsi="Garamond"/>
          <w:sz w:val="26"/>
          <w:szCs w:val="26"/>
        </w:rPr>
        <w:t xml:space="preserve">is </w:t>
      </w:r>
      <w:r w:rsidR="009912B3" w:rsidRPr="00F1729A">
        <w:rPr>
          <w:rFonts w:ascii="Garamond" w:hAnsi="Garamond"/>
          <w:sz w:val="26"/>
          <w:szCs w:val="26"/>
        </w:rPr>
        <w:t>authorized to issue guidance under</w:t>
      </w:r>
      <w:r w:rsidR="002046C2">
        <w:rPr>
          <w:rFonts w:ascii="Garamond" w:hAnsi="Garamond"/>
          <w:sz w:val="26"/>
          <w:szCs w:val="26"/>
        </w:rPr>
        <w:t xml:space="preserve"> the</w:t>
      </w:r>
      <w:r w:rsidR="009912B3" w:rsidRPr="00F1729A">
        <w:rPr>
          <w:rFonts w:ascii="Garamond" w:hAnsi="Garamond"/>
          <w:sz w:val="26"/>
          <w:szCs w:val="26"/>
        </w:rPr>
        <w:t xml:space="preserve"> </w:t>
      </w:r>
      <w:r>
        <w:rPr>
          <w:rFonts w:ascii="Garamond" w:hAnsi="Garamond"/>
          <w:sz w:val="26"/>
          <w:szCs w:val="26"/>
        </w:rPr>
        <w:t>ITFA,</w:t>
      </w:r>
      <w:r w:rsidR="009912B3" w:rsidRPr="00F1729A">
        <w:rPr>
          <w:rFonts w:ascii="Garamond" w:hAnsi="Garamond"/>
          <w:sz w:val="26"/>
          <w:szCs w:val="26"/>
        </w:rPr>
        <w:t xml:space="preserve"> </w:t>
      </w:r>
      <w:r>
        <w:rPr>
          <w:rFonts w:ascii="Garamond" w:hAnsi="Garamond"/>
          <w:sz w:val="26"/>
          <w:szCs w:val="26"/>
        </w:rPr>
        <w:t>a</w:t>
      </w:r>
      <w:r w:rsidR="009912B3" w:rsidRPr="00F1729A">
        <w:rPr>
          <w:rFonts w:ascii="Garamond" w:hAnsi="Garamond"/>
          <w:sz w:val="26"/>
          <w:szCs w:val="26"/>
        </w:rPr>
        <w:t xml:space="preserve">ny guidance or detail </w:t>
      </w:r>
      <w:r w:rsidR="007162D0">
        <w:rPr>
          <w:rFonts w:ascii="Garamond" w:hAnsi="Garamond"/>
          <w:sz w:val="26"/>
          <w:szCs w:val="26"/>
        </w:rPr>
        <w:t xml:space="preserve">is </w:t>
      </w:r>
      <w:r w:rsidR="009912B3" w:rsidRPr="00F1729A">
        <w:rPr>
          <w:rFonts w:ascii="Garamond" w:hAnsi="Garamond"/>
          <w:sz w:val="26"/>
          <w:szCs w:val="26"/>
        </w:rPr>
        <w:t>left to</w:t>
      </w:r>
      <w:r w:rsidR="00D76CF7">
        <w:rPr>
          <w:rFonts w:ascii="Garamond" w:hAnsi="Garamond"/>
          <w:sz w:val="26"/>
          <w:szCs w:val="26"/>
        </w:rPr>
        <w:t xml:space="preserve"> </w:t>
      </w:r>
      <w:r w:rsidR="00220579">
        <w:rPr>
          <w:rFonts w:ascii="Garamond" w:hAnsi="Garamond"/>
          <w:sz w:val="26"/>
          <w:szCs w:val="26"/>
        </w:rPr>
        <w:t xml:space="preserve">the </w:t>
      </w:r>
      <w:r w:rsidR="00D76CF7">
        <w:rPr>
          <w:rFonts w:ascii="Garamond" w:hAnsi="Garamond"/>
          <w:sz w:val="26"/>
          <w:szCs w:val="26"/>
        </w:rPr>
        <w:t>state</w:t>
      </w:r>
      <w:r w:rsidR="00220579">
        <w:rPr>
          <w:rFonts w:ascii="Garamond" w:hAnsi="Garamond"/>
          <w:sz w:val="26"/>
          <w:szCs w:val="26"/>
        </w:rPr>
        <w:t>s</w:t>
      </w:r>
      <w:r w:rsidR="00D76CF7">
        <w:rPr>
          <w:rFonts w:ascii="Garamond" w:hAnsi="Garamond"/>
          <w:sz w:val="26"/>
          <w:szCs w:val="26"/>
        </w:rPr>
        <w:t xml:space="preserve"> </w:t>
      </w:r>
      <w:r w:rsidR="00F324F5">
        <w:rPr>
          <w:rFonts w:ascii="Garamond" w:hAnsi="Garamond"/>
          <w:sz w:val="26"/>
          <w:szCs w:val="26"/>
        </w:rPr>
        <w:t xml:space="preserve">and </w:t>
      </w:r>
      <w:r w:rsidR="00B452B6">
        <w:rPr>
          <w:rFonts w:ascii="Garamond" w:hAnsi="Garamond"/>
          <w:sz w:val="26"/>
          <w:szCs w:val="26"/>
        </w:rPr>
        <w:t xml:space="preserve">the </w:t>
      </w:r>
      <w:r w:rsidR="00F324F5">
        <w:rPr>
          <w:rFonts w:ascii="Garamond" w:hAnsi="Garamond"/>
          <w:sz w:val="26"/>
          <w:szCs w:val="26"/>
        </w:rPr>
        <w:t xml:space="preserve">courts to </w:t>
      </w:r>
      <w:r w:rsidR="002046C2">
        <w:rPr>
          <w:rFonts w:ascii="Garamond" w:hAnsi="Garamond"/>
          <w:sz w:val="26"/>
          <w:szCs w:val="26"/>
        </w:rPr>
        <w:t>fill in</w:t>
      </w:r>
      <w:r w:rsidR="009912B3" w:rsidRPr="00F1729A">
        <w:rPr>
          <w:rFonts w:ascii="Garamond" w:hAnsi="Garamond"/>
          <w:sz w:val="26"/>
          <w:szCs w:val="26"/>
        </w:rPr>
        <w:t>.</w:t>
      </w:r>
      <w:r w:rsidR="00B10295">
        <w:rPr>
          <w:rFonts w:ascii="Garamond" w:hAnsi="Garamond"/>
          <w:sz w:val="26"/>
          <w:szCs w:val="26"/>
        </w:rPr>
        <w:t xml:space="preserve"> </w:t>
      </w:r>
      <w:r w:rsidR="003D7B60">
        <w:rPr>
          <w:rFonts w:ascii="Garamond" w:hAnsi="Garamond"/>
          <w:sz w:val="26"/>
          <w:szCs w:val="26"/>
        </w:rPr>
        <w:t xml:space="preserve">With the courts the only source of </w:t>
      </w:r>
      <w:r w:rsidR="003D7B60" w:rsidRPr="003D7B60">
        <w:rPr>
          <w:rFonts w:ascii="Garamond" w:hAnsi="Garamond"/>
          <w:i/>
          <w:iCs/>
          <w:sz w:val="26"/>
          <w:szCs w:val="26"/>
        </w:rPr>
        <w:t>binding</w:t>
      </w:r>
      <w:r w:rsidR="003D7B60">
        <w:rPr>
          <w:rFonts w:ascii="Garamond" w:hAnsi="Garamond"/>
          <w:sz w:val="26"/>
          <w:szCs w:val="26"/>
        </w:rPr>
        <w:t xml:space="preserve"> guidance. </w:t>
      </w:r>
      <w:r w:rsidR="002046C2">
        <w:rPr>
          <w:rFonts w:ascii="Garamond" w:hAnsi="Garamond"/>
          <w:sz w:val="26"/>
          <w:szCs w:val="26"/>
        </w:rPr>
        <w:t>There remain significant uncertaint</w:t>
      </w:r>
      <w:r w:rsidR="007026A6">
        <w:rPr>
          <w:rFonts w:ascii="Garamond" w:hAnsi="Garamond"/>
          <w:sz w:val="26"/>
          <w:szCs w:val="26"/>
        </w:rPr>
        <w:t>ies</w:t>
      </w:r>
      <w:r w:rsidR="002046C2">
        <w:rPr>
          <w:rFonts w:ascii="Garamond" w:hAnsi="Garamond"/>
          <w:sz w:val="26"/>
          <w:szCs w:val="26"/>
        </w:rPr>
        <w:t xml:space="preserve"> as </w:t>
      </w:r>
      <w:r w:rsidR="007026A6">
        <w:rPr>
          <w:rFonts w:ascii="Garamond" w:hAnsi="Garamond"/>
          <w:sz w:val="26"/>
          <w:szCs w:val="26"/>
        </w:rPr>
        <w:t xml:space="preserve">to </w:t>
      </w:r>
      <w:r w:rsidR="002046C2">
        <w:rPr>
          <w:rFonts w:ascii="Garamond" w:hAnsi="Garamond"/>
          <w:sz w:val="26"/>
          <w:szCs w:val="26"/>
        </w:rPr>
        <w:t xml:space="preserve">the full scope and reach of the ITFA. </w:t>
      </w:r>
    </w:p>
    <w:p w14:paraId="279487DB" w14:textId="5424ADAF" w:rsidR="003D7B60" w:rsidRDefault="00764AE5" w:rsidP="003D7B60">
      <w:pPr>
        <w:rPr>
          <w:rFonts w:ascii="Garamond" w:hAnsi="Garamond"/>
          <w:sz w:val="26"/>
          <w:szCs w:val="26"/>
        </w:rPr>
      </w:pPr>
      <w:r>
        <w:rPr>
          <w:rFonts w:ascii="Garamond" w:hAnsi="Garamond"/>
          <w:sz w:val="26"/>
          <w:szCs w:val="26"/>
        </w:rPr>
        <w:t xml:space="preserve">ITFA’s concept of </w:t>
      </w:r>
      <w:r w:rsidR="003D7B60">
        <w:rPr>
          <w:rFonts w:ascii="Garamond" w:hAnsi="Garamond"/>
          <w:sz w:val="26"/>
          <w:szCs w:val="26"/>
        </w:rPr>
        <w:t>“</w:t>
      </w:r>
      <w:r w:rsidR="00AE14A6">
        <w:rPr>
          <w:rFonts w:ascii="Garamond" w:hAnsi="Garamond"/>
          <w:sz w:val="26"/>
          <w:szCs w:val="26"/>
        </w:rPr>
        <w:t>electronic commerce</w:t>
      </w:r>
      <w:r w:rsidR="003D7B60">
        <w:rPr>
          <w:rFonts w:ascii="Garamond" w:hAnsi="Garamond"/>
          <w:sz w:val="26"/>
          <w:szCs w:val="26"/>
        </w:rPr>
        <w:t>”</w:t>
      </w:r>
      <w:r w:rsidR="00AE14A6">
        <w:rPr>
          <w:rFonts w:ascii="Garamond" w:hAnsi="Garamond"/>
          <w:sz w:val="26"/>
          <w:szCs w:val="26"/>
        </w:rPr>
        <w:t xml:space="preserve"> </w:t>
      </w:r>
      <w:r w:rsidR="003D7B60">
        <w:rPr>
          <w:rFonts w:ascii="Garamond" w:hAnsi="Garamond"/>
          <w:sz w:val="26"/>
          <w:szCs w:val="26"/>
        </w:rPr>
        <w:t>overlaps with, but is not synonymous with, digital products. Thus, s</w:t>
      </w:r>
      <w:r>
        <w:rPr>
          <w:rFonts w:ascii="Garamond" w:hAnsi="Garamond"/>
          <w:sz w:val="26"/>
          <w:szCs w:val="26"/>
        </w:rPr>
        <w:t xml:space="preserve">imply taxing digital products </w:t>
      </w:r>
      <w:r w:rsidR="003D7B60">
        <w:rPr>
          <w:rFonts w:ascii="Garamond" w:hAnsi="Garamond"/>
          <w:sz w:val="26"/>
          <w:szCs w:val="26"/>
        </w:rPr>
        <w:t>does not in itself implicate the ITFA</w:t>
      </w:r>
      <w:r>
        <w:rPr>
          <w:rFonts w:ascii="Garamond" w:hAnsi="Garamond"/>
          <w:sz w:val="26"/>
          <w:szCs w:val="26"/>
        </w:rPr>
        <w:t xml:space="preserve">. </w:t>
      </w:r>
      <w:r w:rsidR="003D7B60">
        <w:rPr>
          <w:rFonts w:ascii="Garamond" w:hAnsi="Garamond"/>
          <w:sz w:val="26"/>
          <w:szCs w:val="26"/>
        </w:rPr>
        <w:t>Nonetheless, the ITFA is relevant to the project. Th</w:t>
      </w:r>
      <w:r>
        <w:rPr>
          <w:rFonts w:ascii="Garamond" w:hAnsi="Garamond"/>
          <w:sz w:val="26"/>
          <w:szCs w:val="26"/>
        </w:rPr>
        <w:t xml:space="preserve">is section of the Whitepaper seeks to provide information </w:t>
      </w:r>
      <w:r w:rsidR="003D7B60">
        <w:rPr>
          <w:rFonts w:ascii="Garamond" w:hAnsi="Garamond"/>
          <w:sz w:val="26"/>
          <w:szCs w:val="26"/>
        </w:rPr>
        <w:t>that</w:t>
      </w:r>
      <w:r>
        <w:rPr>
          <w:rFonts w:ascii="Garamond" w:hAnsi="Garamond"/>
          <w:sz w:val="26"/>
          <w:szCs w:val="26"/>
        </w:rPr>
        <w:t xml:space="preserve"> state policymakers and the public </w:t>
      </w:r>
      <w:r w:rsidR="003D7B60">
        <w:rPr>
          <w:rFonts w:ascii="Garamond" w:hAnsi="Garamond"/>
          <w:sz w:val="26"/>
          <w:szCs w:val="26"/>
        </w:rPr>
        <w:t xml:space="preserve">must know </w:t>
      </w:r>
      <w:r>
        <w:rPr>
          <w:rFonts w:ascii="Garamond" w:hAnsi="Garamond"/>
          <w:sz w:val="26"/>
          <w:szCs w:val="26"/>
        </w:rPr>
        <w:t>about the ITFA when considering the inclusion of digital products within the tax base.</w:t>
      </w:r>
    </w:p>
    <w:p w14:paraId="22DA9675" w14:textId="17FB231E" w:rsidR="003D7B60" w:rsidRPr="00C25D5E" w:rsidRDefault="003D7B60" w:rsidP="00C25D5E">
      <w:pPr>
        <w:pStyle w:val="HTMLPreformatted"/>
        <w:spacing w:after="160" w:line="278" w:lineRule="auto"/>
        <w:rPr>
          <w:rFonts w:ascii="Garamond" w:eastAsia="Times New Roman" w:hAnsi="Garamond" w:cs="Courier New"/>
          <w:color w:val="000000"/>
          <w:kern w:val="0"/>
          <w:sz w:val="26"/>
          <w:szCs w:val="26"/>
          <w14:ligatures w14:val="none"/>
        </w:rPr>
      </w:pPr>
      <w:r>
        <w:rPr>
          <w:rFonts w:ascii="Garamond" w:eastAsia="Times New Roman" w:hAnsi="Garamond" w:cs="Courier New"/>
          <w:color w:val="000000"/>
          <w:kern w:val="0"/>
          <w:sz w:val="26"/>
          <w:szCs w:val="26"/>
          <w14:ligatures w14:val="none"/>
        </w:rPr>
        <w:lastRenderedPageBreak/>
        <w:t>Since the ITFA’s initial enactment, electronic commerce and the Internet have become ubiquitous, leading some to question whether the ITFA and its protections are still needed.</w:t>
      </w:r>
      <w:r>
        <w:rPr>
          <w:rStyle w:val="FootnoteReference"/>
          <w:rFonts w:ascii="Garamond" w:eastAsia="Times New Roman" w:hAnsi="Garamond" w:cs="Courier New"/>
          <w:color w:val="000000"/>
          <w:kern w:val="0"/>
          <w:sz w:val="26"/>
          <w:szCs w:val="26"/>
          <w14:ligatures w14:val="none"/>
        </w:rPr>
        <w:footnoteReference w:id="10"/>
      </w:r>
      <w:r>
        <w:rPr>
          <w:rFonts w:ascii="Garamond" w:eastAsia="Times New Roman" w:hAnsi="Garamond" w:cs="Courier New"/>
          <w:color w:val="000000"/>
          <w:kern w:val="0"/>
          <w:sz w:val="26"/>
          <w:szCs w:val="26"/>
          <w14:ligatures w14:val="none"/>
        </w:rPr>
        <w:t xml:space="preserve"> While important, these discussions are outside the scope of this Whitepaper.</w:t>
      </w:r>
      <w:r w:rsidR="005A2170">
        <w:rPr>
          <w:rFonts w:ascii="Garamond" w:eastAsia="Times New Roman" w:hAnsi="Garamond" w:cs="Courier New"/>
          <w:color w:val="000000"/>
          <w:kern w:val="0"/>
          <w:sz w:val="26"/>
          <w:szCs w:val="26"/>
          <w14:ligatures w14:val="none"/>
        </w:rPr>
        <w:t xml:space="preserve"> </w:t>
      </w:r>
    </w:p>
    <w:p w14:paraId="40449F6D" w14:textId="4690110A" w:rsidR="00A70C32" w:rsidRPr="00F1729A" w:rsidRDefault="00C25D5E" w:rsidP="0057752C">
      <w:pPr>
        <w:pStyle w:val="Heading1"/>
        <w:spacing w:before="0"/>
        <w:rPr>
          <w:rFonts w:ascii="Garamond" w:hAnsi="Garamond"/>
          <w:sz w:val="36"/>
          <w:szCs w:val="36"/>
        </w:rPr>
      </w:pPr>
      <w:r>
        <w:rPr>
          <w:rFonts w:ascii="Garamond" w:hAnsi="Garamond"/>
          <w:sz w:val="36"/>
          <w:szCs w:val="36"/>
        </w:rPr>
        <w:t>3</w:t>
      </w:r>
      <w:r w:rsidR="00F1729A" w:rsidRPr="00F1729A">
        <w:rPr>
          <w:rFonts w:ascii="Garamond" w:hAnsi="Garamond"/>
          <w:sz w:val="36"/>
          <w:szCs w:val="36"/>
        </w:rPr>
        <w:t xml:space="preserve">. </w:t>
      </w:r>
      <w:r w:rsidR="00DA0F24">
        <w:rPr>
          <w:rFonts w:ascii="Garamond" w:hAnsi="Garamond"/>
          <w:sz w:val="36"/>
          <w:szCs w:val="36"/>
        </w:rPr>
        <w:t>Important Provisions</w:t>
      </w:r>
    </w:p>
    <w:p w14:paraId="0FC7D962" w14:textId="4F3A4A1D" w:rsidR="00A70C32" w:rsidRPr="00930F0A" w:rsidRDefault="00F1729A" w:rsidP="00A04EF4">
      <w:pPr>
        <w:pStyle w:val="Heading2"/>
        <w:spacing w:before="0" w:after="160"/>
        <w:rPr>
          <w:rFonts w:ascii="Garamond" w:hAnsi="Garamond"/>
        </w:rPr>
      </w:pPr>
      <w:r w:rsidRPr="00930F0A">
        <w:rPr>
          <w:rFonts w:ascii="Garamond" w:hAnsi="Garamond"/>
        </w:rPr>
        <w:t xml:space="preserve">A. </w:t>
      </w:r>
      <w:r w:rsidR="00A70C32" w:rsidRPr="00930F0A">
        <w:rPr>
          <w:rFonts w:ascii="Garamond" w:hAnsi="Garamond"/>
        </w:rPr>
        <w:t xml:space="preserve">ITFA Prohibits Discrimination Against </w:t>
      </w:r>
      <w:r w:rsidR="00BE72B5">
        <w:rPr>
          <w:rFonts w:ascii="Garamond" w:hAnsi="Garamond"/>
        </w:rPr>
        <w:t>“</w:t>
      </w:r>
      <w:r w:rsidR="00A70C32" w:rsidRPr="00930F0A">
        <w:rPr>
          <w:rFonts w:ascii="Garamond" w:hAnsi="Garamond"/>
        </w:rPr>
        <w:t>Electronic Commerce,</w:t>
      </w:r>
      <w:r w:rsidR="00BE72B5">
        <w:rPr>
          <w:rFonts w:ascii="Garamond" w:hAnsi="Garamond"/>
        </w:rPr>
        <w:t>”</w:t>
      </w:r>
      <w:r w:rsidR="00A70C32" w:rsidRPr="00930F0A">
        <w:rPr>
          <w:rFonts w:ascii="Garamond" w:hAnsi="Garamond"/>
        </w:rPr>
        <w:t xml:space="preserve"> as Defined</w:t>
      </w:r>
    </w:p>
    <w:p w14:paraId="5AF42D55" w14:textId="67C25134" w:rsidR="00A70C32" w:rsidRPr="00087BCD" w:rsidRDefault="00A70C32" w:rsidP="00A04EF4">
      <w:pPr>
        <w:rPr>
          <w:rFonts w:ascii="Garamond" w:hAnsi="Garamond"/>
          <w:sz w:val="26"/>
          <w:szCs w:val="26"/>
        </w:rPr>
      </w:pPr>
      <w:r w:rsidRPr="00087BCD">
        <w:rPr>
          <w:rFonts w:ascii="Garamond" w:hAnsi="Garamond"/>
          <w:sz w:val="26"/>
          <w:szCs w:val="26"/>
        </w:rPr>
        <w:t>ITFA’s discrimination provision prohibits a state tax from singling out</w:t>
      </w:r>
      <w:r w:rsidR="00B25B85" w:rsidRPr="00087BCD">
        <w:rPr>
          <w:rFonts w:ascii="Garamond" w:hAnsi="Garamond"/>
          <w:sz w:val="26"/>
          <w:szCs w:val="26"/>
        </w:rPr>
        <w:t xml:space="preserve"> transaction</w:t>
      </w:r>
      <w:r w:rsidR="00815E38" w:rsidRPr="00087BCD">
        <w:rPr>
          <w:rFonts w:ascii="Garamond" w:hAnsi="Garamond"/>
          <w:sz w:val="26"/>
          <w:szCs w:val="26"/>
        </w:rPr>
        <w:t>s</w:t>
      </w:r>
      <w:r w:rsidR="00B25B85" w:rsidRPr="00087BCD">
        <w:rPr>
          <w:rFonts w:ascii="Garamond" w:hAnsi="Garamond"/>
          <w:sz w:val="26"/>
          <w:szCs w:val="26"/>
        </w:rPr>
        <w:t xml:space="preserve"> over</w:t>
      </w:r>
      <w:r w:rsidRPr="00087BCD">
        <w:rPr>
          <w:rFonts w:ascii="Garamond" w:hAnsi="Garamond"/>
          <w:sz w:val="26"/>
          <w:szCs w:val="26"/>
        </w:rPr>
        <w:t xml:space="preserve"> the Internet for disparate treatment. This is a result of the interplay between </w:t>
      </w:r>
      <w:r w:rsidR="00930F0A" w:rsidRPr="00087BCD">
        <w:rPr>
          <w:rFonts w:ascii="Garamond" w:hAnsi="Garamond"/>
          <w:sz w:val="26"/>
          <w:szCs w:val="26"/>
        </w:rPr>
        <w:t xml:space="preserve">two </w:t>
      </w:r>
      <w:r w:rsidR="00017F98" w:rsidRPr="00087BCD">
        <w:rPr>
          <w:rFonts w:ascii="Garamond" w:hAnsi="Garamond"/>
          <w:sz w:val="26"/>
          <w:szCs w:val="26"/>
        </w:rPr>
        <w:t xml:space="preserve">federally </w:t>
      </w:r>
      <w:r w:rsidR="00930F0A" w:rsidRPr="00087BCD">
        <w:rPr>
          <w:rFonts w:ascii="Garamond" w:hAnsi="Garamond"/>
          <w:sz w:val="26"/>
          <w:szCs w:val="26"/>
        </w:rPr>
        <w:t>defined terms</w:t>
      </w:r>
      <w:r w:rsidRPr="00087BCD">
        <w:rPr>
          <w:rFonts w:ascii="Garamond" w:hAnsi="Garamond"/>
          <w:sz w:val="26"/>
          <w:szCs w:val="26"/>
        </w:rPr>
        <w:t>:</w:t>
      </w:r>
      <w:r w:rsidR="00930F0A" w:rsidRPr="00087BCD">
        <w:rPr>
          <w:rFonts w:ascii="Garamond" w:hAnsi="Garamond"/>
          <w:sz w:val="26"/>
          <w:szCs w:val="26"/>
        </w:rPr>
        <w:t xml:space="preserve"> “</w:t>
      </w:r>
      <w:r w:rsidRPr="00087BCD">
        <w:rPr>
          <w:rFonts w:ascii="Garamond" w:hAnsi="Garamond"/>
          <w:sz w:val="26"/>
          <w:szCs w:val="26"/>
        </w:rPr>
        <w:t>discriminatory tax</w:t>
      </w:r>
      <w:r w:rsidR="00930F0A" w:rsidRPr="00087BCD">
        <w:rPr>
          <w:rFonts w:ascii="Garamond" w:hAnsi="Garamond"/>
          <w:sz w:val="26"/>
          <w:szCs w:val="26"/>
        </w:rPr>
        <w:t xml:space="preserve">” </w:t>
      </w:r>
      <w:r w:rsidRPr="00087BCD">
        <w:rPr>
          <w:rFonts w:ascii="Garamond" w:hAnsi="Garamond"/>
          <w:sz w:val="26"/>
          <w:szCs w:val="26"/>
        </w:rPr>
        <w:t xml:space="preserve">and </w:t>
      </w:r>
      <w:r w:rsidR="00930F0A" w:rsidRPr="00087BCD">
        <w:rPr>
          <w:rFonts w:ascii="Garamond" w:hAnsi="Garamond"/>
          <w:sz w:val="26"/>
          <w:szCs w:val="26"/>
        </w:rPr>
        <w:t>“</w:t>
      </w:r>
      <w:r w:rsidRPr="00087BCD">
        <w:rPr>
          <w:rFonts w:ascii="Garamond" w:hAnsi="Garamond"/>
          <w:sz w:val="26"/>
          <w:szCs w:val="26"/>
        </w:rPr>
        <w:t>electronic commerce.</w:t>
      </w:r>
      <w:r w:rsidR="00930F0A" w:rsidRPr="00087BCD">
        <w:rPr>
          <w:rFonts w:ascii="Garamond" w:hAnsi="Garamond"/>
          <w:sz w:val="26"/>
          <w:szCs w:val="26"/>
        </w:rPr>
        <w:t>”</w:t>
      </w:r>
    </w:p>
    <w:p w14:paraId="03434507" w14:textId="24B221FE" w:rsidR="00A70C32" w:rsidRPr="00087BCD" w:rsidRDefault="00B25B85" w:rsidP="00A04EF4">
      <w:pPr>
        <w:rPr>
          <w:rFonts w:ascii="Garamond" w:hAnsi="Garamond"/>
          <w:sz w:val="26"/>
          <w:szCs w:val="26"/>
        </w:rPr>
      </w:pPr>
      <w:r w:rsidRPr="00087BCD">
        <w:rPr>
          <w:rFonts w:ascii="Garamond" w:hAnsi="Garamond"/>
          <w:sz w:val="26"/>
          <w:szCs w:val="26"/>
        </w:rPr>
        <w:t>A d</w:t>
      </w:r>
      <w:r w:rsidR="00A70C32" w:rsidRPr="00087BCD">
        <w:rPr>
          <w:rFonts w:ascii="Garamond" w:hAnsi="Garamond"/>
          <w:sz w:val="26"/>
          <w:szCs w:val="26"/>
        </w:rPr>
        <w:t>iscriminatory tax is:</w:t>
      </w:r>
    </w:p>
    <w:p w14:paraId="3D7169D8" w14:textId="7C860A1F" w:rsidR="00657B16" w:rsidRPr="00087BCD" w:rsidRDefault="00BE416F" w:rsidP="00A04EF4">
      <w:pPr>
        <w:ind w:left="720"/>
        <w:rPr>
          <w:rFonts w:ascii="Garamond" w:hAnsi="Garamond"/>
          <w:sz w:val="26"/>
          <w:szCs w:val="26"/>
        </w:rPr>
      </w:pPr>
      <w:r w:rsidRPr="00087BCD">
        <w:rPr>
          <w:rFonts w:ascii="Garamond" w:hAnsi="Garamond"/>
          <w:b/>
          <w:bCs/>
          <w:sz w:val="26"/>
          <w:szCs w:val="26"/>
        </w:rPr>
        <w:t>(A)</w:t>
      </w:r>
      <w:r w:rsidRPr="00087BCD">
        <w:rPr>
          <w:rFonts w:ascii="Garamond" w:hAnsi="Garamond"/>
          <w:sz w:val="26"/>
          <w:szCs w:val="26"/>
        </w:rPr>
        <w:t xml:space="preserve"> a</w:t>
      </w:r>
      <w:r w:rsidR="00A70C32" w:rsidRPr="00087BCD">
        <w:rPr>
          <w:rFonts w:ascii="Garamond" w:hAnsi="Garamond"/>
          <w:sz w:val="26"/>
          <w:szCs w:val="26"/>
        </w:rPr>
        <w:t>ny tax imposed by a State o</w:t>
      </w:r>
      <w:r w:rsidR="001950A5" w:rsidRPr="00087BCD">
        <w:rPr>
          <w:rFonts w:ascii="Garamond" w:hAnsi="Garamond"/>
          <w:sz w:val="26"/>
          <w:szCs w:val="26"/>
        </w:rPr>
        <w:t>r</w:t>
      </w:r>
      <w:r w:rsidR="00A70C32" w:rsidRPr="00087BCD">
        <w:rPr>
          <w:rFonts w:ascii="Garamond" w:hAnsi="Garamond"/>
          <w:sz w:val="26"/>
          <w:szCs w:val="26"/>
        </w:rPr>
        <w:t xml:space="preserve"> political subdivision thereof </w:t>
      </w:r>
      <w:r w:rsidR="00A70C32" w:rsidRPr="00087BCD">
        <w:rPr>
          <w:rFonts w:ascii="Garamond" w:hAnsi="Garamond"/>
          <w:i/>
          <w:iCs/>
          <w:sz w:val="26"/>
          <w:szCs w:val="26"/>
        </w:rPr>
        <w:t>on electronic commerce</w:t>
      </w:r>
      <w:r w:rsidR="00A70C32" w:rsidRPr="00087BCD">
        <w:rPr>
          <w:rFonts w:ascii="Garamond" w:hAnsi="Garamond"/>
          <w:sz w:val="26"/>
          <w:szCs w:val="26"/>
        </w:rPr>
        <w:t xml:space="preserve"> that</w:t>
      </w:r>
      <w:r w:rsidR="00657B16" w:rsidRPr="00087BCD">
        <w:rPr>
          <w:rFonts w:ascii="Garamond" w:hAnsi="Garamond"/>
          <w:sz w:val="26"/>
          <w:szCs w:val="26"/>
        </w:rPr>
        <w:t>…</w:t>
      </w:r>
      <w:r w:rsidR="00A70C32" w:rsidRPr="00087BCD">
        <w:rPr>
          <w:rFonts w:ascii="Garamond" w:hAnsi="Garamond"/>
          <w:sz w:val="26"/>
          <w:szCs w:val="26"/>
        </w:rPr>
        <w:t xml:space="preserve"> </w:t>
      </w:r>
    </w:p>
    <w:p w14:paraId="7EB8F5C7" w14:textId="3D3F3A21" w:rsidR="004F3E06" w:rsidRPr="00087BCD" w:rsidRDefault="004F3E06" w:rsidP="00A04EF4">
      <w:pPr>
        <w:ind w:left="720"/>
        <w:rPr>
          <w:rFonts w:ascii="Garamond" w:hAnsi="Garamond"/>
          <w:sz w:val="26"/>
          <w:szCs w:val="26"/>
        </w:rPr>
      </w:pPr>
      <w:r w:rsidRPr="00087BCD">
        <w:rPr>
          <w:rFonts w:ascii="Garamond" w:hAnsi="Garamond"/>
          <w:b/>
          <w:bCs/>
          <w:sz w:val="26"/>
          <w:szCs w:val="26"/>
        </w:rPr>
        <w:t>(i)</w:t>
      </w:r>
      <w:r w:rsidRPr="00087BCD">
        <w:rPr>
          <w:rFonts w:ascii="Garamond" w:hAnsi="Garamond"/>
          <w:sz w:val="26"/>
          <w:szCs w:val="26"/>
        </w:rPr>
        <w:t xml:space="preserve"> is not generally imposed and legally collectible by such state or such political subdivision on transactions involving similar property, goods, services, or information </w:t>
      </w:r>
      <w:r w:rsidRPr="00087BCD">
        <w:rPr>
          <w:rFonts w:ascii="Garamond" w:hAnsi="Garamond"/>
          <w:i/>
          <w:iCs/>
          <w:sz w:val="26"/>
          <w:szCs w:val="26"/>
        </w:rPr>
        <w:t>accomplished through other means</w:t>
      </w:r>
      <w:r w:rsidRPr="00087BCD">
        <w:rPr>
          <w:rFonts w:ascii="Garamond" w:hAnsi="Garamond"/>
          <w:sz w:val="26"/>
          <w:szCs w:val="26"/>
        </w:rPr>
        <w:t>;</w:t>
      </w:r>
    </w:p>
    <w:p w14:paraId="18B9DD9D" w14:textId="77777777" w:rsidR="004F3E06" w:rsidRPr="00087BCD" w:rsidRDefault="004F3E06" w:rsidP="00A04EF4">
      <w:pPr>
        <w:shd w:val="clear" w:color="auto" w:fill="FFFFFF"/>
        <w:ind w:left="720"/>
        <w:rPr>
          <w:rFonts w:ascii="Garamond" w:eastAsia="Times New Roman" w:hAnsi="Garamond" w:cs="Open Sans"/>
          <w:color w:val="333333"/>
          <w:kern w:val="0"/>
          <w:sz w:val="26"/>
          <w:szCs w:val="26"/>
          <w14:ligatures w14:val="none"/>
        </w:rPr>
      </w:pPr>
      <w:r w:rsidRPr="00087BCD">
        <w:rPr>
          <w:rFonts w:ascii="Garamond" w:eastAsia="Times New Roman" w:hAnsi="Garamond" w:cs="Open Sans"/>
          <w:b/>
          <w:bCs/>
          <w:color w:val="333333"/>
          <w:kern w:val="0"/>
          <w:sz w:val="26"/>
          <w:szCs w:val="26"/>
          <w14:ligatures w14:val="none"/>
        </w:rPr>
        <w:t xml:space="preserve">(ii) </w:t>
      </w:r>
      <w:r w:rsidRPr="00087BCD">
        <w:rPr>
          <w:rFonts w:ascii="Garamond" w:eastAsia="Times New Roman" w:hAnsi="Garamond" w:cs="Open Sans"/>
          <w:color w:val="333333"/>
          <w:kern w:val="0"/>
          <w:sz w:val="26"/>
          <w:szCs w:val="26"/>
          <w14:ligatures w14:val="none"/>
        </w:rPr>
        <w:t>is not generally imposed and legally collectible at the same rate by such </w:t>
      </w:r>
      <w:hyperlink r:id="rId14" w:history="1">
        <w:r w:rsidRPr="00087BCD">
          <w:rPr>
            <w:rFonts w:ascii="Garamond" w:eastAsia="Times New Roman" w:hAnsi="Garamond" w:cs="Open Sans"/>
            <w:color w:val="001C72"/>
            <w:kern w:val="0"/>
            <w:sz w:val="26"/>
            <w:szCs w:val="26"/>
            <w:u w:val="single"/>
            <w14:ligatures w14:val="none"/>
          </w:rPr>
          <w:t>State</w:t>
        </w:r>
      </w:hyperlink>
      <w:r w:rsidRPr="00087BCD">
        <w:rPr>
          <w:rFonts w:ascii="Garamond" w:eastAsia="Times New Roman" w:hAnsi="Garamond" w:cs="Open Sans"/>
          <w:color w:val="333333"/>
          <w:kern w:val="0"/>
          <w:sz w:val="26"/>
          <w:szCs w:val="26"/>
          <w14:ligatures w14:val="none"/>
        </w:rPr>
        <w:t xml:space="preserve"> or such political subdivision on transactions involving similar property, goods, services, or information </w:t>
      </w:r>
      <w:r w:rsidRPr="00087BCD">
        <w:rPr>
          <w:rFonts w:ascii="Garamond" w:eastAsia="Times New Roman" w:hAnsi="Garamond" w:cs="Open Sans"/>
          <w:i/>
          <w:iCs/>
          <w:color w:val="333333"/>
          <w:kern w:val="0"/>
          <w:sz w:val="26"/>
          <w:szCs w:val="26"/>
          <w14:ligatures w14:val="none"/>
        </w:rPr>
        <w:t>accomplished through other means</w:t>
      </w:r>
      <w:r w:rsidRPr="00087BCD">
        <w:rPr>
          <w:rFonts w:ascii="Garamond" w:eastAsia="Times New Roman" w:hAnsi="Garamond" w:cs="Open Sans"/>
          <w:color w:val="333333"/>
          <w:kern w:val="0"/>
          <w:sz w:val="26"/>
          <w:szCs w:val="26"/>
          <w14:ligatures w14:val="none"/>
        </w:rPr>
        <w:t>, unless the rate is lower as part of a phase-out of the tax over not more than a 5-year period;</w:t>
      </w:r>
    </w:p>
    <w:p w14:paraId="2D778F80" w14:textId="77777777" w:rsidR="004F3E06" w:rsidRPr="00087BCD" w:rsidRDefault="004F3E06" w:rsidP="00A04EF4">
      <w:pPr>
        <w:shd w:val="clear" w:color="auto" w:fill="FFFFFF"/>
        <w:ind w:left="720"/>
        <w:rPr>
          <w:rFonts w:ascii="Garamond" w:eastAsia="Times New Roman" w:hAnsi="Garamond" w:cs="Open Sans"/>
          <w:i/>
          <w:iCs/>
          <w:color w:val="333333"/>
          <w:kern w:val="0"/>
          <w:sz w:val="26"/>
          <w:szCs w:val="26"/>
          <w14:ligatures w14:val="none"/>
        </w:rPr>
      </w:pPr>
      <w:r w:rsidRPr="00087BCD">
        <w:rPr>
          <w:rFonts w:ascii="Garamond" w:eastAsia="Times New Roman" w:hAnsi="Garamond" w:cs="Open Sans"/>
          <w:b/>
          <w:bCs/>
          <w:color w:val="333333"/>
          <w:kern w:val="0"/>
          <w:sz w:val="26"/>
          <w:szCs w:val="26"/>
          <w14:ligatures w14:val="none"/>
        </w:rPr>
        <w:t xml:space="preserve">(iii) </w:t>
      </w:r>
      <w:r w:rsidRPr="00087BCD">
        <w:rPr>
          <w:rFonts w:ascii="Garamond" w:eastAsia="Times New Roman" w:hAnsi="Garamond" w:cs="Open Sans"/>
          <w:color w:val="333333"/>
          <w:kern w:val="0"/>
          <w:sz w:val="26"/>
          <w:szCs w:val="26"/>
          <w14:ligatures w14:val="none"/>
        </w:rPr>
        <w:t>imposes an obligation to collect or pay the tax on a different </w:t>
      </w:r>
      <w:hyperlink r:id="rId15" w:history="1">
        <w:r w:rsidRPr="00087BCD">
          <w:rPr>
            <w:rFonts w:ascii="Garamond" w:eastAsia="Times New Roman" w:hAnsi="Garamond" w:cs="Open Sans"/>
            <w:color w:val="001C72"/>
            <w:kern w:val="0"/>
            <w:sz w:val="26"/>
            <w:szCs w:val="26"/>
            <w:u w:val="single"/>
            <w14:ligatures w14:val="none"/>
          </w:rPr>
          <w:t>person</w:t>
        </w:r>
      </w:hyperlink>
      <w:r w:rsidRPr="00087BCD">
        <w:rPr>
          <w:rFonts w:ascii="Garamond" w:eastAsia="Times New Roman" w:hAnsi="Garamond" w:cs="Open Sans"/>
          <w:color w:val="333333"/>
          <w:kern w:val="0"/>
          <w:sz w:val="26"/>
          <w:szCs w:val="26"/>
          <w14:ligatures w14:val="none"/>
        </w:rPr>
        <w:t xml:space="preserve"> or entity than in the case of transactions involving similar property, goods, services, or information </w:t>
      </w:r>
      <w:r w:rsidRPr="00087BCD">
        <w:rPr>
          <w:rFonts w:ascii="Garamond" w:eastAsia="Times New Roman" w:hAnsi="Garamond" w:cs="Open Sans"/>
          <w:i/>
          <w:iCs/>
          <w:color w:val="333333"/>
          <w:kern w:val="0"/>
          <w:sz w:val="26"/>
          <w:szCs w:val="26"/>
          <w14:ligatures w14:val="none"/>
        </w:rPr>
        <w:t>accomplished through other means;</w:t>
      </w:r>
    </w:p>
    <w:p w14:paraId="09527540" w14:textId="60CEC88A" w:rsidR="004F3E06" w:rsidRDefault="004F3E06" w:rsidP="00A04EF4">
      <w:pPr>
        <w:shd w:val="clear" w:color="auto" w:fill="FFFFFF"/>
        <w:ind w:left="720"/>
        <w:rPr>
          <w:rFonts w:ascii="Garamond" w:eastAsia="Times New Roman" w:hAnsi="Garamond" w:cs="Open Sans"/>
          <w:color w:val="333333"/>
          <w:kern w:val="0"/>
          <w:sz w:val="26"/>
          <w:szCs w:val="26"/>
          <w14:ligatures w14:val="none"/>
        </w:rPr>
      </w:pPr>
      <w:r w:rsidRPr="00087BCD">
        <w:rPr>
          <w:rFonts w:ascii="Garamond" w:eastAsia="Times New Roman" w:hAnsi="Garamond" w:cs="Open Sans"/>
          <w:b/>
          <w:bCs/>
          <w:color w:val="333333"/>
          <w:kern w:val="0"/>
          <w:sz w:val="26"/>
          <w:szCs w:val="26"/>
          <w14:ligatures w14:val="none"/>
        </w:rPr>
        <w:t xml:space="preserve">(iv) </w:t>
      </w:r>
      <w:r w:rsidRPr="00087BCD">
        <w:rPr>
          <w:rFonts w:ascii="Garamond" w:eastAsia="Times New Roman" w:hAnsi="Garamond" w:cs="Open Sans"/>
          <w:color w:val="333333"/>
          <w:kern w:val="0"/>
          <w:sz w:val="26"/>
          <w:szCs w:val="26"/>
          <w14:ligatures w14:val="none"/>
        </w:rPr>
        <w:t>establishes a classification of Internet access service providers or online service providers for purposes of establishing a higher tax rate to be imposed on such providers than the tax rate generally applied to providers of similar </w:t>
      </w:r>
      <w:hyperlink r:id="rId16" w:history="1">
        <w:r w:rsidRPr="00087BCD">
          <w:rPr>
            <w:rFonts w:ascii="Garamond" w:eastAsia="Times New Roman" w:hAnsi="Garamond" w:cs="Open Sans"/>
            <w:color w:val="001C72"/>
            <w:kern w:val="0"/>
            <w:sz w:val="26"/>
            <w:szCs w:val="26"/>
            <w:u w:val="single"/>
            <w14:ligatures w14:val="none"/>
          </w:rPr>
          <w:t>information services</w:t>
        </w:r>
      </w:hyperlink>
      <w:r w:rsidRPr="00087BCD">
        <w:rPr>
          <w:rFonts w:ascii="Garamond" w:eastAsia="Times New Roman" w:hAnsi="Garamond" w:cs="Open Sans"/>
          <w:color w:val="333333"/>
          <w:kern w:val="0"/>
          <w:sz w:val="26"/>
          <w:szCs w:val="26"/>
          <w14:ligatures w14:val="none"/>
        </w:rPr>
        <w:t> </w:t>
      </w:r>
      <w:r w:rsidRPr="00087BCD">
        <w:rPr>
          <w:rFonts w:ascii="Garamond" w:eastAsia="Times New Roman" w:hAnsi="Garamond" w:cs="Open Sans"/>
          <w:i/>
          <w:iCs/>
          <w:color w:val="333333"/>
          <w:kern w:val="0"/>
          <w:sz w:val="26"/>
          <w:szCs w:val="26"/>
          <w14:ligatures w14:val="none"/>
        </w:rPr>
        <w:t xml:space="preserve">delivered through other means; </w:t>
      </w:r>
      <w:r w:rsidRPr="00087BCD">
        <w:rPr>
          <w:rFonts w:ascii="Garamond" w:eastAsia="Times New Roman" w:hAnsi="Garamond" w:cs="Open Sans"/>
          <w:color w:val="333333"/>
          <w:kern w:val="0"/>
          <w:sz w:val="26"/>
          <w:szCs w:val="26"/>
          <w14:ligatures w14:val="none"/>
        </w:rPr>
        <w:t>or</w:t>
      </w:r>
      <w:r w:rsidR="00636A5F" w:rsidRPr="00087BCD">
        <w:rPr>
          <w:rStyle w:val="FootnoteReference"/>
          <w:rFonts w:ascii="Garamond" w:eastAsia="Times New Roman" w:hAnsi="Garamond" w:cs="Open Sans"/>
          <w:color w:val="333333"/>
          <w:kern w:val="0"/>
          <w:sz w:val="26"/>
          <w:szCs w:val="26"/>
          <w14:ligatures w14:val="none"/>
        </w:rPr>
        <w:footnoteReference w:id="11"/>
      </w:r>
    </w:p>
    <w:p w14:paraId="60D3D92B" w14:textId="77777777" w:rsidR="00D71AF2" w:rsidRPr="00087BCD" w:rsidRDefault="00D71AF2" w:rsidP="00A04EF4">
      <w:pPr>
        <w:shd w:val="clear" w:color="auto" w:fill="FFFFFF"/>
        <w:ind w:left="720"/>
        <w:rPr>
          <w:rFonts w:ascii="Garamond" w:eastAsia="Times New Roman" w:hAnsi="Garamond" w:cs="Open Sans"/>
          <w:i/>
          <w:iCs/>
          <w:color w:val="333333"/>
          <w:kern w:val="0"/>
          <w:sz w:val="26"/>
          <w:szCs w:val="26"/>
          <w14:ligatures w14:val="none"/>
        </w:rPr>
      </w:pPr>
    </w:p>
    <w:p w14:paraId="1066F2AD" w14:textId="77F049F8" w:rsidR="00455897" w:rsidRPr="00087BCD" w:rsidRDefault="00455897" w:rsidP="00A04EF4">
      <w:pPr>
        <w:rPr>
          <w:rFonts w:ascii="Garamond" w:hAnsi="Garamond"/>
          <w:sz w:val="26"/>
          <w:szCs w:val="26"/>
        </w:rPr>
      </w:pPr>
      <w:r w:rsidRPr="00087BCD">
        <w:rPr>
          <w:rFonts w:ascii="Garamond" w:hAnsi="Garamond"/>
          <w:sz w:val="26"/>
          <w:szCs w:val="26"/>
        </w:rPr>
        <w:lastRenderedPageBreak/>
        <w:t xml:space="preserve">Electronic commerce is: </w:t>
      </w:r>
    </w:p>
    <w:p w14:paraId="0D5A65C2" w14:textId="68DC5553" w:rsidR="00A70C32" w:rsidRPr="00087BCD" w:rsidRDefault="00BD5A49" w:rsidP="00A04EF4">
      <w:pPr>
        <w:ind w:left="720"/>
        <w:rPr>
          <w:rFonts w:ascii="Garamond" w:hAnsi="Garamond"/>
          <w:sz w:val="26"/>
          <w:szCs w:val="26"/>
        </w:rPr>
      </w:pPr>
      <w:r w:rsidRPr="00087BCD">
        <w:rPr>
          <w:rFonts w:ascii="Garamond" w:hAnsi="Garamond"/>
          <w:sz w:val="26"/>
          <w:szCs w:val="26"/>
        </w:rPr>
        <w:t>[A]</w:t>
      </w:r>
      <w:proofErr w:type="spellStart"/>
      <w:r w:rsidR="00455897" w:rsidRPr="00087BCD">
        <w:rPr>
          <w:rFonts w:ascii="Garamond" w:hAnsi="Garamond"/>
          <w:sz w:val="26"/>
          <w:szCs w:val="26"/>
        </w:rPr>
        <w:t>ny</w:t>
      </w:r>
      <w:proofErr w:type="spellEnd"/>
      <w:r w:rsidR="00455897" w:rsidRPr="00087BCD">
        <w:rPr>
          <w:rFonts w:ascii="Garamond" w:hAnsi="Garamond"/>
          <w:sz w:val="26"/>
          <w:szCs w:val="26"/>
        </w:rPr>
        <w:t xml:space="preserve"> transaction conducted over the Internet or through Internet access, comprising the sale, lease, license, offer, or delivery of property, goods, services, or information, whether or not for consideration, and includes the provision of Internet access.</w:t>
      </w:r>
      <w:r w:rsidR="00636A5F" w:rsidRPr="00087BCD">
        <w:rPr>
          <w:rStyle w:val="FootnoteReference"/>
          <w:rFonts w:ascii="Garamond" w:hAnsi="Garamond"/>
          <w:sz w:val="26"/>
          <w:szCs w:val="26"/>
        </w:rPr>
        <w:footnoteReference w:id="12"/>
      </w:r>
    </w:p>
    <w:p w14:paraId="5ABE0CFE" w14:textId="4B6EB13C" w:rsidR="00580DDF" w:rsidRPr="00087BCD" w:rsidRDefault="00843568" w:rsidP="00A04EF4">
      <w:pPr>
        <w:rPr>
          <w:rFonts w:ascii="Garamond" w:hAnsi="Garamond"/>
          <w:sz w:val="26"/>
          <w:szCs w:val="26"/>
        </w:rPr>
      </w:pPr>
      <w:r w:rsidRPr="00087BCD">
        <w:rPr>
          <w:rFonts w:ascii="Garamond" w:hAnsi="Garamond"/>
          <w:sz w:val="26"/>
          <w:szCs w:val="26"/>
        </w:rPr>
        <w:t>A t</w:t>
      </w:r>
      <w:r w:rsidR="00580DDF" w:rsidRPr="00087BCD">
        <w:rPr>
          <w:rFonts w:ascii="Garamond" w:hAnsi="Garamond"/>
          <w:sz w:val="26"/>
          <w:szCs w:val="26"/>
        </w:rPr>
        <w:t>ax is:</w:t>
      </w:r>
    </w:p>
    <w:p w14:paraId="4F521DA3" w14:textId="70923771" w:rsidR="004853C4" w:rsidRPr="00087BCD" w:rsidRDefault="00580DDF" w:rsidP="00A04EF4">
      <w:pPr>
        <w:ind w:firstLine="720"/>
        <w:rPr>
          <w:rFonts w:ascii="Garamond" w:hAnsi="Garamond"/>
          <w:sz w:val="26"/>
          <w:szCs w:val="26"/>
        </w:rPr>
      </w:pPr>
      <w:r w:rsidRPr="00087BCD">
        <w:rPr>
          <w:rFonts w:ascii="Garamond" w:hAnsi="Garamond"/>
          <w:b/>
          <w:bCs/>
          <w:sz w:val="26"/>
          <w:szCs w:val="26"/>
        </w:rPr>
        <w:t>(i)</w:t>
      </w:r>
      <w:r w:rsidRPr="00087BCD">
        <w:rPr>
          <w:rFonts w:ascii="Garamond" w:hAnsi="Garamond"/>
          <w:sz w:val="26"/>
          <w:szCs w:val="26"/>
        </w:rPr>
        <w:t xml:space="preserve"> any charge imposed by any governmental entity for the purpose of generating </w:t>
      </w:r>
    </w:p>
    <w:p w14:paraId="4F2CC7CC" w14:textId="77777777" w:rsidR="004853C4" w:rsidRPr="00087BCD" w:rsidRDefault="00580DDF" w:rsidP="00A04EF4">
      <w:pPr>
        <w:ind w:firstLine="720"/>
        <w:rPr>
          <w:rFonts w:ascii="Garamond" w:hAnsi="Garamond"/>
          <w:sz w:val="26"/>
          <w:szCs w:val="26"/>
        </w:rPr>
      </w:pPr>
      <w:r w:rsidRPr="00087BCD">
        <w:rPr>
          <w:rFonts w:ascii="Garamond" w:hAnsi="Garamond"/>
          <w:sz w:val="26"/>
          <w:szCs w:val="26"/>
        </w:rPr>
        <w:t xml:space="preserve">revenues for governmental purposes, and is not a fee imposed for a specific privilege, </w:t>
      </w:r>
    </w:p>
    <w:p w14:paraId="102B5802" w14:textId="470969CD" w:rsidR="00580DDF" w:rsidRPr="00087BCD" w:rsidRDefault="00580DDF" w:rsidP="00A04EF4">
      <w:pPr>
        <w:ind w:firstLine="720"/>
        <w:rPr>
          <w:rFonts w:ascii="Garamond" w:hAnsi="Garamond"/>
          <w:sz w:val="26"/>
          <w:szCs w:val="26"/>
        </w:rPr>
      </w:pPr>
      <w:r w:rsidRPr="00087BCD">
        <w:rPr>
          <w:rFonts w:ascii="Garamond" w:hAnsi="Garamond"/>
          <w:sz w:val="26"/>
          <w:szCs w:val="26"/>
        </w:rPr>
        <w:t>service, or benefit conferred; or</w:t>
      </w:r>
    </w:p>
    <w:p w14:paraId="69F8479D" w14:textId="3465D26D" w:rsidR="004853C4" w:rsidRPr="00087BCD" w:rsidRDefault="00580DDF" w:rsidP="00A04EF4">
      <w:pPr>
        <w:ind w:firstLine="720"/>
        <w:rPr>
          <w:rFonts w:ascii="Garamond" w:hAnsi="Garamond"/>
          <w:sz w:val="26"/>
          <w:szCs w:val="26"/>
        </w:rPr>
      </w:pPr>
      <w:r w:rsidRPr="00087BCD">
        <w:rPr>
          <w:rFonts w:ascii="Garamond" w:hAnsi="Garamond"/>
          <w:b/>
          <w:bCs/>
          <w:sz w:val="26"/>
          <w:szCs w:val="26"/>
        </w:rPr>
        <w:t>(ii)</w:t>
      </w:r>
      <w:r w:rsidR="006B3C9E" w:rsidRPr="00087BCD">
        <w:rPr>
          <w:rFonts w:ascii="Garamond" w:hAnsi="Garamond"/>
          <w:b/>
          <w:bCs/>
          <w:sz w:val="26"/>
          <w:szCs w:val="26"/>
        </w:rPr>
        <w:t xml:space="preserve"> </w:t>
      </w:r>
      <w:r w:rsidRPr="00087BCD">
        <w:rPr>
          <w:rFonts w:ascii="Garamond" w:hAnsi="Garamond"/>
          <w:sz w:val="26"/>
          <w:szCs w:val="26"/>
        </w:rPr>
        <w:t xml:space="preserve">the imposition on a seller of an obligation to collect and to remit to a </w:t>
      </w:r>
    </w:p>
    <w:p w14:paraId="5A36CA95" w14:textId="5790CB83" w:rsidR="00580DDF" w:rsidRPr="00087BCD" w:rsidRDefault="00580DDF" w:rsidP="00A04EF4">
      <w:pPr>
        <w:ind w:left="720"/>
        <w:rPr>
          <w:rFonts w:ascii="Garamond" w:hAnsi="Garamond"/>
          <w:sz w:val="26"/>
          <w:szCs w:val="26"/>
        </w:rPr>
      </w:pPr>
      <w:r w:rsidRPr="00087BCD">
        <w:rPr>
          <w:rFonts w:ascii="Garamond" w:hAnsi="Garamond"/>
          <w:sz w:val="26"/>
          <w:szCs w:val="26"/>
        </w:rPr>
        <w:t>governmental entity any sales or use tax imposed on a buyer by a governmental</w:t>
      </w:r>
      <w:r w:rsidR="004853C4" w:rsidRPr="00087BCD">
        <w:rPr>
          <w:rFonts w:ascii="Garamond" w:hAnsi="Garamond"/>
          <w:sz w:val="26"/>
          <w:szCs w:val="26"/>
        </w:rPr>
        <w:t xml:space="preserve"> </w:t>
      </w:r>
      <w:r w:rsidRPr="00087BCD">
        <w:rPr>
          <w:rFonts w:ascii="Garamond" w:hAnsi="Garamond"/>
          <w:sz w:val="26"/>
          <w:szCs w:val="26"/>
        </w:rPr>
        <w:t>entity.</w:t>
      </w:r>
      <w:r w:rsidR="00636A5F" w:rsidRPr="00087BCD">
        <w:rPr>
          <w:rStyle w:val="FootnoteReference"/>
          <w:rFonts w:ascii="Garamond" w:hAnsi="Garamond"/>
          <w:sz w:val="26"/>
          <w:szCs w:val="26"/>
        </w:rPr>
        <w:footnoteReference w:id="13"/>
      </w:r>
    </w:p>
    <w:p w14:paraId="24E046F2" w14:textId="20C8B40E" w:rsidR="00C50250" w:rsidRPr="00087BCD" w:rsidRDefault="0047506E" w:rsidP="00A04EF4">
      <w:pPr>
        <w:rPr>
          <w:rFonts w:ascii="Garamond" w:hAnsi="Garamond"/>
          <w:i/>
          <w:iCs/>
          <w:sz w:val="26"/>
          <w:szCs w:val="26"/>
        </w:rPr>
      </w:pPr>
      <w:r w:rsidRPr="00087BCD">
        <w:rPr>
          <w:rFonts w:ascii="Garamond" w:hAnsi="Garamond"/>
          <w:i/>
          <w:iCs/>
          <w:sz w:val="26"/>
          <w:szCs w:val="26"/>
        </w:rPr>
        <w:t>A</w:t>
      </w:r>
      <w:r w:rsidR="00D1229B" w:rsidRPr="00087BCD">
        <w:rPr>
          <w:rFonts w:ascii="Garamond" w:hAnsi="Garamond"/>
          <w:i/>
          <w:iCs/>
          <w:sz w:val="26"/>
          <w:szCs w:val="26"/>
        </w:rPr>
        <w:t xml:space="preserve">ccomplished </w:t>
      </w:r>
      <w:r w:rsidRPr="00087BCD">
        <w:rPr>
          <w:rFonts w:ascii="Garamond" w:hAnsi="Garamond"/>
          <w:i/>
          <w:iCs/>
          <w:sz w:val="26"/>
          <w:szCs w:val="26"/>
        </w:rPr>
        <w:t xml:space="preserve">or delivered </w:t>
      </w:r>
      <w:r w:rsidR="00D1229B" w:rsidRPr="00087BCD">
        <w:rPr>
          <w:rFonts w:ascii="Garamond" w:hAnsi="Garamond"/>
          <w:i/>
          <w:iCs/>
          <w:sz w:val="26"/>
          <w:szCs w:val="26"/>
        </w:rPr>
        <w:t>through other means</w:t>
      </w:r>
    </w:p>
    <w:p w14:paraId="5102CAF9" w14:textId="533324B7" w:rsidR="001169F9" w:rsidRPr="00087BCD" w:rsidRDefault="00A70C32" w:rsidP="00A04EF4">
      <w:pPr>
        <w:rPr>
          <w:rFonts w:ascii="Garamond" w:hAnsi="Garamond"/>
          <w:sz w:val="26"/>
          <w:szCs w:val="26"/>
        </w:rPr>
      </w:pPr>
      <w:r w:rsidRPr="00087BCD">
        <w:rPr>
          <w:rFonts w:ascii="Garamond" w:hAnsi="Garamond"/>
          <w:sz w:val="26"/>
          <w:szCs w:val="26"/>
        </w:rPr>
        <w:t xml:space="preserve">The definition of electronic commerce </w:t>
      </w:r>
      <w:r w:rsidR="00042698" w:rsidRPr="00087BCD">
        <w:rPr>
          <w:rFonts w:ascii="Garamond" w:hAnsi="Garamond"/>
          <w:sz w:val="26"/>
          <w:szCs w:val="26"/>
        </w:rPr>
        <w:t>contemplates</w:t>
      </w:r>
      <w:r w:rsidR="00BE72B5" w:rsidRPr="00087BCD">
        <w:rPr>
          <w:rFonts w:ascii="Garamond" w:hAnsi="Garamond"/>
          <w:sz w:val="26"/>
          <w:szCs w:val="26"/>
        </w:rPr>
        <w:t xml:space="preserve"> </w:t>
      </w:r>
      <w:r w:rsidRPr="00087BCD">
        <w:rPr>
          <w:rFonts w:ascii="Garamond" w:hAnsi="Garamond"/>
          <w:sz w:val="26"/>
          <w:szCs w:val="26"/>
        </w:rPr>
        <w:t>transactions conducted over the Internet or through Internet access.</w:t>
      </w:r>
      <w:r w:rsidR="00832BE1" w:rsidRPr="00087BCD">
        <w:rPr>
          <w:rFonts w:ascii="Garamond" w:hAnsi="Garamond"/>
          <w:sz w:val="26"/>
          <w:szCs w:val="26"/>
        </w:rPr>
        <w:t xml:space="preserve"> For example, sa</w:t>
      </w:r>
      <w:r w:rsidR="00A66F00" w:rsidRPr="00087BCD">
        <w:rPr>
          <w:rFonts w:ascii="Garamond" w:hAnsi="Garamond"/>
          <w:sz w:val="26"/>
          <w:szCs w:val="26"/>
        </w:rPr>
        <w:t>les, lease</w:t>
      </w:r>
      <w:r w:rsidR="00180E0D" w:rsidRPr="00087BCD">
        <w:rPr>
          <w:rFonts w:ascii="Garamond" w:hAnsi="Garamond"/>
          <w:sz w:val="26"/>
          <w:szCs w:val="26"/>
        </w:rPr>
        <w:t>s</w:t>
      </w:r>
      <w:r w:rsidR="00A66F00" w:rsidRPr="00087BCD">
        <w:rPr>
          <w:rFonts w:ascii="Garamond" w:hAnsi="Garamond"/>
          <w:sz w:val="26"/>
          <w:szCs w:val="26"/>
        </w:rPr>
        <w:t>, license</w:t>
      </w:r>
      <w:r w:rsidR="00180E0D" w:rsidRPr="00087BCD">
        <w:rPr>
          <w:rFonts w:ascii="Garamond" w:hAnsi="Garamond"/>
          <w:sz w:val="26"/>
          <w:szCs w:val="26"/>
        </w:rPr>
        <w:t>s</w:t>
      </w:r>
      <w:r w:rsidR="00A66F00" w:rsidRPr="00087BCD">
        <w:rPr>
          <w:rFonts w:ascii="Garamond" w:hAnsi="Garamond"/>
          <w:sz w:val="26"/>
          <w:szCs w:val="26"/>
        </w:rPr>
        <w:t xml:space="preserve">, </w:t>
      </w:r>
      <w:r w:rsidR="00AE6C35" w:rsidRPr="00087BCD">
        <w:rPr>
          <w:rFonts w:ascii="Garamond" w:hAnsi="Garamond"/>
          <w:sz w:val="26"/>
          <w:szCs w:val="26"/>
        </w:rPr>
        <w:t xml:space="preserve">or other transactions </w:t>
      </w:r>
      <w:r w:rsidR="00180E0D" w:rsidRPr="00087BCD">
        <w:rPr>
          <w:rFonts w:ascii="Garamond" w:hAnsi="Garamond"/>
          <w:sz w:val="26"/>
          <w:szCs w:val="26"/>
        </w:rPr>
        <w:t xml:space="preserve">conducted </w:t>
      </w:r>
      <w:r w:rsidR="0017489F" w:rsidRPr="00087BCD">
        <w:rPr>
          <w:rFonts w:ascii="Garamond" w:hAnsi="Garamond"/>
          <w:sz w:val="26"/>
          <w:szCs w:val="26"/>
        </w:rPr>
        <w:t xml:space="preserve">over or </w:t>
      </w:r>
      <w:r w:rsidR="00180E0D" w:rsidRPr="00087BCD">
        <w:rPr>
          <w:rFonts w:ascii="Garamond" w:hAnsi="Garamond"/>
          <w:sz w:val="26"/>
          <w:szCs w:val="26"/>
        </w:rPr>
        <w:t xml:space="preserve">through the Internet </w:t>
      </w:r>
      <w:r w:rsidR="0047506E" w:rsidRPr="00087BCD">
        <w:rPr>
          <w:rFonts w:ascii="Garamond" w:hAnsi="Garamond"/>
          <w:sz w:val="26"/>
          <w:szCs w:val="26"/>
        </w:rPr>
        <w:t>are</w:t>
      </w:r>
      <w:r w:rsidR="00180E0D" w:rsidRPr="00087BCD">
        <w:rPr>
          <w:rFonts w:ascii="Garamond" w:hAnsi="Garamond"/>
          <w:sz w:val="26"/>
          <w:szCs w:val="26"/>
        </w:rPr>
        <w:t xml:space="preserve"> </w:t>
      </w:r>
      <w:r w:rsidR="0056440A" w:rsidRPr="00087BCD">
        <w:rPr>
          <w:rFonts w:ascii="Garamond" w:hAnsi="Garamond"/>
          <w:sz w:val="26"/>
          <w:szCs w:val="26"/>
        </w:rPr>
        <w:t>transaction</w:t>
      </w:r>
      <w:r w:rsidR="0023475A" w:rsidRPr="00087BCD">
        <w:rPr>
          <w:rFonts w:ascii="Garamond" w:hAnsi="Garamond"/>
          <w:sz w:val="26"/>
          <w:szCs w:val="26"/>
        </w:rPr>
        <w:t>s</w:t>
      </w:r>
      <w:r w:rsidR="0056440A" w:rsidRPr="00087BCD">
        <w:rPr>
          <w:rFonts w:ascii="Garamond" w:hAnsi="Garamond"/>
          <w:sz w:val="26"/>
          <w:szCs w:val="26"/>
        </w:rPr>
        <w:t xml:space="preserve"> within the scope of </w:t>
      </w:r>
      <w:r w:rsidR="0023475A" w:rsidRPr="00087BCD">
        <w:rPr>
          <w:rFonts w:ascii="Garamond" w:hAnsi="Garamond"/>
          <w:sz w:val="26"/>
          <w:szCs w:val="26"/>
        </w:rPr>
        <w:t xml:space="preserve">the </w:t>
      </w:r>
      <w:r w:rsidR="0056440A" w:rsidRPr="00087BCD">
        <w:rPr>
          <w:rFonts w:ascii="Garamond" w:hAnsi="Garamond"/>
          <w:sz w:val="26"/>
          <w:szCs w:val="26"/>
        </w:rPr>
        <w:t>ITFA</w:t>
      </w:r>
      <w:r w:rsidR="00A66F00" w:rsidRPr="00087BCD">
        <w:rPr>
          <w:rFonts w:ascii="Garamond" w:hAnsi="Garamond"/>
          <w:sz w:val="26"/>
          <w:szCs w:val="26"/>
        </w:rPr>
        <w:t>.</w:t>
      </w:r>
      <w:r w:rsidR="00CD0925" w:rsidRPr="00087BCD">
        <w:rPr>
          <w:rFonts w:ascii="Garamond" w:hAnsi="Garamond"/>
          <w:sz w:val="26"/>
          <w:szCs w:val="26"/>
        </w:rPr>
        <w:t xml:space="preserve"> </w:t>
      </w:r>
      <w:r w:rsidR="0047506E" w:rsidRPr="00087BCD">
        <w:rPr>
          <w:rFonts w:ascii="Garamond" w:hAnsi="Garamond"/>
          <w:sz w:val="26"/>
          <w:szCs w:val="26"/>
        </w:rPr>
        <w:t>Importantly, e</w:t>
      </w:r>
      <w:r w:rsidR="00CD0925" w:rsidRPr="00087BCD">
        <w:rPr>
          <w:rFonts w:ascii="Garamond" w:hAnsi="Garamond"/>
          <w:sz w:val="26"/>
          <w:szCs w:val="26"/>
        </w:rPr>
        <w:t>lectronic commerce</w:t>
      </w:r>
      <w:r w:rsidR="0056440A" w:rsidRPr="00087BCD">
        <w:rPr>
          <w:rFonts w:ascii="Garamond" w:hAnsi="Garamond"/>
          <w:sz w:val="26"/>
          <w:szCs w:val="26"/>
        </w:rPr>
        <w:t xml:space="preserve"> </w:t>
      </w:r>
      <w:r w:rsidR="0047506E" w:rsidRPr="00087BCD">
        <w:rPr>
          <w:rFonts w:ascii="Garamond" w:hAnsi="Garamond"/>
          <w:sz w:val="26"/>
          <w:szCs w:val="26"/>
        </w:rPr>
        <w:t xml:space="preserve">is </w:t>
      </w:r>
      <w:r w:rsidR="00A66F00" w:rsidRPr="00087BCD">
        <w:rPr>
          <w:rFonts w:ascii="Garamond" w:hAnsi="Garamond"/>
          <w:sz w:val="26"/>
          <w:szCs w:val="26"/>
        </w:rPr>
        <w:t>not</w:t>
      </w:r>
      <w:r w:rsidR="00CD0925" w:rsidRPr="00087BCD">
        <w:rPr>
          <w:rFonts w:ascii="Garamond" w:hAnsi="Garamond"/>
          <w:sz w:val="26"/>
          <w:szCs w:val="26"/>
        </w:rPr>
        <w:t xml:space="preserve"> define</w:t>
      </w:r>
      <w:r w:rsidR="0047506E" w:rsidRPr="00087BCD">
        <w:rPr>
          <w:rFonts w:ascii="Garamond" w:hAnsi="Garamond"/>
          <w:sz w:val="26"/>
          <w:szCs w:val="26"/>
        </w:rPr>
        <w:t>d</w:t>
      </w:r>
      <w:r w:rsidR="00A66F00" w:rsidRPr="00087BCD">
        <w:rPr>
          <w:rFonts w:ascii="Garamond" w:hAnsi="Garamond"/>
          <w:sz w:val="26"/>
          <w:szCs w:val="26"/>
        </w:rPr>
        <w:t xml:space="preserve"> as the sale</w:t>
      </w:r>
      <w:r w:rsidR="00AE6C35" w:rsidRPr="00087BCD">
        <w:rPr>
          <w:rFonts w:ascii="Garamond" w:hAnsi="Garamond"/>
          <w:sz w:val="26"/>
          <w:szCs w:val="26"/>
        </w:rPr>
        <w:t xml:space="preserve"> of, or other transaction involving, </w:t>
      </w:r>
      <w:r w:rsidR="00A66F00" w:rsidRPr="00087BCD">
        <w:rPr>
          <w:rFonts w:ascii="Garamond" w:hAnsi="Garamond"/>
          <w:sz w:val="26"/>
          <w:szCs w:val="26"/>
        </w:rPr>
        <w:t>a digital product</w:t>
      </w:r>
      <w:r w:rsidR="006823C4" w:rsidRPr="00087BCD">
        <w:rPr>
          <w:rFonts w:ascii="Garamond" w:hAnsi="Garamond"/>
          <w:sz w:val="26"/>
          <w:szCs w:val="26"/>
        </w:rPr>
        <w:t>;</w:t>
      </w:r>
      <w:r w:rsidR="004919AD" w:rsidRPr="00087BCD">
        <w:rPr>
          <w:rStyle w:val="FootnoteReference"/>
          <w:rFonts w:ascii="Garamond" w:hAnsi="Garamond"/>
          <w:sz w:val="26"/>
          <w:szCs w:val="26"/>
        </w:rPr>
        <w:footnoteReference w:id="14"/>
      </w:r>
      <w:r w:rsidR="006823C4" w:rsidRPr="00087BCD">
        <w:rPr>
          <w:rFonts w:ascii="Garamond" w:hAnsi="Garamond"/>
          <w:sz w:val="26"/>
          <w:szCs w:val="26"/>
        </w:rPr>
        <w:t xml:space="preserve"> although it seems reasonably clear that the sale of a digital product may occur in </w:t>
      </w:r>
      <w:r w:rsidR="00180E0D" w:rsidRPr="00087BCD">
        <w:rPr>
          <w:rFonts w:ascii="Garamond" w:hAnsi="Garamond"/>
          <w:sz w:val="26"/>
          <w:szCs w:val="26"/>
        </w:rPr>
        <w:t>electronic commerc</w:t>
      </w:r>
      <w:r w:rsidR="0056440A" w:rsidRPr="00087BCD">
        <w:rPr>
          <w:rFonts w:ascii="Garamond" w:hAnsi="Garamond"/>
          <w:sz w:val="26"/>
          <w:szCs w:val="26"/>
        </w:rPr>
        <w:t>e</w:t>
      </w:r>
      <w:r w:rsidR="00180E0D" w:rsidRPr="00087BCD">
        <w:rPr>
          <w:rFonts w:ascii="Garamond" w:hAnsi="Garamond"/>
          <w:sz w:val="26"/>
          <w:szCs w:val="26"/>
        </w:rPr>
        <w:t>.</w:t>
      </w:r>
      <w:r w:rsidR="00B10295" w:rsidRPr="00087BCD">
        <w:rPr>
          <w:rFonts w:ascii="Garamond" w:hAnsi="Garamond"/>
          <w:sz w:val="26"/>
          <w:szCs w:val="26"/>
        </w:rPr>
        <w:t xml:space="preserve"> </w:t>
      </w:r>
      <w:r w:rsidRPr="00087BCD">
        <w:rPr>
          <w:rFonts w:ascii="Garamond" w:hAnsi="Garamond"/>
          <w:sz w:val="26"/>
          <w:szCs w:val="26"/>
        </w:rPr>
        <w:t>The definition of discriminatory tax describes the proscribed discrimination as a disparate tax treatment</w:t>
      </w:r>
      <w:r w:rsidR="001950A5" w:rsidRPr="00087BCD">
        <w:rPr>
          <w:rFonts w:ascii="Garamond" w:hAnsi="Garamond"/>
          <w:sz w:val="26"/>
          <w:szCs w:val="26"/>
        </w:rPr>
        <w:t>,</w:t>
      </w:r>
      <w:r w:rsidRPr="00087BCD">
        <w:rPr>
          <w:rFonts w:ascii="Garamond" w:hAnsi="Garamond"/>
          <w:sz w:val="26"/>
          <w:szCs w:val="26"/>
        </w:rPr>
        <w:t xml:space="preserve"> </w:t>
      </w:r>
      <w:r w:rsidR="001950A5" w:rsidRPr="00087BCD">
        <w:rPr>
          <w:rFonts w:ascii="Garamond" w:hAnsi="Garamond"/>
          <w:sz w:val="26"/>
          <w:szCs w:val="26"/>
        </w:rPr>
        <w:t xml:space="preserve">of electronic commerce, </w:t>
      </w:r>
      <w:r w:rsidRPr="00087BCD">
        <w:rPr>
          <w:rFonts w:ascii="Garamond" w:hAnsi="Garamond"/>
          <w:sz w:val="26"/>
          <w:szCs w:val="26"/>
        </w:rPr>
        <w:t>when compared to transactions</w:t>
      </w:r>
      <w:r w:rsidR="0008458F" w:rsidRPr="00087BCD">
        <w:rPr>
          <w:rFonts w:ascii="Garamond" w:hAnsi="Garamond"/>
          <w:sz w:val="26"/>
          <w:szCs w:val="26"/>
        </w:rPr>
        <w:t xml:space="preserve"> in</w:t>
      </w:r>
      <w:r w:rsidR="00B01B4D" w:rsidRPr="00087BCD">
        <w:rPr>
          <w:rFonts w:ascii="Garamond" w:hAnsi="Garamond"/>
          <w:sz w:val="26"/>
          <w:szCs w:val="26"/>
        </w:rPr>
        <w:t xml:space="preserve"> similar</w:t>
      </w:r>
      <w:r w:rsidR="0008458F" w:rsidRPr="00087BCD">
        <w:rPr>
          <w:rFonts w:ascii="Garamond" w:hAnsi="Garamond"/>
          <w:sz w:val="26"/>
          <w:szCs w:val="26"/>
        </w:rPr>
        <w:t xml:space="preserve"> </w:t>
      </w:r>
      <w:r w:rsidR="002646A3" w:rsidRPr="00087BCD">
        <w:rPr>
          <w:rFonts w:ascii="Garamond" w:eastAsia="Times New Roman" w:hAnsi="Garamond" w:cs="Open Sans"/>
          <w:color w:val="333333"/>
          <w:kern w:val="0"/>
          <w:sz w:val="26"/>
          <w:szCs w:val="26"/>
          <w14:ligatures w14:val="none"/>
        </w:rPr>
        <w:t>property, goods, services, or information</w:t>
      </w:r>
      <w:r w:rsidRPr="00087BCD">
        <w:rPr>
          <w:rFonts w:ascii="Garamond" w:hAnsi="Garamond"/>
          <w:sz w:val="26"/>
          <w:szCs w:val="26"/>
        </w:rPr>
        <w:t xml:space="preserve"> “accomplished through other means” </w:t>
      </w:r>
      <w:r w:rsidR="00740934" w:rsidRPr="00087BCD">
        <w:rPr>
          <w:rFonts w:ascii="Garamond" w:hAnsi="Garamond"/>
          <w:sz w:val="26"/>
          <w:szCs w:val="26"/>
        </w:rPr>
        <w:t xml:space="preserve">or </w:t>
      </w:r>
      <w:r w:rsidR="008E0D7D" w:rsidRPr="00087BCD">
        <w:rPr>
          <w:rFonts w:ascii="Garamond" w:hAnsi="Garamond"/>
          <w:sz w:val="26"/>
          <w:szCs w:val="26"/>
        </w:rPr>
        <w:t>with respect to</w:t>
      </w:r>
      <w:r w:rsidR="00883127" w:rsidRPr="00087BCD">
        <w:rPr>
          <w:rFonts w:ascii="Garamond" w:hAnsi="Garamond"/>
          <w:sz w:val="26"/>
          <w:szCs w:val="26"/>
        </w:rPr>
        <w:t xml:space="preserve"> </w:t>
      </w:r>
      <w:r w:rsidR="004544DD" w:rsidRPr="00087BCD">
        <w:rPr>
          <w:rFonts w:ascii="Garamond" w:hAnsi="Garamond"/>
          <w:sz w:val="26"/>
          <w:szCs w:val="26"/>
        </w:rPr>
        <w:t xml:space="preserve">certain </w:t>
      </w:r>
      <w:r w:rsidR="00740934" w:rsidRPr="00087BCD">
        <w:rPr>
          <w:rFonts w:ascii="Garamond" w:hAnsi="Garamond"/>
          <w:sz w:val="26"/>
          <w:szCs w:val="26"/>
        </w:rPr>
        <w:t xml:space="preserve">providers </w:t>
      </w:r>
      <w:r w:rsidR="004544DD" w:rsidRPr="00087BCD">
        <w:rPr>
          <w:rFonts w:ascii="Garamond" w:hAnsi="Garamond"/>
          <w:sz w:val="26"/>
          <w:szCs w:val="26"/>
        </w:rPr>
        <w:t xml:space="preserve">in comparison to similar information </w:t>
      </w:r>
      <w:r w:rsidR="00CD0925" w:rsidRPr="00087BCD">
        <w:rPr>
          <w:rFonts w:ascii="Garamond" w:hAnsi="Garamond"/>
          <w:sz w:val="26"/>
          <w:szCs w:val="26"/>
        </w:rPr>
        <w:t xml:space="preserve">services </w:t>
      </w:r>
      <w:r w:rsidR="00740934" w:rsidRPr="00087BCD">
        <w:rPr>
          <w:rFonts w:ascii="Garamond" w:hAnsi="Garamond"/>
          <w:sz w:val="26"/>
          <w:szCs w:val="26"/>
        </w:rPr>
        <w:t>“delivered th</w:t>
      </w:r>
      <w:r w:rsidR="004544DD" w:rsidRPr="00087BCD">
        <w:rPr>
          <w:rFonts w:ascii="Garamond" w:hAnsi="Garamond"/>
          <w:sz w:val="26"/>
          <w:szCs w:val="26"/>
        </w:rPr>
        <w:t>r</w:t>
      </w:r>
      <w:r w:rsidR="00740934" w:rsidRPr="00087BCD">
        <w:rPr>
          <w:rFonts w:ascii="Garamond" w:hAnsi="Garamond"/>
          <w:sz w:val="26"/>
          <w:szCs w:val="26"/>
        </w:rPr>
        <w:t>ough other means</w:t>
      </w:r>
      <w:r w:rsidR="001169F9" w:rsidRPr="00087BCD">
        <w:rPr>
          <w:rFonts w:ascii="Garamond" w:hAnsi="Garamond"/>
          <w:sz w:val="26"/>
          <w:szCs w:val="26"/>
        </w:rPr>
        <w:t>.</w:t>
      </w:r>
      <w:r w:rsidR="00CD0925" w:rsidRPr="00087BCD">
        <w:rPr>
          <w:rFonts w:ascii="Garamond" w:hAnsi="Garamond"/>
          <w:sz w:val="26"/>
          <w:szCs w:val="26"/>
        </w:rPr>
        <w:t>”</w:t>
      </w:r>
    </w:p>
    <w:p w14:paraId="516D9E2D" w14:textId="0D953A15" w:rsidR="006E50AB" w:rsidRPr="00A04EF4" w:rsidRDefault="0023475A" w:rsidP="00A04EF4">
      <w:pPr>
        <w:rPr>
          <w:rFonts w:ascii="Open Sans" w:eastAsia="Times New Roman" w:hAnsi="Open Sans" w:cs="Open Sans"/>
          <w:b/>
          <w:bCs/>
          <w:smallCaps/>
          <w:color w:val="333333"/>
          <w:kern w:val="0"/>
          <w:shd w:val="clear" w:color="auto" w:fill="FFFFFF"/>
          <w14:ligatures w14:val="none"/>
        </w:rPr>
      </w:pPr>
      <w:r>
        <w:rPr>
          <w:rFonts w:ascii="Garamond" w:hAnsi="Garamond"/>
          <w:sz w:val="26"/>
          <w:szCs w:val="26"/>
        </w:rPr>
        <w:t>The ITFA does not prohibit discrimination between transactions in electronic commerce.</w:t>
      </w:r>
      <w:r w:rsidR="00A41C85">
        <w:rPr>
          <w:rFonts w:ascii="Garamond" w:hAnsi="Garamond"/>
          <w:sz w:val="26"/>
          <w:szCs w:val="26"/>
        </w:rPr>
        <w:t xml:space="preserve"> Accordingly, </w:t>
      </w:r>
      <w:r w:rsidR="009332F2">
        <w:rPr>
          <w:rFonts w:ascii="Garamond" w:hAnsi="Garamond"/>
          <w:sz w:val="26"/>
          <w:szCs w:val="26"/>
        </w:rPr>
        <w:t xml:space="preserve">a state might </w:t>
      </w:r>
      <w:r w:rsidR="009422A9">
        <w:rPr>
          <w:rFonts w:ascii="Garamond" w:hAnsi="Garamond"/>
          <w:sz w:val="26"/>
          <w:szCs w:val="26"/>
        </w:rPr>
        <w:t xml:space="preserve">choose to </w:t>
      </w:r>
      <w:r w:rsidR="009332F2">
        <w:rPr>
          <w:rFonts w:ascii="Garamond" w:hAnsi="Garamond"/>
          <w:sz w:val="26"/>
          <w:szCs w:val="26"/>
        </w:rPr>
        <w:t xml:space="preserve">tax </w:t>
      </w:r>
      <w:r w:rsidR="00DC1E27">
        <w:rPr>
          <w:rFonts w:ascii="Garamond" w:hAnsi="Garamond"/>
          <w:sz w:val="26"/>
          <w:szCs w:val="26"/>
        </w:rPr>
        <w:t xml:space="preserve">fictional </w:t>
      </w:r>
      <w:r w:rsidR="009332F2">
        <w:rPr>
          <w:rFonts w:ascii="Garamond" w:hAnsi="Garamond"/>
          <w:sz w:val="26"/>
          <w:szCs w:val="26"/>
        </w:rPr>
        <w:t xml:space="preserve">digital books </w:t>
      </w:r>
      <w:r w:rsidR="00BA75FC">
        <w:rPr>
          <w:rFonts w:ascii="Garamond" w:hAnsi="Garamond"/>
          <w:sz w:val="26"/>
          <w:szCs w:val="26"/>
        </w:rPr>
        <w:t>purchased</w:t>
      </w:r>
      <w:r w:rsidR="009332F2">
        <w:rPr>
          <w:rFonts w:ascii="Garamond" w:hAnsi="Garamond"/>
          <w:sz w:val="26"/>
          <w:szCs w:val="26"/>
        </w:rPr>
        <w:t xml:space="preserve"> over the </w:t>
      </w:r>
      <w:r w:rsidR="001B005C">
        <w:rPr>
          <w:rFonts w:ascii="Garamond" w:hAnsi="Garamond"/>
          <w:sz w:val="26"/>
          <w:szCs w:val="26"/>
        </w:rPr>
        <w:t>I</w:t>
      </w:r>
      <w:r w:rsidR="009332F2">
        <w:rPr>
          <w:rFonts w:ascii="Garamond" w:hAnsi="Garamond"/>
          <w:sz w:val="26"/>
          <w:szCs w:val="26"/>
        </w:rPr>
        <w:t>nternet</w:t>
      </w:r>
      <w:r w:rsidR="009422A9">
        <w:rPr>
          <w:rFonts w:ascii="Garamond" w:hAnsi="Garamond"/>
          <w:sz w:val="26"/>
          <w:szCs w:val="26"/>
        </w:rPr>
        <w:t xml:space="preserve"> and</w:t>
      </w:r>
      <w:r w:rsidR="009332F2">
        <w:rPr>
          <w:rFonts w:ascii="Garamond" w:hAnsi="Garamond"/>
          <w:sz w:val="26"/>
          <w:szCs w:val="26"/>
        </w:rPr>
        <w:t xml:space="preserve"> not</w:t>
      </w:r>
      <w:r w:rsidR="00DC1E27">
        <w:rPr>
          <w:rFonts w:ascii="Garamond" w:hAnsi="Garamond"/>
          <w:sz w:val="26"/>
          <w:szCs w:val="26"/>
        </w:rPr>
        <w:t xml:space="preserve"> </w:t>
      </w:r>
      <w:r w:rsidR="009422A9">
        <w:rPr>
          <w:rFonts w:ascii="Garamond" w:hAnsi="Garamond"/>
          <w:sz w:val="26"/>
          <w:szCs w:val="26"/>
        </w:rPr>
        <w:t xml:space="preserve">tax </w:t>
      </w:r>
      <w:r w:rsidR="00BA75FC">
        <w:rPr>
          <w:rFonts w:ascii="Garamond" w:hAnsi="Garamond"/>
          <w:sz w:val="26"/>
          <w:szCs w:val="26"/>
        </w:rPr>
        <w:t xml:space="preserve">educational books </w:t>
      </w:r>
      <w:r w:rsidR="009422A9">
        <w:rPr>
          <w:rFonts w:ascii="Garamond" w:hAnsi="Garamond"/>
          <w:sz w:val="26"/>
          <w:szCs w:val="26"/>
        </w:rPr>
        <w:t xml:space="preserve">purchased over the </w:t>
      </w:r>
      <w:r w:rsidR="001B005C">
        <w:rPr>
          <w:rFonts w:ascii="Garamond" w:hAnsi="Garamond"/>
          <w:sz w:val="26"/>
          <w:szCs w:val="26"/>
        </w:rPr>
        <w:t>I</w:t>
      </w:r>
      <w:r w:rsidR="009422A9">
        <w:rPr>
          <w:rFonts w:ascii="Garamond" w:hAnsi="Garamond"/>
          <w:sz w:val="26"/>
          <w:szCs w:val="26"/>
        </w:rPr>
        <w:t>nternet</w:t>
      </w:r>
      <w:r w:rsidR="00650875">
        <w:rPr>
          <w:rFonts w:ascii="Garamond" w:hAnsi="Garamond"/>
          <w:sz w:val="26"/>
          <w:szCs w:val="26"/>
        </w:rPr>
        <w:t xml:space="preserve"> without concern for the ITFA</w:t>
      </w:r>
      <w:r w:rsidR="00630D64">
        <w:rPr>
          <w:rFonts w:ascii="Garamond" w:hAnsi="Garamond"/>
          <w:sz w:val="26"/>
          <w:szCs w:val="26"/>
        </w:rPr>
        <w:t xml:space="preserve"> discrimination</w:t>
      </w:r>
      <w:r w:rsidR="00C961D2">
        <w:rPr>
          <w:rFonts w:ascii="Garamond" w:hAnsi="Garamond"/>
          <w:sz w:val="26"/>
          <w:szCs w:val="26"/>
        </w:rPr>
        <w:t xml:space="preserve"> provision</w:t>
      </w:r>
      <w:r w:rsidR="009422A9">
        <w:rPr>
          <w:rFonts w:ascii="Garamond" w:hAnsi="Garamond"/>
          <w:sz w:val="26"/>
          <w:szCs w:val="26"/>
        </w:rPr>
        <w:t>.</w:t>
      </w:r>
      <w:r w:rsidR="00650875">
        <w:rPr>
          <w:rFonts w:ascii="Garamond" w:hAnsi="Garamond"/>
          <w:sz w:val="26"/>
          <w:szCs w:val="26"/>
        </w:rPr>
        <w:t xml:space="preserve"> As a result, with respect to transaction</w:t>
      </w:r>
      <w:r w:rsidR="00CF6538">
        <w:rPr>
          <w:rFonts w:ascii="Garamond" w:hAnsi="Garamond"/>
          <w:sz w:val="26"/>
          <w:szCs w:val="26"/>
        </w:rPr>
        <w:t>s</w:t>
      </w:r>
      <w:r w:rsidR="00650875">
        <w:rPr>
          <w:rFonts w:ascii="Garamond" w:hAnsi="Garamond"/>
          <w:sz w:val="26"/>
          <w:szCs w:val="26"/>
        </w:rPr>
        <w:t xml:space="preserve"> i</w:t>
      </w:r>
      <w:r w:rsidR="004504E1">
        <w:rPr>
          <w:rFonts w:ascii="Garamond" w:hAnsi="Garamond"/>
          <w:sz w:val="26"/>
          <w:szCs w:val="26"/>
        </w:rPr>
        <w:t>n</w:t>
      </w:r>
      <w:r w:rsidR="00650875">
        <w:rPr>
          <w:rFonts w:ascii="Garamond" w:hAnsi="Garamond"/>
          <w:sz w:val="26"/>
          <w:szCs w:val="26"/>
        </w:rPr>
        <w:t xml:space="preserve"> electric commerce, policy makers appear to have wide discretion to make </w:t>
      </w:r>
      <w:r w:rsidR="002F2CF9">
        <w:rPr>
          <w:rFonts w:ascii="Garamond" w:hAnsi="Garamond"/>
          <w:sz w:val="26"/>
          <w:szCs w:val="26"/>
        </w:rPr>
        <w:t>tax distinction</w:t>
      </w:r>
      <w:r w:rsidR="004504E1">
        <w:rPr>
          <w:rFonts w:ascii="Garamond" w:hAnsi="Garamond"/>
          <w:sz w:val="26"/>
          <w:szCs w:val="26"/>
        </w:rPr>
        <w:t>s for policy reasons</w:t>
      </w:r>
      <w:r w:rsidR="00CF6538">
        <w:rPr>
          <w:rFonts w:ascii="Garamond" w:hAnsi="Garamond"/>
          <w:sz w:val="26"/>
          <w:szCs w:val="26"/>
        </w:rPr>
        <w:t xml:space="preserve"> without</w:t>
      </w:r>
      <w:r w:rsidR="004504E1">
        <w:rPr>
          <w:rFonts w:ascii="Garamond" w:hAnsi="Garamond"/>
          <w:sz w:val="26"/>
          <w:szCs w:val="26"/>
        </w:rPr>
        <w:t xml:space="preserve"> sign</w:t>
      </w:r>
      <w:r w:rsidR="00CF6538">
        <w:rPr>
          <w:rFonts w:ascii="Garamond" w:hAnsi="Garamond"/>
          <w:sz w:val="26"/>
          <w:szCs w:val="26"/>
        </w:rPr>
        <w:t>i</w:t>
      </w:r>
      <w:r w:rsidR="004504E1">
        <w:rPr>
          <w:rFonts w:ascii="Garamond" w:hAnsi="Garamond"/>
          <w:sz w:val="26"/>
          <w:szCs w:val="26"/>
        </w:rPr>
        <w:t>ficant</w:t>
      </w:r>
      <w:r w:rsidR="002F2CF9">
        <w:rPr>
          <w:rFonts w:ascii="Garamond" w:hAnsi="Garamond"/>
          <w:sz w:val="26"/>
          <w:szCs w:val="26"/>
        </w:rPr>
        <w:t xml:space="preserve"> </w:t>
      </w:r>
      <w:r w:rsidR="00CF6538">
        <w:rPr>
          <w:rFonts w:ascii="Garamond" w:hAnsi="Garamond"/>
          <w:sz w:val="26"/>
          <w:szCs w:val="26"/>
        </w:rPr>
        <w:t>ITFA risks</w:t>
      </w:r>
      <w:r w:rsidR="006B69FC">
        <w:rPr>
          <w:rFonts w:ascii="Garamond" w:hAnsi="Garamond"/>
          <w:sz w:val="26"/>
          <w:szCs w:val="26"/>
        </w:rPr>
        <w:t>.</w:t>
      </w:r>
    </w:p>
    <w:p w14:paraId="11C15776" w14:textId="6B5AE79A" w:rsidR="00060D14" w:rsidRDefault="001950A5" w:rsidP="00A04EF4">
      <w:pPr>
        <w:rPr>
          <w:rFonts w:ascii="Garamond" w:hAnsi="Garamond"/>
          <w:sz w:val="26"/>
          <w:szCs w:val="26"/>
        </w:rPr>
      </w:pPr>
      <w:r>
        <w:rPr>
          <w:rFonts w:ascii="Garamond" w:hAnsi="Garamond"/>
          <w:sz w:val="26"/>
          <w:szCs w:val="26"/>
        </w:rPr>
        <w:lastRenderedPageBreak/>
        <w:t xml:space="preserve">Because electronic commerce is defined as transactions conducted over the Internet or </w:t>
      </w:r>
      <w:r w:rsidR="00B72C73">
        <w:rPr>
          <w:rFonts w:ascii="Garamond" w:hAnsi="Garamond"/>
          <w:sz w:val="26"/>
          <w:szCs w:val="26"/>
        </w:rPr>
        <w:t xml:space="preserve">through </w:t>
      </w:r>
      <w:r>
        <w:rPr>
          <w:rFonts w:ascii="Garamond" w:hAnsi="Garamond"/>
          <w:sz w:val="26"/>
          <w:szCs w:val="26"/>
        </w:rPr>
        <w:t>Internet access, “o</w:t>
      </w:r>
      <w:r w:rsidR="00A70C32" w:rsidRPr="00930F0A">
        <w:rPr>
          <w:rFonts w:ascii="Garamond" w:hAnsi="Garamond"/>
          <w:sz w:val="26"/>
          <w:szCs w:val="26"/>
        </w:rPr>
        <w:t>ther means</w:t>
      </w:r>
      <w:r>
        <w:rPr>
          <w:rFonts w:ascii="Garamond" w:hAnsi="Garamond"/>
          <w:sz w:val="26"/>
          <w:szCs w:val="26"/>
        </w:rPr>
        <w:t>”</w:t>
      </w:r>
      <w:r w:rsidR="00A70C32" w:rsidRPr="00930F0A">
        <w:rPr>
          <w:rFonts w:ascii="Garamond" w:hAnsi="Garamond"/>
          <w:sz w:val="26"/>
          <w:szCs w:val="26"/>
        </w:rPr>
        <w:t xml:space="preserve"> is</w:t>
      </w:r>
      <w:r w:rsidR="0023475A">
        <w:rPr>
          <w:rFonts w:ascii="Garamond" w:hAnsi="Garamond"/>
          <w:sz w:val="26"/>
          <w:szCs w:val="26"/>
        </w:rPr>
        <w:t xml:space="preserve"> </w:t>
      </w:r>
      <w:r w:rsidR="006B69FC">
        <w:rPr>
          <w:rFonts w:ascii="Garamond" w:hAnsi="Garamond"/>
          <w:sz w:val="26"/>
          <w:szCs w:val="26"/>
        </w:rPr>
        <w:t xml:space="preserve">logically </w:t>
      </w:r>
      <w:r w:rsidR="00A70C32" w:rsidRPr="00930F0A">
        <w:rPr>
          <w:rFonts w:ascii="Garamond" w:hAnsi="Garamond"/>
          <w:sz w:val="26"/>
          <w:szCs w:val="26"/>
        </w:rPr>
        <w:t>referring to means other than over the Internet or through Internet access</w:t>
      </w:r>
      <w:r w:rsidR="00AE6C35">
        <w:rPr>
          <w:rFonts w:ascii="Garamond" w:hAnsi="Garamond"/>
          <w:sz w:val="26"/>
          <w:szCs w:val="26"/>
        </w:rPr>
        <w:t>.</w:t>
      </w:r>
      <w:r w:rsidR="000A14D0">
        <w:rPr>
          <w:rFonts w:ascii="Garamond" w:hAnsi="Garamond"/>
          <w:sz w:val="26"/>
          <w:szCs w:val="26"/>
        </w:rPr>
        <w:t xml:space="preserve"> For example, an Arizona court disregarded an ITFA discrimination claim by </w:t>
      </w:r>
      <w:r w:rsidR="00B72C73">
        <w:rPr>
          <w:rFonts w:ascii="Garamond" w:hAnsi="Garamond"/>
          <w:sz w:val="26"/>
          <w:szCs w:val="26"/>
        </w:rPr>
        <w:t>correctly identifying</w:t>
      </w:r>
      <w:r w:rsidR="000A14D0">
        <w:rPr>
          <w:rFonts w:ascii="Garamond" w:hAnsi="Garamond"/>
          <w:sz w:val="26"/>
          <w:szCs w:val="26"/>
        </w:rPr>
        <w:t xml:space="preserve"> </w:t>
      </w:r>
      <w:r w:rsidR="00B72C73">
        <w:rPr>
          <w:rFonts w:ascii="Garamond" w:hAnsi="Garamond"/>
          <w:sz w:val="26"/>
          <w:szCs w:val="26"/>
        </w:rPr>
        <w:t xml:space="preserve">that </w:t>
      </w:r>
      <w:r w:rsidR="000A14D0">
        <w:rPr>
          <w:rFonts w:ascii="Garamond" w:hAnsi="Garamond"/>
          <w:sz w:val="26"/>
          <w:szCs w:val="26"/>
        </w:rPr>
        <w:t xml:space="preserve">the tax distinction </w:t>
      </w:r>
      <w:r w:rsidR="00B72C73">
        <w:rPr>
          <w:rFonts w:ascii="Garamond" w:hAnsi="Garamond"/>
          <w:sz w:val="26"/>
          <w:szCs w:val="26"/>
        </w:rPr>
        <w:t xml:space="preserve">relied </w:t>
      </w:r>
      <w:r w:rsidR="000A14D0">
        <w:rPr>
          <w:rFonts w:ascii="Garamond" w:hAnsi="Garamond"/>
          <w:sz w:val="26"/>
          <w:szCs w:val="26"/>
        </w:rPr>
        <w:t>on the taxpayer’s business model rather than on the presence or absence of the Internet.</w:t>
      </w:r>
      <w:r w:rsidR="001F002B">
        <w:rPr>
          <w:rStyle w:val="FootnoteReference"/>
          <w:rFonts w:ascii="Garamond" w:hAnsi="Garamond"/>
          <w:sz w:val="26"/>
          <w:szCs w:val="26"/>
        </w:rPr>
        <w:footnoteReference w:id="15"/>
      </w:r>
      <w:r w:rsidR="000A14D0">
        <w:rPr>
          <w:rFonts w:ascii="Garamond" w:hAnsi="Garamond"/>
          <w:sz w:val="26"/>
          <w:szCs w:val="26"/>
        </w:rPr>
        <w:t xml:space="preserve"> The issue was application of Arizona’s Transaction Privilege Tax (TPT) to the taxpayer’s payroll automation software. The taxpayer argued the TPT violated </w:t>
      </w:r>
      <w:r w:rsidR="00B72C73">
        <w:rPr>
          <w:rFonts w:ascii="Garamond" w:hAnsi="Garamond"/>
          <w:sz w:val="26"/>
          <w:szCs w:val="26"/>
        </w:rPr>
        <w:t xml:space="preserve">the </w:t>
      </w:r>
      <w:r w:rsidR="000A14D0">
        <w:rPr>
          <w:rFonts w:ascii="Garamond" w:hAnsi="Garamond"/>
          <w:sz w:val="26"/>
          <w:szCs w:val="26"/>
        </w:rPr>
        <w:t xml:space="preserve">ITFA because </w:t>
      </w:r>
      <w:r w:rsidR="00B72C73">
        <w:rPr>
          <w:rFonts w:ascii="Garamond" w:hAnsi="Garamond"/>
          <w:sz w:val="26"/>
          <w:szCs w:val="26"/>
        </w:rPr>
        <w:t>the TPT exempted the Taxpayer’s work if its</w:t>
      </w:r>
      <w:r w:rsidR="000A14D0">
        <w:rPr>
          <w:rFonts w:ascii="Garamond" w:hAnsi="Garamond"/>
          <w:sz w:val="26"/>
          <w:szCs w:val="26"/>
        </w:rPr>
        <w:t xml:space="preserve"> employees manually </w:t>
      </w:r>
      <w:r w:rsidR="00B72C73">
        <w:rPr>
          <w:rFonts w:ascii="Garamond" w:hAnsi="Garamond"/>
          <w:sz w:val="26"/>
          <w:szCs w:val="26"/>
        </w:rPr>
        <w:t>performed it</w:t>
      </w:r>
      <w:r w:rsidR="000A14D0">
        <w:rPr>
          <w:rFonts w:ascii="Garamond" w:hAnsi="Garamond"/>
          <w:sz w:val="26"/>
          <w:szCs w:val="26"/>
        </w:rPr>
        <w:t xml:space="preserve">, but </w:t>
      </w:r>
      <w:r w:rsidR="00B72C73">
        <w:rPr>
          <w:rFonts w:ascii="Garamond" w:hAnsi="Garamond"/>
          <w:sz w:val="26"/>
          <w:szCs w:val="26"/>
        </w:rPr>
        <w:t>the TPT taxed</w:t>
      </w:r>
      <w:r w:rsidR="000A14D0">
        <w:rPr>
          <w:rFonts w:ascii="Garamond" w:hAnsi="Garamond"/>
          <w:sz w:val="26"/>
          <w:szCs w:val="26"/>
        </w:rPr>
        <w:t xml:space="preserve"> its automated software products.</w:t>
      </w:r>
      <w:r w:rsidR="001F002B">
        <w:rPr>
          <w:rStyle w:val="FootnoteReference"/>
          <w:rFonts w:ascii="Garamond" w:hAnsi="Garamond"/>
          <w:sz w:val="26"/>
          <w:szCs w:val="26"/>
        </w:rPr>
        <w:footnoteReference w:id="16"/>
      </w:r>
      <w:r w:rsidR="000A14D0">
        <w:rPr>
          <w:rFonts w:ascii="Garamond" w:hAnsi="Garamond"/>
          <w:sz w:val="26"/>
          <w:szCs w:val="26"/>
        </w:rPr>
        <w:t xml:space="preserve"> The court </w:t>
      </w:r>
      <w:r w:rsidR="001F002B">
        <w:rPr>
          <w:rFonts w:ascii="Garamond" w:hAnsi="Garamond"/>
          <w:sz w:val="26"/>
          <w:szCs w:val="26"/>
        </w:rPr>
        <w:t xml:space="preserve">rejected the </w:t>
      </w:r>
      <w:r w:rsidR="00B72C73">
        <w:rPr>
          <w:rFonts w:ascii="Garamond" w:hAnsi="Garamond"/>
          <w:sz w:val="26"/>
          <w:szCs w:val="26"/>
        </w:rPr>
        <w:t xml:space="preserve">ITFA discrimination </w:t>
      </w:r>
      <w:r w:rsidR="001F002B">
        <w:rPr>
          <w:rFonts w:ascii="Garamond" w:hAnsi="Garamond"/>
          <w:sz w:val="26"/>
          <w:szCs w:val="26"/>
        </w:rPr>
        <w:t xml:space="preserve">claim, </w:t>
      </w:r>
      <w:r w:rsidR="000A14D0">
        <w:rPr>
          <w:rFonts w:ascii="Garamond" w:hAnsi="Garamond"/>
          <w:sz w:val="26"/>
          <w:szCs w:val="26"/>
        </w:rPr>
        <w:t>conclud</w:t>
      </w:r>
      <w:r w:rsidR="001F002B">
        <w:rPr>
          <w:rFonts w:ascii="Garamond" w:hAnsi="Garamond"/>
          <w:sz w:val="26"/>
          <w:szCs w:val="26"/>
        </w:rPr>
        <w:t>ing</w:t>
      </w:r>
      <w:r w:rsidR="000A14D0">
        <w:rPr>
          <w:rFonts w:ascii="Garamond" w:hAnsi="Garamond"/>
          <w:sz w:val="26"/>
          <w:szCs w:val="26"/>
        </w:rPr>
        <w:t xml:space="preserve"> th</w:t>
      </w:r>
      <w:r w:rsidR="001F002B">
        <w:rPr>
          <w:rFonts w:ascii="Garamond" w:hAnsi="Garamond"/>
          <w:sz w:val="26"/>
          <w:szCs w:val="26"/>
        </w:rPr>
        <w:t>e</w:t>
      </w:r>
      <w:r w:rsidR="000A14D0">
        <w:rPr>
          <w:rFonts w:ascii="Garamond" w:hAnsi="Garamond"/>
          <w:sz w:val="26"/>
          <w:szCs w:val="26"/>
        </w:rPr>
        <w:t xml:space="preserve"> distinction </w:t>
      </w:r>
      <w:r w:rsidR="001F002B">
        <w:rPr>
          <w:rFonts w:ascii="Garamond" w:hAnsi="Garamond"/>
          <w:sz w:val="26"/>
          <w:szCs w:val="26"/>
        </w:rPr>
        <w:t xml:space="preserve">was </w:t>
      </w:r>
      <w:r w:rsidR="000A14D0">
        <w:rPr>
          <w:rFonts w:ascii="Garamond" w:hAnsi="Garamond"/>
          <w:sz w:val="26"/>
          <w:szCs w:val="26"/>
        </w:rPr>
        <w:t>the taxpayer’s business model</w:t>
      </w:r>
      <w:r w:rsidR="001F002B">
        <w:rPr>
          <w:rFonts w:ascii="Garamond" w:hAnsi="Garamond"/>
          <w:sz w:val="26"/>
          <w:szCs w:val="26"/>
        </w:rPr>
        <w:t xml:space="preserve"> rather than the </w:t>
      </w:r>
      <w:r w:rsidR="000A14D0">
        <w:rPr>
          <w:rFonts w:ascii="Garamond" w:hAnsi="Garamond"/>
          <w:sz w:val="26"/>
          <w:szCs w:val="26"/>
        </w:rPr>
        <w:t>presence or absence of the Internet.</w:t>
      </w:r>
      <w:r w:rsidR="001F002B">
        <w:rPr>
          <w:rStyle w:val="FootnoteReference"/>
          <w:rFonts w:ascii="Garamond" w:hAnsi="Garamond"/>
          <w:sz w:val="26"/>
          <w:szCs w:val="26"/>
        </w:rPr>
        <w:footnoteReference w:id="17"/>
      </w:r>
    </w:p>
    <w:p w14:paraId="5ADCA334" w14:textId="1973E141" w:rsidR="007162D0" w:rsidRDefault="001B005C" w:rsidP="00A04EF4">
      <w:pPr>
        <w:rPr>
          <w:rFonts w:ascii="Garamond" w:hAnsi="Garamond"/>
          <w:sz w:val="26"/>
          <w:szCs w:val="26"/>
        </w:rPr>
      </w:pPr>
      <w:r>
        <w:rPr>
          <w:rFonts w:ascii="Garamond" w:hAnsi="Garamond"/>
          <w:sz w:val="26"/>
          <w:szCs w:val="26"/>
        </w:rPr>
        <w:t>In summation, t</w:t>
      </w:r>
      <w:r w:rsidR="00A70C32" w:rsidRPr="00930F0A">
        <w:rPr>
          <w:rFonts w:ascii="Garamond" w:hAnsi="Garamond"/>
          <w:sz w:val="26"/>
          <w:szCs w:val="26"/>
        </w:rPr>
        <w:t>he interaction of these two definitions</w:t>
      </w:r>
      <w:r w:rsidR="00B72C73">
        <w:rPr>
          <w:rFonts w:ascii="Garamond" w:hAnsi="Garamond"/>
          <w:sz w:val="26"/>
          <w:szCs w:val="26"/>
        </w:rPr>
        <w:t>, electronic commerce and discriminatory tax,</w:t>
      </w:r>
      <w:r w:rsidR="00A70C32" w:rsidRPr="00930F0A">
        <w:rPr>
          <w:rFonts w:ascii="Garamond" w:hAnsi="Garamond"/>
          <w:sz w:val="26"/>
          <w:szCs w:val="26"/>
        </w:rPr>
        <w:t xml:space="preserve"> </w:t>
      </w:r>
      <w:r w:rsidR="001950A5">
        <w:rPr>
          <w:rFonts w:ascii="Garamond" w:hAnsi="Garamond"/>
          <w:sz w:val="26"/>
          <w:szCs w:val="26"/>
        </w:rPr>
        <w:t xml:space="preserve">makes </w:t>
      </w:r>
      <w:r w:rsidR="00A2593F">
        <w:rPr>
          <w:rFonts w:ascii="Garamond" w:hAnsi="Garamond"/>
          <w:sz w:val="26"/>
          <w:szCs w:val="26"/>
        </w:rPr>
        <w:t>identifying</w:t>
      </w:r>
      <w:r w:rsidR="001950A5">
        <w:rPr>
          <w:rFonts w:ascii="Garamond" w:hAnsi="Garamond"/>
          <w:sz w:val="26"/>
          <w:szCs w:val="26"/>
        </w:rPr>
        <w:t xml:space="preserve"> the Internet</w:t>
      </w:r>
      <w:r w:rsidR="00A2593F">
        <w:rPr>
          <w:rFonts w:ascii="Garamond" w:hAnsi="Garamond"/>
          <w:sz w:val="26"/>
          <w:szCs w:val="26"/>
        </w:rPr>
        <w:t xml:space="preserve"> </w:t>
      </w:r>
      <w:r w:rsidR="00A70C32" w:rsidRPr="00930F0A">
        <w:rPr>
          <w:rFonts w:ascii="Garamond" w:hAnsi="Garamond"/>
          <w:sz w:val="26"/>
          <w:szCs w:val="26"/>
        </w:rPr>
        <w:t>a prerequisite to</w:t>
      </w:r>
      <w:r w:rsidR="00A2593F">
        <w:rPr>
          <w:rFonts w:ascii="Garamond" w:hAnsi="Garamond"/>
          <w:sz w:val="26"/>
          <w:szCs w:val="26"/>
        </w:rPr>
        <w:t xml:space="preserve"> determining if there is an</w:t>
      </w:r>
      <w:r w:rsidR="00817F3A">
        <w:rPr>
          <w:rFonts w:ascii="Garamond" w:hAnsi="Garamond"/>
          <w:sz w:val="26"/>
          <w:szCs w:val="26"/>
        </w:rPr>
        <w:t xml:space="preserve"> </w:t>
      </w:r>
      <w:r w:rsidR="001950A5">
        <w:rPr>
          <w:rFonts w:ascii="Garamond" w:hAnsi="Garamond"/>
          <w:sz w:val="26"/>
          <w:szCs w:val="26"/>
        </w:rPr>
        <w:t>ITFA</w:t>
      </w:r>
      <w:r w:rsidR="00A70C32" w:rsidRPr="00930F0A">
        <w:rPr>
          <w:rFonts w:ascii="Garamond" w:hAnsi="Garamond"/>
          <w:sz w:val="26"/>
          <w:szCs w:val="26"/>
        </w:rPr>
        <w:t xml:space="preserve"> discrimination </w:t>
      </w:r>
      <w:r w:rsidR="00A2593F">
        <w:rPr>
          <w:rFonts w:ascii="Garamond" w:hAnsi="Garamond"/>
          <w:sz w:val="26"/>
          <w:szCs w:val="26"/>
        </w:rPr>
        <w:t>risk</w:t>
      </w:r>
      <w:r w:rsidR="00A70C32" w:rsidRPr="00930F0A">
        <w:rPr>
          <w:rFonts w:ascii="Garamond" w:hAnsi="Garamond"/>
          <w:sz w:val="26"/>
          <w:szCs w:val="26"/>
        </w:rPr>
        <w:t xml:space="preserve">. </w:t>
      </w:r>
      <w:r w:rsidR="00B72C73">
        <w:rPr>
          <w:rFonts w:ascii="Garamond" w:hAnsi="Garamond"/>
          <w:sz w:val="26"/>
          <w:szCs w:val="26"/>
        </w:rPr>
        <w:t xml:space="preserve">The </w:t>
      </w:r>
      <w:r w:rsidR="00817F3A">
        <w:rPr>
          <w:rFonts w:ascii="Garamond" w:hAnsi="Garamond"/>
          <w:sz w:val="26"/>
          <w:szCs w:val="26"/>
        </w:rPr>
        <w:t xml:space="preserve">ITFA </w:t>
      </w:r>
      <w:r w:rsidR="000459F0">
        <w:rPr>
          <w:rFonts w:ascii="Garamond" w:hAnsi="Garamond"/>
          <w:sz w:val="26"/>
          <w:szCs w:val="26"/>
        </w:rPr>
        <w:t>framework for discrimination</w:t>
      </w:r>
      <w:r w:rsidR="00817F3A">
        <w:rPr>
          <w:rFonts w:ascii="Garamond" w:hAnsi="Garamond"/>
          <w:sz w:val="26"/>
          <w:szCs w:val="26"/>
        </w:rPr>
        <w:t xml:space="preserve"> require</w:t>
      </w:r>
      <w:r w:rsidR="000459F0">
        <w:rPr>
          <w:rFonts w:ascii="Garamond" w:hAnsi="Garamond"/>
          <w:sz w:val="26"/>
          <w:szCs w:val="26"/>
        </w:rPr>
        <w:t>s</w:t>
      </w:r>
      <w:r w:rsidR="00817F3A">
        <w:rPr>
          <w:rFonts w:ascii="Garamond" w:hAnsi="Garamond"/>
          <w:sz w:val="26"/>
          <w:szCs w:val="26"/>
        </w:rPr>
        <w:t xml:space="preserve"> </w:t>
      </w:r>
      <w:r w:rsidR="00A70C32" w:rsidRPr="00930F0A">
        <w:rPr>
          <w:rFonts w:ascii="Garamond" w:hAnsi="Garamond"/>
          <w:sz w:val="26"/>
          <w:szCs w:val="26"/>
        </w:rPr>
        <w:t xml:space="preserve">a disparate tax treatment between a transaction conducted over the Internet or through Internet access and </w:t>
      </w:r>
      <w:r w:rsidR="000459F0">
        <w:rPr>
          <w:rFonts w:ascii="Garamond" w:hAnsi="Garamond"/>
          <w:sz w:val="26"/>
          <w:szCs w:val="26"/>
        </w:rPr>
        <w:t>transaction</w:t>
      </w:r>
      <w:r w:rsidR="00127494">
        <w:rPr>
          <w:rFonts w:ascii="Garamond" w:hAnsi="Garamond"/>
          <w:sz w:val="26"/>
          <w:szCs w:val="26"/>
        </w:rPr>
        <w:t>s</w:t>
      </w:r>
      <w:r w:rsidR="000459F0">
        <w:rPr>
          <w:rFonts w:ascii="Garamond" w:hAnsi="Garamond"/>
          <w:sz w:val="26"/>
          <w:szCs w:val="26"/>
        </w:rPr>
        <w:t xml:space="preserve"> involving </w:t>
      </w:r>
      <w:r w:rsidR="00A70C32" w:rsidRPr="00930F0A">
        <w:rPr>
          <w:rFonts w:ascii="Garamond" w:hAnsi="Garamond"/>
          <w:sz w:val="26"/>
          <w:szCs w:val="26"/>
        </w:rPr>
        <w:t>similar</w:t>
      </w:r>
      <w:r w:rsidR="000459F0">
        <w:rPr>
          <w:rFonts w:ascii="Garamond" w:hAnsi="Garamond"/>
          <w:sz w:val="26"/>
          <w:szCs w:val="26"/>
        </w:rPr>
        <w:t xml:space="preserve"> products</w:t>
      </w:r>
      <w:r w:rsidR="00A70C32" w:rsidRPr="00930F0A">
        <w:rPr>
          <w:rFonts w:ascii="Garamond" w:hAnsi="Garamond"/>
          <w:sz w:val="26"/>
          <w:szCs w:val="26"/>
        </w:rPr>
        <w:t xml:space="preserve"> accomplished</w:t>
      </w:r>
      <w:r w:rsidR="00822FFC">
        <w:rPr>
          <w:rFonts w:ascii="Garamond" w:hAnsi="Garamond"/>
          <w:sz w:val="26"/>
          <w:szCs w:val="26"/>
        </w:rPr>
        <w:t xml:space="preserve"> or delivered</w:t>
      </w:r>
      <w:r w:rsidR="00A70C32" w:rsidRPr="00930F0A">
        <w:rPr>
          <w:rFonts w:ascii="Garamond" w:hAnsi="Garamond"/>
          <w:sz w:val="26"/>
          <w:szCs w:val="26"/>
        </w:rPr>
        <w:t xml:space="preserve"> through other means</w:t>
      </w:r>
      <w:r w:rsidR="00F11D94" w:rsidRPr="00930F0A">
        <w:rPr>
          <w:rFonts w:ascii="Garamond" w:hAnsi="Garamond"/>
          <w:sz w:val="26"/>
          <w:szCs w:val="26"/>
        </w:rPr>
        <w:t>.</w:t>
      </w:r>
    </w:p>
    <w:p w14:paraId="186704B9" w14:textId="4FD6F3F2" w:rsidR="006F6AAB" w:rsidRPr="008F4FAE" w:rsidRDefault="006F6AAB" w:rsidP="00A04EF4">
      <w:pPr>
        <w:rPr>
          <w:rFonts w:ascii="Garamond" w:hAnsi="Garamond"/>
          <w:i/>
          <w:iCs/>
          <w:sz w:val="26"/>
          <w:szCs w:val="26"/>
        </w:rPr>
      </w:pPr>
      <w:r w:rsidRPr="008F4FAE">
        <w:rPr>
          <w:rFonts w:ascii="Garamond" w:hAnsi="Garamond"/>
          <w:i/>
          <w:iCs/>
          <w:sz w:val="26"/>
          <w:szCs w:val="26"/>
        </w:rPr>
        <w:t xml:space="preserve">Taxes </w:t>
      </w:r>
    </w:p>
    <w:p w14:paraId="7A7D9784" w14:textId="30E1E556" w:rsidR="00154376" w:rsidRDefault="006F6AAB" w:rsidP="00A04EF4">
      <w:pPr>
        <w:rPr>
          <w:rFonts w:ascii="Garamond" w:hAnsi="Garamond"/>
          <w:sz w:val="26"/>
          <w:szCs w:val="26"/>
        </w:rPr>
      </w:pPr>
      <w:r>
        <w:rPr>
          <w:rFonts w:ascii="Garamond" w:hAnsi="Garamond"/>
          <w:sz w:val="26"/>
          <w:szCs w:val="26"/>
        </w:rPr>
        <w:t xml:space="preserve">The term “taxes” is broad, but </w:t>
      </w:r>
      <w:r w:rsidR="00D65F0E">
        <w:rPr>
          <w:rFonts w:ascii="Garamond" w:hAnsi="Garamond"/>
          <w:sz w:val="26"/>
          <w:szCs w:val="26"/>
        </w:rPr>
        <w:t xml:space="preserve">it is </w:t>
      </w:r>
      <w:r>
        <w:rPr>
          <w:rFonts w:ascii="Garamond" w:hAnsi="Garamond"/>
          <w:sz w:val="26"/>
          <w:szCs w:val="26"/>
        </w:rPr>
        <w:t>not all encompassing. A tax requires (1) a government imposition</w:t>
      </w:r>
      <w:r w:rsidR="009B5BF3">
        <w:rPr>
          <w:rFonts w:ascii="Garamond" w:hAnsi="Garamond"/>
          <w:sz w:val="26"/>
          <w:szCs w:val="26"/>
        </w:rPr>
        <w:t>, (2) for the purpose of generating revenu</w:t>
      </w:r>
      <w:r w:rsidR="003315B1">
        <w:rPr>
          <w:rFonts w:ascii="Garamond" w:hAnsi="Garamond"/>
          <w:sz w:val="26"/>
          <w:szCs w:val="26"/>
        </w:rPr>
        <w:t>e</w:t>
      </w:r>
      <w:r w:rsidR="009B5BF3">
        <w:rPr>
          <w:rFonts w:ascii="Garamond" w:hAnsi="Garamond"/>
          <w:sz w:val="26"/>
          <w:szCs w:val="26"/>
        </w:rPr>
        <w:t>s for governmental purposes</w:t>
      </w:r>
      <w:r w:rsidR="00894AB3">
        <w:rPr>
          <w:rFonts w:ascii="Garamond" w:hAnsi="Garamond"/>
          <w:sz w:val="26"/>
          <w:szCs w:val="26"/>
        </w:rPr>
        <w:t>, and (3)</w:t>
      </w:r>
      <w:r w:rsidR="00A11CE7">
        <w:rPr>
          <w:rFonts w:ascii="Garamond" w:hAnsi="Garamond"/>
          <w:sz w:val="26"/>
          <w:szCs w:val="26"/>
        </w:rPr>
        <w:t xml:space="preserve"> that</w:t>
      </w:r>
      <w:r w:rsidR="00894AB3">
        <w:rPr>
          <w:rFonts w:ascii="Garamond" w:hAnsi="Garamond"/>
          <w:sz w:val="26"/>
          <w:szCs w:val="26"/>
        </w:rPr>
        <w:t xml:space="preserve"> is not a fee for service or benefit.</w:t>
      </w:r>
      <w:r w:rsidR="00154376">
        <w:rPr>
          <w:rStyle w:val="FootnoteReference"/>
          <w:rFonts w:ascii="Garamond" w:hAnsi="Garamond"/>
          <w:sz w:val="26"/>
          <w:szCs w:val="26"/>
        </w:rPr>
        <w:footnoteReference w:id="18"/>
      </w:r>
      <w:r w:rsidR="005362A5">
        <w:rPr>
          <w:rFonts w:ascii="Garamond" w:hAnsi="Garamond"/>
          <w:sz w:val="26"/>
          <w:szCs w:val="26"/>
        </w:rPr>
        <w:t xml:space="preserve"> Acc</w:t>
      </w:r>
      <w:r w:rsidR="00181390">
        <w:rPr>
          <w:rFonts w:ascii="Garamond" w:hAnsi="Garamond"/>
          <w:sz w:val="26"/>
          <w:szCs w:val="26"/>
        </w:rPr>
        <w:t>o</w:t>
      </w:r>
      <w:r w:rsidR="00D635BB">
        <w:rPr>
          <w:rFonts w:ascii="Garamond" w:hAnsi="Garamond"/>
          <w:sz w:val="26"/>
          <w:szCs w:val="26"/>
        </w:rPr>
        <w:t>r</w:t>
      </w:r>
      <w:r w:rsidR="00181390">
        <w:rPr>
          <w:rFonts w:ascii="Garamond" w:hAnsi="Garamond"/>
          <w:sz w:val="26"/>
          <w:szCs w:val="26"/>
        </w:rPr>
        <w:t>ding</w:t>
      </w:r>
      <w:r w:rsidR="005362A5">
        <w:rPr>
          <w:rFonts w:ascii="Garamond" w:hAnsi="Garamond"/>
          <w:sz w:val="26"/>
          <w:szCs w:val="26"/>
        </w:rPr>
        <w:t>ly, it seem</w:t>
      </w:r>
      <w:r w:rsidR="00A11CE7">
        <w:rPr>
          <w:rFonts w:ascii="Garamond" w:hAnsi="Garamond"/>
          <w:sz w:val="26"/>
          <w:szCs w:val="26"/>
        </w:rPr>
        <w:t>s</w:t>
      </w:r>
      <w:r w:rsidR="001B005C">
        <w:rPr>
          <w:rFonts w:ascii="Garamond" w:hAnsi="Garamond"/>
          <w:sz w:val="26"/>
          <w:szCs w:val="26"/>
        </w:rPr>
        <w:t xml:space="preserve"> a</w:t>
      </w:r>
      <w:r w:rsidR="005362A5">
        <w:rPr>
          <w:rFonts w:ascii="Garamond" w:hAnsi="Garamond"/>
          <w:sz w:val="26"/>
          <w:szCs w:val="26"/>
        </w:rPr>
        <w:t xml:space="preserve"> relatively straight-forward</w:t>
      </w:r>
      <w:r w:rsidR="00DF5576">
        <w:rPr>
          <w:rFonts w:ascii="Garamond" w:hAnsi="Garamond"/>
          <w:sz w:val="26"/>
          <w:szCs w:val="26"/>
        </w:rPr>
        <w:t xml:space="preserve"> proposition</w:t>
      </w:r>
      <w:r w:rsidR="005362A5">
        <w:rPr>
          <w:rFonts w:ascii="Garamond" w:hAnsi="Garamond"/>
          <w:sz w:val="26"/>
          <w:szCs w:val="26"/>
        </w:rPr>
        <w:t xml:space="preserve"> that</w:t>
      </w:r>
      <w:r w:rsidR="00181390">
        <w:rPr>
          <w:rFonts w:ascii="Garamond" w:hAnsi="Garamond"/>
          <w:sz w:val="26"/>
          <w:szCs w:val="26"/>
        </w:rPr>
        <w:t xml:space="preserve"> </w:t>
      </w:r>
      <w:r w:rsidR="001B005C">
        <w:rPr>
          <w:rFonts w:ascii="Garamond" w:hAnsi="Garamond"/>
          <w:sz w:val="26"/>
          <w:szCs w:val="26"/>
        </w:rPr>
        <w:t xml:space="preserve">the </w:t>
      </w:r>
      <w:r w:rsidR="00181390">
        <w:rPr>
          <w:rFonts w:ascii="Garamond" w:hAnsi="Garamond"/>
          <w:sz w:val="26"/>
          <w:szCs w:val="26"/>
        </w:rPr>
        <w:t xml:space="preserve">States’ impositions designed </w:t>
      </w:r>
      <w:r w:rsidR="001B005C">
        <w:rPr>
          <w:rFonts w:ascii="Garamond" w:hAnsi="Garamond"/>
          <w:sz w:val="26"/>
          <w:szCs w:val="26"/>
        </w:rPr>
        <w:t xml:space="preserve">to </w:t>
      </w:r>
      <w:r w:rsidR="00D635BB">
        <w:rPr>
          <w:rFonts w:ascii="Garamond" w:hAnsi="Garamond"/>
          <w:sz w:val="26"/>
          <w:szCs w:val="26"/>
        </w:rPr>
        <w:t xml:space="preserve">raise revenue are taxes </w:t>
      </w:r>
      <w:r w:rsidR="006B69FC">
        <w:rPr>
          <w:rFonts w:ascii="Garamond" w:hAnsi="Garamond"/>
          <w:sz w:val="26"/>
          <w:szCs w:val="26"/>
        </w:rPr>
        <w:t xml:space="preserve">as </w:t>
      </w:r>
      <w:r w:rsidR="00D635BB">
        <w:rPr>
          <w:rFonts w:ascii="Garamond" w:hAnsi="Garamond"/>
          <w:sz w:val="26"/>
          <w:szCs w:val="26"/>
        </w:rPr>
        <w:t xml:space="preserve">contemplated by the </w:t>
      </w:r>
      <w:r w:rsidR="003315B1">
        <w:rPr>
          <w:rFonts w:ascii="Garamond" w:hAnsi="Garamond"/>
          <w:sz w:val="26"/>
          <w:szCs w:val="26"/>
        </w:rPr>
        <w:t xml:space="preserve">ITFA, and </w:t>
      </w:r>
      <w:r w:rsidR="00902E6A">
        <w:rPr>
          <w:rFonts w:ascii="Garamond" w:hAnsi="Garamond"/>
          <w:sz w:val="26"/>
          <w:szCs w:val="26"/>
        </w:rPr>
        <w:t xml:space="preserve">in particular, </w:t>
      </w:r>
      <w:r w:rsidR="00A11CE7">
        <w:rPr>
          <w:rFonts w:ascii="Garamond" w:hAnsi="Garamond"/>
          <w:sz w:val="26"/>
          <w:szCs w:val="26"/>
        </w:rPr>
        <w:t xml:space="preserve">the </w:t>
      </w:r>
      <w:r w:rsidR="003315B1">
        <w:rPr>
          <w:rFonts w:ascii="Garamond" w:hAnsi="Garamond"/>
          <w:sz w:val="26"/>
          <w:szCs w:val="26"/>
        </w:rPr>
        <w:t xml:space="preserve">States’ sales and use taxes. However, the ITFA does not </w:t>
      </w:r>
      <w:r w:rsidR="001B005C">
        <w:rPr>
          <w:rFonts w:ascii="Garamond" w:hAnsi="Garamond"/>
          <w:sz w:val="26"/>
          <w:szCs w:val="26"/>
        </w:rPr>
        <w:t>apply to</w:t>
      </w:r>
      <w:r w:rsidR="003315B1">
        <w:rPr>
          <w:rFonts w:ascii="Garamond" w:hAnsi="Garamond"/>
          <w:sz w:val="26"/>
          <w:szCs w:val="26"/>
        </w:rPr>
        <w:t xml:space="preserve"> fees or </w:t>
      </w:r>
      <w:r w:rsidR="00D276F3">
        <w:rPr>
          <w:rFonts w:ascii="Garamond" w:hAnsi="Garamond"/>
          <w:sz w:val="26"/>
          <w:szCs w:val="26"/>
        </w:rPr>
        <w:t xml:space="preserve">impositions </w:t>
      </w:r>
      <w:r w:rsidR="00D276F3" w:rsidRPr="00C17E97">
        <w:rPr>
          <w:rFonts w:ascii="Garamond" w:hAnsi="Garamond"/>
          <w:sz w:val="26"/>
          <w:szCs w:val="26"/>
        </w:rPr>
        <w:t xml:space="preserve">that </w:t>
      </w:r>
      <w:r w:rsidR="00C17E97" w:rsidRPr="00C17E97">
        <w:rPr>
          <w:rFonts w:ascii="Garamond" w:hAnsi="Garamond"/>
          <w:sz w:val="26"/>
          <w:szCs w:val="26"/>
        </w:rPr>
        <w:t>are not for the purpose of</w:t>
      </w:r>
      <w:r w:rsidR="00D276F3" w:rsidRPr="00C17E97">
        <w:rPr>
          <w:rFonts w:ascii="Garamond" w:hAnsi="Garamond"/>
          <w:sz w:val="26"/>
          <w:szCs w:val="26"/>
        </w:rPr>
        <w:t xml:space="preserve"> generating revenue. At this</w:t>
      </w:r>
      <w:r w:rsidR="00D276F3">
        <w:rPr>
          <w:rFonts w:ascii="Garamond" w:hAnsi="Garamond"/>
          <w:sz w:val="26"/>
          <w:szCs w:val="26"/>
        </w:rPr>
        <w:t xml:space="preserve"> time, there are </w:t>
      </w:r>
      <w:r w:rsidR="008E5F95">
        <w:rPr>
          <w:rFonts w:ascii="Garamond" w:hAnsi="Garamond"/>
          <w:sz w:val="26"/>
          <w:szCs w:val="26"/>
        </w:rPr>
        <w:t xml:space="preserve">few </w:t>
      </w:r>
      <w:r w:rsidR="00D276F3">
        <w:rPr>
          <w:rFonts w:ascii="Garamond" w:hAnsi="Garamond"/>
          <w:sz w:val="26"/>
          <w:szCs w:val="26"/>
        </w:rPr>
        <w:t>case</w:t>
      </w:r>
      <w:r w:rsidR="00A11CE7">
        <w:rPr>
          <w:rFonts w:ascii="Garamond" w:hAnsi="Garamond"/>
          <w:sz w:val="26"/>
          <w:szCs w:val="26"/>
        </w:rPr>
        <w:t>s</w:t>
      </w:r>
      <w:r w:rsidR="00D276F3">
        <w:rPr>
          <w:rFonts w:ascii="Garamond" w:hAnsi="Garamond"/>
          <w:sz w:val="26"/>
          <w:szCs w:val="26"/>
        </w:rPr>
        <w:t xml:space="preserve"> or other </w:t>
      </w:r>
      <w:r w:rsidR="00A11CE7">
        <w:rPr>
          <w:rFonts w:ascii="Garamond" w:hAnsi="Garamond"/>
          <w:sz w:val="26"/>
          <w:szCs w:val="26"/>
        </w:rPr>
        <w:t xml:space="preserve">authoritative sources addressing these </w:t>
      </w:r>
      <w:r w:rsidR="001A558C">
        <w:rPr>
          <w:rFonts w:ascii="Garamond" w:hAnsi="Garamond"/>
          <w:sz w:val="26"/>
          <w:szCs w:val="26"/>
        </w:rPr>
        <w:t>distinctions</w:t>
      </w:r>
      <w:r w:rsidR="00A11CE7">
        <w:rPr>
          <w:rFonts w:ascii="Garamond" w:hAnsi="Garamond"/>
          <w:sz w:val="26"/>
          <w:szCs w:val="26"/>
        </w:rPr>
        <w:t>.</w:t>
      </w:r>
      <w:r w:rsidR="008E5F95">
        <w:rPr>
          <w:rStyle w:val="FootnoteReference"/>
          <w:rFonts w:ascii="Garamond" w:hAnsi="Garamond"/>
          <w:sz w:val="26"/>
          <w:szCs w:val="26"/>
        </w:rPr>
        <w:footnoteReference w:id="19"/>
      </w:r>
    </w:p>
    <w:p w14:paraId="7E229E5C" w14:textId="6527E670" w:rsidR="00C17E97" w:rsidRDefault="00154376" w:rsidP="00A04EF4">
      <w:pPr>
        <w:rPr>
          <w:rFonts w:ascii="Garamond" w:hAnsi="Garamond"/>
          <w:sz w:val="26"/>
          <w:szCs w:val="26"/>
        </w:rPr>
      </w:pPr>
      <w:r>
        <w:rPr>
          <w:rFonts w:ascii="Garamond" w:hAnsi="Garamond"/>
          <w:sz w:val="26"/>
          <w:szCs w:val="26"/>
        </w:rPr>
        <w:t>Additionally, there is a specific definition of “tax on Internet access” relevant to the moratorium on Internet access.</w:t>
      </w:r>
      <w:r w:rsidR="00D37A54">
        <w:rPr>
          <w:rFonts w:ascii="Garamond" w:hAnsi="Garamond"/>
          <w:sz w:val="26"/>
          <w:szCs w:val="26"/>
        </w:rPr>
        <w:t xml:space="preserve"> The term excludes “a tax levied upon or measured by net income, capital stock, net worth, or property value.</w:t>
      </w:r>
      <w:r w:rsidR="00D37A54">
        <w:rPr>
          <w:rStyle w:val="FootnoteReference"/>
          <w:rFonts w:ascii="Garamond" w:hAnsi="Garamond"/>
          <w:sz w:val="26"/>
          <w:szCs w:val="26"/>
        </w:rPr>
        <w:footnoteReference w:id="20"/>
      </w:r>
      <w:r w:rsidR="00D37A54">
        <w:rPr>
          <w:rFonts w:ascii="Garamond" w:hAnsi="Garamond"/>
          <w:sz w:val="26"/>
          <w:szCs w:val="26"/>
        </w:rPr>
        <w:t xml:space="preserve"> Thus, the concept of a “tax” for purposes of the discrimination provision is broader than for purposes of the Internet access provision.</w:t>
      </w:r>
    </w:p>
    <w:p w14:paraId="527A18FA" w14:textId="3092EF57" w:rsidR="00EE39B7" w:rsidRPr="00723029" w:rsidRDefault="00EE39B7" w:rsidP="00A04EF4">
      <w:pPr>
        <w:rPr>
          <w:rFonts w:ascii="Garamond" w:hAnsi="Garamond"/>
          <w:i/>
          <w:iCs/>
          <w:sz w:val="26"/>
          <w:szCs w:val="26"/>
        </w:rPr>
      </w:pPr>
      <w:r w:rsidRPr="00723029">
        <w:rPr>
          <w:rFonts w:ascii="Garamond" w:hAnsi="Garamond"/>
          <w:i/>
          <w:iCs/>
          <w:sz w:val="26"/>
          <w:szCs w:val="26"/>
        </w:rPr>
        <w:lastRenderedPageBreak/>
        <w:t>Resource</w:t>
      </w:r>
      <w:r w:rsidR="00BE5AAE" w:rsidRPr="00723029">
        <w:rPr>
          <w:rFonts w:ascii="Garamond" w:hAnsi="Garamond"/>
          <w:i/>
          <w:iCs/>
          <w:sz w:val="26"/>
          <w:szCs w:val="26"/>
        </w:rPr>
        <w:t>s</w:t>
      </w:r>
      <w:r w:rsidRPr="00723029">
        <w:rPr>
          <w:rFonts w:ascii="Garamond" w:hAnsi="Garamond"/>
          <w:i/>
          <w:iCs/>
          <w:sz w:val="26"/>
          <w:szCs w:val="26"/>
        </w:rPr>
        <w:t xml:space="preserve"> for evaluating </w:t>
      </w:r>
      <w:r w:rsidR="000C75D6">
        <w:rPr>
          <w:rFonts w:ascii="Garamond" w:hAnsi="Garamond"/>
          <w:i/>
          <w:iCs/>
          <w:sz w:val="26"/>
          <w:szCs w:val="26"/>
        </w:rPr>
        <w:t>discrimination</w:t>
      </w:r>
    </w:p>
    <w:p w14:paraId="002E6CEB" w14:textId="5EB02881" w:rsidR="000575FE" w:rsidRDefault="00BE5AAE" w:rsidP="00A04EF4">
      <w:pPr>
        <w:rPr>
          <w:rFonts w:ascii="Garamond" w:hAnsi="Garamond"/>
          <w:sz w:val="26"/>
          <w:szCs w:val="26"/>
        </w:rPr>
      </w:pPr>
      <w:r>
        <w:rPr>
          <w:rFonts w:ascii="Garamond" w:hAnsi="Garamond"/>
          <w:sz w:val="26"/>
          <w:szCs w:val="26"/>
        </w:rPr>
        <w:t>The following chart provides a</w:t>
      </w:r>
      <w:r w:rsidR="00430C47">
        <w:rPr>
          <w:rFonts w:ascii="Garamond" w:hAnsi="Garamond"/>
          <w:sz w:val="26"/>
          <w:szCs w:val="26"/>
        </w:rPr>
        <w:t xml:space="preserve"> simplified</w:t>
      </w:r>
      <w:r>
        <w:rPr>
          <w:rFonts w:ascii="Garamond" w:hAnsi="Garamond"/>
          <w:sz w:val="26"/>
          <w:szCs w:val="26"/>
        </w:rPr>
        <w:t xml:space="preserve"> analytic framework for evaluating </w:t>
      </w:r>
      <w:r w:rsidR="004A6CA2">
        <w:rPr>
          <w:rFonts w:ascii="Garamond" w:hAnsi="Garamond"/>
          <w:sz w:val="26"/>
          <w:szCs w:val="26"/>
        </w:rPr>
        <w:t>State tax</w:t>
      </w:r>
      <w:r w:rsidR="00EE421A">
        <w:rPr>
          <w:rFonts w:ascii="Garamond" w:hAnsi="Garamond"/>
          <w:sz w:val="26"/>
          <w:szCs w:val="26"/>
        </w:rPr>
        <w:t>es</w:t>
      </w:r>
      <w:r w:rsidR="004A6CA2">
        <w:rPr>
          <w:rFonts w:ascii="Garamond" w:hAnsi="Garamond"/>
          <w:sz w:val="26"/>
          <w:szCs w:val="26"/>
        </w:rPr>
        <w:t xml:space="preserve"> under the </w:t>
      </w:r>
      <w:r w:rsidR="00C147B7">
        <w:rPr>
          <w:rFonts w:ascii="Garamond" w:hAnsi="Garamond"/>
          <w:sz w:val="26"/>
          <w:szCs w:val="26"/>
        </w:rPr>
        <w:t xml:space="preserve">discrimination provision of the </w:t>
      </w:r>
      <w:r w:rsidR="004A6CA2">
        <w:rPr>
          <w:rFonts w:ascii="Garamond" w:hAnsi="Garamond"/>
          <w:sz w:val="26"/>
          <w:szCs w:val="26"/>
        </w:rPr>
        <w:t>ITFA.</w:t>
      </w:r>
      <w:r w:rsidR="00430C47">
        <w:rPr>
          <w:rFonts w:ascii="Garamond" w:hAnsi="Garamond"/>
          <w:sz w:val="26"/>
          <w:szCs w:val="26"/>
        </w:rPr>
        <w:t xml:space="preserve"> The chart does not answer the question of whether </w:t>
      </w:r>
      <w:r w:rsidR="009F12EB">
        <w:rPr>
          <w:rFonts w:ascii="Garamond" w:hAnsi="Garamond"/>
          <w:sz w:val="26"/>
          <w:szCs w:val="26"/>
        </w:rPr>
        <w:t xml:space="preserve">a </w:t>
      </w:r>
      <w:r w:rsidR="00430C47">
        <w:rPr>
          <w:rFonts w:ascii="Garamond" w:hAnsi="Garamond"/>
          <w:sz w:val="26"/>
          <w:szCs w:val="26"/>
        </w:rPr>
        <w:t xml:space="preserve">tax is discriminatory, but rather </w:t>
      </w:r>
      <w:r w:rsidR="009F12EB">
        <w:rPr>
          <w:rFonts w:ascii="Garamond" w:hAnsi="Garamond"/>
          <w:sz w:val="26"/>
          <w:szCs w:val="26"/>
        </w:rPr>
        <w:t xml:space="preserve">it </w:t>
      </w:r>
      <w:r w:rsidR="00430C47">
        <w:rPr>
          <w:rFonts w:ascii="Garamond" w:hAnsi="Garamond"/>
          <w:sz w:val="26"/>
          <w:szCs w:val="26"/>
        </w:rPr>
        <w:t>lead</w:t>
      </w:r>
      <w:r w:rsidR="009F12EB">
        <w:rPr>
          <w:rFonts w:ascii="Garamond" w:hAnsi="Garamond"/>
          <w:sz w:val="26"/>
          <w:szCs w:val="26"/>
        </w:rPr>
        <w:t>s</w:t>
      </w:r>
      <w:r w:rsidR="00430C47">
        <w:rPr>
          <w:rFonts w:ascii="Garamond" w:hAnsi="Garamond"/>
          <w:sz w:val="26"/>
          <w:szCs w:val="26"/>
        </w:rPr>
        <w:t xml:space="preserve"> the user th</w:t>
      </w:r>
      <w:r w:rsidR="009F12EB">
        <w:rPr>
          <w:rFonts w:ascii="Garamond" w:hAnsi="Garamond"/>
          <w:sz w:val="26"/>
          <w:szCs w:val="26"/>
        </w:rPr>
        <w:t>r</w:t>
      </w:r>
      <w:r w:rsidR="00430C47">
        <w:rPr>
          <w:rFonts w:ascii="Garamond" w:hAnsi="Garamond"/>
          <w:sz w:val="26"/>
          <w:szCs w:val="26"/>
        </w:rPr>
        <w:t xml:space="preserve">ough </w:t>
      </w:r>
      <w:r w:rsidR="009F12EB">
        <w:rPr>
          <w:rFonts w:ascii="Garamond" w:hAnsi="Garamond"/>
          <w:sz w:val="26"/>
          <w:szCs w:val="26"/>
        </w:rPr>
        <w:t xml:space="preserve">a series of questions to help </w:t>
      </w:r>
      <w:r w:rsidR="00B72C73">
        <w:rPr>
          <w:rFonts w:ascii="Garamond" w:hAnsi="Garamond"/>
          <w:sz w:val="26"/>
          <w:szCs w:val="26"/>
        </w:rPr>
        <w:t>make that</w:t>
      </w:r>
      <w:r w:rsidR="00CF35F1">
        <w:rPr>
          <w:rFonts w:ascii="Garamond" w:hAnsi="Garamond"/>
          <w:sz w:val="26"/>
          <w:szCs w:val="26"/>
        </w:rPr>
        <w:t xml:space="preserve"> </w:t>
      </w:r>
      <w:r w:rsidR="009F12EB">
        <w:rPr>
          <w:rFonts w:ascii="Garamond" w:hAnsi="Garamond"/>
          <w:sz w:val="26"/>
          <w:szCs w:val="26"/>
        </w:rPr>
        <w:t>determination.</w:t>
      </w:r>
    </w:p>
    <w:p w14:paraId="12BAC8D4" w14:textId="77777777" w:rsidR="00D64D78" w:rsidRPr="00D64D78" w:rsidRDefault="00D64D78" w:rsidP="00D64D78">
      <w:pPr>
        <w:spacing w:after="0" w:line="240" w:lineRule="auto"/>
      </w:pPr>
    </w:p>
    <w:tbl>
      <w:tblPr>
        <w:tblStyle w:val="TableGrid"/>
        <w:tblW w:w="0" w:type="auto"/>
        <w:tblLook w:val="04A0" w:firstRow="1" w:lastRow="0" w:firstColumn="1" w:lastColumn="0" w:noHBand="0" w:noVBand="1"/>
      </w:tblPr>
      <w:tblGrid>
        <w:gridCol w:w="800"/>
        <w:gridCol w:w="5192"/>
        <w:gridCol w:w="3307"/>
      </w:tblGrid>
      <w:tr w:rsidR="00D64D78" w:rsidRPr="00D64D78" w14:paraId="4DA1CEDA" w14:textId="77777777" w:rsidTr="22256E85">
        <w:trPr>
          <w:trHeight w:val="293"/>
        </w:trPr>
        <w:tc>
          <w:tcPr>
            <w:tcW w:w="800" w:type="dxa"/>
            <w:shd w:val="clear" w:color="auto" w:fill="FFFF00"/>
          </w:tcPr>
          <w:p w14:paraId="22B71AE0" w14:textId="77777777" w:rsidR="00D64D78" w:rsidRPr="002359F9" w:rsidRDefault="00D64D78" w:rsidP="00D64D78">
            <w:pPr>
              <w:rPr>
                <w:rFonts w:ascii="Garamond" w:hAnsi="Garamond"/>
                <w:b/>
                <w:bCs/>
                <w:sz w:val="26"/>
                <w:szCs w:val="26"/>
              </w:rPr>
            </w:pPr>
            <w:r w:rsidRPr="002359F9">
              <w:rPr>
                <w:rFonts w:ascii="Garamond" w:hAnsi="Garamond"/>
                <w:b/>
                <w:bCs/>
                <w:sz w:val="26"/>
                <w:szCs w:val="26"/>
              </w:rPr>
              <w:t>Step</w:t>
            </w:r>
          </w:p>
        </w:tc>
        <w:tc>
          <w:tcPr>
            <w:tcW w:w="5192" w:type="dxa"/>
            <w:shd w:val="clear" w:color="auto" w:fill="FFFF00"/>
          </w:tcPr>
          <w:p w14:paraId="658EBD25" w14:textId="77777777" w:rsidR="00D64D78" w:rsidRPr="002359F9" w:rsidRDefault="00D64D78" w:rsidP="00D64D78">
            <w:pPr>
              <w:rPr>
                <w:rFonts w:ascii="Garamond" w:hAnsi="Garamond"/>
                <w:b/>
                <w:bCs/>
                <w:sz w:val="26"/>
                <w:szCs w:val="26"/>
              </w:rPr>
            </w:pPr>
            <w:r w:rsidRPr="002359F9">
              <w:rPr>
                <w:rFonts w:ascii="Garamond" w:hAnsi="Garamond"/>
                <w:b/>
                <w:bCs/>
                <w:sz w:val="26"/>
                <w:szCs w:val="26"/>
              </w:rPr>
              <w:t>Question</w:t>
            </w:r>
          </w:p>
        </w:tc>
        <w:tc>
          <w:tcPr>
            <w:tcW w:w="3307" w:type="dxa"/>
            <w:shd w:val="clear" w:color="auto" w:fill="FFFF00"/>
          </w:tcPr>
          <w:p w14:paraId="2FFB1001" w14:textId="77777777" w:rsidR="00D64D78" w:rsidRPr="002359F9" w:rsidRDefault="00D64D78" w:rsidP="00D64D78">
            <w:pPr>
              <w:rPr>
                <w:rFonts w:ascii="Garamond" w:hAnsi="Garamond"/>
                <w:b/>
                <w:bCs/>
                <w:sz w:val="26"/>
                <w:szCs w:val="26"/>
              </w:rPr>
            </w:pPr>
            <w:r w:rsidRPr="002359F9">
              <w:rPr>
                <w:rFonts w:ascii="Garamond" w:hAnsi="Garamond"/>
                <w:b/>
                <w:bCs/>
                <w:sz w:val="26"/>
                <w:szCs w:val="26"/>
              </w:rPr>
              <w:t>Direction</w:t>
            </w:r>
          </w:p>
        </w:tc>
      </w:tr>
      <w:tr w:rsidR="00D64D78" w:rsidRPr="00D64D78" w14:paraId="2D591A8C" w14:textId="77777777" w:rsidTr="22256E85">
        <w:trPr>
          <w:trHeight w:val="1262"/>
        </w:trPr>
        <w:tc>
          <w:tcPr>
            <w:tcW w:w="800" w:type="dxa"/>
          </w:tcPr>
          <w:p w14:paraId="53896EE4" w14:textId="77777777" w:rsidR="00D64D78" w:rsidRPr="002359F9" w:rsidRDefault="00D64D78" w:rsidP="00D64D78">
            <w:pPr>
              <w:rPr>
                <w:rFonts w:ascii="Garamond" w:hAnsi="Garamond"/>
                <w:sz w:val="26"/>
                <w:szCs w:val="26"/>
              </w:rPr>
            </w:pPr>
            <w:r w:rsidRPr="002359F9">
              <w:rPr>
                <w:rFonts w:ascii="Garamond" w:hAnsi="Garamond"/>
                <w:sz w:val="26"/>
                <w:szCs w:val="26"/>
              </w:rPr>
              <w:t>1</w:t>
            </w:r>
          </w:p>
        </w:tc>
        <w:tc>
          <w:tcPr>
            <w:tcW w:w="5192" w:type="dxa"/>
          </w:tcPr>
          <w:p w14:paraId="5A6FF7AB" w14:textId="088ED70C" w:rsidR="00D64D78" w:rsidRPr="002359F9" w:rsidRDefault="00D64D78" w:rsidP="00D64D78">
            <w:pPr>
              <w:rPr>
                <w:rFonts w:ascii="Garamond" w:hAnsi="Garamond"/>
                <w:sz w:val="26"/>
                <w:szCs w:val="26"/>
              </w:rPr>
            </w:pPr>
            <w:r w:rsidRPr="002359F9">
              <w:rPr>
                <w:rFonts w:ascii="Garamond" w:hAnsi="Garamond"/>
                <w:sz w:val="26"/>
                <w:szCs w:val="26"/>
              </w:rPr>
              <w:t>Is the</w:t>
            </w:r>
            <w:r w:rsidR="00DB33DF" w:rsidRPr="002359F9">
              <w:rPr>
                <w:rFonts w:ascii="Garamond" w:hAnsi="Garamond"/>
                <w:sz w:val="26"/>
                <w:szCs w:val="26"/>
              </w:rPr>
              <w:t>re a governmental</w:t>
            </w:r>
            <w:r w:rsidRPr="002359F9">
              <w:rPr>
                <w:rFonts w:ascii="Garamond" w:hAnsi="Garamond"/>
                <w:sz w:val="26"/>
                <w:szCs w:val="26"/>
              </w:rPr>
              <w:t xml:space="preserve"> imposition </w:t>
            </w:r>
            <w:r w:rsidR="00DB33DF" w:rsidRPr="002359F9">
              <w:rPr>
                <w:rFonts w:ascii="Garamond" w:hAnsi="Garamond"/>
                <w:sz w:val="26"/>
                <w:szCs w:val="26"/>
              </w:rPr>
              <w:t>that qualifies as</w:t>
            </w:r>
            <w:r w:rsidRPr="002359F9">
              <w:rPr>
                <w:rFonts w:ascii="Garamond" w:hAnsi="Garamond"/>
                <w:sz w:val="26"/>
                <w:szCs w:val="26"/>
              </w:rPr>
              <w:t xml:space="preserve"> a tax under ITFA?</w:t>
            </w:r>
          </w:p>
        </w:tc>
        <w:tc>
          <w:tcPr>
            <w:tcW w:w="3307" w:type="dxa"/>
          </w:tcPr>
          <w:p w14:paraId="147D48F8" w14:textId="77777777" w:rsidR="00D64D78" w:rsidRPr="002359F9" w:rsidRDefault="00D64D78" w:rsidP="00D64D78">
            <w:pPr>
              <w:numPr>
                <w:ilvl w:val="0"/>
                <w:numId w:val="7"/>
              </w:numPr>
              <w:contextualSpacing/>
              <w:rPr>
                <w:rFonts w:ascii="Garamond" w:hAnsi="Garamond"/>
                <w:sz w:val="26"/>
                <w:szCs w:val="26"/>
              </w:rPr>
            </w:pPr>
            <w:r w:rsidRPr="002359F9">
              <w:rPr>
                <w:rFonts w:ascii="Garamond" w:hAnsi="Garamond"/>
                <w:sz w:val="26"/>
                <w:szCs w:val="26"/>
              </w:rPr>
              <w:t>If yes, proceed to Step 2.</w:t>
            </w:r>
          </w:p>
          <w:p w14:paraId="25651083" w14:textId="3CE23517" w:rsidR="00D64D78" w:rsidRPr="002359F9" w:rsidRDefault="00D64D78" w:rsidP="00D64D78">
            <w:pPr>
              <w:numPr>
                <w:ilvl w:val="0"/>
                <w:numId w:val="7"/>
              </w:numPr>
              <w:contextualSpacing/>
              <w:rPr>
                <w:rFonts w:ascii="Garamond" w:hAnsi="Garamond"/>
                <w:sz w:val="26"/>
                <w:szCs w:val="26"/>
              </w:rPr>
            </w:pPr>
            <w:r w:rsidRPr="002359F9">
              <w:rPr>
                <w:rFonts w:ascii="Garamond" w:hAnsi="Garamond"/>
                <w:sz w:val="26"/>
                <w:szCs w:val="26"/>
              </w:rPr>
              <w:t>If no,</w:t>
            </w:r>
            <w:r w:rsidR="00EE421A">
              <w:rPr>
                <w:rFonts w:ascii="Garamond" w:hAnsi="Garamond"/>
                <w:sz w:val="26"/>
                <w:szCs w:val="26"/>
              </w:rPr>
              <w:t xml:space="preserve"> the analysis ends</w:t>
            </w:r>
            <w:r w:rsidRPr="002359F9">
              <w:rPr>
                <w:rFonts w:ascii="Garamond" w:hAnsi="Garamond"/>
                <w:sz w:val="26"/>
                <w:szCs w:val="26"/>
              </w:rPr>
              <w:t>.</w:t>
            </w:r>
          </w:p>
          <w:p w14:paraId="313730D5" w14:textId="77777777" w:rsidR="00D64D78" w:rsidRPr="002359F9" w:rsidRDefault="00D64D78" w:rsidP="00D64D78">
            <w:pPr>
              <w:ind w:left="360"/>
              <w:contextualSpacing/>
              <w:rPr>
                <w:rFonts w:ascii="Garamond" w:hAnsi="Garamond"/>
                <w:sz w:val="26"/>
                <w:szCs w:val="26"/>
              </w:rPr>
            </w:pPr>
          </w:p>
        </w:tc>
      </w:tr>
      <w:tr w:rsidR="000E4203" w:rsidRPr="00D64D78" w14:paraId="1B8346AF" w14:textId="77777777" w:rsidTr="22256E85">
        <w:trPr>
          <w:trHeight w:val="1262"/>
        </w:trPr>
        <w:tc>
          <w:tcPr>
            <w:tcW w:w="800" w:type="dxa"/>
          </w:tcPr>
          <w:p w14:paraId="668FD71E" w14:textId="3D0A6035" w:rsidR="000E4203" w:rsidRPr="002359F9" w:rsidRDefault="000E4203" w:rsidP="00D64D78">
            <w:pPr>
              <w:rPr>
                <w:rFonts w:ascii="Garamond" w:hAnsi="Garamond"/>
                <w:sz w:val="26"/>
                <w:szCs w:val="26"/>
              </w:rPr>
            </w:pPr>
            <w:r w:rsidRPr="002359F9">
              <w:rPr>
                <w:rFonts w:ascii="Garamond" w:hAnsi="Garamond"/>
                <w:sz w:val="26"/>
                <w:szCs w:val="26"/>
              </w:rPr>
              <w:t>2</w:t>
            </w:r>
          </w:p>
        </w:tc>
        <w:tc>
          <w:tcPr>
            <w:tcW w:w="5192" w:type="dxa"/>
          </w:tcPr>
          <w:p w14:paraId="2CED813F" w14:textId="1AEFA5BB" w:rsidR="00C115CF" w:rsidRPr="002359F9" w:rsidRDefault="00C115CF" w:rsidP="00C115CF">
            <w:pPr>
              <w:rPr>
                <w:rFonts w:ascii="Garamond" w:hAnsi="Garamond"/>
                <w:sz w:val="26"/>
                <w:szCs w:val="26"/>
              </w:rPr>
            </w:pPr>
            <w:r w:rsidRPr="002359F9">
              <w:rPr>
                <w:rFonts w:ascii="Garamond" w:hAnsi="Garamond"/>
                <w:sz w:val="26"/>
                <w:szCs w:val="26"/>
              </w:rPr>
              <w:t xml:space="preserve">Does the tax treatment </w:t>
            </w:r>
            <w:r w:rsidR="00807751" w:rsidRPr="002359F9">
              <w:rPr>
                <w:rFonts w:ascii="Garamond" w:hAnsi="Garamond"/>
                <w:sz w:val="26"/>
                <w:szCs w:val="26"/>
              </w:rPr>
              <w:t>apply to transactions</w:t>
            </w:r>
            <w:r w:rsidR="003D518E" w:rsidRPr="002359F9">
              <w:rPr>
                <w:rFonts w:ascii="Garamond" w:hAnsi="Garamond"/>
                <w:sz w:val="26"/>
                <w:szCs w:val="26"/>
              </w:rPr>
              <w:t xml:space="preserve"> </w:t>
            </w:r>
            <w:r w:rsidR="00EE421A">
              <w:rPr>
                <w:rFonts w:ascii="Garamond" w:hAnsi="Garamond"/>
                <w:sz w:val="26"/>
                <w:szCs w:val="26"/>
              </w:rPr>
              <w:t xml:space="preserve">over or </w:t>
            </w:r>
            <w:r w:rsidR="003D518E" w:rsidRPr="002359F9">
              <w:rPr>
                <w:rFonts w:ascii="Garamond" w:hAnsi="Garamond"/>
                <w:sz w:val="26"/>
                <w:szCs w:val="26"/>
              </w:rPr>
              <w:t xml:space="preserve">through </w:t>
            </w:r>
            <w:r w:rsidRPr="002359F9">
              <w:rPr>
                <w:rFonts w:ascii="Garamond" w:hAnsi="Garamond"/>
                <w:sz w:val="26"/>
                <w:szCs w:val="26"/>
              </w:rPr>
              <w:t>the Internet?</w:t>
            </w:r>
          </w:p>
          <w:p w14:paraId="373C807A" w14:textId="36E8E7CC" w:rsidR="000E4203" w:rsidRPr="002359F9" w:rsidRDefault="000E4203" w:rsidP="00D64D78">
            <w:pPr>
              <w:rPr>
                <w:rFonts w:ascii="Garamond" w:hAnsi="Garamond"/>
                <w:sz w:val="26"/>
                <w:szCs w:val="26"/>
              </w:rPr>
            </w:pPr>
          </w:p>
        </w:tc>
        <w:tc>
          <w:tcPr>
            <w:tcW w:w="3307" w:type="dxa"/>
          </w:tcPr>
          <w:p w14:paraId="3F8B634A" w14:textId="29C5C8DE" w:rsidR="00EC4F93" w:rsidRPr="00723029" w:rsidRDefault="00EC4F93" w:rsidP="00EC4F93">
            <w:pPr>
              <w:pStyle w:val="xmsonormal"/>
              <w:numPr>
                <w:ilvl w:val="0"/>
                <w:numId w:val="15"/>
              </w:numPr>
              <w:shd w:val="clear" w:color="auto" w:fill="FFFFFF"/>
              <w:spacing w:before="0" w:beforeAutospacing="0" w:after="0" w:afterAutospacing="0"/>
              <w:rPr>
                <w:rFonts w:ascii="Garamond" w:hAnsi="Garamond"/>
                <w:color w:val="242424"/>
                <w:sz w:val="26"/>
                <w:szCs w:val="26"/>
              </w:rPr>
            </w:pPr>
            <w:r w:rsidRPr="00723029">
              <w:rPr>
                <w:rFonts w:ascii="Garamond" w:hAnsi="Garamond"/>
                <w:color w:val="242424"/>
                <w:sz w:val="26"/>
                <w:szCs w:val="26"/>
              </w:rPr>
              <w:t xml:space="preserve">If yes, </w:t>
            </w:r>
            <w:r w:rsidR="00803F76" w:rsidRPr="00723029">
              <w:rPr>
                <w:rFonts w:ascii="Garamond" w:hAnsi="Garamond"/>
                <w:color w:val="242424"/>
                <w:sz w:val="26"/>
                <w:szCs w:val="26"/>
              </w:rPr>
              <w:t>proceed to Step 3</w:t>
            </w:r>
            <w:r w:rsidRPr="00723029">
              <w:rPr>
                <w:rFonts w:ascii="Garamond" w:hAnsi="Garamond"/>
                <w:color w:val="242424"/>
                <w:sz w:val="26"/>
                <w:szCs w:val="26"/>
              </w:rPr>
              <w:t>.</w:t>
            </w:r>
          </w:p>
          <w:p w14:paraId="4F971836" w14:textId="3ADD8506" w:rsidR="00EC4F93" w:rsidRPr="00723029" w:rsidRDefault="00803F76" w:rsidP="00723029">
            <w:pPr>
              <w:pStyle w:val="xmsonormal"/>
              <w:numPr>
                <w:ilvl w:val="0"/>
                <w:numId w:val="15"/>
              </w:numPr>
              <w:shd w:val="clear" w:color="auto" w:fill="FFFFFF"/>
              <w:spacing w:before="0" w:beforeAutospacing="0" w:after="0" w:afterAutospacing="0"/>
              <w:rPr>
                <w:rFonts w:ascii="Garamond" w:hAnsi="Garamond"/>
                <w:color w:val="242424"/>
                <w:sz w:val="26"/>
                <w:szCs w:val="26"/>
              </w:rPr>
            </w:pPr>
            <w:r w:rsidRPr="00723029">
              <w:rPr>
                <w:rFonts w:ascii="Garamond" w:hAnsi="Garamond"/>
                <w:color w:val="242424"/>
                <w:sz w:val="26"/>
                <w:szCs w:val="26"/>
              </w:rPr>
              <w:t>I</w:t>
            </w:r>
            <w:r w:rsidR="00EC4F93" w:rsidRPr="00723029">
              <w:rPr>
                <w:rFonts w:ascii="Garamond" w:hAnsi="Garamond"/>
                <w:color w:val="242424"/>
                <w:sz w:val="26"/>
                <w:szCs w:val="26"/>
              </w:rPr>
              <w:t>f no, th</w:t>
            </w:r>
            <w:r w:rsidR="00EE421A">
              <w:rPr>
                <w:rFonts w:ascii="Garamond" w:hAnsi="Garamond"/>
                <w:color w:val="242424"/>
                <w:sz w:val="26"/>
                <w:szCs w:val="26"/>
              </w:rPr>
              <w:t xml:space="preserve">e </w:t>
            </w:r>
            <w:r w:rsidR="00AE36CB" w:rsidRPr="00723029">
              <w:rPr>
                <w:rFonts w:ascii="Garamond" w:hAnsi="Garamond"/>
                <w:color w:val="242424"/>
                <w:sz w:val="26"/>
                <w:szCs w:val="26"/>
              </w:rPr>
              <w:t>an</w:t>
            </w:r>
            <w:r w:rsidR="00A46541" w:rsidRPr="00723029">
              <w:rPr>
                <w:rFonts w:ascii="Garamond" w:hAnsi="Garamond"/>
                <w:color w:val="242424"/>
                <w:sz w:val="26"/>
                <w:szCs w:val="26"/>
              </w:rPr>
              <w:t>alysis</w:t>
            </w:r>
            <w:r w:rsidR="00EE421A">
              <w:rPr>
                <w:rFonts w:ascii="Garamond" w:hAnsi="Garamond"/>
                <w:color w:val="242424"/>
                <w:sz w:val="26"/>
                <w:szCs w:val="26"/>
              </w:rPr>
              <w:t xml:space="preserve"> ends</w:t>
            </w:r>
            <w:r w:rsidR="00A46541" w:rsidRPr="00723029">
              <w:rPr>
                <w:rFonts w:ascii="Garamond" w:hAnsi="Garamond"/>
                <w:color w:val="242424"/>
                <w:sz w:val="26"/>
                <w:szCs w:val="26"/>
              </w:rPr>
              <w:t>.</w:t>
            </w:r>
          </w:p>
          <w:p w14:paraId="27199559" w14:textId="77777777" w:rsidR="000E4203" w:rsidRPr="002359F9" w:rsidRDefault="000E4203" w:rsidP="00723029">
            <w:pPr>
              <w:ind w:left="360"/>
              <w:contextualSpacing/>
              <w:rPr>
                <w:rFonts w:ascii="Garamond" w:hAnsi="Garamond"/>
                <w:sz w:val="26"/>
                <w:szCs w:val="26"/>
              </w:rPr>
            </w:pPr>
          </w:p>
        </w:tc>
      </w:tr>
      <w:tr w:rsidR="00D64D78" w:rsidRPr="00D64D78" w14:paraId="180637C7" w14:textId="77777777" w:rsidTr="22256E85">
        <w:trPr>
          <w:trHeight w:val="1252"/>
        </w:trPr>
        <w:tc>
          <w:tcPr>
            <w:tcW w:w="800" w:type="dxa"/>
          </w:tcPr>
          <w:p w14:paraId="4E5C250E" w14:textId="7DB575FF" w:rsidR="00D64D78" w:rsidRPr="002359F9" w:rsidRDefault="00803F76" w:rsidP="00D64D78">
            <w:pPr>
              <w:rPr>
                <w:rFonts w:ascii="Garamond" w:hAnsi="Garamond"/>
                <w:sz w:val="26"/>
                <w:szCs w:val="26"/>
              </w:rPr>
            </w:pPr>
            <w:r w:rsidRPr="002359F9">
              <w:rPr>
                <w:rFonts w:ascii="Garamond" w:hAnsi="Garamond"/>
                <w:sz w:val="26"/>
                <w:szCs w:val="26"/>
              </w:rPr>
              <w:t>3</w:t>
            </w:r>
          </w:p>
        </w:tc>
        <w:tc>
          <w:tcPr>
            <w:tcW w:w="5192" w:type="dxa"/>
          </w:tcPr>
          <w:p w14:paraId="4808434A" w14:textId="3A7E67C2" w:rsidR="00D64D78" w:rsidRPr="002359F9" w:rsidRDefault="00AE36CB" w:rsidP="003D518E">
            <w:pPr>
              <w:contextualSpacing/>
              <w:rPr>
                <w:rFonts w:ascii="Garamond" w:hAnsi="Garamond"/>
                <w:sz w:val="26"/>
                <w:szCs w:val="26"/>
              </w:rPr>
            </w:pPr>
            <w:r w:rsidRPr="002359F9">
              <w:rPr>
                <w:rFonts w:ascii="Garamond" w:hAnsi="Garamond"/>
                <w:sz w:val="26"/>
                <w:szCs w:val="26"/>
              </w:rPr>
              <w:t>Is</w:t>
            </w:r>
            <w:r w:rsidR="00AB3EAB" w:rsidRPr="002359F9">
              <w:rPr>
                <w:rFonts w:ascii="Garamond" w:hAnsi="Garamond"/>
                <w:sz w:val="26"/>
                <w:szCs w:val="26"/>
              </w:rPr>
              <w:t xml:space="preserve"> there</w:t>
            </w:r>
            <w:r w:rsidRPr="002359F9">
              <w:rPr>
                <w:rFonts w:ascii="Garamond" w:hAnsi="Garamond"/>
                <w:sz w:val="26"/>
                <w:szCs w:val="26"/>
              </w:rPr>
              <w:t xml:space="preserve"> </w:t>
            </w:r>
            <w:r w:rsidR="002D1F93" w:rsidRPr="002359F9">
              <w:rPr>
                <w:rFonts w:ascii="Garamond" w:hAnsi="Garamond"/>
                <w:sz w:val="26"/>
                <w:szCs w:val="26"/>
              </w:rPr>
              <w:t>similar</w:t>
            </w:r>
            <w:r w:rsidR="00E6788C" w:rsidRPr="002359F9">
              <w:rPr>
                <w:rFonts w:ascii="Garamond" w:hAnsi="Garamond"/>
                <w:sz w:val="26"/>
                <w:szCs w:val="26"/>
              </w:rPr>
              <w:t xml:space="preserve"> or identical</w:t>
            </w:r>
            <w:r w:rsidR="002D1F93" w:rsidRPr="002359F9">
              <w:rPr>
                <w:rFonts w:ascii="Garamond" w:hAnsi="Garamond"/>
                <w:sz w:val="26"/>
                <w:szCs w:val="26"/>
              </w:rPr>
              <w:t xml:space="preserve"> </w:t>
            </w:r>
            <w:r w:rsidR="002D1F93" w:rsidRPr="002359F9">
              <w:rPr>
                <w:rFonts w:ascii="Garamond" w:eastAsia="Times New Roman" w:hAnsi="Garamond" w:cs="Open Sans"/>
                <w:color w:val="333333"/>
                <w:kern w:val="0"/>
                <w:sz w:val="26"/>
                <w:szCs w:val="26"/>
                <w14:ligatures w14:val="none"/>
              </w:rPr>
              <w:t>property, goods, services, or information</w:t>
            </w:r>
            <w:r w:rsidR="002D1F93" w:rsidRPr="002359F9">
              <w:rPr>
                <w:rFonts w:ascii="Garamond" w:hAnsi="Garamond"/>
                <w:sz w:val="26"/>
                <w:szCs w:val="26"/>
              </w:rPr>
              <w:t xml:space="preserve"> accomplished</w:t>
            </w:r>
            <w:r w:rsidRPr="002359F9">
              <w:rPr>
                <w:rFonts w:ascii="Garamond" w:hAnsi="Garamond"/>
                <w:sz w:val="26"/>
                <w:szCs w:val="26"/>
              </w:rPr>
              <w:t xml:space="preserve"> or delivered</w:t>
            </w:r>
            <w:r w:rsidR="002D1F93" w:rsidRPr="002359F9">
              <w:rPr>
                <w:rFonts w:ascii="Garamond" w:hAnsi="Garamond"/>
                <w:sz w:val="26"/>
                <w:szCs w:val="26"/>
              </w:rPr>
              <w:t xml:space="preserve"> through other means</w:t>
            </w:r>
            <w:r w:rsidRPr="002359F9">
              <w:rPr>
                <w:rFonts w:ascii="Garamond" w:hAnsi="Garamond"/>
                <w:sz w:val="26"/>
                <w:szCs w:val="26"/>
              </w:rPr>
              <w:t>?</w:t>
            </w:r>
          </w:p>
          <w:p w14:paraId="11E24F29" w14:textId="79FDF381" w:rsidR="008B64F1" w:rsidRPr="002359F9" w:rsidRDefault="008B64F1" w:rsidP="00723029">
            <w:pPr>
              <w:contextualSpacing/>
              <w:rPr>
                <w:rFonts w:ascii="Garamond" w:hAnsi="Garamond"/>
                <w:sz w:val="26"/>
                <w:szCs w:val="26"/>
              </w:rPr>
            </w:pPr>
          </w:p>
        </w:tc>
        <w:tc>
          <w:tcPr>
            <w:tcW w:w="3307" w:type="dxa"/>
          </w:tcPr>
          <w:p w14:paraId="320383BB" w14:textId="019432BB" w:rsidR="00D64D78" w:rsidRPr="002359F9" w:rsidRDefault="00D64D78" w:rsidP="00D64D78">
            <w:pPr>
              <w:numPr>
                <w:ilvl w:val="0"/>
                <w:numId w:val="7"/>
              </w:numPr>
              <w:contextualSpacing/>
              <w:rPr>
                <w:rFonts w:ascii="Garamond" w:hAnsi="Garamond"/>
                <w:sz w:val="26"/>
                <w:szCs w:val="26"/>
              </w:rPr>
            </w:pPr>
            <w:r w:rsidRPr="002359F9">
              <w:rPr>
                <w:rFonts w:ascii="Garamond" w:hAnsi="Garamond"/>
                <w:sz w:val="26"/>
                <w:szCs w:val="26"/>
              </w:rPr>
              <w:t xml:space="preserve">If </w:t>
            </w:r>
            <w:r w:rsidR="00F77DFB" w:rsidRPr="002359F9">
              <w:rPr>
                <w:rFonts w:ascii="Garamond" w:hAnsi="Garamond"/>
                <w:sz w:val="26"/>
                <w:szCs w:val="26"/>
              </w:rPr>
              <w:t>ye</w:t>
            </w:r>
            <w:r w:rsidR="00803E19">
              <w:rPr>
                <w:rFonts w:ascii="Garamond" w:hAnsi="Garamond"/>
                <w:sz w:val="26"/>
                <w:szCs w:val="26"/>
              </w:rPr>
              <w:t>s,</w:t>
            </w:r>
            <w:r w:rsidRPr="002359F9">
              <w:rPr>
                <w:rFonts w:ascii="Garamond" w:hAnsi="Garamond"/>
                <w:sz w:val="26"/>
                <w:szCs w:val="26"/>
              </w:rPr>
              <w:t xml:space="preserve"> proceed to Step </w:t>
            </w:r>
            <w:r w:rsidR="00F13166" w:rsidRPr="002359F9">
              <w:rPr>
                <w:rFonts w:ascii="Garamond" w:hAnsi="Garamond"/>
                <w:sz w:val="26"/>
                <w:szCs w:val="26"/>
              </w:rPr>
              <w:t>4</w:t>
            </w:r>
            <w:r w:rsidRPr="002359F9">
              <w:rPr>
                <w:rFonts w:ascii="Garamond" w:hAnsi="Garamond"/>
                <w:sz w:val="26"/>
                <w:szCs w:val="26"/>
              </w:rPr>
              <w:t>.</w:t>
            </w:r>
          </w:p>
          <w:p w14:paraId="10C2147E" w14:textId="40DE7BBC" w:rsidR="00A46541" w:rsidRPr="00723029" w:rsidRDefault="00D64D78" w:rsidP="00A46541">
            <w:pPr>
              <w:pStyle w:val="xmsonormal"/>
              <w:numPr>
                <w:ilvl w:val="0"/>
                <w:numId w:val="15"/>
              </w:numPr>
              <w:shd w:val="clear" w:color="auto" w:fill="FFFFFF"/>
              <w:spacing w:before="0" w:beforeAutospacing="0" w:after="0" w:afterAutospacing="0"/>
              <w:rPr>
                <w:rFonts w:ascii="Garamond" w:hAnsi="Garamond"/>
                <w:color w:val="242424"/>
                <w:sz w:val="26"/>
                <w:szCs w:val="26"/>
              </w:rPr>
            </w:pPr>
            <w:r w:rsidRPr="002359F9">
              <w:rPr>
                <w:rFonts w:ascii="Garamond" w:hAnsi="Garamond"/>
                <w:sz w:val="26"/>
                <w:szCs w:val="26"/>
              </w:rPr>
              <w:t xml:space="preserve">If no, </w:t>
            </w:r>
            <w:r w:rsidR="00A46541" w:rsidRPr="00723029">
              <w:rPr>
                <w:rFonts w:ascii="Garamond" w:hAnsi="Garamond"/>
                <w:color w:val="242424"/>
                <w:sz w:val="26"/>
                <w:szCs w:val="26"/>
              </w:rPr>
              <w:t>th</w:t>
            </w:r>
            <w:r w:rsidR="00803E19">
              <w:rPr>
                <w:rFonts w:ascii="Garamond" w:hAnsi="Garamond"/>
                <w:color w:val="242424"/>
                <w:sz w:val="26"/>
                <w:szCs w:val="26"/>
              </w:rPr>
              <w:t xml:space="preserve">e </w:t>
            </w:r>
            <w:r w:rsidR="00A46541" w:rsidRPr="00723029">
              <w:rPr>
                <w:rFonts w:ascii="Garamond" w:hAnsi="Garamond"/>
                <w:color w:val="242424"/>
                <w:sz w:val="26"/>
                <w:szCs w:val="26"/>
              </w:rPr>
              <w:t>analysis</w:t>
            </w:r>
            <w:r w:rsidR="00803E19">
              <w:rPr>
                <w:rFonts w:ascii="Garamond" w:hAnsi="Garamond"/>
                <w:color w:val="242424"/>
                <w:sz w:val="26"/>
                <w:szCs w:val="26"/>
              </w:rPr>
              <w:t xml:space="preserve"> ends</w:t>
            </w:r>
            <w:r w:rsidR="003F6506">
              <w:rPr>
                <w:rFonts w:ascii="Garamond" w:hAnsi="Garamond"/>
                <w:color w:val="242424"/>
                <w:sz w:val="26"/>
                <w:szCs w:val="26"/>
              </w:rPr>
              <w:t>.</w:t>
            </w:r>
          </w:p>
          <w:p w14:paraId="4BE15A60" w14:textId="0098EAC9" w:rsidR="00D64D78" w:rsidRPr="002359F9" w:rsidRDefault="00D64D78" w:rsidP="00A46541">
            <w:pPr>
              <w:contextualSpacing/>
              <w:rPr>
                <w:rFonts w:ascii="Garamond" w:hAnsi="Garamond"/>
                <w:sz w:val="26"/>
                <w:szCs w:val="26"/>
              </w:rPr>
            </w:pPr>
          </w:p>
          <w:p w14:paraId="53834A96" w14:textId="59088B17" w:rsidR="00A46541" w:rsidRPr="00723029" w:rsidRDefault="00A46541" w:rsidP="00723029">
            <w:pPr>
              <w:contextualSpacing/>
              <w:rPr>
                <w:rFonts w:ascii="Garamond" w:hAnsi="Garamond"/>
                <w:i/>
                <w:iCs/>
                <w:sz w:val="26"/>
                <w:szCs w:val="26"/>
              </w:rPr>
            </w:pPr>
            <w:r w:rsidRPr="00723029">
              <w:rPr>
                <w:rFonts w:ascii="Garamond" w:hAnsi="Garamond"/>
                <w:i/>
                <w:iCs/>
                <w:sz w:val="26"/>
                <w:szCs w:val="26"/>
              </w:rPr>
              <w:t>Note: This</w:t>
            </w:r>
            <w:r w:rsidR="00803E19">
              <w:rPr>
                <w:rFonts w:ascii="Garamond" w:hAnsi="Garamond"/>
                <w:i/>
                <w:iCs/>
                <w:sz w:val="26"/>
                <w:szCs w:val="26"/>
              </w:rPr>
              <w:t xml:space="preserve"> step</w:t>
            </w:r>
            <w:r w:rsidRPr="00723029">
              <w:rPr>
                <w:rFonts w:ascii="Garamond" w:hAnsi="Garamond"/>
                <w:i/>
                <w:iCs/>
                <w:sz w:val="26"/>
                <w:szCs w:val="26"/>
              </w:rPr>
              <w:t xml:space="preserve"> </w:t>
            </w:r>
            <w:r w:rsidR="00803E19">
              <w:rPr>
                <w:rFonts w:ascii="Garamond" w:hAnsi="Garamond"/>
                <w:i/>
                <w:iCs/>
                <w:sz w:val="26"/>
                <w:szCs w:val="26"/>
              </w:rPr>
              <w:t xml:space="preserve">may frequently </w:t>
            </w:r>
            <w:r w:rsidRPr="00723029">
              <w:rPr>
                <w:rFonts w:ascii="Garamond" w:hAnsi="Garamond"/>
                <w:i/>
                <w:iCs/>
                <w:sz w:val="26"/>
                <w:szCs w:val="26"/>
              </w:rPr>
              <w:t>be the most challenging analytical step because it requires</w:t>
            </w:r>
            <w:r w:rsidR="00E6788C" w:rsidRPr="00723029">
              <w:rPr>
                <w:rFonts w:ascii="Garamond" w:hAnsi="Garamond"/>
                <w:i/>
                <w:iCs/>
                <w:sz w:val="26"/>
                <w:szCs w:val="26"/>
              </w:rPr>
              <w:t xml:space="preserve"> an understanding of other products in the market and a</w:t>
            </w:r>
            <w:r w:rsidR="00311B64" w:rsidRPr="00723029">
              <w:rPr>
                <w:rFonts w:ascii="Garamond" w:hAnsi="Garamond"/>
                <w:i/>
                <w:iCs/>
                <w:sz w:val="26"/>
                <w:szCs w:val="26"/>
              </w:rPr>
              <w:t xml:space="preserve"> careful</w:t>
            </w:r>
            <w:r w:rsidR="00803E19">
              <w:rPr>
                <w:rFonts w:ascii="Garamond" w:hAnsi="Garamond"/>
                <w:i/>
                <w:iCs/>
                <w:sz w:val="26"/>
                <w:szCs w:val="26"/>
              </w:rPr>
              <w:t xml:space="preserve"> understanding</w:t>
            </w:r>
            <w:r w:rsidR="00311B64" w:rsidRPr="00723029">
              <w:rPr>
                <w:rFonts w:ascii="Garamond" w:hAnsi="Garamond"/>
                <w:i/>
                <w:iCs/>
                <w:sz w:val="26"/>
                <w:szCs w:val="26"/>
              </w:rPr>
              <w:t xml:space="preserve"> the attributes of </w:t>
            </w:r>
            <w:r w:rsidR="00E6788C" w:rsidRPr="00723029">
              <w:rPr>
                <w:rFonts w:ascii="Garamond" w:hAnsi="Garamond"/>
                <w:i/>
                <w:iCs/>
                <w:sz w:val="26"/>
                <w:szCs w:val="26"/>
              </w:rPr>
              <w:t xml:space="preserve">these </w:t>
            </w:r>
            <w:r w:rsidR="00311B64" w:rsidRPr="00723029">
              <w:rPr>
                <w:rFonts w:ascii="Garamond" w:hAnsi="Garamond"/>
                <w:i/>
                <w:iCs/>
                <w:sz w:val="26"/>
                <w:szCs w:val="26"/>
              </w:rPr>
              <w:t>products</w:t>
            </w:r>
            <w:r w:rsidR="00E6788C" w:rsidRPr="00723029">
              <w:rPr>
                <w:rFonts w:ascii="Garamond" w:hAnsi="Garamond"/>
                <w:i/>
                <w:iCs/>
                <w:sz w:val="26"/>
                <w:szCs w:val="26"/>
              </w:rPr>
              <w:t>.</w:t>
            </w:r>
            <w:r w:rsidR="00706173" w:rsidRPr="002359F9">
              <w:rPr>
                <w:rFonts w:ascii="Garamond" w:hAnsi="Garamond"/>
                <w:i/>
                <w:iCs/>
                <w:sz w:val="26"/>
                <w:szCs w:val="26"/>
              </w:rPr>
              <w:t xml:space="preserve"> This step </w:t>
            </w:r>
            <w:r w:rsidR="00803E19">
              <w:rPr>
                <w:rFonts w:ascii="Garamond" w:hAnsi="Garamond"/>
                <w:i/>
                <w:iCs/>
                <w:sz w:val="26"/>
                <w:szCs w:val="26"/>
              </w:rPr>
              <w:t>is expected to be</w:t>
            </w:r>
            <w:r w:rsidR="00706173" w:rsidRPr="002359F9">
              <w:rPr>
                <w:rFonts w:ascii="Garamond" w:hAnsi="Garamond"/>
                <w:i/>
                <w:iCs/>
                <w:sz w:val="26"/>
                <w:szCs w:val="26"/>
              </w:rPr>
              <w:t xml:space="preserve"> </w:t>
            </w:r>
            <w:r w:rsidR="005401E3">
              <w:rPr>
                <w:rFonts w:ascii="Garamond" w:hAnsi="Garamond"/>
                <w:i/>
                <w:iCs/>
                <w:sz w:val="26"/>
                <w:szCs w:val="26"/>
              </w:rPr>
              <w:t xml:space="preserve">a </w:t>
            </w:r>
            <w:r w:rsidR="002359F9" w:rsidRPr="002359F9">
              <w:rPr>
                <w:rFonts w:ascii="Garamond" w:hAnsi="Garamond"/>
                <w:i/>
                <w:iCs/>
                <w:sz w:val="26"/>
                <w:szCs w:val="26"/>
              </w:rPr>
              <w:t>significant</w:t>
            </w:r>
            <w:r w:rsidR="00C90B52">
              <w:rPr>
                <w:rFonts w:ascii="Garamond" w:hAnsi="Garamond"/>
                <w:i/>
                <w:iCs/>
                <w:sz w:val="26"/>
                <w:szCs w:val="26"/>
              </w:rPr>
              <w:t xml:space="preserve"> point</w:t>
            </w:r>
            <w:r w:rsidR="002359F9" w:rsidRPr="002359F9">
              <w:rPr>
                <w:rFonts w:ascii="Garamond" w:hAnsi="Garamond"/>
                <w:i/>
                <w:iCs/>
                <w:sz w:val="26"/>
                <w:szCs w:val="26"/>
              </w:rPr>
              <w:t xml:space="preserve"> </w:t>
            </w:r>
            <w:r w:rsidR="005401E3">
              <w:rPr>
                <w:rFonts w:ascii="Garamond" w:hAnsi="Garamond"/>
                <w:i/>
                <w:iCs/>
                <w:sz w:val="26"/>
                <w:szCs w:val="26"/>
              </w:rPr>
              <w:t xml:space="preserve">in </w:t>
            </w:r>
            <w:r w:rsidR="00803E19">
              <w:rPr>
                <w:rFonts w:ascii="Garamond" w:hAnsi="Garamond"/>
                <w:i/>
                <w:iCs/>
                <w:sz w:val="26"/>
                <w:szCs w:val="26"/>
              </w:rPr>
              <w:t>the</w:t>
            </w:r>
            <w:r w:rsidR="002359F9" w:rsidRPr="002359F9">
              <w:rPr>
                <w:rFonts w:ascii="Garamond" w:hAnsi="Garamond"/>
                <w:i/>
                <w:iCs/>
                <w:sz w:val="26"/>
                <w:szCs w:val="26"/>
              </w:rPr>
              <w:t xml:space="preserve"> litigation </w:t>
            </w:r>
            <w:r w:rsidR="00803E19">
              <w:rPr>
                <w:rFonts w:ascii="Garamond" w:hAnsi="Garamond"/>
                <w:i/>
                <w:iCs/>
                <w:sz w:val="26"/>
                <w:szCs w:val="26"/>
              </w:rPr>
              <w:t>o</w:t>
            </w:r>
            <w:r w:rsidR="002359F9" w:rsidRPr="002359F9">
              <w:rPr>
                <w:rFonts w:ascii="Garamond" w:hAnsi="Garamond"/>
                <w:i/>
                <w:iCs/>
                <w:sz w:val="26"/>
                <w:szCs w:val="26"/>
              </w:rPr>
              <w:t>n many case</w:t>
            </w:r>
            <w:r w:rsidR="00C90B52">
              <w:rPr>
                <w:rFonts w:ascii="Garamond" w:hAnsi="Garamond"/>
                <w:i/>
                <w:iCs/>
                <w:sz w:val="26"/>
                <w:szCs w:val="26"/>
              </w:rPr>
              <w:t>s</w:t>
            </w:r>
            <w:r w:rsidR="002359F9" w:rsidRPr="002359F9">
              <w:rPr>
                <w:rFonts w:ascii="Garamond" w:hAnsi="Garamond"/>
                <w:i/>
                <w:iCs/>
                <w:sz w:val="26"/>
                <w:szCs w:val="26"/>
              </w:rPr>
              <w:t>.</w:t>
            </w:r>
          </w:p>
          <w:p w14:paraId="1F54EC9E" w14:textId="77777777" w:rsidR="00D64D78" w:rsidRPr="002359F9" w:rsidRDefault="00D64D78" w:rsidP="00D64D78">
            <w:pPr>
              <w:rPr>
                <w:rFonts w:ascii="Garamond" w:hAnsi="Garamond"/>
                <w:sz w:val="26"/>
                <w:szCs w:val="26"/>
              </w:rPr>
            </w:pPr>
          </w:p>
        </w:tc>
      </w:tr>
      <w:tr w:rsidR="002D1F93" w:rsidRPr="00D64D78" w14:paraId="535D43CF" w14:textId="77777777" w:rsidTr="22256E85">
        <w:trPr>
          <w:trHeight w:val="2738"/>
        </w:trPr>
        <w:tc>
          <w:tcPr>
            <w:tcW w:w="800" w:type="dxa"/>
          </w:tcPr>
          <w:p w14:paraId="4196809E" w14:textId="635A5D8F" w:rsidR="002D1F93" w:rsidRPr="002359F9" w:rsidRDefault="002D1F93" w:rsidP="002D1F93">
            <w:pPr>
              <w:rPr>
                <w:rFonts w:ascii="Garamond" w:hAnsi="Garamond"/>
                <w:sz w:val="26"/>
                <w:szCs w:val="26"/>
              </w:rPr>
            </w:pPr>
            <w:r w:rsidRPr="002359F9">
              <w:rPr>
                <w:rFonts w:ascii="Garamond" w:hAnsi="Garamond"/>
                <w:sz w:val="26"/>
                <w:szCs w:val="26"/>
              </w:rPr>
              <w:t>4</w:t>
            </w:r>
          </w:p>
        </w:tc>
        <w:tc>
          <w:tcPr>
            <w:tcW w:w="5192" w:type="dxa"/>
          </w:tcPr>
          <w:p w14:paraId="7520E766" w14:textId="0D069D97" w:rsidR="002D1F93" w:rsidRPr="002359F9" w:rsidRDefault="00E6788C" w:rsidP="00E6788C">
            <w:pPr>
              <w:pStyle w:val="ListParagraph"/>
              <w:numPr>
                <w:ilvl w:val="0"/>
                <w:numId w:val="15"/>
              </w:numPr>
              <w:rPr>
                <w:rFonts w:ascii="Garamond" w:hAnsi="Garamond"/>
                <w:sz w:val="26"/>
                <w:szCs w:val="26"/>
              </w:rPr>
            </w:pPr>
            <w:r w:rsidRPr="002359F9">
              <w:rPr>
                <w:rFonts w:ascii="Garamond" w:hAnsi="Garamond"/>
                <w:sz w:val="26"/>
                <w:szCs w:val="26"/>
              </w:rPr>
              <w:t xml:space="preserve">Is the similar </w:t>
            </w:r>
            <w:r w:rsidR="00513DEB" w:rsidRPr="002359F9">
              <w:rPr>
                <w:rFonts w:ascii="Garamond" w:hAnsi="Garamond"/>
                <w:sz w:val="26"/>
                <w:szCs w:val="26"/>
              </w:rPr>
              <w:t>product(s)</w:t>
            </w:r>
            <w:r w:rsidR="00EF15BA" w:rsidRPr="002359F9">
              <w:rPr>
                <w:rFonts w:ascii="Garamond" w:hAnsi="Garamond"/>
                <w:sz w:val="26"/>
                <w:szCs w:val="26"/>
              </w:rPr>
              <w:t xml:space="preserve"> through other means</w:t>
            </w:r>
            <w:r w:rsidR="00513DEB" w:rsidRPr="002359F9">
              <w:rPr>
                <w:rFonts w:ascii="Garamond" w:hAnsi="Garamond"/>
                <w:sz w:val="26"/>
                <w:szCs w:val="26"/>
              </w:rPr>
              <w:t xml:space="preserve"> t</w:t>
            </w:r>
            <w:r w:rsidR="004C1341" w:rsidRPr="002359F9">
              <w:rPr>
                <w:rFonts w:ascii="Garamond" w:hAnsi="Garamond"/>
                <w:sz w:val="26"/>
                <w:szCs w:val="26"/>
              </w:rPr>
              <w:t xml:space="preserve">axed </w:t>
            </w:r>
            <w:r w:rsidR="00EF15BA" w:rsidRPr="002359F9">
              <w:rPr>
                <w:rFonts w:ascii="Garamond" w:hAnsi="Garamond"/>
                <w:sz w:val="26"/>
                <w:szCs w:val="26"/>
              </w:rPr>
              <w:t>the same as</w:t>
            </w:r>
            <w:r w:rsidR="004C1341" w:rsidRPr="002359F9">
              <w:rPr>
                <w:rFonts w:ascii="Garamond" w:hAnsi="Garamond"/>
                <w:sz w:val="26"/>
                <w:szCs w:val="26"/>
              </w:rPr>
              <w:t xml:space="preserve"> the products in electronic commerce?</w:t>
            </w:r>
          </w:p>
          <w:p w14:paraId="44B68C1E" w14:textId="569C18BB" w:rsidR="004C1341" w:rsidRPr="002359F9" w:rsidRDefault="004C1341" w:rsidP="00E6788C">
            <w:pPr>
              <w:pStyle w:val="ListParagraph"/>
              <w:numPr>
                <w:ilvl w:val="0"/>
                <w:numId w:val="15"/>
              </w:numPr>
              <w:rPr>
                <w:rFonts w:ascii="Garamond" w:hAnsi="Garamond"/>
                <w:sz w:val="26"/>
                <w:szCs w:val="26"/>
              </w:rPr>
            </w:pPr>
            <w:r w:rsidRPr="002359F9">
              <w:rPr>
                <w:rFonts w:ascii="Garamond" w:hAnsi="Garamond"/>
                <w:sz w:val="26"/>
                <w:szCs w:val="26"/>
              </w:rPr>
              <w:t xml:space="preserve">Is the similar product(s) </w:t>
            </w:r>
            <w:r w:rsidR="00543F20" w:rsidRPr="002359F9">
              <w:rPr>
                <w:rFonts w:ascii="Garamond" w:hAnsi="Garamond"/>
                <w:sz w:val="26"/>
                <w:szCs w:val="26"/>
              </w:rPr>
              <w:t xml:space="preserve">through other means </w:t>
            </w:r>
            <w:r w:rsidRPr="002359F9">
              <w:rPr>
                <w:rFonts w:ascii="Garamond" w:hAnsi="Garamond"/>
                <w:sz w:val="26"/>
                <w:szCs w:val="26"/>
              </w:rPr>
              <w:t>taxed at a lower rate</w:t>
            </w:r>
            <w:r w:rsidR="00543F20" w:rsidRPr="002359F9">
              <w:rPr>
                <w:rFonts w:ascii="Garamond" w:hAnsi="Garamond"/>
                <w:sz w:val="26"/>
                <w:szCs w:val="26"/>
              </w:rPr>
              <w:t xml:space="preserve"> than products in electronic commerce</w:t>
            </w:r>
            <w:r w:rsidRPr="002359F9">
              <w:rPr>
                <w:rFonts w:ascii="Garamond" w:hAnsi="Garamond"/>
                <w:sz w:val="26"/>
                <w:szCs w:val="26"/>
              </w:rPr>
              <w:t>?</w:t>
            </w:r>
            <w:r w:rsidR="00803E19">
              <w:rPr>
                <w:rFonts w:ascii="Garamond" w:hAnsi="Garamond"/>
                <w:sz w:val="26"/>
                <w:szCs w:val="26"/>
              </w:rPr>
              <w:t xml:space="preserve"> Consider applicable exemptions.</w:t>
            </w:r>
          </w:p>
          <w:p w14:paraId="4C26DF0E" w14:textId="13B2B1D9" w:rsidR="004C1341" w:rsidRPr="00723029" w:rsidRDefault="00E9300B" w:rsidP="00E6788C">
            <w:pPr>
              <w:pStyle w:val="ListParagraph"/>
              <w:numPr>
                <w:ilvl w:val="0"/>
                <w:numId w:val="15"/>
              </w:numPr>
              <w:rPr>
                <w:rFonts w:ascii="Garamond" w:hAnsi="Garamond"/>
                <w:sz w:val="26"/>
                <w:szCs w:val="26"/>
              </w:rPr>
            </w:pPr>
            <w:r w:rsidRPr="002359F9">
              <w:rPr>
                <w:rFonts w:ascii="Garamond" w:eastAsia="Times New Roman" w:hAnsi="Garamond" w:cs="Open Sans"/>
                <w:color w:val="333333"/>
                <w:kern w:val="0"/>
                <w:sz w:val="26"/>
                <w:szCs w:val="26"/>
                <w14:ligatures w14:val="none"/>
              </w:rPr>
              <w:t>Is</w:t>
            </w:r>
            <w:r w:rsidR="0032268D" w:rsidRPr="002359F9">
              <w:rPr>
                <w:rFonts w:ascii="Garamond" w:eastAsia="Times New Roman" w:hAnsi="Garamond" w:cs="Open Sans"/>
                <w:color w:val="333333"/>
                <w:kern w:val="0"/>
                <w:sz w:val="26"/>
                <w:szCs w:val="26"/>
                <w14:ligatures w14:val="none"/>
              </w:rPr>
              <w:t xml:space="preserve"> </w:t>
            </w:r>
            <w:r w:rsidR="0000783C" w:rsidRPr="002359F9">
              <w:rPr>
                <w:rFonts w:ascii="Garamond" w:eastAsia="Times New Roman" w:hAnsi="Garamond" w:cs="Open Sans"/>
                <w:color w:val="333333"/>
                <w:kern w:val="0"/>
                <w:sz w:val="26"/>
                <w:szCs w:val="26"/>
                <w14:ligatures w14:val="none"/>
              </w:rPr>
              <w:t xml:space="preserve">tax </w:t>
            </w:r>
            <w:r w:rsidR="006A29A2">
              <w:rPr>
                <w:rFonts w:ascii="Garamond" w:eastAsia="Times New Roman" w:hAnsi="Garamond" w:cs="Open Sans"/>
                <w:color w:val="333333"/>
                <w:kern w:val="0"/>
                <w:sz w:val="26"/>
                <w:szCs w:val="26"/>
                <w14:ligatures w14:val="none"/>
              </w:rPr>
              <w:t>the</w:t>
            </w:r>
            <w:r w:rsidR="0032268D" w:rsidRPr="002359F9">
              <w:rPr>
                <w:rFonts w:ascii="Garamond" w:eastAsia="Times New Roman" w:hAnsi="Garamond" w:cs="Open Sans"/>
                <w:color w:val="333333"/>
                <w:kern w:val="0"/>
                <w:sz w:val="26"/>
                <w:szCs w:val="26"/>
                <w14:ligatures w14:val="none"/>
              </w:rPr>
              <w:t xml:space="preserve"> similar produc</w:t>
            </w:r>
            <w:r w:rsidR="006A29A2">
              <w:rPr>
                <w:rFonts w:ascii="Garamond" w:eastAsia="Times New Roman" w:hAnsi="Garamond" w:cs="Open Sans"/>
                <w:color w:val="333333"/>
                <w:kern w:val="0"/>
                <w:sz w:val="26"/>
                <w:szCs w:val="26"/>
                <w14:ligatures w14:val="none"/>
              </w:rPr>
              <w:t>t(s)</w:t>
            </w:r>
            <w:r w:rsidRPr="002359F9">
              <w:rPr>
                <w:rFonts w:ascii="Garamond" w:eastAsia="Times New Roman" w:hAnsi="Garamond" w:cs="Open Sans"/>
                <w:color w:val="333333"/>
                <w:kern w:val="0"/>
                <w:sz w:val="26"/>
                <w:szCs w:val="26"/>
                <w14:ligatures w14:val="none"/>
              </w:rPr>
              <w:t xml:space="preserve"> </w:t>
            </w:r>
            <w:r w:rsidR="004C1341" w:rsidRPr="002359F9">
              <w:rPr>
                <w:rFonts w:ascii="Garamond" w:eastAsia="Times New Roman" w:hAnsi="Garamond" w:cs="Open Sans"/>
                <w:color w:val="333333"/>
                <w:kern w:val="0"/>
                <w:sz w:val="26"/>
                <w:szCs w:val="26"/>
                <w14:ligatures w14:val="none"/>
              </w:rPr>
              <w:t>collect</w:t>
            </w:r>
            <w:r w:rsidRPr="002359F9">
              <w:rPr>
                <w:rFonts w:ascii="Garamond" w:eastAsia="Times New Roman" w:hAnsi="Garamond" w:cs="Open Sans"/>
                <w:color w:val="333333"/>
                <w:kern w:val="0"/>
                <w:sz w:val="26"/>
                <w:szCs w:val="26"/>
                <w14:ligatures w14:val="none"/>
              </w:rPr>
              <w:t>ed</w:t>
            </w:r>
            <w:r w:rsidR="004C1341" w:rsidRPr="002359F9">
              <w:rPr>
                <w:rFonts w:ascii="Garamond" w:eastAsia="Times New Roman" w:hAnsi="Garamond" w:cs="Open Sans"/>
                <w:color w:val="333333"/>
                <w:kern w:val="0"/>
                <w:sz w:val="26"/>
                <w:szCs w:val="26"/>
                <w14:ligatures w14:val="none"/>
              </w:rPr>
              <w:t xml:space="preserve"> or pa</w:t>
            </w:r>
            <w:r w:rsidRPr="002359F9">
              <w:rPr>
                <w:rFonts w:ascii="Garamond" w:eastAsia="Times New Roman" w:hAnsi="Garamond" w:cs="Open Sans"/>
                <w:color w:val="333333"/>
                <w:kern w:val="0"/>
                <w:sz w:val="26"/>
                <w:szCs w:val="26"/>
                <w14:ligatures w14:val="none"/>
              </w:rPr>
              <w:t>id</w:t>
            </w:r>
            <w:r w:rsidR="004C1341" w:rsidRPr="002359F9">
              <w:rPr>
                <w:rFonts w:ascii="Garamond" w:eastAsia="Times New Roman" w:hAnsi="Garamond" w:cs="Open Sans"/>
                <w:color w:val="333333"/>
                <w:kern w:val="0"/>
                <w:sz w:val="26"/>
                <w:szCs w:val="26"/>
                <w14:ligatures w14:val="none"/>
              </w:rPr>
              <w:t xml:space="preserve"> </w:t>
            </w:r>
            <w:r w:rsidR="0000783C" w:rsidRPr="002359F9">
              <w:rPr>
                <w:rFonts w:ascii="Garamond" w:eastAsia="Times New Roman" w:hAnsi="Garamond" w:cs="Open Sans"/>
                <w:color w:val="333333"/>
                <w:kern w:val="0"/>
                <w:sz w:val="26"/>
                <w:szCs w:val="26"/>
                <w14:ligatures w14:val="none"/>
              </w:rPr>
              <w:t>by</w:t>
            </w:r>
            <w:r w:rsidR="004C1341" w:rsidRPr="002359F9">
              <w:rPr>
                <w:rFonts w:ascii="Garamond" w:eastAsia="Times New Roman" w:hAnsi="Garamond" w:cs="Open Sans"/>
                <w:color w:val="333333"/>
                <w:kern w:val="0"/>
                <w:sz w:val="26"/>
                <w:szCs w:val="26"/>
                <w14:ligatures w14:val="none"/>
              </w:rPr>
              <w:t xml:space="preserve"> a different </w:t>
            </w:r>
            <w:hyperlink r:id="rId17" w:history="1">
              <w:r w:rsidR="004C1341" w:rsidRPr="002359F9">
                <w:rPr>
                  <w:rFonts w:ascii="Garamond" w:eastAsia="Times New Roman" w:hAnsi="Garamond" w:cs="Open Sans"/>
                  <w:color w:val="001C72"/>
                  <w:kern w:val="0"/>
                  <w:sz w:val="26"/>
                  <w:szCs w:val="26"/>
                  <w:u w:val="single"/>
                  <w14:ligatures w14:val="none"/>
                </w:rPr>
                <w:t>person</w:t>
              </w:r>
            </w:hyperlink>
            <w:r w:rsidR="004C1341" w:rsidRPr="002359F9">
              <w:rPr>
                <w:rFonts w:ascii="Garamond" w:eastAsia="Times New Roman" w:hAnsi="Garamond" w:cs="Open Sans"/>
                <w:color w:val="333333"/>
                <w:kern w:val="0"/>
                <w:sz w:val="26"/>
                <w:szCs w:val="26"/>
                <w14:ligatures w14:val="none"/>
              </w:rPr>
              <w:t> or entity</w:t>
            </w:r>
            <w:r w:rsidR="00543F20" w:rsidRPr="002359F9">
              <w:rPr>
                <w:rFonts w:ascii="Garamond" w:eastAsia="Times New Roman" w:hAnsi="Garamond" w:cs="Open Sans"/>
                <w:color w:val="333333"/>
                <w:kern w:val="0"/>
                <w:sz w:val="26"/>
                <w:szCs w:val="26"/>
                <w14:ligatures w14:val="none"/>
              </w:rPr>
              <w:t xml:space="preserve"> than for </w:t>
            </w:r>
            <w:r w:rsidR="00543F20" w:rsidRPr="002359F9">
              <w:rPr>
                <w:rFonts w:ascii="Garamond" w:hAnsi="Garamond"/>
                <w:sz w:val="26"/>
                <w:szCs w:val="26"/>
              </w:rPr>
              <w:t>products in electronic commerce</w:t>
            </w:r>
            <w:r w:rsidR="0000783C" w:rsidRPr="002359F9">
              <w:rPr>
                <w:rFonts w:ascii="Garamond" w:eastAsia="Times New Roman" w:hAnsi="Garamond" w:cs="Open Sans"/>
                <w:color w:val="333333"/>
                <w:kern w:val="0"/>
                <w:sz w:val="26"/>
                <w:szCs w:val="26"/>
                <w14:ligatures w14:val="none"/>
              </w:rPr>
              <w:t>?</w:t>
            </w:r>
          </w:p>
          <w:p w14:paraId="165B5D13" w14:textId="4CE82F2E" w:rsidR="0000783C" w:rsidRPr="00723029" w:rsidRDefault="003D028C" w:rsidP="00723029">
            <w:pPr>
              <w:pStyle w:val="ListParagraph"/>
              <w:numPr>
                <w:ilvl w:val="0"/>
                <w:numId w:val="15"/>
              </w:numPr>
              <w:rPr>
                <w:rFonts w:ascii="Garamond" w:hAnsi="Garamond"/>
                <w:sz w:val="26"/>
                <w:szCs w:val="26"/>
              </w:rPr>
            </w:pPr>
            <w:r w:rsidRPr="002359F9">
              <w:rPr>
                <w:rFonts w:ascii="Garamond" w:eastAsia="Times New Roman" w:hAnsi="Garamond" w:cs="Open Sans"/>
                <w:color w:val="333333"/>
                <w:kern w:val="0"/>
                <w:sz w:val="26"/>
                <w:szCs w:val="26"/>
                <w14:ligatures w14:val="none"/>
              </w:rPr>
              <w:t>Do providers of similar </w:t>
            </w:r>
            <w:hyperlink r:id="rId18" w:history="1">
              <w:r w:rsidRPr="002359F9">
                <w:rPr>
                  <w:rFonts w:ascii="Garamond" w:eastAsia="Times New Roman" w:hAnsi="Garamond" w:cs="Open Sans"/>
                  <w:color w:val="001C72"/>
                  <w:kern w:val="0"/>
                  <w:sz w:val="26"/>
                  <w:szCs w:val="26"/>
                  <w:u w:val="single"/>
                  <w14:ligatures w14:val="none"/>
                </w:rPr>
                <w:t>information services</w:t>
              </w:r>
            </w:hyperlink>
            <w:r w:rsidRPr="002359F9">
              <w:rPr>
                <w:rFonts w:ascii="Garamond" w:eastAsia="Times New Roman" w:hAnsi="Garamond" w:cs="Open Sans"/>
                <w:color w:val="333333"/>
                <w:kern w:val="0"/>
                <w:sz w:val="26"/>
                <w:szCs w:val="26"/>
                <w14:ligatures w14:val="none"/>
              </w:rPr>
              <w:t xml:space="preserve"> delivered through other means have a lower </w:t>
            </w:r>
            <w:r w:rsidR="00D71BB0" w:rsidRPr="002359F9">
              <w:rPr>
                <w:rFonts w:ascii="Garamond" w:eastAsia="Times New Roman" w:hAnsi="Garamond" w:cs="Open Sans"/>
                <w:color w:val="333333"/>
                <w:kern w:val="0"/>
                <w:sz w:val="26"/>
                <w:szCs w:val="26"/>
                <w14:ligatures w14:val="none"/>
              </w:rPr>
              <w:lastRenderedPageBreak/>
              <w:t xml:space="preserve">tax rate </w:t>
            </w:r>
            <w:r w:rsidR="00803E19">
              <w:rPr>
                <w:rFonts w:ascii="Garamond" w:eastAsia="Times New Roman" w:hAnsi="Garamond" w:cs="Open Sans"/>
                <w:color w:val="333333"/>
                <w:kern w:val="0"/>
                <w:sz w:val="26"/>
                <w:szCs w:val="26"/>
                <w14:ligatures w14:val="none"/>
              </w:rPr>
              <w:t xml:space="preserve">classification </w:t>
            </w:r>
            <w:r w:rsidR="00D71BB0" w:rsidRPr="002359F9">
              <w:rPr>
                <w:rFonts w:ascii="Garamond" w:eastAsia="Times New Roman" w:hAnsi="Garamond" w:cs="Open Sans"/>
                <w:color w:val="333333"/>
                <w:kern w:val="0"/>
                <w:sz w:val="26"/>
                <w:szCs w:val="26"/>
                <w14:ligatures w14:val="none"/>
              </w:rPr>
              <w:t xml:space="preserve">than </w:t>
            </w:r>
            <w:r w:rsidR="0000783C" w:rsidRPr="002359F9">
              <w:rPr>
                <w:rFonts w:ascii="Garamond" w:eastAsia="Times New Roman" w:hAnsi="Garamond" w:cs="Open Sans"/>
                <w:color w:val="333333"/>
                <w:kern w:val="0"/>
                <w:sz w:val="26"/>
                <w:szCs w:val="26"/>
                <w14:ligatures w14:val="none"/>
              </w:rPr>
              <w:t xml:space="preserve">Internet access service providers or online service providers </w:t>
            </w:r>
            <w:r w:rsidR="00D71BB0" w:rsidRPr="002359F9">
              <w:rPr>
                <w:rFonts w:ascii="Garamond" w:eastAsia="Times New Roman" w:hAnsi="Garamond" w:cs="Open Sans"/>
                <w:color w:val="333333"/>
                <w:kern w:val="0"/>
                <w:sz w:val="26"/>
                <w:szCs w:val="26"/>
                <w14:ligatures w14:val="none"/>
              </w:rPr>
              <w:t>involved in electronic commerce?</w:t>
            </w:r>
          </w:p>
        </w:tc>
        <w:tc>
          <w:tcPr>
            <w:tcW w:w="3307" w:type="dxa"/>
          </w:tcPr>
          <w:p w14:paraId="4A0E6753" w14:textId="77777777" w:rsidR="002D1F93" w:rsidRPr="002359F9" w:rsidRDefault="002D1F93" w:rsidP="002D1F93">
            <w:pPr>
              <w:numPr>
                <w:ilvl w:val="0"/>
                <w:numId w:val="7"/>
              </w:numPr>
              <w:contextualSpacing/>
              <w:rPr>
                <w:rFonts w:ascii="Garamond" w:hAnsi="Garamond"/>
                <w:sz w:val="26"/>
                <w:szCs w:val="26"/>
              </w:rPr>
            </w:pPr>
            <w:r w:rsidRPr="002359F9">
              <w:rPr>
                <w:rFonts w:ascii="Garamond" w:hAnsi="Garamond"/>
                <w:sz w:val="26"/>
                <w:szCs w:val="26"/>
              </w:rPr>
              <w:lastRenderedPageBreak/>
              <w:t>If yes to any of these questions, proceed to Step 5.</w:t>
            </w:r>
          </w:p>
          <w:p w14:paraId="259EACF0" w14:textId="0B933C92" w:rsidR="002D1F93" w:rsidRPr="002359F9" w:rsidRDefault="002D1F93" w:rsidP="002D1F93">
            <w:pPr>
              <w:numPr>
                <w:ilvl w:val="0"/>
                <w:numId w:val="7"/>
              </w:numPr>
              <w:contextualSpacing/>
              <w:rPr>
                <w:rFonts w:ascii="Garamond" w:hAnsi="Garamond"/>
                <w:sz w:val="26"/>
                <w:szCs w:val="26"/>
              </w:rPr>
            </w:pPr>
            <w:r w:rsidRPr="002359F9">
              <w:rPr>
                <w:rFonts w:ascii="Garamond" w:hAnsi="Garamond"/>
                <w:sz w:val="26"/>
                <w:szCs w:val="26"/>
              </w:rPr>
              <w:t>If no</w:t>
            </w:r>
            <w:r w:rsidR="00AB3EAB" w:rsidRPr="002359F9">
              <w:rPr>
                <w:rFonts w:ascii="Garamond" w:hAnsi="Garamond"/>
                <w:sz w:val="26"/>
                <w:szCs w:val="26"/>
              </w:rPr>
              <w:t xml:space="preserve"> to all questions</w:t>
            </w:r>
            <w:r w:rsidRPr="002359F9">
              <w:rPr>
                <w:rFonts w:ascii="Garamond" w:hAnsi="Garamond"/>
                <w:sz w:val="26"/>
                <w:szCs w:val="26"/>
              </w:rPr>
              <w:t xml:space="preserve">, </w:t>
            </w:r>
            <w:r w:rsidR="00D71BB0" w:rsidRPr="002359F9">
              <w:rPr>
                <w:rFonts w:ascii="Garamond" w:hAnsi="Garamond"/>
                <w:sz w:val="26"/>
                <w:szCs w:val="26"/>
              </w:rPr>
              <w:t>the analysis ends</w:t>
            </w:r>
          </w:p>
        </w:tc>
      </w:tr>
      <w:tr w:rsidR="002D1F93" w:rsidRPr="00D64D78" w14:paraId="67ED42FE" w14:textId="77777777" w:rsidTr="22256E85">
        <w:trPr>
          <w:trHeight w:val="1511"/>
        </w:trPr>
        <w:tc>
          <w:tcPr>
            <w:tcW w:w="800" w:type="dxa"/>
          </w:tcPr>
          <w:p w14:paraId="3BFF471F" w14:textId="6C3714F7" w:rsidR="002D1F93" w:rsidRPr="002359F9" w:rsidRDefault="002D1F93" w:rsidP="002D1F93">
            <w:pPr>
              <w:rPr>
                <w:rFonts w:ascii="Garamond" w:hAnsi="Garamond"/>
                <w:sz w:val="26"/>
                <w:szCs w:val="26"/>
              </w:rPr>
            </w:pPr>
            <w:r w:rsidRPr="002359F9">
              <w:rPr>
                <w:rFonts w:ascii="Garamond" w:hAnsi="Garamond"/>
                <w:sz w:val="26"/>
                <w:szCs w:val="26"/>
              </w:rPr>
              <w:t>5</w:t>
            </w:r>
          </w:p>
        </w:tc>
        <w:tc>
          <w:tcPr>
            <w:tcW w:w="5192" w:type="dxa"/>
          </w:tcPr>
          <w:p w14:paraId="4B5851D1" w14:textId="7D03D0A3" w:rsidR="002D1F93" w:rsidRPr="002359F9" w:rsidRDefault="72D4933B" w:rsidP="002D1F93">
            <w:pPr>
              <w:rPr>
                <w:rFonts w:ascii="Garamond" w:hAnsi="Garamond"/>
                <w:sz w:val="26"/>
                <w:szCs w:val="26"/>
              </w:rPr>
            </w:pPr>
            <w:r w:rsidRPr="22256E85">
              <w:rPr>
                <w:rFonts w:ascii="Garamond" w:hAnsi="Garamond"/>
                <w:sz w:val="26"/>
                <w:szCs w:val="26"/>
              </w:rPr>
              <w:t>There may be a</w:t>
            </w:r>
            <w:r w:rsidR="63DB2D30" w:rsidRPr="22256E85">
              <w:rPr>
                <w:rFonts w:ascii="Garamond" w:hAnsi="Garamond"/>
                <w:sz w:val="26"/>
                <w:szCs w:val="26"/>
              </w:rPr>
              <w:t>n ITFA</w:t>
            </w:r>
            <w:r w:rsidRPr="22256E85">
              <w:rPr>
                <w:rFonts w:ascii="Garamond" w:hAnsi="Garamond"/>
                <w:sz w:val="26"/>
                <w:szCs w:val="26"/>
              </w:rPr>
              <w:t xml:space="preserve"> discrimination risk.</w:t>
            </w:r>
          </w:p>
        </w:tc>
        <w:tc>
          <w:tcPr>
            <w:tcW w:w="3307" w:type="dxa"/>
          </w:tcPr>
          <w:p w14:paraId="5548E7C4" w14:textId="22F55E58" w:rsidR="002D1F93" w:rsidRDefault="00803E19" w:rsidP="00D71BB0">
            <w:pPr>
              <w:pStyle w:val="xmsonormal"/>
              <w:shd w:val="clear" w:color="auto" w:fill="FFFFFF"/>
              <w:spacing w:before="0" w:beforeAutospacing="0" w:after="0" w:afterAutospacing="0"/>
              <w:rPr>
                <w:rFonts w:ascii="Garamond" w:hAnsi="Garamond"/>
                <w:sz w:val="26"/>
                <w:szCs w:val="26"/>
              </w:rPr>
            </w:pPr>
            <w:r>
              <w:rPr>
                <w:rFonts w:ascii="Garamond" w:hAnsi="Garamond"/>
                <w:sz w:val="26"/>
                <w:szCs w:val="26"/>
              </w:rPr>
              <w:t>Re-evaluat</w:t>
            </w:r>
            <w:r w:rsidR="00631C15">
              <w:rPr>
                <w:rFonts w:ascii="Garamond" w:hAnsi="Garamond"/>
                <w:sz w:val="26"/>
                <w:szCs w:val="26"/>
              </w:rPr>
              <w:t>e</w:t>
            </w:r>
            <w:r>
              <w:rPr>
                <w:rFonts w:ascii="Garamond" w:hAnsi="Garamond"/>
                <w:sz w:val="26"/>
                <w:szCs w:val="26"/>
              </w:rPr>
              <w:t xml:space="preserve"> and confirm there are </w:t>
            </w:r>
            <w:r w:rsidR="00D71BB0" w:rsidRPr="002359F9">
              <w:rPr>
                <w:rFonts w:ascii="Garamond" w:hAnsi="Garamond"/>
                <w:sz w:val="26"/>
                <w:szCs w:val="26"/>
              </w:rPr>
              <w:t>similar</w:t>
            </w:r>
            <w:r w:rsidR="002264C7" w:rsidRPr="002359F9">
              <w:rPr>
                <w:rFonts w:ascii="Garamond" w:hAnsi="Garamond"/>
                <w:sz w:val="26"/>
                <w:szCs w:val="26"/>
              </w:rPr>
              <w:t xml:space="preserve"> product</w:t>
            </w:r>
            <w:r w:rsidR="00706173" w:rsidRPr="002359F9">
              <w:rPr>
                <w:rFonts w:ascii="Garamond" w:hAnsi="Garamond"/>
                <w:sz w:val="26"/>
                <w:szCs w:val="26"/>
              </w:rPr>
              <w:t>s</w:t>
            </w:r>
            <w:r w:rsidR="002264C7" w:rsidRPr="002359F9">
              <w:rPr>
                <w:rFonts w:ascii="Garamond" w:hAnsi="Garamond"/>
                <w:sz w:val="26"/>
                <w:szCs w:val="26"/>
              </w:rPr>
              <w:t xml:space="preserve"> </w:t>
            </w:r>
            <w:r w:rsidR="00706173" w:rsidRPr="002359F9">
              <w:rPr>
                <w:rFonts w:ascii="Garamond" w:hAnsi="Garamond"/>
                <w:sz w:val="26"/>
                <w:szCs w:val="26"/>
              </w:rPr>
              <w:t>with disparate treatment.</w:t>
            </w:r>
          </w:p>
          <w:p w14:paraId="3E2FF8CE" w14:textId="77777777" w:rsidR="009E329A" w:rsidRDefault="009E329A" w:rsidP="00D71BB0">
            <w:pPr>
              <w:pStyle w:val="xmsonormal"/>
              <w:shd w:val="clear" w:color="auto" w:fill="FFFFFF"/>
              <w:spacing w:before="0" w:beforeAutospacing="0" w:after="0" w:afterAutospacing="0"/>
              <w:rPr>
                <w:rFonts w:ascii="Garamond" w:hAnsi="Garamond"/>
                <w:sz w:val="26"/>
                <w:szCs w:val="26"/>
              </w:rPr>
            </w:pPr>
          </w:p>
          <w:p w14:paraId="56968806" w14:textId="61F7DFB4" w:rsidR="009E329A" w:rsidRPr="002359F9" w:rsidRDefault="009E329A" w:rsidP="00723029">
            <w:pPr>
              <w:pStyle w:val="xmsonormal"/>
              <w:shd w:val="clear" w:color="auto" w:fill="FFFFFF"/>
              <w:spacing w:before="0" w:beforeAutospacing="0" w:after="0" w:afterAutospacing="0"/>
              <w:rPr>
                <w:rFonts w:ascii="Garamond" w:hAnsi="Garamond"/>
                <w:sz w:val="26"/>
                <w:szCs w:val="26"/>
              </w:rPr>
            </w:pPr>
          </w:p>
        </w:tc>
      </w:tr>
    </w:tbl>
    <w:p w14:paraId="13285821" w14:textId="54215D2E" w:rsidR="0015333B" w:rsidRDefault="0015333B" w:rsidP="007742D2">
      <w:pPr>
        <w:spacing w:after="0" w:line="240" w:lineRule="auto"/>
      </w:pPr>
    </w:p>
    <w:p w14:paraId="5CE41124" w14:textId="2F3EE70A" w:rsidR="00A70C32" w:rsidRPr="00930F0A" w:rsidRDefault="00F1729A" w:rsidP="00A04EF4">
      <w:pPr>
        <w:pStyle w:val="Heading2"/>
        <w:spacing w:before="0" w:after="160"/>
        <w:rPr>
          <w:rFonts w:ascii="Garamond" w:hAnsi="Garamond"/>
        </w:rPr>
      </w:pPr>
      <w:r w:rsidRPr="00F1729A">
        <w:rPr>
          <w:rFonts w:ascii="Garamond" w:hAnsi="Garamond"/>
        </w:rPr>
        <w:t xml:space="preserve">B. </w:t>
      </w:r>
      <w:r w:rsidR="00A70C32" w:rsidRPr="00F1729A">
        <w:rPr>
          <w:rFonts w:ascii="Garamond" w:hAnsi="Garamond"/>
        </w:rPr>
        <w:t xml:space="preserve">ITFA Prohibits Taxes on </w:t>
      </w:r>
      <w:r w:rsidR="00A95531">
        <w:rPr>
          <w:rFonts w:ascii="Garamond" w:hAnsi="Garamond"/>
        </w:rPr>
        <w:t>“</w:t>
      </w:r>
      <w:r w:rsidR="00A70C32" w:rsidRPr="00F1729A">
        <w:rPr>
          <w:rFonts w:ascii="Garamond" w:hAnsi="Garamond"/>
        </w:rPr>
        <w:t>Internet Access,</w:t>
      </w:r>
      <w:r w:rsidR="00A95531">
        <w:rPr>
          <w:rFonts w:ascii="Garamond" w:hAnsi="Garamond"/>
        </w:rPr>
        <w:t>”</w:t>
      </w:r>
      <w:r w:rsidR="00A70C32" w:rsidRPr="00F1729A">
        <w:rPr>
          <w:rFonts w:ascii="Garamond" w:hAnsi="Garamond"/>
        </w:rPr>
        <w:t xml:space="preserve"> as Defined</w:t>
      </w:r>
    </w:p>
    <w:p w14:paraId="58007F8B" w14:textId="3EF1D739" w:rsidR="000C75D6" w:rsidRDefault="00A70C32" w:rsidP="00A04EF4">
      <w:pPr>
        <w:rPr>
          <w:rFonts w:ascii="Garamond" w:hAnsi="Garamond"/>
          <w:sz w:val="26"/>
          <w:szCs w:val="26"/>
        </w:rPr>
      </w:pPr>
      <w:r w:rsidRPr="00930F0A">
        <w:rPr>
          <w:rFonts w:ascii="Garamond" w:hAnsi="Garamond"/>
          <w:sz w:val="26"/>
          <w:szCs w:val="26"/>
        </w:rPr>
        <w:t>ITFA prohibit</w:t>
      </w:r>
      <w:r w:rsidR="008230AC">
        <w:rPr>
          <w:rFonts w:ascii="Garamond" w:hAnsi="Garamond"/>
          <w:sz w:val="26"/>
          <w:szCs w:val="26"/>
        </w:rPr>
        <w:t>s</w:t>
      </w:r>
      <w:r w:rsidRPr="00930F0A">
        <w:rPr>
          <w:rFonts w:ascii="Garamond" w:hAnsi="Garamond"/>
          <w:sz w:val="26"/>
          <w:szCs w:val="26"/>
        </w:rPr>
        <w:t xml:space="preserve"> taxes on Internet access</w:t>
      </w:r>
      <w:r w:rsidR="009A66DF">
        <w:rPr>
          <w:rFonts w:ascii="Garamond" w:hAnsi="Garamond"/>
          <w:sz w:val="26"/>
          <w:szCs w:val="26"/>
        </w:rPr>
        <w:t xml:space="preserve"> whether impose</w:t>
      </w:r>
      <w:r w:rsidR="00FD1EA9">
        <w:rPr>
          <w:rFonts w:ascii="Garamond" w:hAnsi="Garamond"/>
          <w:sz w:val="26"/>
          <w:szCs w:val="26"/>
        </w:rPr>
        <w:t>d</w:t>
      </w:r>
      <w:r w:rsidR="009A66DF">
        <w:rPr>
          <w:rFonts w:ascii="Garamond" w:hAnsi="Garamond"/>
          <w:sz w:val="26"/>
          <w:szCs w:val="26"/>
        </w:rPr>
        <w:t xml:space="preserve"> on </w:t>
      </w:r>
      <w:r w:rsidR="008438D9">
        <w:rPr>
          <w:rFonts w:ascii="Garamond" w:hAnsi="Garamond"/>
          <w:sz w:val="26"/>
          <w:szCs w:val="26"/>
        </w:rPr>
        <w:t>a</w:t>
      </w:r>
      <w:r w:rsidR="009A66DF">
        <w:rPr>
          <w:rFonts w:ascii="Garamond" w:hAnsi="Garamond"/>
          <w:sz w:val="26"/>
          <w:szCs w:val="26"/>
        </w:rPr>
        <w:t xml:space="preserve"> service provider or </w:t>
      </w:r>
      <w:r w:rsidR="008438D9">
        <w:rPr>
          <w:rFonts w:ascii="Garamond" w:hAnsi="Garamond"/>
          <w:sz w:val="26"/>
          <w:szCs w:val="26"/>
        </w:rPr>
        <w:t>a</w:t>
      </w:r>
      <w:r w:rsidR="009A66DF">
        <w:rPr>
          <w:rFonts w:ascii="Garamond" w:hAnsi="Garamond"/>
          <w:sz w:val="26"/>
          <w:szCs w:val="26"/>
        </w:rPr>
        <w:t xml:space="preserve"> buyer</w:t>
      </w:r>
      <w:r w:rsidR="00816AC0">
        <w:rPr>
          <w:rFonts w:ascii="Garamond" w:hAnsi="Garamond"/>
          <w:sz w:val="26"/>
          <w:szCs w:val="26"/>
        </w:rPr>
        <w:t xml:space="preserve"> and regardless of the terminology used</w:t>
      </w:r>
      <w:r w:rsidRPr="00930F0A">
        <w:rPr>
          <w:rFonts w:ascii="Garamond" w:hAnsi="Garamond"/>
          <w:sz w:val="26"/>
          <w:szCs w:val="26"/>
        </w:rPr>
        <w:t>.</w:t>
      </w:r>
      <w:r w:rsidR="008660C3">
        <w:rPr>
          <w:rStyle w:val="FootnoteReference"/>
          <w:rFonts w:ascii="Garamond" w:hAnsi="Garamond"/>
          <w:sz w:val="26"/>
          <w:szCs w:val="26"/>
        </w:rPr>
        <w:footnoteReference w:id="21"/>
      </w:r>
      <w:r w:rsidRPr="00930F0A">
        <w:rPr>
          <w:rFonts w:ascii="Garamond" w:hAnsi="Garamond"/>
          <w:sz w:val="26"/>
          <w:szCs w:val="26"/>
        </w:rPr>
        <w:t xml:space="preserve"> </w:t>
      </w:r>
      <w:r w:rsidR="00C13C78">
        <w:rPr>
          <w:rFonts w:ascii="Garamond" w:hAnsi="Garamond"/>
          <w:sz w:val="26"/>
          <w:szCs w:val="26"/>
        </w:rPr>
        <w:t>For purpose of this prohibition, a</w:t>
      </w:r>
      <w:r w:rsidR="00B84674">
        <w:rPr>
          <w:rFonts w:ascii="Garamond" w:hAnsi="Garamond"/>
          <w:sz w:val="26"/>
          <w:szCs w:val="26"/>
        </w:rPr>
        <w:t xml:space="preserve"> </w:t>
      </w:r>
      <w:r w:rsidR="000D584C" w:rsidRPr="000D584C">
        <w:rPr>
          <w:rFonts w:ascii="Garamond" w:hAnsi="Garamond"/>
          <w:sz w:val="26"/>
          <w:szCs w:val="26"/>
        </w:rPr>
        <w:t>tax on Internet access</w:t>
      </w:r>
      <w:r w:rsidR="00B84674">
        <w:rPr>
          <w:rFonts w:ascii="Garamond" w:hAnsi="Garamond"/>
          <w:sz w:val="26"/>
          <w:szCs w:val="26"/>
        </w:rPr>
        <w:t xml:space="preserve"> </w:t>
      </w:r>
      <w:r w:rsidR="000D584C" w:rsidRPr="000D584C">
        <w:rPr>
          <w:rFonts w:ascii="Garamond" w:hAnsi="Garamond"/>
          <w:sz w:val="26"/>
          <w:szCs w:val="26"/>
        </w:rPr>
        <w:t>does not include a tax levied upon or measured by net income, capital stock, net worth, or property value</w:t>
      </w:r>
      <w:r w:rsidR="00B84674">
        <w:rPr>
          <w:rFonts w:ascii="Garamond" w:hAnsi="Garamond"/>
          <w:sz w:val="26"/>
          <w:szCs w:val="26"/>
        </w:rPr>
        <w:t xml:space="preserve"> and </w:t>
      </w:r>
      <w:r w:rsidR="00C13C78">
        <w:rPr>
          <w:rFonts w:ascii="Garamond" w:hAnsi="Garamond"/>
          <w:sz w:val="26"/>
          <w:szCs w:val="26"/>
        </w:rPr>
        <w:t xml:space="preserve">there are several other </w:t>
      </w:r>
      <w:r w:rsidR="00412B78">
        <w:rPr>
          <w:rFonts w:ascii="Garamond" w:hAnsi="Garamond"/>
          <w:sz w:val="26"/>
          <w:szCs w:val="26"/>
        </w:rPr>
        <w:t xml:space="preserve">specific </w:t>
      </w:r>
      <w:r w:rsidR="00C13C78">
        <w:rPr>
          <w:rFonts w:ascii="Garamond" w:hAnsi="Garamond"/>
          <w:sz w:val="26"/>
          <w:szCs w:val="26"/>
        </w:rPr>
        <w:t>exceptions that may apply</w:t>
      </w:r>
      <w:r w:rsidR="000D584C" w:rsidRPr="000D584C">
        <w:rPr>
          <w:rFonts w:ascii="Garamond" w:hAnsi="Garamond"/>
          <w:sz w:val="26"/>
          <w:szCs w:val="26"/>
        </w:rPr>
        <w:t>.</w:t>
      </w:r>
      <w:r w:rsidR="008660C3">
        <w:rPr>
          <w:rStyle w:val="FootnoteReference"/>
          <w:rFonts w:ascii="Garamond" w:hAnsi="Garamond"/>
          <w:sz w:val="26"/>
          <w:szCs w:val="26"/>
        </w:rPr>
        <w:footnoteReference w:id="22"/>
      </w:r>
      <w:r w:rsidR="00B84674">
        <w:rPr>
          <w:rFonts w:ascii="Garamond" w:hAnsi="Garamond"/>
          <w:sz w:val="26"/>
          <w:szCs w:val="26"/>
        </w:rPr>
        <w:t xml:space="preserve"> </w:t>
      </w:r>
      <w:r w:rsidR="00816AC0">
        <w:rPr>
          <w:rFonts w:ascii="Garamond" w:hAnsi="Garamond"/>
          <w:sz w:val="26"/>
          <w:szCs w:val="26"/>
        </w:rPr>
        <w:t>T</w:t>
      </w:r>
      <w:r w:rsidRPr="00930F0A">
        <w:rPr>
          <w:rFonts w:ascii="Garamond" w:hAnsi="Garamond"/>
          <w:sz w:val="26"/>
          <w:szCs w:val="26"/>
        </w:rPr>
        <w:t>he definition of Internet access is complicated</w:t>
      </w:r>
      <w:r w:rsidR="005C521E">
        <w:rPr>
          <w:rFonts w:ascii="Garamond" w:hAnsi="Garamond"/>
          <w:sz w:val="26"/>
          <w:szCs w:val="26"/>
        </w:rPr>
        <w:t xml:space="preserve">, expansive, and </w:t>
      </w:r>
      <w:r w:rsidR="00FC7444">
        <w:rPr>
          <w:rFonts w:ascii="Garamond" w:hAnsi="Garamond"/>
          <w:sz w:val="26"/>
          <w:szCs w:val="26"/>
        </w:rPr>
        <w:t xml:space="preserve">potentially </w:t>
      </w:r>
      <w:r w:rsidR="00A95531">
        <w:rPr>
          <w:rFonts w:ascii="Garamond" w:hAnsi="Garamond"/>
          <w:sz w:val="26"/>
          <w:szCs w:val="26"/>
        </w:rPr>
        <w:t>covers</w:t>
      </w:r>
      <w:r w:rsidR="004667C4">
        <w:rPr>
          <w:rFonts w:ascii="Garamond" w:hAnsi="Garamond"/>
          <w:sz w:val="26"/>
          <w:szCs w:val="26"/>
        </w:rPr>
        <w:t xml:space="preserve"> a number</w:t>
      </w:r>
      <w:r w:rsidR="005C521E" w:rsidRPr="005C521E">
        <w:rPr>
          <w:rFonts w:ascii="Garamond" w:hAnsi="Garamond"/>
          <w:sz w:val="26"/>
          <w:szCs w:val="26"/>
        </w:rPr>
        <w:t xml:space="preserve"> </w:t>
      </w:r>
      <w:r w:rsidR="004667C4">
        <w:rPr>
          <w:rFonts w:ascii="Garamond" w:hAnsi="Garamond"/>
          <w:sz w:val="26"/>
          <w:szCs w:val="26"/>
        </w:rPr>
        <w:t xml:space="preserve">of </w:t>
      </w:r>
      <w:r w:rsidR="005C521E" w:rsidRPr="005C521E">
        <w:rPr>
          <w:rFonts w:ascii="Garamond" w:hAnsi="Garamond"/>
          <w:sz w:val="26"/>
          <w:szCs w:val="26"/>
        </w:rPr>
        <w:t>things</w:t>
      </w:r>
      <w:r w:rsidRPr="005C521E">
        <w:rPr>
          <w:rFonts w:ascii="Garamond" w:hAnsi="Garamond"/>
          <w:sz w:val="26"/>
          <w:szCs w:val="26"/>
        </w:rPr>
        <w:t>.</w:t>
      </w:r>
      <w:r w:rsidRPr="00930F0A">
        <w:rPr>
          <w:rFonts w:ascii="Garamond" w:hAnsi="Garamond"/>
          <w:sz w:val="26"/>
          <w:szCs w:val="26"/>
        </w:rPr>
        <w:t xml:space="preserve"> </w:t>
      </w:r>
    </w:p>
    <w:p w14:paraId="5DC26970" w14:textId="642EA6C1" w:rsidR="004F0E6A" w:rsidRDefault="003241D7" w:rsidP="00A04EF4">
      <w:pPr>
        <w:rPr>
          <w:rFonts w:ascii="Garamond" w:hAnsi="Garamond"/>
          <w:sz w:val="26"/>
          <w:szCs w:val="26"/>
        </w:rPr>
      </w:pPr>
      <w:r>
        <w:rPr>
          <w:rFonts w:ascii="Garamond" w:hAnsi="Garamond"/>
          <w:sz w:val="26"/>
          <w:szCs w:val="26"/>
        </w:rPr>
        <w:t xml:space="preserve">Under </w:t>
      </w:r>
      <w:r w:rsidR="00816AC0">
        <w:rPr>
          <w:rFonts w:ascii="Garamond" w:hAnsi="Garamond"/>
          <w:sz w:val="26"/>
          <w:szCs w:val="26"/>
        </w:rPr>
        <w:t xml:space="preserve">the </w:t>
      </w:r>
      <w:r>
        <w:rPr>
          <w:rFonts w:ascii="Garamond" w:hAnsi="Garamond"/>
          <w:sz w:val="26"/>
          <w:szCs w:val="26"/>
        </w:rPr>
        <w:t>ITFA</w:t>
      </w:r>
      <w:r w:rsidR="004F0E6A">
        <w:rPr>
          <w:rFonts w:ascii="Garamond" w:hAnsi="Garamond"/>
          <w:sz w:val="26"/>
          <w:szCs w:val="26"/>
        </w:rPr>
        <w:t>, the Internet is</w:t>
      </w:r>
      <w:r w:rsidR="004F0E6A" w:rsidRPr="004F0E6A">
        <w:rPr>
          <w:rFonts w:ascii="Garamond" w:hAnsi="Garamond"/>
          <w:sz w:val="26"/>
          <w:szCs w:val="26"/>
        </w:rPr>
        <w:t xml:space="preserve"> </w:t>
      </w:r>
      <w:r w:rsidR="004F0E6A">
        <w:rPr>
          <w:rFonts w:ascii="Garamond" w:hAnsi="Garamond"/>
          <w:sz w:val="26"/>
          <w:szCs w:val="26"/>
        </w:rPr>
        <w:t>“</w:t>
      </w:r>
      <w:r w:rsidR="004F0E6A" w:rsidRPr="004F0E6A">
        <w:rPr>
          <w:rFonts w:ascii="Garamond" w:hAnsi="Garamond"/>
          <w:sz w:val="26"/>
          <w:szCs w:val="26"/>
        </w:rPr>
        <w:t>collectively the myriad of computer and</w:t>
      </w:r>
      <w:r w:rsidR="00EB6B6C">
        <w:rPr>
          <w:rFonts w:ascii="Garamond" w:hAnsi="Garamond"/>
          <w:sz w:val="26"/>
          <w:szCs w:val="26"/>
        </w:rPr>
        <w:t xml:space="preserve"> telecommunications</w:t>
      </w:r>
      <w:r w:rsidR="00E32EF0">
        <w:rPr>
          <w:rStyle w:val="FootnoteReference"/>
          <w:rFonts w:ascii="Garamond" w:hAnsi="Garamond"/>
          <w:sz w:val="26"/>
          <w:szCs w:val="26"/>
        </w:rPr>
        <w:footnoteReference w:id="23"/>
      </w:r>
      <w:r w:rsidR="004F0E6A" w:rsidRPr="004F0E6A">
        <w:rPr>
          <w:rFonts w:ascii="Garamond" w:hAnsi="Garamond"/>
          <w:sz w:val="26"/>
          <w:szCs w:val="26"/>
        </w:rPr>
        <w:t> facilities, including equipment and operating software, which comprise the interconnected world-wide network of networks that employ the Transmission Control Protocol/Internet Protocol, or any predecessor or successor protocols to such protocol, to communicate information of all kinds by wire or radio.</w:t>
      </w:r>
      <w:r w:rsidR="004F0E6A">
        <w:rPr>
          <w:rFonts w:ascii="Garamond" w:hAnsi="Garamond"/>
          <w:sz w:val="26"/>
          <w:szCs w:val="26"/>
        </w:rPr>
        <w:t>”</w:t>
      </w:r>
      <w:r w:rsidR="00F70C71">
        <w:rPr>
          <w:rStyle w:val="FootnoteReference"/>
          <w:rFonts w:ascii="Garamond" w:hAnsi="Garamond"/>
          <w:sz w:val="26"/>
          <w:szCs w:val="26"/>
        </w:rPr>
        <w:footnoteReference w:id="24"/>
      </w:r>
      <w:r w:rsidR="004F0E6A">
        <w:rPr>
          <w:rFonts w:ascii="Garamond" w:hAnsi="Garamond"/>
          <w:sz w:val="26"/>
          <w:szCs w:val="26"/>
        </w:rPr>
        <w:t xml:space="preserve"> </w:t>
      </w:r>
      <w:r w:rsidR="00E47D93">
        <w:rPr>
          <w:rFonts w:ascii="Garamond" w:hAnsi="Garamond"/>
          <w:sz w:val="26"/>
          <w:szCs w:val="26"/>
        </w:rPr>
        <w:t>This definition is broad, but presumably does not capture private networks.</w:t>
      </w:r>
    </w:p>
    <w:p w14:paraId="15FFB5C6" w14:textId="6CC0184C" w:rsidR="00154376" w:rsidRDefault="008B3B03" w:rsidP="00A04EF4">
      <w:pPr>
        <w:rPr>
          <w:rFonts w:ascii="Garamond" w:hAnsi="Garamond"/>
          <w:sz w:val="26"/>
          <w:szCs w:val="26"/>
        </w:rPr>
      </w:pPr>
      <w:r>
        <w:rPr>
          <w:rFonts w:ascii="Garamond" w:hAnsi="Garamond"/>
          <w:sz w:val="26"/>
          <w:szCs w:val="26"/>
        </w:rPr>
        <w:t>With this</w:t>
      </w:r>
      <w:r w:rsidR="00DC69C9">
        <w:rPr>
          <w:rFonts w:ascii="Garamond" w:hAnsi="Garamond"/>
          <w:sz w:val="26"/>
          <w:szCs w:val="26"/>
        </w:rPr>
        <w:t xml:space="preserve"> in mind</w:t>
      </w:r>
      <w:r w:rsidR="00B055C2">
        <w:rPr>
          <w:rFonts w:ascii="Garamond" w:hAnsi="Garamond"/>
          <w:sz w:val="26"/>
          <w:szCs w:val="26"/>
        </w:rPr>
        <w:t xml:space="preserve"> and paraphrased</w:t>
      </w:r>
      <w:r w:rsidR="00DC69C9">
        <w:rPr>
          <w:rFonts w:ascii="Garamond" w:hAnsi="Garamond"/>
          <w:sz w:val="26"/>
          <w:szCs w:val="26"/>
        </w:rPr>
        <w:t xml:space="preserve">, </w:t>
      </w:r>
      <w:r w:rsidR="00637346">
        <w:rPr>
          <w:rFonts w:ascii="Garamond" w:hAnsi="Garamond"/>
          <w:sz w:val="26"/>
          <w:szCs w:val="26"/>
        </w:rPr>
        <w:t>“</w:t>
      </w:r>
      <w:r w:rsidR="001950A5">
        <w:rPr>
          <w:rFonts w:ascii="Garamond" w:hAnsi="Garamond"/>
          <w:sz w:val="26"/>
          <w:szCs w:val="26"/>
        </w:rPr>
        <w:t>Internet access</w:t>
      </w:r>
      <w:r w:rsidR="00637346">
        <w:rPr>
          <w:rFonts w:ascii="Garamond" w:hAnsi="Garamond"/>
          <w:sz w:val="26"/>
          <w:szCs w:val="26"/>
        </w:rPr>
        <w:t>”</w:t>
      </w:r>
      <w:r w:rsidR="001950A5">
        <w:rPr>
          <w:rFonts w:ascii="Garamond" w:hAnsi="Garamond"/>
          <w:sz w:val="26"/>
          <w:szCs w:val="26"/>
        </w:rPr>
        <w:t xml:space="preserve"> is</w:t>
      </w:r>
      <w:r w:rsidR="00687715">
        <w:rPr>
          <w:rFonts w:ascii="Garamond" w:hAnsi="Garamond"/>
          <w:sz w:val="26"/>
          <w:szCs w:val="26"/>
        </w:rPr>
        <w:t xml:space="preserve"> </w:t>
      </w:r>
    </w:p>
    <w:p w14:paraId="08467DE8" w14:textId="33BD3D90" w:rsidR="00E570B3" w:rsidRPr="008F4FAE" w:rsidRDefault="003E577A" w:rsidP="00A04EF4">
      <w:pPr>
        <w:pStyle w:val="ListParagraph"/>
        <w:numPr>
          <w:ilvl w:val="0"/>
          <w:numId w:val="11"/>
        </w:numPr>
        <w:rPr>
          <w:rFonts w:ascii="Garamond" w:hAnsi="Garamond"/>
          <w:sz w:val="26"/>
          <w:szCs w:val="26"/>
        </w:rPr>
      </w:pPr>
      <w:r>
        <w:rPr>
          <w:rFonts w:ascii="Garamond" w:hAnsi="Garamond"/>
          <w:sz w:val="26"/>
          <w:szCs w:val="26"/>
        </w:rPr>
        <w:t>A</w:t>
      </w:r>
      <w:r w:rsidR="00E83953" w:rsidRPr="00E32EF0">
        <w:rPr>
          <w:rFonts w:ascii="Garamond" w:hAnsi="Garamond"/>
          <w:sz w:val="26"/>
          <w:szCs w:val="26"/>
        </w:rPr>
        <w:t xml:space="preserve"> service</w:t>
      </w:r>
      <w:r>
        <w:rPr>
          <w:rFonts w:ascii="Garamond" w:hAnsi="Garamond"/>
          <w:sz w:val="26"/>
          <w:szCs w:val="26"/>
        </w:rPr>
        <w:t xml:space="preserve"> (Internet </w:t>
      </w:r>
      <w:r w:rsidR="001E6E34">
        <w:rPr>
          <w:rFonts w:ascii="Garamond" w:hAnsi="Garamond"/>
          <w:sz w:val="26"/>
          <w:szCs w:val="26"/>
        </w:rPr>
        <w:t xml:space="preserve">Access </w:t>
      </w:r>
      <w:r>
        <w:rPr>
          <w:rFonts w:ascii="Garamond" w:hAnsi="Garamond"/>
          <w:sz w:val="26"/>
          <w:szCs w:val="26"/>
        </w:rPr>
        <w:t>Service)</w:t>
      </w:r>
      <w:r w:rsidR="00E83953" w:rsidRPr="008F4FAE">
        <w:rPr>
          <w:rFonts w:ascii="Garamond" w:hAnsi="Garamond"/>
          <w:sz w:val="26"/>
          <w:szCs w:val="26"/>
        </w:rPr>
        <w:t xml:space="preserve"> that enables users to connect to the Internet to access content, information, or other services offered over the Internet</w:t>
      </w:r>
      <w:r w:rsidR="00E570B3">
        <w:rPr>
          <w:rFonts w:ascii="Garamond" w:hAnsi="Garamond"/>
          <w:sz w:val="26"/>
          <w:szCs w:val="26"/>
        </w:rPr>
        <w:t xml:space="preserve"> </w:t>
      </w:r>
      <w:r w:rsidR="009954EF">
        <w:rPr>
          <w:rFonts w:ascii="Garamond" w:hAnsi="Garamond"/>
          <w:sz w:val="26"/>
          <w:szCs w:val="26"/>
        </w:rPr>
        <w:t>(Inte</w:t>
      </w:r>
      <w:r w:rsidR="0074220F">
        <w:rPr>
          <w:rFonts w:ascii="Garamond" w:hAnsi="Garamond"/>
          <w:sz w:val="26"/>
          <w:szCs w:val="26"/>
        </w:rPr>
        <w:t>rnet Access Service o</w:t>
      </w:r>
      <w:r w:rsidR="00B055C2">
        <w:rPr>
          <w:rFonts w:ascii="Garamond" w:hAnsi="Garamond"/>
          <w:sz w:val="26"/>
          <w:szCs w:val="26"/>
        </w:rPr>
        <w:t>r</w:t>
      </w:r>
      <w:r w:rsidR="0074220F">
        <w:rPr>
          <w:rFonts w:ascii="Garamond" w:hAnsi="Garamond"/>
          <w:sz w:val="26"/>
          <w:szCs w:val="26"/>
        </w:rPr>
        <w:t xml:space="preserve"> IAS).</w:t>
      </w:r>
    </w:p>
    <w:p w14:paraId="7914048A" w14:textId="501534AF" w:rsidR="00E83953" w:rsidRDefault="001E6E34" w:rsidP="00A04EF4">
      <w:pPr>
        <w:pStyle w:val="ListParagraph"/>
        <w:numPr>
          <w:ilvl w:val="0"/>
          <w:numId w:val="14"/>
        </w:numPr>
        <w:rPr>
          <w:rFonts w:ascii="Garamond" w:hAnsi="Garamond"/>
          <w:sz w:val="26"/>
          <w:szCs w:val="26"/>
        </w:rPr>
      </w:pPr>
      <w:r>
        <w:rPr>
          <w:rFonts w:ascii="Garamond" w:hAnsi="Garamond"/>
          <w:sz w:val="26"/>
          <w:szCs w:val="26"/>
        </w:rPr>
        <w:lastRenderedPageBreak/>
        <w:t>T</w:t>
      </w:r>
      <w:r w:rsidR="00E83953" w:rsidRPr="00E83953">
        <w:rPr>
          <w:rFonts w:ascii="Garamond" w:hAnsi="Garamond"/>
          <w:sz w:val="26"/>
          <w:szCs w:val="26"/>
        </w:rPr>
        <w:t>he purchase, use or sale of telecommunications by a provider of a</w:t>
      </w:r>
      <w:r w:rsidR="003E577A">
        <w:rPr>
          <w:rFonts w:ascii="Garamond" w:hAnsi="Garamond"/>
          <w:sz w:val="26"/>
          <w:szCs w:val="26"/>
        </w:rPr>
        <w:t xml:space="preserve">n </w:t>
      </w:r>
      <w:r w:rsidR="0074220F">
        <w:rPr>
          <w:rFonts w:ascii="Garamond" w:hAnsi="Garamond"/>
          <w:sz w:val="26"/>
          <w:szCs w:val="26"/>
        </w:rPr>
        <w:t>IAS</w:t>
      </w:r>
      <w:r>
        <w:rPr>
          <w:rFonts w:ascii="Garamond" w:hAnsi="Garamond"/>
          <w:sz w:val="26"/>
          <w:szCs w:val="26"/>
        </w:rPr>
        <w:t xml:space="preserve"> </w:t>
      </w:r>
      <w:r w:rsidR="00E83953" w:rsidRPr="00E83953">
        <w:rPr>
          <w:rFonts w:ascii="Garamond" w:hAnsi="Garamond"/>
          <w:sz w:val="26"/>
          <w:szCs w:val="26"/>
        </w:rPr>
        <w:t xml:space="preserve">to the extent </w:t>
      </w:r>
      <w:r>
        <w:rPr>
          <w:rFonts w:ascii="Garamond" w:hAnsi="Garamond"/>
          <w:sz w:val="26"/>
          <w:szCs w:val="26"/>
        </w:rPr>
        <w:t>these</w:t>
      </w:r>
      <w:r w:rsidR="00E83953" w:rsidRPr="00E83953">
        <w:rPr>
          <w:rFonts w:ascii="Garamond" w:hAnsi="Garamond"/>
          <w:sz w:val="26"/>
          <w:szCs w:val="26"/>
        </w:rPr>
        <w:t xml:space="preserve"> telecommunications are purchased, used or sold either to provide </w:t>
      </w:r>
      <w:r>
        <w:rPr>
          <w:rFonts w:ascii="Garamond" w:hAnsi="Garamond"/>
          <w:sz w:val="26"/>
          <w:szCs w:val="26"/>
        </w:rPr>
        <w:t xml:space="preserve">the </w:t>
      </w:r>
      <w:r w:rsidR="0074220F">
        <w:rPr>
          <w:rFonts w:ascii="Garamond" w:hAnsi="Garamond"/>
          <w:sz w:val="26"/>
          <w:szCs w:val="26"/>
        </w:rPr>
        <w:t>IAS,</w:t>
      </w:r>
      <w:r w:rsidR="00E83953" w:rsidRPr="00E83953">
        <w:rPr>
          <w:rFonts w:ascii="Garamond" w:hAnsi="Garamond"/>
          <w:sz w:val="26"/>
          <w:szCs w:val="26"/>
        </w:rPr>
        <w:t xml:space="preserve"> or to otherwise enable users to access content, information, or other services offered over the Internet.</w:t>
      </w:r>
    </w:p>
    <w:p w14:paraId="58D82EE9" w14:textId="682501F1" w:rsidR="008C419C" w:rsidRPr="00E83953" w:rsidRDefault="001E6E34" w:rsidP="00A04EF4">
      <w:pPr>
        <w:pStyle w:val="ListParagraph"/>
        <w:numPr>
          <w:ilvl w:val="0"/>
          <w:numId w:val="14"/>
        </w:numPr>
        <w:rPr>
          <w:rFonts w:ascii="Garamond" w:hAnsi="Garamond"/>
          <w:sz w:val="26"/>
          <w:szCs w:val="26"/>
        </w:rPr>
      </w:pPr>
      <w:r>
        <w:rPr>
          <w:rFonts w:ascii="Garamond" w:hAnsi="Garamond"/>
          <w:sz w:val="26"/>
          <w:szCs w:val="26"/>
        </w:rPr>
        <w:t>S</w:t>
      </w:r>
      <w:r w:rsidR="00E83953" w:rsidRPr="00E83953">
        <w:rPr>
          <w:rFonts w:ascii="Garamond" w:hAnsi="Garamond"/>
          <w:sz w:val="26"/>
          <w:szCs w:val="26"/>
        </w:rPr>
        <w:t xml:space="preserve">ervices that are incidental to the provision of the </w:t>
      </w:r>
      <w:r>
        <w:rPr>
          <w:rFonts w:ascii="Garamond" w:hAnsi="Garamond"/>
          <w:sz w:val="26"/>
          <w:szCs w:val="26"/>
        </w:rPr>
        <w:t>I</w:t>
      </w:r>
      <w:r w:rsidR="0074220F">
        <w:rPr>
          <w:rFonts w:ascii="Garamond" w:hAnsi="Garamond"/>
          <w:sz w:val="26"/>
          <w:szCs w:val="26"/>
        </w:rPr>
        <w:t>AS</w:t>
      </w:r>
      <w:r w:rsidR="00E83953" w:rsidRPr="00E83953">
        <w:rPr>
          <w:rFonts w:ascii="Garamond" w:hAnsi="Garamond"/>
          <w:sz w:val="26"/>
          <w:szCs w:val="26"/>
        </w:rPr>
        <w:t xml:space="preserve"> when furnished to users as part of </w:t>
      </w:r>
      <w:r w:rsidR="00FE7B5A">
        <w:rPr>
          <w:rFonts w:ascii="Garamond" w:hAnsi="Garamond"/>
          <w:sz w:val="26"/>
          <w:szCs w:val="26"/>
        </w:rPr>
        <w:t xml:space="preserve">the </w:t>
      </w:r>
      <w:r w:rsidR="0074220F">
        <w:rPr>
          <w:rFonts w:ascii="Garamond" w:hAnsi="Garamond"/>
          <w:sz w:val="26"/>
          <w:szCs w:val="26"/>
        </w:rPr>
        <w:t>IAS</w:t>
      </w:r>
      <w:r w:rsidR="00E83953" w:rsidRPr="00E83953">
        <w:rPr>
          <w:rFonts w:ascii="Garamond" w:hAnsi="Garamond"/>
          <w:sz w:val="26"/>
          <w:szCs w:val="26"/>
        </w:rPr>
        <w:t>, such as a home page, electronic mail and instant messaging (including voice- and video-capable electronic mail and instant messaging), video clips, and personal electronic storage capacity</w:t>
      </w:r>
      <w:r w:rsidR="00E83953">
        <w:rPr>
          <w:rFonts w:ascii="Garamond" w:hAnsi="Garamond"/>
          <w:sz w:val="26"/>
          <w:szCs w:val="26"/>
        </w:rPr>
        <w:t>.</w:t>
      </w:r>
    </w:p>
    <w:p w14:paraId="6F8A65EF" w14:textId="0CD61686" w:rsidR="0057752C" w:rsidRDefault="001E6E34" w:rsidP="00A04EF4">
      <w:pPr>
        <w:pStyle w:val="ListParagraph"/>
        <w:numPr>
          <w:ilvl w:val="0"/>
          <w:numId w:val="13"/>
        </w:numPr>
        <w:rPr>
          <w:rFonts w:ascii="Garamond" w:hAnsi="Garamond"/>
          <w:sz w:val="26"/>
          <w:szCs w:val="26"/>
        </w:rPr>
      </w:pPr>
      <w:r w:rsidRPr="008F4FAE">
        <w:rPr>
          <w:rFonts w:ascii="Garamond" w:hAnsi="Garamond"/>
          <w:sz w:val="26"/>
          <w:szCs w:val="26"/>
        </w:rPr>
        <w:t>A</w:t>
      </w:r>
      <w:r w:rsidR="00E83953" w:rsidRPr="008F4FAE">
        <w:rPr>
          <w:rFonts w:ascii="Garamond" w:hAnsi="Garamond"/>
          <w:sz w:val="26"/>
          <w:szCs w:val="26"/>
        </w:rPr>
        <w:t xml:space="preserve"> homepage, electronic mail and instant messaging (including voice- and video-capable electronic mail and instant messaging), video clips, and personal electronic storage capacity, that are provided independently or not packaged with Internet access.</w:t>
      </w:r>
      <w:r w:rsidR="00593A2B">
        <w:rPr>
          <w:rFonts w:ascii="Garamond" w:hAnsi="Garamond"/>
          <w:sz w:val="26"/>
          <w:szCs w:val="26"/>
        </w:rPr>
        <w:t xml:space="preserve"> </w:t>
      </w:r>
      <w:r w:rsidR="00E83953" w:rsidRPr="008F4FAE">
        <w:rPr>
          <w:rFonts w:ascii="Garamond" w:hAnsi="Garamond"/>
          <w:sz w:val="26"/>
          <w:szCs w:val="26"/>
        </w:rPr>
        <w:t>Internet access does not include</w:t>
      </w:r>
      <w:r w:rsidR="00687715" w:rsidRPr="008F4FAE">
        <w:rPr>
          <w:rFonts w:ascii="Garamond" w:hAnsi="Garamond"/>
          <w:sz w:val="26"/>
          <w:szCs w:val="26"/>
        </w:rPr>
        <w:t xml:space="preserve"> </w:t>
      </w:r>
      <w:r w:rsidR="00E83953" w:rsidRPr="008F4FAE">
        <w:rPr>
          <w:rFonts w:ascii="Garamond" w:hAnsi="Garamond"/>
          <w:sz w:val="26"/>
          <w:szCs w:val="26"/>
        </w:rPr>
        <w:t>voice, audio or video programming, or other products and services, other than those specifically included in Internet access, that utilize Internet protocol or any successor protocol and for which there is a charge.</w:t>
      </w:r>
      <w:r w:rsidR="00F70C71">
        <w:rPr>
          <w:rStyle w:val="FootnoteReference"/>
          <w:rFonts w:ascii="Garamond" w:hAnsi="Garamond"/>
          <w:sz w:val="26"/>
          <w:szCs w:val="26"/>
        </w:rPr>
        <w:footnoteReference w:id="25"/>
      </w:r>
    </w:p>
    <w:p w14:paraId="13B28AC6" w14:textId="4D02EC05" w:rsidR="0056134B" w:rsidRPr="008F4FAE" w:rsidRDefault="0056134B" w:rsidP="0056134B">
      <w:pPr>
        <w:rPr>
          <w:rFonts w:ascii="Garamond" w:hAnsi="Garamond"/>
          <w:i/>
          <w:iCs/>
          <w:sz w:val="26"/>
          <w:szCs w:val="26"/>
        </w:rPr>
      </w:pPr>
      <w:r w:rsidRPr="008F4FAE">
        <w:rPr>
          <w:rFonts w:ascii="Garamond" w:hAnsi="Garamond"/>
          <w:i/>
          <w:iCs/>
          <w:sz w:val="26"/>
          <w:szCs w:val="26"/>
        </w:rPr>
        <w:t xml:space="preserve">Evaluating </w:t>
      </w:r>
      <w:r w:rsidR="0061228E" w:rsidRPr="008F4FAE">
        <w:rPr>
          <w:rFonts w:ascii="Garamond" w:hAnsi="Garamond"/>
          <w:i/>
          <w:iCs/>
          <w:sz w:val="26"/>
          <w:szCs w:val="26"/>
        </w:rPr>
        <w:t>Internet Access</w:t>
      </w:r>
    </w:p>
    <w:p w14:paraId="1EA4F195" w14:textId="6B56F891" w:rsidR="00FB6C0B" w:rsidRDefault="00D03914" w:rsidP="0056134B">
      <w:pPr>
        <w:rPr>
          <w:rFonts w:ascii="Garamond" w:hAnsi="Garamond"/>
          <w:sz w:val="26"/>
          <w:szCs w:val="26"/>
        </w:rPr>
      </w:pPr>
      <w:r>
        <w:rPr>
          <w:rFonts w:ascii="Garamond" w:hAnsi="Garamond"/>
          <w:sz w:val="26"/>
          <w:szCs w:val="26"/>
        </w:rPr>
        <w:t xml:space="preserve">Whether something </w:t>
      </w:r>
      <w:r w:rsidR="00EF17B5">
        <w:rPr>
          <w:rFonts w:ascii="Garamond" w:hAnsi="Garamond"/>
          <w:sz w:val="26"/>
          <w:szCs w:val="26"/>
        </w:rPr>
        <w:t>falls within</w:t>
      </w:r>
      <w:r>
        <w:rPr>
          <w:rFonts w:ascii="Garamond" w:hAnsi="Garamond"/>
          <w:sz w:val="26"/>
          <w:szCs w:val="26"/>
        </w:rPr>
        <w:t xml:space="preserve"> Internet acces</w:t>
      </w:r>
      <w:r w:rsidR="00DE043F">
        <w:rPr>
          <w:rFonts w:ascii="Garamond" w:hAnsi="Garamond"/>
          <w:sz w:val="26"/>
          <w:szCs w:val="26"/>
        </w:rPr>
        <w:t xml:space="preserve">s </w:t>
      </w:r>
      <w:r w:rsidR="0056086E">
        <w:rPr>
          <w:rFonts w:ascii="Garamond" w:hAnsi="Garamond"/>
          <w:sz w:val="26"/>
          <w:szCs w:val="26"/>
        </w:rPr>
        <w:t xml:space="preserve">may </w:t>
      </w:r>
      <w:r w:rsidR="00DE043F">
        <w:rPr>
          <w:rFonts w:ascii="Garamond" w:hAnsi="Garamond"/>
          <w:sz w:val="26"/>
          <w:szCs w:val="26"/>
        </w:rPr>
        <w:t xml:space="preserve">be clear in </w:t>
      </w:r>
      <w:r w:rsidR="0056086E">
        <w:rPr>
          <w:rFonts w:ascii="Garamond" w:hAnsi="Garamond"/>
          <w:sz w:val="26"/>
          <w:szCs w:val="26"/>
        </w:rPr>
        <w:t xml:space="preserve">many </w:t>
      </w:r>
      <w:r w:rsidR="00DE043F">
        <w:rPr>
          <w:rFonts w:ascii="Garamond" w:hAnsi="Garamond"/>
          <w:sz w:val="26"/>
          <w:szCs w:val="26"/>
        </w:rPr>
        <w:t>situations. For example, the sale of</w:t>
      </w:r>
      <w:r w:rsidR="0056086E">
        <w:rPr>
          <w:rFonts w:ascii="Garamond" w:hAnsi="Garamond"/>
          <w:sz w:val="26"/>
          <w:szCs w:val="26"/>
        </w:rPr>
        <w:t xml:space="preserve"> </w:t>
      </w:r>
      <w:r w:rsidR="00EF17B5">
        <w:rPr>
          <w:rFonts w:ascii="Garamond" w:hAnsi="Garamond"/>
          <w:sz w:val="26"/>
          <w:szCs w:val="26"/>
        </w:rPr>
        <w:t xml:space="preserve">a </w:t>
      </w:r>
      <w:r w:rsidR="0056086E">
        <w:rPr>
          <w:rFonts w:ascii="Garamond" w:hAnsi="Garamond"/>
          <w:sz w:val="26"/>
          <w:szCs w:val="26"/>
        </w:rPr>
        <w:t xml:space="preserve">service </w:t>
      </w:r>
      <w:r w:rsidR="00486BE6">
        <w:rPr>
          <w:rFonts w:ascii="Garamond" w:hAnsi="Garamond"/>
          <w:sz w:val="26"/>
          <w:szCs w:val="26"/>
        </w:rPr>
        <w:t>enabling access to the</w:t>
      </w:r>
      <w:r w:rsidR="00DE043F">
        <w:rPr>
          <w:rFonts w:ascii="Garamond" w:hAnsi="Garamond"/>
          <w:sz w:val="26"/>
          <w:szCs w:val="26"/>
        </w:rPr>
        <w:t xml:space="preserve"> Internet by an Internet access provider</w:t>
      </w:r>
      <w:r w:rsidR="00877509">
        <w:rPr>
          <w:rFonts w:ascii="Garamond" w:hAnsi="Garamond"/>
          <w:sz w:val="26"/>
          <w:szCs w:val="26"/>
        </w:rPr>
        <w:t xml:space="preserve"> is clearly within the scope of the ITFA</w:t>
      </w:r>
      <w:r w:rsidR="005A59E4">
        <w:rPr>
          <w:rFonts w:ascii="Garamond" w:hAnsi="Garamond"/>
          <w:sz w:val="26"/>
          <w:szCs w:val="26"/>
        </w:rPr>
        <w:t>,</w:t>
      </w:r>
      <w:r w:rsidR="00A3061C">
        <w:rPr>
          <w:rFonts w:ascii="Garamond" w:hAnsi="Garamond"/>
          <w:sz w:val="26"/>
          <w:szCs w:val="26"/>
        </w:rPr>
        <w:t xml:space="preserve"> a</w:t>
      </w:r>
      <w:r w:rsidR="00F26533">
        <w:rPr>
          <w:rFonts w:ascii="Garamond" w:hAnsi="Garamond"/>
          <w:sz w:val="26"/>
          <w:szCs w:val="26"/>
        </w:rPr>
        <w:t>s well as th</w:t>
      </w:r>
      <w:r w:rsidR="00BE77D9">
        <w:rPr>
          <w:rFonts w:ascii="Garamond" w:hAnsi="Garamond"/>
          <w:sz w:val="26"/>
          <w:szCs w:val="26"/>
        </w:rPr>
        <w:t>e</w:t>
      </w:r>
      <w:r w:rsidR="00F26533">
        <w:rPr>
          <w:rFonts w:ascii="Garamond" w:hAnsi="Garamond"/>
          <w:sz w:val="26"/>
          <w:szCs w:val="26"/>
        </w:rPr>
        <w:t xml:space="preserve"> ISP’s</w:t>
      </w:r>
      <w:r w:rsidR="00A3061C">
        <w:rPr>
          <w:rFonts w:ascii="Garamond" w:hAnsi="Garamond"/>
          <w:sz w:val="26"/>
          <w:szCs w:val="26"/>
        </w:rPr>
        <w:t xml:space="preserve"> purchase of </w:t>
      </w:r>
      <w:r w:rsidR="00486BE6">
        <w:rPr>
          <w:rFonts w:ascii="Garamond" w:hAnsi="Garamond"/>
          <w:sz w:val="26"/>
          <w:szCs w:val="26"/>
        </w:rPr>
        <w:t xml:space="preserve">the </w:t>
      </w:r>
      <w:r w:rsidR="00C65514">
        <w:rPr>
          <w:rFonts w:ascii="Garamond" w:hAnsi="Garamond"/>
          <w:sz w:val="26"/>
          <w:szCs w:val="26"/>
        </w:rPr>
        <w:t>telecommunication</w:t>
      </w:r>
      <w:r w:rsidR="00A3061C">
        <w:rPr>
          <w:rFonts w:ascii="Garamond" w:hAnsi="Garamond"/>
          <w:sz w:val="26"/>
          <w:szCs w:val="26"/>
        </w:rPr>
        <w:t>s service</w:t>
      </w:r>
      <w:r w:rsidR="009A66DF">
        <w:rPr>
          <w:rFonts w:ascii="Garamond" w:hAnsi="Garamond"/>
          <w:sz w:val="26"/>
          <w:szCs w:val="26"/>
        </w:rPr>
        <w:t>s used</w:t>
      </w:r>
      <w:r w:rsidR="00A3061C">
        <w:rPr>
          <w:rFonts w:ascii="Garamond" w:hAnsi="Garamond"/>
          <w:sz w:val="26"/>
          <w:szCs w:val="26"/>
        </w:rPr>
        <w:t xml:space="preserve"> to provide </w:t>
      </w:r>
      <w:r w:rsidR="00F26533">
        <w:rPr>
          <w:rFonts w:ascii="Garamond" w:hAnsi="Garamond"/>
          <w:sz w:val="26"/>
          <w:szCs w:val="26"/>
        </w:rPr>
        <w:t>th</w:t>
      </w:r>
      <w:r w:rsidR="00FE7B5A">
        <w:rPr>
          <w:rFonts w:ascii="Garamond" w:hAnsi="Garamond"/>
          <w:sz w:val="26"/>
          <w:szCs w:val="26"/>
        </w:rPr>
        <w:t>e</w:t>
      </w:r>
      <w:r w:rsidR="00F26533">
        <w:rPr>
          <w:rFonts w:ascii="Garamond" w:hAnsi="Garamond"/>
          <w:sz w:val="26"/>
          <w:szCs w:val="26"/>
        </w:rPr>
        <w:t xml:space="preserve"> Internet access</w:t>
      </w:r>
      <w:r w:rsidR="000153A5">
        <w:rPr>
          <w:rFonts w:ascii="Garamond" w:hAnsi="Garamond"/>
          <w:sz w:val="26"/>
          <w:szCs w:val="26"/>
        </w:rPr>
        <w:t>.</w:t>
      </w:r>
      <w:r w:rsidR="00F26533">
        <w:rPr>
          <w:rFonts w:ascii="Garamond" w:hAnsi="Garamond"/>
          <w:sz w:val="26"/>
          <w:szCs w:val="26"/>
        </w:rPr>
        <w:t xml:space="preserve"> </w:t>
      </w:r>
      <w:r w:rsidR="000153A5">
        <w:rPr>
          <w:rFonts w:ascii="Garamond" w:hAnsi="Garamond"/>
          <w:sz w:val="26"/>
          <w:szCs w:val="26"/>
        </w:rPr>
        <w:t>Also clear is the inclusion of certain items, whether</w:t>
      </w:r>
      <w:r w:rsidR="00FB6C0B">
        <w:rPr>
          <w:rFonts w:ascii="Garamond" w:hAnsi="Garamond"/>
          <w:sz w:val="26"/>
          <w:szCs w:val="26"/>
        </w:rPr>
        <w:t xml:space="preserve"> </w:t>
      </w:r>
      <w:r w:rsidR="00614EC9">
        <w:rPr>
          <w:rFonts w:ascii="Garamond" w:hAnsi="Garamond"/>
          <w:sz w:val="26"/>
          <w:szCs w:val="26"/>
        </w:rPr>
        <w:t xml:space="preserve">incidental </w:t>
      </w:r>
      <w:r w:rsidR="00FE7B5A">
        <w:rPr>
          <w:rFonts w:ascii="Garamond" w:hAnsi="Garamond"/>
          <w:sz w:val="26"/>
          <w:szCs w:val="26"/>
        </w:rPr>
        <w:t>to the Internet acce</w:t>
      </w:r>
      <w:r w:rsidR="00457518">
        <w:rPr>
          <w:rFonts w:ascii="Garamond" w:hAnsi="Garamond"/>
          <w:sz w:val="26"/>
          <w:szCs w:val="26"/>
        </w:rPr>
        <w:t>s</w:t>
      </w:r>
      <w:r w:rsidR="00C65514">
        <w:rPr>
          <w:rFonts w:ascii="Garamond" w:hAnsi="Garamond"/>
          <w:sz w:val="26"/>
          <w:szCs w:val="26"/>
        </w:rPr>
        <w:t>s</w:t>
      </w:r>
      <w:r w:rsidR="000153A5">
        <w:rPr>
          <w:rFonts w:ascii="Garamond" w:hAnsi="Garamond"/>
          <w:sz w:val="26"/>
          <w:szCs w:val="26"/>
        </w:rPr>
        <w:t>, or not,</w:t>
      </w:r>
      <w:r w:rsidR="00C65514">
        <w:rPr>
          <w:rFonts w:ascii="Garamond" w:hAnsi="Garamond"/>
          <w:sz w:val="26"/>
          <w:szCs w:val="26"/>
        </w:rPr>
        <w:t xml:space="preserve"> </w:t>
      </w:r>
      <w:r w:rsidR="00C65514" w:rsidRPr="00E83953">
        <w:rPr>
          <w:rFonts w:ascii="Garamond" w:hAnsi="Garamond"/>
          <w:sz w:val="26"/>
          <w:szCs w:val="26"/>
        </w:rPr>
        <w:t>such as a home page, electronic mail and instant me</w:t>
      </w:r>
      <w:r w:rsidR="00FB6C0B">
        <w:rPr>
          <w:rFonts w:ascii="Garamond" w:hAnsi="Garamond"/>
          <w:sz w:val="26"/>
          <w:szCs w:val="26"/>
        </w:rPr>
        <w:t>s</w:t>
      </w:r>
      <w:r w:rsidR="00C65514" w:rsidRPr="00E83953">
        <w:rPr>
          <w:rFonts w:ascii="Garamond" w:hAnsi="Garamond"/>
          <w:sz w:val="26"/>
          <w:szCs w:val="26"/>
        </w:rPr>
        <w:t>saging (including voice- and video-capable electronic mail and instant messaging), video clips, and personal electronic storage capacity</w:t>
      </w:r>
      <w:r w:rsidR="00457518">
        <w:rPr>
          <w:rFonts w:ascii="Garamond" w:hAnsi="Garamond"/>
          <w:sz w:val="26"/>
          <w:szCs w:val="26"/>
        </w:rPr>
        <w:t>.</w:t>
      </w:r>
      <w:r w:rsidR="00C80565">
        <w:rPr>
          <w:rStyle w:val="FootnoteReference"/>
          <w:rFonts w:ascii="Garamond" w:hAnsi="Garamond"/>
          <w:sz w:val="26"/>
          <w:szCs w:val="26"/>
        </w:rPr>
        <w:footnoteReference w:id="26"/>
      </w:r>
    </w:p>
    <w:p w14:paraId="777C03F1" w14:textId="76AFF17C" w:rsidR="0046312C" w:rsidRDefault="00486BE6" w:rsidP="00D41149">
      <w:pPr>
        <w:rPr>
          <w:rFonts w:ascii="Garamond" w:hAnsi="Garamond"/>
          <w:sz w:val="26"/>
          <w:szCs w:val="26"/>
        </w:rPr>
      </w:pPr>
      <w:r>
        <w:rPr>
          <w:rFonts w:ascii="Garamond" w:hAnsi="Garamond"/>
          <w:sz w:val="26"/>
          <w:szCs w:val="26"/>
        </w:rPr>
        <w:t xml:space="preserve">However, </w:t>
      </w:r>
      <w:r w:rsidR="00570786">
        <w:rPr>
          <w:rFonts w:ascii="Garamond" w:hAnsi="Garamond"/>
          <w:sz w:val="26"/>
          <w:szCs w:val="26"/>
        </w:rPr>
        <w:t>what</w:t>
      </w:r>
      <w:r w:rsidR="00B62623">
        <w:rPr>
          <w:rFonts w:ascii="Garamond" w:hAnsi="Garamond"/>
          <w:sz w:val="26"/>
          <w:szCs w:val="26"/>
        </w:rPr>
        <w:t xml:space="preserve"> the term</w:t>
      </w:r>
      <w:r w:rsidR="00570786">
        <w:rPr>
          <w:rFonts w:ascii="Garamond" w:hAnsi="Garamond"/>
          <w:sz w:val="26"/>
          <w:szCs w:val="26"/>
        </w:rPr>
        <w:t xml:space="preserve"> incidental contemplates, </w:t>
      </w:r>
      <w:r>
        <w:rPr>
          <w:rFonts w:ascii="Garamond" w:hAnsi="Garamond"/>
          <w:sz w:val="26"/>
          <w:szCs w:val="26"/>
        </w:rPr>
        <w:t>w</w:t>
      </w:r>
      <w:r w:rsidR="00C65514">
        <w:rPr>
          <w:rFonts w:ascii="Garamond" w:hAnsi="Garamond"/>
          <w:sz w:val="26"/>
          <w:szCs w:val="26"/>
        </w:rPr>
        <w:t>h</w:t>
      </w:r>
      <w:r w:rsidR="00D61966">
        <w:rPr>
          <w:rFonts w:ascii="Garamond" w:hAnsi="Garamond"/>
          <w:sz w:val="26"/>
          <w:szCs w:val="26"/>
        </w:rPr>
        <w:t>e</w:t>
      </w:r>
      <w:r w:rsidR="00570786">
        <w:rPr>
          <w:rFonts w:ascii="Garamond" w:hAnsi="Garamond"/>
          <w:sz w:val="26"/>
          <w:szCs w:val="26"/>
        </w:rPr>
        <w:t>n</w:t>
      </w:r>
      <w:r w:rsidR="00695AB5">
        <w:rPr>
          <w:rFonts w:ascii="Garamond" w:hAnsi="Garamond"/>
          <w:sz w:val="26"/>
          <w:szCs w:val="26"/>
        </w:rPr>
        <w:t xml:space="preserve"> service</w:t>
      </w:r>
      <w:r w:rsidR="007D40F2">
        <w:rPr>
          <w:rFonts w:ascii="Garamond" w:hAnsi="Garamond"/>
          <w:sz w:val="26"/>
          <w:szCs w:val="26"/>
        </w:rPr>
        <w:t>s like email and homepages</w:t>
      </w:r>
      <w:r w:rsidR="009A1F68">
        <w:rPr>
          <w:rFonts w:ascii="Garamond" w:hAnsi="Garamond"/>
          <w:sz w:val="26"/>
          <w:szCs w:val="26"/>
        </w:rPr>
        <w:t xml:space="preserve"> </w:t>
      </w:r>
      <w:r w:rsidR="00D61966">
        <w:rPr>
          <w:rFonts w:ascii="Garamond" w:hAnsi="Garamond"/>
          <w:sz w:val="26"/>
          <w:szCs w:val="26"/>
        </w:rPr>
        <w:t xml:space="preserve">are </w:t>
      </w:r>
      <w:r w:rsidR="003531C5">
        <w:rPr>
          <w:rFonts w:ascii="Garamond" w:hAnsi="Garamond"/>
          <w:sz w:val="26"/>
          <w:szCs w:val="26"/>
        </w:rPr>
        <w:t xml:space="preserve">in fact </w:t>
      </w:r>
      <w:r w:rsidR="00D61966">
        <w:rPr>
          <w:rFonts w:ascii="Garamond" w:hAnsi="Garamond"/>
          <w:sz w:val="26"/>
          <w:szCs w:val="26"/>
        </w:rPr>
        <w:t>in</w:t>
      </w:r>
      <w:r w:rsidR="00EC2200">
        <w:rPr>
          <w:rFonts w:ascii="Garamond" w:hAnsi="Garamond"/>
          <w:sz w:val="26"/>
          <w:szCs w:val="26"/>
        </w:rPr>
        <w:t>cidental</w:t>
      </w:r>
      <w:r w:rsidR="00B62623">
        <w:rPr>
          <w:rFonts w:ascii="Garamond" w:hAnsi="Garamond"/>
          <w:sz w:val="26"/>
          <w:szCs w:val="26"/>
        </w:rPr>
        <w:t>,</w:t>
      </w:r>
      <w:r w:rsidR="003531C5">
        <w:rPr>
          <w:rFonts w:ascii="Garamond" w:hAnsi="Garamond"/>
          <w:sz w:val="26"/>
          <w:szCs w:val="26"/>
        </w:rPr>
        <w:t xml:space="preserve"> and</w:t>
      </w:r>
      <w:r w:rsidR="00B62623">
        <w:rPr>
          <w:rFonts w:ascii="Garamond" w:hAnsi="Garamond"/>
          <w:sz w:val="26"/>
          <w:szCs w:val="26"/>
        </w:rPr>
        <w:t xml:space="preserve"> </w:t>
      </w:r>
      <w:r w:rsidR="00EC2200">
        <w:rPr>
          <w:rFonts w:ascii="Garamond" w:hAnsi="Garamond"/>
          <w:sz w:val="26"/>
          <w:szCs w:val="26"/>
        </w:rPr>
        <w:t>when</w:t>
      </w:r>
      <w:r w:rsidR="00B62623">
        <w:rPr>
          <w:rFonts w:ascii="Garamond" w:hAnsi="Garamond"/>
          <w:sz w:val="26"/>
          <w:szCs w:val="26"/>
        </w:rPr>
        <w:t xml:space="preserve"> services</w:t>
      </w:r>
      <w:r w:rsidR="003531C5">
        <w:rPr>
          <w:rFonts w:ascii="Garamond" w:hAnsi="Garamond"/>
          <w:sz w:val="26"/>
          <w:szCs w:val="26"/>
        </w:rPr>
        <w:t xml:space="preserve"> like homepage</w:t>
      </w:r>
      <w:r w:rsidR="00B544BD">
        <w:rPr>
          <w:rFonts w:ascii="Garamond" w:hAnsi="Garamond"/>
          <w:sz w:val="26"/>
          <w:szCs w:val="26"/>
        </w:rPr>
        <w:t>s</w:t>
      </w:r>
      <w:r w:rsidR="00EC2200">
        <w:rPr>
          <w:rFonts w:ascii="Garamond" w:hAnsi="Garamond"/>
          <w:sz w:val="26"/>
          <w:szCs w:val="26"/>
        </w:rPr>
        <w:t xml:space="preserve"> are covered by the </w:t>
      </w:r>
      <w:r w:rsidR="00B62623">
        <w:rPr>
          <w:rFonts w:ascii="Garamond" w:hAnsi="Garamond"/>
          <w:sz w:val="26"/>
          <w:szCs w:val="26"/>
        </w:rPr>
        <w:t>ITFA</w:t>
      </w:r>
      <w:r w:rsidR="00EC2200">
        <w:rPr>
          <w:rFonts w:ascii="Garamond" w:hAnsi="Garamond"/>
          <w:sz w:val="26"/>
          <w:szCs w:val="26"/>
        </w:rPr>
        <w:t xml:space="preserve"> separately is </w:t>
      </w:r>
      <w:r w:rsidR="00003F28">
        <w:rPr>
          <w:rFonts w:ascii="Garamond" w:hAnsi="Garamond"/>
          <w:sz w:val="26"/>
          <w:szCs w:val="26"/>
        </w:rPr>
        <w:t>far from clear. A</w:t>
      </w:r>
      <w:r w:rsidR="00BC0170">
        <w:rPr>
          <w:rFonts w:ascii="Garamond" w:hAnsi="Garamond"/>
          <w:sz w:val="26"/>
          <w:szCs w:val="26"/>
        </w:rPr>
        <w:t xml:space="preserve">t least one court has </w:t>
      </w:r>
      <w:r w:rsidR="00B62623">
        <w:rPr>
          <w:rFonts w:ascii="Garamond" w:hAnsi="Garamond"/>
          <w:sz w:val="26"/>
          <w:szCs w:val="26"/>
        </w:rPr>
        <w:t>found</w:t>
      </w:r>
      <w:r w:rsidR="00BC0170">
        <w:rPr>
          <w:rFonts w:ascii="Garamond" w:hAnsi="Garamond"/>
          <w:sz w:val="26"/>
          <w:szCs w:val="26"/>
        </w:rPr>
        <w:t xml:space="preserve"> that w</w:t>
      </w:r>
      <w:r w:rsidR="00E15AAC">
        <w:rPr>
          <w:rFonts w:ascii="Garamond" w:hAnsi="Garamond"/>
          <w:sz w:val="26"/>
          <w:szCs w:val="26"/>
        </w:rPr>
        <w:t>here a business sell</w:t>
      </w:r>
      <w:r w:rsidR="00646F29">
        <w:rPr>
          <w:rFonts w:ascii="Garamond" w:hAnsi="Garamond"/>
          <w:sz w:val="26"/>
          <w:szCs w:val="26"/>
        </w:rPr>
        <w:t>s</w:t>
      </w:r>
      <w:r w:rsidR="00E15AAC">
        <w:rPr>
          <w:rFonts w:ascii="Garamond" w:hAnsi="Garamond"/>
          <w:sz w:val="26"/>
          <w:szCs w:val="26"/>
        </w:rPr>
        <w:t xml:space="preserve"> a service that is not itself Internet access</w:t>
      </w:r>
      <w:r w:rsidR="00B62623">
        <w:rPr>
          <w:rFonts w:ascii="Garamond" w:hAnsi="Garamond"/>
          <w:sz w:val="26"/>
          <w:szCs w:val="26"/>
        </w:rPr>
        <w:t>,</w:t>
      </w:r>
      <w:r w:rsidR="00E15AAC">
        <w:rPr>
          <w:rFonts w:ascii="Garamond" w:hAnsi="Garamond"/>
          <w:sz w:val="26"/>
          <w:szCs w:val="26"/>
        </w:rPr>
        <w:t xml:space="preserve"> and</w:t>
      </w:r>
      <w:r w:rsidR="00B962F1">
        <w:rPr>
          <w:rFonts w:ascii="Garamond" w:hAnsi="Garamond"/>
          <w:sz w:val="26"/>
          <w:szCs w:val="26"/>
        </w:rPr>
        <w:t xml:space="preserve"> </w:t>
      </w:r>
      <w:r w:rsidR="00204355">
        <w:rPr>
          <w:rFonts w:ascii="Garamond" w:hAnsi="Garamond"/>
          <w:sz w:val="26"/>
          <w:szCs w:val="26"/>
        </w:rPr>
        <w:t>use</w:t>
      </w:r>
      <w:r w:rsidR="00E15AAC">
        <w:rPr>
          <w:rFonts w:ascii="Garamond" w:hAnsi="Garamond"/>
          <w:sz w:val="26"/>
          <w:szCs w:val="26"/>
        </w:rPr>
        <w:t>s</w:t>
      </w:r>
      <w:r w:rsidR="00B962F1">
        <w:rPr>
          <w:rFonts w:ascii="Garamond" w:hAnsi="Garamond"/>
          <w:sz w:val="26"/>
          <w:szCs w:val="26"/>
        </w:rPr>
        <w:t xml:space="preserve"> </w:t>
      </w:r>
      <w:r w:rsidR="00E659DA">
        <w:rPr>
          <w:rFonts w:ascii="Garamond" w:hAnsi="Garamond"/>
          <w:sz w:val="26"/>
          <w:szCs w:val="26"/>
        </w:rPr>
        <w:t xml:space="preserve">an independent email service, the independent email service </w:t>
      </w:r>
      <w:r w:rsidR="003531C5">
        <w:rPr>
          <w:rFonts w:ascii="Garamond" w:hAnsi="Garamond"/>
          <w:sz w:val="26"/>
          <w:szCs w:val="26"/>
        </w:rPr>
        <w:t>was</w:t>
      </w:r>
      <w:r w:rsidR="009D789B">
        <w:rPr>
          <w:rFonts w:ascii="Garamond" w:hAnsi="Garamond"/>
          <w:sz w:val="26"/>
          <w:szCs w:val="26"/>
        </w:rPr>
        <w:t xml:space="preserve"> </w:t>
      </w:r>
      <w:r w:rsidR="00646F29">
        <w:rPr>
          <w:rFonts w:ascii="Garamond" w:hAnsi="Garamond"/>
          <w:sz w:val="26"/>
          <w:szCs w:val="26"/>
        </w:rPr>
        <w:t xml:space="preserve">not </w:t>
      </w:r>
      <w:r w:rsidR="004753CC">
        <w:rPr>
          <w:rFonts w:ascii="Garamond" w:hAnsi="Garamond"/>
          <w:sz w:val="26"/>
          <w:szCs w:val="26"/>
        </w:rPr>
        <w:t>incidental to the sale of In</w:t>
      </w:r>
      <w:r w:rsidR="003D03DF">
        <w:rPr>
          <w:rFonts w:ascii="Garamond" w:hAnsi="Garamond"/>
          <w:sz w:val="26"/>
          <w:szCs w:val="26"/>
        </w:rPr>
        <w:t xml:space="preserve">ternet </w:t>
      </w:r>
      <w:r w:rsidR="009D789B">
        <w:rPr>
          <w:rFonts w:ascii="Garamond" w:hAnsi="Garamond"/>
          <w:sz w:val="26"/>
          <w:szCs w:val="26"/>
        </w:rPr>
        <w:t>access</w:t>
      </w:r>
      <w:r w:rsidR="00624347">
        <w:rPr>
          <w:rFonts w:ascii="Garamond" w:hAnsi="Garamond"/>
          <w:sz w:val="26"/>
          <w:szCs w:val="26"/>
        </w:rPr>
        <w:t xml:space="preserve"> nor </w:t>
      </w:r>
      <w:r w:rsidR="003531C5">
        <w:rPr>
          <w:rFonts w:ascii="Garamond" w:hAnsi="Garamond"/>
          <w:sz w:val="26"/>
          <w:szCs w:val="26"/>
        </w:rPr>
        <w:t>was</w:t>
      </w:r>
      <w:r w:rsidR="00B62623">
        <w:rPr>
          <w:rFonts w:ascii="Garamond" w:hAnsi="Garamond"/>
          <w:sz w:val="26"/>
          <w:szCs w:val="26"/>
        </w:rPr>
        <w:t xml:space="preserve"> </w:t>
      </w:r>
      <w:r w:rsidR="00624347">
        <w:rPr>
          <w:rFonts w:ascii="Garamond" w:hAnsi="Garamond"/>
          <w:sz w:val="26"/>
          <w:szCs w:val="26"/>
        </w:rPr>
        <w:t>it</w:t>
      </w:r>
      <w:r w:rsidR="008B3F80">
        <w:rPr>
          <w:rFonts w:ascii="Garamond" w:hAnsi="Garamond"/>
          <w:sz w:val="26"/>
          <w:szCs w:val="26"/>
        </w:rPr>
        <w:t xml:space="preserve"> considered </w:t>
      </w:r>
      <w:r w:rsidR="00D41149">
        <w:rPr>
          <w:rFonts w:ascii="Garamond" w:hAnsi="Garamond"/>
          <w:sz w:val="26"/>
          <w:szCs w:val="26"/>
        </w:rPr>
        <w:t xml:space="preserve">to be the </w:t>
      </w:r>
      <w:r w:rsidR="005474C1">
        <w:rPr>
          <w:rFonts w:ascii="Garamond" w:hAnsi="Garamond"/>
          <w:sz w:val="26"/>
          <w:szCs w:val="26"/>
        </w:rPr>
        <w:t xml:space="preserve">provision of </w:t>
      </w:r>
      <w:r w:rsidR="00E659DA">
        <w:rPr>
          <w:rFonts w:ascii="Garamond" w:hAnsi="Garamond"/>
          <w:sz w:val="26"/>
          <w:szCs w:val="26"/>
        </w:rPr>
        <w:t>email</w:t>
      </w:r>
      <w:r w:rsidR="002D6480">
        <w:rPr>
          <w:rFonts w:ascii="Garamond" w:hAnsi="Garamond"/>
          <w:sz w:val="26"/>
          <w:szCs w:val="26"/>
        </w:rPr>
        <w:t xml:space="preserve"> separately</w:t>
      </w:r>
      <w:r w:rsidR="003531C5">
        <w:rPr>
          <w:rFonts w:ascii="Garamond" w:hAnsi="Garamond"/>
          <w:sz w:val="26"/>
          <w:szCs w:val="26"/>
        </w:rPr>
        <w:t xml:space="preserve"> under the </w:t>
      </w:r>
      <w:r w:rsidR="003531C5" w:rsidRPr="22256E85">
        <w:rPr>
          <w:rFonts w:ascii="Garamond" w:hAnsi="Garamond"/>
          <w:sz w:val="26"/>
          <w:szCs w:val="26"/>
        </w:rPr>
        <w:t>facts</w:t>
      </w:r>
      <w:r w:rsidR="005474C1">
        <w:rPr>
          <w:rFonts w:ascii="Garamond" w:hAnsi="Garamond"/>
          <w:sz w:val="26"/>
          <w:szCs w:val="26"/>
        </w:rPr>
        <w:t>.</w:t>
      </w:r>
      <w:r w:rsidR="00593A2B">
        <w:rPr>
          <w:rStyle w:val="FootnoteReference"/>
          <w:rFonts w:ascii="Garamond" w:hAnsi="Garamond"/>
          <w:sz w:val="26"/>
          <w:szCs w:val="26"/>
        </w:rPr>
        <w:footnoteReference w:id="27"/>
      </w:r>
    </w:p>
    <w:p w14:paraId="76B2FFA5" w14:textId="77777777" w:rsidR="00BE77D9" w:rsidRPr="00BE77D9" w:rsidRDefault="00AD4801" w:rsidP="00BE77D9">
      <w:pPr>
        <w:pStyle w:val="Heading2"/>
        <w:rPr>
          <w:rFonts w:ascii="Garamond" w:hAnsi="Garamond"/>
        </w:rPr>
      </w:pPr>
      <w:r w:rsidRPr="00BE77D9">
        <w:rPr>
          <w:rFonts w:ascii="Garamond" w:hAnsi="Garamond"/>
        </w:rPr>
        <w:lastRenderedPageBreak/>
        <w:t>C. Primary Source of Uncertainty – What is “Similar”</w:t>
      </w:r>
    </w:p>
    <w:p w14:paraId="5AF2DA26" w14:textId="38F6FF75" w:rsidR="004C7015" w:rsidRDefault="00AD4801" w:rsidP="009529B4">
      <w:pPr>
        <w:rPr>
          <w:rFonts w:ascii="Garamond" w:hAnsi="Garamond"/>
          <w:sz w:val="26"/>
          <w:szCs w:val="26"/>
        </w:rPr>
      </w:pPr>
      <w:r>
        <w:rPr>
          <w:rFonts w:ascii="Garamond" w:hAnsi="Garamond"/>
          <w:sz w:val="26"/>
          <w:szCs w:val="26"/>
        </w:rPr>
        <w:t xml:space="preserve">A key part of the definition of discriminatory tax is the </w:t>
      </w:r>
      <w:r w:rsidR="007F1B92">
        <w:rPr>
          <w:rFonts w:ascii="Garamond" w:hAnsi="Garamond"/>
          <w:sz w:val="26"/>
          <w:szCs w:val="26"/>
        </w:rPr>
        <w:t>phrase</w:t>
      </w:r>
      <w:r>
        <w:rPr>
          <w:rFonts w:ascii="Garamond" w:hAnsi="Garamond"/>
          <w:sz w:val="26"/>
          <w:szCs w:val="26"/>
        </w:rPr>
        <w:t xml:space="preserve"> “</w:t>
      </w:r>
      <w:r w:rsidRPr="00930F0A">
        <w:rPr>
          <w:rFonts w:ascii="Garamond" w:hAnsi="Garamond"/>
          <w:sz w:val="26"/>
          <w:szCs w:val="26"/>
        </w:rPr>
        <w:t>similar property, goods, services</w:t>
      </w:r>
      <w:r>
        <w:rPr>
          <w:rFonts w:ascii="Garamond" w:hAnsi="Garamond"/>
          <w:sz w:val="26"/>
          <w:szCs w:val="26"/>
        </w:rPr>
        <w:t xml:space="preserve"> or information.” ITFA provides no guidance as to what is meant by the term “similar</w:t>
      </w:r>
      <w:r w:rsidR="004C7015">
        <w:rPr>
          <w:rFonts w:ascii="Garamond" w:hAnsi="Garamond"/>
          <w:sz w:val="26"/>
          <w:szCs w:val="26"/>
        </w:rPr>
        <w:t>,</w:t>
      </w:r>
      <w:r>
        <w:rPr>
          <w:rFonts w:ascii="Garamond" w:hAnsi="Garamond"/>
          <w:sz w:val="26"/>
          <w:szCs w:val="26"/>
        </w:rPr>
        <w:t>”</w:t>
      </w:r>
      <w:r w:rsidR="004C7015">
        <w:rPr>
          <w:rFonts w:ascii="Garamond" w:hAnsi="Garamond"/>
          <w:sz w:val="26"/>
          <w:szCs w:val="26"/>
        </w:rPr>
        <w:t xml:space="preserve"> but its inclusion means identification of “similar” items is critical.</w:t>
      </w:r>
      <w:r>
        <w:rPr>
          <w:rFonts w:ascii="Garamond" w:hAnsi="Garamond"/>
          <w:sz w:val="26"/>
          <w:szCs w:val="26"/>
        </w:rPr>
        <w:t xml:space="preserve"> </w:t>
      </w:r>
    </w:p>
    <w:p w14:paraId="1E008485" w14:textId="57128804" w:rsidR="00A1693D" w:rsidRDefault="00173C8D" w:rsidP="009529B4">
      <w:pPr>
        <w:rPr>
          <w:rFonts w:ascii="Garamond" w:hAnsi="Garamond"/>
          <w:sz w:val="26"/>
          <w:szCs w:val="26"/>
        </w:rPr>
      </w:pPr>
      <w:r>
        <w:rPr>
          <w:rFonts w:ascii="Garamond" w:hAnsi="Garamond"/>
          <w:sz w:val="26"/>
          <w:szCs w:val="26"/>
        </w:rPr>
        <w:t xml:space="preserve">Intuitively, the sale of </w:t>
      </w:r>
      <w:r w:rsidR="00A6624E">
        <w:rPr>
          <w:rFonts w:ascii="Garamond" w:hAnsi="Garamond"/>
          <w:sz w:val="26"/>
          <w:szCs w:val="26"/>
        </w:rPr>
        <w:t xml:space="preserve">a </w:t>
      </w:r>
      <w:r>
        <w:rPr>
          <w:rFonts w:ascii="Garamond" w:hAnsi="Garamond"/>
          <w:sz w:val="26"/>
          <w:szCs w:val="26"/>
        </w:rPr>
        <w:t xml:space="preserve">book and the sale of </w:t>
      </w:r>
      <w:r w:rsidR="00A6624E">
        <w:rPr>
          <w:rFonts w:ascii="Garamond" w:hAnsi="Garamond"/>
          <w:sz w:val="26"/>
          <w:szCs w:val="26"/>
        </w:rPr>
        <w:t xml:space="preserve">a </w:t>
      </w:r>
      <w:r w:rsidR="00583E4C">
        <w:rPr>
          <w:rFonts w:ascii="Garamond" w:hAnsi="Garamond"/>
          <w:sz w:val="26"/>
          <w:szCs w:val="26"/>
        </w:rPr>
        <w:t xml:space="preserve">motor vehicle </w:t>
      </w:r>
      <w:r w:rsidR="00145EAD">
        <w:rPr>
          <w:rFonts w:ascii="Garamond" w:hAnsi="Garamond"/>
          <w:sz w:val="26"/>
          <w:szCs w:val="26"/>
        </w:rPr>
        <w:t>do not</w:t>
      </w:r>
      <w:r>
        <w:rPr>
          <w:rFonts w:ascii="Garamond" w:hAnsi="Garamond"/>
          <w:sz w:val="26"/>
          <w:szCs w:val="26"/>
        </w:rPr>
        <w:t xml:space="preserve"> </w:t>
      </w:r>
      <w:r w:rsidR="00145EAD">
        <w:rPr>
          <w:rFonts w:ascii="Garamond" w:hAnsi="Garamond"/>
          <w:sz w:val="26"/>
          <w:szCs w:val="26"/>
        </w:rPr>
        <w:t>seem</w:t>
      </w:r>
      <w:r>
        <w:rPr>
          <w:rFonts w:ascii="Garamond" w:hAnsi="Garamond"/>
          <w:sz w:val="26"/>
          <w:szCs w:val="26"/>
        </w:rPr>
        <w:t xml:space="preserve"> similar, presumably because they are unrelated in terms of purpose and functionality</w:t>
      </w:r>
      <w:r w:rsidR="00145EAD">
        <w:rPr>
          <w:rFonts w:ascii="Garamond" w:hAnsi="Garamond"/>
          <w:sz w:val="26"/>
          <w:szCs w:val="26"/>
        </w:rPr>
        <w:t>,</w:t>
      </w:r>
      <w:r>
        <w:rPr>
          <w:rFonts w:ascii="Garamond" w:hAnsi="Garamond"/>
          <w:sz w:val="26"/>
          <w:szCs w:val="26"/>
        </w:rPr>
        <w:t xml:space="preserve"> even though they might both be personal property </w:t>
      </w:r>
      <w:r w:rsidR="00145EAD">
        <w:rPr>
          <w:rFonts w:ascii="Garamond" w:hAnsi="Garamond"/>
          <w:sz w:val="26"/>
          <w:szCs w:val="26"/>
        </w:rPr>
        <w:t>and</w:t>
      </w:r>
      <w:r>
        <w:rPr>
          <w:rFonts w:ascii="Garamond" w:hAnsi="Garamond"/>
          <w:sz w:val="26"/>
          <w:szCs w:val="26"/>
        </w:rPr>
        <w:t xml:space="preserve"> the color blue. </w:t>
      </w:r>
      <w:r w:rsidR="00885385">
        <w:rPr>
          <w:rFonts w:ascii="Garamond" w:hAnsi="Garamond"/>
          <w:sz w:val="26"/>
          <w:szCs w:val="26"/>
        </w:rPr>
        <w:t>In terms of</w:t>
      </w:r>
      <w:r w:rsidR="00134DC5">
        <w:rPr>
          <w:rFonts w:ascii="Garamond" w:hAnsi="Garamond"/>
          <w:sz w:val="26"/>
          <w:szCs w:val="26"/>
        </w:rPr>
        <w:t xml:space="preserve"> the categorization of things</w:t>
      </w:r>
      <w:r w:rsidR="00583E4C">
        <w:rPr>
          <w:rFonts w:ascii="Garamond" w:hAnsi="Garamond"/>
          <w:sz w:val="26"/>
          <w:szCs w:val="26"/>
        </w:rPr>
        <w:t xml:space="preserve">, </w:t>
      </w:r>
      <w:r w:rsidR="00FF6503">
        <w:rPr>
          <w:rFonts w:ascii="Garamond" w:hAnsi="Garamond"/>
          <w:sz w:val="26"/>
          <w:szCs w:val="26"/>
        </w:rPr>
        <w:t xml:space="preserve">the </w:t>
      </w:r>
      <w:r>
        <w:rPr>
          <w:rFonts w:ascii="Garamond" w:hAnsi="Garamond"/>
          <w:sz w:val="26"/>
          <w:szCs w:val="26"/>
        </w:rPr>
        <w:t>similarity o</w:t>
      </w:r>
      <w:r w:rsidR="00FF6503">
        <w:rPr>
          <w:rFonts w:ascii="Garamond" w:hAnsi="Garamond"/>
          <w:sz w:val="26"/>
          <w:szCs w:val="26"/>
        </w:rPr>
        <w:t>r</w:t>
      </w:r>
      <w:r>
        <w:rPr>
          <w:rFonts w:ascii="Garamond" w:hAnsi="Garamond"/>
          <w:sz w:val="26"/>
          <w:szCs w:val="26"/>
        </w:rPr>
        <w:t xml:space="preserve"> dissimilarity of products exists on a continuum </w:t>
      </w:r>
      <w:r w:rsidR="00AE381E">
        <w:rPr>
          <w:rFonts w:ascii="Garamond" w:hAnsi="Garamond"/>
          <w:sz w:val="26"/>
          <w:szCs w:val="26"/>
        </w:rPr>
        <w:t>with countless ways to categorize them</w:t>
      </w:r>
      <w:r w:rsidR="00A1693D">
        <w:rPr>
          <w:rFonts w:ascii="Garamond" w:hAnsi="Garamond"/>
          <w:sz w:val="26"/>
          <w:szCs w:val="26"/>
        </w:rPr>
        <w:t xml:space="preserve"> according to their similarities</w:t>
      </w:r>
      <w:r w:rsidR="00134DC5">
        <w:rPr>
          <w:rFonts w:ascii="Garamond" w:hAnsi="Garamond"/>
          <w:sz w:val="26"/>
          <w:szCs w:val="26"/>
        </w:rPr>
        <w:t xml:space="preserve"> or dissimilarit</w:t>
      </w:r>
      <w:r w:rsidR="000575FE">
        <w:rPr>
          <w:rFonts w:ascii="Garamond" w:hAnsi="Garamond"/>
          <w:sz w:val="26"/>
          <w:szCs w:val="26"/>
        </w:rPr>
        <w:t>ies</w:t>
      </w:r>
      <w:r>
        <w:rPr>
          <w:rFonts w:ascii="Garamond" w:hAnsi="Garamond"/>
          <w:sz w:val="26"/>
          <w:szCs w:val="26"/>
        </w:rPr>
        <w:t xml:space="preserve">. For example, is a physical musical record sold in </w:t>
      </w:r>
      <w:r w:rsidR="00593A2B">
        <w:rPr>
          <w:rFonts w:ascii="Garamond" w:hAnsi="Garamond"/>
          <w:sz w:val="26"/>
          <w:szCs w:val="26"/>
        </w:rPr>
        <w:t xml:space="preserve">a </w:t>
      </w:r>
      <w:r>
        <w:rPr>
          <w:rFonts w:ascii="Garamond" w:hAnsi="Garamond"/>
          <w:sz w:val="26"/>
          <w:szCs w:val="26"/>
        </w:rPr>
        <w:t>store similar to a music streaming service sold via the Internet? Arguably, these two products are not similar because, while they both relate to music, the streaming service has functionality</w:t>
      </w:r>
      <w:r w:rsidR="006E1956">
        <w:rPr>
          <w:rFonts w:ascii="Garamond" w:hAnsi="Garamond"/>
          <w:sz w:val="26"/>
          <w:szCs w:val="26"/>
        </w:rPr>
        <w:t xml:space="preserve"> and possibly purpose</w:t>
      </w:r>
      <w:r>
        <w:rPr>
          <w:rFonts w:ascii="Garamond" w:hAnsi="Garamond"/>
          <w:sz w:val="26"/>
          <w:szCs w:val="26"/>
        </w:rPr>
        <w:t xml:space="preserve"> that distinguishes it from the physical record.</w:t>
      </w:r>
      <w:r w:rsidR="00A6624E">
        <w:rPr>
          <w:rFonts w:ascii="Garamond" w:hAnsi="Garamond"/>
          <w:sz w:val="26"/>
          <w:szCs w:val="26"/>
        </w:rPr>
        <w:t xml:space="preserve"> Digital products are replete with these types of difference</w:t>
      </w:r>
      <w:r w:rsidR="00D41149">
        <w:rPr>
          <w:rFonts w:ascii="Garamond" w:hAnsi="Garamond"/>
          <w:sz w:val="26"/>
          <w:szCs w:val="26"/>
        </w:rPr>
        <w:t>s</w:t>
      </w:r>
      <w:r w:rsidR="00A6624E">
        <w:rPr>
          <w:rFonts w:ascii="Garamond" w:hAnsi="Garamond"/>
          <w:sz w:val="26"/>
          <w:szCs w:val="26"/>
        </w:rPr>
        <w:t>.</w:t>
      </w:r>
      <w:r>
        <w:rPr>
          <w:rFonts w:ascii="Garamond" w:hAnsi="Garamond"/>
          <w:sz w:val="26"/>
          <w:szCs w:val="26"/>
        </w:rPr>
        <w:t xml:space="preserve"> </w:t>
      </w:r>
      <w:r w:rsidR="00A6624E">
        <w:rPr>
          <w:rFonts w:ascii="Garamond" w:hAnsi="Garamond"/>
          <w:sz w:val="26"/>
          <w:szCs w:val="26"/>
        </w:rPr>
        <w:t>Moreover, t</w:t>
      </w:r>
      <w:r w:rsidR="00105D9B">
        <w:rPr>
          <w:rFonts w:ascii="Garamond" w:hAnsi="Garamond"/>
          <w:sz w:val="26"/>
          <w:szCs w:val="26"/>
        </w:rPr>
        <w:t>he digital landscape makes this endeavor more complicated because products are eve</w:t>
      </w:r>
      <w:r w:rsidR="00A6624E">
        <w:rPr>
          <w:rFonts w:ascii="Garamond" w:hAnsi="Garamond"/>
          <w:sz w:val="26"/>
          <w:szCs w:val="26"/>
        </w:rPr>
        <w:t>r</w:t>
      </w:r>
      <w:r w:rsidR="00105D9B">
        <w:rPr>
          <w:rFonts w:ascii="Garamond" w:hAnsi="Garamond"/>
          <w:sz w:val="26"/>
          <w:szCs w:val="26"/>
        </w:rPr>
        <w:t xml:space="preserve"> changing and evolving.</w:t>
      </w:r>
    </w:p>
    <w:p w14:paraId="0ED3CFE8" w14:textId="25351CF2" w:rsidR="00881D7B" w:rsidRDefault="00A67119" w:rsidP="009529B4">
      <w:pPr>
        <w:rPr>
          <w:rFonts w:ascii="Garamond" w:hAnsi="Garamond"/>
          <w:sz w:val="26"/>
          <w:szCs w:val="26"/>
        </w:rPr>
      </w:pPr>
      <w:r>
        <w:rPr>
          <w:rFonts w:ascii="Garamond" w:hAnsi="Garamond"/>
          <w:sz w:val="26"/>
          <w:szCs w:val="26"/>
        </w:rPr>
        <w:t xml:space="preserve">The </w:t>
      </w:r>
      <w:r w:rsidR="00173C8D">
        <w:rPr>
          <w:rFonts w:ascii="Garamond" w:hAnsi="Garamond"/>
          <w:sz w:val="26"/>
          <w:szCs w:val="26"/>
        </w:rPr>
        <w:t>ITFA provides no brightline</w:t>
      </w:r>
      <w:r w:rsidR="00316AD6">
        <w:rPr>
          <w:rFonts w:ascii="Garamond" w:hAnsi="Garamond"/>
          <w:sz w:val="26"/>
          <w:szCs w:val="26"/>
        </w:rPr>
        <w:t xml:space="preserve"> rule</w:t>
      </w:r>
      <w:r w:rsidR="00173C8D">
        <w:rPr>
          <w:rFonts w:ascii="Garamond" w:hAnsi="Garamond"/>
          <w:sz w:val="26"/>
          <w:szCs w:val="26"/>
        </w:rPr>
        <w:t xml:space="preserve"> to identify when products are “similar”</w:t>
      </w:r>
      <w:r w:rsidR="00A1693D">
        <w:rPr>
          <w:rFonts w:ascii="Garamond" w:hAnsi="Garamond"/>
          <w:sz w:val="26"/>
          <w:szCs w:val="26"/>
        </w:rPr>
        <w:t xml:space="preserve"> for legal purposes</w:t>
      </w:r>
      <w:r w:rsidR="00173C8D">
        <w:rPr>
          <w:rFonts w:ascii="Garamond" w:hAnsi="Garamond"/>
          <w:sz w:val="26"/>
          <w:szCs w:val="26"/>
        </w:rPr>
        <w:t>, leaving the matter to states to grapple with and the courts to decide on a case-by-case</w:t>
      </w:r>
      <w:r>
        <w:rPr>
          <w:rFonts w:ascii="Garamond" w:hAnsi="Garamond"/>
          <w:sz w:val="26"/>
          <w:szCs w:val="26"/>
        </w:rPr>
        <w:t xml:space="preserve"> basis</w:t>
      </w:r>
      <w:r w:rsidR="00173C8D">
        <w:rPr>
          <w:rFonts w:ascii="Garamond" w:hAnsi="Garamond"/>
          <w:sz w:val="26"/>
          <w:szCs w:val="26"/>
        </w:rPr>
        <w:t>. From a practical perspective, the facts will be</w:t>
      </w:r>
      <w:r>
        <w:rPr>
          <w:rFonts w:ascii="Garamond" w:hAnsi="Garamond"/>
          <w:sz w:val="26"/>
          <w:szCs w:val="26"/>
        </w:rPr>
        <w:t xml:space="preserve"> extremely</w:t>
      </w:r>
      <w:r w:rsidR="00173C8D">
        <w:rPr>
          <w:rFonts w:ascii="Garamond" w:hAnsi="Garamond"/>
          <w:sz w:val="26"/>
          <w:szCs w:val="26"/>
        </w:rPr>
        <w:t xml:space="preserve"> important in making these </w:t>
      </w:r>
      <w:r w:rsidR="00863B87">
        <w:rPr>
          <w:rFonts w:ascii="Garamond" w:hAnsi="Garamond"/>
          <w:sz w:val="26"/>
          <w:szCs w:val="26"/>
        </w:rPr>
        <w:t>distinctions</w:t>
      </w:r>
      <w:r w:rsidR="00105D9B">
        <w:rPr>
          <w:rFonts w:ascii="Garamond" w:hAnsi="Garamond"/>
          <w:sz w:val="26"/>
          <w:szCs w:val="26"/>
        </w:rPr>
        <w:t xml:space="preserve"> </w:t>
      </w:r>
      <w:r w:rsidR="00036D36">
        <w:rPr>
          <w:rFonts w:ascii="Garamond" w:hAnsi="Garamond"/>
          <w:sz w:val="26"/>
          <w:szCs w:val="26"/>
        </w:rPr>
        <w:t xml:space="preserve">when </w:t>
      </w:r>
      <w:r w:rsidR="00881D7B">
        <w:rPr>
          <w:rFonts w:ascii="Garamond" w:hAnsi="Garamond"/>
          <w:sz w:val="26"/>
          <w:szCs w:val="26"/>
        </w:rPr>
        <w:t>litigating</w:t>
      </w:r>
      <w:r w:rsidR="0059567C">
        <w:rPr>
          <w:rFonts w:ascii="Garamond" w:hAnsi="Garamond"/>
          <w:sz w:val="26"/>
          <w:szCs w:val="26"/>
        </w:rPr>
        <w:t xml:space="preserve"> the I</w:t>
      </w:r>
      <w:r w:rsidR="000C2058">
        <w:rPr>
          <w:rFonts w:ascii="Garamond" w:hAnsi="Garamond"/>
          <w:sz w:val="26"/>
          <w:szCs w:val="26"/>
        </w:rPr>
        <w:t>TFA</w:t>
      </w:r>
      <w:r w:rsidR="00173C8D">
        <w:rPr>
          <w:rFonts w:ascii="Garamond" w:hAnsi="Garamond"/>
          <w:sz w:val="26"/>
          <w:szCs w:val="26"/>
        </w:rPr>
        <w:t xml:space="preserve">. </w:t>
      </w:r>
      <w:r w:rsidR="000C2058">
        <w:rPr>
          <w:rFonts w:ascii="Garamond" w:hAnsi="Garamond"/>
          <w:sz w:val="26"/>
          <w:szCs w:val="26"/>
        </w:rPr>
        <w:t>Those involv</w:t>
      </w:r>
      <w:r w:rsidR="00316AD6">
        <w:rPr>
          <w:rFonts w:ascii="Garamond" w:hAnsi="Garamond"/>
          <w:sz w:val="26"/>
          <w:szCs w:val="26"/>
        </w:rPr>
        <w:t>ed</w:t>
      </w:r>
      <w:r w:rsidR="000C2058">
        <w:rPr>
          <w:rFonts w:ascii="Garamond" w:hAnsi="Garamond"/>
          <w:sz w:val="26"/>
          <w:szCs w:val="26"/>
        </w:rPr>
        <w:t xml:space="preserve"> in dealing with th</w:t>
      </w:r>
      <w:r w:rsidR="00316AD6">
        <w:rPr>
          <w:rFonts w:ascii="Garamond" w:hAnsi="Garamond"/>
          <w:sz w:val="26"/>
          <w:szCs w:val="26"/>
        </w:rPr>
        <w:t>ese</w:t>
      </w:r>
      <w:r w:rsidR="000C2058">
        <w:rPr>
          <w:rFonts w:ascii="Garamond" w:hAnsi="Garamond"/>
          <w:sz w:val="26"/>
          <w:szCs w:val="26"/>
        </w:rPr>
        <w:t xml:space="preserve"> issue</w:t>
      </w:r>
      <w:r w:rsidR="00316AD6">
        <w:rPr>
          <w:rFonts w:ascii="Garamond" w:hAnsi="Garamond"/>
          <w:sz w:val="26"/>
          <w:szCs w:val="26"/>
        </w:rPr>
        <w:t>s</w:t>
      </w:r>
      <w:r w:rsidR="000C2058">
        <w:rPr>
          <w:rFonts w:ascii="Garamond" w:hAnsi="Garamond"/>
          <w:sz w:val="26"/>
          <w:szCs w:val="26"/>
        </w:rPr>
        <w:t xml:space="preserve"> wil</w:t>
      </w:r>
      <w:r w:rsidR="00DF61DB">
        <w:rPr>
          <w:rFonts w:ascii="Garamond" w:hAnsi="Garamond"/>
          <w:sz w:val="26"/>
          <w:szCs w:val="26"/>
        </w:rPr>
        <w:t>l</w:t>
      </w:r>
      <w:r w:rsidR="000C2058">
        <w:rPr>
          <w:rFonts w:ascii="Garamond" w:hAnsi="Garamond"/>
          <w:sz w:val="26"/>
          <w:szCs w:val="26"/>
        </w:rPr>
        <w:t xml:space="preserve"> benefit from </w:t>
      </w:r>
      <w:r w:rsidR="00DF61DB">
        <w:rPr>
          <w:rFonts w:ascii="Garamond" w:hAnsi="Garamond"/>
          <w:sz w:val="26"/>
          <w:szCs w:val="26"/>
        </w:rPr>
        <w:t xml:space="preserve">a </w:t>
      </w:r>
      <w:r w:rsidR="001A65E2">
        <w:rPr>
          <w:rFonts w:ascii="Garamond" w:hAnsi="Garamond"/>
          <w:sz w:val="26"/>
          <w:szCs w:val="26"/>
        </w:rPr>
        <w:t xml:space="preserve">solid understanding </w:t>
      </w:r>
      <w:r w:rsidR="00FA3429">
        <w:rPr>
          <w:rFonts w:ascii="Garamond" w:hAnsi="Garamond"/>
          <w:sz w:val="26"/>
          <w:szCs w:val="26"/>
        </w:rPr>
        <w:t xml:space="preserve">of </w:t>
      </w:r>
      <w:r w:rsidR="00DF61DB">
        <w:rPr>
          <w:rFonts w:ascii="Garamond" w:hAnsi="Garamond"/>
          <w:sz w:val="26"/>
          <w:szCs w:val="26"/>
        </w:rPr>
        <w:t>what product</w:t>
      </w:r>
      <w:r w:rsidR="007F0FC7">
        <w:rPr>
          <w:rFonts w:ascii="Garamond" w:hAnsi="Garamond"/>
          <w:sz w:val="26"/>
          <w:szCs w:val="26"/>
        </w:rPr>
        <w:t>s</w:t>
      </w:r>
      <w:r w:rsidR="00DF61DB">
        <w:rPr>
          <w:rFonts w:ascii="Garamond" w:hAnsi="Garamond"/>
          <w:sz w:val="26"/>
          <w:szCs w:val="26"/>
        </w:rPr>
        <w:t xml:space="preserve"> exist in the market</w:t>
      </w:r>
      <w:r w:rsidR="00FA3429">
        <w:rPr>
          <w:rFonts w:ascii="Garamond" w:hAnsi="Garamond"/>
          <w:sz w:val="26"/>
          <w:szCs w:val="26"/>
        </w:rPr>
        <w:t>place</w:t>
      </w:r>
      <w:r w:rsidR="00A808AE">
        <w:rPr>
          <w:rFonts w:ascii="Garamond" w:hAnsi="Garamond"/>
          <w:sz w:val="26"/>
          <w:szCs w:val="26"/>
        </w:rPr>
        <w:t xml:space="preserve"> and </w:t>
      </w:r>
      <w:r w:rsidR="0005334F">
        <w:rPr>
          <w:rFonts w:ascii="Garamond" w:hAnsi="Garamond"/>
          <w:sz w:val="26"/>
          <w:szCs w:val="26"/>
        </w:rPr>
        <w:t xml:space="preserve">an </w:t>
      </w:r>
      <w:r w:rsidR="00A808AE">
        <w:rPr>
          <w:rFonts w:ascii="Garamond" w:hAnsi="Garamond"/>
          <w:sz w:val="26"/>
          <w:szCs w:val="26"/>
        </w:rPr>
        <w:t xml:space="preserve">understanding </w:t>
      </w:r>
      <w:r w:rsidR="000575FE">
        <w:rPr>
          <w:rFonts w:ascii="Garamond" w:hAnsi="Garamond"/>
          <w:sz w:val="26"/>
          <w:szCs w:val="26"/>
        </w:rPr>
        <w:t xml:space="preserve">of </w:t>
      </w:r>
      <w:r w:rsidR="00A808AE">
        <w:rPr>
          <w:rFonts w:ascii="Garamond" w:hAnsi="Garamond"/>
          <w:sz w:val="26"/>
          <w:szCs w:val="26"/>
        </w:rPr>
        <w:t>the products themselves</w:t>
      </w:r>
      <w:r w:rsidR="000575FE">
        <w:rPr>
          <w:rFonts w:ascii="Garamond" w:hAnsi="Garamond"/>
          <w:sz w:val="26"/>
          <w:szCs w:val="26"/>
        </w:rPr>
        <w:t>,</w:t>
      </w:r>
      <w:r w:rsidR="0005334F">
        <w:rPr>
          <w:rFonts w:ascii="Garamond" w:hAnsi="Garamond"/>
          <w:sz w:val="26"/>
          <w:szCs w:val="26"/>
        </w:rPr>
        <w:t xml:space="preserve"> allow</w:t>
      </w:r>
      <w:r w:rsidR="000575FE">
        <w:rPr>
          <w:rFonts w:ascii="Garamond" w:hAnsi="Garamond"/>
          <w:sz w:val="26"/>
          <w:szCs w:val="26"/>
        </w:rPr>
        <w:t>ing</w:t>
      </w:r>
      <w:r w:rsidR="00A443B4">
        <w:rPr>
          <w:rFonts w:ascii="Garamond" w:hAnsi="Garamond"/>
          <w:sz w:val="26"/>
          <w:szCs w:val="26"/>
        </w:rPr>
        <w:t xml:space="preserve"> a careful weighing of similarity</w:t>
      </w:r>
      <w:r w:rsidR="00A445AE">
        <w:rPr>
          <w:rFonts w:ascii="Garamond" w:hAnsi="Garamond"/>
          <w:sz w:val="26"/>
          <w:szCs w:val="26"/>
        </w:rPr>
        <w:t xml:space="preserve"> and dissimilarity</w:t>
      </w:r>
      <w:r w:rsidR="00A443B4">
        <w:rPr>
          <w:rFonts w:ascii="Garamond" w:hAnsi="Garamond"/>
          <w:sz w:val="26"/>
          <w:szCs w:val="26"/>
        </w:rPr>
        <w:t>.</w:t>
      </w:r>
      <w:r w:rsidR="00F87B28">
        <w:rPr>
          <w:rFonts w:ascii="Garamond" w:hAnsi="Garamond"/>
          <w:sz w:val="26"/>
          <w:szCs w:val="26"/>
        </w:rPr>
        <w:t xml:space="preserve"> </w:t>
      </w:r>
      <w:r w:rsidR="00A17605">
        <w:rPr>
          <w:rFonts w:ascii="Garamond" w:hAnsi="Garamond"/>
          <w:sz w:val="26"/>
          <w:szCs w:val="26"/>
        </w:rPr>
        <w:t>T</w:t>
      </w:r>
      <w:r w:rsidR="00F87B28">
        <w:rPr>
          <w:rFonts w:ascii="Garamond" w:hAnsi="Garamond"/>
          <w:sz w:val="26"/>
          <w:szCs w:val="26"/>
        </w:rPr>
        <w:t xml:space="preserve">hought should </w:t>
      </w:r>
      <w:r w:rsidR="00A17605">
        <w:rPr>
          <w:rFonts w:ascii="Garamond" w:hAnsi="Garamond"/>
          <w:sz w:val="26"/>
          <w:szCs w:val="26"/>
        </w:rPr>
        <w:t>also</w:t>
      </w:r>
      <w:r w:rsidR="00F87B28">
        <w:rPr>
          <w:rFonts w:ascii="Garamond" w:hAnsi="Garamond"/>
          <w:sz w:val="26"/>
          <w:szCs w:val="26"/>
        </w:rPr>
        <w:t xml:space="preserve"> be given </w:t>
      </w:r>
      <w:r w:rsidR="00A443B4">
        <w:rPr>
          <w:rFonts w:ascii="Garamond" w:hAnsi="Garamond"/>
          <w:sz w:val="26"/>
          <w:szCs w:val="26"/>
        </w:rPr>
        <w:t xml:space="preserve">to </w:t>
      </w:r>
      <w:r w:rsidR="00A17605">
        <w:rPr>
          <w:rFonts w:ascii="Garamond" w:hAnsi="Garamond"/>
          <w:sz w:val="26"/>
          <w:szCs w:val="26"/>
        </w:rPr>
        <w:t xml:space="preserve">identifying </w:t>
      </w:r>
      <w:r w:rsidR="00A443B4">
        <w:rPr>
          <w:rFonts w:ascii="Garamond" w:hAnsi="Garamond"/>
          <w:sz w:val="26"/>
          <w:szCs w:val="26"/>
        </w:rPr>
        <w:t>the</w:t>
      </w:r>
      <w:r w:rsidR="00DC4508">
        <w:rPr>
          <w:rFonts w:ascii="Garamond" w:hAnsi="Garamond"/>
          <w:sz w:val="26"/>
          <w:szCs w:val="26"/>
        </w:rPr>
        <w:t xml:space="preserve"> </w:t>
      </w:r>
      <w:r w:rsidR="00103D1F">
        <w:rPr>
          <w:rFonts w:ascii="Garamond" w:hAnsi="Garamond"/>
          <w:sz w:val="26"/>
          <w:szCs w:val="26"/>
        </w:rPr>
        <w:t>important</w:t>
      </w:r>
      <w:r w:rsidR="00633F72">
        <w:rPr>
          <w:rFonts w:ascii="Garamond" w:hAnsi="Garamond"/>
          <w:sz w:val="26"/>
          <w:szCs w:val="26"/>
        </w:rPr>
        <w:t xml:space="preserve"> qualitative distinctions</w:t>
      </w:r>
      <w:r w:rsidR="00A443B4">
        <w:rPr>
          <w:rFonts w:ascii="Garamond" w:hAnsi="Garamond"/>
          <w:sz w:val="26"/>
          <w:szCs w:val="26"/>
        </w:rPr>
        <w:t xml:space="preserve"> for purposes </w:t>
      </w:r>
      <w:r w:rsidR="00A17605">
        <w:rPr>
          <w:rFonts w:ascii="Garamond" w:hAnsi="Garamond"/>
          <w:sz w:val="26"/>
          <w:szCs w:val="26"/>
        </w:rPr>
        <w:t xml:space="preserve">of </w:t>
      </w:r>
      <w:r w:rsidR="00A443B4">
        <w:rPr>
          <w:rFonts w:ascii="Garamond" w:hAnsi="Garamond"/>
          <w:sz w:val="26"/>
          <w:szCs w:val="26"/>
        </w:rPr>
        <w:t>the ITFA</w:t>
      </w:r>
      <w:r w:rsidR="00204788">
        <w:rPr>
          <w:rFonts w:ascii="Garamond" w:hAnsi="Garamond"/>
          <w:sz w:val="26"/>
          <w:szCs w:val="26"/>
        </w:rPr>
        <w:t xml:space="preserve"> analysis</w:t>
      </w:r>
      <w:r w:rsidR="00633F72">
        <w:rPr>
          <w:rFonts w:ascii="Garamond" w:hAnsi="Garamond"/>
          <w:sz w:val="26"/>
          <w:szCs w:val="26"/>
        </w:rPr>
        <w:t xml:space="preserve"> (e.g., distinct purpose</w:t>
      </w:r>
      <w:r w:rsidR="00A17605">
        <w:rPr>
          <w:rFonts w:ascii="Garamond" w:hAnsi="Garamond"/>
          <w:sz w:val="26"/>
          <w:szCs w:val="26"/>
        </w:rPr>
        <w:t xml:space="preserve"> or </w:t>
      </w:r>
      <w:r w:rsidR="00633F72">
        <w:rPr>
          <w:rFonts w:ascii="Garamond" w:hAnsi="Garamond"/>
          <w:sz w:val="26"/>
          <w:szCs w:val="26"/>
        </w:rPr>
        <w:t>different or additional features</w:t>
      </w:r>
      <w:r w:rsidR="000234A8">
        <w:rPr>
          <w:rFonts w:ascii="Garamond" w:hAnsi="Garamond"/>
          <w:sz w:val="26"/>
          <w:szCs w:val="26"/>
        </w:rPr>
        <w:t>)</w:t>
      </w:r>
      <w:r w:rsidR="00633F72">
        <w:rPr>
          <w:rFonts w:ascii="Garamond" w:hAnsi="Garamond"/>
          <w:sz w:val="26"/>
          <w:szCs w:val="26"/>
        </w:rPr>
        <w:t xml:space="preserve"> and </w:t>
      </w:r>
      <w:r w:rsidR="00204788">
        <w:rPr>
          <w:rFonts w:ascii="Garamond" w:hAnsi="Garamond"/>
          <w:sz w:val="26"/>
          <w:szCs w:val="26"/>
        </w:rPr>
        <w:t xml:space="preserve">the </w:t>
      </w:r>
      <w:r w:rsidR="00A443B4">
        <w:rPr>
          <w:rFonts w:ascii="Garamond" w:hAnsi="Garamond"/>
          <w:sz w:val="26"/>
          <w:szCs w:val="26"/>
        </w:rPr>
        <w:t>potential</w:t>
      </w:r>
      <w:r w:rsidR="00633F72">
        <w:rPr>
          <w:rFonts w:ascii="Garamond" w:hAnsi="Garamond"/>
          <w:sz w:val="26"/>
          <w:szCs w:val="26"/>
        </w:rPr>
        <w:t xml:space="preserve"> quantitative </w:t>
      </w:r>
      <w:r w:rsidR="00A443B4">
        <w:rPr>
          <w:rFonts w:ascii="Garamond" w:hAnsi="Garamond"/>
          <w:sz w:val="26"/>
          <w:szCs w:val="26"/>
        </w:rPr>
        <w:t>distinctions</w:t>
      </w:r>
      <w:r w:rsidR="00FA3429">
        <w:rPr>
          <w:rFonts w:ascii="Garamond" w:hAnsi="Garamond"/>
          <w:sz w:val="26"/>
          <w:szCs w:val="26"/>
        </w:rPr>
        <w:t>.</w:t>
      </w:r>
    </w:p>
    <w:p w14:paraId="2792A31F" w14:textId="22940FF6" w:rsidR="00686C97" w:rsidRDefault="00173C8D" w:rsidP="009529B4">
      <w:pPr>
        <w:rPr>
          <w:rFonts w:ascii="Garamond" w:hAnsi="Garamond"/>
          <w:sz w:val="26"/>
          <w:szCs w:val="26"/>
        </w:rPr>
      </w:pPr>
      <w:r>
        <w:rPr>
          <w:rFonts w:ascii="Garamond" w:hAnsi="Garamond"/>
          <w:sz w:val="26"/>
          <w:szCs w:val="26"/>
        </w:rPr>
        <w:t>States are well-advised t</w:t>
      </w:r>
      <w:r w:rsidR="003C1331">
        <w:rPr>
          <w:rFonts w:ascii="Garamond" w:hAnsi="Garamond"/>
          <w:sz w:val="26"/>
          <w:szCs w:val="26"/>
        </w:rPr>
        <w:t>o</w:t>
      </w:r>
      <w:r>
        <w:rPr>
          <w:rFonts w:ascii="Garamond" w:hAnsi="Garamond"/>
          <w:sz w:val="26"/>
          <w:szCs w:val="26"/>
        </w:rPr>
        <w:t xml:space="preserve"> consider the ITFA implications when addressing digital products </w:t>
      </w:r>
      <w:r w:rsidR="003A2607">
        <w:rPr>
          <w:rFonts w:ascii="Garamond" w:hAnsi="Garamond"/>
          <w:sz w:val="26"/>
          <w:szCs w:val="26"/>
        </w:rPr>
        <w:t>within their tax base</w:t>
      </w:r>
      <w:r>
        <w:rPr>
          <w:rFonts w:ascii="Garamond" w:hAnsi="Garamond"/>
          <w:sz w:val="26"/>
          <w:szCs w:val="26"/>
        </w:rPr>
        <w:t xml:space="preserve"> with </w:t>
      </w:r>
      <w:r w:rsidR="000575FE">
        <w:rPr>
          <w:rFonts w:ascii="Garamond" w:hAnsi="Garamond"/>
          <w:sz w:val="26"/>
          <w:szCs w:val="26"/>
        </w:rPr>
        <w:t xml:space="preserve">an </w:t>
      </w:r>
      <w:r w:rsidR="003A2607">
        <w:rPr>
          <w:rFonts w:ascii="Garamond" w:hAnsi="Garamond"/>
          <w:sz w:val="26"/>
          <w:szCs w:val="26"/>
        </w:rPr>
        <w:t xml:space="preserve">eye to identifying </w:t>
      </w:r>
      <w:r>
        <w:rPr>
          <w:rFonts w:ascii="Garamond" w:hAnsi="Garamond"/>
          <w:sz w:val="26"/>
          <w:szCs w:val="26"/>
        </w:rPr>
        <w:t xml:space="preserve">the risks. In this regard, one option states might consider are laws that require similar products </w:t>
      </w:r>
      <w:r w:rsidR="0049163E">
        <w:rPr>
          <w:rFonts w:ascii="Garamond" w:hAnsi="Garamond"/>
          <w:sz w:val="26"/>
          <w:szCs w:val="26"/>
        </w:rPr>
        <w:t xml:space="preserve">to </w:t>
      </w:r>
      <w:r>
        <w:rPr>
          <w:rFonts w:ascii="Garamond" w:hAnsi="Garamond"/>
          <w:sz w:val="26"/>
          <w:szCs w:val="26"/>
        </w:rPr>
        <w:t>be taxed the same consistent with the ITFA, requiring either the exemption or taxation of both products upon the final decision in the courts that two products are similar and are not being treated the same for tax purpose</w:t>
      </w:r>
      <w:r w:rsidR="00C42D63">
        <w:rPr>
          <w:rFonts w:ascii="Garamond" w:hAnsi="Garamond"/>
          <w:sz w:val="26"/>
          <w:szCs w:val="26"/>
        </w:rPr>
        <w:t>s</w:t>
      </w:r>
      <w:r>
        <w:rPr>
          <w:rFonts w:ascii="Garamond" w:hAnsi="Garamond"/>
          <w:sz w:val="26"/>
          <w:szCs w:val="26"/>
        </w:rPr>
        <w:t xml:space="preserve">. </w:t>
      </w:r>
    </w:p>
    <w:p w14:paraId="4710B632" w14:textId="14979AD8" w:rsidR="00686C97" w:rsidRDefault="00686C97" w:rsidP="009529B4">
      <w:pPr>
        <w:rPr>
          <w:rFonts w:ascii="Garamond" w:hAnsi="Garamond"/>
          <w:sz w:val="26"/>
          <w:szCs w:val="26"/>
        </w:rPr>
      </w:pPr>
      <w:r>
        <w:rPr>
          <w:rFonts w:ascii="Garamond" w:hAnsi="Garamond"/>
          <w:sz w:val="26"/>
          <w:szCs w:val="26"/>
        </w:rPr>
        <w:t>One example of language that contains the requirement of a judicial or other determination to apply is from a proposed amendment to the Streamlined Sales and Use Tax Agreement. The language is from a proposed amendment that has not been adopted. The language concerns member states’ compliance with the Streamlined Agreement, but addresses situations where federal law might require an exemption and would ensure that such an exemption would not result in noncompliance. The proposed language is as follows:</w:t>
      </w:r>
    </w:p>
    <w:p w14:paraId="5A5231ED" w14:textId="01A43BD2" w:rsidR="00686C97" w:rsidRDefault="00686C97" w:rsidP="009529B4">
      <w:pPr>
        <w:ind w:left="720"/>
        <w:rPr>
          <w:rFonts w:ascii="Garamond" w:hAnsi="Garamond"/>
          <w:sz w:val="26"/>
          <w:szCs w:val="26"/>
        </w:rPr>
      </w:pPr>
      <w:r>
        <w:rPr>
          <w:rFonts w:ascii="Garamond" w:hAnsi="Garamond"/>
          <w:sz w:val="26"/>
          <w:szCs w:val="26"/>
        </w:rPr>
        <w:lastRenderedPageBreak/>
        <w:t>No member state shall be found out of compliance under subsection A. if its noncompliance is the result of a judicial ruling, legislative determination or formal decision of the executive branch of the member state that the law, rule, regulation or policy at issue is necessary to comply with federal law.</w:t>
      </w:r>
      <w:r>
        <w:rPr>
          <w:rStyle w:val="FootnoteReference"/>
          <w:rFonts w:ascii="Garamond" w:hAnsi="Garamond"/>
          <w:sz w:val="26"/>
          <w:szCs w:val="26"/>
        </w:rPr>
        <w:footnoteReference w:id="28"/>
      </w:r>
    </w:p>
    <w:p w14:paraId="7743BD35" w14:textId="171C02C0" w:rsidR="00686C97" w:rsidRDefault="00686C97" w:rsidP="009529B4">
      <w:pPr>
        <w:rPr>
          <w:rFonts w:ascii="Garamond" w:hAnsi="Garamond"/>
          <w:sz w:val="26"/>
          <w:szCs w:val="26"/>
        </w:rPr>
      </w:pPr>
      <w:r>
        <w:rPr>
          <w:rFonts w:ascii="Garamond" w:hAnsi="Garamond"/>
          <w:sz w:val="26"/>
          <w:szCs w:val="26"/>
        </w:rPr>
        <w:t>Another example can be found in Wisconsin’s sales tax statute, which provides:</w:t>
      </w:r>
    </w:p>
    <w:p w14:paraId="687FB682" w14:textId="28A23A29" w:rsidR="005152B3" w:rsidRDefault="005152B3" w:rsidP="009529B4">
      <w:pPr>
        <w:ind w:left="720"/>
        <w:rPr>
          <w:rFonts w:ascii="Garamond" w:hAnsi="Garamond"/>
          <w:sz w:val="26"/>
          <w:szCs w:val="26"/>
        </w:rPr>
      </w:pPr>
      <w:r w:rsidRPr="005152B3">
        <w:rPr>
          <w:rFonts w:ascii="Garamond" w:hAnsi="Garamond"/>
          <w:sz w:val="26"/>
          <w:szCs w:val="26"/>
        </w:rPr>
        <w:t>"The sales price from the sale of and the storage, use, or other consumption of specified digital goods or additional digital goods, if the sale of and the storage, use, or other consumption of such goods sold in a tangible form is exempt from, or not subject to, taxation under this subchapter."</w:t>
      </w:r>
      <w:r w:rsidRPr="005152B3">
        <w:rPr>
          <w:rStyle w:val="FootnoteReference"/>
          <w:rFonts w:ascii="Garamond" w:hAnsi="Garamond"/>
          <w:sz w:val="26"/>
          <w:szCs w:val="26"/>
        </w:rPr>
        <w:footnoteReference w:id="29"/>
      </w:r>
    </w:p>
    <w:p w14:paraId="2920AEEB" w14:textId="729DEDC7" w:rsidR="003413DB" w:rsidRDefault="00686C97" w:rsidP="009529B4">
      <w:pPr>
        <w:rPr>
          <w:rFonts w:ascii="Garamond" w:hAnsi="Garamond"/>
          <w:sz w:val="26"/>
          <w:szCs w:val="26"/>
        </w:rPr>
      </w:pPr>
      <w:r>
        <w:rPr>
          <w:rFonts w:ascii="Garamond" w:hAnsi="Garamond"/>
          <w:sz w:val="26"/>
          <w:szCs w:val="26"/>
        </w:rPr>
        <w:t>A</w:t>
      </w:r>
      <w:r w:rsidR="005152B3">
        <w:rPr>
          <w:rFonts w:ascii="Garamond" w:hAnsi="Garamond"/>
          <w:sz w:val="26"/>
          <w:szCs w:val="26"/>
        </w:rPr>
        <w:t xml:space="preserve"> more generic</w:t>
      </w:r>
      <w:r>
        <w:rPr>
          <w:rFonts w:ascii="Garamond" w:hAnsi="Garamond"/>
          <w:sz w:val="26"/>
          <w:szCs w:val="26"/>
        </w:rPr>
        <w:t xml:space="preserve"> but likely less effective </w:t>
      </w:r>
      <w:r w:rsidR="005152B3">
        <w:rPr>
          <w:rFonts w:ascii="Garamond" w:hAnsi="Garamond"/>
          <w:sz w:val="26"/>
          <w:szCs w:val="26"/>
        </w:rPr>
        <w:t xml:space="preserve">option </w:t>
      </w:r>
      <w:r>
        <w:rPr>
          <w:rFonts w:ascii="Garamond" w:hAnsi="Garamond"/>
          <w:sz w:val="26"/>
          <w:szCs w:val="26"/>
        </w:rPr>
        <w:t>is</w:t>
      </w:r>
      <w:r w:rsidR="005152B3" w:rsidRPr="005152B3">
        <w:rPr>
          <w:rFonts w:ascii="Garamond" w:hAnsi="Garamond"/>
          <w:sz w:val="26"/>
          <w:szCs w:val="26"/>
        </w:rPr>
        <w:t xml:space="preserve"> a provision prohibiting taxation of anything the “state is prohibited from taxing under the constitution or laws of the United States.”</w:t>
      </w:r>
      <w:r w:rsidR="005152B3" w:rsidRPr="005152B3">
        <w:rPr>
          <w:rStyle w:val="FootnoteReference"/>
          <w:rFonts w:ascii="Garamond" w:hAnsi="Garamond"/>
          <w:sz w:val="26"/>
          <w:szCs w:val="26"/>
        </w:rPr>
        <w:footnoteReference w:id="30"/>
      </w:r>
      <w:r>
        <w:rPr>
          <w:rFonts w:ascii="Garamond" w:hAnsi="Garamond"/>
          <w:sz w:val="26"/>
          <w:szCs w:val="26"/>
        </w:rPr>
        <w:t xml:space="preserve"> Many states’ laws contain such language.</w:t>
      </w:r>
    </w:p>
    <w:p w14:paraId="0C1332B4" w14:textId="02C01AC7" w:rsidR="003413DB" w:rsidRDefault="000046B2" w:rsidP="009529B4">
      <w:pPr>
        <w:rPr>
          <w:rFonts w:ascii="Garamond" w:hAnsi="Garamond"/>
          <w:sz w:val="26"/>
          <w:szCs w:val="26"/>
        </w:rPr>
      </w:pPr>
      <w:r w:rsidRPr="00CE103D">
        <w:rPr>
          <w:rFonts w:ascii="Garamond" w:hAnsi="Garamond"/>
          <w:sz w:val="26"/>
          <w:szCs w:val="26"/>
        </w:rPr>
        <w:t>Yet a</w:t>
      </w:r>
      <w:r w:rsidR="001C6682" w:rsidRPr="00CE103D">
        <w:rPr>
          <w:rFonts w:ascii="Garamond" w:hAnsi="Garamond"/>
          <w:sz w:val="26"/>
          <w:szCs w:val="26"/>
        </w:rPr>
        <w:t>nother example</w:t>
      </w:r>
      <w:r w:rsidRPr="00CE103D">
        <w:rPr>
          <w:rFonts w:ascii="Garamond" w:hAnsi="Garamond"/>
          <w:sz w:val="26"/>
          <w:szCs w:val="26"/>
        </w:rPr>
        <w:t xml:space="preserve">, regarding </w:t>
      </w:r>
      <w:r w:rsidR="00686C97">
        <w:rPr>
          <w:rFonts w:ascii="Garamond" w:hAnsi="Garamond"/>
          <w:sz w:val="26"/>
          <w:szCs w:val="26"/>
        </w:rPr>
        <w:t xml:space="preserve">the ITFA’s </w:t>
      </w:r>
      <w:r w:rsidRPr="00CE103D">
        <w:rPr>
          <w:rFonts w:ascii="Garamond" w:hAnsi="Garamond"/>
          <w:sz w:val="26"/>
          <w:szCs w:val="26"/>
        </w:rPr>
        <w:t xml:space="preserve">Internet access </w:t>
      </w:r>
      <w:r w:rsidR="00686C97">
        <w:rPr>
          <w:rFonts w:ascii="Garamond" w:hAnsi="Garamond"/>
          <w:sz w:val="26"/>
          <w:szCs w:val="26"/>
        </w:rPr>
        <w:t xml:space="preserve">provision </w:t>
      </w:r>
      <w:r w:rsidRPr="00CE103D">
        <w:rPr>
          <w:rFonts w:ascii="Garamond" w:hAnsi="Garamond"/>
          <w:sz w:val="26"/>
          <w:szCs w:val="26"/>
        </w:rPr>
        <w:t xml:space="preserve">rather than </w:t>
      </w:r>
      <w:r w:rsidR="00686C97">
        <w:rPr>
          <w:rFonts w:ascii="Garamond" w:hAnsi="Garamond"/>
          <w:sz w:val="26"/>
          <w:szCs w:val="26"/>
        </w:rPr>
        <w:t xml:space="preserve">its </w:t>
      </w:r>
      <w:r w:rsidRPr="00CE103D">
        <w:rPr>
          <w:rFonts w:ascii="Garamond" w:hAnsi="Garamond"/>
          <w:sz w:val="26"/>
          <w:szCs w:val="26"/>
        </w:rPr>
        <w:t xml:space="preserve">discrimination provision, </w:t>
      </w:r>
      <w:r w:rsidR="001C6682" w:rsidRPr="00CE103D">
        <w:rPr>
          <w:rFonts w:ascii="Garamond" w:hAnsi="Garamond"/>
          <w:sz w:val="26"/>
          <w:szCs w:val="26"/>
        </w:rPr>
        <w:t>can be found in Virginia</w:t>
      </w:r>
      <w:r w:rsidRPr="00CE103D">
        <w:rPr>
          <w:rFonts w:ascii="Garamond" w:hAnsi="Garamond"/>
          <w:sz w:val="26"/>
          <w:szCs w:val="26"/>
        </w:rPr>
        <w:t xml:space="preserve">’s statute. Virginia law </w:t>
      </w:r>
      <w:r w:rsidR="001C6682" w:rsidRPr="00CE103D">
        <w:rPr>
          <w:rFonts w:ascii="Garamond" w:hAnsi="Garamond"/>
          <w:sz w:val="26"/>
          <w:szCs w:val="26"/>
        </w:rPr>
        <w:t>includes an exemption for “Internet access service” and various related services</w:t>
      </w:r>
      <w:r w:rsidRPr="00CE103D">
        <w:rPr>
          <w:rFonts w:ascii="Garamond" w:hAnsi="Garamond"/>
          <w:sz w:val="26"/>
          <w:szCs w:val="26"/>
        </w:rPr>
        <w:t>.</w:t>
      </w:r>
      <w:r w:rsidR="001C6682" w:rsidRPr="00CE103D">
        <w:rPr>
          <w:rStyle w:val="FootnoteReference"/>
          <w:rFonts w:ascii="Garamond" w:hAnsi="Garamond"/>
          <w:sz w:val="26"/>
          <w:szCs w:val="26"/>
        </w:rPr>
        <w:footnoteReference w:id="31"/>
      </w:r>
      <w:r w:rsidR="001C6682" w:rsidRPr="00CE103D">
        <w:rPr>
          <w:rFonts w:ascii="Garamond" w:hAnsi="Garamond"/>
          <w:sz w:val="26"/>
          <w:szCs w:val="26"/>
        </w:rPr>
        <w:t xml:space="preserve"> </w:t>
      </w:r>
      <w:r w:rsidRPr="00CE103D">
        <w:rPr>
          <w:rFonts w:ascii="Garamond" w:hAnsi="Garamond"/>
          <w:sz w:val="26"/>
          <w:szCs w:val="26"/>
        </w:rPr>
        <w:t>The exemption</w:t>
      </w:r>
      <w:r w:rsidR="001C6682" w:rsidRPr="00CE103D">
        <w:rPr>
          <w:rFonts w:ascii="Garamond" w:hAnsi="Garamond"/>
          <w:sz w:val="26"/>
          <w:szCs w:val="26"/>
        </w:rPr>
        <w:t xml:space="preserve"> defines the term “Internet access service” similarly to how the ITFA defines “Internet access.”</w:t>
      </w:r>
      <w:r w:rsidR="001C6682" w:rsidRPr="00CE103D">
        <w:rPr>
          <w:rStyle w:val="FootnoteReference"/>
          <w:rFonts w:ascii="Garamond" w:hAnsi="Garamond"/>
          <w:sz w:val="26"/>
          <w:szCs w:val="26"/>
        </w:rPr>
        <w:footnoteReference w:id="32"/>
      </w:r>
    </w:p>
    <w:p w14:paraId="2415CD8B" w14:textId="4352DBD7" w:rsidR="000D55C7" w:rsidRDefault="000D55C7" w:rsidP="00AD4801">
      <w:pPr>
        <w:rPr>
          <w:rFonts w:ascii="Garamond" w:hAnsi="Garamond"/>
          <w:sz w:val="26"/>
          <w:szCs w:val="26"/>
        </w:rPr>
      </w:pPr>
      <w:r>
        <w:rPr>
          <w:rFonts w:ascii="Garamond" w:hAnsi="Garamond"/>
          <w:sz w:val="26"/>
          <w:szCs w:val="26"/>
        </w:rPr>
        <w:t>If doing this, states should be careful not to overprotect in the name of the ITFA.</w:t>
      </w:r>
    </w:p>
    <w:p w14:paraId="7A92A9C2" w14:textId="77777777" w:rsidR="00E65DEA" w:rsidRDefault="00AD4801" w:rsidP="00E369CE">
      <w:pPr>
        <w:rPr>
          <w:rFonts w:ascii="Garamond" w:hAnsi="Garamond"/>
          <w:sz w:val="26"/>
          <w:szCs w:val="26"/>
        </w:rPr>
      </w:pPr>
      <w:r>
        <w:rPr>
          <w:rFonts w:ascii="Garamond" w:hAnsi="Garamond"/>
          <w:sz w:val="26"/>
          <w:szCs w:val="26"/>
        </w:rPr>
        <w:t xml:space="preserve">In any case, the term </w:t>
      </w:r>
      <w:r w:rsidR="007F1F5D">
        <w:rPr>
          <w:rFonts w:ascii="Garamond" w:hAnsi="Garamond"/>
          <w:sz w:val="26"/>
          <w:szCs w:val="26"/>
        </w:rPr>
        <w:t xml:space="preserve">“similar” </w:t>
      </w:r>
      <w:r>
        <w:rPr>
          <w:rFonts w:ascii="Garamond" w:hAnsi="Garamond"/>
          <w:sz w:val="26"/>
          <w:szCs w:val="26"/>
        </w:rPr>
        <w:t xml:space="preserve">does not alter the definition of discriminatory tax to one </w:t>
      </w:r>
      <w:r w:rsidR="00491699">
        <w:rPr>
          <w:rFonts w:ascii="Garamond" w:hAnsi="Garamond"/>
          <w:sz w:val="26"/>
          <w:szCs w:val="26"/>
        </w:rPr>
        <w:t>that</w:t>
      </w:r>
      <w:r>
        <w:rPr>
          <w:rFonts w:ascii="Garamond" w:hAnsi="Garamond"/>
          <w:sz w:val="26"/>
          <w:szCs w:val="26"/>
        </w:rPr>
        <w:t xml:space="preserve"> simply compares the treatment of digital good</w:t>
      </w:r>
      <w:r w:rsidR="007F1B92">
        <w:rPr>
          <w:rFonts w:ascii="Garamond" w:hAnsi="Garamond"/>
          <w:sz w:val="26"/>
          <w:szCs w:val="26"/>
        </w:rPr>
        <w:t>s</w:t>
      </w:r>
      <w:r>
        <w:rPr>
          <w:rFonts w:ascii="Garamond" w:hAnsi="Garamond"/>
          <w:sz w:val="26"/>
          <w:szCs w:val="26"/>
        </w:rPr>
        <w:t xml:space="preserve"> or services to traditional goods or services. </w:t>
      </w:r>
      <w:r w:rsidR="006A4D9B">
        <w:rPr>
          <w:rFonts w:ascii="Garamond" w:hAnsi="Garamond"/>
          <w:sz w:val="26"/>
          <w:szCs w:val="26"/>
        </w:rPr>
        <w:t>A tax imposed on d</w:t>
      </w:r>
      <w:r w:rsidR="004C7015">
        <w:rPr>
          <w:rFonts w:ascii="Garamond" w:hAnsi="Garamond"/>
          <w:sz w:val="26"/>
          <w:szCs w:val="26"/>
        </w:rPr>
        <w:t xml:space="preserve">igital goods </w:t>
      </w:r>
      <w:r w:rsidR="006A4D9B">
        <w:rPr>
          <w:rFonts w:ascii="Garamond" w:hAnsi="Garamond"/>
          <w:sz w:val="26"/>
          <w:szCs w:val="26"/>
        </w:rPr>
        <w:t>is</w:t>
      </w:r>
      <w:r w:rsidR="004C7015">
        <w:rPr>
          <w:rFonts w:ascii="Garamond" w:hAnsi="Garamond"/>
          <w:sz w:val="26"/>
          <w:szCs w:val="26"/>
        </w:rPr>
        <w:t xml:space="preserve"> not necessary</w:t>
      </w:r>
      <w:r w:rsidR="008C05C0">
        <w:rPr>
          <w:rFonts w:ascii="Garamond" w:hAnsi="Garamond"/>
          <w:sz w:val="26"/>
          <w:szCs w:val="26"/>
        </w:rPr>
        <w:t xml:space="preserve"> or sufficient</w:t>
      </w:r>
      <w:r w:rsidR="004C7015">
        <w:rPr>
          <w:rFonts w:ascii="Garamond" w:hAnsi="Garamond"/>
          <w:sz w:val="26"/>
          <w:szCs w:val="26"/>
        </w:rPr>
        <w:t xml:space="preserve"> for an ITFA discrimination claim. A</w:t>
      </w:r>
      <w:r>
        <w:rPr>
          <w:rFonts w:ascii="Garamond" w:hAnsi="Garamond"/>
          <w:sz w:val="26"/>
          <w:szCs w:val="26"/>
        </w:rPr>
        <w:t xml:space="preserve"> tax imposed on physical property would violate ITFA if it was imposed only when that property is sold over the Internet</w:t>
      </w:r>
      <w:r w:rsidR="003D35F5">
        <w:rPr>
          <w:rFonts w:ascii="Garamond" w:hAnsi="Garamond"/>
          <w:sz w:val="26"/>
          <w:szCs w:val="26"/>
        </w:rPr>
        <w:t>, while the taxation of a digital product itself would not be</w:t>
      </w:r>
      <w:r w:rsidR="00B917DE">
        <w:rPr>
          <w:rFonts w:ascii="Garamond" w:hAnsi="Garamond"/>
          <w:sz w:val="26"/>
          <w:szCs w:val="26"/>
        </w:rPr>
        <w:t xml:space="preserve"> a</w:t>
      </w:r>
      <w:r w:rsidR="003D35F5">
        <w:rPr>
          <w:rFonts w:ascii="Garamond" w:hAnsi="Garamond"/>
          <w:sz w:val="26"/>
          <w:szCs w:val="26"/>
        </w:rPr>
        <w:t xml:space="preserve"> violation</w:t>
      </w:r>
      <w:r>
        <w:rPr>
          <w:rFonts w:ascii="Garamond" w:hAnsi="Garamond"/>
          <w:sz w:val="26"/>
          <w:szCs w:val="26"/>
        </w:rPr>
        <w:t>. Similarly, a tax imposed on a particular digital good when sold over the Internet but not when sold via physical media would also violate ITFA.</w:t>
      </w:r>
      <w:r w:rsidR="007F1B92">
        <w:rPr>
          <w:rFonts w:ascii="Garamond" w:hAnsi="Garamond"/>
          <w:sz w:val="26"/>
          <w:szCs w:val="26"/>
        </w:rPr>
        <w:t xml:space="preserve"> The limiter is the meaning of the term “similar.”</w:t>
      </w:r>
      <w:r w:rsidR="003C2F5A">
        <w:rPr>
          <w:rFonts w:ascii="Garamond" w:hAnsi="Garamond"/>
          <w:sz w:val="26"/>
          <w:szCs w:val="26"/>
        </w:rPr>
        <w:t xml:space="preserve"> </w:t>
      </w:r>
      <w:r w:rsidR="00654DAB">
        <w:rPr>
          <w:rFonts w:ascii="Garamond" w:hAnsi="Garamond"/>
          <w:sz w:val="26"/>
          <w:szCs w:val="26"/>
        </w:rPr>
        <w:t xml:space="preserve"> </w:t>
      </w:r>
    </w:p>
    <w:p w14:paraId="08BC590E" w14:textId="2F80A8E5" w:rsidR="00AD4801" w:rsidRDefault="006178C8" w:rsidP="00E369CE">
      <w:pPr>
        <w:rPr>
          <w:rFonts w:ascii="Garamond" w:hAnsi="Garamond"/>
          <w:sz w:val="26"/>
          <w:szCs w:val="26"/>
        </w:rPr>
      </w:pPr>
      <w:r>
        <w:rPr>
          <w:rFonts w:ascii="Garamond" w:hAnsi="Garamond"/>
          <w:sz w:val="26"/>
          <w:szCs w:val="26"/>
        </w:rPr>
        <w:t xml:space="preserve">As noted, the only source of </w:t>
      </w:r>
      <w:r w:rsidR="009804C0">
        <w:rPr>
          <w:rFonts w:ascii="Garamond" w:hAnsi="Garamond"/>
          <w:sz w:val="26"/>
          <w:szCs w:val="26"/>
        </w:rPr>
        <w:t xml:space="preserve">authoritative </w:t>
      </w:r>
      <w:r>
        <w:rPr>
          <w:rFonts w:ascii="Garamond" w:hAnsi="Garamond"/>
          <w:sz w:val="26"/>
          <w:szCs w:val="26"/>
        </w:rPr>
        <w:t>guidance on the meaning of the term “similar” must come from litigation. (See the summary of cases below</w:t>
      </w:r>
      <w:r w:rsidR="000D55C7">
        <w:rPr>
          <w:rFonts w:ascii="Garamond" w:hAnsi="Garamond"/>
          <w:sz w:val="26"/>
          <w:szCs w:val="26"/>
        </w:rPr>
        <w:t xml:space="preserve"> in Appendix B</w:t>
      </w:r>
      <w:r>
        <w:rPr>
          <w:rFonts w:ascii="Garamond" w:hAnsi="Garamond"/>
          <w:sz w:val="26"/>
          <w:szCs w:val="26"/>
        </w:rPr>
        <w:t xml:space="preserve">.) And because </w:t>
      </w:r>
      <w:r>
        <w:rPr>
          <w:rFonts w:ascii="Garamond" w:hAnsi="Garamond"/>
          <w:sz w:val="26"/>
          <w:szCs w:val="26"/>
        </w:rPr>
        <w:lastRenderedPageBreak/>
        <w:t xml:space="preserve">the term is inherently ambiguous, courts will have to consider the statutory context and Congress’s intent. </w:t>
      </w:r>
    </w:p>
    <w:p w14:paraId="1D0EBE5D" w14:textId="75DC28B0" w:rsidR="00654DAB" w:rsidRDefault="00654DAB" w:rsidP="00654DAB">
      <w:pPr>
        <w:rPr>
          <w:rFonts w:ascii="Garamond" w:hAnsi="Garamond"/>
          <w:sz w:val="26"/>
          <w:szCs w:val="26"/>
        </w:rPr>
      </w:pPr>
      <w:r>
        <w:rPr>
          <w:rFonts w:ascii="Garamond" w:hAnsi="Garamond"/>
          <w:sz w:val="26"/>
          <w:szCs w:val="26"/>
        </w:rPr>
        <w:t>Below are examples intended to illustrate the concept of electronic commerce, other means, disparate treatment, and what may raise discrimination risks under the ITFA.</w:t>
      </w:r>
    </w:p>
    <w:p w14:paraId="5FD75E18" w14:textId="27063C6C" w:rsidR="00654DAB" w:rsidRDefault="00654DAB" w:rsidP="009529B4">
      <w:pPr>
        <w:ind w:left="720"/>
        <w:rPr>
          <w:rFonts w:ascii="Garamond" w:hAnsi="Garamond"/>
          <w:sz w:val="26"/>
          <w:szCs w:val="26"/>
        </w:rPr>
      </w:pPr>
      <w:r>
        <w:rPr>
          <w:rFonts w:ascii="Garamond" w:hAnsi="Garamond"/>
          <w:sz w:val="26"/>
          <w:szCs w:val="26"/>
        </w:rPr>
        <w:t xml:space="preserve">Example 1 – electronic commerce: The sale of electronic and physical books over the Internet from an Internet website falls within </w:t>
      </w:r>
      <w:r w:rsidR="00BC78A7">
        <w:rPr>
          <w:rFonts w:ascii="Garamond" w:hAnsi="Garamond"/>
          <w:sz w:val="26"/>
          <w:szCs w:val="26"/>
        </w:rPr>
        <w:t>“</w:t>
      </w:r>
      <w:r>
        <w:rPr>
          <w:rFonts w:ascii="Garamond" w:hAnsi="Garamond"/>
          <w:sz w:val="26"/>
          <w:szCs w:val="26"/>
        </w:rPr>
        <w:t>electronic commerce”.</w:t>
      </w:r>
      <w:r w:rsidRPr="00930F0A">
        <w:rPr>
          <w:rFonts w:ascii="Garamond" w:hAnsi="Garamond"/>
          <w:sz w:val="26"/>
          <w:szCs w:val="26"/>
        </w:rPr>
        <w:t xml:space="preserve"> </w:t>
      </w:r>
    </w:p>
    <w:p w14:paraId="436F78A8" w14:textId="0F7C1A36" w:rsidR="00654DAB" w:rsidRDefault="00654DAB" w:rsidP="009529B4">
      <w:pPr>
        <w:ind w:left="720"/>
        <w:rPr>
          <w:rFonts w:ascii="Garamond" w:hAnsi="Garamond"/>
          <w:sz w:val="26"/>
          <w:szCs w:val="26"/>
        </w:rPr>
      </w:pPr>
      <w:r>
        <w:rPr>
          <w:rFonts w:ascii="Garamond" w:hAnsi="Garamond"/>
          <w:sz w:val="26"/>
          <w:szCs w:val="26"/>
        </w:rPr>
        <w:t>Example 2 – other means: The sale of electronic (through a store kiosk) and physical books at a bricks and mortar store would fall within “other means”.</w:t>
      </w:r>
    </w:p>
    <w:p w14:paraId="25B7CA11" w14:textId="3AC08411" w:rsidR="009529B4" w:rsidRDefault="00654DAB" w:rsidP="009529B4">
      <w:pPr>
        <w:ind w:left="720"/>
        <w:rPr>
          <w:rFonts w:ascii="Garamond" w:hAnsi="Garamond"/>
          <w:sz w:val="26"/>
          <w:szCs w:val="26"/>
        </w:rPr>
      </w:pPr>
      <w:r>
        <w:rPr>
          <w:rFonts w:ascii="Garamond" w:hAnsi="Garamond"/>
          <w:sz w:val="26"/>
          <w:szCs w:val="26"/>
        </w:rPr>
        <w:t xml:space="preserve">Example 3 – disparate treatment: </w:t>
      </w:r>
      <w:r w:rsidR="004644CA">
        <w:rPr>
          <w:rFonts w:ascii="Garamond" w:hAnsi="Garamond"/>
          <w:sz w:val="26"/>
          <w:szCs w:val="26"/>
        </w:rPr>
        <w:t>The imposition of</w:t>
      </w:r>
      <w:r>
        <w:rPr>
          <w:rFonts w:ascii="Garamond" w:hAnsi="Garamond"/>
          <w:sz w:val="26"/>
          <w:szCs w:val="26"/>
        </w:rPr>
        <w:t xml:space="preserve"> a sales tax</w:t>
      </w:r>
      <w:r w:rsidR="00863B87">
        <w:rPr>
          <w:rFonts w:ascii="Garamond" w:hAnsi="Garamond"/>
          <w:sz w:val="26"/>
          <w:szCs w:val="26"/>
        </w:rPr>
        <w:t>, or a higher rate of tax,</w:t>
      </w:r>
      <w:r>
        <w:rPr>
          <w:rFonts w:ascii="Garamond" w:hAnsi="Garamond"/>
          <w:sz w:val="26"/>
          <w:szCs w:val="26"/>
        </w:rPr>
        <w:t xml:space="preserve"> on the sale of books in Example 1</w:t>
      </w:r>
      <w:r w:rsidR="000D55C7">
        <w:rPr>
          <w:rFonts w:ascii="Garamond" w:hAnsi="Garamond"/>
          <w:sz w:val="26"/>
          <w:szCs w:val="26"/>
        </w:rPr>
        <w:t>,</w:t>
      </w:r>
      <w:r>
        <w:rPr>
          <w:rFonts w:ascii="Garamond" w:hAnsi="Garamond"/>
          <w:sz w:val="26"/>
          <w:szCs w:val="26"/>
        </w:rPr>
        <w:t xml:space="preserve"> </w:t>
      </w:r>
      <w:r w:rsidR="004644CA">
        <w:rPr>
          <w:rFonts w:ascii="Garamond" w:hAnsi="Garamond"/>
          <w:sz w:val="26"/>
          <w:szCs w:val="26"/>
        </w:rPr>
        <w:t>with no imposition</w:t>
      </w:r>
      <w:r w:rsidR="00863B87">
        <w:rPr>
          <w:rFonts w:ascii="Garamond" w:hAnsi="Garamond"/>
          <w:sz w:val="26"/>
          <w:szCs w:val="26"/>
        </w:rPr>
        <w:t>, or imposition of a lower</w:t>
      </w:r>
      <w:r w:rsidR="000D55C7">
        <w:rPr>
          <w:rFonts w:ascii="Garamond" w:hAnsi="Garamond"/>
          <w:sz w:val="26"/>
          <w:szCs w:val="26"/>
        </w:rPr>
        <w:t xml:space="preserve"> rate</w:t>
      </w:r>
      <w:r w:rsidR="00863B87">
        <w:rPr>
          <w:rFonts w:ascii="Garamond" w:hAnsi="Garamond"/>
          <w:sz w:val="26"/>
          <w:szCs w:val="26"/>
        </w:rPr>
        <w:t xml:space="preserve"> of tax, on</w:t>
      </w:r>
      <w:r>
        <w:rPr>
          <w:rFonts w:ascii="Garamond" w:hAnsi="Garamond"/>
          <w:sz w:val="26"/>
          <w:szCs w:val="26"/>
        </w:rPr>
        <w:t xml:space="preserve"> the books in Example 2. Note the application of exemptions may present similar ITFA risks.</w:t>
      </w:r>
    </w:p>
    <w:p w14:paraId="171F1E25" w14:textId="16CFBE34" w:rsidR="00654DAB" w:rsidRDefault="00654DAB" w:rsidP="009529B4">
      <w:pPr>
        <w:ind w:left="720"/>
        <w:rPr>
          <w:rFonts w:ascii="Garamond" w:hAnsi="Garamond"/>
          <w:sz w:val="26"/>
          <w:szCs w:val="26"/>
        </w:rPr>
      </w:pPr>
      <w:r>
        <w:rPr>
          <w:rFonts w:ascii="Garamond" w:hAnsi="Garamond"/>
          <w:sz w:val="26"/>
          <w:szCs w:val="26"/>
        </w:rPr>
        <w:t>Example 4</w:t>
      </w:r>
      <w:r w:rsidR="004644CA">
        <w:rPr>
          <w:rFonts w:ascii="Garamond" w:hAnsi="Garamond"/>
          <w:sz w:val="26"/>
          <w:szCs w:val="26"/>
        </w:rPr>
        <w:t xml:space="preserve"> – </w:t>
      </w:r>
      <w:r>
        <w:rPr>
          <w:rFonts w:ascii="Garamond" w:hAnsi="Garamond"/>
          <w:sz w:val="26"/>
          <w:szCs w:val="26"/>
        </w:rPr>
        <w:t xml:space="preserve">disparate treatment: </w:t>
      </w:r>
      <w:r w:rsidR="004644CA">
        <w:rPr>
          <w:rFonts w:ascii="Garamond" w:hAnsi="Garamond"/>
          <w:sz w:val="26"/>
          <w:szCs w:val="26"/>
        </w:rPr>
        <w:t>The imposition of</w:t>
      </w:r>
      <w:r>
        <w:rPr>
          <w:rFonts w:ascii="Garamond" w:hAnsi="Garamond"/>
          <w:sz w:val="26"/>
          <w:szCs w:val="26"/>
        </w:rPr>
        <w:t xml:space="preserve"> a sales tax on the sale of an emailed list of names, </w:t>
      </w:r>
      <w:r w:rsidR="004644CA">
        <w:rPr>
          <w:rFonts w:ascii="Garamond" w:hAnsi="Garamond"/>
          <w:sz w:val="26"/>
          <w:szCs w:val="26"/>
        </w:rPr>
        <w:t>with no such imposition on</w:t>
      </w:r>
      <w:r>
        <w:rPr>
          <w:rFonts w:ascii="Garamond" w:hAnsi="Garamond"/>
          <w:sz w:val="26"/>
          <w:szCs w:val="26"/>
        </w:rPr>
        <w:t xml:space="preserve"> the same list if it is delivered in physical paper format. This example assumes the lists contain the exact same information and there are no additional features available for the emailed list that might differentiate it from the paper copy.</w:t>
      </w:r>
      <w:r w:rsidR="00A85D1E">
        <w:rPr>
          <w:rStyle w:val="FootnoteReference"/>
          <w:rFonts w:ascii="Garamond" w:hAnsi="Garamond"/>
          <w:sz w:val="26"/>
          <w:szCs w:val="26"/>
        </w:rPr>
        <w:footnoteReference w:id="33"/>
      </w:r>
    </w:p>
    <w:p w14:paraId="6176E050" w14:textId="6F05E810" w:rsidR="00725D65" w:rsidRDefault="00654DAB" w:rsidP="009529B4">
      <w:pPr>
        <w:ind w:left="720"/>
        <w:rPr>
          <w:rFonts w:ascii="Garamond" w:hAnsi="Garamond"/>
          <w:sz w:val="26"/>
          <w:szCs w:val="26"/>
        </w:rPr>
      </w:pPr>
      <w:r>
        <w:rPr>
          <w:rFonts w:ascii="Garamond" w:hAnsi="Garamond"/>
          <w:sz w:val="26"/>
          <w:szCs w:val="26"/>
        </w:rPr>
        <w:t xml:space="preserve">Example 5 – disparate treatment: </w:t>
      </w:r>
      <w:r w:rsidR="004644CA">
        <w:rPr>
          <w:rFonts w:ascii="Garamond" w:hAnsi="Garamond"/>
          <w:sz w:val="26"/>
          <w:szCs w:val="26"/>
        </w:rPr>
        <w:t>The requirement</w:t>
      </w:r>
      <w:r>
        <w:rPr>
          <w:rFonts w:ascii="Garamond" w:hAnsi="Garamond"/>
          <w:sz w:val="26"/>
          <w:szCs w:val="26"/>
        </w:rPr>
        <w:t xml:space="preserve"> that businesses selling boats exclusively over the Internet </w:t>
      </w:r>
      <w:r w:rsidR="002105B4">
        <w:rPr>
          <w:rFonts w:ascii="Garamond" w:hAnsi="Garamond"/>
          <w:sz w:val="26"/>
          <w:szCs w:val="26"/>
        </w:rPr>
        <w:t>must</w:t>
      </w:r>
      <w:r>
        <w:rPr>
          <w:rFonts w:ascii="Garamond" w:hAnsi="Garamond"/>
          <w:sz w:val="26"/>
          <w:szCs w:val="26"/>
        </w:rPr>
        <w:t xml:space="preserve"> collect a sales tax on those sales, but </w:t>
      </w:r>
      <w:r w:rsidR="004644CA">
        <w:rPr>
          <w:rFonts w:ascii="Garamond" w:hAnsi="Garamond"/>
          <w:sz w:val="26"/>
          <w:szCs w:val="26"/>
        </w:rPr>
        <w:t xml:space="preserve">while relieving </w:t>
      </w:r>
      <w:r>
        <w:rPr>
          <w:rFonts w:ascii="Garamond" w:hAnsi="Garamond"/>
          <w:sz w:val="26"/>
          <w:szCs w:val="26"/>
        </w:rPr>
        <w:t xml:space="preserve">physical stores that sell boats </w:t>
      </w:r>
      <w:r w:rsidR="004644CA">
        <w:rPr>
          <w:rFonts w:ascii="Garamond" w:hAnsi="Garamond"/>
          <w:sz w:val="26"/>
          <w:szCs w:val="26"/>
        </w:rPr>
        <w:t>in</w:t>
      </w:r>
      <w:r>
        <w:rPr>
          <w:rFonts w:ascii="Garamond" w:hAnsi="Garamond"/>
          <w:sz w:val="26"/>
          <w:szCs w:val="26"/>
        </w:rPr>
        <w:t xml:space="preserve"> showrooms of any collection obligation.</w:t>
      </w:r>
    </w:p>
    <w:p w14:paraId="119FD4B1" w14:textId="0B27ABF0" w:rsidR="00725D65" w:rsidRDefault="00725D65" w:rsidP="00A04EF4">
      <w:pPr>
        <w:pStyle w:val="Heading2"/>
        <w:spacing w:before="0" w:after="160"/>
        <w:rPr>
          <w:rFonts w:ascii="Garamond" w:hAnsi="Garamond"/>
        </w:rPr>
      </w:pPr>
      <w:r w:rsidRPr="00725D65">
        <w:rPr>
          <w:rFonts w:ascii="Garamond" w:hAnsi="Garamond"/>
        </w:rPr>
        <w:t xml:space="preserve">D. </w:t>
      </w:r>
      <w:r>
        <w:rPr>
          <w:rFonts w:ascii="Garamond" w:hAnsi="Garamond"/>
        </w:rPr>
        <w:t>ITFA Prohibits Multiple Taxation of Electronic Commerce</w:t>
      </w:r>
    </w:p>
    <w:p w14:paraId="0BBF32DD" w14:textId="5E9944F9" w:rsidR="00725D65" w:rsidRDefault="00725D65" w:rsidP="00A04EF4">
      <w:pPr>
        <w:rPr>
          <w:rFonts w:ascii="Garamond" w:hAnsi="Garamond"/>
          <w:sz w:val="26"/>
          <w:szCs w:val="26"/>
        </w:rPr>
      </w:pPr>
      <w:r>
        <w:rPr>
          <w:rFonts w:ascii="Garamond" w:hAnsi="Garamond"/>
          <w:sz w:val="26"/>
          <w:szCs w:val="26"/>
        </w:rPr>
        <w:t xml:space="preserve">ITFA’s multiple tax provision prohibits multiple </w:t>
      </w:r>
      <w:r w:rsidR="002100EA">
        <w:rPr>
          <w:rFonts w:ascii="Garamond" w:hAnsi="Garamond"/>
          <w:sz w:val="26"/>
          <w:szCs w:val="26"/>
        </w:rPr>
        <w:t>taxation of</w:t>
      </w:r>
      <w:r>
        <w:rPr>
          <w:rFonts w:ascii="Garamond" w:hAnsi="Garamond"/>
          <w:sz w:val="26"/>
          <w:szCs w:val="26"/>
        </w:rPr>
        <w:t xml:space="preserve"> electronic commerce.</w:t>
      </w:r>
      <w:r>
        <w:rPr>
          <w:rStyle w:val="FootnoteReference"/>
          <w:rFonts w:ascii="Garamond" w:hAnsi="Garamond"/>
          <w:sz w:val="26"/>
          <w:szCs w:val="26"/>
        </w:rPr>
        <w:footnoteReference w:id="34"/>
      </w:r>
    </w:p>
    <w:p w14:paraId="0ED67960" w14:textId="5F16E0D3" w:rsidR="002100EA" w:rsidRPr="00930F0A" w:rsidRDefault="002100EA" w:rsidP="00A04EF4">
      <w:pPr>
        <w:rPr>
          <w:rFonts w:ascii="Garamond" w:hAnsi="Garamond"/>
          <w:sz w:val="26"/>
          <w:szCs w:val="26"/>
        </w:rPr>
      </w:pPr>
      <w:r>
        <w:rPr>
          <w:rFonts w:ascii="Garamond" w:hAnsi="Garamond"/>
          <w:sz w:val="26"/>
          <w:szCs w:val="26"/>
        </w:rPr>
        <w:t>A multiple</w:t>
      </w:r>
      <w:r w:rsidRPr="00930F0A">
        <w:rPr>
          <w:rFonts w:ascii="Garamond" w:hAnsi="Garamond"/>
          <w:sz w:val="26"/>
          <w:szCs w:val="26"/>
        </w:rPr>
        <w:t xml:space="preserve"> tax is:</w:t>
      </w:r>
    </w:p>
    <w:p w14:paraId="67EAE801" w14:textId="7583DF35" w:rsidR="002100EA" w:rsidRDefault="002100EA" w:rsidP="00A04EF4">
      <w:pPr>
        <w:ind w:left="720"/>
        <w:rPr>
          <w:rFonts w:ascii="Garamond" w:hAnsi="Garamond"/>
          <w:sz w:val="26"/>
          <w:szCs w:val="26"/>
        </w:rPr>
      </w:pPr>
      <w:r>
        <w:rPr>
          <w:rFonts w:ascii="Garamond" w:hAnsi="Garamond"/>
          <w:sz w:val="26"/>
          <w:szCs w:val="26"/>
        </w:rPr>
        <w:t>a</w:t>
      </w:r>
      <w:r w:rsidRPr="00930F0A">
        <w:rPr>
          <w:rFonts w:ascii="Garamond" w:hAnsi="Garamond"/>
          <w:sz w:val="26"/>
          <w:szCs w:val="26"/>
        </w:rPr>
        <w:t xml:space="preserve">ny tax </w:t>
      </w:r>
      <w:r>
        <w:rPr>
          <w:rFonts w:ascii="Garamond" w:hAnsi="Garamond"/>
          <w:sz w:val="26"/>
          <w:szCs w:val="26"/>
        </w:rPr>
        <w:t xml:space="preserve">that is </w:t>
      </w:r>
      <w:r w:rsidRPr="00930F0A">
        <w:rPr>
          <w:rFonts w:ascii="Garamond" w:hAnsi="Garamond"/>
          <w:sz w:val="26"/>
          <w:szCs w:val="26"/>
        </w:rPr>
        <w:t xml:space="preserve">imposed by </w:t>
      </w:r>
      <w:r>
        <w:rPr>
          <w:rFonts w:ascii="Garamond" w:hAnsi="Garamond"/>
          <w:sz w:val="26"/>
          <w:szCs w:val="26"/>
        </w:rPr>
        <w:t xml:space="preserve">one </w:t>
      </w:r>
      <w:r w:rsidRPr="00930F0A">
        <w:rPr>
          <w:rFonts w:ascii="Garamond" w:hAnsi="Garamond"/>
          <w:sz w:val="26"/>
          <w:szCs w:val="26"/>
        </w:rPr>
        <w:t>State o</w:t>
      </w:r>
      <w:r>
        <w:rPr>
          <w:rFonts w:ascii="Garamond" w:hAnsi="Garamond"/>
          <w:sz w:val="26"/>
          <w:szCs w:val="26"/>
        </w:rPr>
        <w:t>r</w:t>
      </w:r>
      <w:r w:rsidRPr="00930F0A">
        <w:rPr>
          <w:rFonts w:ascii="Garamond" w:hAnsi="Garamond"/>
          <w:sz w:val="26"/>
          <w:szCs w:val="26"/>
        </w:rPr>
        <w:t xml:space="preserve"> political subdivision thereof </w:t>
      </w:r>
      <w:r w:rsidRPr="002100EA">
        <w:rPr>
          <w:rFonts w:ascii="Garamond" w:hAnsi="Garamond"/>
          <w:sz w:val="26"/>
          <w:szCs w:val="26"/>
        </w:rPr>
        <w:t>on the same</w:t>
      </w:r>
      <w:r>
        <w:rPr>
          <w:rFonts w:ascii="Garamond" w:hAnsi="Garamond"/>
          <w:sz w:val="26"/>
          <w:szCs w:val="26"/>
        </w:rPr>
        <w:t xml:space="preserve"> or essentially the same electronic commerce that is also subject to another tax imposed by another State or political subdivision thereof (whether or not at the same rate or on the same basis), without a credit (for example, a resale exemption certificate) for taxes paid in other jurisdictions.</w:t>
      </w:r>
      <w:r>
        <w:rPr>
          <w:rStyle w:val="FootnoteReference"/>
          <w:rFonts w:ascii="Garamond" w:hAnsi="Garamond"/>
          <w:sz w:val="26"/>
          <w:szCs w:val="26"/>
        </w:rPr>
        <w:footnoteReference w:id="35"/>
      </w:r>
    </w:p>
    <w:p w14:paraId="28782557" w14:textId="661B26ED" w:rsidR="002100EA" w:rsidRPr="002100EA" w:rsidRDefault="002100EA" w:rsidP="00A04EF4">
      <w:pPr>
        <w:rPr>
          <w:rFonts w:ascii="Garamond" w:hAnsi="Garamond"/>
          <w:sz w:val="26"/>
          <w:szCs w:val="26"/>
        </w:rPr>
      </w:pPr>
      <w:r>
        <w:rPr>
          <w:rFonts w:ascii="Garamond" w:hAnsi="Garamond"/>
          <w:sz w:val="26"/>
          <w:szCs w:val="26"/>
        </w:rPr>
        <w:lastRenderedPageBreak/>
        <w:t>There are two exceptions to the prohibition on multiple taxation of electronic commerce. One excludes allows a single state and one of its political subdivisions to impose a tax without a credit. The other exception ensures that a tax type imposed on a person’s business and tax types imposed on transactions themselves, like sales taxes, are not mixed for purposes of the prohibition.</w:t>
      </w:r>
      <w:r>
        <w:rPr>
          <w:rStyle w:val="FootnoteReference"/>
          <w:rFonts w:ascii="Garamond" w:hAnsi="Garamond"/>
          <w:sz w:val="26"/>
          <w:szCs w:val="26"/>
        </w:rPr>
        <w:footnoteReference w:id="36"/>
      </w:r>
    </w:p>
    <w:p w14:paraId="35556DEE" w14:textId="2D6D9C09" w:rsidR="004644CA" w:rsidRDefault="00725D65" w:rsidP="00A04EF4">
      <w:pPr>
        <w:pStyle w:val="Heading2"/>
        <w:spacing w:before="0" w:after="160"/>
        <w:rPr>
          <w:rFonts w:ascii="Garamond" w:hAnsi="Garamond"/>
        </w:rPr>
      </w:pPr>
      <w:r w:rsidRPr="00725D65">
        <w:rPr>
          <w:rFonts w:ascii="Garamond" w:hAnsi="Garamond"/>
        </w:rPr>
        <w:t>E. The ITFA Accounting Rule</w:t>
      </w:r>
    </w:p>
    <w:p w14:paraId="279445B3" w14:textId="3A49C4E2" w:rsidR="00725D65" w:rsidRDefault="00561BFB" w:rsidP="00A04EF4">
      <w:pPr>
        <w:rPr>
          <w:rFonts w:ascii="Garamond" w:hAnsi="Garamond"/>
          <w:sz w:val="26"/>
          <w:szCs w:val="26"/>
        </w:rPr>
      </w:pPr>
      <w:r>
        <w:rPr>
          <w:rFonts w:ascii="Garamond" w:hAnsi="Garamond"/>
          <w:sz w:val="26"/>
          <w:szCs w:val="26"/>
        </w:rPr>
        <w:t>ITFA’s accounting rule allows states to tax Internet access if charges for Internet access are aggregated with charges that are subject to taxation.</w:t>
      </w:r>
      <w:r w:rsidR="006E388F">
        <w:rPr>
          <w:rFonts w:ascii="Garamond" w:hAnsi="Garamond"/>
          <w:sz w:val="26"/>
          <w:szCs w:val="26"/>
        </w:rPr>
        <w:t xml:space="preserve"> However, even if aggregated, if the Taxpayer can reasonably identify the Internet access charges using its books and records, then the Internet access charges are not subject to tax.</w:t>
      </w:r>
      <w:r>
        <w:rPr>
          <w:rStyle w:val="FootnoteReference"/>
          <w:rFonts w:ascii="Garamond" w:hAnsi="Garamond"/>
          <w:sz w:val="26"/>
          <w:szCs w:val="26"/>
        </w:rPr>
        <w:footnoteReference w:id="37"/>
      </w:r>
    </w:p>
    <w:p w14:paraId="041A07B1" w14:textId="6F1289F3" w:rsidR="006E388F" w:rsidRPr="00725D65" w:rsidRDefault="006E388F" w:rsidP="00A04EF4">
      <w:r>
        <w:rPr>
          <w:rFonts w:ascii="Garamond" w:hAnsi="Garamond"/>
          <w:sz w:val="26"/>
          <w:szCs w:val="26"/>
        </w:rPr>
        <w:t xml:space="preserve">This provision allows Internet access service providers to charge one </w:t>
      </w:r>
      <w:r w:rsidRPr="22256E85">
        <w:rPr>
          <w:rFonts w:ascii="Garamond" w:hAnsi="Garamond"/>
          <w:sz w:val="26"/>
          <w:szCs w:val="26"/>
        </w:rPr>
        <w:t>price, and still receive ITFA protection for their Internet access charges, so long as they can sufficiently identify the Internet access charges. One case has described the accounting rule as “lenient.” The court held that exact figures were not necessary and that historical usage patterns were sufficient to reasonably identify Internet access charges.</w:t>
      </w:r>
      <w:r>
        <w:rPr>
          <w:rStyle w:val="FootnoteReference"/>
          <w:rFonts w:ascii="Garamond" w:hAnsi="Garamond"/>
          <w:sz w:val="26"/>
          <w:szCs w:val="26"/>
        </w:rPr>
        <w:footnoteReference w:id="38"/>
      </w:r>
      <w:r w:rsidR="6061DC8C" w:rsidRPr="22256E85">
        <w:rPr>
          <w:rStyle w:val="FootnoteReference"/>
          <w:rFonts w:ascii="Garamond" w:hAnsi="Garamond"/>
          <w:sz w:val="26"/>
          <w:szCs w:val="26"/>
        </w:rPr>
        <w:t xml:space="preserve"> </w:t>
      </w:r>
    </w:p>
    <w:p w14:paraId="3D9F32DF" w14:textId="2A9E167C" w:rsidR="22256E85" w:rsidRPr="003028BA" w:rsidRDefault="6061DC8C" w:rsidP="00A04EF4">
      <w:pPr>
        <w:rPr>
          <w:rStyle w:val="FootnoteReference"/>
          <w:rFonts w:ascii="Garamond" w:eastAsia="Garamond" w:hAnsi="Garamond" w:cs="Garamond"/>
          <w:sz w:val="26"/>
          <w:szCs w:val="26"/>
        </w:rPr>
      </w:pPr>
      <w:r w:rsidRPr="003028BA">
        <w:rPr>
          <w:rStyle w:val="FootnoteReference"/>
          <w:rFonts w:ascii="Garamond" w:hAnsi="Garamond"/>
          <w:sz w:val="26"/>
          <w:szCs w:val="26"/>
          <w:vertAlign w:val="baseline"/>
        </w:rPr>
        <w:t>Th</w:t>
      </w:r>
      <w:r w:rsidR="73E33FA3" w:rsidRPr="003028BA">
        <w:rPr>
          <w:rStyle w:val="FootnoteReference"/>
          <w:rFonts w:ascii="Garamond" w:hAnsi="Garamond"/>
          <w:sz w:val="26"/>
          <w:szCs w:val="26"/>
          <w:vertAlign w:val="baseline"/>
        </w:rPr>
        <w:t>e accounting</w:t>
      </w:r>
      <w:r w:rsidRPr="003028BA">
        <w:rPr>
          <w:rStyle w:val="FootnoteReference"/>
          <w:rFonts w:ascii="Garamond" w:hAnsi="Garamond"/>
          <w:sz w:val="26"/>
          <w:szCs w:val="26"/>
          <w:vertAlign w:val="baseline"/>
        </w:rPr>
        <w:t xml:space="preserve"> rule has implication</w:t>
      </w:r>
      <w:r w:rsidR="5BB39AF3" w:rsidRPr="003028BA">
        <w:rPr>
          <w:rStyle w:val="FootnoteReference"/>
          <w:rFonts w:ascii="Garamond" w:hAnsi="Garamond"/>
          <w:sz w:val="26"/>
          <w:szCs w:val="26"/>
          <w:vertAlign w:val="baseline"/>
        </w:rPr>
        <w:t>s</w:t>
      </w:r>
      <w:r w:rsidRPr="003028BA">
        <w:rPr>
          <w:rStyle w:val="FootnoteReference"/>
          <w:rFonts w:ascii="Garamond" w:hAnsi="Garamond"/>
          <w:sz w:val="26"/>
          <w:szCs w:val="26"/>
          <w:vertAlign w:val="baseline"/>
        </w:rPr>
        <w:t xml:space="preserve"> for how state</w:t>
      </w:r>
      <w:r w:rsidR="64F0C916" w:rsidRPr="003028BA">
        <w:rPr>
          <w:rStyle w:val="FootnoteReference"/>
          <w:rFonts w:ascii="Garamond" w:hAnsi="Garamond"/>
          <w:sz w:val="26"/>
          <w:szCs w:val="26"/>
          <w:vertAlign w:val="baseline"/>
        </w:rPr>
        <w:t>s</w:t>
      </w:r>
      <w:r w:rsidRPr="003028BA">
        <w:rPr>
          <w:rStyle w:val="FootnoteReference"/>
          <w:rFonts w:ascii="Garamond" w:hAnsi="Garamond"/>
          <w:sz w:val="26"/>
          <w:szCs w:val="26"/>
          <w:vertAlign w:val="baseline"/>
        </w:rPr>
        <w:t xml:space="preserve"> treat</w:t>
      </w:r>
      <w:r w:rsidR="3460580F" w:rsidRPr="003028BA">
        <w:rPr>
          <w:rStyle w:val="FootnoteReference"/>
          <w:rFonts w:ascii="Garamond" w:hAnsi="Garamond"/>
          <w:sz w:val="26"/>
          <w:szCs w:val="26"/>
          <w:vertAlign w:val="baseline"/>
        </w:rPr>
        <w:t xml:space="preserve"> packages of products</w:t>
      </w:r>
      <w:r w:rsidRPr="003028BA">
        <w:rPr>
          <w:rStyle w:val="FootnoteReference"/>
          <w:rFonts w:ascii="Garamond" w:hAnsi="Garamond"/>
          <w:sz w:val="26"/>
          <w:szCs w:val="26"/>
          <w:vertAlign w:val="baseline"/>
        </w:rPr>
        <w:t xml:space="preserve"> contain</w:t>
      </w:r>
      <w:r w:rsidR="7B1C30C2" w:rsidRPr="003028BA">
        <w:rPr>
          <w:rStyle w:val="FootnoteReference"/>
          <w:rFonts w:ascii="Garamond" w:hAnsi="Garamond"/>
          <w:sz w:val="26"/>
          <w:szCs w:val="26"/>
          <w:vertAlign w:val="baseline"/>
        </w:rPr>
        <w:t>ing</w:t>
      </w:r>
      <w:r w:rsidRPr="003028BA">
        <w:rPr>
          <w:rStyle w:val="FootnoteReference"/>
          <w:rFonts w:ascii="Garamond" w:hAnsi="Garamond"/>
          <w:sz w:val="26"/>
          <w:szCs w:val="26"/>
          <w:vertAlign w:val="baseline"/>
        </w:rPr>
        <w:t xml:space="preserve"> digital products</w:t>
      </w:r>
      <w:r w:rsidR="7870FA0A" w:rsidRPr="003028BA">
        <w:rPr>
          <w:rStyle w:val="FootnoteReference"/>
          <w:rFonts w:ascii="Garamond" w:hAnsi="Garamond"/>
          <w:sz w:val="26"/>
          <w:szCs w:val="26"/>
          <w:vertAlign w:val="baseline"/>
        </w:rPr>
        <w:t xml:space="preserve"> and the Internet. S</w:t>
      </w:r>
      <w:r w:rsidRPr="003028BA">
        <w:rPr>
          <w:rStyle w:val="FootnoteReference"/>
          <w:rFonts w:ascii="Garamond" w:hAnsi="Garamond"/>
          <w:sz w:val="26"/>
          <w:szCs w:val="26"/>
          <w:vertAlign w:val="baseline"/>
        </w:rPr>
        <w:t>tate</w:t>
      </w:r>
      <w:r w:rsidR="5C189432" w:rsidRPr="003028BA">
        <w:rPr>
          <w:rStyle w:val="FootnoteReference"/>
          <w:rFonts w:ascii="Garamond" w:hAnsi="Garamond"/>
          <w:sz w:val="26"/>
          <w:szCs w:val="26"/>
          <w:vertAlign w:val="baseline"/>
        </w:rPr>
        <w:t>s</w:t>
      </w:r>
      <w:r w:rsidRPr="003028BA">
        <w:rPr>
          <w:rStyle w:val="FootnoteReference"/>
          <w:rFonts w:ascii="Garamond" w:hAnsi="Garamond"/>
          <w:sz w:val="26"/>
          <w:szCs w:val="26"/>
          <w:vertAlign w:val="baseline"/>
        </w:rPr>
        <w:t xml:space="preserve"> should consider this</w:t>
      </w:r>
      <w:r w:rsidR="339E5CA2" w:rsidRPr="003028BA">
        <w:rPr>
          <w:rStyle w:val="FootnoteReference"/>
          <w:rFonts w:ascii="Garamond" w:hAnsi="Garamond"/>
          <w:sz w:val="26"/>
          <w:szCs w:val="26"/>
          <w:vertAlign w:val="baseline"/>
        </w:rPr>
        <w:t xml:space="preserve"> feature when designing their tax system</w:t>
      </w:r>
      <w:r w:rsidR="4A4189DC" w:rsidRPr="003028BA">
        <w:rPr>
          <w:rStyle w:val="FootnoteReference"/>
          <w:rFonts w:ascii="Garamond" w:hAnsi="Garamond"/>
          <w:sz w:val="26"/>
          <w:szCs w:val="26"/>
          <w:vertAlign w:val="baseline"/>
        </w:rPr>
        <w:t xml:space="preserve"> </w:t>
      </w:r>
      <w:r w:rsidR="1E40C6D0" w:rsidRPr="003028BA">
        <w:rPr>
          <w:rStyle w:val="FootnoteReference"/>
          <w:rFonts w:ascii="Garamond" w:hAnsi="Garamond"/>
          <w:sz w:val="26"/>
          <w:szCs w:val="26"/>
          <w:vertAlign w:val="baseline"/>
        </w:rPr>
        <w:t xml:space="preserve">as these systems </w:t>
      </w:r>
      <w:r w:rsidR="4A4189DC" w:rsidRPr="003028BA">
        <w:rPr>
          <w:rStyle w:val="FootnoteReference"/>
          <w:rFonts w:ascii="Garamond" w:hAnsi="Garamond"/>
          <w:sz w:val="26"/>
          <w:szCs w:val="26"/>
          <w:vertAlign w:val="baseline"/>
        </w:rPr>
        <w:t>relate to digital products</w:t>
      </w:r>
      <w:r w:rsidR="339E5CA2" w:rsidRPr="003028BA">
        <w:rPr>
          <w:rStyle w:val="FootnoteReference"/>
          <w:rFonts w:ascii="Garamond" w:hAnsi="Garamond"/>
          <w:sz w:val="26"/>
          <w:szCs w:val="26"/>
          <w:vertAlign w:val="baseline"/>
        </w:rPr>
        <w:t xml:space="preserve">. For example, Washington law provides </w:t>
      </w:r>
      <w:r w:rsidR="37BEA032" w:rsidRPr="003028BA">
        <w:rPr>
          <w:rStyle w:val="FootnoteReference"/>
          <w:rFonts w:ascii="Garamond" w:hAnsi="Garamond"/>
          <w:sz w:val="26"/>
          <w:szCs w:val="26"/>
          <w:vertAlign w:val="baseline"/>
        </w:rPr>
        <w:t>that bundled transaction</w:t>
      </w:r>
      <w:r w:rsidR="1EB1CEC8" w:rsidRPr="003028BA">
        <w:rPr>
          <w:rStyle w:val="FootnoteReference"/>
          <w:rFonts w:ascii="Garamond" w:hAnsi="Garamond"/>
          <w:sz w:val="26"/>
          <w:szCs w:val="26"/>
          <w:vertAlign w:val="baseline"/>
        </w:rPr>
        <w:t>s</w:t>
      </w:r>
      <w:r w:rsidR="0BEB14D7" w:rsidRPr="003028BA">
        <w:rPr>
          <w:rStyle w:val="FootnoteReference"/>
          <w:rFonts w:ascii="Garamond" w:hAnsi="Garamond"/>
          <w:sz w:val="26"/>
          <w:szCs w:val="26"/>
          <w:vertAlign w:val="baseline"/>
        </w:rPr>
        <w:t>, that include Internet access</w:t>
      </w:r>
      <w:r w:rsidR="3BBCAFAB" w:rsidRPr="003028BA">
        <w:rPr>
          <w:rStyle w:val="FootnoteReference"/>
          <w:rFonts w:ascii="Garamond" w:hAnsi="Garamond"/>
          <w:sz w:val="26"/>
          <w:szCs w:val="26"/>
          <w:vertAlign w:val="baseline"/>
        </w:rPr>
        <w:t xml:space="preserve"> may be</w:t>
      </w:r>
      <w:r w:rsidR="48926A60" w:rsidRPr="003028BA">
        <w:rPr>
          <w:rStyle w:val="FootnoteReference"/>
          <w:rFonts w:ascii="Garamond" w:hAnsi="Garamond"/>
          <w:sz w:val="26"/>
          <w:szCs w:val="26"/>
          <w:vertAlign w:val="baseline"/>
        </w:rPr>
        <w:t xml:space="preserve"> subject to sales tax </w:t>
      </w:r>
      <w:r w:rsidR="39B85501" w:rsidRPr="003028BA">
        <w:rPr>
          <w:rStyle w:val="FootnoteReference"/>
          <w:rFonts w:ascii="Garamond" w:hAnsi="Garamond"/>
          <w:sz w:val="26"/>
          <w:szCs w:val="26"/>
          <w:vertAlign w:val="baseline"/>
        </w:rPr>
        <w:t>unless the seller can unbundle based on</w:t>
      </w:r>
      <w:r w:rsidR="39B85501" w:rsidRPr="22256E85">
        <w:rPr>
          <w:rStyle w:val="FootnoteReference"/>
          <w:rFonts w:ascii="Garamond" w:hAnsi="Garamond"/>
          <w:sz w:val="26"/>
          <w:szCs w:val="26"/>
        </w:rPr>
        <w:t xml:space="preserve"> </w:t>
      </w:r>
      <w:r w:rsidR="39B85501" w:rsidRPr="003028BA">
        <w:rPr>
          <w:rFonts w:ascii="Garamond" w:eastAsia="Garamond" w:hAnsi="Garamond" w:cs="Garamond"/>
          <w:color w:val="212529"/>
          <w:sz w:val="26"/>
          <w:szCs w:val="26"/>
        </w:rPr>
        <w:t>books and records that are kept in the regular course of business</w:t>
      </w:r>
      <w:r w:rsidR="41CE48D0" w:rsidRPr="22256E85">
        <w:rPr>
          <w:rFonts w:ascii="Garamond" w:eastAsia="Garamond" w:hAnsi="Garamond" w:cs="Garamond"/>
          <w:color w:val="212529"/>
          <w:sz w:val="26"/>
          <w:szCs w:val="26"/>
        </w:rPr>
        <w:t>.</w:t>
      </w:r>
    </w:p>
    <w:p w14:paraId="03C86341" w14:textId="049171FC" w:rsidR="00704830" w:rsidRPr="00D44835" w:rsidRDefault="00C25D5E" w:rsidP="00A04EF4">
      <w:pPr>
        <w:pStyle w:val="Heading1"/>
        <w:spacing w:before="0" w:after="160"/>
        <w:rPr>
          <w:rFonts w:ascii="Garamond" w:hAnsi="Garamond"/>
          <w:sz w:val="36"/>
          <w:szCs w:val="36"/>
        </w:rPr>
      </w:pPr>
      <w:r>
        <w:rPr>
          <w:rFonts w:ascii="Garamond" w:hAnsi="Garamond"/>
          <w:sz w:val="36"/>
          <w:szCs w:val="36"/>
        </w:rPr>
        <w:t>4</w:t>
      </w:r>
      <w:r w:rsidR="00F1729A" w:rsidRPr="00F1729A">
        <w:rPr>
          <w:rFonts w:ascii="Garamond" w:hAnsi="Garamond"/>
          <w:sz w:val="36"/>
          <w:szCs w:val="36"/>
        </w:rPr>
        <w:t xml:space="preserve">. </w:t>
      </w:r>
      <w:r w:rsidR="009912B3" w:rsidRPr="00F1729A">
        <w:rPr>
          <w:rFonts w:ascii="Garamond" w:hAnsi="Garamond"/>
          <w:sz w:val="36"/>
          <w:szCs w:val="36"/>
        </w:rPr>
        <w:t xml:space="preserve">States Should Consider the Following </w:t>
      </w:r>
      <w:r w:rsidR="009912B3" w:rsidRPr="00E369CE">
        <w:rPr>
          <w:rFonts w:ascii="Garamond" w:hAnsi="Garamond"/>
          <w:sz w:val="36"/>
          <w:szCs w:val="36"/>
        </w:rPr>
        <w:t>Focus Points</w:t>
      </w:r>
    </w:p>
    <w:p w14:paraId="177AEF94" w14:textId="77D11FA6" w:rsidR="00A70C32" w:rsidRPr="00F1729A" w:rsidRDefault="00D44835" w:rsidP="00A04EF4">
      <w:pPr>
        <w:pStyle w:val="Heading2"/>
        <w:spacing w:before="0" w:after="160"/>
        <w:rPr>
          <w:rFonts w:ascii="Garamond" w:hAnsi="Garamond"/>
        </w:rPr>
      </w:pPr>
      <w:r>
        <w:rPr>
          <w:rFonts w:ascii="Garamond" w:hAnsi="Garamond"/>
        </w:rPr>
        <w:t>A</w:t>
      </w:r>
      <w:r w:rsidR="00F1729A" w:rsidRPr="00F1729A">
        <w:rPr>
          <w:rFonts w:ascii="Garamond" w:hAnsi="Garamond"/>
        </w:rPr>
        <w:t xml:space="preserve">. </w:t>
      </w:r>
      <w:r w:rsidR="00A70C32" w:rsidRPr="00F1729A">
        <w:rPr>
          <w:rFonts w:ascii="Garamond" w:hAnsi="Garamond"/>
        </w:rPr>
        <w:t xml:space="preserve">There is no </w:t>
      </w:r>
      <w:r w:rsidR="007A64E3">
        <w:rPr>
          <w:rFonts w:ascii="Garamond" w:hAnsi="Garamond"/>
        </w:rPr>
        <w:t xml:space="preserve">Federal </w:t>
      </w:r>
      <w:r w:rsidR="000A11CD">
        <w:rPr>
          <w:rFonts w:ascii="Garamond" w:hAnsi="Garamond"/>
        </w:rPr>
        <w:t xml:space="preserve">Administrative </w:t>
      </w:r>
      <w:r w:rsidR="00A70C32" w:rsidRPr="00F1729A">
        <w:rPr>
          <w:rFonts w:ascii="Garamond" w:hAnsi="Garamond"/>
        </w:rPr>
        <w:t xml:space="preserve">Guidance on </w:t>
      </w:r>
      <w:r w:rsidR="003A5DBE">
        <w:rPr>
          <w:rFonts w:ascii="Garamond" w:hAnsi="Garamond"/>
        </w:rPr>
        <w:t xml:space="preserve">the </w:t>
      </w:r>
      <w:r w:rsidR="00A70C32" w:rsidRPr="00F1729A">
        <w:rPr>
          <w:rFonts w:ascii="Garamond" w:hAnsi="Garamond"/>
        </w:rPr>
        <w:t>ITFA, only Litigation</w:t>
      </w:r>
    </w:p>
    <w:p w14:paraId="6321411A" w14:textId="71185DB6" w:rsidR="00930F0A" w:rsidRPr="00930F0A" w:rsidRDefault="000D5AAB" w:rsidP="00A04EF4">
      <w:pPr>
        <w:rPr>
          <w:rFonts w:ascii="Garamond" w:hAnsi="Garamond"/>
          <w:sz w:val="26"/>
          <w:szCs w:val="26"/>
        </w:rPr>
      </w:pPr>
      <w:r w:rsidRPr="00935DA4">
        <w:rPr>
          <w:rFonts w:ascii="Garamond" w:hAnsi="Garamond"/>
          <w:sz w:val="26"/>
          <w:szCs w:val="26"/>
        </w:rPr>
        <w:t xml:space="preserve">The only binding guidance on </w:t>
      </w:r>
      <w:r w:rsidR="003A5DBE">
        <w:rPr>
          <w:rFonts w:ascii="Garamond" w:hAnsi="Garamond"/>
          <w:sz w:val="26"/>
          <w:szCs w:val="26"/>
        </w:rPr>
        <w:t xml:space="preserve">the </w:t>
      </w:r>
      <w:r w:rsidRPr="00935DA4">
        <w:rPr>
          <w:rFonts w:ascii="Garamond" w:hAnsi="Garamond"/>
          <w:sz w:val="26"/>
          <w:szCs w:val="26"/>
        </w:rPr>
        <w:t>ITFA has been developed through litigation. N</w:t>
      </w:r>
      <w:r w:rsidR="00A70C32" w:rsidRPr="00935DA4">
        <w:rPr>
          <w:rFonts w:ascii="Garamond" w:hAnsi="Garamond"/>
          <w:sz w:val="26"/>
          <w:szCs w:val="26"/>
        </w:rPr>
        <w:t xml:space="preserve">o federal agency </w:t>
      </w:r>
      <w:r w:rsidRPr="00935DA4">
        <w:rPr>
          <w:rFonts w:ascii="Garamond" w:hAnsi="Garamond"/>
          <w:sz w:val="26"/>
          <w:szCs w:val="26"/>
        </w:rPr>
        <w:t xml:space="preserve">is </w:t>
      </w:r>
      <w:r w:rsidR="00A70C32" w:rsidRPr="00935DA4">
        <w:rPr>
          <w:rFonts w:ascii="Garamond" w:hAnsi="Garamond"/>
          <w:sz w:val="26"/>
          <w:szCs w:val="26"/>
        </w:rPr>
        <w:t xml:space="preserve">authorized to issue guidance under </w:t>
      </w:r>
      <w:r w:rsidR="003A5DBE">
        <w:rPr>
          <w:rFonts w:ascii="Garamond" w:hAnsi="Garamond"/>
          <w:sz w:val="26"/>
          <w:szCs w:val="26"/>
        </w:rPr>
        <w:t xml:space="preserve">the </w:t>
      </w:r>
      <w:r w:rsidRPr="00935DA4">
        <w:rPr>
          <w:rFonts w:ascii="Garamond" w:hAnsi="Garamond"/>
          <w:sz w:val="26"/>
          <w:szCs w:val="26"/>
        </w:rPr>
        <w:t xml:space="preserve">ITFA, nor has the federal government delegated, explicitly or implicitly, rulemaking authority to the </w:t>
      </w:r>
      <w:r w:rsidR="004C7015" w:rsidRPr="00935DA4">
        <w:rPr>
          <w:rFonts w:ascii="Garamond" w:hAnsi="Garamond"/>
          <w:sz w:val="26"/>
          <w:szCs w:val="26"/>
        </w:rPr>
        <w:t>s</w:t>
      </w:r>
      <w:r w:rsidRPr="00935DA4">
        <w:rPr>
          <w:rFonts w:ascii="Garamond" w:hAnsi="Garamond"/>
          <w:sz w:val="26"/>
          <w:szCs w:val="26"/>
        </w:rPr>
        <w:t>tates.</w:t>
      </w:r>
      <w:r>
        <w:rPr>
          <w:rFonts w:ascii="Garamond" w:hAnsi="Garamond"/>
          <w:sz w:val="26"/>
          <w:szCs w:val="26"/>
        </w:rPr>
        <w:t xml:space="preserve"> </w:t>
      </w:r>
      <w:r w:rsidR="004C7015">
        <w:rPr>
          <w:rFonts w:ascii="Garamond" w:hAnsi="Garamond"/>
          <w:sz w:val="26"/>
          <w:szCs w:val="26"/>
        </w:rPr>
        <w:t>Further, state</w:t>
      </w:r>
      <w:r w:rsidR="003A5DBE">
        <w:rPr>
          <w:rFonts w:ascii="Garamond" w:hAnsi="Garamond"/>
          <w:sz w:val="26"/>
          <w:szCs w:val="26"/>
        </w:rPr>
        <w:t xml:space="preserve"> law</w:t>
      </w:r>
      <w:r w:rsidR="004C7015">
        <w:rPr>
          <w:rFonts w:ascii="Garamond" w:hAnsi="Garamond"/>
          <w:sz w:val="26"/>
          <w:szCs w:val="26"/>
        </w:rPr>
        <w:t xml:space="preserve"> </w:t>
      </w:r>
      <w:r w:rsidR="003A5DBE">
        <w:rPr>
          <w:rFonts w:ascii="Garamond" w:hAnsi="Garamond"/>
          <w:sz w:val="26"/>
          <w:szCs w:val="26"/>
        </w:rPr>
        <w:t>might</w:t>
      </w:r>
      <w:r w:rsidR="004C7015">
        <w:rPr>
          <w:rFonts w:ascii="Garamond" w:hAnsi="Garamond"/>
          <w:sz w:val="26"/>
          <w:szCs w:val="26"/>
        </w:rPr>
        <w:t xml:space="preserve"> not authorize </w:t>
      </w:r>
      <w:r w:rsidR="003A5DBE">
        <w:rPr>
          <w:rFonts w:ascii="Garamond" w:hAnsi="Garamond"/>
          <w:sz w:val="26"/>
          <w:szCs w:val="26"/>
        </w:rPr>
        <w:t xml:space="preserve">state agencies to undertake </w:t>
      </w:r>
      <w:r w:rsidR="004C7015">
        <w:rPr>
          <w:rFonts w:ascii="Garamond" w:hAnsi="Garamond"/>
          <w:sz w:val="26"/>
          <w:szCs w:val="26"/>
        </w:rPr>
        <w:t>formal rule</w:t>
      </w:r>
      <w:r w:rsidR="00935DA4">
        <w:rPr>
          <w:rFonts w:ascii="Garamond" w:hAnsi="Garamond"/>
          <w:sz w:val="26"/>
          <w:szCs w:val="26"/>
        </w:rPr>
        <w:t>making regarding a federal statute.</w:t>
      </w:r>
    </w:p>
    <w:p w14:paraId="62C581DB" w14:textId="455FE0FD" w:rsidR="009912B3" w:rsidRPr="00930F0A" w:rsidRDefault="00A70C32" w:rsidP="00A04EF4">
      <w:pPr>
        <w:rPr>
          <w:rFonts w:ascii="Garamond" w:hAnsi="Garamond"/>
          <w:sz w:val="26"/>
          <w:szCs w:val="26"/>
        </w:rPr>
      </w:pPr>
      <w:r w:rsidRPr="00930F0A">
        <w:rPr>
          <w:rFonts w:ascii="Garamond" w:hAnsi="Garamond"/>
          <w:sz w:val="26"/>
          <w:szCs w:val="26"/>
        </w:rPr>
        <w:lastRenderedPageBreak/>
        <w:t xml:space="preserve">This </w:t>
      </w:r>
      <w:r w:rsidR="008E2039">
        <w:rPr>
          <w:rFonts w:ascii="Garamond" w:hAnsi="Garamond"/>
          <w:sz w:val="26"/>
          <w:szCs w:val="26"/>
        </w:rPr>
        <w:t>diminishes the</w:t>
      </w:r>
      <w:r w:rsidR="00EA54C6">
        <w:rPr>
          <w:rFonts w:ascii="Garamond" w:hAnsi="Garamond"/>
          <w:sz w:val="26"/>
          <w:szCs w:val="26"/>
        </w:rPr>
        <w:t xml:space="preserve"> role </w:t>
      </w:r>
      <w:r w:rsidR="003A5DBE">
        <w:rPr>
          <w:rFonts w:ascii="Garamond" w:hAnsi="Garamond"/>
          <w:sz w:val="26"/>
          <w:szCs w:val="26"/>
        </w:rPr>
        <w:t>of</w:t>
      </w:r>
      <w:r w:rsidR="00EA54C6">
        <w:rPr>
          <w:rFonts w:ascii="Garamond" w:hAnsi="Garamond"/>
          <w:sz w:val="26"/>
          <w:szCs w:val="26"/>
        </w:rPr>
        <w:t xml:space="preserve"> formal rulemaking and guidance and </w:t>
      </w:r>
      <w:r w:rsidR="008E2039">
        <w:rPr>
          <w:rFonts w:ascii="Garamond" w:hAnsi="Garamond"/>
          <w:sz w:val="26"/>
          <w:szCs w:val="26"/>
        </w:rPr>
        <w:t xml:space="preserve">enhances </w:t>
      </w:r>
      <w:r w:rsidRPr="00930F0A">
        <w:rPr>
          <w:rFonts w:ascii="Garamond" w:hAnsi="Garamond"/>
          <w:sz w:val="26"/>
          <w:szCs w:val="26"/>
        </w:rPr>
        <w:t>the role of litigation results.</w:t>
      </w:r>
      <w:r w:rsidR="008E2039">
        <w:rPr>
          <w:rFonts w:ascii="Garamond" w:hAnsi="Garamond"/>
          <w:sz w:val="26"/>
          <w:szCs w:val="26"/>
        </w:rPr>
        <w:t xml:space="preserve"> Additionally,</w:t>
      </w:r>
      <w:r w:rsidR="000A11CD">
        <w:rPr>
          <w:rFonts w:ascii="Garamond" w:hAnsi="Garamond"/>
          <w:sz w:val="26"/>
          <w:szCs w:val="26"/>
        </w:rPr>
        <w:t xml:space="preserve"> </w:t>
      </w:r>
      <w:r w:rsidR="008E2039">
        <w:rPr>
          <w:rFonts w:ascii="Garamond" w:hAnsi="Garamond"/>
          <w:sz w:val="26"/>
          <w:szCs w:val="26"/>
        </w:rPr>
        <w:t xml:space="preserve">state court </w:t>
      </w:r>
      <w:r w:rsidR="000A11CD">
        <w:rPr>
          <w:rFonts w:ascii="Garamond" w:hAnsi="Garamond"/>
          <w:sz w:val="26"/>
          <w:szCs w:val="26"/>
        </w:rPr>
        <w:t>rulings may apply only in th</w:t>
      </w:r>
      <w:r w:rsidR="008E2039">
        <w:rPr>
          <w:rFonts w:ascii="Garamond" w:hAnsi="Garamond"/>
          <w:sz w:val="26"/>
          <w:szCs w:val="26"/>
        </w:rPr>
        <w:t>e forum</w:t>
      </w:r>
      <w:r w:rsidR="000A11CD">
        <w:rPr>
          <w:rFonts w:ascii="Garamond" w:hAnsi="Garamond"/>
          <w:sz w:val="26"/>
          <w:szCs w:val="26"/>
        </w:rPr>
        <w:t xml:space="preserve"> state and </w:t>
      </w:r>
      <w:r w:rsidR="003A5DBE">
        <w:rPr>
          <w:rFonts w:ascii="Garamond" w:hAnsi="Garamond"/>
          <w:sz w:val="26"/>
          <w:szCs w:val="26"/>
        </w:rPr>
        <w:t xml:space="preserve">rulings of any court </w:t>
      </w:r>
      <w:r w:rsidR="000A11CD">
        <w:rPr>
          <w:rFonts w:ascii="Garamond" w:hAnsi="Garamond"/>
          <w:sz w:val="26"/>
          <w:szCs w:val="26"/>
        </w:rPr>
        <w:t>may be limited to the facts of the case.</w:t>
      </w:r>
    </w:p>
    <w:p w14:paraId="2AEEF45B" w14:textId="6F1ACF92" w:rsidR="00A70C32" w:rsidRPr="00930F0A" w:rsidRDefault="00D44835" w:rsidP="00A04EF4">
      <w:pPr>
        <w:pStyle w:val="Heading2"/>
        <w:spacing w:before="0" w:after="160"/>
        <w:rPr>
          <w:rFonts w:ascii="Garamond" w:hAnsi="Garamond"/>
        </w:rPr>
      </w:pPr>
      <w:r>
        <w:rPr>
          <w:rFonts w:ascii="Garamond" w:hAnsi="Garamond"/>
        </w:rPr>
        <w:t>B</w:t>
      </w:r>
      <w:r w:rsidR="00F1729A" w:rsidRPr="00F1729A">
        <w:rPr>
          <w:rFonts w:ascii="Garamond" w:hAnsi="Garamond"/>
        </w:rPr>
        <w:t xml:space="preserve">. </w:t>
      </w:r>
      <w:r w:rsidR="009912B3" w:rsidRPr="00F1729A">
        <w:rPr>
          <w:rFonts w:ascii="Garamond" w:hAnsi="Garamond"/>
        </w:rPr>
        <w:t>Broad-based Taxes are Less Likely to Create an ITFA Discrimination Challenge</w:t>
      </w:r>
    </w:p>
    <w:p w14:paraId="5C74B065" w14:textId="7BC37056" w:rsidR="00405B1D" w:rsidRDefault="009912B3" w:rsidP="00A04EF4">
      <w:pPr>
        <w:rPr>
          <w:rFonts w:ascii="Garamond" w:hAnsi="Garamond"/>
          <w:sz w:val="26"/>
          <w:szCs w:val="26"/>
        </w:rPr>
      </w:pPr>
      <w:r w:rsidRPr="00930F0A">
        <w:rPr>
          <w:rFonts w:ascii="Garamond" w:hAnsi="Garamond"/>
          <w:sz w:val="26"/>
          <w:szCs w:val="26"/>
        </w:rPr>
        <w:t xml:space="preserve">If the tax includes everything in the </w:t>
      </w:r>
      <w:r w:rsidR="000A11CD">
        <w:rPr>
          <w:rFonts w:ascii="Garamond" w:hAnsi="Garamond"/>
          <w:sz w:val="26"/>
          <w:szCs w:val="26"/>
        </w:rPr>
        <w:t xml:space="preserve">taxable </w:t>
      </w:r>
      <w:r w:rsidRPr="00930F0A">
        <w:rPr>
          <w:rFonts w:ascii="Garamond" w:hAnsi="Garamond"/>
          <w:sz w:val="26"/>
          <w:szCs w:val="26"/>
        </w:rPr>
        <w:t xml:space="preserve">base, it is less likely to discriminate against electronic commerce. </w:t>
      </w:r>
      <w:r w:rsidR="003A5DBE">
        <w:rPr>
          <w:rFonts w:ascii="Garamond" w:hAnsi="Garamond"/>
          <w:sz w:val="26"/>
          <w:szCs w:val="26"/>
        </w:rPr>
        <w:t xml:space="preserve">If everything is taxed, there is less potential for disparate treatment. </w:t>
      </w:r>
      <w:r w:rsidRPr="00930F0A">
        <w:rPr>
          <w:rFonts w:ascii="Garamond" w:hAnsi="Garamond"/>
          <w:sz w:val="26"/>
          <w:szCs w:val="26"/>
        </w:rPr>
        <w:t>In one case considering Seattle’s Telephone Utility Tax, the court rejected the ITFA discrimination claim by pointing out that all similar services and taxpayers are taxed under the tax type. The court also point</w:t>
      </w:r>
      <w:r w:rsidR="00E44275">
        <w:rPr>
          <w:rFonts w:ascii="Garamond" w:hAnsi="Garamond"/>
          <w:sz w:val="26"/>
          <w:szCs w:val="26"/>
        </w:rPr>
        <w:t>ed</w:t>
      </w:r>
      <w:r w:rsidRPr="00930F0A">
        <w:rPr>
          <w:rFonts w:ascii="Garamond" w:hAnsi="Garamond"/>
          <w:sz w:val="26"/>
          <w:szCs w:val="26"/>
        </w:rPr>
        <w:t xml:space="preserve"> out that this is true under Washington’s Business and Occupation Tax.</w:t>
      </w:r>
      <w:r w:rsidRPr="00930F0A">
        <w:rPr>
          <w:rStyle w:val="FootnoteReference"/>
          <w:rFonts w:ascii="Garamond" w:hAnsi="Garamond"/>
          <w:sz w:val="26"/>
          <w:szCs w:val="26"/>
        </w:rPr>
        <w:footnoteReference w:id="39"/>
      </w:r>
    </w:p>
    <w:p w14:paraId="0B82658D" w14:textId="04EF51F2" w:rsidR="00A70C32" w:rsidRPr="00F1729A" w:rsidRDefault="00D44835" w:rsidP="00A04EF4">
      <w:pPr>
        <w:pStyle w:val="Heading2"/>
        <w:spacing w:before="0" w:after="160"/>
        <w:rPr>
          <w:rFonts w:ascii="Garamond" w:hAnsi="Garamond"/>
        </w:rPr>
      </w:pPr>
      <w:r>
        <w:rPr>
          <w:rFonts w:ascii="Garamond" w:hAnsi="Garamond"/>
        </w:rPr>
        <w:t>C</w:t>
      </w:r>
      <w:r w:rsidR="00405B1D" w:rsidRPr="00405B1D">
        <w:rPr>
          <w:rFonts w:ascii="Garamond" w:hAnsi="Garamond"/>
        </w:rPr>
        <w:t xml:space="preserve">. </w:t>
      </w:r>
      <w:r w:rsidR="003A5DBE">
        <w:rPr>
          <w:rFonts w:ascii="Garamond" w:hAnsi="Garamond"/>
        </w:rPr>
        <w:t xml:space="preserve">The </w:t>
      </w:r>
      <w:r w:rsidR="00405B1D" w:rsidRPr="00405B1D">
        <w:rPr>
          <w:rFonts w:ascii="Garamond" w:hAnsi="Garamond"/>
        </w:rPr>
        <w:t>ITFA Can Hinder Legitimate State Tax Policy</w:t>
      </w:r>
    </w:p>
    <w:p w14:paraId="5FE0D08B" w14:textId="1CA4FE95" w:rsidR="00E93A3A" w:rsidRPr="00930F0A" w:rsidRDefault="005C521E" w:rsidP="00A04EF4">
      <w:pPr>
        <w:rPr>
          <w:rFonts w:ascii="Garamond" w:hAnsi="Garamond"/>
          <w:sz w:val="26"/>
          <w:szCs w:val="26"/>
        </w:rPr>
      </w:pPr>
      <w:r>
        <w:rPr>
          <w:rFonts w:ascii="Garamond" w:hAnsi="Garamond"/>
          <w:sz w:val="26"/>
          <w:szCs w:val="26"/>
        </w:rPr>
        <w:t xml:space="preserve">There is no </w:t>
      </w:r>
      <w:r w:rsidR="0057752C" w:rsidRPr="00E369CE">
        <w:rPr>
          <w:rFonts w:ascii="Garamond" w:hAnsi="Garamond"/>
          <w:sz w:val="26"/>
          <w:szCs w:val="26"/>
        </w:rPr>
        <w:t xml:space="preserve">intentionality or </w:t>
      </w:r>
      <w:r w:rsidRPr="00E369CE">
        <w:rPr>
          <w:rFonts w:ascii="Garamond" w:hAnsi="Garamond"/>
          <w:sz w:val="26"/>
          <w:szCs w:val="26"/>
        </w:rPr>
        <w:t xml:space="preserve">de minimis exclusion in </w:t>
      </w:r>
      <w:r w:rsidR="003A5DBE">
        <w:rPr>
          <w:rFonts w:ascii="Garamond" w:hAnsi="Garamond"/>
          <w:sz w:val="26"/>
          <w:szCs w:val="26"/>
        </w:rPr>
        <w:t xml:space="preserve">the </w:t>
      </w:r>
      <w:r w:rsidRPr="00E369CE">
        <w:rPr>
          <w:rFonts w:ascii="Garamond" w:hAnsi="Garamond"/>
          <w:sz w:val="26"/>
          <w:szCs w:val="26"/>
        </w:rPr>
        <w:t xml:space="preserve">ITFA. </w:t>
      </w:r>
      <w:r w:rsidR="00E93A3A" w:rsidRPr="00E369CE">
        <w:rPr>
          <w:rFonts w:ascii="Garamond" w:hAnsi="Garamond"/>
          <w:sz w:val="26"/>
          <w:szCs w:val="26"/>
        </w:rPr>
        <w:t xml:space="preserve">A tax policy that </w:t>
      </w:r>
      <w:r w:rsidR="0057752C" w:rsidRPr="00E369CE">
        <w:rPr>
          <w:rFonts w:ascii="Garamond" w:hAnsi="Garamond"/>
          <w:sz w:val="26"/>
          <w:szCs w:val="26"/>
        </w:rPr>
        <w:t>inadvertently</w:t>
      </w:r>
      <w:r w:rsidR="0057752C">
        <w:rPr>
          <w:rFonts w:ascii="Garamond" w:hAnsi="Garamond"/>
          <w:sz w:val="26"/>
          <w:szCs w:val="26"/>
        </w:rPr>
        <w:t xml:space="preserve"> </w:t>
      </w:r>
      <w:r w:rsidR="00E93A3A" w:rsidRPr="00930F0A">
        <w:rPr>
          <w:rFonts w:ascii="Garamond" w:hAnsi="Garamond"/>
          <w:sz w:val="26"/>
          <w:szCs w:val="26"/>
        </w:rPr>
        <w:t>imposes even a trivial amount of discrimination against electronic commerce could be invalidated under ITFA, regardless of the wisdom of</w:t>
      </w:r>
      <w:r w:rsidR="003A5DBE">
        <w:rPr>
          <w:rFonts w:ascii="Garamond" w:hAnsi="Garamond"/>
          <w:sz w:val="26"/>
          <w:szCs w:val="26"/>
        </w:rPr>
        <w:t>,</w:t>
      </w:r>
      <w:r w:rsidR="00E93A3A" w:rsidRPr="00930F0A">
        <w:rPr>
          <w:rFonts w:ascii="Garamond" w:hAnsi="Garamond"/>
          <w:sz w:val="26"/>
          <w:szCs w:val="26"/>
        </w:rPr>
        <w:t xml:space="preserve"> </w:t>
      </w:r>
      <w:r w:rsidR="00E44275">
        <w:rPr>
          <w:rFonts w:ascii="Garamond" w:hAnsi="Garamond"/>
          <w:sz w:val="26"/>
          <w:szCs w:val="26"/>
        </w:rPr>
        <w:t>or reason for</w:t>
      </w:r>
      <w:r w:rsidR="003A5DBE">
        <w:rPr>
          <w:rFonts w:ascii="Garamond" w:hAnsi="Garamond"/>
          <w:sz w:val="26"/>
          <w:szCs w:val="26"/>
        </w:rPr>
        <w:t>,</w:t>
      </w:r>
      <w:r w:rsidR="00E44275">
        <w:rPr>
          <w:rFonts w:ascii="Garamond" w:hAnsi="Garamond"/>
          <w:sz w:val="26"/>
          <w:szCs w:val="26"/>
        </w:rPr>
        <w:t xml:space="preserve"> </w:t>
      </w:r>
      <w:r w:rsidR="00E93A3A" w:rsidRPr="00930F0A">
        <w:rPr>
          <w:rFonts w:ascii="Garamond" w:hAnsi="Garamond"/>
          <w:sz w:val="26"/>
          <w:szCs w:val="26"/>
        </w:rPr>
        <w:t>the underlying policy.</w:t>
      </w:r>
      <w:r w:rsidR="0057752C">
        <w:rPr>
          <w:rFonts w:ascii="Garamond" w:hAnsi="Garamond"/>
          <w:sz w:val="26"/>
          <w:szCs w:val="26"/>
        </w:rPr>
        <w:t xml:space="preserve"> </w:t>
      </w:r>
      <w:r w:rsidR="0057752C" w:rsidRPr="00E369CE">
        <w:rPr>
          <w:rFonts w:ascii="Garamond" w:hAnsi="Garamond"/>
          <w:sz w:val="26"/>
          <w:szCs w:val="26"/>
        </w:rPr>
        <w:t xml:space="preserve">A court could create a de minimis exception, as the Supreme Court did </w:t>
      </w:r>
      <w:r w:rsidR="00E369CE">
        <w:rPr>
          <w:rFonts w:ascii="Garamond" w:hAnsi="Garamond"/>
          <w:sz w:val="26"/>
          <w:szCs w:val="26"/>
        </w:rPr>
        <w:t xml:space="preserve">for P.L. 86-272 </w:t>
      </w:r>
      <w:r w:rsidR="0057752C" w:rsidRPr="00E369CE">
        <w:rPr>
          <w:rFonts w:ascii="Garamond" w:hAnsi="Garamond"/>
          <w:sz w:val="26"/>
          <w:szCs w:val="26"/>
        </w:rPr>
        <w:t xml:space="preserve">in </w:t>
      </w:r>
      <w:r w:rsidR="0057752C" w:rsidRPr="00E369CE">
        <w:rPr>
          <w:rFonts w:ascii="Garamond" w:hAnsi="Garamond"/>
          <w:i/>
          <w:iCs/>
          <w:sz w:val="26"/>
          <w:szCs w:val="26"/>
        </w:rPr>
        <w:t>Wrigley</w:t>
      </w:r>
      <w:r w:rsidR="0057752C" w:rsidRPr="00E369CE">
        <w:rPr>
          <w:rFonts w:ascii="Garamond" w:hAnsi="Garamond"/>
          <w:sz w:val="26"/>
          <w:szCs w:val="26"/>
        </w:rPr>
        <w:t>.</w:t>
      </w:r>
      <w:r w:rsidR="00D21C6E" w:rsidRPr="00E369CE">
        <w:rPr>
          <w:rStyle w:val="FootnoteReference"/>
          <w:rFonts w:ascii="Garamond" w:hAnsi="Garamond"/>
          <w:sz w:val="26"/>
          <w:szCs w:val="26"/>
        </w:rPr>
        <w:footnoteReference w:id="40"/>
      </w:r>
      <w:r w:rsidR="0057752C" w:rsidRPr="00E369CE">
        <w:rPr>
          <w:rFonts w:ascii="Garamond" w:hAnsi="Garamond"/>
          <w:sz w:val="26"/>
          <w:szCs w:val="26"/>
        </w:rPr>
        <w:t xml:space="preserve"> This </w:t>
      </w:r>
      <w:r w:rsidR="00F258B6" w:rsidRPr="00E369CE">
        <w:rPr>
          <w:rFonts w:ascii="Garamond" w:hAnsi="Garamond"/>
          <w:sz w:val="26"/>
          <w:szCs w:val="26"/>
        </w:rPr>
        <w:t xml:space="preserve">possibility </w:t>
      </w:r>
      <w:r w:rsidR="0057752C" w:rsidRPr="00E369CE">
        <w:rPr>
          <w:rFonts w:ascii="Garamond" w:hAnsi="Garamond"/>
          <w:sz w:val="26"/>
          <w:szCs w:val="26"/>
        </w:rPr>
        <w:t xml:space="preserve">only highlights the lack of </w:t>
      </w:r>
      <w:r w:rsidR="002A22F0">
        <w:rPr>
          <w:rFonts w:ascii="Garamond" w:hAnsi="Garamond"/>
          <w:sz w:val="26"/>
          <w:szCs w:val="26"/>
        </w:rPr>
        <w:t>clarity</w:t>
      </w:r>
      <w:r w:rsidR="0057752C" w:rsidRPr="00E369CE">
        <w:rPr>
          <w:rFonts w:ascii="Garamond" w:hAnsi="Garamond"/>
          <w:sz w:val="26"/>
          <w:szCs w:val="26"/>
        </w:rPr>
        <w:t xml:space="preserve"> under </w:t>
      </w:r>
      <w:r w:rsidR="003A5DBE">
        <w:rPr>
          <w:rFonts w:ascii="Garamond" w:hAnsi="Garamond"/>
          <w:sz w:val="26"/>
          <w:szCs w:val="26"/>
        </w:rPr>
        <w:t xml:space="preserve">the </w:t>
      </w:r>
      <w:r w:rsidR="0057752C" w:rsidRPr="00E369CE">
        <w:rPr>
          <w:rFonts w:ascii="Garamond" w:hAnsi="Garamond"/>
          <w:sz w:val="26"/>
          <w:szCs w:val="26"/>
        </w:rPr>
        <w:t xml:space="preserve">ITFA and </w:t>
      </w:r>
      <w:r w:rsidR="003A5DBE">
        <w:rPr>
          <w:rFonts w:ascii="Garamond" w:hAnsi="Garamond"/>
          <w:sz w:val="26"/>
          <w:szCs w:val="26"/>
        </w:rPr>
        <w:t xml:space="preserve">the </w:t>
      </w:r>
      <w:r w:rsidR="0057752C" w:rsidRPr="00E369CE">
        <w:rPr>
          <w:rFonts w:ascii="Garamond" w:hAnsi="Garamond"/>
          <w:sz w:val="26"/>
          <w:szCs w:val="26"/>
        </w:rPr>
        <w:t>reliance on litigation.</w:t>
      </w:r>
    </w:p>
    <w:p w14:paraId="074B5E64" w14:textId="67B99517" w:rsidR="005C521E" w:rsidRDefault="00D44835" w:rsidP="00A04EF4">
      <w:pPr>
        <w:pStyle w:val="Heading2"/>
        <w:spacing w:before="0" w:after="160"/>
        <w:rPr>
          <w:rFonts w:ascii="Garamond" w:hAnsi="Garamond"/>
        </w:rPr>
      </w:pPr>
      <w:r>
        <w:rPr>
          <w:rFonts w:ascii="Garamond" w:hAnsi="Garamond"/>
        </w:rPr>
        <w:t>D</w:t>
      </w:r>
      <w:r w:rsidR="005C521E" w:rsidRPr="005C521E">
        <w:rPr>
          <w:rFonts w:ascii="Garamond" w:hAnsi="Garamond"/>
        </w:rPr>
        <w:t xml:space="preserve">. </w:t>
      </w:r>
      <w:r w:rsidR="003A5DBE">
        <w:rPr>
          <w:rFonts w:ascii="Garamond" w:hAnsi="Garamond"/>
        </w:rPr>
        <w:t xml:space="preserve">The </w:t>
      </w:r>
      <w:r w:rsidR="005C521E" w:rsidRPr="005C521E">
        <w:rPr>
          <w:rFonts w:ascii="Garamond" w:hAnsi="Garamond"/>
        </w:rPr>
        <w:t>ITFA</w:t>
      </w:r>
      <w:r w:rsidR="005C521E">
        <w:rPr>
          <w:rFonts w:ascii="Garamond" w:hAnsi="Garamond"/>
        </w:rPr>
        <w:t>’s Discrimination Provision</w:t>
      </w:r>
      <w:r w:rsidR="005C521E" w:rsidRPr="005C521E">
        <w:rPr>
          <w:rFonts w:ascii="Garamond" w:hAnsi="Garamond"/>
        </w:rPr>
        <w:t xml:space="preserve"> Can be Accommodated</w:t>
      </w:r>
    </w:p>
    <w:p w14:paraId="1E29B0FD" w14:textId="64640F93" w:rsidR="005C521E" w:rsidRDefault="005C521E" w:rsidP="00A04EF4">
      <w:pPr>
        <w:rPr>
          <w:rFonts w:ascii="Garamond" w:hAnsi="Garamond"/>
          <w:sz w:val="26"/>
          <w:szCs w:val="26"/>
        </w:rPr>
      </w:pPr>
      <w:r>
        <w:rPr>
          <w:rFonts w:ascii="Garamond" w:hAnsi="Garamond"/>
          <w:sz w:val="26"/>
          <w:szCs w:val="26"/>
        </w:rPr>
        <w:t>States</w:t>
      </w:r>
      <w:r w:rsidR="002A22F0">
        <w:rPr>
          <w:rFonts w:ascii="Garamond" w:hAnsi="Garamond"/>
          <w:sz w:val="26"/>
          <w:szCs w:val="26"/>
        </w:rPr>
        <w:t xml:space="preserve"> should</w:t>
      </w:r>
      <w:r>
        <w:rPr>
          <w:rFonts w:ascii="Garamond" w:hAnsi="Garamond"/>
          <w:sz w:val="26"/>
          <w:szCs w:val="26"/>
        </w:rPr>
        <w:t xml:space="preserve"> be cautious not to </w:t>
      </w:r>
      <w:r w:rsidR="0057752C">
        <w:rPr>
          <w:rFonts w:ascii="Garamond" w:hAnsi="Garamond"/>
          <w:sz w:val="26"/>
          <w:szCs w:val="26"/>
        </w:rPr>
        <w:t>base t</w:t>
      </w:r>
      <w:r>
        <w:rPr>
          <w:rFonts w:ascii="Garamond" w:hAnsi="Garamond"/>
          <w:sz w:val="26"/>
          <w:szCs w:val="26"/>
        </w:rPr>
        <w:t xml:space="preserve">heir tax treatment on the presence </w:t>
      </w:r>
      <w:r w:rsidR="003A5DBE">
        <w:rPr>
          <w:rFonts w:ascii="Garamond" w:hAnsi="Garamond"/>
          <w:sz w:val="26"/>
          <w:szCs w:val="26"/>
        </w:rPr>
        <w:t xml:space="preserve">of the Internet, </w:t>
      </w:r>
      <w:r w:rsidR="00E44275">
        <w:rPr>
          <w:rFonts w:ascii="Garamond" w:hAnsi="Garamond"/>
          <w:sz w:val="26"/>
          <w:szCs w:val="26"/>
        </w:rPr>
        <w:t xml:space="preserve">or use </w:t>
      </w:r>
      <w:r>
        <w:rPr>
          <w:rFonts w:ascii="Garamond" w:hAnsi="Garamond"/>
          <w:sz w:val="26"/>
          <w:szCs w:val="26"/>
        </w:rPr>
        <w:t>of the Internet</w:t>
      </w:r>
      <w:r w:rsidR="003A5DBE">
        <w:rPr>
          <w:rFonts w:ascii="Garamond" w:hAnsi="Garamond"/>
          <w:sz w:val="26"/>
          <w:szCs w:val="26"/>
        </w:rPr>
        <w:t>,</w:t>
      </w:r>
      <w:r w:rsidR="00E44275">
        <w:rPr>
          <w:rFonts w:ascii="Garamond" w:hAnsi="Garamond"/>
          <w:sz w:val="26"/>
          <w:szCs w:val="26"/>
        </w:rPr>
        <w:t xml:space="preserve"> in the transaction</w:t>
      </w:r>
      <w:r w:rsidR="00F258B6">
        <w:rPr>
          <w:rFonts w:ascii="Garamond" w:hAnsi="Garamond"/>
          <w:sz w:val="26"/>
          <w:szCs w:val="26"/>
        </w:rPr>
        <w:t xml:space="preserve">. Further, states </w:t>
      </w:r>
      <w:r w:rsidR="00004F77">
        <w:rPr>
          <w:rFonts w:ascii="Garamond" w:hAnsi="Garamond"/>
          <w:sz w:val="26"/>
          <w:szCs w:val="26"/>
        </w:rPr>
        <w:t>should be careful in selecting</w:t>
      </w:r>
      <w:r w:rsidR="00F258B6">
        <w:rPr>
          <w:rFonts w:ascii="Garamond" w:hAnsi="Garamond"/>
          <w:sz w:val="26"/>
          <w:szCs w:val="26"/>
        </w:rPr>
        <w:t xml:space="preserve"> language</w:t>
      </w:r>
      <w:r>
        <w:rPr>
          <w:rFonts w:ascii="Garamond" w:hAnsi="Garamond"/>
          <w:sz w:val="26"/>
          <w:szCs w:val="26"/>
        </w:rPr>
        <w:t xml:space="preserve"> </w:t>
      </w:r>
      <w:r w:rsidR="00F258B6">
        <w:rPr>
          <w:rFonts w:ascii="Garamond" w:hAnsi="Garamond"/>
          <w:sz w:val="26"/>
          <w:szCs w:val="26"/>
        </w:rPr>
        <w:t xml:space="preserve">that </w:t>
      </w:r>
      <w:r w:rsidR="00004F77">
        <w:rPr>
          <w:rFonts w:ascii="Garamond" w:hAnsi="Garamond"/>
          <w:sz w:val="26"/>
          <w:szCs w:val="26"/>
        </w:rPr>
        <w:t>might</w:t>
      </w:r>
      <w:r w:rsidR="00F258B6">
        <w:rPr>
          <w:rFonts w:ascii="Garamond" w:hAnsi="Garamond"/>
          <w:sz w:val="26"/>
          <w:szCs w:val="26"/>
        </w:rPr>
        <w:t xml:space="preserve"> invite</w:t>
      </w:r>
      <w:r>
        <w:rPr>
          <w:rFonts w:ascii="Garamond" w:hAnsi="Garamond"/>
          <w:sz w:val="26"/>
          <w:szCs w:val="26"/>
        </w:rPr>
        <w:t xml:space="preserve"> such a conclusion. For example, a tax treatment that relies on the non-Internet characteristics of a product or service will </w:t>
      </w:r>
      <w:r w:rsidR="003A5DBE">
        <w:rPr>
          <w:rFonts w:ascii="Garamond" w:hAnsi="Garamond"/>
          <w:sz w:val="26"/>
          <w:szCs w:val="26"/>
        </w:rPr>
        <w:t xml:space="preserve">likely </w:t>
      </w:r>
      <w:r>
        <w:rPr>
          <w:rFonts w:ascii="Garamond" w:hAnsi="Garamond"/>
          <w:sz w:val="26"/>
          <w:szCs w:val="26"/>
        </w:rPr>
        <w:t>survive</w:t>
      </w:r>
      <w:r w:rsidRPr="22256E85">
        <w:rPr>
          <w:rFonts w:ascii="Garamond" w:hAnsi="Garamond"/>
          <w:sz w:val="26"/>
          <w:szCs w:val="26"/>
        </w:rPr>
        <w:t xml:space="preserve"> an ITFA discrimination challenge, whereas one that overtly relies on </w:t>
      </w:r>
      <w:r w:rsidR="00E44275">
        <w:rPr>
          <w:rFonts w:ascii="Garamond" w:hAnsi="Garamond"/>
          <w:sz w:val="26"/>
          <w:szCs w:val="26"/>
        </w:rPr>
        <w:t xml:space="preserve">whether the transaction occurs over </w:t>
      </w:r>
      <w:r>
        <w:rPr>
          <w:rFonts w:ascii="Garamond" w:hAnsi="Garamond"/>
          <w:sz w:val="26"/>
          <w:szCs w:val="26"/>
        </w:rPr>
        <w:t xml:space="preserve">the Internet to </w:t>
      </w:r>
      <w:r w:rsidRPr="22256E85">
        <w:rPr>
          <w:rFonts w:ascii="Garamond" w:hAnsi="Garamond"/>
          <w:sz w:val="26"/>
          <w:szCs w:val="26"/>
        </w:rPr>
        <w:t xml:space="preserve">determine the tax treatment </w:t>
      </w:r>
      <w:r w:rsidR="47400514" w:rsidRPr="22256E85">
        <w:rPr>
          <w:rFonts w:ascii="Garamond" w:hAnsi="Garamond"/>
          <w:sz w:val="26"/>
          <w:szCs w:val="26"/>
        </w:rPr>
        <w:t>may</w:t>
      </w:r>
      <w:r w:rsidRPr="22256E85">
        <w:rPr>
          <w:rFonts w:ascii="Garamond" w:hAnsi="Garamond"/>
          <w:sz w:val="26"/>
          <w:szCs w:val="26"/>
        </w:rPr>
        <w:t xml:space="preserve"> not.</w:t>
      </w:r>
      <w:r w:rsidRPr="22256E85">
        <w:rPr>
          <w:rStyle w:val="FootnoteReference"/>
          <w:rFonts w:ascii="Garamond" w:hAnsi="Garamond"/>
          <w:sz w:val="26"/>
          <w:szCs w:val="26"/>
        </w:rPr>
        <w:footnoteReference w:id="41"/>
      </w:r>
    </w:p>
    <w:p w14:paraId="6E5C4DD5" w14:textId="1817D410" w:rsidR="0082723C" w:rsidRDefault="0082723C" w:rsidP="00A04EF4">
      <w:pPr>
        <w:pStyle w:val="Heading2"/>
        <w:spacing w:before="0" w:after="160"/>
        <w:rPr>
          <w:rFonts w:ascii="Garamond" w:hAnsi="Garamond"/>
        </w:rPr>
      </w:pPr>
      <w:r w:rsidRPr="0082723C">
        <w:rPr>
          <w:rFonts w:ascii="Garamond" w:hAnsi="Garamond"/>
        </w:rPr>
        <w:t xml:space="preserve">E. </w:t>
      </w:r>
      <w:r w:rsidR="003A5DBE">
        <w:rPr>
          <w:rFonts w:ascii="Garamond" w:hAnsi="Garamond"/>
        </w:rPr>
        <w:t xml:space="preserve">The </w:t>
      </w:r>
      <w:r w:rsidR="0079644A">
        <w:rPr>
          <w:rFonts w:ascii="Garamond" w:hAnsi="Garamond"/>
        </w:rPr>
        <w:t>ITFA Should not be Incorporated into State Law</w:t>
      </w:r>
    </w:p>
    <w:p w14:paraId="42FD9778" w14:textId="2BE90ABB" w:rsidR="0082723C" w:rsidRDefault="0082723C" w:rsidP="00A04EF4">
      <w:pPr>
        <w:rPr>
          <w:rFonts w:ascii="Garamond" w:hAnsi="Garamond"/>
          <w:sz w:val="26"/>
          <w:szCs w:val="26"/>
        </w:rPr>
      </w:pPr>
      <w:r w:rsidRPr="00930F0A">
        <w:rPr>
          <w:rFonts w:ascii="Garamond" w:hAnsi="Garamond"/>
          <w:sz w:val="26"/>
          <w:szCs w:val="26"/>
        </w:rPr>
        <w:t>ITFA is a federal</w:t>
      </w:r>
      <w:r>
        <w:rPr>
          <w:rFonts w:ascii="Garamond" w:hAnsi="Garamond"/>
          <w:sz w:val="26"/>
          <w:szCs w:val="26"/>
        </w:rPr>
        <w:t xml:space="preserve"> preemption</w:t>
      </w:r>
      <w:r w:rsidRPr="00930F0A">
        <w:rPr>
          <w:rFonts w:ascii="Garamond" w:hAnsi="Garamond"/>
          <w:sz w:val="26"/>
          <w:szCs w:val="26"/>
        </w:rPr>
        <w:t xml:space="preserve"> statute and must be respected</w:t>
      </w:r>
      <w:r>
        <w:rPr>
          <w:rFonts w:ascii="Garamond" w:hAnsi="Garamond"/>
          <w:sz w:val="26"/>
          <w:szCs w:val="26"/>
        </w:rPr>
        <w:t>, but this has its limits</w:t>
      </w:r>
      <w:r w:rsidRPr="00930F0A">
        <w:rPr>
          <w:rFonts w:ascii="Garamond" w:hAnsi="Garamond"/>
          <w:sz w:val="26"/>
          <w:szCs w:val="26"/>
        </w:rPr>
        <w:t>.</w:t>
      </w:r>
      <w:r>
        <w:rPr>
          <w:rFonts w:ascii="Garamond" w:hAnsi="Garamond"/>
          <w:sz w:val="26"/>
          <w:szCs w:val="26"/>
        </w:rPr>
        <w:t xml:space="preserve"> </w:t>
      </w:r>
      <w:r w:rsidR="0079644A">
        <w:rPr>
          <w:rFonts w:ascii="Garamond" w:hAnsi="Garamond"/>
          <w:sz w:val="26"/>
          <w:szCs w:val="26"/>
        </w:rPr>
        <w:t>How much ITFA should be</w:t>
      </w:r>
      <w:r>
        <w:rPr>
          <w:rFonts w:ascii="Garamond" w:hAnsi="Garamond"/>
          <w:sz w:val="26"/>
          <w:szCs w:val="26"/>
        </w:rPr>
        <w:t xml:space="preserve"> </w:t>
      </w:r>
      <w:r w:rsidR="0079644A">
        <w:rPr>
          <w:rFonts w:ascii="Garamond" w:hAnsi="Garamond"/>
          <w:sz w:val="26"/>
          <w:szCs w:val="26"/>
        </w:rPr>
        <w:t>incorporated into</w:t>
      </w:r>
      <w:r>
        <w:rPr>
          <w:rFonts w:ascii="Garamond" w:hAnsi="Garamond"/>
          <w:sz w:val="26"/>
          <w:szCs w:val="26"/>
        </w:rPr>
        <w:t xml:space="preserve"> state law is an important question. </w:t>
      </w:r>
      <w:r w:rsidR="0079644A">
        <w:rPr>
          <w:rFonts w:ascii="Garamond" w:hAnsi="Garamond"/>
          <w:sz w:val="26"/>
          <w:szCs w:val="26"/>
        </w:rPr>
        <w:t>Many considerations suggest minimizing this.</w:t>
      </w:r>
    </w:p>
    <w:p w14:paraId="5B034564" w14:textId="0BBBE023" w:rsidR="0079644A" w:rsidRPr="00930F0A" w:rsidRDefault="0079644A" w:rsidP="00A04EF4">
      <w:pPr>
        <w:rPr>
          <w:rFonts w:ascii="Garamond" w:hAnsi="Garamond"/>
          <w:sz w:val="26"/>
          <w:szCs w:val="26"/>
        </w:rPr>
      </w:pPr>
      <w:r w:rsidRPr="00930F0A">
        <w:rPr>
          <w:rFonts w:ascii="Garamond" w:hAnsi="Garamond"/>
          <w:sz w:val="26"/>
          <w:szCs w:val="26"/>
        </w:rPr>
        <w:lastRenderedPageBreak/>
        <w:t xml:space="preserve">First, </w:t>
      </w:r>
      <w:r>
        <w:rPr>
          <w:rFonts w:ascii="Garamond" w:hAnsi="Garamond"/>
          <w:sz w:val="26"/>
          <w:szCs w:val="26"/>
        </w:rPr>
        <w:t>it is unnecessary because federal preemption applies regardless of whether it is specifically incorporated</w:t>
      </w:r>
      <w:r w:rsidR="00861767">
        <w:rPr>
          <w:rFonts w:ascii="Garamond" w:hAnsi="Garamond"/>
          <w:sz w:val="26"/>
          <w:szCs w:val="26"/>
        </w:rPr>
        <w:t xml:space="preserve"> into,</w:t>
      </w:r>
      <w:r>
        <w:rPr>
          <w:rFonts w:ascii="Garamond" w:hAnsi="Garamond"/>
          <w:sz w:val="26"/>
          <w:szCs w:val="26"/>
        </w:rPr>
        <w:t xml:space="preserve"> or even acknowledged in</w:t>
      </w:r>
      <w:r w:rsidR="00861767">
        <w:rPr>
          <w:rFonts w:ascii="Garamond" w:hAnsi="Garamond"/>
          <w:sz w:val="26"/>
          <w:szCs w:val="26"/>
        </w:rPr>
        <w:t>,</w:t>
      </w:r>
      <w:r>
        <w:rPr>
          <w:rFonts w:ascii="Garamond" w:hAnsi="Garamond"/>
          <w:sz w:val="26"/>
          <w:szCs w:val="26"/>
        </w:rPr>
        <w:t xml:space="preserve"> state law. Second, </w:t>
      </w:r>
      <w:r w:rsidR="00861767">
        <w:rPr>
          <w:rFonts w:ascii="Garamond" w:hAnsi="Garamond"/>
          <w:sz w:val="26"/>
          <w:szCs w:val="26"/>
        </w:rPr>
        <w:t xml:space="preserve">the </w:t>
      </w:r>
      <w:r w:rsidRPr="00930F0A">
        <w:rPr>
          <w:rFonts w:ascii="Garamond" w:hAnsi="Garamond"/>
          <w:sz w:val="26"/>
          <w:szCs w:val="26"/>
        </w:rPr>
        <w:t>ITFA</w:t>
      </w:r>
      <w:r>
        <w:rPr>
          <w:rFonts w:ascii="Garamond" w:hAnsi="Garamond"/>
          <w:sz w:val="26"/>
          <w:szCs w:val="26"/>
        </w:rPr>
        <w:t>, as a</w:t>
      </w:r>
      <w:r w:rsidRPr="00930F0A">
        <w:rPr>
          <w:rFonts w:ascii="Garamond" w:hAnsi="Garamond"/>
          <w:sz w:val="26"/>
          <w:szCs w:val="26"/>
        </w:rPr>
        <w:t xml:space="preserve"> </w:t>
      </w:r>
      <w:r>
        <w:rPr>
          <w:rFonts w:ascii="Garamond" w:hAnsi="Garamond"/>
          <w:sz w:val="26"/>
          <w:szCs w:val="26"/>
        </w:rPr>
        <w:t>f</w:t>
      </w:r>
      <w:r w:rsidRPr="00930F0A">
        <w:rPr>
          <w:rFonts w:ascii="Garamond" w:hAnsi="Garamond"/>
          <w:sz w:val="26"/>
          <w:szCs w:val="26"/>
        </w:rPr>
        <w:t>ederal preemption of state taxation,</w:t>
      </w:r>
      <w:r>
        <w:rPr>
          <w:rFonts w:ascii="Garamond" w:hAnsi="Garamond"/>
          <w:sz w:val="26"/>
          <w:szCs w:val="26"/>
        </w:rPr>
        <w:t xml:space="preserve"> should not be interpreted expansively</w:t>
      </w:r>
      <w:r w:rsidRPr="00930F0A">
        <w:rPr>
          <w:rFonts w:ascii="Garamond" w:hAnsi="Garamond"/>
          <w:sz w:val="26"/>
          <w:szCs w:val="26"/>
        </w:rPr>
        <w:t>.</w:t>
      </w:r>
      <w:r>
        <w:rPr>
          <w:rStyle w:val="FootnoteReference"/>
          <w:rFonts w:ascii="Garamond" w:hAnsi="Garamond"/>
          <w:sz w:val="26"/>
          <w:szCs w:val="26"/>
        </w:rPr>
        <w:footnoteReference w:id="42"/>
      </w:r>
      <w:r w:rsidRPr="00930F0A">
        <w:rPr>
          <w:rFonts w:ascii="Garamond" w:hAnsi="Garamond"/>
          <w:sz w:val="26"/>
          <w:szCs w:val="26"/>
        </w:rPr>
        <w:t xml:space="preserve"> </w:t>
      </w:r>
      <w:r>
        <w:rPr>
          <w:rFonts w:ascii="Garamond" w:hAnsi="Garamond"/>
          <w:sz w:val="26"/>
          <w:szCs w:val="26"/>
        </w:rPr>
        <w:t>I</w:t>
      </w:r>
      <w:r w:rsidRPr="00930F0A">
        <w:rPr>
          <w:rFonts w:ascii="Garamond" w:hAnsi="Garamond"/>
          <w:sz w:val="26"/>
          <w:szCs w:val="26"/>
        </w:rPr>
        <w:t xml:space="preserve">ncorporating </w:t>
      </w:r>
      <w:r w:rsidR="00861767">
        <w:rPr>
          <w:rFonts w:ascii="Garamond" w:hAnsi="Garamond"/>
          <w:sz w:val="26"/>
          <w:szCs w:val="26"/>
        </w:rPr>
        <w:t xml:space="preserve">the </w:t>
      </w:r>
      <w:r w:rsidRPr="00930F0A">
        <w:rPr>
          <w:rFonts w:ascii="Garamond" w:hAnsi="Garamond"/>
          <w:sz w:val="26"/>
          <w:szCs w:val="26"/>
        </w:rPr>
        <w:t xml:space="preserve">ITFA into state statute </w:t>
      </w:r>
      <w:r>
        <w:rPr>
          <w:rFonts w:ascii="Garamond" w:hAnsi="Garamond"/>
          <w:sz w:val="26"/>
          <w:szCs w:val="26"/>
        </w:rPr>
        <w:t xml:space="preserve">potentially </w:t>
      </w:r>
      <w:r w:rsidRPr="00930F0A">
        <w:rPr>
          <w:rFonts w:ascii="Garamond" w:hAnsi="Garamond"/>
          <w:sz w:val="26"/>
          <w:szCs w:val="26"/>
        </w:rPr>
        <w:t xml:space="preserve">gives federal preemption a wider berth than </w:t>
      </w:r>
      <w:r>
        <w:rPr>
          <w:rFonts w:ascii="Garamond" w:hAnsi="Garamond"/>
          <w:sz w:val="26"/>
          <w:szCs w:val="26"/>
        </w:rPr>
        <w:t>it might otherwise have</w:t>
      </w:r>
      <w:r w:rsidRPr="00930F0A">
        <w:rPr>
          <w:rFonts w:ascii="Garamond" w:hAnsi="Garamond"/>
          <w:sz w:val="26"/>
          <w:szCs w:val="26"/>
        </w:rPr>
        <w:t xml:space="preserve">. </w:t>
      </w:r>
      <w:r>
        <w:rPr>
          <w:rFonts w:ascii="Garamond" w:hAnsi="Garamond"/>
          <w:sz w:val="26"/>
          <w:szCs w:val="26"/>
        </w:rPr>
        <w:t>Third</w:t>
      </w:r>
      <w:r w:rsidRPr="00930F0A">
        <w:rPr>
          <w:rFonts w:ascii="Garamond" w:hAnsi="Garamond"/>
          <w:sz w:val="26"/>
          <w:szCs w:val="26"/>
        </w:rPr>
        <w:t xml:space="preserve">, incorporating </w:t>
      </w:r>
      <w:r w:rsidR="00861767">
        <w:rPr>
          <w:rFonts w:ascii="Garamond" w:hAnsi="Garamond"/>
          <w:sz w:val="26"/>
          <w:szCs w:val="26"/>
        </w:rPr>
        <w:t xml:space="preserve">the </w:t>
      </w:r>
      <w:r w:rsidRPr="00930F0A">
        <w:rPr>
          <w:rFonts w:ascii="Garamond" w:hAnsi="Garamond"/>
          <w:sz w:val="26"/>
          <w:szCs w:val="26"/>
        </w:rPr>
        <w:t xml:space="preserve">ITFA into state statute can only go in one direction: toward greater restriction of state </w:t>
      </w:r>
      <w:r>
        <w:rPr>
          <w:rFonts w:ascii="Garamond" w:hAnsi="Garamond"/>
          <w:sz w:val="26"/>
          <w:szCs w:val="26"/>
        </w:rPr>
        <w:t xml:space="preserve">taxing </w:t>
      </w:r>
      <w:r w:rsidRPr="00930F0A">
        <w:rPr>
          <w:rFonts w:ascii="Garamond" w:hAnsi="Garamond"/>
          <w:sz w:val="26"/>
          <w:szCs w:val="26"/>
        </w:rPr>
        <w:t>authority</w:t>
      </w:r>
      <w:r>
        <w:rPr>
          <w:rFonts w:ascii="Garamond" w:hAnsi="Garamond"/>
          <w:sz w:val="26"/>
          <w:szCs w:val="26"/>
        </w:rPr>
        <w:t xml:space="preserve"> than </w:t>
      </w:r>
      <w:r w:rsidR="00861767">
        <w:rPr>
          <w:rFonts w:ascii="Garamond" w:hAnsi="Garamond"/>
          <w:sz w:val="26"/>
          <w:szCs w:val="26"/>
        </w:rPr>
        <w:t xml:space="preserve">the </w:t>
      </w:r>
      <w:r>
        <w:rPr>
          <w:rFonts w:ascii="Garamond" w:hAnsi="Garamond"/>
          <w:sz w:val="26"/>
          <w:szCs w:val="26"/>
        </w:rPr>
        <w:t>ITFA requires</w:t>
      </w:r>
      <w:r w:rsidRPr="00930F0A">
        <w:rPr>
          <w:rFonts w:ascii="Garamond" w:hAnsi="Garamond"/>
          <w:sz w:val="26"/>
          <w:szCs w:val="26"/>
        </w:rPr>
        <w:t>.</w:t>
      </w:r>
      <w:r>
        <w:rPr>
          <w:rFonts w:ascii="Garamond" w:hAnsi="Garamond"/>
          <w:sz w:val="26"/>
          <w:szCs w:val="26"/>
        </w:rPr>
        <w:t xml:space="preserve"> Fourth</w:t>
      </w:r>
      <w:r w:rsidRPr="00930F0A">
        <w:rPr>
          <w:rFonts w:ascii="Garamond" w:hAnsi="Garamond"/>
          <w:sz w:val="26"/>
          <w:szCs w:val="26"/>
        </w:rPr>
        <w:t xml:space="preserve">, incorporating </w:t>
      </w:r>
      <w:r w:rsidR="00861767">
        <w:rPr>
          <w:rFonts w:ascii="Garamond" w:hAnsi="Garamond"/>
          <w:sz w:val="26"/>
          <w:szCs w:val="26"/>
        </w:rPr>
        <w:t xml:space="preserve">the </w:t>
      </w:r>
      <w:r w:rsidRPr="00930F0A">
        <w:rPr>
          <w:rFonts w:ascii="Garamond" w:hAnsi="Garamond"/>
          <w:sz w:val="26"/>
          <w:szCs w:val="26"/>
        </w:rPr>
        <w:t xml:space="preserve">ITFA into state statute risks multiple and diverging interpretations across multiple state and federal versions of </w:t>
      </w:r>
      <w:r w:rsidR="00861767">
        <w:rPr>
          <w:rFonts w:ascii="Garamond" w:hAnsi="Garamond"/>
          <w:sz w:val="26"/>
          <w:szCs w:val="26"/>
        </w:rPr>
        <w:t xml:space="preserve">the </w:t>
      </w:r>
      <w:r w:rsidRPr="00930F0A">
        <w:rPr>
          <w:rFonts w:ascii="Garamond" w:hAnsi="Garamond"/>
          <w:sz w:val="26"/>
          <w:szCs w:val="26"/>
        </w:rPr>
        <w:t>ITFA.</w:t>
      </w:r>
      <w:r>
        <w:rPr>
          <w:rFonts w:ascii="Garamond" w:hAnsi="Garamond"/>
          <w:sz w:val="26"/>
          <w:szCs w:val="26"/>
        </w:rPr>
        <w:t xml:space="preserve"> As the federal ITFA is interpreted by a court, the state version of </w:t>
      </w:r>
      <w:r w:rsidR="00861767">
        <w:rPr>
          <w:rFonts w:ascii="Garamond" w:hAnsi="Garamond"/>
          <w:sz w:val="26"/>
          <w:szCs w:val="26"/>
        </w:rPr>
        <w:t xml:space="preserve">the </w:t>
      </w:r>
      <w:r>
        <w:rPr>
          <w:rFonts w:ascii="Garamond" w:hAnsi="Garamond"/>
          <w:sz w:val="26"/>
          <w:szCs w:val="26"/>
        </w:rPr>
        <w:t xml:space="preserve">ITFA may be interpreted </w:t>
      </w:r>
      <w:r w:rsidR="00861767">
        <w:rPr>
          <w:rFonts w:ascii="Garamond" w:hAnsi="Garamond"/>
          <w:sz w:val="26"/>
          <w:szCs w:val="26"/>
        </w:rPr>
        <w:t>in</w:t>
      </w:r>
      <w:r>
        <w:rPr>
          <w:rFonts w:ascii="Garamond" w:hAnsi="Garamond"/>
          <w:sz w:val="26"/>
          <w:szCs w:val="26"/>
        </w:rPr>
        <w:t xml:space="preserve"> different ways.</w:t>
      </w:r>
    </w:p>
    <w:p w14:paraId="02174D0B" w14:textId="5C8CEE31" w:rsidR="0079644A" w:rsidRPr="0082723C" w:rsidRDefault="0079644A" w:rsidP="00A04EF4">
      <w:pPr>
        <w:rPr>
          <w:rFonts w:ascii="Garamond" w:hAnsi="Garamond"/>
          <w:sz w:val="26"/>
          <w:szCs w:val="26"/>
        </w:rPr>
      </w:pPr>
      <w:r w:rsidRPr="00930F0A">
        <w:rPr>
          <w:rFonts w:ascii="Garamond" w:hAnsi="Garamond"/>
          <w:sz w:val="26"/>
          <w:szCs w:val="26"/>
        </w:rPr>
        <w:t xml:space="preserve">States should limit any attempts to address </w:t>
      </w:r>
      <w:r w:rsidR="00861767">
        <w:rPr>
          <w:rFonts w:ascii="Garamond" w:hAnsi="Garamond"/>
          <w:sz w:val="26"/>
          <w:szCs w:val="26"/>
        </w:rPr>
        <w:t xml:space="preserve">the </w:t>
      </w:r>
      <w:r w:rsidRPr="00930F0A">
        <w:rPr>
          <w:rFonts w:ascii="Garamond" w:hAnsi="Garamond"/>
          <w:sz w:val="26"/>
          <w:szCs w:val="26"/>
        </w:rPr>
        <w:t xml:space="preserve">ITFA to administrative rules or to </w:t>
      </w:r>
      <w:r>
        <w:rPr>
          <w:rFonts w:ascii="Garamond" w:hAnsi="Garamond"/>
          <w:sz w:val="26"/>
          <w:szCs w:val="26"/>
        </w:rPr>
        <w:t>simple</w:t>
      </w:r>
      <w:r w:rsidRPr="00930F0A">
        <w:rPr>
          <w:rFonts w:ascii="Garamond" w:hAnsi="Garamond"/>
          <w:sz w:val="26"/>
          <w:szCs w:val="26"/>
        </w:rPr>
        <w:t xml:space="preserve"> references to the federal law.</w:t>
      </w:r>
    </w:p>
    <w:p w14:paraId="17AD42B6" w14:textId="3F9D4C80" w:rsidR="00930F0A" w:rsidRDefault="00C25D5E" w:rsidP="0057752C">
      <w:pPr>
        <w:pStyle w:val="Heading1"/>
        <w:spacing w:before="0"/>
        <w:rPr>
          <w:rFonts w:ascii="Garamond" w:hAnsi="Garamond"/>
          <w:sz w:val="36"/>
          <w:szCs w:val="36"/>
        </w:rPr>
      </w:pPr>
      <w:r>
        <w:rPr>
          <w:rFonts w:ascii="Garamond" w:hAnsi="Garamond"/>
          <w:sz w:val="36"/>
          <w:szCs w:val="36"/>
        </w:rPr>
        <w:t>5</w:t>
      </w:r>
      <w:r w:rsidR="00930F0A" w:rsidRPr="00930F0A">
        <w:rPr>
          <w:rFonts w:ascii="Garamond" w:hAnsi="Garamond"/>
          <w:sz w:val="36"/>
          <w:szCs w:val="36"/>
        </w:rPr>
        <w:t>. Appendices</w:t>
      </w:r>
    </w:p>
    <w:p w14:paraId="60A361C4" w14:textId="2D8FFC04" w:rsidR="00930F0A" w:rsidRDefault="00930F0A" w:rsidP="00930F0A">
      <w:pPr>
        <w:pStyle w:val="Heading2"/>
        <w:rPr>
          <w:rFonts w:ascii="Garamond" w:hAnsi="Garamond"/>
        </w:rPr>
      </w:pPr>
      <w:r w:rsidRPr="00930F0A">
        <w:rPr>
          <w:rFonts w:ascii="Garamond" w:hAnsi="Garamond"/>
        </w:rPr>
        <w:t>A. Internet Tax Freedom Act</w:t>
      </w:r>
      <w:r w:rsidR="008213E8">
        <w:rPr>
          <w:rFonts w:ascii="Garamond" w:hAnsi="Garamond"/>
        </w:rPr>
        <w:t xml:space="preserve"> – 47 U.S.C. </w:t>
      </w:r>
      <w:r w:rsidR="008213E8">
        <w:rPr>
          <w:rFonts w:ascii="Calibri" w:hAnsi="Calibri" w:cs="Calibri"/>
        </w:rPr>
        <w:t>§</w:t>
      </w:r>
      <w:r w:rsidR="008213E8">
        <w:rPr>
          <w:rFonts w:ascii="Garamond" w:hAnsi="Garamond"/>
        </w:rPr>
        <w:t xml:space="preserve"> 151 note</w:t>
      </w:r>
    </w:p>
    <w:p w14:paraId="59D88B2A" w14:textId="77777777" w:rsidR="008213E8" w:rsidRPr="00E16634" w:rsidRDefault="008213E8" w:rsidP="008213E8">
      <w:pPr>
        <w:spacing w:after="200" w:line="276" w:lineRule="auto"/>
        <w:rPr>
          <w:rFonts w:ascii="Garamond" w:eastAsia="Calibri" w:hAnsi="Garamond" w:cs="Times New Roman"/>
          <w:b/>
          <w:bCs/>
          <w:kern w:val="0"/>
          <w:sz w:val="26"/>
          <w:szCs w:val="26"/>
          <w14:ligatures w14:val="none"/>
        </w:rPr>
      </w:pPr>
      <w:r w:rsidRPr="00E16634">
        <w:rPr>
          <w:rFonts w:ascii="Garamond" w:eastAsia="Calibri" w:hAnsi="Garamond" w:cs="Times New Roman"/>
          <w:b/>
          <w:bCs/>
          <w:kern w:val="0"/>
          <w:sz w:val="26"/>
          <w:szCs w:val="26"/>
          <w14:ligatures w14:val="none"/>
        </w:rPr>
        <w:t>SEC. 1100. SHORT TITLE.</w:t>
      </w:r>
    </w:p>
    <w:p w14:paraId="635FBCAC"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“This title may be cited as the ‘Internet Tax Freedom Act’.</w:t>
      </w:r>
    </w:p>
    <w:p w14:paraId="6AD5FA55" w14:textId="77777777" w:rsidR="008213E8" w:rsidRPr="00E16634" w:rsidRDefault="008213E8" w:rsidP="008213E8">
      <w:pPr>
        <w:spacing w:after="200" w:line="276" w:lineRule="auto"/>
        <w:rPr>
          <w:rFonts w:ascii="Garamond" w:eastAsia="Calibri" w:hAnsi="Garamond" w:cs="Times New Roman"/>
          <w:b/>
          <w:bCs/>
          <w:kern w:val="0"/>
          <w:sz w:val="26"/>
          <w:szCs w:val="26"/>
          <w14:ligatures w14:val="none"/>
        </w:rPr>
      </w:pPr>
      <w:r w:rsidRPr="00E16634">
        <w:rPr>
          <w:rFonts w:ascii="Garamond" w:eastAsia="Calibri" w:hAnsi="Garamond" w:cs="Times New Roman"/>
          <w:b/>
          <w:bCs/>
          <w:kern w:val="0"/>
          <w:sz w:val="26"/>
          <w:szCs w:val="26"/>
          <w14:ligatures w14:val="none"/>
        </w:rPr>
        <w:t>SEC. 1101. MORATORIUM.</w:t>
      </w:r>
    </w:p>
    <w:p w14:paraId="2DF185A4" w14:textId="115340AF"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Moratorium. — No State or political subdivision thereof may impose any of the following taxes:</w:t>
      </w:r>
    </w:p>
    <w:p w14:paraId="25A0BAAC"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Taxes on Internet access.</w:t>
      </w:r>
    </w:p>
    <w:p w14:paraId="22262703"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“(2) Multiple or discriminatory taxes on electronic commerce.</w:t>
      </w:r>
    </w:p>
    <w:p w14:paraId="2CB35F5B" w14:textId="675E14BC"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Preservation of State and Local Taxing Authority. —</w:t>
      </w:r>
    </w:p>
    <w:p w14:paraId="785DE18C"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Except as provided in this section, nothing in this title shall be construed to modify, impair, or supersede, or authorize the modification, impairment, or superseding of, any State or local law pertaining to taxation that is otherwise permissible by or under the Constitution of the United States or other Federal law and in effect on the date of enactment of this Act.</w:t>
      </w:r>
    </w:p>
    <w:p w14:paraId="44A2C09B" w14:textId="2AC30D31"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lastRenderedPageBreak/>
        <w:t>“(c) Liabilities and Pending Cases. —</w:t>
      </w:r>
    </w:p>
    <w:p w14:paraId="32C3C0D1"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Nothing in this title affects liability for taxes accrued and enforced before the date of enactment of this Act, nor does this title affect ongoing litigation relating to such taxes.</w:t>
      </w:r>
    </w:p>
    <w:p w14:paraId="1AC8E8D8" w14:textId="4E49415F" w:rsidR="008213E8" w:rsidRPr="00E16634" w:rsidRDefault="008213E8" w:rsidP="008213E8">
      <w:pPr>
        <w:spacing w:after="200" w:line="276" w:lineRule="auto"/>
        <w:ind w:left="720"/>
        <w:outlineLvl w:val="1"/>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“(d) Exception to Moratorium. —</w:t>
      </w:r>
    </w:p>
    <w:p w14:paraId="289974EC" w14:textId="7B5AC461"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In general. —</w:t>
      </w:r>
    </w:p>
    <w:p w14:paraId="22273C08"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Subsection (a) shall also not apply in the case of any person or entity who knowingly and with knowledge of the character of the material, in interstate or foreign commerce by means of the World Wide Web, makes any communication for commercial purposes that is available to any minor and that includes any material that is harmful to minors unless such person or entity has restricted access by minors to material that is harmful to minors—</w:t>
      </w:r>
    </w:p>
    <w:p w14:paraId="5636BE85"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by requiring use of a credit card, debit account, adult access code, or adult personal identification number;</w:t>
      </w:r>
    </w:p>
    <w:p w14:paraId="0D37D653"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by accepting a digital certificate that verifies age; or</w:t>
      </w:r>
    </w:p>
    <w:p w14:paraId="3225F81C"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“(C) by any other reasonable measures that are feasible under available technology.</w:t>
      </w:r>
    </w:p>
    <w:p w14:paraId="75AC085C" w14:textId="72DDF542"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“(2) Scope of exception. —</w:t>
      </w:r>
    </w:p>
    <w:p w14:paraId="63C9A87B"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For purposes of paragraph (1), a person shall not be considered to [be] making a communication for commercial purposes of material to the extent that the person is—</w:t>
      </w:r>
    </w:p>
    <w:p w14:paraId="4A5168A6"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a telecommunications carrier engaged in the provision of a telecommunications service;</w:t>
      </w:r>
    </w:p>
    <w:p w14:paraId="30288CB6"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a person engaged in the business of providing an Internet access service;</w:t>
      </w:r>
    </w:p>
    <w:p w14:paraId="1EAAE4E1"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“(C) a person engaged in the business of providing an Internet information location tool; or</w:t>
      </w:r>
    </w:p>
    <w:p w14:paraId="1D1B5F83"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“(D) similarly engaged in the transmission, storage, retrieval, hosting, formatting, or translation (or any combination thereof) of a communication made by another person, without selection or alteration of the communication.</w:t>
      </w:r>
    </w:p>
    <w:p w14:paraId="3E2BDAEA" w14:textId="2AD0627A"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lastRenderedPageBreak/>
        <w:t>“(3) Definitions. —</w:t>
      </w:r>
    </w:p>
    <w:p w14:paraId="337A10EF"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In this subsection:</w:t>
      </w:r>
    </w:p>
    <w:p w14:paraId="6CE87710" w14:textId="39E3B20E"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By means of the world wide web. —</w:t>
      </w:r>
    </w:p>
    <w:p w14:paraId="2D2CA3A4"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‘by means of the World Wide Web’ means by placement of material in a computer server-based file archive so that it is publicly accessible, over the Internet, using hypertext transfer protocol, file transfer protocol, or other similar protocols.</w:t>
      </w:r>
    </w:p>
    <w:p w14:paraId="248E83C0" w14:textId="4D2FCBC6"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Commercial purposes; engaged in the business. —</w:t>
      </w:r>
    </w:p>
    <w:p w14:paraId="0A6126EF" w14:textId="62C79E65"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Commercial purposes. — A person shall be considered to make a communication for commercial purposes only if such person is engaged in the business of making such communications.</w:t>
      </w:r>
    </w:p>
    <w:p w14:paraId="4C1F4B8E"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Engaged in the business.— The term ‘engaged in the business’ means that the person who makes a communication, or offers to make a communication, by means of the World Wide Web, that includes any material that is harmful to minors, devotes time, attention, or labor to such activities, as a regular course of such person’s trade or business, with the objective of earning a profit as a result of such activities (although it is not necessary that the person make a profit or that the making or offering to make such communications be the person’s sole or principal business or source of income). A person may be considered to be engaged in the business of making, by means of the World Wide Web, communications for commercial purposes that include material that is harmful to minors, only if the person knowingly causes the material that is harmful to minors to be posted on the World Wide Web or knowingly solicits such material to be posted on the World Wide Web.</w:t>
      </w:r>
    </w:p>
    <w:p w14:paraId="67A27148" w14:textId="3FE27056"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“(C) Internet. —</w:t>
      </w:r>
    </w:p>
    <w:p w14:paraId="5DE0CA2B"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‘Internet’ means collectively the myriad of computer and telecommunications facilities, including equipment and operating software, which comprise the interconnected world-wide network of networks that employ the Transmission Control Protocol/Internet Protocol, or any predecessor or successor protocols to such protocol, to communicate information of all kinds by wire or radio.</w:t>
      </w:r>
    </w:p>
    <w:p w14:paraId="13B8CCDC" w14:textId="275DD954"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lastRenderedPageBreak/>
        <w:t>“(D) Internet access service. —</w:t>
      </w:r>
    </w:p>
    <w:p w14:paraId="3397C35A"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‘Internet access service’ means a service that enables users to access content, information, electronic mail, or other services offered over the Internet and may also include access to proprietary content, information, and other services as part of a package of services offered to consumers. The term ‘Internet access service’ does not include telecommunications services, except to the extent such services are purchased, used, or sold by a provider of Internet access to provide Internet access.</w:t>
      </w:r>
    </w:p>
    <w:p w14:paraId="602E2CB5" w14:textId="0DA1CB92"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“(E) Internet information location tool. —</w:t>
      </w:r>
    </w:p>
    <w:p w14:paraId="667613DD"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‘Internet information location tool’ means a service that refers or links users to an online location on the World Wide Web. Such term includes directories, indices, references, pointers, and hypertext links.</w:t>
      </w:r>
    </w:p>
    <w:p w14:paraId="5AE4E5A4" w14:textId="49C21CBE"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“(F) Material that is harmful to minors. —</w:t>
      </w:r>
    </w:p>
    <w:p w14:paraId="1A4AB50C"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‘material that is harmful to minors’ means any communication, picture, image, graphic image file, article, recording, writing, or other matter of any kind that is obscene or that—</w:t>
      </w:r>
    </w:p>
    <w:p w14:paraId="3F10597D"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the average person, applying contemporary community standards, would find, taking the material as a whole and with respect to minors, is designed to appeal to, or is designed to pander to, the prurient interest;</w:t>
      </w:r>
    </w:p>
    <w:p w14:paraId="7145D8DD"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depicts, describes, or represents, in a manner patently offensive with respect to minors, an actual or simulated sexual act or sexual contact, an actual or simulated normal or perverted sexual act, or a lewd exhibition of the genitals or post-pubescent female breast; and</w:t>
      </w:r>
    </w:p>
    <w:p w14:paraId="1F9D88EE"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“(iii) taken as a whole, lacks serious literary, artistic, political, or scientific value for minors.</w:t>
      </w:r>
    </w:p>
    <w:p w14:paraId="799AC2A3" w14:textId="572A7F0B"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“(G) Minor. —</w:t>
      </w:r>
    </w:p>
    <w:p w14:paraId="4129DF8D"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‘minor’ means any person under 17 years of age.</w:t>
      </w:r>
    </w:p>
    <w:p w14:paraId="7E71F345" w14:textId="1A5B8D5C"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“(H) Telecommunications carrier; telecommunications service. —</w:t>
      </w:r>
    </w:p>
    <w:p w14:paraId="748E901B"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lastRenderedPageBreak/>
        <w:t>The terms ‘telecommunications carrier’ and ‘telecommunications service’ have the meanings given such terms in section 3 of the Communications Act of 1934 (47 U.S.C. 153).</w:t>
      </w:r>
    </w:p>
    <w:p w14:paraId="1C3B4755" w14:textId="04B87E84" w:rsidR="008213E8" w:rsidRPr="00E16634" w:rsidRDefault="008213E8" w:rsidP="008213E8">
      <w:pPr>
        <w:spacing w:after="200" w:line="276" w:lineRule="auto"/>
        <w:ind w:left="720"/>
        <w:outlineLvl w:val="1"/>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“(e) Additional Exception to Moratorium. —</w:t>
      </w:r>
    </w:p>
    <w:p w14:paraId="292C5488" w14:textId="1A184385"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In general. —</w:t>
      </w:r>
    </w:p>
    <w:p w14:paraId="24B3B847"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Subsection (a) shall also not apply with respect to an Internet access provider, unless, at the time of entering into an agreement with a customer for the provision of Internet access services, such provider offers such customer (either for a fee or at no charge) screening software that is designed to permit the customer to limit access to material on the Internet that is harmful to minors.</w:t>
      </w:r>
    </w:p>
    <w:p w14:paraId="1DB15197" w14:textId="01E039A6"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“(2) Definitions. —</w:t>
      </w:r>
    </w:p>
    <w:p w14:paraId="3693C082"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In this subsection:</w:t>
      </w:r>
    </w:p>
    <w:p w14:paraId="5D4D0CF9" w14:textId="3856FC7D"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Internet access provider. —</w:t>
      </w:r>
    </w:p>
    <w:p w14:paraId="6FF78CD0"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‘Internet access provider’ means a person engaged in the business of providing a computer and communications facility through which a customer may obtain access to the Internet, but does not include a common carrier to the extent that it provides only telecommunications services.</w:t>
      </w:r>
    </w:p>
    <w:p w14:paraId="06E1F809" w14:textId="4A79B942"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Internet access services. —</w:t>
      </w:r>
    </w:p>
    <w:p w14:paraId="25F5171C"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‘Internet access services’ means the provision of computer and communications services through which a customer using a computer and a modem or other communications device may obtain access to the Internet, but does not include telecommunications services provided by a common carrier.</w:t>
      </w:r>
    </w:p>
    <w:p w14:paraId="46845C99" w14:textId="23987174"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“(C) Screening software. —</w:t>
      </w:r>
    </w:p>
    <w:p w14:paraId="5EE121BD"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‘screening software’ means software that is designed to permit a person to limit access to material on the Internet that is harmful to minors.</w:t>
      </w:r>
    </w:p>
    <w:p w14:paraId="7DD8266C" w14:textId="309D6A9F"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“(3) Applicability. —</w:t>
      </w:r>
    </w:p>
    <w:p w14:paraId="68470A79"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lastRenderedPageBreak/>
        <w:t>Paragraph (1) shall apply to agreements for the provision of Internet access services entered into on or after the date that is 6 months after the date of enactment of this Act.</w:t>
      </w:r>
    </w:p>
    <w:p w14:paraId="0869ACEF" w14:textId="77777777" w:rsidR="008213E8" w:rsidRPr="00E16634" w:rsidRDefault="008213E8" w:rsidP="008213E8">
      <w:pPr>
        <w:spacing w:after="200" w:line="276" w:lineRule="auto"/>
        <w:rPr>
          <w:rFonts w:ascii="Garamond" w:eastAsia="Calibri" w:hAnsi="Garamond" w:cs="Times New Roman"/>
          <w:b/>
          <w:bCs/>
          <w:kern w:val="0"/>
          <w:sz w:val="26"/>
          <w:szCs w:val="26"/>
          <w14:ligatures w14:val="none"/>
        </w:rPr>
      </w:pPr>
      <w:r w:rsidRPr="00E16634">
        <w:rPr>
          <w:rFonts w:ascii="Garamond" w:eastAsia="Calibri" w:hAnsi="Garamond" w:cs="Times New Roman"/>
          <w:b/>
          <w:bCs/>
          <w:kern w:val="0"/>
          <w:sz w:val="26"/>
          <w:szCs w:val="26"/>
          <w14:ligatures w14:val="none"/>
        </w:rPr>
        <w:t>SEC. 1102. ADVISORY COMMISSION ON ELECTRONIC COMMERCE.</w:t>
      </w:r>
    </w:p>
    <w:p w14:paraId="591C12A8" w14:textId="0E2C5A1F"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Establishment of Commission. —</w:t>
      </w:r>
    </w:p>
    <w:p w14:paraId="25049BF6"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There is established a commission to be known as the Advisory Commission on Electronic Commerce (in this title referred to as the ‘Commission’). The Commission shall—</w:t>
      </w:r>
    </w:p>
    <w:p w14:paraId="3CDFF98B"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be composed of 19 members appointed in accordance with subsection (b), including the chairperson who shall be selected by the members of the Commission from among themselves; and</w:t>
      </w:r>
    </w:p>
    <w:p w14:paraId="777526C7"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“(2) conduct its business in accordance with the provisions of this title.</w:t>
      </w:r>
    </w:p>
    <w:p w14:paraId="645DA5F7" w14:textId="74E63334"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Membership. —</w:t>
      </w:r>
    </w:p>
    <w:p w14:paraId="77B4D05D" w14:textId="550D6109"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In general. —</w:t>
      </w:r>
    </w:p>
    <w:p w14:paraId="6EAA859B"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Commissioners shall serve for the life of the Commission. The membership of the Commission shall be as follows:</w:t>
      </w:r>
    </w:p>
    <w:p w14:paraId="1ED47509"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3 representatives from the Federal Government, comprised of the Secretary of Commerce, the Secretary of the Treasury, and the United States Trade Representative (or their respective delegates).</w:t>
      </w:r>
    </w:p>
    <w:p w14:paraId="579A9922"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8 representatives from State and local governments (one such representative shall be from a State or local government that does not impose a sales tax and one representative shall be from a State that does not impose an income tax).</w:t>
      </w:r>
    </w:p>
    <w:p w14:paraId="60F19666"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“(C) 8 representatives of the electronic commerce industry (including small business), telecommunications carriers, local retail businesses, and consumer groups, comprised of—</w:t>
      </w:r>
    </w:p>
    <w:p w14:paraId="2F23BA39"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5 individuals appointed by the Majority Leader of the Senate;</w:t>
      </w:r>
    </w:p>
    <w:p w14:paraId="08ABD728"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3 individuals appointed by the Minority Leader of the Senate;</w:t>
      </w:r>
    </w:p>
    <w:p w14:paraId="4369C0B8"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“(iii) 5 individuals appointed by the Speaker of the House of Representatives; and</w:t>
      </w:r>
    </w:p>
    <w:p w14:paraId="4B132C9C"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lastRenderedPageBreak/>
        <w:t>“(iv) 3 individuals appointed by the Minority Leader of the House of Representatives.</w:t>
      </w:r>
    </w:p>
    <w:p w14:paraId="39A32760" w14:textId="05531A0F"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“(2) Appointments. —</w:t>
      </w:r>
    </w:p>
    <w:p w14:paraId="432A6B63"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Appointments to the Commission shall be made not later than 45 days after the date of the enactment of this Act. The chairperson shall be selected not later than 60 days after the date of the enactment of this Act.</w:t>
      </w:r>
    </w:p>
    <w:p w14:paraId="4D6682D1" w14:textId="08D3E0F4"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“(3) Vacancies. —</w:t>
      </w:r>
    </w:p>
    <w:p w14:paraId="70B55B33"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Any vacancy in the Commission shall not affect its powers, but shall be filled in the same manner as the original appointment.</w:t>
      </w:r>
    </w:p>
    <w:p w14:paraId="7878941B" w14:textId="45B8D5E8"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“(c) Acceptance of Gifts and Grants. —</w:t>
      </w:r>
    </w:p>
    <w:p w14:paraId="44D6D542"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Commission may accept, use, and dispose of gifts or grants of services or property, both real and personal, for purposes of aiding or facilitating the work of the Commission. Gifts or grants not used at the expiration of the Commission shall be returned to the donor or grantor.</w:t>
      </w:r>
    </w:p>
    <w:p w14:paraId="00C00BCA" w14:textId="3FDF4BBA"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 xml:space="preserve">“(d) Other </w:t>
      </w:r>
      <w:r w:rsidR="00E16634" w:rsidRPr="00E16634">
        <w:rPr>
          <w:rFonts w:ascii="Garamond" w:eastAsia="Calibri" w:hAnsi="Garamond" w:cs="Times New Roman"/>
          <w:kern w:val="0"/>
          <w:sz w:val="26"/>
          <w:szCs w:val="26"/>
          <w14:ligatures w14:val="none"/>
        </w:rPr>
        <w:t>Resources. —</w:t>
      </w:r>
    </w:p>
    <w:p w14:paraId="6290EA72"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Commission shall have reasonable access to materials, resources, data, and other information from the Department of Justice, the Department of Commerce, the Department of State, the Department of the Treasury, and the Office of the United States Trade Representative. The Commission shall also have reasonable access to use the facilities of any such Department or Office for purposes of conducting meetings.</w:t>
      </w:r>
    </w:p>
    <w:p w14:paraId="6C7EFBBE" w14:textId="14E3713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“(e) Sunset. —</w:t>
      </w:r>
    </w:p>
    <w:p w14:paraId="5E8C95A4"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Commission shall terminate 18 months after the date of the enactment of this Act.</w:t>
      </w:r>
    </w:p>
    <w:p w14:paraId="5255AAE4" w14:textId="1448F62E"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“(f) Rules of the Commission. —</w:t>
      </w:r>
    </w:p>
    <w:p w14:paraId="3B89BF66" w14:textId="5B25020F"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Quorum. —</w:t>
      </w:r>
    </w:p>
    <w:p w14:paraId="2E808C57"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Nine members of the Commission shall constitute a quorum for conducting the business of the Commission.</w:t>
      </w:r>
    </w:p>
    <w:p w14:paraId="1494A8BF" w14:textId="2371FC1C"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 xml:space="preserve">“(2) </w:t>
      </w:r>
      <w:r w:rsidR="00E16634" w:rsidRPr="00E16634">
        <w:rPr>
          <w:rFonts w:ascii="Garamond" w:eastAsia="Calibri" w:hAnsi="Garamond" w:cs="Times New Roman"/>
          <w:kern w:val="0"/>
          <w:sz w:val="26"/>
          <w:szCs w:val="26"/>
          <w14:ligatures w14:val="none"/>
        </w:rPr>
        <w:t>Meetings. —</w:t>
      </w:r>
    </w:p>
    <w:p w14:paraId="261A5146"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lastRenderedPageBreak/>
        <w:t>Any meetings held by the Commission shall be duly noticed at least 14 days in advance and shall be open to the public.</w:t>
      </w:r>
    </w:p>
    <w:p w14:paraId="5AACB282" w14:textId="47E39F46"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“(3) Opportunities to testify. —</w:t>
      </w:r>
    </w:p>
    <w:p w14:paraId="2E491B64"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Commission shall provide opportunities for representatives of the general public, taxpayer groups, consumer groups, and State and local government officials to testify.</w:t>
      </w:r>
    </w:p>
    <w:p w14:paraId="45AC8FF6" w14:textId="78574AF5"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“(4) Additional rules. —</w:t>
      </w:r>
    </w:p>
    <w:p w14:paraId="081BB8E5"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Commission may adopt other rules as needed.</w:t>
      </w:r>
    </w:p>
    <w:p w14:paraId="2A90EB94" w14:textId="59054A91"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“(g) Duties of the Commission. —</w:t>
      </w:r>
    </w:p>
    <w:p w14:paraId="14AA640F" w14:textId="72487948"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In general. —</w:t>
      </w:r>
    </w:p>
    <w:p w14:paraId="67CD5E60"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Commission shall conduct a thorough study of Federal, State and local, and international taxation and tariff treatment of transactions using the Internet and Internet access and other comparable intrastate, interstate or international sales activities.</w:t>
      </w:r>
    </w:p>
    <w:p w14:paraId="4CAA7B4A" w14:textId="16862931"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“(2) Issues to be studied. —</w:t>
      </w:r>
    </w:p>
    <w:p w14:paraId="4348ADBC" w14:textId="33E6FDB1"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Commission may include in the study under subsection (a) —</w:t>
      </w:r>
    </w:p>
    <w:p w14:paraId="563DD5B2"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an examination of—</w:t>
      </w:r>
    </w:p>
    <w:p w14:paraId="1D3BE3AF"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barriers imposed in foreign markets on United States providers of property, goods, services, or information engaged in electronic commerce and on United States providers of telecommunications services; and</w:t>
      </w:r>
    </w:p>
    <w:p w14:paraId="1D9A7822"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how the imposition of such barriers will affect United States consumers, the competitiveness of United States citizens providing property, goods, services, or information in foreign markets, and the growth and maturing of the Internet;</w:t>
      </w:r>
    </w:p>
    <w:p w14:paraId="49FF75BC"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an examination of the collection and administration of consumption taxes on electronic commerce in other countries and the United States, and the impact of such collection on the global economy, including an examination of the relationship between the collection and administration of such taxes when the transaction uses the Internet and when it does not;</w:t>
      </w:r>
    </w:p>
    <w:p w14:paraId="68548EC7"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lastRenderedPageBreak/>
        <w:t>“(C) an examination of the impact of the Internet and Internet access (particularly voice transmission) on the revenue base for taxes imposed under section 4251 of the Internal Revenue Code of 1986 [26 U.S.C. 4251];</w:t>
      </w:r>
    </w:p>
    <w:p w14:paraId="0EF64E33"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“(D) an examination of model State legislation that—</w:t>
      </w:r>
    </w:p>
    <w:p w14:paraId="1A22AF34"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would provide uniform definitions of categories of property, goods, service, or information subject to or exempt from sales and use taxes; and</w:t>
      </w:r>
    </w:p>
    <w:p w14:paraId="3FA82BF7"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would ensure that Internet access services, online services, and communications and transactions using the Internet, Internet access service, or online services would be treated in a tax and technologically neutral manner relative to other forms of remote sales;</w:t>
      </w:r>
    </w:p>
    <w:p w14:paraId="31AB86E9"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“(E) an examination of the effects of taxation, including the absence of taxation, on all interstate sales transactions, including transactions using the Internet, on retail businesses and on State and local governments, which examination may include a review of the efforts of State and local governments to collect sales and use taxes owed on in-State purchases from out-of-State sellers; and</w:t>
      </w:r>
    </w:p>
    <w:p w14:paraId="1C636CDE"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“(F) the examination of ways to simplify Federal and State and local taxes imposed on the provision of telecommunications services.</w:t>
      </w:r>
    </w:p>
    <w:p w14:paraId="2D543A6B" w14:textId="60943DAE"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“(3) Effect on the communications act of 1934. —</w:t>
      </w:r>
    </w:p>
    <w:p w14:paraId="1351F670"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Nothing in this section shall include an examination of any fees or charges imposed by the Federal Communications Commission or States related to—</w:t>
      </w:r>
    </w:p>
    <w:p w14:paraId="4A67D8D0"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obligations under the Communications Act of 1934 (47 U.S.C. 151 et seq.); or</w:t>
      </w:r>
    </w:p>
    <w:p w14:paraId="0CF59143"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the implementation of the Telecommunications Act of 1996 [Pub. L. 104–104, see Short Title of 1996 Amendment note set out under section 609 of this title] (or of amendments made by that Act).</w:t>
      </w:r>
    </w:p>
    <w:p w14:paraId="43D267D2" w14:textId="05499EC9"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 xml:space="preserve">“(h) National Tax Association Communications and Electronic Commerce Tax </w:t>
      </w:r>
      <w:r w:rsidR="00E16634" w:rsidRPr="00E16634">
        <w:rPr>
          <w:rFonts w:ascii="Garamond" w:eastAsia="Calibri" w:hAnsi="Garamond" w:cs="Times New Roman"/>
          <w:kern w:val="0"/>
          <w:sz w:val="26"/>
          <w:szCs w:val="26"/>
          <w14:ligatures w14:val="none"/>
        </w:rPr>
        <w:t>Project. —</w:t>
      </w:r>
    </w:p>
    <w:p w14:paraId="79E5AAC4"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Commission shall, to the extent possible, ensure that its work does not undermine the efforts of the National Tax Association Communications and Electronic Commerce Tax Project.</w:t>
      </w:r>
    </w:p>
    <w:p w14:paraId="7AD52C57" w14:textId="77777777" w:rsidR="008213E8" w:rsidRPr="00E16634" w:rsidRDefault="008213E8" w:rsidP="008213E8">
      <w:pPr>
        <w:spacing w:after="200" w:line="276" w:lineRule="auto"/>
        <w:rPr>
          <w:rFonts w:ascii="Garamond" w:eastAsia="Calibri" w:hAnsi="Garamond" w:cs="Times New Roman"/>
          <w:b/>
          <w:bCs/>
          <w:kern w:val="0"/>
          <w:sz w:val="26"/>
          <w:szCs w:val="26"/>
          <w14:ligatures w14:val="none"/>
        </w:rPr>
      </w:pPr>
      <w:r w:rsidRPr="00E16634">
        <w:rPr>
          <w:rFonts w:ascii="Garamond" w:eastAsia="Calibri" w:hAnsi="Garamond" w:cs="Times New Roman"/>
          <w:b/>
          <w:bCs/>
          <w:kern w:val="0"/>
          <w:sz w:val="26"/>
          <w:szCs w:val="26"/>
          <w14:ligatures w14:val="none"/>
        </w:rPr>
        <w:lastRenderedPageBreak/>
        <w:t>SEC. 1103. REPORT.</w:t>
      </w:r>
    </w:p>
    <w:p w14:paraId="5F1311A5"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“Not later than 18 months after the date of the enactment of this Act, the Commission shall transmit to Congress for its consideration a report reflecting the results, including such legislative recommendations as required to address the findings of the Commission’s study under this title. Any recommendation agreed to by the Commission shall be tax and technologically neutral and apply to all forms of remote commerce. No finding or recommendation shall be included in the report unless agreed to by at least two-thirds of the members of the Commission serving at the time the finding or recommendation is made.</w:t>
      </w:r>
    </w:p>
    <w:p w14:paraId="7998D382" w14:textId="77777777" w:rsidR="008213E8" w:rsidRPr="00E16634" w:rsidRDefault="008213E8" w:rsidP="008213E8">
      <w:pPr>
        <w:spacing w:after="200" w:line="276" w:lineRule="auto"/>
        <w:rPr>
          <w:rFonts w:ascii="Garamond" w:eastAsia="Calibri" w:hAnsi="Garamond" w:cs="Times New Roman"/>
          <w:b/>
          <w:bCs/>
          <w:kern w:val="0"/>
          <w:sz w:val="26"/>
          <w:szCs w:val="26"/>
          <w14:ligatures w14:val="none"/>
        </w:rPr>
      </w:pPr>
      <w:r w:rsidRPr="00E16634">
        <w:rPr>
          <w:rFonts w:ascii="Garamond" w:eastAsia="Calibri" w:hAnsi="Garamond" w:cs="Times New Roman"/>
          <w:b/>
          <w:bCs/>
          <w:kern w:val="0"/>
          <w:sz w:val="26"/>
          <w:szCs w:val="26"/>
          <w14:ligatures w14:val="none"/>
        </w:rPr>
        <w:t>SEC. 1104. GRANDFATHERING OF STATES THAT TAX INTERNET ACCESS.</w:t>
      </w:r>
    </w:p>
    <w:p w14:paraId="76F729FE" w14:textId="5DEC2B08"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Pre-October 1998 Taxes. —</w:t>
      </w:r>
    </w:p>
    <w:p w14:paraId="0312FA93" w14:textId="5A2F2698"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In general. —</w:t>
      </w:r>
    </w:p>
    <w:p w14:paraId="0A239247"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Section 1101(a) does not apply to a tax on Internet access that was generally imposed and actually enforced prior to October 1, 1998, if, before that date—</w:t>
      </w:r>
    </w:p>
    <w:p w14:paraId="11AF5C1B"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the tax was authorized by statute; and</w:t>
      </w:r>
    </w:p>
    <w:p w14:paraId="0F6D25A9"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either—</w:t>
      </w:r>
    </w:p>
    <w:p w14:paraId="694A6EEA"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a provider of Internet access services had a reasonable opportunity to know, by virtue of a rule or other public proclamation made by the appropriate administrative agency of the State or political subdivision thereof, that such agency has interpreted and applied such tax to Internet access services; or</w:t>
      </w:r>
    </w:p>
    <w:p w14:paraId="678DF723"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a State or political subdivision thereof generally collected such tax on charges for Internet access.</w:t>
      </w:r>
    </w:p>
    <w:p w14:paraId="4C4EE011"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“(2) Termination.</w:t>
      </w:r>
    </w:p>
    <w:p w14:paraId="08F6CAAA"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In general.</w:t>
      </w:r>
    </w:p>
    <w:p w14:paraId="7EC9911A"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Except as provided in subparagraph (B), this subsection shall not apply after June 30, 2020.</w:t>
      </w:r>
    </w:p>
    <w:p w14:paraId="15D09F3D"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State telecommunications service tax.</w:t>
      </w:r>
    </w:p>
    <w:p w14:paraId="7F79A652" w14:textId="40855D28"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Date for termination. —</w:t>
      </w:r>
    </w:p>
    <w:p w14:paraId="78EE9CB5"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lastRenderedPageBreak/>
        <w:t>This subsection shall not apply after November 1, 2006, with respect to a State telecommunications service tax described in clause (ii).</w:t>
      </w:r>
    </w:p>
    <w:p w14:paraId="74FED4F2" w14:textId="5BBD8AAF"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Description of tax. — A State telecommunications service tax referred to in subclause (i) is a State tax—</w:t>
      </w:r>
    </w:p>
    <w:p w14:paraId="6F3C383B" w14:textId="77777777" w:rsidR="008213E8" w:rsidRPr="00E16634" w:rsidRDefault="008213E8" w:rsidP="008213E8">
      <w:pPr>
        <w:spacing w:after="200" w:line="276" w:lineRule="auto"/>
        <w:ind w:left="3690" w:hanging="1530"/>
        <w:rPr>
          <w:rFonts w:ascii="Garamond" w:eastAsia="Calibri" w:hAnsi="Garamond" w:cs="Times New Roman"/>
          <w:kern w:val="0"/>
          <w:sz w:val="26"/>
          <w:szCs w:val="26"/>
          <w14:ligatures w14:val="none"/>
        </w:rPr>
      </w:pPr>
      <w:r w:rsidRPr="00E16634">
        <w:rPr>
          <w:rFonts w:ascii="Times New Roman" w:eastAsia="Calibri" w:hAnsi="Times New Roman" w:cs="Times New Roman"/>
          <w:kern w:val="0"/>
          <w:sz w:val="26"/>
          <w:szCs w:val="26"/>
          <w14:ligatures w14:val="none"/>
        </w:rPr>
        <w:t>     </w:t>
      </w:r>
      <w:r w:rsidRPr="00E16634">
        <w:rPr>
          <w:rFonts w:ascii="Garamond" w:eastAsia="Calibri" w:hAnsi="Garamond" w:cs="Garamond"/>
          <w:kern w:val="0"/>
          <w:sz w:val="26"/>
          <w:szCs w:val="26"/>
          <w14:ligatures w14:val="none"/>
        </w:rPr>
        <w:t>“</w:t>
      </w:r>
      <w:r w:rsidRPr="00E16634">
        <w:rPr>
          <w:rFonts w:ascii="Garamond" w:eastAsia="Calibri" w:hAnsi="Garamond" w:cs="Times New Roman"/>
          <w:kern w:val="0"/>
          <w:sz w:val="26"/>
          <w:szCs w:val="26"/>
          <w14:ligatures w14:val="none"/>
        </w:rPr>
        <w:t>(I) enacted by State law on or after October 1, 1991, and imposing a tax on telecommunications service; and</w:t>
      </w:r>
    </w:p>
    <w:p w14:paraId="7446140F" w14:textId="77777777" w:rsidR="008213E8" w:rsidRPr="00E16634" w:rsidRDefault="008213E8" w:rsidP="008213E8">
      <w:pPr>
        <w:spacing w:after="200" w:line="276" w:lineRule="auto"/>
        <w:ind w:left="3780" w:hanging="1620"/>
        <w:rPr>
          <w:rFonts w:ascii="Garamond" w:eastAsia="Calibri" w:hAnsi="Garamond" w:cs="Times New Roman"/>
          <w:kern w:val="0"/>
          <w:sz w:val="26"/>
          <w:szCs w:val="26"/>
          <w14:ligatures w14:val="none"/>
        </w:rPr>
      </w:pPr>
      <w:r w:rsidRPr="00E16634">
        <w:rPr>
          <w:rFonts w:ascii="Times New Roman" w:eastAsia="Calibri" w:hAnsi="Times New Roman" w:cs="Times New Roman"/>
          <w:kern w:val="0"/>
          <w:sz w:val="26"/>
          <w:szCs w:val="26"/>
          <w14:ligatures w14:val="none"/>
        </w:rPr>
        <w:t>     </w:t>
      </w:r>
      <w:r w:rsidRPr="00E16634">
        <w:rPr>
          <w:rFonts w:ascii="Garamond" w:eastAsia="Calibri" w:hAnsi="Garamond" w:cs="Garamond"/>
          <w:kern w:val="0"/>
          <w:sz w:val="26"/>
          <w:szCs w:val="26"/>
          <w14:ligatures w14:val="none"/>
        </w:rPr>
        <w:t>“</w:t>
      </w:r>
      <w:r w:rsidRPr="00E16634">
        <w:rPr>
          <w:rFonts w:ascii="Garamond" w:eastAsia="Calibri" w:hAnsi="Garamond" w:cs="Times New Roman"/>
          <w:kern w:val="0"/>
          <w:sz w:val="26"/>
          <w:szCs w:val="26"/>
          <w14:ligatures w14:val="none"/>
        </w:rPr>
        <w:t>(II) applied to Internet access through administrative code or regulation issued on or after December 1, 2002.</w:t>
      </w:r>
    </w:p>
    <w:p w14:paraId="3F7C818E"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“(3) Exception.</w:t>
      </w:r>
    </w:p>
    <w:p w14:paraId="2682F30A"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Paragraphs (1) and (2) shall not apply to any State that has, more than 24 months prior to the date of enactment of this paragraph, enacted legislation to repeal the State’s taxes on Internet access or issued a rule or other proclamation made by the appropriate agency of the State that such State agency has decided to no longer apply such tax to Internet access.</w:t>
      </w:r>
    </w:p>
    <w:p w14:paraId="08B280EE"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Pre-November 2003 Taxes.</w:t>
      </w:r>
    </w:p>
    <w:p w14:paraId="4308EA13"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In general. — Section 1101(a) does not apply to a tax on Internet access that was generally imposed and actually enforced as of November 1, 2003, if, as of that date, the tax was authorized by statute and—</w:t>
      </w:r>
    </w:p>
    <w:p w14:paraId="4808BCE9"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a provider of Internet access services had a reasonable opportunity to know by virtue of a public rule or other public proclamation made by the appropriate administrative agency of the State or political subdivision thereof, that such agency has interpreted and applied such tax to Internet access services; and</w:t>
      </w:r>
    </w:p>
    <w:p w14:paraId="1244009A"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a State or political subdivision thereof generally collected such tax on charges for Internet access.</w:t>
      </w:r>
    </w:p>
    <w:p w14:paraId="55D7D223" w14:textId="3956E91F"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“(2) Termination. —</w:t>
      </w:r>
    </w:p>
    <w:p w14:paraId="53A55969"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This subsection shall not apply after November 1, 2005.</w:t>
      </w:r>
    </w:p>
    <w:p w14:paraId="0964030A" w14:textId="48F8FB1F"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“(c) Application of Definition. —</w:t>
      </w:r>
    </w:p>
    <w:p w14:paraId="5CD54DB4" w14:textId="12F14A04"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In general. —</w:t>
      </w:r>
    </w:p>
    <w:p w14:paraId="7E12DFA2"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lastRenderedPageBreak/>
        <w:t>Effective as of November 1, 2003—</w:t>
      </w:r>
    </w:p>
    <w:p w14:paraId="351A439C"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for purposes of subsection (a), the term ‘Internet access’ shall have the meaning given such term by section 1104(5) of this Act, as enacted on October 21, 1998; and</w:t>
      </w:r>
    </w:p>
    <w:p w14:paraId="4BA097F4"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for purposes of subsection (b), the term ‘Internet access’ shall have the meaning given such term by section 1104(5) of this Act as enacted on October 21, 1998, and amended by section 2(c) of the Internet Tax Nondiscrimination Act.</w:t>
      </w:r>
    </w:p>
    <w:p w14:paraId="6AF25523" w14:textId="68F49AC4"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“(2) Exceptions. —</w:t>
      </w:r>
    </w:p>
    <w:p w14:paraId="6DB91653"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Paragraph (1) shall not apply until June 30, 2008, to a tax on Internet access that is—</w:t>
      </w:r>
    </w:p>
    <w:p w14:paraId="709A5CAB"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generally imposed and actually enforced on telecommunications service purchased, used, or sold by a provider of Internet access, but only if the appropriate administrative agency of a State or political subdivision thereof issued a public ruling prior to July 1, 2007, that applied such tax to such service in a manner that is inconsistent with paragraph (1); or</w:t>
      </w:r>
    </w:p>
    <w:p w14:paraId="6CE20953"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the subject of litigation instituted in a judicial court of competent jurisdiction prior to July 1, 2007, in which a State or political subdivision is seeking to enforce, in a manner that is inconsistent with paragraph (1), such tax on telecommunications service purchased, used, or sold by a provider of Internet access.</w:t>
      </w:r>
    </w:p>
    <w:p w14:paraId="368CA313" w14:textId="1C2C0370"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“(3) No inference. —</w:t>
      </w:r>
    </w:p>
    <w:p w14:paraId="4C58D55C"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No inference of legislative construction shall be drawn from this subsection or the amendments to section 1105(5) made by the Internet Tax Freedom Act Amendments Act of 2007 for any period prior to June 30, 2008, with respect to any tax subject to the exceptions described in subparagraphs (A) and (B) of paragraph (2).</w:t>
      </w:r>
    </w:p>
    <w:p w14:paraId="06FE12E0" w14:textId="77777777" w:rsidR="008213E8" w:rsidRPr="00E16634" w:rsidRDefault="008213E8" w:rsidP="008213E8">
      <w:pPr>
        <w:spacing w:after="200" w:line="276" w:lineRule="auto"/>
        <w:rPr>
          <w:rFonts w:ascii="Garamond" w:eastAsia="Calibri" w:hAnsi="Garamond" w:cs="Times New Roman"/>
          <w:b/>
          <w:bCs/>
          <w:kern w:val="0"/>
          <w:sz w:val="26"/>
          <w:szCs w:val="26"/>
          <w14:ligatures w14:val="none"/>
        </w:rPr>
      </w:pPr>
      <w:r w:rsidRPr="00E16634">
        <w:rPr>
          <w:rFonts w:ascii="Garamond" w:eastAsia="Calibri" w:hAnsi="Garamond" w:cs="Times New Roman"/>
          <w:b/>
          <w:bCs/>
          <w:kern w:val="0"/>
          <w:sz w:val="26"/>
          <w:szCs w:val="26"/>
          <w14:ligatures w14:val="none"/>
        </w:rPr>
        <w:t>SEC. 1105. DEFINITIONS.</w:t>
      </w:r>
    </w:p>
    <w:p w14:paraId="5C26D6CB"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“For the purposes of this title:</w:t>
      </w:r>
    </w:p>
    <w:p w14:paraId="590B0528" w14:textId="36F0A3AC"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Bit tax. —</w:t>
      </w:r>
    </w:p>
    <w:p w14:paraId="16D1C073"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 xml:space="preserve">The term ‘bit tax’ means any tax on electronic commerce expressly imposed on or measured by the volume of digital information transmitted electronically, or the </w:t>
      </w:r>
      <w:r w:rsidRPr="00E16634">
        <w:rPr>
          <w:rFonts w:ascii="Garamond" w:eastAsia="Calibri" w:hAnsi="Garamond" w:cs="Times New Roman"/>
          <w:kern w:val="0"/>
          <w:sz w:val="26"/>
          <w:szCs w:val="26"/>
          <w14:ligatures w14:val="none"/>
        </w:rPr>
        <w:lastRenderedPageBreak/>
        <w:t>volume of digital information per unit of time transmitted electronically, but does not include taxes imposed on the provision of telecommunications.</w:t>
      </w:r>
    </w:p>
    <w:p w14:paraId="07D0CB5B" w14:textId="01B7D3B0"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“(2) Discriminatory tax. — The term ‘discriminatory tax’ means—</w:t>
      </w:r>
    </w:p>
    <w:p w14:paraId="701611C9"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any tax imposed by a State or political subdivision thereof on electronic commerce that—</w:t>
      </w:r>
    </w:p>
    <w:p w14:paraId="19B540E9"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is not generally imposed and legally collectible by such State or such political subdivision on transactions involving similar property, goods, services, or information accomplished through other means;</w:t>
      </w:r>
    </w:p>
    <w:p w14:paraId="5987EBE8"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is not generally imposed and legally collectible at the same rate by such State or such political subdivision on transactions involving similar property, goods, services, or information accomplished through other means, unless the rate is lower as part of a phase-out of the tax over not more than a 5-year period;</w:t>
      </w:r>
    </w:p>
    <w:p w14:paraId="4E720523"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“(iii) imposes an obligation to collect or pay the tax on a different person or entity than in the case of transactions involving similar property, goods, services, or information accomplished through other means;</w:t>
      </w:r>
    </w:p>
    <w:p w14:paraId="073BF219"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“(iv) establishes a classification of Internet access service providers or online service providers for purposes of establishing a higher tax rate to be imposed on such providers than the tax rate generally applied to providers of similar information services delivered through other means; or</w:t>
      </w:r>
    </w:p>
    <w:p w14:paraId="21C36F84"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any tax imposed by a State or political subdivision thereof, if—</w:t>
      </w:r>
    </w:p>
    <w:p w14:paraId="6199EAE6"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the sole ability to access a site on a remote seller’s out-of-State computer server is considered a factor in determining a remote seller’s tax collection obligation; or</w:t>
      </w:r>
    </w:p>
    <w:p w14:paraId="68D5727D" w14:textId="744E87B2"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a provider of Internet access service or online services is deemed to be the agent of a remote seller for determining tax collection obligations solely as a result of —</w:t>
      </w:r>
    </w:p>
    <w:p w14:paraId="5F9605B1" w14:textId="77777777" w:rsidR="008213E8" w:rsidRPr="00E16634" w:rsidRDefault="008213E8" w:rsidP="008213E8">
      <w:pPr>
        <w:spacing w:after="200" w:line="276" w:lineRule="auto"/>
        <w:ind w:left="333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the display of a remote seller’s information or content on the out-of-State computer server of a provider of Internet access service or online services; or</w:t>
      </w:r>
    </w:p>
    <w:p w14:paraId="196540CD" w14:textId="77777777" w:rsidR="008213E8" w:rsidRPr="00E16634" w:rsidRDefault="008213E8" w:rsidP="008213E8">
      <w:pPr>
        <w:spacing w:after="200" w:line="276" w:lineRule="auto"/>
        <w:ind w:left="333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lastRenderedPageBreak/>
        <w:t>“(II) the processing of orders through the out-of-State computer server of a provider of Internet access service or online services.</w:t>
      </w:r>
    </w:p>
    <w:p w14:paraId="5C73C8B8" w14:textId="31D9318C"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“(3) Electronic commerce. —</w:t>
      </w:r>
    </w:p>
    <w:p w14:paraId="60E82949"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‘electronic commerce’ means any transaction conducted over the Internet or through Internet access, comprising the sale, lease, license, offer, or delivery of property, goods, services, or information, whether or not for consideration, and includes the provision of Internet access.</w:t>
      </w:r>
    </w:p>
    <w:p w14:paraId="4584CBAE" w14:textId="448CCE2C"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“(4) Internet. —</w:t>
      </w:r>
    </w:p>
    <w:p w14:paraId="1286BD36"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‘Internet’ means collectively the myriad of computer and telecommunications facilities, including equipment and operating software, which comprise the interconnected world-wide network of networks that employ the Transmission Control Protocol/Internet Protocol, or any predecessor or successor protocols to such protocol, to communicate information of all kinds by wire or radio.</w:t>
      </w:r>
    </w:p>
    <w:p w14:paraId="561582C7" w14:textId="720A6223"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“(5) Internet access. —</w:t>
      </w:r>
    </w:p>
    <w:p w14:paraId="1246F50C" w14:textId="4A18EA0C"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‘Internet access’ —</w:t>
      </w:r>
    </w:p>
    <w:p w14:paraId="47337E4A"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means a service that enables users to connect to the Internet to access content, information, or other services offered over the Internet;</w:t>
      </w:r>
    </w:p>
    <w:p w14:paraId="1D80A7D0"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includes the purchase, use or sale of telecommunications by a provider of a service described in subparagraph (A) to the extent such telecommunications are purchased, used or sold—</w:t>
      </w:r>
    </w:p>
    <w:p w14:paraId="6BB2A29D"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to provide such service; or</w:t>
      </w:r>
    </w:p>
    <w:p w14:paraId="3F1548E3"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to otherwise enable users to access content, information or other services offered over the Internet;</w:t>
      </w:r>
    </w:p>
    <w:p w14:paraId="2E99FD04"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“(C) includes services that are incidental to the provision of the service described in subparagraph (A) when furnished to users as part of such service, such as a home page, electronic mail and instant messaging (including voice- and video-capable electronic mail and instant messaging), video clips, and personal electronic storage capacity;</w:t>
      </w:r>
    </w:p>
    <w:p w14:paraId="648C400B"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 xml:space="preserve">“(D) does not include voice, audio or video programming, or other products and services (except services described in subparagraph (A), (B), (C), or (E)) </w:t>
      </w:r>
      <w:r w:rsidRPr="00E16634">
        <w:rPr>
          <w:rFonts w:ascii="Garamond" w:eastAsia="Calibri" w:hAnsi="Garamond" w:cs="Times New Roman"/>
          <w:kern w:val="0"/>
          <w:sz w:val="26"/>
          <w:szCs w:val="26"/>
          <w14:ligatures w14:val="none"/>
        </w:rPr>
        <w:lastRenderedPageBreak/>
        <w:t>that utilize Internet protocol or any successor protocol and for which there is a charge, regardless of whether such charge is separately stated or aggregated with the charge for services described in subparagraph (A), (B), (C), or (E); and</w:t>
      </w:r>
    </w:p>
    <w:p w14:paraId="7381CBAC"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“(E) includes a homepage, electronic mail and instant messaging (including voice- and video-capable electronic mail and instant messaging), video clips, and personal electronic storage capacity, that are provided independently or not packaged with Internet access.</w:t>
      </w:r>
    </w:p>
    <w:p w14:paraId="556F71FB" w14:textId="3CFE8A99"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“(6) Multiple tax. —</w:t>
      </w:r>
    </w:p>
    <w:p w14:paraId="2F7484A0" w14:textId="62F9ABCA"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 xml:space="preserve">“(A) In </w:t>
      </w:r>
      <w:r w:rsidR="00E16634" w:rsidRPr="00E16634">
        <w:rPr>
          <w:rFonts w:ascii="Garamond" w:eastAsia="Calibri" w:hAnsi="Garamond" w:cs="Times New Roman"/>
          <w:kern w:val="0"/>
          <w:sz w:val="26"/>
          <w:szCs w:val="26"/>
          <w14:ligatures w14:val="none"/>
        </w:rPr>
        <w:t>general. —</w:t>
      </w:r>
    </w:p>
    <w:p w14:paraId="2410AAD2"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‘multiple tax’ means any tax that is imposed by one State or political subdivision thereof on the same or essentially the same electronic commerce that is also subject to another tax imposed by another State or political subdivision thereof (whether or not at the same rate or on the same basis), without a credit (for example, a resale exemption certificate) for taxes paid in other jurisdictions.</w:t>
      </w:r>
    </w:p>
    <w:p w14:paraId="2E75F2B6" w14:textId="24FE9AE6"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Exception. —</w:t>
      </w:r>
    </w:p>
    <w:p w14:paraId="7DED0156"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Such term shall not include a sales or use tax imposed by a State and 1 or more political subdivisions thereof on the same electronic commerce or a tax on persons engaged in electronic commerce which also may have been subject to a sales or use tax thereon.</w:t>
      </w:r>
    </w:p>
    <w:p w14:paraId="08593C8D" w14:textId="489A0FF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“(C) Sales or use tax. —</w:t>
      </w:r>
    </w:p>
    <w:p w14:paraId="6274ADE2"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For purposes of subparagraph (B), the term ‘sales or use tax’ means a tax that is imposed on or incident to the sale, purchase, storage, consumption, distribution, or other use of tangible personal property or services as may be defined by laws imposing such tax and which is measured by the amount of the sales price or other charge for such property or service.</w:t>
      </w:r>
    </w:p>
    <w:p w14:paraId="313FADF0" w14:textId="23A8D4F0"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“(7) State. —</w:t>
      </w:r>
    </w:p>
    <w:p w14:paraId="7300AD2C"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‘State’ means any of the several States, the District of Columbia, or any commonwealth, territory, or possession of the United States.</w:t>
      </w:r>
    </w:p>
    <w:p w14:paraId="7C005AC8" w14:textId="0AE1CEFD"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“(8) Tax. —</w:t>
      </w:r>
    </w:p>
    <w:p w14:paraId="34A796C7" w14:textId="7F02000E"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lastRenderedPageBreak/>
        <w:t>“(A) In general. —The term ‘tax’ means—</w:t>
      </w:r>
    </w:p>
    <w:p w14:paraId="1C502E55"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any charge imposed by any governmental entity for the purpose of generating revenues for governmental purposes, and is not a fee imposed for a specific privilege, service, or benefit conferred; or</w:t>
      </w:r>
    </w:p>
    <w:p w14:paraId="4B0E24C8"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the imposition on a seller of an obligation to collect and to remit to a governmental entity any sales or use tax imposed on a buyer by a governmental entity.</w:t>
      </w:r>
    </w:p>
    <w:p w14:paraId="78A5E571" w14:textId="2114310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Exception. —</w:t>
      </w:r>
    </w:p>
    <w:p w14:paraId="0F60299F" w14:textId="77777777"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Such term does not include any franchise fee or similar fee imposed by a State or local franchising authority, pursuant to section 622 or 653 of the Communications Act of 1934 (47 U.S.C. 542, 573), or any other fee related to obligations or telecommunications carriers under the Communications Act of 1934 (47 U.S.C. 151 et seq.).</w:t>
      </w:r>
    </w:p>
    <w:p w14:paraId="77297F1E" w14:textId="3BA015B2"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“(9) Telecommunications. —</w:t>
      </w:r>
    </w:p>
    <w:p w14:paraId="0DFE913F"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‘telecommunications’ means ‘telecommunications’ as such term is defined in section 3(43) of the Communications Act of 1934 (47 U.S.C. 153(43) [now 153(50)]) and ‘telecommunications service’ as such term is defined in section 3(46) of such Act (47 U.S.C. 153(46) [now 153(53)]), and includes communications services (as defined in section 4251 of the Internal Revenue Code of 1986 (26 U.S.C. 4251)).</w:t>
      </w:r>
    </w:p>
    <w:p w14:paraId="7A16CE5D" w14:textId="3CB3A63F"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“(10) Tax on internet access. —</w:t>
      </w:r>
    </w:p>
    <w:p w14:paraId="57F7B3A1" w14:textId="578539E0" w:rsidR="008213E8" w:rsidRPr="00E16634" w:rsidRDefault="008213E8" w:rsidP="008213E8">
      <w:pPr>
        <w:spacing w:after="200" w:line="276" w:lineRule="auto"/>
        <w:ind w:left="153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In general. —</w:t>
      </w:r>
    </w:p>
    <w:p w14:paraId="54B30C6A" w14:textId="77777777" w:rsidR="008213E8" w:rsidRPr="00E16634" w:rsidRDefault="008213E8" w:rsidP="008213E8">
      <w:pPr>
        <w:spacing w:after="200" w:line="276" w:lineRule="auto"/>
        <w:ind w:left="153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‘tax on Internet access’ means a tax on Internet access, regardless of whether such tax is imposed on a provider of Internet access or a buyer of Internet access and regardless of the terminology used to describe the tax.</w:t>
      </w:r>
    </w:p>
    <w:p w14:paraId="73F0320B" w14:textId="4BC9E258" w:rsidR="008213E8" w:rsidRPr="00E16634" w:rsidRDefault="008213E8" w:rsidP="008213E8">
      <w:pPr>
        <w:spacing w:after="200" w:line="276" w:lineRule="auto"/>
        <w:ind w:left="153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General exception. —</w:t>
      </w:r>
    </w:p>
    <w:p w14:paraId="60BCD3A5" w14:textId="77777777" w:rsidR="008213E8" w:rsidRPr="00E16634" w:rsidRDefault="008213E8" w:rsidP="008213E8">
      <w:pPr>
        <w:spacing w:after="200" w:line="276" w:lineRule="auto"/>
        <w:ind w:left="153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‘tax on Internet access’ does not include a tax levied upon or measured by net income, capital stock, net worth, or property value.</w:t>
      </w:r>
    </w:p>
    <w:p w14:paraId="47104053" w14:textId="500F99CC" w:rsidR="008213E8" w:rsidRPr="00E16634" w:rsidRDefault="008213E8" w:rsidP="008213E8">
      <w:pPr>
        <w:spacing w:after="200" w:line="276" w:lineRule="auto"/>
        <w:ind w:left="144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“(C) Specific exception. —</w:t>
      </w:r>
    </w:p>
    <w:p w14:paraId="558092C2" w14:textId="012FA792"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 xml:space="preserve">“(i) Specified </w:t>
      </w:r>
      <w:r w:rsidR="00E16634" w:rsidRPr="00E16634">
        <w:rPr>
          <w:rFonts w:ascii="Garamond" w:eastAsia="Calibri" w:hAnsi="Garamond" w:cs="Times New Roman"/>
          <w:kern w:val="0"/>
          <w:sz w:val="26"/>
          <w:szCs w:val="26"/>
          <w14:ligatures w14:val="none"/>
        </w:rPr>
        <w:t>taxes. —</w:t>
      </w:r>
      <w:r w:rsidRPr="00E16634">
        <w:rPr>
          <w:rFonts w:ascii="Garamond" w:eastAsia="Calibri" w:hAnsi="Garamond" w:cs="Times New Roman"/>
          <w:kern w:val="0"/>
          <w:sz w:val="26"/>
          <w:szCs w:val="26"/>
          <w14:ligatures w14:val="none"/>
        </w:rPr>
        <w:t xml:space="preserve"> Effective November 1, 2007, the term ‘tax on Internet access’ also does not include a State tax expressly levied on </w:t>
      </w:r>
      <w:r w:rsidRPr="00E16634">
        <w:rPr>
          <w:rFonts w:ascii="Garamond" w:eastAsia="Calibri" w:hAnsi="Garamond" w:cs="Times New Roman"/>
          <w:kern w:val="0"/>
          <w:sz w:val="26"/>
          <w:szCs w:val="26"/>
          <w14:ligatures w14:val="none"/>
        </w:rPr>
        <w:lastRenderedPageBreak/>
        <w:t>commercial activity, modified gross receipts, taxable margin, or gross income of the business, by a State law specifically using one of the foregoing terms, that—</w:t>
      </w:r>
    </w:p>
    <w:p w14:paraId="408AF7D0" w14:textId="77777777" w:rsidR="008213E8" w:rsidRPr="00E16634" w:rsidRDefault="008213E8" w:rsidP="008213E8">
      <w:pPr>
        <w:spacing w:after="200" w:line="276" w:lineRule="auto"/>
        <w:ind w:left="333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 was enacted after June 20, 2005, and before November 1, 2007 (or, in the case of a State business and occupation tax, was enacted after January 1, 1932, and before January 1, 1936);</w:t>
      </w:r>
    </w:p>
    <w:p w14:paraId="2E51D083" w14:textId="77777777" w:rsidR="008213E8" w:rsidRPr="00E16634" w:rsidRDefault="008213E8" w:rsidP="008213E8">
      <w:pPr>
        <w:spacing w:after="200" w:line="276" w:lineRule="auto"/>
        <w:ind w:left="333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replaced, in whole or in part, a modified value-added tax or a tax levied upon or measured by net income, capital stock, or net worth (or, is a State business and occupation tax that was enacted after January 1, 1932 and before January 1, 1936);</w:t>
      </w:r>
    </w:p>
    <w:p w14:paraId="13B9054A" w14:textId="77777777" w:rsidR="008213E8" w:rsidRPr="00E16634" w:rsidRDefault="008213E8" w:rsidP="008213E8">
      <w:pPr>
        <w:spacing w:after="200" w:line="276" w:lineRule="auto"/>
        <w:ind w:left="333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“(III) is imposed on a broad range of business activity; and</w:t>
      </w:r>
    </w:p>
    <w:p w14:paraId="3C0C973D" w14:textId="77777777" w:rsidR="008213E8" w:rsidRPr="00E16634" w:rsidRDefault="008213E8" w:rsidP="008213E8">
      <w:pPr>
        <w:spacing w:after="200" w:line="276" w:lineRule="auto"/>
        <w:ind w:left="333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“(IV) is not discriminatory in its application to providers of communication services, Internet access, or telecommunications.</w:t>
      </w:r>
    </w:p>
    <w:p w14:paraId="4A12D135" w14:textId="38D0B028"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 Modifications. —</w:t>
      </w:r>
    </w:p>
    <w:p w14:paraId="4EF0B41F"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Nothing in this subparagraph shall be construed as a limitation on a State’s ability to make modifications to a tax covered by clause (i) of this subparagraph after November 1, 2007, as long as the modifications do not substantially narrow the range of business activities on which the tax is imposed or otherwise disqualify the tax under clause (i).</w:t>
      </w:r>
    </w:p>
    <w:p w14:paraId="033AE940" w14:textId="428316E1"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“(iii) No inference. —</w:t>
      </w:r>
    </w:p>
    <w:p w14:paraId="0612E384" w14:textId="77777777" w:rsidR="008213E8" w:rsidRPr="00E16634" w:rsidRDefault="008213E8" w:rsidP="008213E8">
      <w:pPr>
        <w:spacing w:after="200" w:line="276" w:lineRule="auto"/>
        <w:ind w:left="216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No inference of legislative construction shall be drawn from this subparagraph regarding the application of subparagraph (A) or (B) to any tax described in clause (i) for periods prior to November 1, 2007.</w:t>
      </w:r>
    </w:p>
    <w:p w14:paraId="1DAEF954" w14:textId="77777777" w:rsidR="008213E8" w:rsidRPr="00E16634" w:rsidRDefault="008213E8" w:rsidP="008213E8">
      <w:pPr>
        <w:spacing w:after="200" w:line="276" w:lineRule="auto"/>
        <w:rPr>
          <w:rFonts w:ascii="Garamond" w:eastAsia="Calibri" w:hAnsi="Garamond" w:cs="Times New Roman"/>
          <w:b/>
          <w:bCs/>
          <w:kern w:val="0"/>
          <w:sz w:val="26"/>
          <w:szCs w:val="26"/>
          <w14:ligatures w14:val="none"/>
        </w:rPr>
      </w:pPr>
      <w:r w:rsidRPr="00E16634">
        <w:rPr>
          <w:rFonts w:ascii="Garamond" w:eastAsia="Calibri" w:hAnsi="Garamond" w:cs="Times New Roman"/>
          <w:b/>
          <w:bCs/>
          <w:kern w:val="0"/>
          <w:sz w:val="26"/>
          <w:szCs w:val="26"/>
          <w14:ligatures w14:val="none"/>
        </w:rPr>
        <w:t>SEC. 1106. ACCOUNTING RULE.</w:t>
      </w:r>
    </w:p>
    <w:p w14:paraId="5C9FC2BA" w14:textId="00DA523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“(a) In General. —</w:t>
      </w:r>
    </w:p>
    <w:p w14:paraId="77FE4580"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 xml:space="preserve">If charges for Internet access are aggregated with and not separately stated from charges for telecommunications or other charges that are subject to taxation, then the charges for Internet access may be subject to taxation unless the Internet access </w:t>
      </w:r>
      <w:r w:rsidRPr="00E16634">
        <w:rPr>
          <w:rFonts w:ascii="Garamond" w:eastAsia="Calibri" w:hAnsi="Garamond" w:cs="Times New Roman"/>
          <w:kern w:val="0"/>
          <w:sz w:val="26"/>
          <w:szCs w:val="26"/>
          <w14:ligatures w14:val="none"/>
        </w:rPr>
        <w:lastRenderedPageBreak/>
        <w:t>provider can reasonably identify the charges for Internet access from its books and records kept in the regular course of business.</w:t>
      </w:r>
    </w:p>
    <w:p w14:paraId="70BD459E" w14:textId="733AD85C"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“(b) Definitions. — In this section:</w:t>
      </w:r>
    </w:p>
    <w:p w14:paraId="2824C3FF" w14:textId="49B69054"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Charges for internet access. —</w:t>
      </w:r>
    </w:p>
    <w:p w14:paraId="257FE262"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The term ‘charges for Internet access’ means all charges for Internet access as defined in section 1105(5).</w:t>
      </w:r>
    </w:p>
    <w:p w14:paraId="361C8DCA" w14:textId="62F73396"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“(2) Charges for telecommunications. —</w:t>
      </w:r>
    </w:p>
    <w:p w14:paraId="00783D1A"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 xml:space="preserve">The term ‘charges for telecommunications’ means all charges for telecommunications, </w:t>
      </w:r>
      <w:bookmarkStart w:id="1" w:name="_Hlk160003622"/>
      <w:r w:rsidRPr="00E16634">
        <w:rPr>
          <w:rFonts w:ascii="Garamond" w:eastAsia="Calibri" w:hAnsi="Garamond" w:cs="Times New Roman"/>
          <w:kern w:val="0"/>
          <w:sz w:val="26"/>
          <w:szCs w:val="26"/>
          <w14:ligatures w14:val="none"/>
        </w:rPr>
        <w:t>except to the extent such telecommunications are purchased, used, or sold by a provider of Internet access to provide Internet access or to otherwise enable users to access content, information or other services offered over the Internet.</w:t>
      </w:r>
      <w:bookmarkEnd w:id="1"/>
    </w:p>
    <w:p w14:paraId="1FCCC332" w14:textId="77777777" w:rsidR="008213E8" w:rsidRPr="00E16634" w:rsidRDefault="008213E8" w:rsidP="008213E8">
      <w:pPr>
        <w:spacing w:after="200" w:line="276" w:lineRule="auto"/>
        <w:rPr>
          <w:rFonts w:ascii="Garamond" w:eastAsia="Calibri" w:hAnsi="Garamond" w:cs="Times New Roman"/>
          <w:b/>
          <w:bCs/>
          <w:kern w:val="0"/>
          <w:sz w:val="26"/>
          <w:szCs w:val="26"/>
          <w14:ligatures w14:val="none"/>
        </w:rPr>
      </w:pPr>
      <w:r w:rsidRPr="00E16634">
        <w:rPr>
          <w:rFonts w:ascii="Garamond" w:eastAsia="Calibri" w:hAnsi="Garamond" w:cs="Times New Roman"/>
          <w:b/>
          <w:bCs/>
          <w:kern w:val="0"/>
          <w:sz w:val="26"/>
          <w:szCs w:val="26"/>
          <w14:ligatures w14:val="none"/>
        </w:rPr>
        <w:t>SEC. 1107. EFFECT ON OTHER LAWS.</w:t>
      </w:r>
    </w:p>
    <w:p w14:paraId="0D692A36" w14:textId="0B0B1572"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 xml:space="preserve">“(a) Universal Service. — </w:t>
      </w:r>
    </w:p>
    <w:p w14:paraId="16851ED1"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Nothing in this Act shall prevent the imposition or collection of any fees or charges used to preserve and advance Federal universal service or similar State programs—</w:t>
      </w:r>
    </w:p>
    <w:p w14:paraId="0BFBF4CF"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“(1) authorized by section 254 of the Communications Act of 1934 (47 U.S.C. 254); or</w:t>
      </w:r>
    </w:p>
    <w:p w14:paraId="5BEB5FDC"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“(2) in effect on February 8, 1996.</w:t>
      </w:r>
    </w:p>
    <w:p w14:paraId="6FC95505" w14:textId="10CE7E0C"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 xml:space="preserve">“(b) 911 and E–911 Services. — </w:t>
      </w:r>
    </w:p>
    <w:p w14:paraId="19CF9E19"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Nothing in this Act shall prevent the imposition or collection, on a service used for access to 911 or E–911 services, of any fee or charge specifically designated or presented as dedicated by a State or political subdivision thereof for the support of 911 or E–911 services if no portion of the revenue derived from such fee or charge is obligated or expended for any purpose other than support of 911 or E–911 services.</w:t>
      </w:r>
    </w:p>
    <w:p w14:paraId="4CF0F388" w14:textId="1FA678A2"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“(c) Non-Tax Regulatory Proceedings. —</w:t>
      </w:r>
    </w:p>
    <w:p w14:paraId="52BB8910" w14:textId="77777777" w:rsidR="008213E8" w:rsidRPr="00E16634" w:rsidRDefault="008213E8" w:rsidP="008213E8">
      <w:pPr>
        <w:spacing w:after="200" w:line="276" w:lineRule="auto"/>
        <w:ind w:left="720"/>
        <w:rPr>
          <w:rFonts w:ascii="Garamond" w:eastAsia="Calibri" w:hAnsi="Garamond" w:cs="Times New Roman"/>
          <w:kern w:val="0"/>
          <w:sz w:val="26"/>
          <w:szCs w:val="26"/>
          <w14:ligatures w14:val="none"/>
        </w:rPr>
      </w:pPr>
      <w:r w:rsidRPr="00E16634">
        <w:rPr>
          <w:rFonts w:ascii="Garamond" w:eastAsia="Calibri" w:hAnsi="Garamond" w:cs="Times New Roman"/>
          <w:kern w:val="0"/>
          <w:sz w:val="26"/>
          <w:szCs w:val="26"/>
          <w14:ligatures w14:val="none"/>
        </w:rPr>
        <w:t>Nothing in this Act shall be construed to affect any Federal or State regulatory proceeding that is not related to taxation.</w:t>
      </w:r>
    </w:p>
    <w:p w14:paraId="7F8610C9" w14:textId="77777777" w:rsidR="008213E8" w:rsidRPr="00E16634" w:rsidRDefault="008213E8" w:rsidP="008213E8">
      <w:pPr>
        <w:spacing w:after="200" w:line="276" w:lineRule="auto"/>
        <w:rPr>
          <w:rFonts w:ascii="Garamond" w:eastAsia="Calibri" w:hAnsi="Garamond" w:cs="Times New Roman"/>
          <w:b/>
          <w:bCs/>
          <w:kern w:val="0"/>
          <w:sz w:val="26"/>
          <w:szCs w:val="26"/>
          <w14:ligatures w14:val="none"/>
        </w:rPr>
      </w:pPr>
      <w:r w:rsidRPr="00E16634">
        <w:rPr>
          <w:rFonts w:ascii="Garamond" w:eastAsia="Calibri" w:hAnsi="Garamond" w:cs="Times New Roman"/>
          <w:b/>
          <w:bCs/>
          <w:kern w:val="0"/>
          <w:sz w:val="26"/>
          <w:szCs w:val="26"/>
          <w14:ligatures w14:val="none"/>
        </w:rPr>
        <w:t>[SEC. 1108. Repealed. Pub. L. 110–108, §</w:t>
      </w:r>
      <w:r w:rsidRPr="00E16634">
        <w:rPr>
          <w:rFonts w:ascii="Times New Roman" w:eastAsia="Calibri" w:hAnsi="Times New Roman" w:cs="Times New Roman"/>
          <w:b/>
          <w:bCs/>
          <w:kern w:val="0"/>
          <w:sz w:val="26"/>
          <w:szCs w:val="26"/>
          <w14:ligatures w14:val="none"/>
        </w:rPr>
        <w:t> </w:t>
      </w:r>
      <w:r w:rsidRPr="00E16634">
        <w:rPr>
          <w:rFonts w:ascii="Garamond" w:eastAsia="Calibri" w:hAnsi="Garamond" w:cs="Times New Roman"/>
          <w:b/>
          <w:bCs/>
          <w:kern w:val="0"/>
          <w:sz w:val="26"/>
          <w:szCs w:val="26"/>
          <w14:ligatures w14:val="none"/>
        </w:rPr>
        <w:t>5(b), Oct. 31, 2007, 121 Stat. 1026].</w:t>
      </w:r>
    </w:p>
    <w:p w14:paraId="553EF763" w14:textId="77777777" w:rsidR="008213E8" w:rsidRPr="00E16634" w:rsidRDefault="008213E8" w:rsidP="008213E8">
      <w:pPr>
        <w:spacing w:after="200" w:line="276" w:lineRule="auto"/>
        <w:rPr>
          <w:rFonts w:ascii="Garamond" w:eastAsia="Calibri" w:hAnsi="Garamond" w:cs="Times New Roman"/>
          <w:b/>
          <w:bCs/>
          <w:kern w:val="0"/>
          <w:sz w:val="26"/>
          <w:szCs w:val="26"/>
          <w14:ligatures w14:val="none"/>
        </w:rPr>
      </w:pPr>
      <w:r w:rsidRPr="00E16634">
        <w:rPr>
          <w:rFonts w:ascii="Garamond" w:eastAsia="Calibri" w:hAnsi="Garamond" w:cs="Times New Roman"/>
          <w:b/>
          <w:bCs/>
          <w:kern w:val="0"/>
          <w:sz w:val="26"/>
          <w:szCs w:val="26"/>
          <w14:ligatures w14:val="none"/>
        </w:rPr>
        <w:lastRenderedPageBreak/>
        <w:t>SEC. 1109. EXCEPTION FOR TEXAS MUNICIPAL ACCESS LINE FEE.</w:t>
      </w:r>
    </w:p>
    <w:p w14:paraId="27DAC387" w14:textId="6BA58148" w:rsidR="007E0D4C" w:rsidRPr="00E16634" w:rsidRDefault="008213E8" w:rsidP="00E16634">
      <w:pPr>
        <w:spacing w:after="200" w:line="276" w:lineRule="auto"/>
        <w:ind w:left="720"/>
        <w:rPr>
          <w:rFonts w:ascii="Garamond" w:hAnsi="Garamond"/>
          <w:sz w:val="26"/>
          <w:szCs w:val="26"/>
        </w:rPr>
      </w:pPr>
      <w:r w:rsidRPr="00E16634">
        <w:rPr>
          <w:rFonts w:ascii="Garamond" w:eastAsia="Calibri" w:hAnsi="Garamond" w:cs="Times New Roman"/>
          <w:kern w:val="0"/>
          <w:sz w:val="26"/>
          <w:szCs w:val="26"/>
          <w14:ligatures w14:val="none"/>
        </w:rPr>
        <w:t>“Nothing in this Act shall prohibit Texas or a political subdivision thereof from imposing or collecting the Texas municipal access line fee pursuant to Texas Local Govt. Code Ann. ch. 283 (Vernon 2005) and the definition of access line as determined by the Public Utility Commission of Texas in its ‘Order Adopting Amendments to Section 26.465 As Approved At The February 13, 2003 Public Hearing’, issued March 5, 2003, in Project No. 26412.”</w:t>
      </w:r>
    </w:p>
    <w:p w14:paraId="2E0F4090" w14:textId="0B9686FE" w:rsidR="007E0D4C" w:rsidRPr="007E0D4C" w:rsidRDefault="007E0D4C" w:rsidP="007E0D4C"/>
    <w:p w14:paraId="69E66C25" w14:textId="58EDC766" w:rsidR="00F352D5" w:rsidRPr="00A63BBB" w:rsidRDefault="00F352D5" w:rsidP="00A63BBB">
      <w:pPr>
        <w:pStyle w:val="Heading2"/>
        <w:rPr>
          <w:rFonts w:ascii="Garamond" w:hAnsi="Garamond"/>
        </w:rPr>
      </w:pPr>
      <w:r w:rsidRPr="00F352D5">
        <w:rPr>
          <w:rFonts w:ascii="Garamond" w:hAnsi="Garamond"/>
        </w:rPr>
        <w:t>B. List of Cases and Other Guidance</w:t>
      </w:r>
    </w:p>
    <w:p w14:paraId="63C92EB9" w14:textId="431DC994" w:rsidR="00A63BBB" w:rsidRPr="00A63BBB" w:rsidRDefault="00A63BBB" w:rsidP="000E0BF7">
      <w:pPr>
        <w:rPr>
          <w:rFonts w:ascii="Garamond" w:hAnsi="Garamond"/>
          <w:b/>
          <w:bCs/>
          <w:sz w:val="26"/>
          <w:szCs w:val="26"/>
        </w:rPr>
      </w:pPr>
      <w:r w:rsidRPr="00A63BBB">
        <w:rPr>
          <w:rFonts w:ascii="Garamond" w:hAnsi="Garamond"/>
          <w:b/>
          <w:bCs/>
          <w:sz w:val="26"/>
          <w:szCs w:val="26"/>
        </w:rPr>
        <w:t>Discrimination</w:t>
      </w:r>
      <w:r w:rsidR="00C95D2A">
        <w:rPr>
          <w:rFonts w:ascii="Garamond" w:hAnsi="Garamond"/>
          <w:b/>
          <w:bCs/>
          <w:sz w:val="26"/>
          <w:szCs w:val="26"/>
        </w:rPr>
        <w:t xml:space="preserve"> provision</w:t>
      </w:r>
    </w:p>
    <w:p w14:paraId="5A7F0D43" w14:textId="4A611CD7" w:rsidR="00C95D2A" w:rsidRDefault="00640857" w:rsidP="000E0BF7">
      <w:pPr>
        <w:rPr>
          <w:rFonts w:ascii="Garamond" w:hAnsi="Garamond"/>
          <w:sz w:val="26"/>
          <w:szCs w:val="26"/>
        </w:rPr>
      </w:pPr>
      <w:r>
        <w:rPr>
          <w:rFonts w:ascii="Garamond" w:hAnsi="Garamond"/>
          <w:i/>
          <w:iCs/>
          <w:sz w:val="26"/>
          <w:szCs w:val="26"/>
        </w:rPr>
        <w:t xml:space="preserve">Community </w:t>
      </w:r>
      <w:proofErr w:type="spellStart"/>
      <w:r>
        <w:rPr>
          <w:rFonts w:ascii="Garamond" w:hAnsi="Garamond"/>
          <w:i/>
          <w:iCs/>
          <w:sz w:val="26"/>
          <w:szCs w:val="26"/>
        </w:rPr>
        <w:t>Telecable</w:t>
      </w:r>
      <w:proofErr w:type="spellEnd"/>
      <w:r>
        <w:rPr>
          <w:rFonts w:ascii="Garamond" w:hAnsi="Garamond"/>
          <w:i/>
          <w:iCs/>
          <w:sz w:val="26"/>
          <w:szCs w:val="26"/>
        </w:rPr>
        <w:t>, Inc. v. City of Seattle</w:t>
      </w:r>
      <w:r w:rsidRPr="00510514">
        <w:rPr>
          <w:rFonts w:ascii="Garamond" w:hAnsi="Garamond"/>
          <w:sz w:val="26"/>
          <w:szCs w:val="26"/>
        </w:rPr>
        <w:t xml:space="preserve">, </w:t>
      </w:r>
      <w:r>
        <w:rPr>
          <w:rFonts w:ascii="Garamond" w:hAnsi="Garamond"/>
          <w:sz w:val="26"/>
          <w:szCs w:val="26"/>
        </w:rPr>
        <w:t>149 P.3d 380 (Wash. App. 2006) – a broader tax is less likely to discriminate on account of it taxing more items</w:t>
      </w:r>
      <w:r w:rsidR="00E44275">
        <w:rPr>
          <w:rFonts w:ascii="Garamond" w:hAnsi="Garamond"/>
          <w:sz w:val="26"/>
          <w:szCs w:val="26"/>
        </w:rPr>
        <w:t xml:space="preserve"> and making fewer distinctions that might be ascribed to use of the Internet</w:t>
      </w:r>
      <w:r>
        <w:rPr>
          <w:rFonts w:ascii="Garamond" w:hAnsi="Garamond"/>
          <w:sz w:val="26"/>
          <w:szCs w:val="26"/>
        </w:rPr>
        <w:t>.</w:t>
      </w:r>
    </w:p>
    <w:p w14:paraId="4A18D3EA" w14:textId="0144E064" w:rsidR="00C95D2A" w:rsidRDefault="00C95D2A" w:rsidP="000E0BF7">
      <w:pPr>
        <w:rPr>
          <w:rFonts w:ascii="Garamond" w:hAnsi="Garamond"/>
          <w:sz w:val="26"/>
          <w:szCs w:val="26"/>
        </w:rPr>
      </w:pPr>
      <w:r w:rsidRPr="00930F0A">
        <w:rPr>
          <w:rFonts w:ascii="Garamond" w:hAnsi="Garamond"/>
          <w:i/>
          <w:iCs/>
          <w:sz w:val="26"/>
          <w:szCs w:val="26"/>
        </w:rPr>
        <w:t>Village of Rosemont v. Priceline.com, Inc.</w:t>
      </w:r>
      <w:r w:rsidRPr="00930F0A">
        <w:rPr>
          <w:rFonts w:ascii="Garamond" w:hAnsi="Garamond"/>
          <w:sz w:val="26"/>
          <w:szCs w:val="26"/>
        </w:rPr>
        <w:t xml:space="preserve">, No. 09 C 4438 (N.D. Ill. Oct. 14, 2011); </w:t>
      </w:r>
      <w:r w:rsidRPr="00930F0A">
        <w:rPr>
          <w:rFonts w:ascii="Garamond" w:hAnsi="Garamond"/>
          <w:i/>
          <w:iCs/>
          <w:sz w:val="26"/>
          <w:szCs w:val="26"/>
        </w:rPr>
        <w:t>Mayor &amp; City Council of Baltimore v. Priceline.com, Inc.</w:t>
      </w:r>
      <w:r w:rsidRPr="00930F0A">
        <w:rPr>
          <w:rFonts w:ascii="Garamond" w:hAnsi="Garamond"/>
          <w:sz w:val="26"/>
          <w:szCs w:val="26"/>
        </w:rPr>
        <w:t>, No. 1:08-cv-03319-MJG (D. Md. July 24, 2012) – ITFA discrimination challenge failed because higher taxes on online travel companies were due to differences in business model rather than use of the Internet.</w:t>
      </w:r>
    </w:p>
    <w:p w14:paraId="1F05798D" w14:textId="35AE782B" w:rsidR="00640857" w:rsidRPr="000E0BF7" w:rsidRDefault="00C95D2A" w:rsidP="000E0BF7">
      <w:pPr>
        <w:rPr>
          <w:rFonts w:ascii="Garamond" w:hAnsi="Garamond"/>
          <w:sz w:val="26"/>
          <w:szCs w:val="26"/>
        </w:rPr>
      </w:pPr>
      <w:r w:rsidRPr="00930F0A">
        <w:rPr>
          <w:rFonts w:ascii="Garamond" w:hAnsi="Garamond"/>
          <w:i/>
          <w:iCs/>
          <w:sz w:val="26"/>
          <w:szCs w:val="26"/>
        </w:rPr>
        <w:t>IMT, Inc. v. City of Lumberton</w:t>
      </w:r>
      <w:r w:rsidRPr="00930F0A">
        <w:rPr>
          <w:rFonts w:ascii="Garamond" w:hAnsi="Garamond"/>
          <w:sz w:val="26"/>
          <w:szCs w:val="26"/>
        </w:rPr>
        <w:t xml:space="preserve">, 724 S.E.2d 588 (N.C. Ct. App. 2012), </w:t>
      </w:r>
      <w:proofErr w:type="spellStart"/>
      <w:r w:rsidRPr="00930F0A">
        <w:rPr>
          <w:rFonts w:ascii="Garamond" w:hAnsi="Garamond"/>
          <w:i/>
          <w:iCs/>
          <w:sz w:val="26"/>
          <w:szCs w:val="26"/>
        </w:rPr>
        <w:t>rev’d</w:t>
      </w:r>
      <w:proofErr w:type="spellEnd"/>
      <w:r w:rsidRPr="00930F0A">
        <w:rPr>
          <w:rFonts w:ascii="Garamond" w:hAnsi="Garamond"/>
          <w:i/>
          <w:iCs/>
          <w:sz w:val="26"/>
          <w:szCs w:val="26"/>
        </w:rPr>
        <w:t xml:space="preserve"> on other grounds</w:t>
      </w:r>
      <w:r w:rsidRPr="00930F0A">
        <w:rPr>
          <w:rFonts w:ascii="Garamond" w:hAnsi="Garamond"/>
          <w:sz w:val="26"/>
          <w:szCs w:val="26"/>
        </w:rPr>
        <w:t>, 738 S.E.2d 156 (N.C. 2013) – ITFA discrimination challenge to a privilege license tax was rejected because the tax turned on the use of a computer or gaming terminal rather than the Internet.</w:t>
      </w:r>
    </w:p>
    <w:p w14:paraId="0520052D" w14:textId="486645B2" w:rsidR="00F352D5" w:rsidRPr="00930F0A" w:rsidRDefault="00F352D5" w:rsidP="000E0BF7">
      <w:pPr>
        <w:rPr>
          <w:rFonts w:ascii="Garamond" w:hAnsi="Garamond"/>
          <w:sz w:val="26"/>
          <w:szCs w:val="26"/>
        </w:rPr>
      </w:pPr>
      <w:r w:rsidRPr="00930F0A">
        <w:rPr>
          <w:rFonts w:ascii="Garamond" w:hAnsi="Garamond"/>
          <w:i/>
          <w:iCs/>
          <w:sz w:val="26"/>
          <w:szCs w:val="26"/>
        </w:rPr>
        <w:t>Performance Marketing v. Hamer</w:t>
      </w:r>
      <w:r w:rsidRPr="00930F0A">
        <w:rPr>
          <w:rFonts w:ascii="Garamond" w:hAnsi="Garamond"/>
          <w:sz w:val="26"/>
          <w:szCs w:val="26"/>
        </w:rPr>
        <w:t>, 998 N.E.2d 54 (Ill. 2013) – online performance marketing was held to be advertising and similar to other untaxed advertising.</w:t>
      </w:r>
    </w:p>
    <w:p w14:paraId="36ACDE71" w14:textId="168C9C14" w:rsidR="00F352D5" w:rsidRPr="00930F0A" w:rsidRDefault="00F352D5" w:rsidP="000E0BF7">
      <w:pPr>
        <w:rPr>
          <w:rFonts w:ascii="Garamond" w:hAnsi="Garamond"/>
          <w:sz w:val="26"/>
          <w:szCs w:val="26"/>
        </w:rPr>
      </w:pPr>
      <w:r w:rsidRPr="00930F0A">
        <w:rPr>
          <w:rFonts w:ascii="Garamond" w:hAnsi="Garamond"/>
          <w:i/>
          <w:iCs/>
          <w:sz w:val="26"/>
          <w:szCs w:val="26"/>
        </w:rPr>
        <w:t>Labell v. City of Chicago</w:t>
      </w:r>
      <w:r w:rsidRPr="00930F0A">
        <w:rPr>
          <w:rFonts w:ascii="Garamond" w:hAnsi="Garamond"/>
          <w:sz w:val="26"/>
          <w:szCs w:val="26"/>
        </w:rPr>
        <w:t xml:space="preserve">, 147 N.E.3d 732 (Ill. App. Ct. 2019) – streaming is not similar to pinball machines and jukeboxes. </w:t>
      </w:r>
    </w:p>
    <w:p w14:paraId="0E0C4CA1" w14:textId="3AF44776" w:rsidR="00F352D5" w:rsidRPr="00930F0A" w:rsidRDefault="00F352D5" w:rsidP="000E0BF7">
      <w:pPr>
        <w:rPr>
          <w:rFonts w:ascii="Garamond" w:hAnsi="Garamond"/>
          <w:sz w:val="26"/>
          <w:szCs w:val="26"/>
        </w:rPr>
      </w:pPr>
      <w:r w:rsidRPr="00930F0A">
        <w:rPr>
          <w:rFonts w:ascii="Garamond" w:hAnsi="Garamond"/>
          <w:i/>
          <w:iCs/>
          <w:sz w:val="26"/>
          <w:szCs w:val="26"/>
        </w:rPr>
        <w:t xml:space="preserve">Gartner, Inc. v. </w:t>
      </w:r>
      <w:proofErr w:type="spellStart"/>
      <w:r w:rsidRPr="00930F0A">
        <w:rPr>
          <w:rFonts w:ascii="Garamond" w:hAnsi="Garamond"/>
          <w:i/>
          <w:iCs/>
          <w:sz w:val="26"/>
          <w:szCs w:val="26"/>
        </w:rPr>
        <w:t>Dep’t</w:t>
      </w:r>
      <w:proofErr w:type="spellEnd"/>
      <w:r w:rsidRPr="00930F0A">
        <w:rPr>
          <w:rFonts w:ascii="Garamond" w:hAnsi="Garamond"/>
          <w:i/>
          <w:iCs/>
          <w:sz w:val="26"/>
          <w:szCs w:val="26"/>
        </w:rPr>
        <w:t xml:space="preserve"> of Revenue</w:t>
      </w:r>
      <w:r w:rsidRPr="00930F0A">
        <w:rPr>
          <w:rFonts w:ascii="Garamond" w:hAnsi="Garamond"/>
          <w:sz w:val="26"/>
          <w:szCs w:val="26"/>
        </w:rPr>
        <w:t>, 455 P.3d 1179 (Wash. Ct. App. 2020) – tax survived challenge despite no similar, offline, taxed item being identified.</w:t>
      </w:r>
    </w:p>
    <w:p w14:paraId="442FEC57" w14:textId="16B2AC26" w:rsidR="00C95D2A" w:rsidRDefault="00F352D5" w:rsidP="000E0BF7">
      <w:pPr>
        <w:rPr>
          <w:rFonts w:ascii="Garamond" w:hAnsi="Garamond"/>
          <w:sz w:val="26"/>
          <w:szCs w:val="26"/>
        </w:rPr>
      </w:pPr>
      <w:r w:rsidRPr="00930F0A">
        <w:rPr>
          <w:rFonts w:ascii="Garamond" w:hAnsi="Garamond"/>
          <w:i/>
          <w:iCs/>
          <w:sz w:val="26"/>
          <w:szCs w:val="26"/>
        </w:rPr>
        <w:t>ADP, LLC v. Arizona Department of Revenue</w:t>
      </w:r>
      <w:r w:rsidRPr="00930F0A">
        <w:rPr>
          <w:rFonts w:ascii="Garamond" w:hAnsi="Garamond"/>
          <w:sz w:val="26"/>
          <w:szCs w:val="26"/>
        </w:rPr>
        <w:t xml:space="preserve">, </w:t>
      </w:r>
      <w:r w:rsidR="000930E5" w:rsidRPr="000930E5">
        <w:rPr>
          <w:rFonts w:ascii="Garamond" w:hAnsi="Garamond"/>
          <w:sz w:val="26"/>
          <w:szCs w:val="26"/>
        </w:rPr>
        <w:t>524 P.3d 278 (Ct. App. 2023)</w:t>
      </w:r>
      <w:r w:rsidRPr="00930F0A">
        <w:rPr>
          <w:rFonts w:ascii="Garamond" w:hAnsi="Garamond"/>
          <w:sz w:val="26"/>
          <w:szCs w:val="26"/>
        </w:rPr>
        <w:t xml:space="preserve"> – ITFA discrimination challenge was rejected due to the taxation turning on the taxpayer’s business model rather than the fact that one business model is primarily exercised over the Internet.</w:t>
      </w:r>
    </w:p>
    <w:p w14:paraId="31AD0DDF" w14:textId="0CCBCA1F" w:rsidR="004C7015" w:rsidRDefault="00C95D2A" w:rsidP="000E0BF7">
      <w:pPr>
        <w:rPr>
          <w:rFonts w:ascii="Garamond" w:hAnsi="Garamond"/>
          <w:sz w:val="26"/>
          <w:szCs w:val="26"/>
        </w:rPr>
      </w:pPr>
      <w:r w:rsidRPr="00930F0A">
        <w:rPr>
          <w:rFonts w:ascii="Garamond" w:hAnsi="Garamond"/>
          <w:i/>
          <w:iCs/>
          <w:sz w:val="26"/>
          <w:szCs w:val="26"/>
        </w:rPr>
        <w:t>Apple, Inc. v. Romy Samuel</w:t>
      </w:r>
      <w:r w:rsidRPr="00930F0A">
        <w:rPr>
          <w:rFonts w:ascii="Garamond" w:hAnsi="Garamond"/>
          <w:sz w:val="26"/>
          <w:szCs w:val="26"/>
        </w:rPr>
        <w:t xml:space="preserve">, </w:t>
      </w:r>
      <w:proofErr w:type="spellStart"/>
      <w:r w:rsidRPr="00930F0A">
        <w:rPr>
          <w:rFonts w:ascii="Garamond" w:hAnsi="Garamond"/>
          <w:sz w:val="26"/>
          <w:szCs w:val="26"/>
        </w:rPr>
        <w:t>Dkt</w:t>
      </w:r>
      <w:proofErr w:type="spellEnd"/>
      <w:r w:rsidRPr="00930F0A">
        <w:rPr>
          <w:rFonts w:ascii="Garamond" w:hAnsi="Garamond"/>
          <w:sz w:val="26"/>
          <w:szCs w:val="26"/>
        </w:rPr>
        <w:t>. No. L01283 (La. Bd. Of Tax Appeals 2024) – Apple Music is similar to satellite radio</w:t>
      </w:r>
      <w:r w:rsidR="00FF34D7">
        <w:rPr>
          <w:rFonts w:ascii="Garamond" w:hAnsi="Garamond"/>
          <w:sz w:val="26"/>
          <w:szCs w:val="26"/>
        </w:rPr>
        <w:t xml:space="preserve"> and a f</w:t>
      </w:r>
      <w:r w:rsidR="008E2039">
        <w:rPr>
          <w:rFonts w:ascii="Garamond" w:hAnsi="Garamond"/>
          <w:sz w:val="26"/>
          <w:szCs w:val="26"/>
        </w:rPr>
        <w:t xml:space="preserve">ederal statute preempts state taxation of satellite radio. </w:t>
      </w:r>
      <w:r w:rsidRPr="00930F0A">
        <w:rPr>
          <w:rFonts w:ascii="Garamond" w:hAnsi="Garamond"/>
          <w:sz w:val="26"/>
          <w:szCs w:val="26"/>
        </w:rPr>
        <w:t xml:space="preserve">Even if </w:t>
      </w:r>
      <w:r w:rsidRPr="00930F0A">
        <w:rPr>
          <w:rFonts w:ascii="Garamond" w:hAnsi="Garamond"/>
          <w:sz w:val="26"/>
          <w:szCs w:val="26"/>
        </w:rPr>
        <w:lastRenderedPageBreak/>
        <w:t>a federal statute preempts taxation of the similar item, ITFA’s discrimination provision still applies.</w:t>
      </w:r>
    </w:p>
    <w:p w14:paraId="67F30DDD" w14:textId="0A9C4D03" w:rsidR="00A63BBB" w:rsidRPr="000E0BF7" w:rsidRDefault="004C7015" w:rsidP="000E0BF7">
      <w:pPr>
        <w:rPr>
          <w:rFonts w:ascii="Garamond" w:hAnsi="Garamond"/>
          <w:sz w:val="26"/>
          <w:szCs w:val="26"/>
        </w:rPr>
      </w:pPr>
      <w:r w:rsidRPr="00FF34D7">
        <w:rPr>
          <w:rFonts w:ascii="Garamond" w:hAnsi="Garamond" w:cs="Times New Roman"/>
          <w:i/>
          <w:iCs/>
          <w:sz w:val="26"/>
          <w:szCs w:val="26"/>
        </w:rPr>
        <w:t>Disney v. City of Santa Barbara</w:t>
      </w:r>
      <w:r w:rsidRPr="00FF34D7">
        <w:rPr>
          <w:rFonts w:ascii="Garamond" w:hAnsi="Garamond" w:cs="Times New Roman"/>
          <w:sz w:val="26"/>
          <w:szCs w:val="26"/>
        </w:rPr>
        <w:t>, Superior Ct. No. 24CV02313 (Ca. Ct. App. 2025) – Streaming is not similar to DVD rental. The court rejected the argument that the similar content within streaming and DVD rental made the two similar.</w:t>
      </w:r>
    </w:p>
    <w:p w14:paraId="12CB9EB8" w14:textId="68CB1093" w:rsidR="00A63BBB" w:rsidRPr="00A63BBB" w:rsidRDefault="00C95D2A" w:rsidP="000E0BF7">
      <w:pPr>
        <w:rPr>
          <w:rFonts w:ascii="Garamond" w:hAnsi="Garamond"/>
          <w:b/>
          <w:bCs/>
          <w:sz w:val="26"/>
          <w:szCs w:val="26"/>
        </w:rPr>
      </w:pPr>
      <w:r>
        <w:rPr>
          <w:rFonts w:ascii="Garamond" w:hAnsi="Garamond"/>
          <w:b/>
          <w:bCs/>
          <w:sz w:val="26"/>
          <w:szCs w:val="26"/>
        </w:rPr>
        <w:t>Definition of “I</w:t>
      </w:r>
      <w:r w:rsidR="00A63BBB" w:rsidRPr="00A63BBB">
        <w:rPr>
          <w:rFonts w:ascii="Garamond" w:hAnsi="Garamond"/>
          <w:b/>
          <w:bCs/>
          <w:sz w:val="26"/>
          <w:szCs w:val="26"/>
        </w:rPr>
        <w:t>nternet access</w:t>
      </w:r>
      <w:r>
        <w:rPr>
          <w:rFonts w:ascii="Garamond" w:hAnsi="Garamond"/>
          <w:b/>
          <w:bCs/>
          <w:sz w:val="26"/>
          <w:szCs w:val="26"/>
        </w:rPr>
        <w:t>”</w:t>
      </w:r>
    </w:p>
    <w:p w14:paraId="6AA76454" w14:textId="2943100F" w:rsidR="00C95D2A" w:rsidRDefault="00C95D2A" w:rsidP="000E0BF7">
      <w:pPr>
        <w:rPr>
          <w:rFonts w:ascii="Garamond" w:hAnsi="Garamond"/>
          <w:sz w:val="26"/>
          <w:szCs w:val="26"/>
        </w:rPr>
      </w:pPr>
      <w:r w:rsidRPr="00930F0A">
        <w:rPr>
          <w:rFonts w:ascii="Garamond" w:hAnsi="Garamond"/>
          <w:sz w:val="26"/>
          <w:szCs w:val="26"/>
        </w:rPr>
        <w:t xml:space="preserve">Tenn. </w:t>
      </w:r>
      <w:proofErr w:type="spellStart"/>
      <w:r w:rsidRPr="00930F0A">
        <w:rPr>
          <w:rFonts w:ascii="Garamond" w:hAnsi="Garamond"/>
          <w:sz w:val="26"/>
          <w:szCs w:val="26"/>
        </w:rPr>
        <w:t>Ltr</w:t>
      </w:r>
      <w:proofErr w:type="spellEnd"/>
      <w:r w:rsidRPr="00930F0A">
        <w:rPr>
          <w:rFonts w:ascii="Garamond" w:hAnsi="Garamond"/>
          <w:sz w:val="26"/>
          <w:szCs w:val="26"/>
        </w:rPr>
        <w:t>. Rul. No. 08-29 (March 24, 2008) – Tennessee determined that “Layer 2 communications services” were not Internet access. The services were found to be part of telecommunications services that ITFA was not intended to disturb and were merely a service that allows communication between points of presence (POPs) and the Internet.</w:t>
      </w:r>
    </w:p>
    <w:p w14:paraId="28DAACF4" w14:textId="3204ECF5" w:rsidR="00C95D2A" w:rsidRPr="000E0BF7" w:rsidRDefault="00C95D2A" w:rsidP="000E0BF7">
      <w:pPr>
        <w:rPr>
          <w:rFonts w:ascii="Garamond" w:hAnsi="Garamond"/>
          <w:sz w:val="26"/>
          <w:szCs w:val="26"/>
        </w:rPr>
      </w:pPr>
      <w:r w:rsidRPr="00930F0A">
        <w:rPr>
          <w:rFonts w:ascii="Garamond" w:hAnsi="Garamond"/>
          <w:sz w:val="26"/>
          <w:szCs w:val="26"/>
        </w:rPr>
        <w:t xml:space="preserve">New York State Department of Taxation and Finance, TSB-M-8(4)C, (2)S (May 2, 2008) – New York described </w:t>
      </w:r>
      <w:r>
        <w:rPr>
          <w:rFonts w:ascii="Garamond" w:hAnsi="Garamond"/>
          <w:sz w:val="26"/>
          <w:szCs w:val="26"/>
        </w:rPr>
        <w:t>the</w:t>
      </w:r>
      <w:r w:rsidRPr="00930F0A">
        <w:rPr>
          <w:rFonts w:ascii="Garamond" w:hAnsi="Garamond"/>
          <w:sz w:val="26"/>
          <w:szCs w:val="26"/>
        </w:rPr>
        <w:t xml:space="preserve"> exclusion </w:t>
      </w:r>
      <w:r>
        <w:rPr>
          <w:rFonts w:ascii="Garamond" w:hAnsi="Garamond"/>
          <w:sz w:val="26"/>
          <w:szCs w:val="26"/>
        </w:rPr>
        <w:t xml:space="preserve">of “voice, audio or video programming, or other products and services that utilize Internet protocol or any successor protocol” </w:t>
      </w:r>
      <w:r w:rsidRPr="00930F0A">
        <w:rPr>
          <w:rFonts w:ascii="Garamond" w:hAnsi="Garamond"/>
          <w:sz w:val="26"/>
          <w:szCs w:val="26"/>
        </w:rPr>
        <w:t>as excluding “any form of telephony (e.g., private telecommunications networks), including Voice over Internet Protocol (VOIP), network services and data transmission services, other than telecommunications services used by an Internet Service Provider (ISP) to connect customers to the Internet.”</w:t>
      </w:r>
    </w:p>
    <w:p w14:paraId="3F2F02E7" w14:textId="020336AB" w:rsidR="00C95D2A" w:rsidRDefault="00F352D5" w:rsidP="000E0BF7">
      <w:pPr>
        <w:rPr>
          <w:rFonts w:ascii="Garamond" w:hAnsi="Garamond"/>
          <w:sz w:val="26"/>
          <w:szCs w:val="26"/>
        </w:rPr>
      </w:pPr>
      <w:r w:rsidRPr="00930F0A">
        <w:rPr>
          <w:rFonts w:ascii="Garamond" w:hAnsi="Garamond"/>
          <w:i/>
          <w:iCs/>
          <w:sz w:val="26"/>
          <w:szCs w:val="26"/>
        </w:rPr>
        <w:t>j2 Global Communications Inc. v. City of Los Angeles</w:t>
      </w:r>
      <w:r w:rsidRPr="00930F0A">
        <w:rPr>
          <w:rFonts w:ascii="Garamond" w:hAnsi="Garamond"/>
          <w:sz w:val="26"/>
          <w:szCs w:val="26"/>
        </w:rPr>
        <w:t xml:space="preserve">, 218 Cal. App. 4th 328 (Cal. Ct. App. 2013); 159 Cal. </w:t>
      </w:r>
      <w:proofErr w:type="spellStart"/>
      <w:r w:rsidRPr="00930F0A">
        <w:rPr>
          <w:rFonts w:ascii="Garamond" w:hAnsi="Garamond"/>
          <w:sz w:val="26"/>
          <w:szCs w:val="26"/>
        </w:rPr>
        <w:t>Rptr</w:t>
      </w:r>
      <w:proofErr w:type="spellEnd"/>
      <w:r w:rsidRPr="00930F0A">
        <w:rPr>
          <w:rFonts w:ascii="Garamond" w:hAnsi="Garamond"/>
          <w:sz w:val="26"/>
          <w:szCs w:val="26"/>
        </w:rPr>
        <w:t xml:space="preserve">. 3d 742 (2d Dist. 2013). See also, </w:t>
      </w:r>
      <w:r w:rsidRPr="00930F0A">
        <w:rPr>
          <w:rFonts w:ascii="Garamond" w:hAnsi="Garamond"/>
          <w:i/>
          <w:iCs/>
          <w:sz w:val="26"/>
          <w:szCs w:val="26"/>
        </w:rPr>
        <w:t>J2 Cloud Servs., Inc.</w:t>
      </w:r>
      <w:r w:rsidRPr="00930F0A">
        <w:rPr>
          <w:rFonts w:ascii="Garamond" w:hAnsi="Garamond"/>
          <w:sz w:val="26"/>
          <w:szCs w:val="26"/>
        </w:rPr>
        <w:t xml:space="preserve"> </w:t>
      </w:r>
      <w:r w:rsidRPr="00930F0A">
        <w:rPr>
          <w:rFonts w:ascii="Garamond" w:hAnsi="Garamond"/>
          <w:i/>
          <w:iCs/>
          <w:sz w:val="26"/>
          <w:szCs w:val="26"/>
        </w:rPr>
        <w:t>(f/k/a J2 Glob., Inc. &amp; J2 Glob. Commc’ns, Inc.) v. Comm’r of Revenue</w:t>
      </w:r>
      <w:r w:rsidRPr="00930F0A">
        <w:rPr>
          <w:rFonts w:ascii="Garamond" w:hAnsi="Garamond"/>
          <w:sz w:val="26"/>
          <w:szCs w:val="26"/>
        </w:rPr>
        <w:t>, Docket No. C325426, 2019 WL 1102964 (Mass. App. Tax. Bd. Feb. 27, 2019 – ITFA Internet access challenge failed because the product at issue required users to provide their own Internet connections and email accounts. Users merely received email messages.</w:t>
      </w:r>
    </w:p>
    <w:p w14:paraId="0D7845E7" w14:textId="5054F26C" w:rsidR="00C95D2A" w:rsidRDefault="00C95D2A" w:rsidP="000E0BF7">
      <w:pPr>
        <w:rPr>
          <w:rFonts w:ascii="Garamond" w:hAnsi="Garamond"/>
          <w:sz w:val="26"/>
          <w:szCs w:val="26"/>
        </w:rPr>
      </w:pPr>
      <w:r w:rsidRPr="00930F0A">
        <w:rPr>
          <w:rFonts w:ascii="Garamond" w:hAnsi="Garamond"/>
          <w:sz w:val="26"/>
          <w:szCs w:val="26"/>
        </w:rPr>
        <w:t>Viriginia Public Documents 14-130 (August 7, 2014), 15-217 (December 8, 2015), 18-210 (December 18, 2018), and 18-209 (December 18, 2018) – ITFA Internet access challenge failed. Virginia found that taxes on broadband recovery fees, service activation and reactivation fees, and early termination fees were not barred by ITFA as these were not the type of incidental services considered by ITFA.</w:t>
      </w:r>
    </w:p>
    <w:p w14:paraId="32E75875" w14:textId="65E4EAD5" w:rsidR="00C95D2A" w:rsidRPr="00930F0A" w:rsidRDefault="00C95D2A" w:rsidP="000E0BF7">
      <w:pPr>
        <w:rPr>
          <w:rFonts w:ascii="Garamond" w:hAnsi="Garamond"/>
          <w:sz w:val="26"/>
          <w:szCs w:val="26"/>
        </w:rPr>
      </w:pPr>
      <w:r w:rsidRPr="00930F0A">
        <w:rPr>
          <w:rFonts w:ascii="Garamond" w:hAnsi="Garamond"/>
          <w:sz w:val="26"/>
          <w:szCs w:val="26"/>
        </w:rPr>
        <w:t>Florida Tech. Assistance Adv. TAA 14A19-002 (May 22, 2014) – Florida found that voice over Internet protocol, Multiprotocol Label Switching, and Session Initiation Protocol services were not Internet access because they were “other products and services that utilize Internet protocol.”</w:t>
      </w:r>
    </w:p>
    <w:p w14:paraId="149964A5" w14:textId="1A11D6CE" w:rsidR="00C95D2A" w:rsidRDefault="00C95D2A" w:rsidP="000E0BF7">
      <w:pPr>
        <w:rPr>
          <w:rFonts w:ascii="Garamond" w:hAnsi="Garamond"/>
          <w:sz w:val="26"/>
          <w:szCs w:val="26"/>
        </w:rPr>
      </w:pPr>
      <w:r w:rsidRPr="00930F0A">
        <w:rPr>
          <w:rFonts w:ascii="Garamond" w:hAnsi="Garamond"/>
          <w:sz w:val="26"/>
          <w:szCs w:val="26"/>
        </w:rPr>
        <w:t xml:space="preserve">Colo. Pvt. </w:t>
      </w:r>
      <w:proofErr w:type="spellStart"/>
      <w:r w:rsidRPr="00930F0A">
        <w:rPr>
          <w:rFonts w:ascii="Garamond" w:hAnsi="Garamond"/>
          <w:sz w:val="26"/>
          <w:szCs w:val="26"/>
        </w:rPr>
        <w:t>Ltr</w:t>
      </w:r>
      <w:proofErr w:type="spellEnd"/>
      <w:r w:rsidRPr="00930F0A">
        <w:rPr>
          <w:rFonts w:ascii="Garamond" w:hAnsi="Garamond"/>
          <w:sz w:val="26"/>
          <w:szCs w:val="26"/>
        </w:rPr>
        <w:t xml:space="preserve">. </w:t>
      </w:r>
      <w:proofErr w:type="spellStart"/>
      <w:r w:rsidRPr="00930F0A">
        <w:rPr>
          <w:rFonts w:ascii="Garamond" w:hAnsi="Garamond"/>
          <w:sz w:val="26"/>
          <w:szCs w:val="26"/>
        </w:rPr>
        <w:t>Ruls</w:t>
      </w:r>
      <w:proofErr w:type="spellEnd"/>
      <w:r w:rsidRPr="00930F0A">
        <w:rPr>
          <w:rFonts w:ascii="Garamond" w:hAnsi="Garamond"/>
          <w:sz w:val="26"/>
          <w:szCs w:val="26"/>
        </w:rPr>
        <w:t xml:space="preserve">. 15-001 &amp; 003 (Feb. 4, 2015) – Colorado found that “notification” and “production” email services that allow customers to create and send high volumes of emails </w:t>
      </w:r>
      <w:r w:rsidRPr="00930F0A">
        <w:rPr>
          <w:rFonts w:ascii="Garamond" w:hAnsi="Garamond"/>
          <w:sz w:val="26"/>
          <w:szCs w:val="26"/>
        </w:rPr>
        <w:lastRenderedPageBreak/>
        <w:t>to be Internet access as they are akin to email services of Google and Yahoo. See also, New York State Department of Taxation and Finance, TSB-A-20(30)S (July 14, 2020).</w:t>
      </w:r>
    </w:p>
    <w:p w14:paraId="33EE820C" w14:textId="396A661E" w:rsidR="00F352D5" w:rsidRPr="00930F0A" w:rsidRDefault="00C95D2A" w:rsidP="000E0BF7">
      <w:pPr>
        <w:rPr>
          <w:rFonts w:ascii="Garamond" w:hAnsi="Garamond"/>
          <w:sz w:val="26"/>
          <w:szCs w:val="26"/>
        </w:rPr>
      </w:pPr>
      <w:r w:rsidRPr="00930F0A">
        <w:rPr>
          <w:rFonts w:ascii="Garamond" w:hAnsi="Garamond"/>
          <w:sz w:val="26"/>
          <w:szCs w:val="26"/>
        </w:rPr>
        <w:t>General Information Letter No. ST 15-0034-GIL (June 18, 2015) – Internet bandwidth purchases qualified as Internet access to the extent an Internet provider purchased Internet bandwidth from another company that they then sold to a customer to enable access to the Internet. See also, Illinois Department of Revenue, General Information Letter No. ST 19-0037-GIL (December 13, 2019).</w:t>
      </w:r>
    </w:p>
    <w:p w14:paraId="18689F21" w14:textId="7BA63324" w:rsidR="00F352D5" w:rsidRPr="00930F0A" w:rsidRDefault="00F352D5" w:rsidP="000E0BF7">
      <w:pPr>
        <w:rPr>
          <w:rFonts w:ascii="Garamond" w:hAnsi="Garamond"/>
          <w:sz w:val="26"/>
          <w:szCs w:val="26"/>
        </w:rPr>
      </w:pPr>
      <w:r w:rsidRPr="00930F0A">
        <w:rPr>
          <w:rFonts w:ascii="Garamond" w:hAnsi="Garamond"/>
          <w:sz w:val="26"/>
          <w:szCs w:val="26"/>
        </w:rPr>
        <w:t>Virginia Department of Taxation, Ruling of the Tax Comm’r, Public Document 16-195 (Oct. 13, 2016) – Taxation of Internet access is taxing what subscribers pay for Internet access from Internet service providers. ITFA Internet access provision challenge failed because the product required customers to provide their own Internet connections.</w:t>
      </w:r>
    </w:p>
    <w:p w14:paraId="283F0F46" w14:textId="51BDDBCD" w:rsidR="00C95D2A" w:rsidRDefault="00F352D5" w:rsidP="000E0BF7">
      <w:pPr>
        <w:rPr>
          <w:rFonts w:ascii="Garamond" w:hAnsi="Garamond"/>
          <w:sz w:val="26"/>
          <w:szCs w:val="26"/>
        </w:rPr>
      </w:pPr>
      <w:r w:rsidRPr="00930F0A">
        <w:rPr>
          <w:rFonts w:ascii="Garamond" w:hAnsi="Garamond"/>
          <w:sz w:val="26"/>
          <w:szCs w:val="26"/>
        </w:rPr>
        <w:t>S.C. Revenue Ruling 17-2 (March 10, 2017) – South Carolina found that access to a database like a website was not Internet access.</w:t>
      </w:r>
    </w:p>
    <w:p w14:paraId="2AB49135" w14:textId="4B27D25B" w:rsidR="00C95D2A" w:rsidRDefault="00C95D2A" w:rsidP="000E0BF7">
      <w:pPr>
        <w:rPr>
          <w:rFonts w:ascii="Garamond" w:hAnsi="Garamond"/>
          <w:sz w:val="26"/>
          <w:szCs w:val="26"/>
        </w:rPr>
      </w:pPr>
      <w:r w:rsidRPr="00930F0A">
        <w:rPr>
          <w:rFonts w:ascii="Garamond" w:hAnsi="Garamond"/>
          <w:i/>
          <w:iCs/>
          <w:sz w:val="26"/>
          <w:szCs w:val="26"/>
        </w:rPr>
        <w:t>Apple, Inc. v. Romy Samuel</w:t>
      </w:r>
      <w:r w:rsidRPr="00930F0A">
        <w:rPr>
          <w:rFonts w:ascii="Garamond" w:hAnsi="Garamond"/>
          <w:sz w:val="26"/>
          <w:szCs w:val="26"/>
        </w:rPr>
        <w:t xml:space="preserve">, </w:t>
      </w:r>
      <w:proofErr w:type="spellStart"/>
      <w:r w:rsidRPr="00930F0A">
        <w:rPr>
          <w:rFonts w:ascii="Garamond" w:hAnsi="Garamond"/>
          <w:sz w:val="26"/>
          <w:szCs w:val="26"/>
        </w:rPr>
        <w:t>Dkt</w:t>
      </w:r>
      <w:proofErr w:type="spellEnd"/>
      <w:r w:rsidRPr="00930F0A">
        <w:rPr>
          <w:rFonts w:ascii="Garamond" w:hAnsi="Garamond"/>
          <w:sz w:val="26"/>
          <w:szCs w:val="26"/>
        </w:rPr>
        <w:t>. No. L01283 (La. Bd. Of Tax Appeals 2023) – iCloud storage is Internet access as “personal electronic storage capacity.”</w:t>
      </w:r>
    </w:p>
    <w:p w14:paraId="1B14064C" w14:textId="55EEF487" w:rsidR="00F352D5" w:rsidRPr="00930F0A" w:rsidRDefault="00C95D2A" w:rsidP="000E0BF7">
      <w:pPr>
        <w:rPr>
          <w:rFonts w:ascii="Garamond" w:hAnsi="Garamond"/>
          <w:sz w:val="26"/>
          <w:szCs w:val="26"/>
        </w:rPr>
      </w:pPr>
      <w:r w:rsidRPr="00930F0A">
        <w:rPr>
          <w:rFonts w:ascii="Garamond" w:hAnsi="Garamond"/>
          <w:i/>
          <w:iCs/>
          <w:sz w:val="26"/>
          <w:szCs w:val="26"/>
        </w:rPr>
        <w:t>In the Matter of the Petition of Verizon New York Inc.</w:t>
      </w:r>
      <w:r w:rsidRPr="00930F0A">
        <w:rPr>
          <w:rFonts w:ascii="Garamond" w:hAnsi="Garamond"/>
          <w:sz w:val="26"/>
          <w:szCs w:val="26"/>
        </w:rPr>
        <w:t xml:space="preserve">, DTA No. 829240 (N.Y. Tax Appeals 2023) </w:t>
      </w:r>
      <w:r w:rsidRPr="00930F0A">
        <w:rPr>
          <w:rFonts w:ascii="Garamond" w:hAnsi="Garamond"/>
          <w:i/>
          <w:iCs/>
          <w:sz w:val="26"/>
          <w:szCs w:val="26"/>
        </w:rPr>
        <w:t>aff’d</w:t>
      </w:r>
      <w:r w:rsidRPr="00930F0A">
        <w:rPr>
          <w:rFonts w:ascii="Garamond" w:hAnsi="Garamond"/>
          <w:sz w:val="26"/>
          <w:szCs w:val="26"/>
        </w:rPr>
        <w:t xml:space="preserve">, DTA No. 829240 at 16 (N.Y. Tax Appeals Tribunal 2025) – ITFA’s concept of Internet access is </w:t>
      </w:r>
      <w:r w:rsidRPr="00A63BBB">
        <w:rPr>
          <w:rFonts w:ascii="Garamond" w:hAnsi="Garamond"/>
          <w:sz w:val="26"/>
          <w:szCs w:val="26"/>
        </w:rPr>
        <w:t>broad</w:t>
      </w:r>
      <w:r w:rsidRPr="00930F0A">
        <w:rPr>
          <w:rFonts w:ascii="Garamond" w:hAnsi="Garamond"/>
          <w:sz w:val="26"/>
          <w:szCs w:val="26"/>
        </w:rPr>
        <w:t>.</w:t>
      </w:r>
      <w:r>
        <w:rPr>
          <w:rFonts w:ascii="Garamond" w:hAnsi="Garamond"/>
          <w:sz w:val="26"/>
          <w:szCs w:val="26"/>
        </w:rPr>
        <w:t xml:space="preserve"> Also, </w:t>
      </w:r>
      <w:r w:rsidRPr="00930F0A">
        <w:rPr>
          <w:rFonts w:ascii="Garamond" w:hAnsi="Garamond"/>
          <w:sz w:val="26"/>
          <w:szCs w:val="26"/>
        </w:rPr>
        <w:t xml:space="preserve">the tribunal confuses </w:t>
      </w:r>
      <w:r>
        <w:rPr>
          <w:rFonts w:ascii="Garamond" w:hAnsi="Garamond"/>
          <w:sz w:val="26"/>
          <w:szCs w:val="26"/>
        </w:rPr>
        <w:t>the assignment of the different definitions of Internet access</w:t>
      </w:r>
      <w:r w:rsidRPr="00930F0A">
        <w:rPr>
          <w:rFonts w:ascii="Garamond" w:hAnsi="Garamond"/>
          <w:sz w:val="26"/>
          <w:szCs w:val="26"/>
        </w:rPr>
        <w:t xml:space="preserve"> for a limited extension of the legacy clause applicable to pre-November 2003 taxes.</w:t>
      </w:r>
    </w:p>
    <w:p w14:paraId="76016E83" w14:textId="5147C120" w:rsidR="00A63BBB" w:rsidRPr="00A63BBB" w:rsidRDefault="00A63BBB" w:rsidP="000E0BF7">
      <w:pPr>
        <w:rPr>
          <w:rFonts w:ascii="Garamond" w:hAnsi="Garamond"/>
          <w:b/>
          <w:bCs/>
          <w:iCs/>
          <w:sz w:val="26"/>
          <w:szCs w:val="26"/>
        </w:rPr>
      </w:pPr>
      <w:r w:rsidRPr="00A63BBB">
        <w:rPr>
          <w:rFonts w:ascii="Garamond" w:hAnsi="Garamond"/>
          <w:b/>
          <w:bCs/>
          <w:iCs/>
          <w:sz w:val="26"/>
          <w:szCs w:val="26"/>
        </w:rPr>
        <w:t>Definition of “tax”</w:t>
      </w:r>
    </w:p>
    <w:p w14:paraId="7B242E13" w14:textId="76592BB7" w:rsidR="00F352D5" w:rsidRPr="00930F0A" w:rsidRDefault="00F352D5" w:rsidP="000E0BF7">
      <w:pPr>
        <w:rPr>
          <w:rFonts w:ascii="Garamond" w:hAnsi="Garamond"/>
          <w:sz w:val="26"/>
          <w:szCs w:val="26"/>
        </w:rPr>
      </w:pPr>
      <w:r w:rsidRPr="00930F0A">
        <w:rPr>
          <w:rFonts w:ascii="Garamond" w:hAnsi="Garamond"/>
          <w:i/>
          <w:iCs/>
          <w:sz w:val="26"/>
          <w:szCs w:val="26"/>
        </w:rPr>
        <w:t>City of Chicago v. Comcast Cable Holdings, L.L.C.</w:t>
      </w:r>
      <w:r w:rsidRPr="00930F0A">
        <w:rPr>
          <w:rFonts w:ascii="Garamond" w:hAnsi="Garamond"/>
          <w:sz w:val="26"/>
          <w:szCs w:val="26"/>
        </w:rPr>
        <w:t>, 872 N.E. 2d 368 (Ill. App. 2007) – Cable franchise fees are “not a tax prohibited by ITFA.” Though there is little analysis in the opinion.</w:t>
      </w:r>
    </w:p>
    <w:p w14:paraId="3126B658" w14:textId="33B65EA2" w:rsidR="00C95D2A" w:rsidRDefault="00F352D5" w:rsidP="000E0BF7">
      <w:pPr>
        <w:rPr>
          <w:rFonts w:ascii="Garamond" w:hAnsi="Garamond"/>
          <w:sz w:val="26"/>
          <w:szCs w:val="26"/>
        </w:rPr>
      </w:pPr>
      <w:r w:rsidRPr="00930F0A">
        <w:rPr>
          <w:rFonts w:ascii="Garamond" w:hAnsi="Garamond"/>
          <w:sz w:val="26"/>
          <w:szCs w:val="26"/>
        </w:rPr>
        <w:t xml:space="preserve">Virginia Public Document 17-94 – Virginia discussed the Business, Professional and Occupational License Tax and determined that ITFA’s prohibition on taxes on Internet access applied to the tax. See also, </w:t>
      </w:r>
      <w:proofErr w:type="spellStart"/>
      <w:r w:rsidRPr="00930F0A">
        <w:rPr>
          <w:rFonts w:ascii="Garamond" w:hAnsi="Garamond"/>
          <w:i/>
          <w:iCs/>
          <w:sz w:val="26"/>
          <w:szCs w:val="26"/>
        </w:rPr>
        <w:t>Coxcom</w:t>
      </w:r>
      <w:proofErr w:type="spellEnd"/>
      <w:r w:rsidRPr="00930F0A">
        <w:rPr>
          <w:rFonts w:ascii="Garamond" w:hAnsi="Garamond"/>
          <w:i/>
          <w:iCs/>
          <w:sz w:val="26"/>
          <w:szCs w:val="26"/>
        </w:rPr>
        <w:t>, LLC v. Fairfax County</w:t>
      </w:r>
      <w:r w:rsidRPr="00930F0A">
        <w:rPr>
          <w:rFonts w:ascii="Garamond" w:hAnsi="Garamond"/>
          <w:sz w:val="26"/>
          <w:szCs w:val="26"/>
        </w:rPr>
        <w:t>, 875 S.E.2d 75 (2022).</w:t>
      </w:r>
    </w:p>
    <w:p w14:paraId="7EEB8D35" w14:textId="7F2B1AF6" w:rsidR="00F352D5" w:rsidRPr="00930F0A" w:rsidRDefault="00C95D2A" w:rsidP="000E0BF7">
      <w:pPr>
        <w:rPr>
          <w:rFonts w:ascii="Garamond" w:hAnsi="Garamond"/>
          <w:sz w:val="26"/>
          <w:szCs w:val="26"/>
        </w:rPr>
      </w:pPr>
      <w:r w:rsidRPr="00930F0A">
        <w:rPr>
          <w:rFonts w:ascii="Garamond" w:hAnsi="Garamond"/>
          <w:sz w:val="26"/>
          <w:szCs w:val="26"/>
        </w:rPr>
        <w:t>Virginia Public Document 24-120 – Virginia discussed its Telecommunications Minimum Tax and determined it was based on gross income and that ITFA’s prohibition on taxes on Internet access applied to the tax.</w:t>
      </w:r>
    </w:p>
    <w:p w14:paraId="7BC406FE" w14:textId="48C8CDC7" w:rsidR="00A63BBB" w:rsidRPr="00A63BBB" w:rsidRDefault="00A63BBB" w:rsidP="000E0BF7">
      <w:pPr>
        <w:rPr>
          <w:rFonts w:ascii="Garamond" w:hAnsi="Garamond"/>
          <w:b/>
          <w:bCs/>
          <w:sz w:val="26"/>
          <w:szCs w:val="26"/>
        </w:rPr>
      </w:pPr>
      <w:r w:rsidRPr="00A63BBB">
        <w:rPr>
          <w:rFonts w:ascii="Garamond" w:hAnsi="Garamond"/>
          <w:b/>
          <w:bCs/>
          <w:sz w:val="26"/>
          <w:szCs w:val="26"/>
        </w:rPr>
        <w:t>Accounting rule</w:t>
      </w:r>
    </w:p>
    <w:p w14:paraId="23A05288" w14:textId="3D5309DF" w:rsidR="00561D7F" w:rsidRDefault="00561D7F" w:rsidP="000E0BF7">
      <w:pPr>
        <w:rPr>
          <w:rFonts w:ascii="Garamond" w:hAnsi="Garamond"/>
          <w:sz w:val="26"/>
          <w:szCs w:val="26"/>
        </w:rPr>
      </w:pPr>
      <w:r w:rsidRPr="00561D7F">
        <w:rPr>
          <w:rFonts w:ascii="Garamond" w:hAnsi="Garamond"/>
          <w:i/>
          <w:iCs/>
          <w:sz w:val="26"/>
          <w:szCs w:val="26"/>
        </w:rPr>
        <w:lastRenderedPageBreak/>
        <w:t>University City v. AT&amp;T Wireless, Inc.</w:t>
      </w:r>
      <w:r w:rsidRPr="00561D7F">
        <w:rPr>
          <w:rFonts w:ascii="Garamond" w:hAnsi="Garamond"/>
          <w:sz w:val="26"/>
          <w:szCs w:val="26"/>
        </w:rPr>
        <w:t>, 2026 WL 934817, No. ED113046 (Mo. Ct. App. 2026).</w:t>
      </w:r>
      <w:r>
        <w:rPr>
          <w:rFonts w:ascii="Garamond" w:hAnsi="Garamond"/>
          <w:sz w:val="26"/>
          <w:szCs w:val="26"/>
        </w:rPr>
        <w:t xml:space="preserve"> – The ITFA accounting rule is “lenient” and use of historical usage patterns rather than exact figures is sufficient.</w:t>
      </w:r>
    </w:p>
    <w:p w14:paraId="4F11B63F" w14:textId="41DC591A" w:rsidR="00F352D5" w:rsidRPr="00930F0A" w:rsidRDefault="00F352D5" w:rsidP="000E0BF7">
      <w:pPr>
        <w:rPr>
          <w:rFonts w:ascii="Garamond" w:hAnsi="Garamond"/>
          <w:sz w:val="26"/>
          <w:szCs w:val="26"/>
        </w:rPr>
      </w:pPr>
      <w:r w:rsidRPr="00930F0A">
        <w:rPr>
          <w:rFonts w:ascii="Garamond" w:hAnsi="Garamond"/>
          <w:sz w:val="26"/>
          <w:szCs w:val="26"/>
        </w:rPr>
        <w:t xml:space="preserve">Kansas Priv. </w:t>
      </w:r>
      <w:proofErr w:type="spellStart"/>
      <w:r w:rsidRPr="00930F0A">
        <w:rPr>
          <w:rFonts w:ascii="Garamond" w:hAnsi="Garamond"/>
          <w:sz w:val="26"/>
          <w:szCs w:val="26"/>
        </w:rPr>
        <w:t>Ltr</w:t>
      </w:r>
      <w:proofErr w:type="spellEnd"/>
      <w:r w:rsidRPr="00930F0A">
        <w:rPr>
          <w:rFonts w:ascii="Garamond" w:hAnsi="Garamond"/>
          <w:sz w:val="26"/>
          <w:szCs w:val="26"/>
        </w:rPr>
        <w:t>. Rul. 2011-003 – Kansas advised taxpayers to both separately state their charges for Internet access and keep books and records to substantiate the amounts.</w:t>
      </w:r>
    </w:p>
    <w:p w14:paraId="35410533" w14:textId="2B4C59A6" w:rsidR="00F352D5" w:rsidRPr="00930F0A" w:rsidRDefault="00F352D5" w:rsidP="000E0BF7">
      <w:pPr>
        <w:rPr>
          <w:rFonts w:ascii="Garamond" w:hAnsi="Garamond"/>
          <w:sz w:val="26"/>
          <w:szCs w:val="26"/>
        </w:rPr>
      </w:pPr>
      <w:r w:rsidRPr="00930F0A">
        <w:rPr>
          <w:rFonts w:ascii="Garamond" w:hAnsi="Garamond"/>
          <w:sz w:val="26"/>
          <w:szCs w:val="26"/>
        </w:rPr>
        <w:t>New York State Department of Taxation and Finance, TSB-A-08(47)S (October 16, 2008) – New York determined that an Internet cafe’s charges for Internet access and taxable software were separately determinable for purposes of the accounting rule. The Department cited to the end screen shown at the close of each session that displayed the time spent and charges for accessing the Internet and the time spent and charges for using the software.</w:t>
      </w:r>
    </w:p>
    <w:p w14:paraId="407B5E17" w14:textId="497CF794" w:rsidR="001A7405" w:rsidRPr="00930F0A" w:rsidRDefault="00F352D5" w:rsidP="000E0BF7">
      <w:pPr>
        <w:rPr>
          <w:rFonts w:ascii="Garamond" w:hAnsi="Garamond"/>
          <w:sz w:val="26"/>
          <w:szCs w:val="26"/>
        </w:rPr>
      </w:pPr>
      <w:r w:rsidRPr="00930F0A">
        <w:rPr>
          <w:rFonts w:ascii="Garamond" w:hAnsi="Garamond"/>
          <w:sz w:val="26"/>
          <w:szCs w:val="26"/>
        </w:rPr>
        <w:t>New York State Department of Taxation and Finance, TSB-A-17(2)S (February 27, 2017) – New York provided that to satisfy the accounting rule the charges for Internet access must be “readily identifiable,” determined using an “objective and verifiable” standard, and reasonable in relation to the total charge. See also, TSB-A-09(17)C/TSB-A-09(60)S (December 15, 2009.</w:t>
      </w:r>
    </w:p>
    <w:sectPr w:rsidR="001A7405" w:rsidRPr="00930F0A">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6A278" w14:textId="77777777" w:rsidR="00232201" w:rsidRDefault="00232201" w:rsidP="00EE6408">
      <w:pPr>
        <w:spacing w:after="0" w:line="240" w:lineRule="auto"/>
      </w:pPr>
      <w:r>
        <w:separator/>
      </w:r>
    </w:p>
  </w:endnote>
  <w:endnote w:type="continuationSeparator" w:id="0">
    <w:p w14:paraId="45CEE4CC" w14:textId="77777777" w:rsidR="00232201" w:rsidRDefault="00232201" w:rsidP="00EE6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519771"/>
      <w:docPartObj>
        <w:docPartGallery w:val="Page Numbers (Bottom of Page)"/>
        <w:docPartUnique/>
      </w:docPartObj>
    </w:sdtPr>
    <w:sdtEndPr>
      <w:rPr>
        <w:noProof/>
      </w:rPr>
    </w:sdtEndPr>
    <w:sdtContent>
      <w:p w14:paraId="1A4AB29A" w14:textId="2E108D6A" w:rsidR="00D17559" w:rsidRDefault="00D175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836D6E" w14:textId="77777777" w:rsidR="00D17559" w:rsidRDefault="00D17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8ACBE" w14:textId="77777777" w:rsidR="00232201" w:rsidRDefault="00232201" w:rsidP="00EE6408">
      <w:pPr>
        <w:spacing w:after="0" w:line="240" w:lineRule="auto"/>
      </w:pPr>
      <w:r>
        <w:separator/>
      </w:r>
    </w:p>
  </w:footnote>
  <w:footnote w:type="continuationSeparator" w:id="0">
    <w:p w14:paraId="67C76048" w14:textId="77777777" w:rsidR="00232201" w:rsidRDefault="00232201" w:rsidP="00EE6408">
      <w:pPr>
        <w:spacing w:after="0" w:line="240" w:lineRule="auto"/>
      </w:pPr>
      <w:r>
        <w:continuationSeparator/>
      </w:r>
    </w:p>
  </w:footnote>
  <w:footnote w:id="1">
    <w:p w14:paraId="077AEBDF" w14:textId="77777777" w:rsidR="005A2170" w:rsidRPr="000E0BF7" w:rsidRDefault="005A2170" w:rsidP="005A2170">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For purposes of this MTC uniformity project, the term “digital product” means both goods and services.</w:t>
      </w:r>
    </w:p>
  </w:footnote>
  <w:footnote w:id="2">
    <w:p w14:paraId="11B76F7B" w14:textId="77777777" w:rsidR="005A2170" w:rsidRPr="000E0BF7" w:rsidRDefault="005A2170" w:rsidP="005A2170">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Visit the MTC project page at </w:t>
      </w:r>
      <w:hyperlink r:id="rId1" w:history="1">
        <w:r w:rsidRPr="000E0BF7">
          <w:rPr>
            <w:rStyle w:val="Hyperlink"/>
            <w:rFonts w:ascii="Garamond" w:hAnsi="Garamond"/>
            <w:sz w:val="22"/>
            <w:szCs w:val="22"/>
          </w:rPr>
          <w:t>https://www.mtc.gov/uniformity/sales-tax-on-digital-products/</w:t>
        </w:r>
      </w:hyperlink>
      <w:r w:rsidRPr="000E0BF7">
        <w:rPr>
          <w:rFonts w:ascii="Garamond" w:hAnsi="Garamond"/>
          <w:sz w:val="22"/>
          <w:szCs w:val="22"/>
        </w:rPr>
        <w:t>.</w:t>
      </w:r>
    </w:p>
  </w:footnote>
  <w:footnote w:id="3">
    <w:p w14:paraId="3AD5B968" w14:textId="77777777" w:rsidR="005A2170" w:rsidRPr="000E0BF7" w:rsidRDefault="005A2170" w:rsidP="005A2170">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w:t>
      </w:r>
      <w:r w:rsidRPr="000E0BF7">
        <w:rPr>
          <w:rFonts w:ascii="Garamond" w:hAnsi="Garamond" w:cs="Calibri"/>
          <w:sz w:val="22"/>
          <w:szCs w:val="22"/>
        </w:rPr>
        <w:t>47 U.S.C. § 151, note. See Appendix.</w:t>
      </w:r>
    </w:p>
  </w:footnote>
  <w:footnote w:id="4">
    <w:p w14:paraId="484BAE3C" w14:textId="734FDF68" w:rsidR="002F4B22" w:rsidRPr="000E0BF7" w:rsidRDefault="002F4B22">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Throughout this Section, the term “</w:t>
      </w:r>
      <w:r w:rsidR="00F33908" w:rsidRPr="000E0BF7">
        <w:rPr>
          <w:rFonts w:ascii="Garamond" w:hAnsi="Garamond"/>
          <w:sz w:val="22"/>
          <w:szCs w:val="22"/>
        </w:rPr>
        <w:t>S</w:t>
      </w:r>
      <w:r w:rsidRPr="000E0BF7">
        <w:rPr>
          <w:rFonts w:ascii="Garamond" w:hAnsi="Garamond"/>
          <w:sz w:val="22"/>
          <w:szCs w:val="22"/>
        </w:rPr>
        <w:t>tate” will be used to refer to states and their subdivisions.</w:t>
      </w:r>
    </w:p>
  </w:footnote>
  <w:footnote w:id="5">
    <w:p w14:paraId="2C92E8B0" w14:textId="52A721DD" w:rsidR="00CC6D25" w:rsidRPr="000E0BF7" w:rsidRDefault="00CC6D25">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w:t>
      </w:r>
      <w:r w:rsidRPr="000E0BF7">
        <w:rPr>
          <w:rFonts w:ascii="Garamond" w:hAnsi="Garamond"/>
          <w:i/>
          <w:iCs/>
          <w:sz w:val="22"/>
          <w:szCs w:val="22"/>
        </w:rPr>
        <w:t>See generally</w:t>
      </w:r>
      <w:r w:rsidRPr="000E0BF7">
        <w:rPr>
          <w:rFonts w:ascii="Garamond" w:hAnsi="Garamond"/>
          <w:sz w:val="22"/>
          <w:szCs w:val="22"/>
        </w:rPr>
        <w:t xml:space="preserve">, </w:t>
      </w:r>
      <w:r w:rsidRPr="000E0BF7">
        <w:rPr>
          <w:rFonts w:ascii="Garamond" w:hAnsi="Garamond"/>
          <w:smallCaps/>
          <w:sz w:val="22"/>
          <w:szCs w:val="22"/>
        </w:rPr>
        <w:t>U.S. Gov’t Accountability Off.</w:t>
      </w:r>
      <w:r w:rsidRPr="000E0BF7">
        <w:rPr>
          <w:rFonts w:ascii="Garamond" w:hAnsi="Garamond"/>
          <w:sz w:val="22"/>
          <w:szCs w:val="22"/>
        </w:rPr>
        <w:t xml:space="preserve">, GAO-06-273, </w:t>
      </w:r>
      <w:r w:rsidRPr="000E0BF7">
        <w:rPr>
          <w:rFonts w:ascii="Garamond" w:hAnsi="Garamond"/>
          <w:smallCaps/>
          <w:sz w:val="22"/>
          <w:szCs w:val="22"/>
        </w:rPr>
        <w:t>Internet Access Tax Moratorium: Revenue Impacts Will Vary by State, 5-6</w:t>
      </w:r>
      <w:r w:rsidRPr="000E0BF7">
        <w:rPr>
          <w:rFonts w:ascii="Garamond" w:hAnsi="Garamond"/>
          <w:sz w:val="22"/>
          <w:szCs w:val="22"/>
        </w:rPr>
        <w:t xml:space="preserve"> (2006).</w:t>
      </w:r>
    </w:p>
  </w:footnote>
  <w:footnote w:id="6">
    <w:p w14:paraId="7AE295C0" w14:textId="7A2FC6E0" w:rsidR="00DF2723" w:rsidRPr="000E0BF7" w:rsidRDefault="00DF2723">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w:t>
      </w:r>
      <w:proofErr w:type="spellStart"/>
      <w:r w:rsidRPr="000E0BF7">
        <w:rPr>
          <w:rFonts w:ascii="Garamond" w:hAnsi="Garamond"/>
          <w:sz w:val="22"/>
          <w:szCs w:val="22"/>
        </w:rPr>
        <w:t>Pub.L</w:t>
      </w:r>
      <w:proofErr w:type="spellEnd"/>
      <w:r w:rsidRPr="000E0BF7">
        <w:rPr>
          <w:rFonts w:ascii="Garamond" w:hAnsi="Garamond"/>
          <w:sz w:val="22"/>
          <w:szCs w:val="22"/>
        </w:rPr>
        <w:t>. No. 105-277, Tit. XI, 112 Stat. 2681-719 (1998).</w:t>
      </w:r>
    </w:p>
  </w:footnote>
  <w:footnote w:id="7">
    <w:p w14:paraId="39B661C6" w14:textId="3617D646" w:rsidR="00665C57" w:rsidRPr="000E0BF7" w:rsidRDefault="00665C57">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w:t>
      </w:r>
      <w:proofErr w:type="spellStart"/>
      <w:r w:rsidRPr="000E0BF7">
        <w:rPr>
          <w:rFonts w:ascii="Garamond" w:hAnsi="Garamond"/>
          <w:sz w:val="22"/>
          <w:szCs w:val="22"/>
        </w:rPr>
        <w:t>Pub.L</w:t>
      </w:r>
      <w:proofErr w:type="spellEnd"/>
      <w:r w:rsidRPr="000E0BF7">
        <w:rPr>
          <w:rFonts w:ascii="Garamond" w:hAnsi="Garamond"/>
          <w:sz w:val="22"/>
          <w:szCs w:val="22"/>
        </w:rPr>
        <w:t xml:space="preserve">. No. 107-75, </w:t>
      </w:r>
      <w:r w:rsidRPr="000E0BF7">
        <w:rPr>
          <w:rFonts w:ascii="Garamond" w:hAnsi="Garamond" w:cstheme="minorHAnsi"/>
          <w:sz w:val="22"/>
          <w:szCs w:val="22"/>
        </w:rPr>
        <w:t xml:space="preserve">§ </w:t>
      </w:r>
      <w:r w:rsidRPr="000E0BF7">
        <w:rPr>
          <w:rFonts w:ascii="Garamond" w:hAnsi="Garamond"/>
          <w:sz w:val="22"/>
          <w:szCs w:val="22"/>
        </w:rPr>
        <w:t xml:space="preserve">2, 115 Stat. 703 (2001); </w:t>
      </w:r>
      <w:proofErr w:type="spellStart"/>
      <w:r w:rsidRPr="000E0BF7">
        <w:rPr>
          <w:rFonts w:ascii="Garamond" w:hAnsi="Garamond"/>
          <w:sz w:val="22"/>
          <w:szCs w:val="22"/>
        </w:rPr>
        <w:t>Pub.L</w:t>
      </w:r>
      <w:proofErr w:type="spellEnd"/>
      <w:r w:rsidRPr="000E0BF7">
        <w:rPr>
          <w:rFonts w:ascii="Garamond" w:hAnsi="Garamond"/>
          <w:sz w:val="22"/>
          <w:szCs w:val="22"/>
        </w:rPr>
        <w:t xml:space="preserve">. No. 108-435, </w:t>
      </w:r>
      <w:r w:rsidRPr="000E0BF7">
        <w:rPr>
          <w:rFonts w:ascii="Garamond" w:hAnsi="Garamond" w:cstheme="minorHAnsi"/>
          <w:sz w:val="22"/>
          <w:szCs w:val="22"/>
        </w:rPr>
        <w:t xml:space="preserve">§§ </w:t>
      </w:r>
      <w:r w:rsidRPr="000E0BF7">
        <w:rPr>
          <w:rFonts w:ascii="Garamond" w:hAnsi="Garamond"/>
          <w:sz w:val="22"/>
          <w:szCs w:val="22"/>
        </w:rPr>
        <w:t xml:space="preserve">2-6A, 118 Stat. 2615-2618 (2004); </w:t>
      </w:r>
      <w:proofErr w:type="spellStart"/>
      <w:r w:rsidRPr="000E0BF7">
        <w:rPr>
          <w:rFonts w:ascii="Garamond" w:hAnsi="Garamond"/>
          <w:sz w:val="22"/>
          <w:szCs w:val="22"/>
        </w:rPr>
        <w:t>Pub.L</w:t>
      </w:r>
      <w:proofErr w:type="spellEnd"/>
      <w:r w:rsidRPr="000E0BF7">
        <w:rPr>
          <w:rFonts w:ascii="Garamond" w:hAnsi="Garamond"/>
          <w:sz w:val="22"/>
          <w:szCs w:val="22"/>
        </w:rPr>
        <w:t xml:space="preserve">. No. 110-108, </w:t>
      </w:r>
      <w:r w:rsidRPr="000E0BF7">
        <w:rPr>
          <w:rFonts w:ascii="Garamond" w:hAnsi="Garamond" w:cstheme="minorHAnsi"/>
          <w:sz w:val="22"/>
          <w:szCs w:val="22"/>
        </w:rPr>
        <w:t xml:space="preserve">§§ </w:t>
      </w:r>
      <w:r w:rsidRPr="000E0BF7">
        <w:rPr>
          <w:rFonts w:ascii="Garamond" w:hAnsi="Garamond"/>
          <w:sz w:val="22"/>
          <w:szCs w:val="22"/>
        </w:rPr>
        <w:t xml:space="preserve">2-6, 121 Stat. 1024-1026 (2007); </w:t>
      </w:r>
      <w:proofErr w:type="spellStart"/>
      <w:r w:rsidRPr="000E0BF7">
        <w:rPr>
          <w:rFonts w:ascii="Garamond" w:hAnsi="Garamond"/>
          <w:sz w:val="22"/>
          <w:szCs w:val="22"/>
        </w:rPr>
        <w:t>Pub.L</w:t>
      </w:r>
      <w:proofErr w:type="spellEnd"/>
      <w:r w:rsidRPr="000E0BF7">
        <w:rPr>
          <w:rFonts w:ascii="Garamond" w:hAnsi="Garamond"/>
          <w:sz w:val="22"/>
          <w:szCs w:val="22"/>
        </w:rPr>
        <w:t xml:space="preserve">. No. 113-235, Tit. VI, </w:t>
      </w:r>
      <w:r w:rsidRPr="000E0BF7">
        <w:rPr>
          <w:rFonts w:ascii="Garamond" w:hAnsi="Garamond" w:cstheme="minorHAnsi"/>
          <w:sz w:val="22"/>
          <w:szCs w:val="22"/>
        </w:rPr>
        <w:t xml:space="preserve">§ </w:t>
      </w:r>
      <w:r w:rsidRPr="000E0BF7">
        <w:rPr>
          <w:rFonts w:ascii="Garamond" w:hAnsi="Garamond"/>
          <w:sz w:val="22"/>
          <w:szCs w:val="22"/>
        </w:rPr>
        <w:t>624, 128 Stat. 2377 (2014).</w:t>
      </w:r>
    </w:p>
  </w:footnote>
  <w:footnote w:id="8">
    <w:p w14:paraId="202CAD1E" w14:textId="57478B7C" w:rsidR="00665C57" w:rsidRPr="000E0BF7" w:rsidRDefault="00665C57">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w:t>
      </w:r>
      <w:proofErr w:type="spellStart"/>
      <w:r w:rsidRPr="000E0BF7">
        <w:rPr>
          <w:rFonts w:ascii="Garamond" w:hAnsi="Garamond"/>
          <w:sz w:val="22"/>
          <w:szCs w:val="22"/>
        </w:rPr>
        <w:t>Pub.L</w:t>
      </w:r>
      <w:proofErr w:type="spellEnd"/>
      <w:r w:rsidRPr="000E0BF7">
        <w:rPr>
          <w:rFonts w:ascii="Garamond" w:hAnsi="Garamond"/>
          <w:sz w:val="22"/>
          <w:szCs w:val="22"/>
        </w:rPr>
        <w:t xml:space="preserve">. No. 114-125, Tit. IX, </w:t>
      </w:r>
      <w:r w:rsidRPr="000E0BF7">
        <w:rPr>
          <w:rFonts w:ascii="Garamond" w:hAnsi="Garamond" w:cstheme="minorHAnsi"/>
          <w:sz w:val="22"/>
          <w:szCs w:val="22"/>
        </w:rPr>
        <w:t xml:space="preserve">§ </w:t>
      </w:r>
      <w:r w:rsidRPr="000E0BF7">
        <w:rPr>
          <w:rFonts w:ascii="Garamond" w:hAnsi="Garamond"/>
          <w:sz w:val="22"/>
          <w:szCs w:val="22"/>
        </w:rPr>
        <w:t>922, 130 Stat. 281 (2016).</w:t>
      </w:r>
    </w:p>
  </w:footnote>
  <w:footnote w:id="9">
    <w:p w14:paraId="13A31303" w14:textId="4F72BA7C" w:rsidR="00DF2723" w:rsidRPr="00997C70" w:rsidRDefault="00DF2723">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w:t>
      </w:r>
      <w:proofErr w:type="spellStart"/>
      <w:r w:rsidR="00997C70" w:rsidRPr="000E0BF7">
        <w:rPr>
          <w:rFonts w:ascii="Garamond" w:hAnsi="Garamond"/>
          <w:sz w:val="22"/>
          <w:szCs w:val="22"/>
        </w:rPr>
        <w:t>Pub.L</w:t>
      </w:r>
      <w:proofErr w:type="spellEnd"/>
      <w:r w:rsidR="00997C70" w:rsidRPr="000E0BF7">
        <w:rPr>
          <w:rFonts w:ascii="Garamond" w:hAnsi="Garamond"/>
          <w:sz w:val="22"/>
          <w:szCs w:val="22"/>
        </w:rPr>
        <w:t xml:space="preserve">. No. 114-125, Tit. IX, </w:t>
      </w:r>
      <w:r w:rsidR="00997C70" w:rsidRPr="000E0BF7">
        <w:rPr>
          <w:rFonts w:ascii="Garamond" w:hAnsi="Garamond" w:cstheme="minorHAnsi"/>
          <w:sz w:val="22"/>
          <w:szCs w:val="22"/>
        </w:rPr>
        <w:t xml:space="preserve">§ </w:t>
      </w:r>
      <w:r w:rsidR="00997C70" w:rsidRPr="000E0BF7">
        <w:rPr>
          <w:rFonts w:ascii="Garamond" w:hAnsi="Garamond"/>
          <w:sz w:val="22"/>
          <w:szCs w:val="22"/>
        </w:rPr>
        <w:t>922, 130 Stat. 281 (2016).</w:t>
      </w:r>
    </w:p>
  </w:footnote>
  <w:footnote w:id="10">
    <w:p w14:paraId="3FC346EE" w14:textId="743F7099" w:rsidR="003D7B60" w:rsidRDefault="003D7B60" w:rsidP="003D7B60">
      <w:pPr>
        <w:pStyle w:val="FootnoteText"/>
      </w:pPr>
      <w:r w:rsidRPr="005971B7">
        <w:rPr>
          <w:rStyle w:val="FootnoteReference"/>
          <w:rFonts w:ascii="Garamond" w:hAnsi="Garamond"/>
          <w:sz w:val="22"/>
          <w:szCs w:val="22"/>
        </w:rPr>
        <w:footnoteRef/>
      </w:r>
      <w:r w:rsidRPr="005971B7">
        <w:rPr>
          <w:rFonts w:ascii="Garamond" w:hAnsi="Garamond"/>
          <w:sz w:val="22"/>
          <w:szCs w:val="22"/>
        </w:rPr>
        <w:t xml:space="preserve"> </w:t>
      </w:r>
      <w:r w:rsidRPr="005971B7">
        <w:rPr>
          <w:rFonts w:ascii="Garamond" w:hAnsi="Garamond"/>
          <w:i/>
          <w:iCs/>
          <w:sz w:val="22"/>
          <w:szCs w:val="22"/>
        </w:rPr>
        <w:t>See e.g.</w:t>
      </w:r>
      <w:r w:rsidRPr="005971B7">
        <w:rPr>
          <w:rFonts w:ascii="Garamond" w:hAnsi="Garamond"/>
          <w:sz w:val="22"/>
          <w:szCs w:val="22"/>
        </w:rPr>
        <w:t xml:space="preserve">, Walter Hellerstein and Andrew Appleby, </w:t>
      </w:r>
      <w:r w:rsidRPr="005971B7">
        <w:rPr>
          <w:rFonts w:ascii="Garamond" w:hAnsi="Garamond"/>
          <w:i/>
          <w:iCs/>
          <w:sz w:val="22"/>
          <w:szCs w:val="22"/>
        </w:rPr>
        <w:t>The Internet Tax Freedom Act at 25</w:t>
      </w:r>
      <w:r w:rsidRPr="005971B7">
        <w:rPr>
          <w:rFonts w:ascii="Garamond" w:hAnsi="Garamond"/>
          <w:sz w:val="22"/>
          <w:szCs w:val="22"/>
        </w:rPr>
        <w:t>, 107 State Tax Notes 7, 20 (2023) (discussing whether the original goals behind ITFA have been achieved)</w:t>
      </w:r>
      <w:r w:rsidR="005971B7" w:rsidRPr="005971B7">
        <w:rPr>
          <w:rFonts w:ascii="Garamond" w:hAnsi="Garamond"/>
          <w:sz w:val="22"/>
          <w:szCs w:val="22"/>
        </w:rPr>
        <w:t xml:space="preserve">; </w:t>
      </w:r>
      <w:r w:rsidRPr="005971B7">
        <w:rPr>
          <w:rFonts w:ascii="Garamond" w:hAnsi="Garamond"/>
          <w:i/>
          <w:iCs/>
          <w:sz w:val="22"/>
          <w:szCs w:val="22"/>
        </w:rPr>
        <w:t>but see</w:t>
      </w:r>
      <w:r w:rsidRPr="005971B7">
        <w:rPr>
          <w:rFonts w:ascii="Garamond" w:hAnsi="Garamond"/>
          <w:sz w:val="22"/>
          <w:szCs w:val="22"/>
        </w:rPr>
        <w:t xml:space="preserve"> Maria M. Todorova et al., </w:t>
      </w:r>
      <w:r w:rsidRPr="005971B7">
        <w:rPr>
          <w:rFonts w:ascii="Garamond" w:hAnsi="Garamond"/>
          <w:i/>
          <w:iCs/>
          <w:sz w:val="22"/>
          <w:szCs w:val="22"/>
        </w:rPr>
        <w:t>ITFA: A Federal Shield in an Expanding Digital Economy</w:t>
      </w:r>
      <w:r w:rsidRPr="005971B7">
        <w:rPr>
          <w:rFonts w:ascii="Garamond" w:hAnsi="Garamond"/>
          <w:sz w:val="22"/>
          <w:szCs w:val="22"/>
        </w:rPr>
        <w:t>, 118 Tax Notes State 557 (2025) (discussing ITFA’s relevance in the modern economy).</w:t>
      </w:r>
    </w:p>
  </w:footnote>
  <w:footnote w:id="11">
    <w:p w14:paraId="53375159" w14:textId="1A90A660" w:rsidR="00636A5F" w:rsidRPr="00636A5F" w:rsidRDefault="00636A5F">
      <w:pPr>
        <w:pStyle w:val="FootnoteText"/>
        <w:rPr>
          <w:rFonts w:ascii="Garamond" w:hAnsi="Garamond"/>
          <w:sz w:val="22"/>
          <w:szCs w:val="22"/>
        </w:rPr>
      </w:pPr>
      <w:r w:rsidRPr="00636A5F">
        <w:rPr>
          <w:rStyle w:val="FootnoteReference"/>
          <w:rFonts w:ascii="Garamond" w:hAnsi="Garamond"/>
          <w:sz w:val="22"/>
          <w:szCs w:val="22"/>
        </w:rPr>
        <w:footnoteRef/>
      </w:r>
      <w:r w:rsidRPr="00636A5F">
        <w:rPr>
          <w:rFonts w:ascii="Garamond" w:hAnsi="Garamond"/>
          <w:sz w:val="22"/>
          <w:szCs w:val="22"/>
        </w:rPr>
        <w:t xml:space="preserve"> 47 U.S.C. </w:t>
      </w:r>
      <w:r w:rsidRPr="00636A5F">
        <w:rPr>
          <w:rFonts w:ascii="Garamond" w:hAnsi="Garamond" w:cstheme="minorHAnsi"/>
          <w:sz w:val="22"/>
          <w:szCs w:val="22"/>
        </w:rPr>
        <w:t xml:space="preserve">§ </w:t>
      </w:r>
      <w:r w:rsidRPr="00636A5F">
        <w:rPr>
          <w:rFonts w:ascii="Garamond" w:hAnsi="Garamond"/>
          <w:sz w:val="22"/>
          <w:szCs w:val="22"/>
        </w:rPr>
        <w:t xml:space="preserve">151, note </w:t>
      </w:r>
      <w:r w:rsidRPr="00636A5F">
        <w:rPr>
          <w:rFonts w:ascii="Garamond" w:hAnsi="Garamond" w:cstheme="minorHAnsi"/>
          <w:sz w:val="22"/>
          <w:szCs w:val="22"/>
        </w:rPr>
        <w:t xml:space="preserve">§ </w:t>
      </w:r>
      <w:r w:rsidRPr="00636A5F">
        <w:rPr>
          <w:rFonts w:ascii="Garamond" w:hAnsi="Garamond"/>
          <w:sz w:val="22"/>
          <w:szCs w:val="22"/>
        </w:rPr>
        <w:t>1105(2)(A)</w:t>
      </w:r>
      <w:r>
        <w:rPr>
          <w:rFonts w:ascii="Garamond" w:hAnsi="Garamond"/>
          <w:sz w:val="22"/>
          <w:szCs w:val="22"/>
        </w:rPr>
        <w:t xml:space="preserve"> (</w:t>
      </w:r>
      <w:r w:rsidRPr="00636A5F">
        <w:rPr>
          <w:rFonts w:ascii="Garamond" w:hAnsi="Garamond"/>
          <w:sz w:val="22"/>
          <w:szCs w:val="22"/>
        </w:rPr>
        <w:t xml:space="preserve">47 U.S.C. </w:t>
      </w:r>
      <w:r w:rsidRPr="00636A5F">
        <w:rPr>
          <w:rFonts w:ascii="Garamond" w:hAnsi="Garamond" w:cstheme="minorHAnsi"/>
          <w:sz w:val="22"/>
          <w:szCs w:val="22"/>
        </w:rPr>
        <w:t xml:space="preserve">§ </w:t>
      </w:r>
      <w:r w:rsidRPr="00636A5F">
        <w:rPr>
          <w:rFonts w:ascii="Garamond" w:hAnsi="Garamond"/>
          <w:sz w:val="22"/>
          <w:szCs w:val="22"/>
        </w:rPr>
        <w:t xml:space="preserve">151, note </w:t>
      </w:r>
      <w:r w:rsidRPr="00636A5F">
        <w:rPr>
          <w:rFonts w:ascii="Garamond" w:hAnsi="Garamond" w:cstheme="minorHAnsi"/>
          <w:sz w:val="22"/>
          <w:szCs w:val="22"/>
        </w:rPr>
        <w:t xml:space="preserve">§ </w:t>
      </w:r>
      <w:r w:rsidRPr="00636A5F">
        <w:rPr>
          <w:rFonts w:ascii="Garamond" w:hAnsi="Garamond"/>
          <w:sz w:val="22"/>
          <w:szCs w:val="22"/>
        </w:rPr>
        <w:t>1105(2)</w:t>
      </w:r>
      <w:r>
        <w:rPr>
          <w:rFonts w:ascii="Garamond" w:hAnsi="Garamond"/>
          <w:sz w:val="22"/>
          <w:szCs w:val="22"/>
        </w:rPr>
        <w:t xml:space="preserve">(B) </w:t>
      </w:r>
      <w:r w:rsidR="0031371C">
        <w:rPr>
          <w:rFonts w:ascii="Garamond" w:hAnsi="Garamond"/>
          <w:sz w:val="22"/>
          <w:szCs w:val="22"/>
        </w:rPr>
        <w:t>deems a list of</w:t>
      </w:r>
      <w:r>
        <w:rPr>
          <w:rFonts w:ascii="Garamond" w:hAnsi="Garamond"/>
          <w:sz w:val="22"/>
          <w:szCs w:val="22"/>
        </w:rPr>
        <w:t xml:space="preserve"> </w:t>
      </w:r>
      <w:r w:rsidR="0031371C">
        <w:rPr>
          <w:rFonts w:ascii="Garamond" w:hAnsi="Garamond"/>
          <w:sz w:val="22"/>
          <w:szCs w:val="22"/>
        </w:rPr>
        <w:t>practices</w:t>
      </w:r>
      <w:r>
        <w:rPr>
          <w:rFonts w:ascii="Garamond" w:hAnsi="Garamond"/>
          <w:sz w:val="22"/>
          <w:szCs w:val="22"/>
        </w:rPr>
        <w:t xml:space="preserve"> </w:t>
      </w:r>
      <w:r w:rsidR="0031371C">
        <w:rPr>
          <w:rFonts w:ascii="Garamond" w:hAnsi="Garamond"/>
          <w:sz w:val="22"/>
          <w:szCs w:val="22"/>
        </w:rPr>
        <w:t xml:space="preserve">related to nexus creation </w:t>
      </w:r>
      <w:r>
        <w:rPr>
          <w:rFonts w:ascii="Garamond" w:hAnsi="Garamond"/>
          <w:sz w:val="22"/>
          <w:szCs w:val="22"/>
        </w:rPr>
        <w:t xml:space="preserve">to be discriminatory but </w:t>
      </w:r>
      <w:r w:rsidR="0031371C">
        <w:rPr>
          <w:rFonts w:ascii="Garamond" w:hAnsi="Garamond"/>
          <w:sz w:val="22"/>
          <w:szCs w:val="22"/>
        </w:rPr>
        <w:t xml:space="preserve">the provision is </w:t>
      </w:r>
      <w:r>
        <w:rPr>
          <w:rFonts w:ascii="Garamond" w:hAnsi="Garamond"/>
          <w:sz w:val="22"/>
          <w:szCs w:val="22"/>
        </w:rPr>
        <w:t>of limited relevance to this Whitepaper).</w:t>
      </w:r>
    </w:p>
  </w:footnote>
  <w:footnote w:id="12">
    <w:p w14:paraId="51139D1A" w14:textId="7A16F339" w:rsidR="00636A5F" w:rsidRPr="00636A5F" w:rsidRDefault="00636A5F">
      <w:pPr>
        <w:pStyle w:val="FootnoteText"/>
        <w:rPr>
          <w:rFonts w:ascii="Garamond" w:hAnsi="Garamond"/>
          <w:sz w:val="22"/>
          <w:szCs w:val="22"/>
        </w:rPr>
      </w:pPr>
      <w:r w:rsidRPr="00636A5F">
        <w:rPr>
          <w:rStyle w:val="FootnoteReference"/>
          <w:rFonts w:ascii="Garamond" w:hAnsi="Garamond"/>
          <w:sz w:val="22"/>
          <w:szCs w:val="22"/>
        </w:rPr>
        <w:footnoteRef/>
      </w:r>
      <w:r w:rsidRPr="00636A5F">
        <w:rPr>
          <w:rFonts w:ascii="Garamond" w:hAnsi="Garamond"/>
          <w:sz w:val="22"/>
          <w:szCs w:val="22"/>
        </w:rPr>
        <w:t xml:space="preserve"> 47 U.S.C. </w:t>
      </w:r>
      <w:r w:rsidRPr="00636A5F">
        <w:rPr>
          <w:rFonts w:ascii="Garamond" w:hAnsi="Garamond" w:cstheme="minorHAnsi"/>
          <w:sz w:val="22"/>
          <w:szCs w:val="22"/>
        </w:rPr>
        <w:t xml:space="preserve">§ </w:t>
      </w:r>
      <w:r w:rsidRPr="00636A5F">
        <w:rPr>
          <w:rFonts w:ascii="Garamond" w:hAnsi="Garamond"/>
          <w:sz w:val="22"/>
          <w:szCs w:val="22"/>
        </w:rPr>
        <w:t xml:space="preserve">151, note </w:t>
      </w:r>
      <w:r w:rsidRPr="00636A5F">
        <w:rPr>
          <w:rFonts w:ascii="Garamond" w:hAnsi="Garamond" w:cstheme="minorHAnsi"/>
          <w:sz w:val="22"/>
          <w:szCs w:val="22"/>
        </w:rPr>
        <w:t xml:space="preserve">§ </w:t>
      </w:r>
      <w:r w:rsidRPr="00636A5F">
        <w:rPr>
          <w:rFonts w:ascii="Garamond" w:hAnsi="Garamond"/>
          <w:sz w:val="22"/>
          <w:szCs w:val="22"/>
        </w:rPr>
        <w:t>1105(3).</w:t>
      </w:r>
    </w:p>
  </w:footnote>
  <w:footnote w:id="13">
    <w:p w14:paraId="0A4086EA" w14:textId="6E15ADEB" w:rsidR="00636A5F" w:rsidRPr="00636A5F" w:rsidRDefault="00636A5F">
      <w:pPr>
        <w:pStyle w:val="FootnoteText"/>
        <w:rPr>
          <w:rFonts w:ascii="Garamond" w:hAnsi="Garamond"/>
          <w:sz w:val="22"/>
          <w:szCs w:val="22"/>
        </w:rPr>
      </w:pPr>
      <w:r w:rsidRPr="00636A5F">
        <w:rPr>
          <w:rStyle w:val="FootnoteReference"/>
          <w:rFonts w:ascii="Garamond" w:hAnsi="Garamond"/>
          <w:sz w:val="22"/>
          <w:szCs w:val="22"/>
        </w:rPr>
        <w:footnoteRef/>
      </w:r>
      <w:r w:rsidRPr="00636A5F">
        <w:rPr>
          <w:rFonts w:ascii="Garamond" w:hAnsi="Garamond"/>
          <w:sz w:val="22"/>
          <w:szCs w:val="22"/>
        </w:rPr>
        <w:t xml:space="preserve"> 47 U.S.C. </w:t>
      </w:r>
      <w:r w:rsidRPr="00636A5F">
        <w:rPr>
          <w:rFonts w:ascii="Garamond" w:hAnsi="Garamond" w:cstheme="minorHAnsi"/>
          <w:sz w:val="22"/>
          <w:szCs w:val="22"/>
        </w:rPr>
        <w:t xml:space="preserve">§ </w:t>
      </w:r>
      <w:r w:rsidRPr="00636A5F">
        <w:rPr>
          <w:rFonts w:ascii="Garamond" w:hAnsi="Garamond"/>
          <w:sz w:val="22"/>
          <w:szCs w:val="22"/>
        </w:rPr>
        <w:t xml:space="preserve">151, note </w:t>
      </w:r>
      <w:r w:rsidRPr="00636A5F">
        <w:rPr>
          <w:rFonts w:ascii="Garamond" w:hAnsi="Garamond" w:cstheme="minorHAnsi"/>
          <w:sz w:val="22"/>
          <w:szCs w:val="22"/>
        </w:rPr>
        <w:t>§</w:t>
      </w:r>
      <w:r w:rsidRPr="00636A5F">
        <w:rPr>
          <w:rFonts w:ascii="Garamond" w:hAnsi="Garamond"/>
          <w:sz w:val="22"/>
          <w:szCs w:val="22"/>
        </w:rPr>
        <w:t xml:space="preserve"> 1105(8).</w:t>
      </w:r>
    </w:p>
  </w:footnote>
  <w:footnote w:id="14">
    <w:p w14:paraId="0D6A3278" w14:textId="37DB4109" w:rsidR="004919AD" w:rsidRPr="00636A5F" w:rsidRDefault="004919AD">
      <w:pPr>
        <w:pStyle w:val="FootnoteText"/>
        <w:rPr>
          <w:rFonts w:ascii="Garamond" w:hAnsi="Garamond"/>
          <w:sz w:val="22"/>
          <w:szCs w:val="22"/>
        </w:rPr>
      </w:pPr>
      <w:r w:rsidRPr="00636A5F">
        <w:rPr>
          <w:rStyle w:val="FootnoteReference"/>
          <w:rFonts w:ascii="Garamond" w:hAnsi="Garamond"/>
          <w:sz w:val="22"/>
          <w:szCs w:val="22"/>
        </w:rPr>
        <w:footnoteRef/>
      </w:r>
      <w:r w:rsidRPr="00636A5F">
        <w:rPr>
          <w:rFonts w:ascii="Garamond" w:hAnsi="Garamond"/>
          <w:sz w:val="22"/>
          <w:szCs w:val="22"/>
        </w:rPr>
        <w:t xml:space="preserve"> For an example of a discrimination provision that does, see S. 765, 116th Cong. (2019) (the proposed Digital Goods and Services Tax Fairness Act, providing an example of what a general discrimination provision protect</w:t>
      </w:r>
      <w:r w:rsidR="00DC44A4" w:rsidRPr="00636A5F">
        <w:rPr>
          <w:rFonts w:ascii="Garamond" w:hAnsi="Garamond"/>
          <w:sz w:val="22"/>
          <w:szCs w:val="22"/>
        </w:rPr>
        <w:t>ing</w:t>
      </w:r>
      <w:r w:rsidRPr="00636A5F">
        <w:rPr>
          <w:rFonts w:ascii="Garamond" w:hAnsi="Garamond"/>
          <w:sz w:val="22"/>
          <w:szCs w:val="22"/>
        </w:rPr>
        <w:t xml:space="preserve"> digital goods, as such).</w:t>
      </w:r>
    </w:p>
  </w:footnote>
  <w:footnote w:id="15">
    <w:p w14:paraId="27B21200" w14:textId="1848B078" w:rsidR="001F002B" w:rsidRPr="00636A5F" w:rsidRDefault="001F002B">
      <w:pPr>
        <w:pStyle w:val="FootnoteText"/>
        <w:rPr>
          <w:rFonts w:ascii="Garamond" w:hAnsi="Garamond"/>
          <w:sz w:val="22"/>
          <w:szCs w:val="22"/>
        </w:rPr>
      </w:pPr>
      <w:r w:rsidRPr="00636A5F">
        <w:rPr>
          <w:rStyle w:val="FootnoteReference"/>
          <w:rFonts w:ascii="Garamond" w:hAnsi="Garamond"/>
          <w:sz w:val="22"/>
          <w:szCs w:val="22"/>
        </w:rPr>
        <w:footnoteRef/>
      </w:r>
      <w:r w:rsidRPr="00636A5F">
        <w:rPr>
          <w:rFonts w:ascii="Garamond" w:hAnsi="Garamond"/>
          <w:sz w:val="22"/>
          <w:szCs w:val="22"/>
        </w:rPr>
        <w:t xml:space="preserve"> </w:t>
      </w:r>
      <w:r w:rsidRPr="00345632">
        <w:rPr>
          <w:rFonts w:ascii="Garamond" w:hAnsi="Garamond"/>
          <w:i/>
          <w:iCs/>
          <w:sz w:val="22"/>
          <w:szCs w:val="22"/>
        </w:rPr>
        <w:t>ADP, LLC v. Arizona Department of Revenue</w:t>
      </w:r>
      <w:r w:rsidRPr="00636A5F">
        <w:rPr>
          <w:rFonts w:ascii="Garamond" w:hAnsi="Garamond"/>
          <w:sz w:val="22"/>
          <w:szCs w:val="22"/>
        </w:rPr>
        <w:t xml:space="preserve">, </w:t>
      </w:r>
      <w:r w:rsidR="000930E5">
        <w:rPr>
          <w:rFonts w:ascii="Garamond" w:hAnsi="Garamond"/>
          <w:sz w:val="22"/>
          <w:szCs w:val="22"/>
        </w:rPr>
        <w:t>524 P.3d 278, 286</w:t>
      </w:r>
      <w:r w:rsidR="000930E5" w:rsidRPr="00636A5F">
        <w:rPr>
          <w:rFonts w:ascii="Garamond" w:hAnsi="Garamond"/>
          <w:sz w:val="22"/>
          <w:szCs w:val="22"/>
        </w:rPr>
        <w:t xml:space="preserve"> </w:t>
      </w:r>
      <w:r w:rsidRPr="00636A5F">
        <w:rPr>
          <w:rFonts w:ascii="Garamond" w:hAnsi="Garamond"/>
          <w:sz w:val="22"/>
          <w:szCs w:val="22"/>
        </w:rPr>
        <w:t>(</w:t>
      </w:r>
      <w:r w:rsidR="000930E5">
        <w:rPr>
          <w:rFonts w:ascii="Garamond" w:hAnsi="Garamond"/>
          <w:sz w:val="22"/>
          <w:szCs w:val="22"/>
        </w:rPr>
        <w:t>Ct. App.</w:t>
      </w:r>
      <w:r w:rsidRPr="00636A5F">
        <w:rPr>
          <w:rFonts w:ascii="Garamond" w:hAnsi="Garamond"/>
          <w:sz w:val="22"/>
          <w:szCs w:val="22"/>
        </w:rPr>
        <w:t xml:space="preserve"> 2023).</w:t>
      </w:r>
    </w:p>
  </w:footnote>
  <w:footnote w:id="16">
    <w:p w14:paraId="787C1E75" w14:textId="6B38D398" w:rsidR="001F002B" w:rsidRPr="00636A5F" w:rsidRDefault="001F002B">
      <w:pPr>
        <w:pStyle w:val="FootnoteText"/>
        <w:rPr>
          <w:rFonts w:ascii="Garamond" w:hAnsi="Garamond"/>
          <w:sz w:val="22"/>
          <w:szCs w:val="22"/>
        </w:rPr>
      </w:pPr>
      <w:r w:rsidRPr="00636A5F">
        <w:rPr>
          <w:rStyle w:val="FootnoteReference"/>
          <w:rFonts w:ascii="Garamond" w:hAnsi="Garamond"/>
          <w:sz w:val="22"/>
          <w:szCs w:val="22"/>
        </w:rPr>
        <w:footnoteRef/>
      </w:r>
      <w:r w:rsidRPr="00636A5F">
        <w:rPr>
          <w:rFonts w:ascii="Garamond" w:hAnsi="Garamond"/>
          <w:sz w:val="22"/>
          <w:szCs w:val="22"/>
        </w:rPr>
        <w:t xml:space="preserve"> </w:t>
      </w:r>
      <w:r w:rsidRPr="00345632">
        <w:rPr>
          <w:rFonts w:ascii="Garamond" w:hAnsi="Garamond"/>
          <w:i/>
          <w:iCs/>
          <w:sz w:val="22"/>
          <w:szCs w:val="22"/>
        </w:rPr>
        <w:t>ADP, LLC v. Arizona Department of Revenue</w:t>
      </w:r>
      <w:r w:rsidRPr="00636A5F">
        <w:rPr>
          <w:rFonts w:ascii="Garamond" w:hAnsi="Garamond"/>
          <w:sz w:val="22"/>
          <w:szCs w:val="22"/>
        </w:rPr>
        <w:t xml:space="preserve">, </w:t>
      </w:r>
      <w:r w:rsidR="000930E5">
        <w:rPr>
          <w:rFonts w:ascii="Garamond" w:hAnsi="Garamond"/>
          <w:sz w:val="22"/>
          <w:szCs w:val="22"/>
        </w:rPr>
        <w:t>524 P.3d 278, 286</w:t>
      </w:r>
      <w:r w:rsidR="000930E5" w:rsidRPr="00636A5F">
        <w:rPr>
          <w:rFonts w:ascii="Garamond" w:hAnsi="Garamond"/>
          <w:sz w:val="22"/>
          <w:szCs w:val="22"/>
        </w:rPr>
        <w:t xml:space="preserve"> (</w:t>
      </w:r>
      <w:r w:rsidR="000930E5">
        <w:rPr>
          <w:rFonts w:ascii="Garamond" w:hAnsi="Garamond"/>
          <w:sz w:val="22"/>
          <w:szCs w:val="22"/>
        </w:rPr>
        <w:t>Ct. App.</w:t>
      </w:r>
      <w:r w:rsidR="000930E5" w:rsidRPr="00636A5F">
        <w:rPr>
          <w:rFonts w:ascii="Garamond" w:hAnsi="Garamond"/>
          <w:sz w:val="22"/>
          <w:szCs w:val="22"/>
        </w:rPr>
        <w:t xml:space="preserve"> 2023).</w:t>
      </w:r>
    </w:p>
  </w:footnote>
  <w:footnote w:id="17">
    <w:p w14:paraId="38A6E844" w14:textId="56A93B61" w:rsidR="001F002B" w:rsidRPr="00636A5F" w:rsidRDefault="001F002B">
      <w:pPr>
        <w:pStyle w:val="FootnoteText"/>
        <w:rPr>
          <w:rFonts w:ascii="Garamond" w:hAnsi="Garamond"/>
          <w:sz w:val="22"/>
          <w:szCs w:val="22"/>
        </w:rPr>
      </w:pPr>
      <w:r w:rsidRPr="00636A5F">
        <w:rPr>
          <w:rStyle w:val="FootnoteReference"/>
          <w:rFonts w:ascii="Garamond" w:hAnsi="Garamond"/>
          <w:sz w:val="22"/>
          <w:szCs w:val="22"/>
        </w:rPr>
        <w:footnoteRef/>
      </w:r>
      <w:r w:rsidRPr="00636A5F">
        <w:rPr>
          <w:rFonts w:ascii="Garamond" w:hAnsi="Garamond"/>
          <w:sz w:val="22"/>
          <w:szCs w:val="22"/>
        </w:rPr>
        <w:t xml:space="preserve"> </w:t>
      </w:r>
      <w:r w:rsidRPr="00345632">
        <w:rPr>
          <w:rFonts w:ascii="Garamond" w:hAnsi="Garamond"/>
          <w:i/>
          <w:iCs/>
          <w:sz w:val="22"/>
          <w:szCs w:val="22"/>
        </w:rPr>
        <w:t>ADP, LLC v. Arizona Department of Revenue</w:t>
      </w:r>
      <w:r w:rsidRPr="00636A5F">
        <w:rPr>
          <w:rFonts w:ascii="Garamond" w:hAnsi="Garamond"/>
          <w:sz w:val="22"/>
          <w:szCs w:val="22"/>
        </w:rPr>
        <w:t xml:space="preserve">, </w:t>
      </w:r>
      <w:r w:rsidR="000930E5">
        <w:rPr>
          <w:rFonts w:ascii="Garamond" w:hAnsi="Garamond"/>
          <w:sz w:val="22"/>
          <w:szCs w:val="22"/>
        </w:rPr>
        <w:t>524 P.3d 278, 286</w:t>
      </w:r>
      <w:r w:rsidR="000930E5" w:rsidRPr="00636A5F">
        <w:rPr>
          <w:rFonts w:ascii="Garamond" w:hAnsi="Garamond"/>
          <w:sz w:val="22"/>
          <w:szCs w:val="22"/>
        </w:rPr>
        <w:t xml:space="preserve"> (</w:t>
      </w:r>
      <w:r w:rsidR="000930E5">
        <w:rPr>
          <w:rFonts w:ascii="Garamond" w:hAnsi="Garamond"/>
          <w:sz w:val="22"/>
          <w:szCs w:val="22"/>
        </w:rPr>
        <w:t>Ct. App.</w:t>
      </w:r>
      <w:r w:rsidR="000930E5" w:rsidRPr="00636A5F">
        <w:rPr>
          <w:rFonts w:ascii="Garamond" w:hAnsi="Garamond"/>
          <w:sz w:val="22"/>
          <w:szCs w:val="22"/>
        </w:rPr>
        <w:t xml:space="preserve"> 2023).</w:t>
      </w:r>
    </w:p>
  </w:footnote>
  <w:footnote w:id="18">
    <w:p w14:paraId="6FD22E07" w14:textId="1E2BBE34" w:rsidR="00154376" w:rsidRPr="00D37A54" w:rsidRDefault="00154376">
      <w:pPr>
        <w:pStyle w:val="FootnoteText"/>
        <w:rPr>
          <w:rFonts w:ascii="Garamond" w:hAnsi="Garamond"/>
          <w:sz w:val="22"/>
          <w:szCs w:val="22"/>
        </w:rPr>
      </w:pPr>
      <w:r w:rsidRPr="00D37A54">
        <w:rPr>
          <w:rStyle w:val="FootnoteReference"/>
          <w:rFonts w:ascii="Garamond" w:hAnsi="Garamond"/>
          <w:sz w:val="22"/>
          <w:szCs w:val="22"/>
        </w:rPr>
        <w:footnoteRef/>
      </w:r>
      <w:r w:rsidRPr="00D37A54">
        <w:rPr>
          <w:rFonts w:ascii="Garamond" w:hAnsi="Garamond"/>
          <w:sz w:val="22"/>
          <w:szCs w:val="22"/>
        </w:rPr>
        <w:t xml:space="preserve"> 47 U.S.C. </w:t>
      </w:r>
      <w:r w:rsidRPr="00D37A54">
        <w:rPr>
          <w:rFonts w:ascii="Garamond" w:hAnsi="Garamond" w:cstheme="minorHAnsi"/>
          <w:sz w:val="22"/>
          <w:szCs w:val="22"/>
        </w:rPr>
        <w:t xml:space="preserve">§ </w:t>
      </w:r>
      <w:r w:rsidRPr="00D37A54">
        <w:rPr>
          <w:rFonts w:ascii="Garamond" w:hAnsi="Garamond"/>
          <w:sz w:val="22"/>
          <w:szCs w:val="22"/>
        </w:rPr>
        <w:t xml:space="preserve">151, note </w:t>
      </w:r>
      <w:r w:rsidRPr="00D37A54">
        <w:rPr>
          <w:rFonts w:ascii="Garamond" w:hAnsi="Garamond" w:cstheme="minorHAnsi"/>
          <w:sz w:val="22"/>
          <w:szCs w:val="22"/>
        </w:rPr>
        <w:t>§</w:t>
      </w:r>
      <w:r w:rsidRPr="00D37A54">
        <w:rPr>
          <w:rFonts w:ascii="Garamond" w:hAnsi="Garamond"/>
          <w:sz w:val="22"/>
          <w:szCs w:val="22"/>
        </w:rPr>
        <w:t xml:space="preserve"> 1105(</w:t>
      </w:r>
      <w:r w:rsidR="00D37A54" w:rsidRPr="00D37A54">
        <w:rPr>
          <w:rFonts w:ascii="Garamond" w:hAnsi="Garamond"/>
          <w:sz w:val="22"/>
          <w:szCs w:val="22"/>
        </w:rPr>
        <w:t>10</w:t>
      </w:r>
      <w:r w:rsidRPr="00D37A54">
        <w:rPr>
          <w:rFonts w:ascii="Garamond" w:hAnsi="Garamond"/>
          <w:sz w:val="22"/>
          <w:szCs w:val="22"/>
        </w:rPr>
        <w:t>).</w:t>
      </w:r>
    </w:p>
  </w:footnote>
  <w:footnote w:id="19">
    <w:p w14:paraId="4A6DA474" w14:textId="48D8F947" w:rsidR="008E5F95" w:rsidRPr="005971B7" w:rsidRDefault="008E5F95">
      <w:pPr>
        <w:pStyle w:val="FootnoteText"/>
        <w:rPr>
          <w:rFonts w:ascii="Garamond" w:hAnsi="Garamond"/>
          <w:sz w:val="22"/>
          <w:szCs w:val="22"/>
        </w:rPr>
      </w:pPr>
      <w:r w:rsidRPr="005971B7">
        <w:rPr>
          <w:rStyle w:val="FootnoteReference"/>
          <w:rFonts w:ascii="Garamond" w:hAnsi="Garamond"/>
          <w:sz w:val="22"/>
          <w:szCs w:val="22"/>
        </w:rPr>
        <w:footnoteRef/>
      </w:r>
      <w:r w:rsidR="00C17E97" w:rsidRPr="005971B7">
        <w:rPr>
          <w:rFonts w:ascii="Garamond" w:hAnsi="Garamond"/>
          <w:sz w:val="22"/>
          <w:szCs w:val="22"/>
        </w:rPr>
        <w:t xml:space="preserve"> </w:t>
      </w:r>
      <w:r w:rsidR="00D37A54" w:rsidRPr="00D37A54">
        <w:rPr>
          <w:rFonts w:ascii="Garamond" w:hAnsi="Garamond"/>
          <w:i/>
          <w:iCs/>
          <w:sz w:val="22"/>
          <w:szCs w:val="22"/>
        </w:rPr>
        <w:t>But see</w:t>
      </w:r>
      <w:r w:rsidR="00D37A54">
        <w:rPr>
          <w:rFonts w:ascii="Garamond" w:hAnsi="Garamond"/>
          <w:sz w:val="22"/>
          <w:szCs w:val="22"/>
        </w:rPr>
        <w:t xml:space="preserve"> </w:t>
      </w:r>
      <w:proofErr w:type="spellStart"/>
      <w:r w:rsidR="00626B37" w:rsidRPr="00345632">
        <w:rPr>
          <w:rFonts w:ascii="Garamond" w:hAnsi="Garamond"/>
          <w:i/>
          <w:iCs/>
          <w:sz w:val="22"/>
          <w:szCs w:val="22"/>
        </w:rPr>
        <w:t>Coxcom</w:t>
      </w:r>
      <w:proofErr w:type="spellEnd"/>
      <w:r w:rsidR="00626B37" w:rsidRPr="00345632">
        <w:rPr>
          <w:rFonts w:ascii="Garamond" w:hAnsi="Garamond"/>
          <w:i/>
          <w:iCs/>
          <w:sz w:val="22"/>
          <w:szCs w:val="22"/>
        </w:rPr>
        <w:t>, LLC v. Fairfax County</w:t>
      </w:r>
      <w:r w:rsidR="00626B37" w:rsidRPr="005971B7">
        <w:rPr>
          <w:rFonts w:ascii="Garamond" w:hAnsi="Garamond"/>
          <w:sz w:val="22"/>
          <w:szCs w:val="22"/>
        </w:rPr>
        <w:t xml:space="preserve">, 875 S.E.2d 75 (2022) </w:t>
      </w:r>
      <w:r w:rsidR="00C17E97" w:rsidRPr="005971B7">
        <w:rPr>
          <w:rFonts w:ascii="Garamond" w:hAnsi="Garamond"/>
          <w:sz w:val="22"/>
          <w:szCs w:val="22"/>
        </w:rPr>
        <w:t>(</w:t>
      </w:r>
      <w:r w:rsidR="00626B37" w:rsidRPr="005971B7">
        <w:rPr>
          <w:rFonts w:ascii="Garamond" w:hAnsi="Garamond"/>
          <w:sz w:val="22"/>
          <w:szCs w:val="22"/>
        </w:rPr>
        <w:t xml:space="preserve">holding Virginia’s Business, Professional and Occupational License Tax, a type of </w:t>
      </w:r>
      <w:r w:rsidR="00C17E97" w:rsidRPr="005971B7">
        <w:rPr>
          <w:rFonts w:ascii="Garamond" w:hAnsi="Garamond"/>
          <w:sz w:val="22"/>
          <w:szCs w:val="22"/>
        </w:rPr>
        <w:t>g</w:t>
      </w:r>
      <w:r w:rsidR="00B07EDC" w:rsidRPr="005971B7">
        <w:rPr>
          <w:rFonts w:ascii="Garamond" w:hAnsi="Garamond"/>
          <w:sz w:val="22"/>
          <w:szCs w:val="22"/>
        </w:rPr>
        <w:t>ross receipts tax</w:t>
      </w:r>
      <w:r w:rsidR="00626B37" w:rsidRPr="005971B7">
        <w:rPr>
          <w:rFonts w:ascii="Garamond" w:hAnsi="Garamond"/>
          <w:sz w:val="22"/>
          <w:szCs w:val="22"/>
        </w:rPr>
        <w:t>,</w:t>
      </w:r>
      <w:r w:rsidR="00B07EDC" w:rsidRPr="005971B7">
        <w:rPr>
          <w:rFonts w:ascii="Garamond" w:hAnsi="Garamond"/>
          <w:sz w:val="22"/>
          <w:szCs w:val="22"/>
        </w:rPr>
        <w:t xml:space="preserve"> </w:t>
      </w:r>
      <w:r w:rsidR="00626B37" w:rsidRPr="005971B7">
        <w:rPr>
          <w:rFonts w:ascii="Garamond" w:hAnsi="Garamond"/>
          <w:sz w:val="22"/>
          <w:szCs w:val="22"/>
        </w:rPr>
        <w:t>was a</w:t>
      </w:r>
      <w:r w:rsidR="00B07EDC" w:rsidRPr="005971B7">
        <w:rPr>
          <w:rFonts w:ascii="Garamond" w:hAnsi="Garamond"/>
          <w:sz w:val="22"/>
          <w:szCs w:val="22"/>
        </w:rPr>
        <w:t xml:space="preserve"> tax for purposes of the ITFA</w:t>
      </w:r>
      <w:r w:rsidR="00C17E97" w:rsidRPr="005971B7">
        <w:rPr>
          <w:rFonts w:ascii="Garamond" w:hAnsi="Garamond"/>
          <w:sz w:val="22"/>
          <w:szCs w:val="22"/>
        </w:rPr>
        <w:t>)</w:t>
      </w:r>
      <w:r w:rsidR="00B07EDC" w:rsidRPr="005971B7">
        <w:rPr>
          <w:rFonts w:ascii="Garamond" w:hAnsi="Garamond"/>
          <w:sz w:val="22"/>
          <w:szCs w:val="22"/>
        </w:rPr>
        <w:t>.</w:t>
      </w:r>
    </w:p>
  </w:footnote>
  <w:footnote w:id="20">
    <w:p w14:paraId="3BB35097" w14:textId="4E73E4A0" w:rsidR="00D37A54" w:rsidRPr="00D37A54" w:rsidRDefault="00D37A54">
      <w:pPr>
        <w:pStyle w:val="FootnoteText"/>
        <w:rPr>
          <w:rFonts w:ascii="Garamond" w:hAnsi="Garamond"/>
          <w:sz w:val="22"/>
          <w:szCs w:val="22"/>
        </w:rPr>
      </w:pPr>
      <w:r w:rsidRPr="00D37A54">
        <w:rPr>
          <w:rStyle w:val="FootnoteReference"/>
          <w:rFonts w:ascii="Garamond" w:hAnsi="Garamond"/>
          <w:sz w:val="22"/>
          <w:szCs w:val="22"/>
        </w:rPr>
        <w:footnoteRef/>
      </w:r>
      <w:r w:rsidRPr="00D37A54">
        <w:rPr>
          <w:rFonts w:ascii="Garamond" w:hAnsi="Garamond"/>
          <w:sz w:val="22"/>
          <w:szCs w:val="22"/>
        </w:rPr>
        <w:t xml:space="preserve"> 47 U.S.C. </w:t>
      </w:r>
      <w:r w:rsidRPr="00D37A54">
        <w:rPr>
          <w:rFonts w:ascii="Garamond" w:hAnsi="Garamond" w:cstheme="minorHAnsi"/>
          <w:sz w:val="22"/>
          <w:szCs w:val="22"/>
        </w:rPr>
        <w:t xml:space="preserve">§ </w:t>
      </w:r>
      <w:r w:rsidRPr="00D37A54">
        <w:rPr>
          <w:rFonts w:ascii="Garamond" w:hAnsi="Garamond"/>
          <w:sz w:val="22"/>
          <w:szCs w:val="22"/>
        </w:rPr>
        <w:t xml:space="preserve">151, note </w:t>
      </w:r>
      <w:r w:rsidRPr="00D37A54">
        <w:rPr>
          <w:rFonts w:ascii="Garamond" w:hAnsi="Garamond" w:cstheme="minorHAnsi"/>
          <w:sz w:val="22"/>
          <w:szCs w:val="22"/>
        </w:rPr>
        <w:t>§</w:t>
      </w:r>
      <w:r w:rsidRPr="00D37A54">
        <w:rPr>
          <w:rFonts w:ascii="Garamond" w:hAnsi="Garamond"/>
          <w:sz w:val="22"/>
          <w:szCs w:val="22"/>
        </w:rPr>
        <w:t xml:space="preserve"> 1105(10)(B).</w:t>
      </w:r>
    </w:p>
  </w:footnote>
  <w:footnote w:id="21">
    <w:p w14:paraId="5662FFEA" w14:textId="176B42D6" w:rsidR="008660C3" w:rsidRPr="000E0BF7" w:rsidRDefault="008660C3">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47 U.S.C. </w:t>
      </w:r>
      <w:r w:rsidRPr="000E0BF7">
        <w:rPr>
          <w:rFonts w:ascii="Garamond" w:hAnsi="Garamond" w:cstheme="minorHAnsi"/>
          <w:sz w:val="22"/>
          <w:szCs w:val="22"/>
        </w:rPr>
        <w:t xml:space="preserve">§ </w:t>
      </w:r>
      <w:r w:rsidRPr="000E0BF7">
        <w:rPr>
          <w:rFonts w:ascii="Garamond" w:hAnsi="Garamond"/>
          <w:sz w:val="22"/>
          <w:szCs w:val="22"/>
        </w:rPr>
        <w:t xml:space="preserve">151, note </w:t>
      </w:r>
      <w:r w:rsidRPr="000E0BF7">
        <w:rPr>
          <w:rFonts w:ascii="Garamond" w:hAnsi="Garamond" w:cstheme="minorHAnsi"/>
          <w:sz w:val="22"/>
          <w:szCs w:val="22"/>
        </w:rPr>
        <w:t xml:space="preserve">§ </w:t>
      </w:r>
      <w:r w:rsidRPr="000E0BF7">
        <w:rPr>
          <w:rFonts w:ascii="Garamond" w:hAnsi="Garamond"/>
          <w:sz w:val="22"/>
          <w:szCs w:val="22"/>
        </w:rPr>
        <w:t>1105(10)(A).</w:t>
      </w:r>
    </w:p>
  </w:footnote>
  <w:footnote w:id="22">
    <w:p w14:paraId="71C6AAA8" w14:textId="32D611C6" w:rsidR="008660C3" w:rsidRDefault="008660C3">
      <w:pPr>
        <w:pStyle w:val="FootnoteText"/>
      </w:pPr>
      <w:r w:rsidRPr="000E0BF7">
        <w:rPr>
          <w:rStyle w:val="FootnoteReference"/>
          <w:rFonts w:ascii="Garamond" w:hAnsi="Garamond"/>
          <w:sz w:val="22"/>
          <w:szCs w:val="22"/>
        </w:rPr>
        <w:footnoteRef/>
      </w:r>
      <w:r w:rsidRPr="000E0BF7">
        <w:rPr>
          <w:rFonts w:ascii="Garamond" w:hAnsi="Garamond"/>
          <w:sz w:val="22"/>
          <w:szCs w:val="22"/>
        </w:rPr>
        <w:t xml:space="preserve"> 47 U.S.C. </w:t>
      </w:r>
      <w:r w:rsidRPr="000E0BF7">
        <w:rPr>
          <w:rFonts w:ascii="Garamond" w:hAnsi="Garamond" w:cstheme="minorHAnsi"/>
          <w:sz w:val="22"/>
          <w:szCs w:val="22"/>
        </w:rPr>
        <w:t xml:space="preserve">§ </w:t>
      </w:r>
      <w:r w:rsidRPr="000E0BF7">
        <w:rPr>
          <w:rFonts w:ascii="Garamond" w:hAnsi="Garamond"/>
          <w:sz w:val="22"/>
          <w:szCs w:val="22"/>
        </w:rPr>
        <w:t xml:space="preserve">151, note </w:t>
      </w:r>
      <w:r w:rsidRPr="000E0BF7">
        <w:rPr>
          <w:rFonts w:ascii="Garamond" w:hAnsi="Garamond" w:cstheme="minorHAnsi"/>
          <w:sz w:val="22"/>
          <w:szCs w:val="22"/>
        </w:rPr>
        <w:t xml:space="preserve">§ </w:t>
      </w:r>
      <w:r w:rsidRPr="000E0BF7">
        <w:rPr>
          <w:rFonts w:ascii="Garamond" w:hAnsi="Garamond"/>
          <w:sz w:val="22"/>
          <w:szCs w:val="22"/>
        </w:rPr>
        <w:t>1105(10)(B).</w:t>
      </w:r>
    </w:p>
  </w:footnote>
  <w:footnote w:id="23">
    <w:p w14:paraId="236A8AEE" w14:textId="54A2D461" w:rsidR="00E32EF0" w:rsidRPr="000E0BF7" w:rsidRDefault="00E32EF0">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w:t>
      </w:r>
      <w:r w:rsidRPr="000E0BF7">
        <w:rPr>
          <w:rFonts w:ascii="Garamond" w:hAnsi="Garamond" w:cs="Calibri"/>
          <w:sz w:val="22"/>
          <w:szCs w:val="22"/>
        </w:rPr>
        <w:t xml:space="preserve">47 U.S.C. </w:t>
      </w:r>
      <w:r w:rsidR="00EB6B6C" w:rsidRPr="000E0BF7">
        <w:rPr>
          <w:rFonts w:ascii="Garamond" w:hAnsi="Garamond" w:cstheme="minorHAnsi"/>
          <w:sz w:val="22"/>
          <w:szCs w:val="22"/>
        </w:rPr>
        <w:t xml:space="preserve">§ </w:t>
      </w:r>
      <w:r w:rsidR="00EB6B6C" w:rsidRPr="000E0BF7">
        <w:rPr>
          <w:rFonts w:ascii="Garamond" w:hAnsi="Garamond"/>
          <w:sz w:val="22"/>
          <w:szCs w:val="22"/>
        </w:rPr>
        <w:t xml:space="preserve">151, note </w:t>
      </w:r>
      <w:r w:rsidR="00EB6B6C" w:rsidRPr="000E0BF7">
        <w:rPr>
          <w:rFonts w:ascii="Garamond" w:hAnsi="Garamond" w:cstheme="minorHAnsi"/>
          <w:sz w:val="22"/>
          <w:szCs w:val="22"/>
        </w:rPr>
        <w:t xml:space="preserve">§ </w:t>
      </w:r>
      <w:r w:rsidR="00EB6B6C" w:rsidRPr="000E0BF7">
        <w:rPr>
          <w:rFonts w:ascii="Garamond" w:hAnsi="Garamond"/>
          <w:sz w:val="22"/>
          <w:szCs w:val="22"/>
        </w:rPr>
        <w:t xml:space="preserve">1105(9), referring to 47 U.S.C. </w:t>
      </w:r>
      <w:r w:rsidRPr="000E0BF7">
        <w:rPr>
          <w:rFonts w:ascii="Garamond" w:hAnsi="Garamond" w:cs="Calibri"/>
          <w:sz w:val="22"/>
          <w:szCs w:val="22"/>
        </w:rPr>
        <w:t>§ 153(50).</w:t>
      </w:r>
    </w:p>
  </w:footnote>
  <w:footnote w:id="24">
    <w:p w14:paraId="15CB5985" w14:textId="79504F0E" w:rsidR="00F70C71" w:rsidRPr="000E0BF7" w:rsidRDefault="00F70C71">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w:t>
      </w:r>
      <w:r w:rsidRPr="000E0BF7">
        <w:rPr>
          <w:rFonts w:ascii="Garamond" w:hAnsi="Garamond" w:cs="Calibri"/>
          <w:sz w:val="22"/>
          <w:szCs w:val="22"/>
        </w:rPr>
        <w:t xml:space="preserve">47 U.S.C. </w:t>
      </w:r>
      <w:r w:rsidRPr="000E0BF7">
        <w:rPr>
          <w:rFonts w:ascii="Garamond" w:hAnsi="Garamond" w:cstheme="minorHAnsi"/>
          <w:sz w:val="22"/>
          <w:szCs w:val="22"/>
        </w:rPr>
        <w:t xml:space="preserve">§ </w:t>
      </w:r>
      <w:r w:rsidRPr="000E0BF7">
        <w:rPr>
          <w:rFonts w:ascii="Garamond" w:hAnsi="Garamond"/>
          <w:sz w:val="22"/>
          <w:szCs w:val="22"/>
        </w:rPr>
        <w:t xml:space="preserve">151, note </w:t>
      </w:r>
      <w:r w:rsidRPr="000E0BF7">
        <w:rPr>
          <w:rFonts w:ascii="Garamond" w:hAnsi="Garamond" w:cstheme="minorHAnsi"/>
          <w:sz w:val="22"/>
          <w:szCs w:val="22"/>
        </w:rPr>
        <w:t xml:space="preserve">§ </w:t>
      </w:r>
      <w:r w:rsidRPr="000E0BF7">
        <w:rPr>
          <w:rFonts w:ascii="Garamond" w:hAnsi="Garamond"/>
          <w:sz w:val="22"/>
          <w:szCs w:val="22"/>
        </w:rPr>
        <w:t>1105(4).</w:t>
      </w:r>
    </w:p>
  </w:footnote>
  <w:footnote w:id="25">
    <w:p w14:paraId="0C2AD5F8" w14:textId="6C57A25A" w:rsidR="00F70C71" w:rsidRPr="00F70C71" w:rsidRDefault="00F70C71">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47 U.S.C. </w:t>
      </w:r>
      <w:r w:rsidRPr="000E0BF7">
        <w:rPr>
          <w:rFonts w:ascii="Garamond" w:hAnsi="Garamond" w:cstheme="minorHAnsi"/>
          <w:sz w:val="22"/>
          <w:szCs w:val="22"/>
        </w:rPr>
        <w:t xml:space="preserve">§ </w:t>
      </w:r>
      <w:r w:rsidRPr="000E0BF7">
        <w:rPr>
          <w:rFonts w:ascii="Garamond" w:hAnsi="Garamond"/>
          <w:sz w:val="22"/>
          <w:szCs w:val="22"/>
        </w:rPr>
        <w:t xml:space="preserve">151, note </w:t>
      </w:r>
      <w:r w:rsidRPr="000E0BF7">
        <w:rPr>
          <w:rFonts w:ascii="Garamond" w:hAnsi="Garamond" w:cstheme="minorHAnsi"/>
          <w:sz w:val="22"/>
          <w:szCs w:val="22"/>
        </w:rPr>
        <w:t xml:space="preserve">§ </w:t>
      </w:r>
      <w:r w:rsidRPr="000E0BF7">
        <w:rPr>
          <w:rFonts w:ascii="Garamond" w:hAnsi="Garamond"/>
          <w:sz w:val="22"/>
          <w:szCs w:val="22"/>
        </w:rPr>
        <w:t>1105(5).</w:t>
      </w:r>
    </w:p>
  </w:footnote>
  <w:footnote w:id="26">
    <w:p w14:paraId="5D6474A9" w14:textId="3926BBE7" w:rsidR="00C80565" w:rsidRPr="00F70C71" w:rsidRDefault="00C80565">
      <w:pPr>
        <w:pStyle w:val="FootnoteText"/>
        <w:rPr>
          <w:rFonts w:ascii="Garamond" w:hAnsi="Garamond"/>
          <w:sz w:val="22"/>
          <w:szCs w:val="22"/>
        </w:rPr>
      </w:pPr>
      <w:r w:rsidRPr="00F70C71">
        <w:rPr>
          <w:rStyle w:val="FootnoteReference"/>
          <w:rFonts w:ascii="Garamond" w:hAnsi="Garamond"/>
          <w:sz w:val="22"/>
          <w:szCs w:val="22"/>
        </w:rPr>
        <w:footnoteRef/>
      </w:r>
      <w:r w:rsidRPr="00F70C71">
        <w:rPr>
          <w:rFonts w:ascii="Garamond" w:hAnsi="Garamond"/>
          <w:sz w:val="22"/>
          <w:szCs w:val="22"/>
        </w:rPr>
        <w:t xml:space="preserve"> This </w:t>
      </w:r>
      <w:r w:rsidR="00BE77D9" w:rsidRPr="00F70C71">
        <w:rPr>
          <w:rFonts w:ascii="Garamond" w:hAnsi="Garamond"/>
          <w:sz w:val="22"/>
          <w:szCs w:val="22"/>
        </w:rPr>
        <w:t xml:space="preserve">is </w:t>
      </w:r>
      <w:r w:rsidRPr="00F70C71">
        <w:rPr>
          <w:rFonts w:ascii="Garamond" w:hAnsi="Garamond"/>
          <w:sz w:val="22"/>
          <w:szCs w:val="22"/>
        </w:rPr>
        <w:t xml:space="preserve">generally </w:t>
      </w:r>
      <w:r w:rsidR="00570786" w:rsidRPr="00F70C71">
        <w:rPr>
          <w:rFonts w:ascii="Garamond" w:hAnsi="Garamond"/>
          <w:sz w:val="22"/>
          <w:szCs w:val="22"/>
        </w:rPr>
        <w:t xml:space="preserve">true </w:t>
      </w:r>
      <w:r w:rsidR="00E66852" w:rsidRPr="00F70C71">
        <w:rPr>
          <w:rFonts w:ascii="Garamond" w:hAnsi="Garamond"/>
          <w:sz w:val="22"/>
          <w:szCs w:val="22"/>
        </w:rPr>
        <w:t>ex</w:t>
      </w:r>
      <w:r w:rsidR="00570786" w:rsidRPr="00F70C71">
        <w:rPr>
          <w:rFonts w:ascii="Garamond" w:hAnsi="Garamond"/>
          <w:sz w:val="22"/>
          <w:szCs w:val="22"/>
        </w:rPr>
        <w:t>cept for those taxes specifically excluded from the prohibition.</w:t>
      </w:r>
    </w:p>
  </w:footnote>
  <w:footnote w:id="27">
    <w:p w14:paraId="23ECCA22" w14:textId="19BF6547" w:rsidR="00593A2B" w:rsidRPr="005971B7" w:rsidRDefault="00593A2B">
      <w:pPr>
        <w:pStyle w:val="FootnoteText"/>
        <w:rPr>
          <w:rFonts w:ascii="Garamond" w:hAnsi="Garamond"/>
          <w:sz w:val="22"/>
          <w:szCs w:val="22"/>
        </w:rPr>
      </w:pPr>
      <w:r w:rsidRPr="005971B7">
        <w:rPr>
          <w:rStyle w:val="FootnoteReference"/>
          <w:rFonts w:ascii="Garamond" w:hAnsi="Garamond"/>
          <w:sz w:val="22"/>
          <w:szCs w:val="22"/>
        </w:rPr>
        <w:footnoteRef/>
      </w:r>
      <w:r w:rsidRPr="005971B7">
        <w:rPr>
          <w:rFonts w:ascii="Garamond" w:hAnsi="Garamond"/>
          <w:sz w:val="22"/>
          <w:szCs w:val="22"/>
        </w:rPr>
        <w:t xml:space="preserve"> </w:t>
      </w:r>
      <w:r w:rsidRPr="003028BA">
        <w:rPr>
          <w:rFonts w:ascii="Garamond" w:hAnsi="Garamond"/>
          <w:i/>
          <w:iCs/>
          <w:sz w:val="22"/>
          <w:szCs w:val="22"/>
        </w:rPr>
        <w:t>j2 Global Communications Inc. v. City of Los Angeles</w:t>
      </w:r>
      <w:r w:rsidRPr="005971B7">
        <w:rPr>
          <w:rFonts w:ascii="Garamond" w:hAnsi="Garamond"/>
          <w:sz w:val="22"/>
          <w:szCs w:val="22"/>
        </w:rPr>
        <w:t xml:space="preserve">, 218 Cal. App. 4th 328 (Cal. Ct. App. 2013); 159 Cal. </w:t>
      </w:r>
      <w:proofErr w:type="spellStart"/>
      <w:r w:rsidRPr="005971B7">
        <w:rPr>
          <w:rFonts w:ascii="Garamond" w:hAnsi="Garamond"/>
          <w:sz w:val="22"/>
          <w:szCs w:val="22"/>
        </w:rPr>
        <w:t>Rptr</w:t>
      </w:r>
      <w:proofErr w:type="spellEnd"/>
      <w:r w:rsidRPr="005971B7">
        <w:rPr>
          <w:rFonts w:ascii="Garamond" w:hAnsi="Garamond"/>
          <w:sz w:val="22"/>
          <w:szCs w:val="22"/>
        </w:rPr>
        <w:t>. 3d 742 (2d Dist. 2013)</w:t>
      </w:r>
      <w:r w:rsidR="00E659DA" w:rsidRPr="005971B7">
        <w:rPr>
          <w:rFonts w:ascii="Garamond" w:hAnsi="Garamond"/>
          <w:sz w:val="22"/>
          <w:szCs w:val="22"/>
        </w:rPr>
        <w:t xml:space="preserve">; </w:t>
      </w:r>
      <w:r w:rsidR="00E659DA" w:rsidRPr="005971B7">
        <w:rPr>
          <w:rFonts w:ascii="Garamond" w:hAnsi="Garamond"/>
          <w:i/>
          <w:iCs/>
          <w:sz w:val="22"/>
          <w:szCs w:val="22"/>
        </w:rPr>
        <w:t>see also</w:t>
      </w:r>
      <w:r w:rsidR="00E659DA" w:rsidRPr="005971B7">
        <w:rPr>
          <w:rFonts w:ascii="Garamond" w:hAnsi="Garamond"/>
          <w:sz w:val="22"/>
          <w:szCs w:val="22"/>
        </w:rPr>
        <w:t xml:space="preserve">, </w:t>
      </w:r>
      <w:r w:rsidR="00E659DA" w:rsidRPr="003028BA">
        <w:rPr>
          <w:rFonts w:ascii="Garamond" w:hAnsi="Garamond" w:cstheme="minorHAnsi"/>
          <w:i/>
          <w:iCs/>
          <w:sz w:val="22"/>
          <w:szCs w:val="22"/>
        </w:rPr>
        <w:t>J2 Cloud Servs., Inc. (f/k/a J2 Glob., Inc. &amp; J2 Glob. Commc’ns, Inc.) v. Comm’r of Revenue</w:t>
      </w:r>
      <w:r w:rsidR="00E659DA" w:rsidRPr="005971B7">
        <w:rPr>
          <w:rFonts w:ascii="Garamond" w:hAnsi="Garamond" w:cstheme="minorHAnsi"/>
          <w:sz w:val="22"/>
          <w:szCs w:val="22"/>
        </w:rPr>
        <w:t>, Docket No. C325426, 2019 WL 1102964, at *17 (Mass. App. Tax. Bd. Feb. 27, 2019).</w:t>
      </w:r>
    </w:p>
  </w:footnote>
  <w:footnote w:id="28">
    <w:p w14:paraId="0CCC3FE5" w14:textId="7DF06E68" w:rsidR="00686C97" w:rsidRPr="000E0BF7" w:rsidRDefault="00686C97">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State and Local Advisory Council Proposed Section 805 Amendment, available </w:t>
      </w:r>
      <w:hyperlink r:id="rId2" w:history="1">
        <w:r w:rsidRPr="000E0BF7">
          <w:rPr>
            <w:rStyle w:val="Hyperlink"/>
            <w:rFonts w:ascii="Garamond" w:hAnsi="Garamond"/>
            <w:sz w:val="22"/>
            <w:szCs w:val="22"/>
          </w:rPr>
          <w:t>here</w:t>
        </w:r>
      </w:hyperlink>
      <w:r w:rsidRPr="000E0BF7">
        <w:rPr>
          <w:rFonts w:ascii="Garamond" w:hAnsi="Garamond"/>
          <w:sz w:val="22"/>
          <w:szCs w:val="22"/>
        </w:rPr>
        <w:t xml:space="preserve"> and on file with MTC staff (this language was discussed, edited, and tabled for further discussion at the May 2026 Streamlined meetings, it is not part of the Streamlined Agreement).</w:t>
      </w:r>
    </w:p>
  </w:footnote>
  <w:footnote w:id="29">
    <w:p w14:paraId="2A2BF766" w14:textId="2B1E217F" w:rsidR="005152B3" w:rsidRPr="000E0BF7" w:rsidRDefault="005152B3">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w:t>
      </w:r>
      <w:r w:rsidRPr="000E0BF7">
        <w:rPr>
          <w:rFonts w:ascii="Garamond" w:hAnsi="Garamond"/>
          <w:smallCaps/>
          <w:sz w:val="22"/>
          <w:szCs w:val="22"/>
        </w:rPr>
        <w:t>Wis. Stat</w:t>
      </w:r>
      <w:r w:rsidRPr="000E0BF7">
        <w:rPr>
          <w:rFonts w:ascii="Garamond" w:hAnsi="Garamond"/>
          <w:sz w:val="22"/>
          <w:szCs w:val="22"/>
        </w:rPr>
        <w:t xml:space="preserve">. </w:t>
      </w:r>
      <w:r w:rsidRPr="000E0BF7">
        <w:rPr>
          <w:rFonts w:ascii="Garamond" w:hAnsi="Garamond" w:cs="Calibri"/>
          <w:sz w:val="22"/>
          <w:szCs w:val="22"/>
        </w:rPr>
        <w:t>§</w:t>
      </w:r>
      <w:r w:rsidRPr="000E0BF7">
        <w:rPr>
          <w:rFonts w:ascii="Garamond" w:hAnsi="Garamond"/>
          <w:sz w:val="22"/>
          <w:szCs w:val="22"/>
        </w:rPr>
        <w:t xml:space="preserve"> 77.54(50).</w:t>
      </w:r>
    </w:p>
  </w:footnote>
  <w:footnote w:id="30">
    <w:p w14:paraId="2BC91BFE" w14:textId="77777777" w:rsidR="005152B3" w:rsidRPr="000E0BF7" w:rsidRDefault="005152B3" w:rsidP="005152B3">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w:t>
      </w:r>
      <w:r w:rsidRPr="000E0BF7">
        <w:rPr>
          <w:rFonts w:ascii="Garamond" w:hAnsi="Garamond"/>
          <w:smallCaps/>
          <w:sz w:val="22"/>
          <w:szCs w:val="22"/>
        </w:rPr>
        <w:t>Wis. Stat</w:t>
      </w:r>
      <w:r w:rsidRPr="000E0BF7">
        <w:rPr>
          <w:rFonts w:ascii="Garamond" w:hAnsi="Garamond"/>
          <w:sz w:val="22"/>
          <w:szCs w:val="22"/>
        </w:rPr>
        <w:t xml:space="preserve">. </w:t>
      </w:r>
      <w:r w:rsidRPr="000E0BF7">
        <w:rPr>
          <w:rFonts w:ascii="Garamond" w:hAnsi="Garamond" w:cs="Calibri"/>
          <w:sz w:val="22"/>
          <w:szCs w:val="22"/>
        </w:rPr>
        <w:t>§</w:t>
      </w:r>
      <w:r w:rsidRPr="000E0BF7">
        <w:rPr>
          <w:rFonts w:ascii="Garamond" w:hAnsi="Garamond"/>
          <w:sz w:val="22"/>
          <w:szCs w:val="22"/>
        </w:rPr>
        <w:t xml:space="preserve"> 77.54(1).</w:t>
      </w:r>
    </w:p>
  </w:footnote>
  <w:footnote w:id="31">
    <w:p w14:paraId="12CB2283" w14:textId="74AD2BC3" w:rsidR="001C6682" w:rsidRPr="000E0BF7" w:rsidRDefault="001C6682">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w:t>
      </w:r>
      <w:r w:rsidR="00991891" w:rsidRPr="000E0BF7">
        <w:rPr>
          <w:rFonts w:ascii="Garamond" w:hAnsi="Garamond"/>
          <w:smallCaps/>
          <w:sz w:val="22"/>
          <w:szCs w:val="22"/>
        </w:rPr>
        <w:t>Va. Code Ann.</w:t>
      </w:r>
      <w:r w:rsidRPr="000E0BF7">
        <w:rPr>
          <w:rFonts w:ascii="Garamond" w:hAnsi="Garamond"/>
          <w:sz w:val="22"/>
          <w:szCs w:val="22"/>
        </w:rPr>
        <w:t xml:space="preserve"> </w:t>
      </w:r>
      <w:r w:rsidR="00991891" w:rsidRPr="000E0BF7">
        <w:rPr>
          <w:rFonts w:ascii="Garamond" w:hAnsi="Garamond" w:cs="Calibri"/>
          <w:sz w:val="22"/>
          <w:szCs w:val="22"/>
        </w:rPr>
        <w:t>§</w:t>
      </w:r>
      <w:r w:rsidR="00991891" w:rsidRPr="000E0BF7">
        <w:rPr>
          <w:rFonts w:ascii="Garamond" w:hAnsi="Garamond"/>
          <w:sz w:val="22"/>
          <w:szCs w:val="22"/>
        </w:rPr>
        <w:t xml:space="preserve"> </w:t>
      </w:r>
      <w:r w:rsidRPr="000E0BF7">
        <w:rPr>
          <w:rFonts w:ascii="Garamond" w:hAnsi="Garamond"/>
          <w:sz w:val="22"/>
          <w:szCs w:val="22"/>
        </w:rPr>
        <w:t>58.1-648.C.</w:t>
      </w:r>
    </w:p>
  </w:footnote>
  <w:footnote w:id="32">
    <w:p w14:paraId="0D66A8E0" w14:textId="0BD3EF06" w:rsidR="001C6682" w:rsidRPr="00686C97" w:rsidRDefault="001C6682">
      <w:pPr>
        <w:pStyle w:val="FootnoteText"/>
        <w:rPr>
          <w:rFonts w:ascii="Garamond" w:hAnsi="Garamond"/>
          <w:sz w:val="22"/>
          <w:szCs w:val="22"/>
        </w:rPr>
      </w:pPr>
      <w:r w:rsidRPr="000E0BF7">
        <w:rPr>
          <w:rStyle w:val="FootnoteReference"/>
          <w:rFonts w:ascii="Garamond" w:hAnsi="Garamond"/>
          <w:sz w:val="22"/>
          <w:szCs w:val="22"/>
        </w:rPr>
        <w:footnoteRef/>
      </w:r>
      <w:r w:rsidRPr="000E0BF7">
        <w:rPr>
          <w:rFonts w:ascii="Garamond" w:hAnsi="Garamond"/>
          <w:sz w:val="22"/>
          <w:szCs w:val="22"/>
        </w:rPr>
        <w:t xml:space="preserve"> </w:t>
      </w:r>
      <w:bookmarkStart w:id="0" w:name="_Hlk218829414"/>
      <w:r w:rsidR="00991891" w:rsidRPr="000E0BF7">
        <w:rPr>
          <w:rFonts w:ascii="Garamond" w:hAnsi="Garamond"/>
          <w:smallCaps/>
          <w:sz w:val="22"/>
          <w:szCs w:val="22"/>
        </w:rPr>
        <w:t>Va. Code Ann.</w:t>
      </w:r>
      <w:r w:rsidR="00991891" w:rsidRPr="000E0BF7">
        <w:rPr>
          <w:rFonts w:ascii="Garamond" w:hAnsi="Garamond"/>
          <w:sz w:val="22"/>
          <w:szCs w:val="22"/>
        </w:rPr>
        <w:t xml:space="preserve"> </w:t>
      </w:r>
      <w:r w:rsidR="00991891" w:rsidRPr="000E0BF7">
        <w:rPr>
          <w:rFonts w:ascii="Garamond" w:hAnsi="Garamond" w:cs="Calibri"/>
          <w:sz w:val="22"/>
          <w:szCs w:val="22"/>
        </w:rPr>
        <w:t>§</w:t>
      </w:r>
      <w:r w:rsidR="00991891" w:rsidRPr="000E0BF7">
        <w:rPr>
          <w:rFonts w:ascii="Garamond" w:hAnsi="Garamond"/>
          <w:sz w:val="22"/>
          <w:szCs w:val="22"/>
        </w:rPr>
        <w:t xml:space="preserve"> </w:t>
      </w:r>
      <w:bookmarkEnd w:id="0"/>
      <w:r w:rsidRPr="000E0BF7">
        <w:rPr>
          <w:rFonts w:ascii="Garamond" w:hAnsi="Garamond"/>
          <w:sz w:val="22"/>
          <w:szCs w:val="22"/>
        </w:rPr>
        <w:t>58.1-647.</w:t>
      </w:r>
    </w:p>
  </w:footnote>
  <w:footnote w:id="33">
    <w:p w14:paraId="23D2740F" w14:textId="6F702FE7" w:rsidR="00A85D1E" w:rsidRPr="00A85D1E" w:rsidRDefault="00A85D1E">
      <w:pPr>
        <w:pStyle w:val="FootnoteText"/>
        <w:rPr>
          <w:rFonts w:ascii="Garamond" w:hAnsi="Garamond"/>
          <w:sz w:val="22"/>
          <w:szCs w:val="22"/>
        </w:rPr>
      </w:pPr>
      <w:r w:rsidRPr="00A85D1E">
        <w:rPr>
          <w:rStyle w:val="FootnoteReference"/>
          <w:rFonts w:ascii="Garamond" w:hAnsi="Garamond"/>
          <w:sz w:val="22"/>
          <w:szCs w:val="22"/>
        </w:rPr>
        <w:footnoteRef/>
      </w:r>
      <w:r w:rsidRPr="00A85D1E">
        <w:rPr>
          <w:rFonts w:ascii="Garamond" w:hAnsi="Garamond"/>
          <w:sz w:val="22"/>
          <w:szCs w:val="22"/>
        </w:rPr>
        <w:t xml:space="preserve"> </w:t>
      </w:r>
      <w:r w:rsidRPr="00A85D1E">
        <w:rPr>
          <w:rFonts w:ascii="Garamond" w:hAnsi="Garamond"/>
          <w:i/>
          <w:iCs/>
          <w:sz w:val="22"/>
          <w:szCs w:val="22"/>
        </w:rPr>
        <w:t xml:space="preserve">But </w:t>
      </w:r>
      <w:r>
        <w:rPr>
          <w:rFonts w:ascii="Garamond" w:hAnsi="Garamond"/>
          <w:i/>
          <w:iCs/>
          <w:sz w:val="22"/>
          <w:szCs w:val="22"/>
        </w:rPr>
        <w:t>cf</w:t>
      </w:r>
      <w:r w:rsidR="00D37A54">
        <w:rPr>
          <w:rFonts w:ascii="Garamond" w:hAnsi="Garamond"/>
          <w:sz w:val="22"/>
          <w:szCs w:val="22"/>
        </w:rPr>
        <w:t xml:space="preserve">. </w:t>
      </w:r>
      <w:r w:rsidRPr="00B413CB">
        <w:rPr>
          <w:rFonts w:ascii="Garamond" w:hAnsi="Garamond"/>
          <w:i/>
          <w:iCs/>
          <w:sz w:val="22"/>
          <w:szCs w:val="22"/>
        </w:rPr>
        <w:t xml:space="preserve">Gartner, Inc. v. </w:t>
      </w:r>
      <w:proofErr w:type="spellStart"/>
      <w:r w:rsidRPr="00B413CB">
        <w:rPr>
          <w:rFonts w:ascii="Garamond" w:hAnsi="Garamond"/>
          <w:i/>
          <w:iCs/>
          <w:sz w:val="22"/>
          <w:szCs w:val="22"/>
        </w:rPr>
        <w:t>Dep’t</w:t>
      </w:r>
      <w:proofErr w:type="spellEnd"/>
      <w:r w:rsidRPr="00B413CB">
        <w:rPr>
          <w:rFonts w:ascii="Garamond" w:hAnsi="Garamond"/>
          <w:i/>
          <w:iCs/>
          <w:sz w:val="22"/>
          <w:szCs w:val="22"/>
        </w:rPr>
        <w:t xml:space="preserve"> of Revenue</w:t>
      </w:r>
      <w:r>
        <w:rPr>
          <w:rFonts w:ascii="Garamond" w:hAnsi="Garamond"/>
          <w:sz w:val="22"/>
          <w:szCs w:val="22"/>
        </w:rPr>
        <w:t>, 455 P.3d 1179 (Wash Ct. App. 2020) (where the tax classification being challenged did require additional features beyond the Internet’s involvement).</w:t>
      </w:r>
    </w:p>
  </w:footnote>
  <w:footnote w:id="34">
    <w:p w14:paraId="2044880F" w14:textId="48C8D72E" w:rsidR="00725D65" w:rsidRPr="00725D65" w:rsidRDefault="00725D65">
      <w:pPr>
        <w:pStyle w:val="FootnoteText"/>
        <w:rPr>
          <w:rFonts w:ascii="Garamond" w:hAnsi="Garamond"/>
          <w:sz w:val="22"/>
          <w:szCs w:val="22"/>
        </w:rPr>
      </w:pPr>
      <w:r w:rsidRPr="00725D65">
        <w:rPr>
          <w:rStyle w:val="FootnoteReference"/>
          <w:rFonts w:ascii="Garamond" w:hAnsi="Garamond"/>
          <w:sz w:val="22"/>
          <w:szCs w:val="22"/>
        </w:rPr>
        <w:footnoteRef/>
      </w:r>
      <w:r w:rsidRPr="00725D65">
        <w:rPr>
          <w:rFonts w:ascii="Garamond" w:hAnsi="Garamond"/>
          <w:sz w:val="22"/>
          <w:szCs w:val="22"/>
        </w:rPr>
        <w:t xml:space="preserve"> 47 U.S.C. </w:t>
      </w:r>
      <w:r w:rsidRPr="00725D65">
        <w:rPr>
          <w:rFonts w:ascii="Garamond" w:hAnsi="Garamond" w:cstheme="minorHAnsi"/>
          <w:sz w:val="22"/>
          <w:szCs w:val="22"/>
        </w:rPr>
        <w:t xml:space="preserve">§ </w:t>
      </w:r>
      <w:r w:rsidRPr="00725D65">
        <w:rPr>
          <w:rFonts w:ascii="Garamond" w:hAnsi="Garamond"/>
          <w:sz w:val="22"/>
          <w:szCs w:val="22"/>
        </w:rPr>
        <w:t xml:space="preserve">151, note </w:t>
      </w:r>
      <w:r w:rsidRPr="00725D65">
        <w:rPr>
          <w:rFonts w:ascii="Garamond" w:hAnsi="Garamond" w:cstheme="minorHAnsi"/>
          <w:sz w:val="22"/>
          <w:szCs w:val="22"/>
        </w:rPr>
        <w:t>§</w:t>
      </w:r>
      <w:r w:rsidRPr="00725D65">
        <w:rPr>
          <w:rFonts w:ascii="Garamond" w:hAnsi="Garamond"/>
          <w:sz w:val="22"/>
          <w:szCs w:val="22"/>
        </w:rPr>
        <w:t xml:space="preserve"> 110</w:t>
      </w:r>
      <w:r w:rsidR="002100EA">
        <w:rPr>
          <w:rFonts w:ascii="Garamond" w:hAnsi="Garamond"/>
          <w:sz w:val="22"/>
          <w:szCs w:val="22"/>
        </w:rPr>
        <w:t>1</w:t>
      </w:r>
      <w:r w:rsidRPr="00725D65">
        <w:rPr>
          <w:rFonts w:ascii="Garamond" w:hAnsi="Garamond"/>
          <w:sz w:val="22"/>
          <w:szCs w:val="22"/>
        </w:rPr>
        <w:t>(</w:t>
      </w:r>
      <w:r w:rsidR="002100EA">
        <w:rPr>
          <w:rFonts w:ascii="Garamond" w:hAnsi="Garamond"/>
          <w:sz w:val="22"/>
          <w:szCs w:val="22"/>
        </w:rPr>
        <w:t>a</w:t>
      </w:r>
      <w:r w:rsidRPr="00725D65">
        <w:rPr>
          <w:rFonts w:ascii="Garamond" w:hAnsi="Garamond"/>
          <w:sz w:val="22"/>
          <w:szCs w:val="22"/>
        </w:rPr>
        <w:t>)</w:t>
      </w:r>
      <w:r w:rsidR="002100EA">
        <w:rPr>
          <w:rFonts w:ascii="Garamond" w:hAnsi="Garamond"/>
          <w:sz w:val="22"/>
          <w:szCs w:val="22"/>
        </w:rPr>
        <w:t>(2)</w:t>
      </w:r>
      <w:r w:rsidRPr="00725D65">
        <w:rPr>
          <w:rFonts w:ascii="Garamond" w:hAnsi="Garamond"/>
          <w:sz w:val="22"/>
          <w:szCs w:val="22"/>
        </w:rPr>
        <w:t>.</w:t>
      </w:r>
    </w:p>
  </w:footnote>
  <w:footnote w:id="35">
    <w:p w14:paraId="3B8077C4" w14:textId="584BFDDA" w:rsidR="002100EA" w:rsidRPr="00561BFB" w:rsidRDefault="002100EA">
      <w:pPr>
        <w:pStyle w:val="FootnoteText"/>
        <w:rPr>
          <w:rFonts w:ascii="Garamond" w:hAnsi="Garamond"/>
          <w:sz w:val="22"/>
          <w:szCs w:val="22"/>
        </w:rPr>
      </w:pPr>
      <w:r w:rsidRPr="00561BFB">
        <w:rPr>
          <w:rStyle w:val="FootnoteReference"/>
          <w:rFonts w:ascii="Garamond" w:hAnsi="Garamond"/>
          <w:sz w:val="22"/>
          <w:szCs w:val="22"/>
        </w:rPr>
        <w:footnoteRef/>
      </w:r>
      <w:r w:rsidRPr="00561BFB">
        <w:rPr>
          <w:rFonts w:ascii="Garamond" w:hAnsi="Garamond"/>
          <w:sz w:val="22"/>
          <w:szCs w:val="22"/>
        </w:rPr>
        <w:t xml:space="preserve"> 47 U.S.C. </w:t>
      </w:r>
      <w:r w:rsidRPr="00561BFB">
        <w:rPr>
          <w:rFonts w:ascii="Garamond" w:hAnsi="Garamond" w:cstheme="minorHAnsi"/>
          <w:sz w:val="22"/>
          <w:szCs w:val="22"/>
        </w:rPr>
        <w:t xml:space="preserve">§ </w:t>
      </w:r>
      <w:r w:rsidRPr="00561BFB">
        <w:rPr>
          <w:rFonts w:ascii="Garamond" w:hAnsi="Garamond"/>
          <w:sz w:val="22"/>
          <w:szCs w:val="22"/>
        </w:rPr>
        <w:t xml:space="preserve">151, note </w:t>
      </w:r>
      <w:r w:rsidRPr="00561BFB">
        <w:rPr>
          <w:rFonts w:ascii="Garamond" w:hAnsi="Garamond" w:cstheme="minorHAnsi"/>
          <w:sz w:val="22"/>
          <w:szCs w:val="22"/>
        </w:rPr>
        <w:t>§</w:t>
      </w:r>
      <w:r w:rsidRPr="00561BFB">
        <w:rPr>
          <w:rFonts w:ascii="Garamond" w:hAnsi="Garamond"/>
          <w:sz w:val="22"/>
          <w:szCs w:val="22"/>
        </w:rPr>
        <w:t xml:space="preserve"> 1105(6)(A).</w:t>
      </w:r>
    </w:p>
  </w:footnote>
  <w:footnote w:id="36">
    <w:p w14:paraId="3AB13C6C" w14:textId="2783A1DC" w:rsidR="002100EA" w:rsidRPr="006E388F" w:rsidRDefault="002100EA">
      <w:pPr>
        <w:pStyle w:val="FootnoteText"/>
        <w:rPr>
          <w:rFonts w:ascii="Garamond" w:hAnsi="Garamond"/>
          <w:sz w:val="22"/>
          <w:szCs w:val="22"/>
        </w:rPr>
      </w:pPr>
      <w:r w:rsidRPr="006E388F">
        <w:rPr>
          <w:rStyle w:val="FootnoteReference"/>
          <w:rFonts w:ascii="Garamond" w:hAnsi="Garamond"/>
          <w:sz w:val="22"/>
          <w:szCs w:val="22"/>
        </w:rPr>
        <w:footnoteRef/>
      </w:r>
      <w:r w:rsidRPr="006E388F">
        <w:rPr>
          <w:rFonts w:ascii="Garamond" w:hAnsi="Garamond"/>
          <w:sz w:val="22"/>
          <w:szCs w:val="22"/>
        </w:rPr>
        <w:t xml:space="preserve"> 47 U.S.C. </w:t>
      </w:r>
      <w:r w:rsidRPr="006E388F">
        <w:rPr>
          <w:rFonts w:ascii="Garamond" w:hAnsi="Garamond" w:cstheme="minorHAnsi"/>
          <w:sz w:val="22"/>
          <w:szCs w:val="22"/>
        </w:rPr>
        <w:t xml:space="preserve">§ </w:t>
      </w:r>
      <w:r w:rsidRPr="006E388F">
        <w:rPr>
          <w:rFonts w:ascii="Garamond" w:hAnsi="Garamond"/>
          <w:sz w:val="22"/>
          <w:szCs w:val="22"/>
        </w:rPr>
        <w:t xml:space="preserve">151, note </w:t>
      </w:r>
      <w:r w:rsidRPr="006E388F">
        <w:rPr>
          <w:rFonts w:ascii="Garamond" w:hAnsi="Garamond" w:cstheme="minorHAnsi"/>
          <w:sz w:val="22"/>
          <w:szCs w:val="22"/>
        </w:rPr>
        <w:t>§</w:t>
      </w:r>
      <w:r w:rsidRPr="006E388F">
        <w:rPr>
          <w:rFonts w:ascii="Garamond" w:hAnsi="Garamond"/>
          <w:sz w:val="22"/>
          <w:szCs w:val="22"/>
        </w:rPr>
        <w:t xml:space="preserve"> 1105(6)(B).</w:t>
      </w:r>
    </w:p>
  </w:footnote>
  <w:footnote w:id="37">
    <w:p w14:paraId="63C24CFA" w14:textId="0DCA73EF" w:rsidR="00561BFB" w:rsidRPr="006E388F" w:rsidRDefault="00561BFB">
      <w:pPr>
        <w:pStyle w:val="FootnoteText"/>
        <w:rPr>
          <w:rFonts w:ascii="Garamond" w:hAnsi="Garamond"/>
          <w:sz w:val="22"/>
          <w:szCs w:val="22"/>
        </w:rPr>
      </w:pPr>
      <w:r w:rsidRPr="006E388F">
        <w:rPr>
          <w:rStyle w:val="FootnoteReference"/>
          <w:rFonts w:ascii="Garamond" w:hAnsi="Garamond"/>
          <w:sz w:val="22"/>
          <w:szCs w:val="22"/>
        </w:rPr>
        <w:footnoteRef/>
      </w:r>
      <w:r w:rsidRPr="006E388F">
        <w:rPr>
          <w:rFonts w:ascii="Garamond" w:hAnsi="Garamond"/>
          <w:sz w:val="22"/>
          <w:szCs w:val="22"/>
        </w:rPr>
        <w:t xml:space="preserve"> 47 U.S.C. </w:t>
      </w:r>
      <w:r w:rsidRPr="006E388F">
        <w:rPr>
          <w:rFonts w:ascii="Garamond" w:hAnsi="Garamond" w:cstheme="minorHAnsi"/>
          <w:sz w:val="22"/>
          <w:szCs w:val="22"/>
        </w:rPr>
        <w:t xml:space="preserve">§ </w:t>
      </w:r>
      <w:r w:rsidRPr="006E388F">
        <w:rPr>
          <w:rFonts w:ascii="Garamond" w:hAnsi="Garamond"/>
          <w:sz w:val="22"/>
          <w:szCs w:val="22"/>
        </w:rPr>
        <w:t xml:space="preserve">151, note </w:t>
      </w:r>
      <w:r w:rsidRPr="006E388F">
        <w:rPr>
          <w:rFonts w:ascii="Garamond" w:hAnsi="Garamond" w:cstheme="minorHAnsi"/>
          <w:sz w:val="22"/>
          <w:szCs w:val="22"/>
        </w:rPr>
        <w:t>§</w:t>
      </w:r>
      <w:r w:rsidRPr="006E388F">
        <w:rPr>
          <w:rFonts w:ascii="Garamond" w:hAnsi="Garamond"/>
          <w:sz w:val="22"/>
          <w:szCs w:val="22"/>
        </w:rPr>
        <w:t xml:space="preserve"> 1106(a).</w:t>
      </w:r>
    </w:p>
  </w:footnote>
  <w:footnote w:id="38">
    <w:p w14:paraId="285083E6" w14:textId="5D5AFFFD" w:rsidR="006E388F" w:rsidRPr="006E388F" w:rsidRDefault="006E388F">
      <w:pPr>
        <w:pStyle w:val="FootnoteText"/>
        <w:rPr>
          <w:rFonts w:ascii="Garamond" w:hAnsi="Garamond"/>
          <w:sz w:val="22"/>
          <w:szCs w:val="22"/>
        </w:rPr>
      </w:pPr>
      <w:r w:rsidRPr="006E388F">
        <w:rPr>
          <w:rStyle w:val="FootnoteReference"/>
          <w:rFonts w:ascii="Garamond" w:hAnsi="Garamond"/>
          <w:sz w:val="22"/>
          <w:szCs w:val="22"/>
        </w:rPr>
        <w:footnoteRef/>
      </w:r>
      <w:r w:rsidRPr="006E388F">
        <w:rPr>
          <w:rFonts w:ascii="Garamond" w:hAnsi="Garamond"/>
          <w:sz w:val="22"/>
          <w:szCs w:val="22"/>
        </w:rPr>
        <w:t xml:space="preserve"> </w:t>
      </w:r>
      <w:r w:rsidRPr="003028BA">
        <w:rPr>
          <w:rFonts w:ascii="Garamond" w:hAnsi="Garamond"/>
          <w:i/>
          <w:iCs/>
          <w:sz w:val="22"/>
          <w:szCs w:val="22"/>
        </w:rPr>
        <w:t>University City v. AT&amp;T Wireless, Inc.</w:t>
      </w:r>
      <w:r w:rsidRPr="006E388F">
        <w:rPr>
          <w:rFonts w:ascii="Garamond" w:hAnsi="Garamond"/>
          <w:sz w:val="22"/>
          <w:szCs w:val="22"/>
        </w:rPr>
        <w:t>, 2026 WL 934817, No. ED113046 (Mo. Ct. App. 2026).</w:t>
      </w:r>
    </w:p>
  </w:footnote>
  <w:footnote w:id="39">
    <w:p w14:paraId="27533B25" w14:textId="0E5AC9F0" w:rsidR="009912B3" w:rsidRPr="00CC605B" w:rsidRDefault="009912B3">
      <w:pPr>
        <w:pStyle w:val="FootnoteText"/>
        <w:rPr>
          <w:rFonts w:ascii="Garamond" w:hAnsi="Garamond"/>
          <w:sz w:val="22"/>
          <w:szCs w:val="22"/>
        </w:rPr>
      </w:pPr>
      <w:r w:rsidRPr="00CC605B">
        <w:rPr>
          <w:rStyle w:val="FootnoteReference"/>
          <w:rFonts w:ascii="Garamond" w:hAnsi="Garamond"/>
          <w:sz w:val="22"/>
          <w:szCs w:val="22"/>
        </w:rPr>
        <w:footnoteRef/>
      </w:r>
      <w:r w:rsidRPr="00CC605B">
        <w:rPr>
          <w:rFonts w:ascii="Garamond" w:hAnsi="Garamond"/>
          <w:sz w:val="22"/>
          <w:szCs w:val="22"/>
        </w:rPr>
        <w:t xml:space="preserve"> </w:t>
      </w:r>
      <w:r w:rsidRPr="00B413CB">
        <w:rPr>
          <w:rFonts w:ascii="Garamond" w:hAnsi="Garamond"/>
          <w:i/>
          <w:iCs/>
          <w:sz w:val="22"/>
          <w:szCs w:val="22"/>
        </w:rPr>
        <w:t xml:space="preserve">Community </w:t>
      </w:r>
      <w:proofErr w:type="spellStart"/>
      <w:r w:rsidRPr="00B413CB">
        <w:rPr>
          <w:rFonts w:ascii="Garamond" w:hAnsi="Garamond"/>
          <w:i/>
          <w:iCs/>
          <w:sz w:val="22"/>
          <w:szCs w:val="22"/>
        </w:rPr>
        <w:t>Telecable</w:t>
      </w:r>
      <w:proofErr w:type="spellEnd"/>
      <w:r w:rsidRPr="00B413CB">
        <w:rPr>
          <w:rFonts w:ascii="Garamond" w:hAnsi="Garamond"/>
          <w:i/>
          <w:iCs/>
          <w:sz w:val="22"/>
          <w:szCs w:val="22"/>
        </w:rPr>
        <w:t>, Inc. v. City of Seattle</w:t>
      </w:r>
      <w:r w:rsidRPr="00CC605B">
        <w:rPr>
          <w:rFonts w:ascii="Garamond" w:hAnsi="Garamond"/>
          <w:sz w:val="22"/>
          <w:szCs w:val="22"/>
        </w:rPr>
        <w:t>, 149 P.3d 380, 390 (Wash. App. 2006).</w:t>
      </w:r>
    </w:p>
  </w:footnote>
  <w:footnote w:id="40">
    <w:p w14:paraId="4174549E" w14:textId="1E15E4E0" w:rsidR="00D21C6E" w:rsidRPr="00CC605B" w:rsidRDefault="00D21C6E">
      <w:pPr>
        <w:pStyle w:val="FootnoteText"/>
        <w:rPr>
          <w:rFonts w:ascii="Garamond" w:hAnsi="Garamond"/>
          <w:sz w:val="22"/>
          <w:szCs w:val="22"/>
        </w:rPr>
      </w:pPr>
      <w:r w:rsidRPr="00CC605B">
        <w:rPr>
          <w:rStyle w:val="FootnoteReference"/>
          <w:rFonts w:ascii="Garamond" w:hAnsi="Garamond"/>
          <w:sz w:val="22"/>
          <w:szCs w:val="22"/>
        </w:rPr>
        <w:footnoteRef/>
      </w:r>
      <w:r w:rsidRPr="00CC605B">
        <w:rPr>
          <w:rFonts w:ascii="Garamond" w:hAnsi="Garamond"/>
          <w:sz w:val="22"/>
          <w:szCs w:val="22"/>
        </w:rPr>
        <w:t xml:space="preserve"> </w:t>
      </w:r>
      <w:r w:rsidRPr="00B413CB">
        <w:rPr>
          <w:rFonts w:ascii="Garamond" w:hAnsi="Garamond"/>
          <w:i/>
          <w:iCs/>
          <w:sz w:val="22"/>
          <w:szCs w:val="22"/>
        </w:rPr>
        <w:t xml:space="preserve">Wisconsin </w:t>
      </w:r>
      <w:proofErr w:type="spellStart"/>
      <w:r w:rsidRPr="00B413CB">
        <w:rPr>
          <w:rFonts w:ascii="Garamond" w:hAnsi="Garamond"/>
          <w:i/>
          <w:iCs/>
          <w:sz w:val="22"/>
          <w:szCs w:val="22"/>
        </w:rPr>
        <w:t>Dep’t</w:t>
      </w:r>
      <w:proofErr w:type="spellEnd"/>
      <w:r w:rsidRPr="00B413CB">
        <w:rPr>
          <w:rFonts w:ascii="Garamond" w:hAnsi="Garamond"/>
          <w:i/>
          <w:iCs/>
          <w:sz w:val="22"/>
          <w:szCs w:val="22"/>
        </w:rPr>
        <w:t xml:space="preserve"> of Rev. v. Wrigley</w:t>
      </w:r>
      <w:r w:rsidRPr="00CC605B">
        <w:rPr>
          <w:rFonts w:ascii="Garamond" w:hAnsi="Garamond"/>
          <w:sz w:val="22"/>
          <w:szCs w:val="22"/>
        </w:rPr>
        <w:t>, 505 U.S. 214 (1992).</w:t>
      </w:r>
    </w:p>
  </w:footnote>
  <w:footnote w:id="41">
    <w:p w14:paraId="36245557" w14:textId="0D58FE0F" w:rsidR="005C521E" w:rsidRPr="00CC605B" w:rsidRDefault="005C521E">
      <w:pPr>
        <w:pStyle w:val="FootnoteText"/>
        <w:rPr>
          <w:rFonts w:ascii="Garamond" w:hAnsi="Garamond"/>
          <w:sz w:val="22"/>
          <w:szCs w:val="22"/>
        </w:rPr>
      </w:pPr>
      <w:r w:rsidRPr="00CC605B">
        <w:rPr>
          <w:rStyle w:val="FootnoteReference"/>
          <w:rFonts w:ascii="Garamond" w:hAnsi="Garamond"/>
          <w:sz w:val="22"/>
          <w:szCs w:val="22"/>
        </w:rPr>
        <w:footnoteRef/>
      </w:r>
      <w:r w:rsidRPr="00CC605B">
        <w:rPr>
          <w:rFonts w:ascii="Garamond" w:hAnsi="Garamond"/>
          <w:sz w:val="22"/>
          <w:szCs w:val="22"/>
        </w:rPr>
        <w:t xml:space="preserve"> </w:t>
      </w:r>
      <w:r w:rsidRPr="00CC605B">
        <w:rPr>
          <w:rFonts w:ascii="Garamond" w:hAnsi="Garamond"/>
          <w:i/>
          <w:iCs/>
          <w:sz w:val="22"/>
          <w:szCs w:val="22"/>
        </w:rPr>
        <w:t>See</w:t>
      </w:r>
      <w:r w:rsidR="00FF34D7" w:rsidRPr="00CC605B">
        <w:rPr>
          <w:rFonts w:ascii="Garamond" w:hAnsi="Garamond" w:cstheme="minorHAnsi"/>
          <w:i/>
          <w:iCs/>
          <w:color w:val="000000"/>
          <w:sz w:val="22"/>
          <w:szCs w:val="22"/>
        </w:rPr>
        <w:t>, e.g.</w:t>
      </w:r>
      <w:r w:rsidR="00FF34D7" w:rsidRPr="00CC605B">
        <w:rPr>
          <w:rFonts w:ascii="Garamond" w:hAnsi="Garamond" w:cstheme="minorHAnsi"/>
          <w:color w:val="000000"/>
          <w:sz w:val="22"/>
          <w:szCs w:val="22"/>
        </w:rPr>
        <w:t>,</w:t>
      </w:r>
      <w:r w:rsidRPr="00CC605B">
        <w:rPr>
          <w:rFonts w:ascii="Garamond" w:hAnsi="Garamond" w:cstheme="minorHAnsi"/>
          <w:i/>
          <w:iCs/>
          <w:color w:val="000000"/>
          <w:sz w:val="22"/>
          <w:szCs w:val="22"/>
        </w:rPr>
        <w:t xml:space="preserve"> </w:t>
      </w:r>
      <w:r w:rsidR="00FF34D7" w:rsidRPr="006C5383">
        <w:rPr>
          <w:rFonts w:ascii="Garamond" w:hAnsi="Garamond" w:cstheme="minorHAnsi"/>
          <w:i/>
          <w:iCs/>
          <w:color w:val="000000"/>
          <w:sz w:val="22"/>
          <w:szCs w:val="22"/>
        </w:rPr>
        <w:t>IMT, Inc. v. City of Lumberton</w:t>
      </w:r>
      <w:r w:rsidR="00FF34D7" w:rsidRPr="00CC605B">
        <w:rPr>
          <w:rFonts w:ascii="Garamond" w:hAnsi="Garamond" w:cstheme="minorHAnsi"/>
          <w:color w:val="000000"/>
          <w:sz w:val="22"/>
          <w:szCs w:val="22"/>
        </w:rPr>
        <w:t xml:space="preserve">, 219 N.C. App. 36, 724 S.E.2d 588 (N.C. Ct. App. 2012), </w:t>
      </w:r>
      <w:proofErr w:type="spellStart"/>
      <w:r w:rsidR="00FF34D7" w:rsidRPr="00CC605B">
        <w:rPr>
          <w:rFonts w:ascii="Garamond" w:hAnsi="Garamond" w:cstheme="minorHAnsi"/>
          <w:i/>
          <w:iCs/>
          <w:color w:val="000000"/>
          <w:sz w:val="22"/>
          <w:szCs w:val="22"/>
        </w:rPr>
        <w:t>rev’d</w:t>
      </w:r>
      <w:proofErr w:type="spellEnd"/>
      <w:r w:rsidR="00FF34D7" w:rsidRPr="00CC605B">
        <w:rPr>
          <w:rFonts w:ascii="Garamond" w:hAnsi="Garamond" w:cstheme="minorHAnsi"/>
          <w:i/>
          <w:iCs/>
          <w:color w:val="000000"/>
          <w:sz w:val="22"/>
          <w:szCs w:val="22"/>
        </w:rPr>
        <w:t xml:space="preserve"> on other grounds</w:t>
      </w:r>
      <w:r w:rsidR="00FF34D7" w:rsidRPr="00CC605B">
        <w:rPr>
          <w:rFonts w:ascii="Garamond" w:hAnsi="Garamond" w:cstheme="minorHAnsi"/>
          <w:color w:val="000000"/>
          <w:sz w:val="22"/>
          <w:szCs w:val="22"/>
        </w:rPr>
        <w:t xml:space="preserve">, 738 S.E.2d 156 (N.C. 2013) and </w:t>
      </w:r>
      <w:r w:rsidR="00FF34D7" w:rsidRPr="00B413CB">
        <w:rPr>
          <w:rFonts w:ascii="Garamond" w:hAnsi="Garamond"/>
          <w:i/>
          <w:iCs/>
          <w:sz w:val="22"/>
          <w:szCs w:val="22"/>
        </w:rPr>
        <w:t xml:space="preserve">Performance Marketing </w:t>
      </w:r>
      <w:proofErr w:type="spellStart"/>
      <w:r w:rsidR="00FF34D7" w:rsidRPr="00B413CB">
        <w:rPr>
          <w:rFonts w:ascii="Garamond" w:hAnsi="Garamond"/>
          <w:i/>
          <w:iCs/>
          <w:sz w:val="22"/>
          <w:szCs w:val="22"/>
        </w:rPr>
        <w:t>Ass’n</w:t>
      </w:r>
      <w:proofErr w:type="spellEnd"/>
      <w:r w:rsidR="00FF34D7" w:rsidRPr="00B413CB">
        <w:rPr>
          <w:rFonts w:ascii="Garamond" w:hAnsi="Garamond"/>
          <w:i/>
          <w:iCs/>
          <w:sz w:val="22"/>
          <w:szCs w:val="22"/>
        </w:rPr>
        <w:t xml:space="preserve"> v. Hamer</w:t>
      </w:r>
      <w:r w:rsidR="00FF34D7" w:rsidRPr="00CC605B">
        <w:rPr>
          <w:rFonts w:ascii="Garamond" w:hAnsi="Garamond"/>
          <w:sz w:val="22"/>
          <w:szCs w:val="22"/>
        </w:rPr>
        <w:t>, 998 N.E.2d 54 (Ill. 2013).</w:t>
      </w:r>
    </w:p>
  </w:footnote>
  <w:footnote w:id="42">
    <w:p w14:paraId="70A70C17" w14:textId="18654658" w:rsidR="0079644A" w:rsidRPr="00CC605B" w:rsidRDefault="0079644A" w:rsidP="0079644A">
      <w:pPr>
        <w:pStyle w:val="FootnoteText"/>
        <w:rPr>
          <w:rFonts w:ascii="Garamond" w:hAnsi="Garamond"/>
        </w:rPr>
      </w:pPr>
      <w:r w:rsidRPr="00CC605B">
        <w:rPr>
          <w:rStyle w:val="FootnoteReference"/>
          <w:rFonts w:ascii="Garamond" w:hAnsi="Garamond"/>
          <w:sz w:val="22"/>
          <w:szCs w:val="22"/>
        </w:rPr>
        <w:footnoteRef/>
      </w:r>
      <w:r w:rsidRPr="00CC605B">
        <w:rPr>
          <w:rFonts w:ascii="Garamond" w:hAnsi="Garamond"/>
          <w:sz w:val="22"/>
          <w:szCs w:val="22"/>
        </w:rPr>
        <w:t xml:space="preserve"> </w:t>
      </w:r>
      <w:r w:rsidRPr="006C5383">
        <w:rPr>
          <w:rFonts w:ascii="Garamond" w:hAnsi="Garamond"/>
          <w:i/>
          <w:iCs/>
          <w:sz w:val="22"/>
          <w:szCs w:val="22"/>
        </w:rPr>
        <w:t>See, e.g.</w:t>
      </w:r>
      <w:r w:rsidRPr="00CC605B">
        <w:rPr>
          <w:rFonts w:ascii="Garamond" w:hAnsi="Garamond"/>
          <w:sz w:val="22"/>
          <w:szCs w:val="22"/>
        </w:rPr>
        <w:t xml:space="preserve">, </w:t>
      </w:r>
      <w:proofErr w:type="spellStart"/>
      <w:r w:rsidRPr="00B413CB">
        <w:rPr>
          <w:rFonts w:ascii="Garamond" w:hAnsi="Garamond"/>
          <w:i/>
          <w:iCs/>
          <w:sz w:val="22"/>
          <w:szCs w:val="22"/>
        </w:rPr>
        <w:t>Dep’t</w:t>
      </w:r>
      <w:proofErr w:type="spellEnd"/>
      <w:r w:rsidRPr="00B413CB">
        <w:rPr>
          <w:rFonts w:ascii="Garamond" w:hAnsi="Garamond"/>
          <w:i/>
          <w:iCs/>
          <w:sz w:val="22"/>
          <w:szCs w:val="22"/>
        </w:rPr>
        <w:t xml:space="preserve"> of Rev. of Or. v. ACF Indus.</w:t>
      </w:r>
      <w:r w:rsidRPr="00CC605B">
        <w:rPr>
          <w:rFonts w:ascii="Garamond" w:hAnsi="Garamond"/>
          <w:sz w:val="22"/>
          <w:szCs w:val="22"/>
        </w:rPr>
        <w:t xml:space="preserve">, 510 U.S. 332, 345 (1994) (the power to tax is central to state sovereignty); </w:t>
      </w:r>
      <w:proofErr w:type="spellStart"/>
      <w:r w:rsidRPr="00B413CB">
        <w:rPr>
          <w:rFonts w:ascii="Garamond" w:hAnsi="Garamond"/>
          <w:i/>
          <w:iCs/>
          <w:sz w:val="22"/>
          <w:szCs w:val="22"/>
        </w:rPr>
        <w:t>Nat’l</w:t>
      </w:r>
      <w:proofErr w:type="spellEnd"/>
      <w:r w:rsidRPr="00B413CB">
        <w:rPr>
          <w:rFonts w:ascii="Garamond" w:hAnsi="Garamond"/>
          <w:i/>
          <w:iCs/>
          <w:sz w:val="22"/>
          <w:szCs w:val="22"/>
        </w:rPr>
        <w:t xml:space="preserve"> Priv. Truck Council, Inc. v. Okla. Tax Comm’n</w:t>
      </w:r>
      <w:r w:rsidRPr="00CC605B">
        <w:rPr>
          <w:rFonts w:ascii="Garamond" w:hAnsi="Garamond"/>
          <w:sz w:val="22"/>
          <w:szCs w:val="22"/>
        </w:rPr>
        <w:t>, 515 U.S. 582, 590 (1995) (stating there is a</w:t>
      </w:r>
      <w:r w:rsidRPr="00CB1031">
        <w:t xml:space="preserve"> </w:t>
      </w:r>
      <w:r w:rsidRPr="00CC605B">
        <w:rPr>
          <w:rFonts w:ascii="Garamond" w:hAnsi="Garamond"/>
          <w:sz w:val="22"/>
          <w:szCs w:val="22"/>
        </w:rPr>
        <w:t xml:space="preserve">“strong background presumption against interference with state taxation”); </w:t>
      </w:r>
      <w:r w:rsidRPr="00B413CB">
        <w:rPr>
          <w:rFonts w:ascii="Garamond" w:hAnsi="Garamond"/>
          <w:i/>
          <w:iCs/>
          <w:sz w:val="22"/>
          <w:szCs w:val="22"/>
        </w:rPr>
        <w:t xml:space="preserve">Arkansas v. Farm Credit Servs. </w:t>
      </w:r>
      <w:r w:rsidR="00B413CB">
        <w:rPr>
          <w:rFonts w:ascii="Garamond" w:hAnsi="Garamond"/>
          <w:i/>
          <w:iCs/>
          <w:sz w:val="22"/>
          <w:szCs w:val="22"/>
        </w:rPr>
        <w:t>o</w:t>
      </w:r>
      <w:r w:rsidRPr="00B413CB">
        <w:rPr>
          <w:rFonts w:ascii="Garamond" w:hAnsi="Garamond"/>
          <w:i/>
          <w:iCs/>
          <w:sz w:val="22"/>
          <w:szCs w:val="22"/>
        </w:rPr>
        <w:t>f Cent. Ark.</w:t>
      </w:r>
      <w:r w:rsidRPr="00CC605B">
        <w:rPr>
          <w:rFonts w:ascii="Garamond" w:hAnsi="Garamond"/>
          <w:sz w:val="22"/>
          <w:szCs w:val="22"/>
        </w:rPr>
        <w:t>, 520 U.S. 821, 826 (1997) (stating the power to tax is basic to the power of the State to exist).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077826"/>
      <w:docPartObj>
        <w:docPartGallery w:val="Watermarks"/>
        <w:docPartUnique/>
      </w:docPartObj>
    </w:sdtPr>
    <w:sdtEndPr/>
    <w:sdtContent>
      <w:p w14:paraId="0DD3BF74" w14:textId="01906517" w:rsidR="00D77A64" w:rsidRDefault="00232201">
        <w:pPr>
          <w:pStyle w:val="Header"/>
        </w:pPr>
        <w:r>
          <w:rPr>
            <w:noProof/>
          </w:rPr>
          <w:pict w14:anchorId="114E46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C7BBE"/>
    <w:multiLevelType w:val="hybridMultilevel"/>
    <w:tmpl w:val="AF26B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A9F222F"/>
    <w:multiLevelType w:val="hybridMultilevel"/>
    <w:tmpl w:val="0E7281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567CE"/>
    <w:multiLevelType w:val="hybridMultilevel"/>
    <w:tmpl w:val="E0B041AE"/>
    <w:lvl w:ilvl="0" w:tplc="270EB776">
      <w:start w:val="1"/>
      <w:numFmt w:val="upperLetter"/>
      <w:lvlText w:val="(%1)"/>
      <w:lvlJc w:val="left"/>
      <w:pPr>
        <w:ind w:left="1116" w:hanging="39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49C5EE3"/>
    <w:multiLevelType w:val="hybridMultilevel"/>
    <w:tmpl w:val="0ED43F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E46391"/>
    <w:multiLevelType w:val="hybridMultilevel"/>
    <w:tmpl w:val="0AF0D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AB53B3E"/>
    <w:multiLevelType w:val="hybridMultilevel"/>
    <w:tmpl w:val="10BA06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1D2C61"/>
    <w:multiLevelType w:val="hybridMultilevel"/>
    <w:tmpl w:val="06182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B162EC"/>
    <w:multiLevelType w:val="hybridMultilevel"/>
    <w:tmpl w:val="4FA4D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7C96FCF"/>
    <w:multiLevelType w:val="hybridMultilevel"/>
    <w:tmpl w:val="05087AF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F71663"/>
    <w:multiLevelType w:val="hybridMultilevel"/>
    <w:tmpl w:val="086C51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4487485"/>
    <w:multiLevelType w:val="hybridMultilevel"/>
    <w:tmpl w:val="C428E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DC5569"/>
    <w:multiLevelType w:val="hybridMultilevel"/>
    <w:tmpl w:val="B298F2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4E13E5E"/>
    <w:multiLevelType w:val="hybridMultilevel"/>
    <w:tmpl w:val="D5FA9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854AE"/>
    <w:multiLevelType w:val="hybridMultilevel"/>
    <w:tmpl w:val="112C3B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EB7629"/>
    <w:multiLevelType w:val="hybridMultilevel"/>
    <w:tmpl w:val="493AB546"/>
    <w:lvl w:ilvl="0" w:tplc="04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749427564">
    <w:abstractNumId w:val="6"/>
  </w:num>
  <w:num w:numId="2" w16cid:durableId="1942910873">
    <w:abstractNumId w:val="13"/>
  </w:num>
  <w:num w:numId="3" w16cid:durableId="1779718520">
    <w:abstractNumId w:val="1"/>
  </w:num>
  <w:num w:numId="4" w16cid:durableId="1617448080">
    <w:abstractNumId w:val="5"/>
  </w:num>
  <w:num w:numId="5" w16cid:durableId="1780687283">
    <w:abstractNumId w:val="2"/>
  </w:num>
  <w:num w:numId="6" w16cid:durableId="1434787209">
    <w:abstractNumId w:val="8"/>
  </w:num>
  <w:num w:numId="7" w16cid:durableId="1544948597">
    <w:abstractNumId w:val="4"/>
  </w:num>
  <w:num w:numId="8" w16cid:durableId="498882895">
    <w:abstractNumId w:val="11"/>
  </w:num>
  <w:num w:numId="9" w16cid:durableId="1009452998">
    <w:abstractNumId w:val="12"/>
  </w:num>
  <w:num w:numId="10" w16cid:durableId="1536773153">
    <w:abstractNumId w:val="10"/>
  </w:num>
  <w:num w:numId="11" w16cid:durableId="1121532346">
    <w:abstractNumId w:val="3"/>
  </w:num>
  <w:num w:numId="12" w16cid:durableId="1395196216">
    <w:abstractNumId w:val="14"/>
  </w:num>
  <w:num w:numId="13" w16cid:durableId="676270266">
    <w:abstractNumId w:val="7"/>
  </w:num>
  <w:num w:numId="14" w16cid:durableId="1343505621">
    <w:abstractNumId w:val="9"/>
  </w:num>
  <w:num w:numId="15" w16cid:durableId="1334603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02C"/>
    <w:rsid w:val="00002C44"/>
    <w:rsid w:val="00003F28"/>
    <w:rsid w:val="000046B2"/>
    <w:rsid w:val="00004F77"/>
    <w:rsid w:val="0000783C"/>
    <w:rsid w:val="00011719"/>
    <w:rsid w:val="000153A5"/>
    <w:rsid w:val="00015F73"/>
    <w:rsid w:val="00017F98"/>
    <w:rsid w:val="00022F5D"/>
    <w:rsid w:val="000234A8"/>
    <w:rsid w:val="000258B8"/>
    <w:rsid w:val="00025B6B"/>
    <w:rsid w:val="00030BB3"/>
    <w:rsid w:val="0003365E"/>
    <w:rsid w:val="0003502C"/>
    <w:rsid w:val="00036D36"/>
    <w:rsid w:val="00042698"/>
    <w:rsid w:val="00042CBD"/>
    <w:rsid w:val="000459F0"/>
    <w:rsid w:val="0005264B"/>
    <w:rsid w:val="00052F90"/>
    <w:rsid w:val="0005334F"/>
    <w:rsid w:val="00054036"/>
    <w:rsid w:val="00056C66"/>
    <w:rsid w:val="000575FE"/>
    <w:rsid w:val="00060D14"/>
    <w:rsid w:val="0006234F"/>
    <w:rsid w:val="000704A8"/>
    <w:rsid w:val="000732DE"/>
    <w:rsid w:val="00077A1E"/>
    <w:rsid w:val="00083990"/>
    <w:rsid w:val="000839BD"/>
    <w:rsid w:val="0008458F"/>
    <w:rsid w:val="000869C4"/>
    <w:rsid w:val="00087BCD"/>
    <w:rsid w:val="0009185B"/>
    <w:rsid w:val="000921C9"/>
    <w:rsid w:val="000930E5"/>
    <w:rsid w:val="00093DB8"/>
    <w:rsid w:val="00096163"/>
    <w:rsid w:val="000A1022"/>
    <w:rsid w:val="000A11CD"/>
    <w:rsid w:val="000A14D0"/>
    <w:rsid w:val="000A435F"/>
    <w:rsid w:val="000B4759"/>
    <w:rsid w:val="000C2058"/>
    <w:rsid w:val="000C2EDB"/>
    <w:rsid w:val="000C75D6"/>
    <w:rsid w:val="000D55C7"/>
    <w:rsid w:val="000D584C"/>
    <w:rsid w:val="000D5AAB"/>
    <w:rsid w:val="000D5BAF"/>
    <w:rsid w:val="000E0BF7"/>
    <w:rsid w:val="000E4203"/>
    <w:rsid w:val="00102481"/>
    <w:rsid w:val="00103D1F"/>
    <w:rsid w:val="0010550F"/>
    <w:rsid w:val="00105D9B"/>
    <w:rsid w:val="00107A91"/>
    <w:rsid w:val="001169F9"/>
    <w:rsid w:val="00117A9D"/>
    <w:rsid w:val="00127494"/>
    <w:rsid w:val="00134DC5"/>
    <w:rsid w:val="0014147F"/>
    <w:rsid w:val="00145EAD"/>
    <w:rsid w:val="00151B54"/>
    <w:rsid w:val="001530F5"/>
    <w:rsid w:val="0015333B"/>
    <w:rsid w:val="00154376"/>
    <w:rsid w:val="00154BA0"/>
    <w:rsid w:val="00156E47"/>
    <w:rsid w:val="00171173"/>
    <w:rsid w:val="001715C6"/>
    <w:rsid w:val="00173C8D"/>
    <w:rsid w:val="0017489F"/>
    <w:rsid w:val="00175913"/>
    <w:rsid w:val="00180E0D"/>
    <w:rsid w:val="00181390"/>
    <w:rsid w:val="00184691"/>
    <w:rsid w:val="00184C00"/>
    <w:rsid w:val="001855B9"/>
    <w:rsid w:val="001950A5"/>
    <w:rsid w:val="00195D75"/>
    <w:rsid w:val="001A1C1D"/>
    <w:rsid w:val="001A525E"/>
    <w:rsid w:val="001A558C"/>
    <w:rsid w:val="001A65E2"/>
    <w:rsid w:val="001A6C70"/>
    <w:rsid w:val="001A7405"/>
    <w:rsid w:val="001B005C"/>
    <w:rsid w:val="001B20C7"/>
    <w:rsid w:val="001B5B43"/>
    <w:rsid w:val="001C07BE"/>
    <w:rsid w:val="001C1323"/>
    <w:rsid w:val="001C300C"/>
    <w:rsid w:val="001C651A"/>
    <w:rsid w:val="001C6682"/>
    <w:rsid w:val="001D53F4"/>
    <w:rsid w:val="001D613B"/>
    <w:rsid w:val="001E23C8"/>
    <w:rsid w:val="001E37FA"/>
    <w:rsid w:val="001E68DA"/>
    <w:rsid w:val="001E69C2"/>
    <w:rsid w:val="001E6E34"/>
    <w:rsid w:val="001F002B"/>
    <w:rsid w:val="001F4D07"/>
    <w:rsid w:val="002002E0"/>
    <w:rsid w:val="00200C7E"/>
    <w:rsid w:val="00204355"/>
    <w:rsid w:val="002046C2"/>
    <w:rsid w:val="00204788"/>
    <w:rsid w:val="002050EB"/>
    <w:rsid w:val="00205E78"/>
    <w:rsid w:val="002100EA"/>
    <w:rsid w:val="002105B4"/>
    <w:rsid w:val="00212BF7"/>
    <w:rsid w:val="00220579"/>
    <w:rsid w:val="00220B18"/>
    <w:rsid w:val="00220B88"/>
    <w:rsid w:val="00224261"/>
    <w:rsid w:val="002252EE"/>
    <w:rsid w:val="002262E4"/>
    <w:rsid w:val="002264C7"/>
    <w:rsid w:val="00227EAB"/>
    <w:rsid w:val="00232201"/>
    <w:rsid w:val="0023475A"/>
    <w:rsid w:val="002359F9"/>
    <w:rsid w:val="0024399C"/>
    <w:rsid w:val="0024723F"/>
    <w:rsid w:val="002516CE"/>
    <w:rsid w:val="0025251F"/>
    <w:rsid w:val="00252F08"/>
    <w:rsid w:val="00254BB5"/>
    <w:rsid w:val="002646A3"/>
    <w:rsid w:val="00266116"/>
    <w:rsid w:val="00271706"/>
    <w:rsid w:val="00272598"/>
    <w:rsid w:val="002773F5"/>
    <w:rsid w:val="00280642"/>
    <w:rsid w:val="002867B3"/>
    <w:rsid w:val="002869CF"/>
    <w:rsid w:val="00287B00"/>
    <w:rsid w:val="002A22F0"/>
    <w:rsid w:val="002A2A7F"/>
    <w:rsid w:val="002A591B"/>
    <w:rsid w:val="002B1E12"/>
    <w:rsid w:val="002B524E"/>
    <w:rsid w:val="002B569D"/>
    <w:rsid w:val="002B5D93"/>
    <w:rsid w:val="002C203E"/>
    <w:rsid w:val="002D1F93"/>
    <w:rsid w:val="002D20D6"/>
    <w:rsid w:val="002D27EE"/>
    <w:rsid w:val="002D6480"/>
    <w:rsid w:val="002E0729"/>
    <w:rsid w:val="002E34BF"/>
    <w:rsid w:val="002F2CF9"/>
    <w:rsid w:val="002F4B22"/>
    <w:rsid w:val="003028BA"/>
    <w:rsid w:val="00311B64"/>
    <w:rsid w:val="0031371C"/>
    <w:rsid w:val="00314AAE"/>
    <w:rsid w:val="00315535"/>
    <w:rsid w:val="00315EE3"/>
    <w:rsid w:val="00316AD6"/>
    <w:rsid w:val="0032268D"/>
    <w:rsid w:val="003241D7"/>
    <w:rsid w:val="0032608E"/>
    <w:rsid w:val="003315B1"/>
    <w:rsid w:val="00334219"/>
    <w:rsid w:val="00334A1A"/>
    <w:rsid w:val="003406F0"/>
    <w:rsid w:val="003413DB"/>
    <w:rsid w:val="003448FE"/>
    <w:rsid w:val="00345632"/>
    <w:rsid w:val="00346BB9"/>
    <w:rsid w:val="00347892"/>
    <w:rsid w:val="0035041B"/>
    <w:rsid w:val="00351FBE"/>
    <w:rsid w:val="003531C5"/>
    <w:rsid w:val="00354EBC"/>
    <w:rsid w:val="00357837"/>
    <w:rsid w:val="00372DAF"/>
    <w:rsid w:val="003769F7"/>
    <w:rsid w:val="00383A97"/>
    <w:rsid w:val="00384C1D"/>
    <w:rsid w:val="00385F13"/>
    <w:rsid w:val="00386D30"/>
    <w:rsid w:val="003950A4"/>
    <w:rsid w:val="00395C2F"/>
    <w:rsid w:val="003A14AB"/>
    <w:rsid w:val="003A2607"/>
    <w:rsid w:val="003A2BD7"/>
    <w:rsid w:val="003A42CD"/>
    <w:rsid w:val="003A5DBE"/>
    <w:rsid w:val="003A5F10"/>
    <w:rsid w:val="003B25CB"/>
    <w:rsid w:val="003B69C5"/>
    <w:rsid w:val="003B6D35"/>
    <w:rsid w:val="003C0CF5"/>
    <w:rsid w:val="003C1331"/>
    <w:rsid w:val="003C16C8"/>
    <w:rsid w:val="003C2F5A"/>
    <w:rsid w:val="003C36EE"/>
    <w:rsid w:val="003C3D75"/>
    <w:rsid w:val="003C576D"/>
    <w:rsid w:val="003D028C"/>
    <w:rsid w:val="003D03DF"/>
    <w:rsid w:val="003D11A6"/>
    <w:rsid w:val="003D35F5"/>
    <w:rsid w:val="003D518E"/>
    <w:rsid w:val="003D5237"/>
    <w:rsid w:val="003D7B60"/>
    <w:rsid w:val="003E47B5"/>
    <w:rsid w:val="003E577A"/>
    <w:rsid w:val="003F31E1"/>
    <w:rsid w:val="003F340C"/>
    <w:rsid w:val="003F6506"/>
    <w:rsid w:val="00403FCE"/>
    <w:rsid w:val="00405B1D"/>
    <w:rsid w:val="00406F34"/>
    <w:rsid w:val="004110E0"/>
    <w:rsid w:val="00412B78"/>
    <w:rsid w:val="0041418F"/>
    <w:rsid w:val="004141E7"/>
    <w:rsid w:val="00430C47"/>
    <w:rsid w:val="00432DD8"/>
    <w:rsid w:val="00434A65"/>
    <w:rsid w:val="00442E13"/>
    <w:rsid w:val="004504E1"/>
    <w:rsid w:val="004544DD"/>
    <w:rsid w:val="00455897"/>
    <w:rsid w:val="0045604E"/>
    <w:rsid w:val="00457518"/>
    <w:rsid w:val="00457CB3"/>
    <w:rsid w:val="0046312C"/>
    <w:rsid w:val="004644CA"/>
    <w:rsid w:val="00465D51"/>
    <w:rsid w:val="004667C4"/>
    <w:rsid w:val="00467936"/>
    <w:rsid w:val="00467CEE"/>
    <w:rsid w:val="00473639"/>
    <w:rsid w:val="0047506E"/>
    <w:rsid w:val="004753CC"/>
    <w:rsid w:val="004754D8"/>
    <w:rsid w:val="00475634"/>
    <w:rsid w:val="0047711E"/>
    <w:rsid w:val="00477686"/>
    <w:rsid w:val="00477F79"/>
    <w:rsid w:val="00482A4B"/>
    <w:rsid w:val="004853C4"/>
    <w:rsid w:val="00486BE6"/>
    <w:rsid w:val="0049163E"/>
    <w:rsid w:val="00491699"/>
    <w:rsid w:val="004919AD"/>
    <w:rsid w:val="00492911"/>
    <w:rsid w:val="004A6CA2"/>
    <w:rsid w:val="004B0044"/>
    <w:rsid w:val="004B12CF"/>
    <w:rsid w:val="004B20AA"/>
    <w:rsid w:val="004B4859"/>
    <w:rsid w:val="004B5C86"/>
    <w:rsid w:val="004B7CE0"/>
    <w:rsid w:val="004C1341"/>
    <w:rsid w:val="004C1D64"/>
    <w:rsid w:val="004C7015"/>
    <w:rsid w:val="004D562A"/>
    <w:rsid w:val="004D7A67"/>
    <w:rsid w:val="004E199D"/>
    <w:rsid w:val="004E277B"/>
    <w:rsid w:val="004E660D"/>
    <w:rsid w:val="004E7A03"/>
    <w:rsid w:val="004F0B25"/>
    <w:rsid w:val="004F0E6A"/>
    <w:rsid w:val="004F18B9"/>
    <w:rsid w:val="004F2705"/>
    <w:rsid w:val="004F3E06"/>
    <w:rsid w:val="004F6AC7"/>
    <w:rsid w:val="004F6E74"/>
    <w:rsid w:val="004F7F02"/>
    <w:rsid w:val="00510514"/>
    <w:rsid w:val="00510FD1"/>
    <w:rsid w:val="0051102A"/>
    <w:rsid w:val="0051140D"/>
    <w:rsid w:val="00511D4C"/>
    <w:rsid w:val="00513DEB"/>
    <w:rsid w:val="005152B3"/>
    <w:rsid w:val="00523D16"/>
    <w:rsid w:val="00523EB2"/>
    <w:rsid w:val="0053422B"/>
    <w:rsid w:val="00535D3C"/>
    <w:rsid w:val="005362A5"/>
    <w:rsid w:val="005401E3"/>
    <w:rsid w:val="00542263"/>
    <w:rsid w:val="0054328D"/>
    <w:rsid w:val="00543F20"/>
    <w:rsid w:val="005468D6"/>
    <w:rsid w:val="005474C1"/>
    <w:rsid w:val="005507FA"/>
    <w:rsid w:val="00556DDA"/>
    <w:rsid w:val="0056086E"/>
    <w:rsid w:val="0056134B"/>
    <w:rsid w:val="00561BFB"/>
    <w:rsid w:val="00561D7F"/>
    <w:rsid w:val="0056346F"/>
    <w:rsid w:val="0056440A"/>
    <w:rsid w:val="0056645D"/>
    <w:rsid w:val="00570786"/>
    <w:rsid w:val="00570D7D"/>
    <w:rsid w:val="005721C4"/>
    <w:rsid w:val="00575680"/>
    <w:rsid w:val="0057752C"/>
    <w:rsid w:val="00577641"/>
    <w:rsid w:val="00580DDF"/>
    <w:rsid w:val="0058233B"/>
    <w:rsid w:val="00583E4C"/>
    <w:rsid w:val="00593A2B"/>
    <w:rsid w:val="0059567C"/>
    <w:rsid w:val="005971B7"/>
    <w:rsid w:val="005A2170"/>
    <w:rsid w:val="005A59E4"/>
    <w:rsid w:val="005B2EBD"/>
    <w:rsid w:val="005B7CEB"/>
    <w:rsid w:val="005C279D"/>
    <w:rsid w:val="005C4C07"/>
    <w:rsid w:val="005C521E"/>
    <w:rsid w:val="005D734A"/>
    <w:rsid w:val="005E1F85"/>
    <w:rsid w:val="005E662B"/>
    <w:rsid w:val="005F0719"/>
    <w:rsid w:val="006039D2"/>
    <w:rsid w:val="0060753A"/>
    <w:rsid w:val="00610070"/>
    <w:rsid w:val="006112A8"/>
    <w:rsid w:val="00611BBC"/>
    <w:rsid w:val="0061228E"/>
    <w:rsid w:val="00613191"/>
    <w:rsid w:val="00613F5A"/>
    <w:rsid w:val="00614EC9"/>
    <w:rsid w:val="00615F13"/>
    <w:rsid w:val="00616E3F"/>
    <w:rsid w:val="006178C8"/>
    <w:rsid w:val="00624347"/>
    <w:rsid w:val="00626B37"/>
    <w:rsid w:val="00630D64"/>
    <w:rsid w:val="00631C15"/>
    <w:rsid w:val="006326CE"/>
    <w:rsid w:val="00633577"/>
    <w:rsid w:val="00633F72"/>
    <w:rsid w:val="00634C39"/>
    <w:rsid w:val="0063662C"/>
    <w:rsid w:val="00636A5F"/>
    <w:rsid w:val="00637346"/>
    <w:rsid w:val="00637365"/>
    <w:rsid w:val="00640857"/>
    <w:rsid w:val="00644B39"/>
    <w:rsid w:val="00645A3E"/>
    <w:rsid w:val="00646F29"/>
    <w:rsid w:val="00647E94"/>
    <w:rsid w:val="00650875"/>
    <w:rsid w:val="00650C02"/>
    <w:rsid w:val="0065217D"/>
    <w:rsid w:val="00653EDE"/>
    <w:rsid w:val="00654DAB"/>
    <w:rsid w:val="00657B16"/>
    <w:rsid w:val="006633C0"/>
    <w:rsid w:val="00665087"/>
    <w:rsid w:val="00665C57"/>
    <w:rsid w:val="00670177"/>
    <w:rsid w:val="00671072"/>
    <w:rsid w:val="006711C2"/>
    <w:rsid w:val="006823C4"/>
    <w:rsid w:val="00686C97"/>
    <w:rsid w:val="00687715"/>
    <w:rsid w:val="00693A70"/>
    <w:rsid w:val="00693E32"/>
    <w:rsid w:val="00693E82"/>
    <w:rsid w:val="00695AB5"/>
    <w:rsid w:val="006A1E71"/>
    <w:rsid w:val="006A29A2"/>
    <w:rsid w:val="006A4D9B"/>
    <w:rsid w:val="006B003F"/>
    <w:rsid w:val="006B0911"/>
    <w:rsid w:val="006B32E3"/>
    <w:rsid w:val="006B3C9E"/>
    <w:rsid w:val="006B524C"/>
    <w:rsid w:val="006B69FC"/>
    <w:rsid w:val="006B74BA"/>
    <w:rsid w:val="006C0CAF"/>
    <w:rsid w:val="006C27EF"/>
    <w:rsid w:val="006C3530"/>
    <w:rsid w:val="006C5383"/>
    <w:rsid w:val="006C777C"/>
    <w:rsid w:val="006D3913"/>
    <w:rsid w:val="006D4D5B"/>
    <w:rsid w:val="006D53C0"/>
    <w:rsid w:val="006D62D7"/>
    <w:rsid w:val="006E1956"/>
    <w:rsid w:val="006E388F"/>
    <w:rsid w:val="006E49EC"/>
    <w:rsid w:val="006E50AB"/>
    <w:rsid w:val="006F2AA6"/>
    <w:rsid w:val="006F5CEE"/>
    <w:rsid w:val="006F6AAB"/>
    <w:rsid w:val="006F6E55"/>
    <w:rsid w:val="007017A1"/>
    <w:rsid w:val="007026A6"/>
    <w:rsid w:val="007029DF"/>
    <w:rsid w:val="00703E25"/>
    <w:rsid w:val="00704830"/>
    <w:rsid w:val="00706173"/>
    <w:rsid w:val="0070684D"/>
    <w:rsid w:val="00713355"/>
    <w:rsid w:val="007162D0"/>
    <w:rsid w:val="00716B93"/>
    <w:rsid w:val="00723029"/>
    <w:rsid w:val="007237F5"/>
    <w:rsid w:val="007252B1"/>
    <w:rsid w:val="00725D65"/>
    <w:rsid w:val="0072646B"/>
    <w:rsid w:val="00727C6F"/>
    <w:rsid w:val="007334D4"/>
    <w:rsid w:val="00740934"/>
    <w:rsid w:val="0074220F"/>
    <w:rsid w:val="00743093"/>
    <w:rsid w:val="007434B1"/>
    <w:rsid w:val="00745BAB"/>
    <w:rsid w:val="00750655"/>
    <w:rsid w:val="00753C65"/>
    <w:rsid w:val="00754135"/>
    <w:rsid w:val="0075506D"/>
    <w:rsid w:val="0076382A"/>
    <w:rsid w:val="00764AE5"/>
    <w:rsid w:val="0076612F"/>
    <w:rsid w:val="007663FB"/>
    <w:rsid w:val="00767408"/>
    <w:rsid w:val="00767E81"/>
    <w:rsid w:val="00770681"/>
    <w:rsid w:val="00771A2E"/>
    <w:rsid w:val="007742D2"/>
    <w:rsid w:val="007800E9"/>
    <w:rsid w:val="0078086E"/>
    <w:rsid w:val="007879E2"/>
    <w:rsid w:val="00791662"/>
    <w:rsid w:val="00791AD5"/>
    <w:rsid w:val="00792456"/>
    <w:rsid w:val="00792DB0"/>
    <w:rsid w:val="0079644A"/>
    <w:rsid w:val="007973D1"/>
    <w:rsid w:val="007A188E"/>
    <w:rsid w:val="007A47BF"/>
    <w:rsid w:val="007A64E3"/>
    <w:rsid w:val="007B081E"/>
    <w:rsid w:val="007B0D29"/>
    <w:rsid w:val="007B2201"/>
    <w:rsid w:val="007C5402"/>
    <w:rsid w:val="007D284F"/>
    <w:rsid w:val="007D3DFA"/>
    <w:rsid w:val="007D40F2"/>
    <w:rsid w:val="007E0D4C"/>
    <w:rsid w:val="007F0FC7"/>
    <w:rsid w:val="007F1B92"/>
    <w:rsid w:val="007F1E88"/>
    <w:rsid w:val="007F1F5D"/>
    <w:rsid w:val="007F3A7C"/>
    <w:rsid w:val="00803E19"/>
    <w:rsid w:val="00803F76"/>
    <w:rsid w:val="0080619E"/>
    <w:rsid w:val="00807751"/>
    <w:rsid w:val="008100DD"/>
    <w:rsid w:val="00815E38"/>
    <w:rsid w:val="008165D8"/>
    <w:rsid w:val="00816AC0"/>
    <w:rsid w:val="00817F3A"/>
    <w:rsid w:val="008213E8"/>
    <w:rsid w:val="00822FFC"/>
    <w:rsid w:val="008230AC"/>
    <w:rsid w:val="008231BA"/>
    <w:rsid w:val="0082340B"/>
    <w:rsid w:val="00826D3C"/>
    <w:rsid w:val="0082723C"/>
    <w:rsid w:val="00832BE1"/>
    <w:rsid w:val="00836DE8"/>
    <w:rsid w:val="00843568"/>
    <w:rsid w:val="008438D9"/>
    <w:rsid w:val="00844EE6"/>
    <w:rsid w:val="008518CC"/>
    <w:rsid w:val="00851A86"/>
    <w:rsid w:val="00855F5A"/>
    <w:rsid w:val="00857A8B"/>
    <w:rsid w:val="00861767"/>
    <w:rsid w:val="008638DE"/>
    <w:rsid w:val="00863B87"/>
    <w:rsid w:val="008660C3"/>
    <w:rsid w:val="0087345B"/>
    <w:rsid w:val="00877509"/>
    <w:rsid w:val="0087773A"/>
    <w:rsid w:val="00881D7B"/>
    <w:rsid w:val="0088292C"/>
    <w:rsid w:val="00883127"/>
    <w:rsid w:val="00883F70"/>
    <w:rsid w:val="0088486D"/>
    <w:rsid w:val="00885385"/>
    <w:rsid w:val="00893175"/>
    <w:rsid w:val="00894AB3"/>
    <w:rsid w:val="00894E92"/>
    <w:rsid w:val="00895CE9"/>
    <w:rsid w:val="008B1DF1"/>
    <w:rsid w:val="008B3B03"/>
    <w:rsid w:val="008B3F80"/>
    <w:rsid w:val="008B64F1"/>
    <w:rsid w:val="008C03EE"/>
    <w:rsid w:val="008C05C0"/>
    <w:rsid w:val="008C1571"/>
    <w:rsid w:val="008C419C"/>
    <w:rsid w:val="008C463F"/>
    <w:rsid w:val="008D1AFC"/>
    <w:rsid w:val="008D20AF"/>
    <w:rsid w:val="008D56E1"/>
    <w:rsid w:val="008D736A"/>
    <w:rsid w:val="008E0D7D"/>
    <w:rsid w:val="008E2039"/>
    <w:rsid w:val="008E5A10"/>
    <w:rsid w:val="008E5C67"/>
    <w:rsid w:val="008E5F95"/>
    <w:rsid w:val="008E6CBD"/>
    <w:rsid w:val="008E6CBF"/>
    <w:rsid w:val="008E71CC"/>
    <w:rsid w:val="008F0CFE"/>
    <w:rsid w:val="008F225C"/>
    <w:rsid w:val="008F2955"/>
    <w:rsid w:val="008F4FAE"/>
    <w:rsid w:val="008F7F4A"/>
    <w:rsid w:val="00902E6A"/>
    <w:rsid w:val="0090310C"/>
    <w:rsid w:val="00904CC4"/>
    <w:rsid w:val="00907146"/>
    <w:rsid w:val="00907B7A"/>
    <w:rsid w:val="00910203"/>
    <w:rsid w:val="00924312"/>
    <w:rsid w:val="009243A0"/>
    <w:rsid w:val="00930F0A"/>
    <w:rsid w:val="00930F20"/>
    <w:rsid w:val="009331F5"/>
    <w:rsid w:val="009332F2"/>
    <w:rsid w:val="00933D2D"/>
    <w:rsid w:val="009350C0"/>
    <w:rsid w:val="009359E7"/>
    <w:rsid w:val="00935DA4"/>
    <w:rsid w:val="00936825"/>
    <w:rsid w:val="00940F46"/>
    <w:rsid w:val="009422A9"/>
    <w:rsid w:val="00943660"/>
    <w:rsid w:val="00943A26"/>
    <w:rsid w:val="009529B4"/>
    <w:rsid w:val="00954313"/>
    <w:rsid w:val="00957D9F"/>
    <w:rsid w:val="00960725"/>
    <w:rsid w:val="00960925"/>
    <w:rsid w:val="00967E8F"/>
    <w:rsid w:val="00972157"/>
    <w:rsid w:val="009804C0"/>
    <w:rsid w:val="009901A1"/>
    <w:rsid w:val="009912B3"/>
    <w:rsid w:val="00991891"/>
    <w:rsid w:val="009954EF"/>
    <w:rsid w:val="00996A39"/>
    <w:rsid w:val="00997C70"/>
    <w:rsid w:val="00997EC3"/>
    <w:rsid w:val="009A09CA"/>
    <w:rsid w:val="009A1F68"/>
    <w:rsid w:val="009A56C7"/>
    <w:rsid w:val="009A66DF"/>
    <w:rsid w:val="009B0FBF"/>
    <w:rsid w:val="009B3D17"/>
    <w:rsid w:val="009B511E"/>
    <w:rsid w:val="009B5BF3"/>
    <w:rsid w:val="009B5EC7"/>
    <w:rsid w:val="009B79D3"/>
    <w:rsid w:val="009C13BD"/>
    <w:rsid w:val="009D4627"/>
    <w:rsid w:val="009D789B"/>
    <w:rsid w:val="009E329A"/>
    <w:rsid w:val="009E3CD2"/>
    <w:rsid w:val="009E636A"/>
    <w:rsid w:val="009F08A0"/>
    <w:rsid w:val="009F12EB"/>
    <w:rsid w:val="009F37FD"/>
    <w:rsid w:val="00A01D1E"/>
    <w:rsid w:val="00A043AE"/>
    <w:rsid w:val="00A04EF4"/>
    <w:rsid w:val="00A068A5"/>
    <w:rsid w:val="00A10319"/>
    <w:rsid w:val="00A11CE0"/>
    <w:rsid w:val="00A11CE7"/>
    <w:rsid w:val="00A1479E"/>
    <w:rsid w:val="00A1587B"/>
    <w:rsid w:val="00A1693D"/>
    <w:rsid w:val="00A17605"/>
    <w:rsid w:val="00A2399A"/>
    <w:rsid w:val="00A25605"/>
    <w:rsid w:val="00A2593F"/>
    <w:rsid w:val="00A3061C"/>
    <w:rsid w:val="00A31A93"/>
    <w:rsid w:val="00A31F37"/>
    <w:rsid w:val="00A3537E"/>
    <w:rsid w:val="00A36F01"/>
    <w:rsid w:val="00A37436"/>
    <w:rsid w:val="00A37D29"/>
    <w:rsid w:val="00A41253"/>
    <w:rsid w:val="00A41C85"/>
    <w:rsid w:val="00A443B4"/>
    <w:rsid w:val="00A445AE"/>
    <w:rsid w:val="00A46541"/>
    <w:rsid w:val="00A472D2"/>
    <w:rsid w:val="00A57094"/>
    <w:rsid w:val="00A63BBB"/>
    <w:rsid w:val="00A65329"/>
    <w:rsid w:val="00A6577C"/>
    <w:rsid w:val="00A6624E"/>
    <w:rsid w:val="00A66F00"/>
    <w:rsid w:val="00A67119"/>
    <w:rsid w:val="00A70C32"/>
    <w:rsid w:val="00A76F25"/>
    <w:rsid w:val="00A773BB"/>
    <w:rsid w:val="00A80281"/>
    <w:rsid w:val="00A808AE"/>
    <w:rsid w:val="00A85D1E"/>
    <w:rsid w:val="00A95531"/>
    <w:rsid w:val="00AA03E3"/>
    <w:rsid w:val="00AA1C45"/>
    <w:rsid w:val="00AA2E5E"/>
    <w:rsid w:val="00AA5CBB"/>
    <w:rsid w:val="00AB3EAB"/>
    <w:rsid w:val="00AB71A1"/>
    <w:rsid w:val="00AB78D1"/>
    <w:rsid w:val="00AB7C89"/>
    <w:rsid w:val="00AB7CDA"/>
    <w:rsid w:val="00AB7CE1"/>
    <w:rsid w:val="00AD4801"/>
    <w:rsid w:val="00AD523D"/>
    <w:rsid w:val="00AE043D"/>
    <w:rsid w:val="00AE14A6"/>
    <w:rsid w:val="00AE36CB"/>
    <w:rsid w:val="00AE381E"/>
    <w:rsid w:val="00AE684F"/>
    <w:rsid w:val="00AE6C35"/>
    <w:rsid w:val="00B01B4D"/>
    <w:rsid w:val="00B055C2"/>
    <w:rsid w:val="00B065F7"/>
    <w:rsid w:val="00B078A7"/>
    <w:rsid w:val="00B07EDC"/>
    <w:rsid w:val="00B10295"/>
    <w:rsid w:val="00B11B8A"/>
    <w:rsid w:val="00B173CD"/>
    <w:rsid w:val="00B22107"/>
    <w:rsid w:val="00B25B85"/>
    <w:rsid w:val="00B27E93"/>
    <w:rsid w:val="00B35C4B"/>
    <w:rsid w:val="00B413CB"/>
    <w:rsid w:val="00B4504B"/>
    <w:rsid w:val="00B452B6"/>
    <w:rsid w:val="00B45976"/>
    <w:rsid w:val="00B45C08"/>
    <w:rsid w:val="00B45C1F"/>
    <w:rsid w:val="00B46822"/>
    <w:rsid w:val="00B46E3B"/>
    <w:rsid w:val="00B471FC"/>
    <w:rsid w:val="00B5065F"/>
    <w:rsid w:val="00B544BD"/>
    <w:rsid w:val="00B5502F"/>
    <w:rsid w:val="00B55663"/>
    <w:rsid w:val="00B62623"/>
    <w:rsid w:val="00B6295A"/>
    <w:rsid w:val="00B629CE"/>
    <w:rsid w:val="00B65301"/>
    <w:rsid w:val="00B72711"/>
    <w:rsid w:val="00B72C73"/>
    <w:rsid w:val="00B84674"/>
    <w:rsid w:val="00B849DC"/>
    <w:rsid w:val="00B86CA6"/>
    <w:rsid w:val="00B86DCB"/>
    <w:rsid w:val="00B917DE"/>
    <w:rsid w:val="00B962F1"/>
    <w:rsid w:val="00B97D1D"/>
    <w:rsid w:val="00BA1C0D"/>
    <w:rsid w:val="00BA75FC"/>
    <w:rsid w:val="00BB4407"/>
    <w:rsid w:val="00BB67C9"/>
    <w:rsid w:val="00BC0170"/>
    <w:rsid w:val="00BC6F78"/>
    <w:rsid w:val="00BC78A7"/>
    <w:rsid w:val="00BD1AB2"/>
    <w:rsid w:val="00BD3CD9"/>
    <w:rsid w:val="00BD543D"/>
    <w:rsid w:val="00BD5A49"/>
    <w:rsid w:val="00BE416F"/>
    <w:rsid w:val="00BE5AAE"/>
    <w:rsid w:val="00BE72B5"/>
    <w:rsid w:val="00BE7769"/>
    <w:rsid w:val="00BE77D9"/>
    <w:rsid w:val="00BF6071"/>
    <w:rsid w:val="00BF6303"/>
    <w:rsid w:val="00BF758A"/>
    <w:rsid w:val="00C00BCD"/>
    <w:rsid w:val="00C00E09"/>
    <w:rsid w:val="00C03751"/>
    <w:rsid w:val="00C03946"/>
    <w:rsid w:val="00C06A62"/>
    <w:rsid w:val="00C10B21"/>
    <w:rsid w:val="00C11096"/>
    <w:rsid w:val="00C115CF"/>
    <w:rsid w:val="00C13BA7"/>
    <w:rsid w:val="00C13C78"/>
    <w:rsid w:val="00C147B7"/>
    <w:rsid w:val="00C16826"/>
    <w:rsid w:val="00C17B90"/>
    <w:rsid w:val="00C17E97"/>
    <w:rsid w:val="00C25D5E"/>
    <w:rsid w:val="00C261F2"/>
    <w:rsid w:val="00C264A7"/>
    <w:rsid w:val="00C42D63"/>
    <w:rsid w:val="00C50250"/>
    <w:rsid w:val="00C50CA7"/>
    <w:rsid w:val="00C51EE2"/>
    <w:rsid w:val="00C5235A"/>
    <w:rsid w:val="00C52633"/>
    <w:rsid w:val="00C57475"/>
    <w:rsid w:val="00C624AE"/>
    <w:rsid w:val="00C65514"/>
    <w:rsid w:val="00C658BC"/>
    <w:rsid w:val="00C6709F"/>
    <w:rsid w:val="00C67A24"/>
    <w:rsid w:val="00C71CE8"/>
    <w:rsid w:val="00C7232A"/>
    <w:rsid w:val="00C72848"/>
    <w:rsid w:val="00C72BA2"/>
    <w:rsid w:val="00C72C8F"/>
    <w:rsid w:val="00C74430"/>
    <w:rsid w:val="00C80565"/>
    <w:rsid w:val="00C90B52"/>
    <w:rsid w:val="00C928EF"/>
    <w:rsid w:val="00C94109"/>
    <w:rsid w:val="00C944A2"/>
    <w:rsid w:val="00C950C3"/>
    <w:rsid w:val="00C9587A"/>
    <w:rsid w:val="00C95D2A"/>
    <w:rsid w:val="00C961D2"/>
    <w:rsid w:val="00CA0B50"/>
    <w:rsid w:val="00CA0B53"/>
    <w:rsid w:val="00CA0FA1"/>
    <w:rsid w:val="00CA1E72"/>
    <w:rsid w:val="00CA253D"/>
    <w:rsid w:val="00CA3F03"/>
    <w:rsid w:val="00CA483D"/>
    <w:rsid w:val="00CB05FE"/>
    <w:rsid w:val="00CB1031"/>
    <w:rsid w:val="00CB423C"/>
    <w:rsid w:val="00CC4139"/>
    <w:rsid w:val="00CC44F3"/>
    <w:rsid w:val="00CC605B"/>
    <w:rsid w:val="00CC643A"/>
    <w:rsid w:val="00CC6D25"/>
    <w:rsid w:val="00CD0925"/>
    <w:rsid w:val="00CD095F"/>
    <w:rsid w:val="00CD3250"/>
    <w:rsid w:val="00CD38C9"/>
    <w:rsid w:val="00CE103D"/>
    <w:rsid w:val="00CE1175"/>
    <w:rsid w:val="00CE6C87"/>
    <w:rsid w:val="00CF3201"/>
    <w:rsid w:val="00CF35F1"/>
    <w:rsid w:val="00CF6538"/>
    <w:rsid w:val="00D015BE"/>
    <w:rsid w:val="00D01830"/>
    <w:rsid w:val="00D0326C"/>
    <w:rsid w:val="00D03914"/>
    <w:rsid w:val="00D03F48"/>
    <w:rsid w:val="00D0573C"/>
    <w:rsid w:val="00D112FE"/>
    <w:rsid w:val="00D1229B"/>
    <w:rsid w:val="00D1365D"/>
    <w:rsid w:val="00D17559"/>
    <w:rsid w:val="00D2175D"/>
    <w:rsid w:val="00D21C6E"/>
    <w:rsid w:val="00D24FF9"/>
    <w:rsid w:val="00D2512C"/>
    <w:rsid w:val="00D276F3"/>
    <w:rsid w:val="00D2770E"/>
    <w:rsid w:val="00D308C2"/>
    <w:rsid w:val="00D31DBB"/>
    <w:rsid w:val="00D34064"/>
    <w:rsid w:val="00D35116"/>
    <w:rsid w:val="00D37A54"/>
    <w:rsid w:val="00D41149"/>
    <w:rsid w:val="00D44835"/>
    <w:rsid w:val="00D61966"/>
    <w:rsid w:val="00D635BB"/>
    <w:rsid w:val="00D64D78"/>
    <w:rsid w:val="00D65F0E"/>
    <w:rsid w:val="00D67140"/>
    <w:rsid w:val="00D71AF2"/>
    <w:rsid w:val="00D71BB0"/>
    <w:rsid w:val="00D7642A"/>
    <w:rsid w:val="00D76CF7"/>
    <w:rsid w:val="00D77A64"/>
    <w:rsid w:val="00D82053"/>
    <w:rsid w:val="00D870A4"/>
    <w:rsid w:val="00D91566"/>
    <w:rsid w:val="00D91DBB"/>
    <w:rsid w:val="00D94257"/>
    <w:rsid w:val="00D95B22"/>
    <w:rsid w:val="00D97713"/>
    <w:rsid w:val="00DA0F24"/>
    <w:rsid w:val="00DB00E0"/>
    <w:rsid w:val="00DB33DF"/>
    <w:rsid w:val="00DC1E27"/>
    <w:rsid w:val="00DC35CB"/>
    <w:rsid w:val="00DC3BBA"/>
    <w:rsid w:val="00DC44A4"/>
    <w:rsid w:val="00DC4508"/>
    <w:rsid w:val="00DC69C9"/>
    <w:rsid w:val="00DC6CA7"/>
    <w:rsid w:val="00DD5AED"/>
    <w:rsid w:val="00DE043F"/>
    <w:rsid w:val="00DE305E"/>
    <w:rsid w:val="00DE3196"/>
    <w:rsid w:val="00DE58FB"/>
    <w:rsid w:val="00DF207F"/>
    <w:rsid w:val="00DF2723"/>
    <w:rsid w:val="00DF5576"/>
    <w:rsid w:val="00DF61DB"/>
    <w:rsid w:val="00DF7A64"/>
    <w:rsid w:val="00DF7BB0"/>
    <w:rsid w:val="00E04E3B"/>
    <w:rsid w:val="00E079AE"/>
    <w:rsid w:val="00E113D0"/>
    <w:rsid w:val="00E15AAC"/>
    <w:rsid w:val="00E16634"/>
    <w:rsid w:val="00E273E2"/>
    <w:rsid w:val="00E32EF0"/>
    <w:rsid w:val="00E35ECC"/>
    <w:rsid w:val="00E369CE"/>
    <w:rsid w:val="00E429DB"/>
    <w:rsid w:val="00E44275"/>
    <w:rsid w:val="00E447C0"/>
    <w:rsid w:val="00E47D93"/>
    <w:rsid w:val="00E5187C"/>
    <w:rsid w:val="00E51F41"/>
    <w:rsid w:val="00E570B3"/>
    <w:rsid w:val="00E659DA"/>
    <w:rsid w:val="00E65DEA"/>
    <w:rsid w:val="00E66852"/>
    <w:rsid w:val="00E6788C"/>
    <w:rsid w:val="00E77741"/>
    <w:rsid w:val="00E800A2"/>
    <w:rsid w:val="00E80149"/>
    <w:rsid w:val="00E80907"/>
    <w:rsid w:val="00E809BA"/>
    <w:rsid w:val="00E82252"/>
    <w:rsid w:val="00E83953"/>
    <w:rsid w:val="00E904B4"/>
    <w:rsid w:val="00E90C67"/>
    <w:rsid w:val="00E90D95"/>
    <w:rsid w:val="00E9300B"/>
    <w:rsid w:val="00E93A3A"/>
    <w:rsid w:val="00E93F07"/>
    <w:rsid w:val="00E94A4A"/>
    <w:rsid w:val="00E95F3E"/>
    <w:rsid w:val="00E97153"/>
    <w:rsid w:val="00EA54C6"/>
    <w:rsid w:val="00EA6F5C"/>
    <w:rsid w:val="00EB2CD5"/>
    <w:rsid w:val="00EB6B6C"/>
    <w:rsid w:val="00EC2200"/>
    <w:rsid w:val="00EC4F93"/>
    <w:rsid w:val="00EC686F"/>
    <w:rsid w:val="00ED0E4B"/>
    <w:rsid w:val="00ED13EC"/>
    <w:rsid w:val="00ED466B"/>
    <w:rsid w:val="00EE190E"/>
    <w:rsid w:val="00EE1E86"/>
    <w:rsid w:val="00EE39B7"/>
    <w:rsid w:val="00EE3A8C"/>
    <w:rsid w:val="00EE421A"/>
    <w:rsid w:val="00EE4CCC"/>
    <w:rsid w:val="00EE5D59"/>
    <w:rsid w:val="00EE6062"/>
    <w:rsid w:val="00EE6408"/>
    <w:rsid w:val="00EF113E"/>
    <w:rsid w:val="00EF15BA"/>
    <w:rsid w:val="00EF17B5"/>
    <w:rsid w:val="00EF7638"/>
    <w:rsid w:val="00F06227"/>
    <w:rsid w:val="00F10C5F"/>
    <w:rsid w:val="00F11D94"/>
    <w:rsid w:val="00F13126"/>
    <w:rsid w:val="00F13166"/>
    <w:rsid w:val="00F14E1B"/>
    <w:rsid w:val="00F15CAA"/>
    <w:rsid w:val="00F16B23"/>
    <w:rsid w:val="00F1729A"/>
    <w:rsid w:val="00F20163"/>
    <w:rsid w:val="00F22996"/>
    <w:rsid w:val="00F258B6"/>
    <w:rsid w:val="00F26533"/>
    <w:rsid w:val="00F324F5"/>
    <w:rsid w:val="00F32A68"/>
    <w:rsid w:val="00F33908"/>
    <w:rsid w:val="00F352D5"/>
    <w:rsid w:val="00F50F93"/>
    <w:rsid w:val="00F51B65"/>
    <w:rsid w:val="00F547D0"/>
    <w:rsid w:val="00F60721"/>
    <w:rsid w:val="00F622B8"/>
    <w:rsid w:val="00F641D8"/>
    <w:rsid w:val="00F648CE"/>
    <w:rsid w:val="00F67710"/>
    <w:rsid w:val="00F67C91"/>
    <w:rsid w:val="00F7011A"/>
    <w:rsid w:val="00F70C71"/>
    <w:rsid w:val="00F730B7"/>
    <w:rsid w:val="00F73290"/>
    <w:rsid w:val="00F75CF8"/>
    <w:rsid w:val="00F7648D"/>
    <w:rsid w:val="00F76940"/>
    <w:rsid w:val="00F77DFB"/>
    <w:rsid w:val="00F80967"/>
    <w:rsid w:val="00F8325A"/>
    <w:rsid w:val="00F83EE7"/>
    <w:rsid w:val="00F84314"/>
    <w:rsid w:val="00F8581F"/>
    <w:rsid w:val="00F87B28"/>
    <w:rsid w:val="00F87EDE"/>
    <w:rsid w:val="00F90EBA"/>
    <w:rsid w:val="00F922DB"/>
    <w:rsid w:val="00F954C4"/>
    <w:rsid w:val="00F95713"/>
    <w:rsid w:val="00F95B22"/>
    <w:rsid w:val="00F9783E"/>
    <w:rsid w:val="00FA3429"/>
    <w:rsid w:val="00FA50E6"/>
    <w:rsid w:val="00FA7CB4"/>
    <w:rsid w:val="00FA7E55"/>
    <w:rsid w:val="00FB3197"/>
    <w:rsid w:val="00FB6C0B"/>
    <w:rsid w:val="00FC3426"/>
    <w:rsid w:val="00FC6D9A"/>
    <w:rsid w:val="00FC7444"/>
    <w:rsid w:val="00FD1EA9"/>
    <w:rsid w:val="00FD34AA"/>
    <w:rsid w:val="00FE0568"/>
    <w:rsid w:val="00FE2EBC"/>
    <w:rsid w:val="00FE3D99"/>
    <w:rsid w:val="00FE4FE4"/>
    <w:rsid w:val="00FE79C0"/>
    <w:rsid w:val="00FE7B5A"/>
    <w:rsid w:val="00FF0A8E"/>
    <w:rsid w:val="00FF34D7"/>
    <w:rsid w:val="00FF6503"/>
    <w:rsid w:val="00FF6833"/>
    <w:rsid w:val="04752864"/>
    <w:rsid w:val="08343E60"/>
    <w:rsid w:val="0BEB14D7"/>
    <w:rsid w:val="0C0EDAF3"/>
    <w:rsid w:val="0E372E3B"/>
    <w:rsid w:val="1083FEF5"/>
    <w:rsid w:val="12C52C61"/>
    <w:rsid w:val="1E40C6D0"/>
    <w:rsid w:val="1EB1CEC8"/>
    <w:rsid w:val="1F8A2BB3"/>
    <w:rsid w:val="22256E85"/>
    <w:rsid w:val="23F57F6B"/>
    <w:rsid w:val="2527C1C2"/>
    <w:rsid w:val="27E6D330"/>
    <w:rsid w:val="2B5A7E30"/>
    <w:rsid w:val="309D2742"/>
    <w:rsid w:val="317DF74B"/>
    <w:rsid w:val="339E5CA2"/>
    <w:rsid w:val="3460580F"/>
    <w:rsid w:val="375001F6"/>
    <w:rsid w:val="375E48D1"/>
    <w:rsid w:val="37BEA032"/>
    <w:rsid w:val="391EE9A4"/>
    <w:rsid w:val="39B85501"/>
    <w:rsid w:val="3A7928DE"/>
    <w:rsid w:val="3BBCAFAB"/>
    <w:rsid w:val="3C7454C2"/>
    <w:rsid w:val="3F0115B6"/>
    <w:rsid w:val="3FB6A111"/>
    <w:rsid w:val="41CE48D0"/>
    <w:rsid w:val="44C7164D"/>
    <w:rsid w:val="452FF0F7"/>
    <w:rsid w:val="47400514"/>
    <w:rsid w:val="4783F8D8"/>
    <w:rsid w:val="47C66892"/>
    <w:rsid w:val="481C5ACB"/>
    <w:rsid w:val="4882DCB8"/>
    <w:rsid w:val="48926A60"/>
    <w:rsid w:val="498CDB23"/>
    <w:rsid w:val="4A4189DC"/>
    <w:rsid w:val="4EDFAA8B"/>
    <w:rsid w:val="56EB1F01"/>
    <w:rsid w:val="5BB39AF3"/>
    <w:rsid w:val="5C189432"/>
    <w:rsid w:val="6061DC8C"/>
    <w:rsid w:val="634773BA"/>
    <w:rsid w:val="63DB2D30"/>
    <w:rsid w:val="64F0C916"/>
    <w:rsid w:val="69CCAC6F"/>
    <w:rsid w:val="72D4933B"/>
    <w:rsid w:val="73E33FA3"/>
    <w:rsid w:val="7870FA0A"/>
    <w:rsid w:val="78B024D1"/>
    <w:rsid w:val="7B1C30C2"/>
    <w:rsid w:val="7FCA5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F7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0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50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0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0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0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0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0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0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0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0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50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0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0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0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0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0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0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02C"/>
    <w:rPr>
      <w:rFonts w:eastAsiaTheme="majorEastAsia" w:cstheme="majorBidi"/>
      <w:color w:val="272727" w:themeColor="text1" w:themeTint="D8"/>
    </w:rPr>
  </w:style>
  <w:style w:type="paragraph" w:styleId="Title">
    <w:name w:val="Title"/>
    <w:basedOn w:val="Normal"/>
    <w:next w:val="Normal"/>
    <w:link w:val="TitleChar"/>
    <w:uiPriority w:val="10"/>
    <w:qFormat/>
    <w:rsid w:val="000350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0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0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02C"/>
    <w:pPr>
      <w:spacing w:before="160"/>
      <w:jc w:val="center"/>
    </w:pPr>
    <w:rPr>
      <w:i/>
      <w:iCs/>
      <w:color w:val="404040" w:themeColor="text1" w:themeTint="BF"/>
    </w:rPr>
  </w:style>
  <w:style w:type="character" w:customStyle="1" w:styleId="QuoteChar">
    <w:name w:val="Quote Char"/>
    <w:basedOn w:val="DefaultParagraphFont"/>
    <w:link w:val="Quote"/>
    <w:uiPriority w:val="29"/>
    <w:rsid w:val="0003502C"/>
    <w:rPr>
      <w:i/>
      <w:iCs/>
      <w:color w:val="404040" w:themeColor="text1" w:themeTint="BF"/>
    </w:rPr>
  </w:style>
  <w:style w:type="paragraph" w:styleId="ListParagraph">
    <w:name w:val="List Paragraph"/>
    <w:basedOn w:val="Normal"/>
    <w:uiPriority w:val="34"/>
    <w:qFormat/>
    <w:rsid w:val="0003502C"/>
    <w:pPr>
      <w:ind w:left="720"/>
      <w:contextualSpacing/>
    </w:pPr>
  </w:style>
  <w:style w:type="character" w:styleId="IntenseEmphasis">
    <w:name w:val="Intense Emphasis"/>
    <w:basedOn w:val="DefaultParagraphFont"/>
    <w:uiPriority w:val="21"/>
    <w:qFormat/>
    <w:rsid w:val="0003502C"/>
    <w:rPr>
      <w:i/>
      <w:iCs/>
      <w:color w:val="0F4761" w:themeColor="accent1" w:themeShade="BF"/>
    </w:rPr>
  </w:style>
  <w:style w:type="paragraph" w:styleId="IntenseQuote">
    <w:name w:val="Intense Quote"/>
    <w:basedOn w:val="Normal"/>
    <w:next w:val="Normal"/>
    <w:link w:val="IntenseQuoteChar"/>
    <w:uiPriority w:val="30"/>
    <w:qFormat/>
    <w:rsid w:val="000350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02C"/>
    <w:rPr>
      <w:i/>
      <w:iCs/>
      <w:color w:val="0F4761" w:themeColor="accent1" w:themeShade="BF"/>
    </w:rPr>
  </w:style>
  <w:style w:type="character" w:styleId="IntenseReference">
    <w:name w:val="Intense Reference"/>
    <w:basedOn w:val="DefaultParagraphFont"/>
    <w:uiPriority w:val="32"/>
    <w:qFormat/>
    <w:rsid w:val="0003502C"/>
    <w:rPr>
      <w:b/>
      <w:bCs/>
      <w:smallCaps/>
      <w:color w:val="0F4761" w:themeColor="accent1" w:themeShade="BF"/>
      <w:spacing w:val="5"/>
    </w:rPr>
  </w:style>
  <w:style w:type="paragraph" w:styleId="FootnoteText">
    <w:name w:val="footnote text"/>
    <w:basedOn w:val="Normal"/>
    <w:link w:val="FootnoteTextChar"/>
    <w:uiPriority w:val="99"/>
    <w:semiHidden/>
    <w:unhideWhenUsed/>
    <w:rsid w:val="00EE64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408"/>
    <w:rPr>
      <w:sz w:val="20"/>
      <w:szCs w:val="20"/>
    </w:rPr>
  </w:style>
  <w:style w:type="character" w:styleId="FootnoteReference">
    <w:name w:val="footnote reference"/>
    <w:basedOn w:val="DefaultParagraphFont"/>
    <w:uiPriority w:val="99"/>
    <w:semiHidden/>
    <w:unhideWhenUsed/>
    <w:rsid w:val="00EE6408"/>
    <w:rPr>
      <w:vertAlign w:val="superscript"/>
    </w:rPr>
  </w:style>
  <w:style w:type="paragraph" w:styleId="Revision">
    <w:name w:val="Revision"/>
    <w:hidden/>
    <w:uiPriority w:val="99"/>
    <w:semiHidden/>
    <w:rsid w:val="00CB05FE"/>
    <w:pPr>
      <w:spacing w:after="0" w:line="240" w:lineRule="auto"/>
    </w:pPr>
  </w:style>
  <w:style w:type="character" w:styleId="CommentReference">
    <w:name w:val="annotation reference"/>
    <w:basedOn w:val="DefaultParagraphFont"/>
    <w:uiPriority w:val="99"/>
    <w:semiHidden/>
    <w:unhideWhenUsed/>
    <w:rsid w:val="00954313"/>
    <w:rPr>
      <w:sz w:val="16"/>
      <w:szCs w:val="16"/>
    </w:rPr>
  </w:style>
  <w:style w:type="paragraph" w:styleId="CommentText">
    <w:name w:val="annotation text"/>
    <w:basedOn w:val="Normal"/>
    <w:link w:val="CommentTextChar"/>
    <w:uiPriority w:val="99"/>
    <w:unhideWhenUsed/>
    <w:rsid w:val="00954313"/>
    <w:pPr>
      <w:spacing w:line="240" w:lineRule="auto"/>
    </w:pPr>
    <w:rPr>
      <w:sz w:val="20"/>
      <w:szCs w:val="20"/>
    </w:rPr>
  </w:style>
  <w:style w:type="character" w:customStyle="1" w:styleId="CommentTextChar">
    <w:name w:val="Comment Text Char"/>
    <w:basedOn w:val="DefaultParagraphFont"/>
    <w:link w:val="CommentText"/>
    <w:uiPriority w:val="99"/>
    <w:rsid w:val="00954313"/>
    <w:rPr>
      <w:sz w:val="20"/>
      <w:szCs w:val="20"/>
    </w:rPr>
  </w:style>
  <w:style w:type="paragraph" w:styleId="CommentSubject">
    <w:name w:val="annotation subject"/>
    <w:basedOn w:val="CommentText"/>
    <w:next w:val="CommentText"/>
    <w:link w:val="CommentSubjectChar"/>
    <w:uiPriority w:val="99"/>
    <w:semiHidden/>
    <w:unhideWhenUsed/>
    <w:rsid w:val="00954313"/>
    <w:rPr>
      <w:b/>
      <w:bCs/>
    </w:rPr>
  </w:style>
  <w:style w:type="character" w:customStyle="1" w:styleId="CommentSubjectChar">
    <w:name w:val="Comment Subject Char"/>
    <w:basedOn w:val="CommentTextChar"/>
    <w:link w:val="CommentSubject"/>
    <w:uiPriority w:val="99"/>
    <w:semiHidden/>
    <w:rsid w:val="00954313"/>
    <w:rPr>
      <w:b/>
      <w:bCs/>
      <w:sz w:val="20"/>
      <w:szCs w:val="20"/>
    </w:rPr>
  </w:style>
  <w:style w:type="paragraph" w:styleId="Header">
    <w:name w:val="header"/>
    <w:basedOn w:val="Normal"/>
    <w:link w:val="HeaderChar"/>
    <w:uiPriority w:val="99"/>
    <w:unhideWhenUsed/>
    <w:rsid w:val="00D175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559"/>
  </w:style>
  <w:style w:type="paragraph" w:styleId="Footer">
    <w:name w:val="footer"/>
    <w:basedOn w:val="Normal"/>
    <w:link w:val="FooterChar"/>
    <w:uiPriority w:val="99"/>
    <w:unhideWhenUsed/>
    <w:rsid w:val="00D175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559"/>
  </w:style>
  <w:style w:type="paragraph" w:styleId="HTMLPreformatted">
    <w:name w:val="HTML Preformatted"/>
    <w:basedOn w:val="Normal"/>
    <w:link w:val="HTMLPreformattedChar"/>
    <w:uiPriority w:val="99"/>
    <w:unhideWhenUsed/>
    <w:rsid w:val="000732D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0732DE"/>
    <w:rPr>
      <w:rFonts w:ascii="Consolas" w:hAnsi="Consolas"/>
      <w:sz w:val="20"/>
      <w:szCs w:val="20"/>
    </w:rPr>
  </w:style>
  <w:style w:type="character" w:styleId="Hyperlink">
    <w:name w:val="Hyperlink"/>
    <w:basedOn w:val="DefaultParagraphFont"/>
    <w:uiPriority w:val="99"/>
    <w:unhideWhenUsed/>
    <w:rsid w:val="00102481"/>
    <w:rPr>
      <w:color w:val="467886" w:themeColor="hyperlink"/>
      <w:u w:val="single"/>
    </w:rPr>
  </w:style>
  <w:style w:type="character" w:styleId="UnresolvedMention">
    <w:name w:val="Unresolved Mention"/>
    <w:basedOn w:val="DefaultParagraphFont"/>
    <w:uiPriority w:val="99"/>
    <w:semiHidden/>
    <w:unhideWhenUsed/>
    <w:rsid w:val="00102481"/>
    <w:rPr>
      <w:color w:val="605E5C"/>
      <w:shd w:val="clear" w:color="auto" w:fill="E1DFDD"/>
    </w:rPr>
  </w:style>
  <w:style w:type="table" w:styleId="TableGrid">
    <w:name w:val="Table Grid"/>
    <w:basedOn w:val="TableNormal"/>
    <w:uiPriority w:val="39"/>
    <w:rsid w:val="00766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C4F9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E32E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hyperlink" Target="https://www.law.cornell.edu/definitions/uscode.php?width=840&amp;height=800&amp;iframe=true&amp;def_id=47-USC-197268543-1952898658&amp;term_occur=999&amp;term_sr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www.law.cornell.edu/definitions/uscode.php?width=840&amp;height=800&amp;iframe=true&amp;def_id=47-USC-991716523-1952898694&amp;term_occur=999&amp;term_src=" TargetMode="External"/><Relationship Id="rId2" Type="http://schemas.openxmlformats.org/officeDocument/2006/relationships/numbering" Target="numbering.xml"/><Relationship Id="rId16" Type="http://schemas.openxmlformats.org/officeDocument/2006/relationships/hyperlink" Target="https://www.law.cornell.edu/definitions/uscode.php?width=840&amp;height=800&amp;iframe=true&amp;def_id=47-USC-197268543-1952898658&amp;term_occur=999&amp;term_sr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s://www.law.cornell.edu/definitions/uscode.php?width=840&amp;height=800&amp;iframe=true&amp;def_id=47-USC-991716523-1952898694&amp;term_occur=999&amp;term_src=" TargetMode="Externa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law.cornell.edu/definitions/uscode.php?width=840&amp;height=800&amp;iframe=true&amp;def_id=47-USC-80204913-1952898723&amp;term_occur=999&amp;term_src="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streamlinedsalestax.org/docs/default-source/amendments/2026-amendments/am26001---section-805---compliance-with-federal-law-and-ssuta-conflicts.pdf?sfvrsn=afd10024_5" TargetMode="External"/><Relationship Id="rId1" Type="http://schemas.openxmlformats.org/officeDocument/2006/relationships/hyperlink" Target="https://www.mtc.gov/uniformity/sales-tax-on-digital-produc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21980E-621E-40E6-A2D9-109CD66F7704}" type="doc">
      <dgm:prSet loTypeId="urn:microsoft.com/office/officeart/2024/layout/BulletTimelineInverted" loCatId="process" qsTypeId="urn:microsoft.com/office/officeart/2005/8/quickstyle/simple1" qsCatId="simple" csTypeId="urn:microsoft.com/office/officeart/2005/8/colors/accent1_2" csCatId="accent1" phldr="1"/>
      <dgm:spPr/>
      <dgm:t>
        <a:bodyPr/>
        <a:lstStyle/>
        <a:p>
          <a:endParaRPr lang="en-US"/>
        </a:p>
      </dgm:t>
    </dgm:pt>
    <dgm:pt modelId="{E0BA97E1-9598-4407-8DA9-2952347D7A6D}">
      <dgm:prSet phldrT="Add an event"/>
      <dgm:spPr/>
      <dgm:t>
        <a:bodyPr/>
        <a:lstStyle/>
        <a:p>
          <a:pPr>
            <a:defRPr b="1"/>
          </a:pPr>
          <a:r>
            <a:rPr lang="en-US"/>
            <a:t>ITFA Enacted</a:t>
          </a:r>
        </a:p>
      </dgm:t>
    </dgm:pt>
    <dgm:pt modelId="{0C531BF0-4647-4B07-B6CE-2A766749AA77}" type="parTrans" cxnId="{B6838C33-E9F3-4445-8573-A1B90A7FE36B}">
      <dgm:prSet/>
      <dgm:spPr/>
      <dgm:t>
        <a:bodyPr/>
        <a:lstStyle/>
        <a:p>
          <a:endParaRPr lang="en-US"/>
        </a:p>
      </dgm:t>
    </dgm:pt>
    <dgm:pt modelId="{BC2B20A6-E33E-4CEB-B910-1CFB072CA915}" type="sibTrans" cxnId="{B6838C33-E9F3-4445-8573-A1B90A7FE36B}">
      <dgm:prSet/>
      <dgm:spPr/>
      <dgm:t>
        <a:bodyPr/>
        <a:lstStyle/>
        <a:p>
          <a:endParaRPr lang="en-US"/>
        </a:p>
      </dgm:t>
    </dgm:pt>
    <dgm:pt modelId="{B1EAFE44-0480-4F69-9C04-D0C041007C4A}">
      <dgm:prSet phldrT="Write a description of the significance of this event"/>
      <dgm:spPr/>
      <dgm:t>
        <a:bodyPr/>
        <a:lstStyle/>
        <a:p>
          <a:r>
            <a:rPr lang="en-US"/>
            <a:t>October 21, 1998</a:t>
          </a:r>
        </a:p>
      </dgm:t>
    </dgm:pt>
    <dgm:pt modelId="{2B389BBE-49BF-4F59-B543-61968A59341B}" type="parTrans" cxnId="{6C2B82C4-0830-449C-A245-8073B6317733}">
      <dgm:prSet/>
      <dgm:spPr/>
      <dgm:t>
        <a:bodyPr/>
        <a:lstStyle/>
        <a:p>
          <a:endParaRPr lang="en-US"/>
        </a:p>
      </dgm:t>
    </dgm:pt>
    <dgm:pt modelId="{6B816E45-52C2-43E0-9E93-913FC2A4A55E}" type="sibTrans" cxnId="{6C2B82C4-0830-449C-A245-8073B6317733}">
      <dgm:prSet/>
      <dgm:spPr/>
      <dgm:t>
        <a:bodyPr/>
        <a:lstStyle/>
        <a:p>
          <a:endParaRPr lang="en-US"/>
        </a:p>
      </dgm:t>
    </dgm:pt>
    <dgm:pt modelId="{F41304D9-B003-43B2-A7A0-9AA20016317B}">
      <dgm:prSet phldrT="Add an event"/>
      <dgm:spPr/>
      <dgm:t>
        <a:bodyPr/>
        <a:lstStyle/>
        <a:p>
          <a:pPr>
            <a:defRPr b="1"/>
          </a:pPr>
          <a:r>
            <a:rPr lang="en-US"/>
            <a:t>ITFA Extended</a:t>
          </a:r>
        </a:p>
      </dgm:t>
    </dgm:pt>
    <dgm:pt modelId="{3EBF5C46-6DC0-432E-AE29-AFB1ECC45298}" type="parTrans" cxnId="{CF61CBDD-07F8-4D6E-9DBB-D1124E971CCE}">
      <dgm:prSet/>
      <dgm:spPr/>
      <dgm:t>
        <a:bodyPr/>
        <a:lstStyle/>
        <a:p>
          <a:endParaRPr lang="en-US"/>
        </a:p>
      </dgm:t>
    </dgm:pt>
    <dgm:pt modelId="{CFB34AE4-E0F9-476E-8B30-8AF61D818CA8}" type="sibTrans" cxnId="{CF61CBDD-07F8-4D6E-9DBB-D1124E971CCE}">
      <dgm:prSet/>
      <dgm:spPr/>
      <dgm:t>
        <a:bodyPr/>
        <a:lstStyle/>
        <a:p>
          <a:endParaRPr lang="en-US"/>
        </a:p>
      </dgm:t>
    </dgm:pt>
    <dgm:pt modelId="{9CCFBCAD-34AB-4ADC-A05C-383EAD951EA3}">
      <dgm:prSet phldrT="Add an event"/>
      <dgm:spPr/>
      <dgm:t>
        <a:bodyPr/>
        <a:lstStyle/>
        <a:p>
          <a:pPr>
            <a:defRPr b="1"/>
          </a:pPr>
          <a:r>
            <a:rPr lang="en-US"/>
            <a:t>ITFA Amended and Extended</a:t>
          </a:r>
        </a:p>
      </dgm:t>
    </dgm:pt>
    <dgm:pt modelId="{7FEB347B-A254-4139-919B-AD93A83A0525}" type="parTrans" cxnId="{31263ED8-BE53-4A2E-8988-1C991951A224}">
      <dgm:prSet/>
      <dgm:spPr/>
      <dgm:t>
        <a:bodyPr/>
        <a:lstStyle/>
        <a:p>
          <a:endParaRPr lang="en-US"/>
        </a:p>
      </dgm:t>
    </dgm:pt>
    <dgm:pt modelId="{3013A2C9-DE48-4298-9555-C0A8F2AAA19A}" type="sibTrans" cxnId="{31263ED8-BE53-4A2E-8988-1C991951A224}">
      <dgm:prSet/>
      <dgm:spPr/>
      <dgm:t>
        <a:bodyPr/>
        <a:lstStyle/>
        <a:p>
          <a:endParaRPr lang="en-US"/>
        </a:p>
      </dgm:t>
    </dgm:pt>
    <dgm:pt modelId="{977DA917-2816-4093-85E9-898CA1633424}">
      <dgm:prSet phldrT="Write a description of the significance of this event"/>
      <dgm:spPr/>
      <dgm:t>
        <a:bodyPr/>
        <a:lstStyle/>
        <a:p>
          <a:r>
            <a:rPr lang="en-US"/>
            <a:t>December 3, 2004</a:t>
          </a:r>
        </a:p>
      </dgm:t>
    </dgm:pt>
    <dgm:pt modelId="{4488454C-0104-45CD-B59B-CC94F13451BD}" type="parTrans" cxnId="{069D4A6D-AC02-4CCB-BE24-212EFA714168}">
      <dgm:prSet/>
      <dgm:spPr/>
      <dgm:t>
        <a:bodyPr/>
        <a:lstStyle/>
        <a:p>
          <a:endParaRPr lang="en-US"/>
        </a:p>
      </dgm:t>
    </dgm:pt>
    <dgm:pt modelId="{BCF4125D-FECE-4DCE-BD46-63E77985B3EF}" type="sibTrans" cxnId="{069D4A6D-AC02-4CCB-BE24-212EFA714168}">
      <dgm:prSet/>
      <dgm:spPr/>
      <dgm:t>
        <a:bodyPr/>
        <a:lstStyle/>
        <a:p>
          <a:endParaRPr lang="en-US"/>
        </a:p>
      </dgm:t>
    </dgm:pt>
    <dgm:pt modelId="{E75B7B71-89B8-4A8F-87CF-F616DB2FF2AC}">
      <dgm:prSet phldrT="Add an event"/>
      <dgm:spPr/>
      <dgm:t>
        <a:bodyPr/>
        <a:lstStyle/>
        <a:p>
          <a:pPr>
            <a:defRPr b="1"/>
          </a:pPr>
          <a:r>
            <a:rPr lang="en-US"/>
            <a:t>ITFA Amended and Extended</a:t>
          </a:r>
        </a:p>
      </dgm:t>
    </dgm:pt>
    <dgm:pt modelId="{958A20A1-8C85-49C7-AFD9-9004BC709AF9}" type="parTrans" cxnId="{1A395E18-8575-469B-88EC-2EF18B77274D}">
      <dgm:prSet/>
      <dgm:spPr/>
      <dgm:t>
        <a:bodyPr/>
        <a:lstStyle/>
        <a:p>
          <a:endParaRPr lang="en-US"/>
        </a:p>
      </dgm:t>
    </dgm:pt>
    <dgm:pt modelId="{7D2256F0-57A7-4749-BC5F-6C9B8AC18B48}" type="sibTrans" cxnId="{1A395E18-8575-469B-88EC-2EF18B77274D}">
      <dgm:prSet/>
      <dgm:spPr/>
      <dgm:t>
        <a:bodyPr/>
        <a:lstStyle/>
        <a:p>
          <a:endParaRPr lang="en-US"/>
        </a:p>
      </dgm:t>
    </dgm:pt>
    <dgm:pt modelId="{4DDEF4AD-24B4-497A-BE60-1CE6F1C95C20}">
      <dgm:prSet phldrT="Write a description of the significance of this event"/>
      <dgm:spPr/>
      <dgm:t>
        <a:bodyPr/>
        <a:lstStyle/>
        <a:p>
          <a:r>
            <a:rPr lang="en-US"/>
            <a:t>October 31, 2007</a:t>
          </a:r>
        </a:p>
      </dgm:t>
    </dgm:pt>
    <dgm:pt modelId="{74E0DCF1-C9D8-40F4-B9DF-3CF5BF53B476}" type="parTrans" cxnId="{EDD6BD9B-9C86-4304-8FFE-DAABA6DE0C70}">
      <dgm:prSet/>
      <dgm:spPr/>
      <dgm:t>
        <a:bodyPr/>
        <a:lstStyle/>
        <a:p>
          <a:endParaRPr lang="en-US"/>
        </a:p>
      </dgm:t>
    </dgm:pt>
    <dgm:pt modelId="{628A6F15-74E7-480C-B6E9-499A7B49EDB5}" type="sibTrans" cxnId="{EDD6BD9B-9C86-4304-8FFE-DAABA6DE0C70}">
      <dgm:prSet/>
      <dgm:spPr/>
      <dgm:t>
        <a:bodyPr/>
        <a:lstStyle/>
        <a:p>
          <a:endParaRPr lang="en-US"/>
        </a:p>
      </dgm:t>
    </dgm:pt>
    <dgm:pt modelId="{4E08D75A-945E-45FC-B17F-6CF247CC204F}">
      <dgm:prSet phldrT="Add an event"/>
      <dgm:spPr/>
      <dgm:t>
        <a:bodyPr/>
        <a:lstStyle/>
        <a:p>
          <a:pPr>
            <a:defRPr b="1"/>
          </a:pPr>
          <a:r>
            <a:rPr lang="en-US"/>
            <a:t>ITFA Extended</a:t>
          </a:r>
        </a:p>
      </dgm:t>
    </dgm:pt>
    <dgm:pt modelId="{D9D4D6D9-30EB-4D34-88F4-7D7A5A2CC9B7}" type="parTrans" cxnId="{2B55754E-F7CC-48CB-9094-9348FE0FF0A7}">
      <dgm:prSet/>
      <dgm:spPr/>
      <dgm:t>
        <a:bodyPr/>
        <a:lstStyle/>
        <a:p>
          <a:endParaRPr lang="en-US"/>
        </a:p>
      </dgm:t>
    </dgm:pt>
    <dgm:pt modelId="{BCE9ED79-2156-47E2-8BE5-439FCB49C494}" type="sibTrans" cxnId="{2B55754E-F7CC-48CB-9094-9348FE0FF0A7}">
      <dgm:prSet/>
      <dgm:spPr/>
      <dgm:t>
        <a:bodyPr/>
        <a:lstStyle/>
        <a:p>
          <a:endParaRPr lang="en-US"/>
        </a:p>
      </dgm:t>
    </dgm:pt>
    <dgm:pt modelId="{16F79AFF-4F1A-467F-B527-6F801AB98ADA}">
      <dgm:prSet phldrT="Write a description of the significance of this event"/>
      <dgm:spPr/>
      <dgm:t>
        <a:bodyPr/>
        <a:lstStyle/>
        <a:p>
          <a:r>
            <a:rPr lang="en-US"/>
            <a:t>September 19, 2014 &amp; December 16, 2014</a:t>
          </a:r>
        </a:p>
      </dgm:t>
    </dgm:pt>
    <dgm:pt modelId="{5A87617A-D4EB-4949-97FA-E55FA3200516}" type="parTrans" cxnId="{A87260E5-C1EC-40F5-8750-7F2C3BC1CDC0}">
      <dgm:prSet/>
      <dgm:spPr/>
      <dgm:t>
        <a:bodyPr/>
        <a:lstStyle/>
        <a:p>
          <a:endParaRPr lang="en-US"/>
        </a:p>
      </dgm:t>
    </dgm:pt>
    <dgm:pt modelId="{1605F114-B989-4E2F-8274-7D56C7448923}" type="sibTrans" cxnId="{A87260E5-C1EC-40F5-8750-7F2C3BC1CDC0}">
      <dgm:prSet/>
      <dgm:spPr/>
      <dgm:t>
        <a:bodyPr/>
        <a:lstStyle/>
        <a:p>
          <a:endParaRPr lang="en-US"/>
        </a:p>
      </dgm:t>
    </dgm:pt>
    <dgm:pt modelId="{C792A6A7-49F6-4D91-9A23-F968D4E5036E}">
      <dgm:prSet phldrT="Write a description of the significance of this event"/>
      <dgm:spPr/>
      <dgm:t>
        <a:bodyPr/>
        <a:lstStyle/>
        <a:p>
          <a:r>
            <a:rPr lang="en-US"/>
            <a:t>November 28, 2001</a:t>
          </a:r>
        </a:p>
      </dgm:t>
    </dgm:pt>
    <dgm:pt modelId="{2F1A2E1C-57CF-4679-831F-3B3E9C1782F4}" type="sibTrans" cxnId="{14236959-F38B-40EA-9BBC-FF0038D1EEBA}">
      <dgm:prSet/>
      <dgm:spPr/>
      <dgm:t>
        <a:bodyPr/>
        <a:lstStyle/>
        <a:p>
          <a:endParaRPr lang="en-US"/>
        </a:p>
      </dgm:t>
    </dgm:pt>
    <dgm:pt modelId="{E98C323F-BE9A-4D1C-964E-1B709C506D0D}" type="parTrans" cxnId="{14236959-F38B-40EA-9BBC-FF0038D1EEBA}">
      <dgm:prSet/>
      <dgm:spPr/>
      <dgm:t>
        <a:bodyPr/>
        <a:lstStyle/>
        <a:p>
          <a:endParaRPr lang="en-US"/>
        </a:p>
      </dgm:t>
    </dgm:pt>
    <dgm:pt modelId="{77AD82AB-0126-42F4-A22A-843B8D4DCC76}">
      <dgm:prSet/>
      <dgm:spPr/>
      <dgm:t>
        <a:bodyPr/>
        <a:lstStyle/>
        <a:p>
          <a:pPr>
            <a:defRPr b="1"/>
          </a:pPr>
          <a:r>
            <a:rPr lang="en-US"/>
            <a:t>ITFA made Permanent</a:t>
          </a:r>
        </a:p>
      </dgm:t>
    </dgm:pt>
    <dgm:pt modelId="{E84F188A-7622-4803-920A-31EF4FE5012F}" type="parTrans" cxnId="{70DA9B66-6DF8-4564-AC6A-F2AF44EFE8ED}">
      <dgm:prSet/>
      <dgm:spPr/>
      <dgm:t>
        <a:bodyPr/>
        <a:lstStyle/>
        <a:p>
          <a:endParaRPr lang="en-US"/>
        </a:p>
      </dgm:t>
    </dgm:pt>
    <dgm:pt modelId="{A51572DE-E28F-47A6-B804-45FDBC04EB21}" type="sibTrans" cxnId="{70DA9B66-6DF8-4564-AC6A-F2AF44EFE8ED}">
      <dgm:prSet/>
      <dgm:spPr/>
      <dgm:t>
        <a:bodyPr/>
        <a:lstStyle/>
        <a:p>
          <a:endParaRPr lang="en-US"/>
        </a:p>
      </dgm:t>
    </dgm:pt>
    <dgm:pt modelId="{039F4034-8DE1-4548-B8BB-B903742EBA29}">
      <dgm:prSet/>
      <dgm:spPr/>
      <dgm:t>
        <a:bodyPr/>
        <a:lstStyle/>
        <a:p>
          <a:r>
            <a:rPr lang="en-US"/>
            <a:t>February 14, 2016</a:t>
          </a:r>
        </a:p>
      </dgm:t>
    </dgm:pt>
    <dgm:pt modelId="{F6D81A53-B07B-4D7D-9FDC-2C1993B647D3}" type="parTrans" cxnId="{B094B534-9DDF-41C4-9EBC-5EECFA79DC9B}">
      <dgm:prSet/>
      <dgm:spPr/>
      <dgm:t>
        <a:bodyPr/>
        <a:lstStyle/>
        <a:p>
          <a:endParaRPr lang="en-US"/>
        </a:p>
      </dgm:t>
    </dgm:pt>
    <dgm:pt modelId="{0839CE72-CD88-4381-9CB9-1F69343588DB}" type="sibTrans" cxnId="{B094B534-9DDF-41C4-9EBC-5EECFA79DC9B}">
      <dgm:prSet/>
      <dgm:spPr/>
      <dgm:t>
        <a:bodyPr/>
        <a:lstStyle/>
        <a:p>
          <a:endParaRPr lang="en-US"/>
        </a:p>
      </dgm:t>
    </dgm:pt>
    <dgm:pt modelId="{9DCF0C40-9287-48BC-BA61-F369539806A6}">
      <dgm:prSet/>
      <dgm:spPr/>
      <dgm:t>
        <a:bodyPr/>
        <a:lstStyle/>
        <a:p>
          <a:pPr>
            <a:defRPr b="1"/>
          </a:pPr>
          <a:r>
            <a:rPr lang="en-US"/>
            <a:t>Legacy Clause Expires</a:t>
          </a:r>
        </a:p>
      </dgm:t>
    </dgm:pt>
    <dgm:pt modelId="{856D8BD0-398E-4453-AC56-355D631CA757}" type="parTrans" cxnId="{3D0068EC-0211-4D68-ACEA-ABF7CC8D9B1B}">
      <dgm:prSet/>
      <dgm:spPr/>
      <dgm:t>
        <a:bodyPr/>
        <a:lstStyle/>
        <a:p>
          <a:endParaRPr lang="en-US"/>
        </a:p>
      </dgm:t>
    </dgm:pt>
    <dgm:pt modelId="{44FBEB29-676B-441E-AB78-B1002DB9CFB4}" type="sibTrans" cxnId="{3D0068EC-0211-4D68-ACEA-ABF7CC8D9B1B}">
      <dgm:prSet/>
      <dgm:spPr/>
      <dgm:t>
        <a:bodyPr/>
        <a:lstStyle/>
        <a:p>
          <a:endParaRPr lang="en-US"/>
        </a:p>
      </dgm:t>
    </dgm:pt>
    <dgm:pt modelId="{A1E414B7-4205-4029-86C9-5C32E500FD00}">
      <dgm:prSet/>
      <dgm:spPr/>
      <dgm:t>
        <a:bodyPr/>
        <a:lstStyle/>
        <a:p>
          <a:r>
            <a:rPr lang="en-US"/>
            <a:t>June 30, 2020</a:t>
          </a:r>
        </a:p>
      </dgm:t>
    </dgm:pt>
    <dgm:pt modelId="{63AA6C3D-D5AC-47F3-BB0C-CE7AC493244E}" type="parTrans" cxnId="{31B07939-32D6-48E1-8FFA-4FAE6DD4ECFB}">
      <dgm:prSet/>
      <dgm:spPr/>
      <dgm:t>
        <a:bodyPr/>
        <a:lstStyle/>
        <a:p>
          <a:endParaRPr lang="en-US"/>
        </a:p>
      </dgm:t>
    </dgm:pt>
    <dgm:pt modelId="{8292E6C1-DB52-463F-B626-82C1FD147CE0}" type="sibTrans" cxnId="{31B07939-32D6-48E1-8FFA-4FAE6DD4ECFB}">
      <dgm:prSet/>
      <dgm:spPr/>
      <dgm:t>
        <a:bodyPr/>
        <a:lstStyle/>
        <a:p>
          <a:endParaRPr lang="en-US"/>
        </a:p>
      </dgm:t>
    </dgm:pt>
    <dgm:pt modelId="{F393F622-35AB-4D06-A706-C0EB91E3AD65}" type="pres">
      <dgm:prSet presAssocID="{6421980E-621E-40E6-A2D9-109CD66F7704}" presName="root" presStyleCnt="0">
        <dgm:presLayoutVars>
          <dgm:dir/>
          <dgm:animLvl val="lvl"/>
        </dgm:presLayoutVars>
      </dgm:prSet>
      <dgm:spPr/>
    </dgm:pt>
    <dgm:pt modelId="{ABA10AF9-633A-494D-81DB-187FA5996B97}" type="pres">
      <dgm:prSet presAssocID="{6421980E-621E-40E6-A2D9-109CD66F7704}" presName="divider" presStyleCnt="0"/>
      <dgm:spPr/>
    </dgm:pt>
    <dgm:pt modelId="{5E0A1C19-F026-420A-A12C-3AB3C316D8D2}" type="pres">
      <dgm:prSet presAssocID="{6421980E-621E-40E6-A2D9-109CD66F7704}" presName="rectBar" presStyleLbl="dkBgShp" presStyleIdx="0" presStyleCnt="9"/>
      <dgm:spPr>
        <a:gradFill rotWithShape="0">
          <a:gsLst>
            <a:gs pos="0">
              <a:schemeClr val="accent1">
                <a:tint val="76000"/>
              </a:schemeClr>
            </a:gs>
            <a:gs pos="100000">
              <a:schemeClr val="accent1">
                <a:tint val="76000"/>
              </a:schemeClr>
            </a:gs>
          </a:gsLst>
          <a:lin ang="0" scaled="0"/>
        </a:gradFill>
        <a:ln>
          <a:noFill/>
        </a:ln>
        <a:effectLst/>
      </dgm:spPr>
    </dgm:pt>
    <dgm:pt modelId="{09B1B8E4-E8EE-48C5-B90B-7F4DBD5F958A}" type="pres">
      <dgm:prSet presAssocID="{6421980E-621E-40E6-A2D9-109CD66F7704}" presName="chevronArrow" presStyleLbl="dkBgShp" presStyleIdx="1" presStyleCnt="9"/>
      <dgm:spPr>
        <a:gradFill rotWithShape="0">
          <a:gsLst>
            <a:gs pos="0">
              <a:schemeClr val="accent1">
                <a:tint val="76000"/>
              </a:schemeClr>
            </a:gs>
            <a:gs pos="100000">
              <a:schemeClr val="accent1">
                <a:tint val="76000"/>
              </a:schemeClr>
            </a:gs>
          </a:gsLst>
          <a:lin ang="0" scaled="0"/>
        </a:gradFill>
        <a:ln>
          <a:noFill/>
        </a:ln>
        <a:effectLst/>
      </dgm:spPr>
    </dgm:pt>
    <dgm:pt modelId="{3F51305C-1D48-4197-85F3-8B8FB2D4C230}" type="pres">
      <dgm:prSet presAssocID="{6421980E-621E-40E6-A2D9-109CD66F7704}" presName="nodes" presStyleCnt="0">
        <dgm:presLayoutVars>
          <dgm:chMax/>
          <dgm:chPref/>
          <dgm:animLvl val="lvl"/>
        </dgm:presLayoutVars>
      </dgm:prSet>
      <dgm:spPr/>
    </dgm:pt>
    <dgm:pt modelId="{DA3D70E9-96D1-4104-A83D-588F35344AE8}" type="pres">
      <dgm:prSet presAssocID="{E0BA97E1-9598-4407-8DA9-2952347D7A6D}" presName="composite" presStyleCnt="0"/>
      <dgm:spPr/>
    </dgm:pt>
    <dgm:pt modelId="{F6FC15BE-B78B-4886-AF7E-B30BCE6961FF}" type="pres">
      <dgm:prSet presAssocID="{E0BA97E1-9598-4407-8DA9-2952347D7A6D}" presName="DropPinPlaceHolder" presStyleCnt="0"/>
      <dgm:spPr/>
    </dgm:pt>
    <dgm:pt modelId="{1A7A9D25-E489-478A-AC19-8EBD4141B6BF}" type="pres">
      <dgm:prSet presAssocID="{E0BA97E1-9598-4407-8DA9-2952347D7A6D}" presName="DropPin" presStyleLbl="alignNode1" presStyleIdx="0" presStyleCnt="7"/>
      <dgm:spPr/>
    </dgm:pt>
    <dgm:pt modelId="{00A16C2C-3649-4702-9A6D-A254F437A63A}" type="pres">
      <dgm:prSet presAssocID="{E0BA97E1-9598-4407-8DA9-2952347D7A6D}" presName="Ellipse" presStyleLbl="fgAcc1" presStyleIdx="0" presStyleCnt="7"/>
      <dgm:spPr/>
    </dgm:pt>
    <dgm:pt modelId="{813FE090-1C43-4275-BB3B-75B5AB56DFD0}" type="pres">
      <dgm:prSet presAssocID="{E0BA97E1-9598-4407-8DA9-2952347D7A6D}" presName="L2TextContainer" presStyleLbl="revTx" presStyleIdx="0" presStyleCnt="14">
        <dgm:presLayoutVars>
          <dgm:bulletEnabled val="1"/>
        </dgm:presLayoutVars>
      </dgm:prSet>
      <dgm:spPr/>
    </dgm:pt>
    <dgm:pt modelId="{08F16DD9-94FA-4D37-80CB-C85E95317EEA}" type="pres">
      <dgm:prSet presAssocID="{E0BA97E1-9598-4407-8DA9-2952347D7A6D}" presName="L1TextContainer" presStyleLbl="revTx" presStyleIdx="1" presStyleCnt="14">
        <dgm:presLayoutVars>
          <dgm:chMax val="1"/>
          <dgm:chPref val="1"/>
          <dgm:bulletEnabled val="1"/>
        </dgm:presLayoutVars>
      </dgm:prSet>
      <dgm:spPr/>
    </dgm:pt>
    <dgm:pt modelId="{E30774C2-4F24-4B93-819A-5339A931069A}" type="pres">
      <dgm:prSet presAssocID="{E0BA97E1-9598-4407-8DA9-2952347D7A6D}" presName="ConnectLine" presStyleLbl="dkBgShp" presStyleIdx="2" presStyleCnt="9"/>
      <dgm:spPr/>
    </dgm:pt>
    <dgm:pt modelId="{D46E6270-9640-40FE-84C5-EEEC4E275E95}" type="pres">
      <dgm:prSet presAssocID="{E0BA97E1-9598-4407-8DA9-2952347D7A6D}" presName="ConnectorPoint" presStyleCnt="0"/>
      <dgm:spPr/>
    </dgm:pt>
    <dgm:pt modelId="{37EA1CE8-2780-4707-A230-2DC47DCDB71B}" type="pres">
      <dgm:prSet presAssocID="{E0BA97E1-9598-4407-8DA9-2952347D7A6D}" presName="Bullet" presStyleLbl="lnNode1" presStyleIdx="0" presStyleCnt="7"/>
      <dgm:spPr/>
    </dgm:pt>
    <dgm:pt modelId="{D5AB74A6-C1E2-416F-9E3F-95CF0FE8FDC1}" type="pres">
      <dgm:prSet presAssocID="{E0BA97E1-9598-4407-8DA9-2952347D7A6D}" presName="EmptyPlaceHolder" presStyleCnt="0"/>
      <dgm:spPr/>
    </dgm:pt>
    <dgm:pt modelId="{5DA1887A-681B-4586-A567-311BC80CF093}" type="pres">
      <dgm:prSet presAssocID="{BC2B20A6-E33E-4CEB-B910-1CFB072CA915}" presName="spaceBetweenRectangles" presStyleCnt="0"/>
      <dgm:spPr/>
    </dgm:pt>
    <dgm:pt modelId="{4671A012-978A-4B50-8138-F0D2FC37FB5F}" type="pres">
      <dgm:prSet presAssocID="{F41304D9-B003-43B2-A7A0-9AA20016317B}" presName="composite" presStyleCnt="0"/>
      <dgm:spPr/>
    </dgm:pt>
    <dgm:pt modelId="{0638C157-FA2F-4859-AA89-6BBA85EF322C}" type="pres">
      <dgm:prSet presAssocID="{F41304D9-B003-43B2-A7A0-9AA20016317B}" presName="DropPinPlaceHolder" presStyleCnt="0"/>
      <dgm:spPr/>
    </dgm:pt>
    <dgm:pt modelId="{03FB3EA6-6342-428D-9214-9CAB67F46D9F}" type="pres">
      <dgm:prSet presAssocID="{F41304D9-B003-43B2-A7A0-9AA20016317B}" presName="DropPin" presStyleLbl="alignNode1" presStyleIdx="1" presStyleCnt="7"/>
      <dgm:spPr/>
    </dgm:pt>
    <dgm:pt modelId="{09F4FDD6-6930-4E88-887D-A20A77FB2BA5}" type="pres">
      <dgm:prSet presAssocID="{F41304D9-B003-43B2-A7A0-9AA20016317B}" presName="Ellipse" presStyleLbl="fgAcc1" presStyleIdx="1" presStyleCnt="7"/>
      <dgm:spPr/>
    </dgm:pt>
    <dgm:pt modelId="{A15F31EF-2348-47FC-B22A-57DC559AF370}" type="pres">
      <dgm:prSet presAssocID="{F41304D9-B003-43B2-A7A0-9AA20016317B}" presName="L2TextContainer" presStyleLbl="revTx" presStyleIdx="2" presStyleCnt="14">
        <dgm:presLayoutVars>
          <dgm:bulletEnabled val="1"/>
        </dgm:presLayoutVars>
      </dgm:prSet>
      <dgm:spPr/>
    </dgm:pt>
    <dgm:pt modelId="{131C7187-16AE-4C6D-8266-F56D06C0B5D1}" type="pres">
      <dgm:prSet presAssocID="{F41304D9-B003-43B2-A7A0-9AA20016317B}" presName="L1TextContainer" presStyleLbl="revTx" presStyleIdx="3" presStyleCnt="14">
        <dgm:presLayoutVars>
          <dgm:chMax val="1"/>
          <dgm:chPref val="1"/>
          <dgm:bulletEnabled val="1"/>
        </dgm:presLayoutVars>
      </dgm:prSet>
      <dgm:spPr/>
    </dgm:pt>
    <dgm:pt modelId="{985996CA-C876-4404-B51B-EDF8DADCE7B0}" type="pres">
      <dgm:prSet presAssocID="{F41304D9-B003-43B2-A7A0-9AA20016317B}" presName="ConnectLine" presStyleLbl="dkBgShp" presStyleIdx="3" presStyleCnt="9"/>
      <dgm:spPr/>
    </dgm:pt>
    <dgm:pt modelId="{682D2CB1-B815-4A73-AC97-47DE3937042B}" type="pres">
      <dgm:prSet presAssocID="{F41304D9-B003-43B2-A7A0-9AA20016317B}" presName="ConnectorPoint" presStyleCnt="0"/>
      <dgm:spPr/>
    </dgm:pt>
    <dgm:pt modelId="{EBE33B10-5D65-4D99-8682-759C63D0F2A0}" type="pres">
      <dgm:prSet presAssocID="{F41304D9-B003-43B2-A7A0-9AA20016317B}" presName="Bullet" presStyleLbl="lnNode1" presStyleIdx="1" presStyleCnt="7"/>
      <dgm:spPr/>
    </dgm:pt>
    <dgm:pt modelId="{5F868D00-1CDC-40EF-83CB-3C533B30298A}" type="pres">
      <dgm:prSet presAssocID="{F41304D9-B003-43B2-A7A0-9AA20016317B}" presName="EmptyPlaceHolder" presStyleCnt="0"/>
      <dgm:spPr/>
    </dgm:pt>
    <dgm:pt modelId="{7F9EFD97-3390-4E5A-8BA4-C4D090413F8E}" type="pres">
      <dgm:prSet presAssocID="{CFB34AE4-E0F9-476E-8B30-8AF61D818CA8}" presName="spaceBetweenRectangles" presStyleCnt="0"/>
      <dgm:spPr/>
    </dgm:pt>
    <dgm:pt modelId="{13999B7C-5D22-41BC-BCB8-69BA25C097E9}" type="pres">
      <dgm:prSet presAssocID="{9CCFBCAD-34AB-4ADC-A05C-383EAD951EA3}" presName="composite" presStyleCnt="0"/>
      <dgm:spPr/>
    </dgm:pt>
    <dgm:pt modelId="{D3A8C727-5970-4E29-975D-110403816765}" type="pres">
      <dgm:prSet presAssocID="{9CCFBCAD-34AB-4ADC-A05C-383EAD951EA3}" presName="DropPinPlaceHolder" presStyleCnt="0"/>
      <dgm:spPr/>
    </dgm:pt>
    <dgm:pt modelId="{4EA28CF6-D4C0-4242-9BE5-54C78CE63C56}" type="pres">
      <dgm:prSet presAssocID="{9CCFBCAD-34AB-4ADC-A05C-383EAD951EA3}" presName="DropPin" presStyleLbl="alignNode1" presStyleIdx="2" presStyleCnt="7"/>
      <dgm:spPr/>
    </dgm:pt>
    <dgm:pt modelId="{68946E1B-CBA2-4B04-AFD3-15F724869C39}" type="pres">
      <dgm:prSet presAssocID="{9CCFBCAD-34AB-4ADC-A05C-383EAD951EA3}" presName="Ellipse" presStyleLbl="fgAcc1" presStyleIdx="2" presStyleCnt="7"/>
      <dgm:spPr/>
    </dgm:pt>
    <dgm:pt modelId="{96339474-2AE7-439B-A29B-9509A95D7A8D}" type="pres">
      <dgm:prSet presAssocID="{9CCFBCAD-34AB-4ADC-A05C-383EAD951EA3}" presName="L2TextContainer" presStyleLbl="revTx" presStyleIdx="4" presStyleCnt="14">
        <dgm:presLayoutVars>
          <dgm:bulletEnabled val="1"/>
        </dgm:presLayoutVars>
      </dgm:prSet>
      <dgm:spPr/>
    </dgm:pt>
    <dgm:pt modelId="{CAC4B8F3-117C-43EA-9F47-7103278E27D6}" type="pres">
      <dgm:prSet presAssocID="{9CCFBCAD-34AB-4ADC-A05C-383EAD951EA3}" presName="L1TextContainer" presStyleLbl="revTx" presStyleIdx="5" presStyleCnt="14">
        <dgm:presLayoutVars>
          <dgm:chMax val="1"/>
          <dgm:chPref val="1"/>
          <dgm:bulletEnabled val="1"/>
        </dgm:presLayoutVars>
      </dgm:prSet>
      <dgm:spPr/>
    </dgm:pt>
    <dgm:pt modelId="{62A1D9B1-C74B-4106-98B2-85C04D53B916}" type="pres">
      <dgm:prSet presAssocID="{9CCFBCAD-34AB-4ADC-A05C-383EAD951EA3}" presName="ConnectLine" presStyleLbl="dkBgShp" presStyleIdx="4" presStyleCnt="9"/>
      <dgm:spPr/>
    </dgm:pt>
    <dgm:pt modelId="{570D0217-A44C-46EE-B132-8CC26DCCB64B}" type="pres">
      <dgm:prSet presAssocID="{9CCFBCAD-34AB-4ADC-A05C-383EAD951EA3}" presName="ConnectorPoint" presStyleCnt="0"/>
      <dgm:spPr/>
    </dgm:pt>
    <dgm:pt modelId="{75F49F99-3C1F-455D-8429-A4A6BF83F310}" type="pres">
      <dgm:prSet presAssocID="{9CCFBCAD-34AB-4ADC-A05C-383EAD951EA3}" presName="Bullet" presStyleLbl="lnNode1" presStyleIdx="2" presStyleCnt="7"/>
      <dgm:spPr/>
    </dgm:pt>
    <dgm:pt modelId="{6C6D6AB2-3686-4FEC-A16F-5A73A14486A9}" type="pres">
      <dgm:prSet presAssocID="{9CCFBCAD-34AB-4ADC-A05C-383EAD951EA3}" presName="EmptyPlaceHolder" presStyleCnt="0"/>
      <dgm:spPr/>
    </dgm:pt>
    <dgm:pt modelId="{5DEB1F3C-6ABC-4D29-B16B-721F4564EF67}" type="pres">
      <dgm:prSet presAssocID="{3013A2C9-DE48-4298-9555-C0A8F2AAA19A}" presName="spaceBetweenRectangles" presStyleCnt="0"/>
      <dgm:spPr/>
    </dgm:pt>
    <dgm:pt modelId="{F21361AA-025E-4D50-93CB-8E241FF965D6}" type="pres">
      <dgm:prSet presAssocID="{E75B7B71-89B8-4A8F-87CF-F616DB2FF2AC}" presName="composite" presStyleCnt="0"/>
      <dgm:spPr/>
    </dgm:pt>
    <dgm:pt modelId="{2816BEDC-B8AE-4D06-9E18-FD405C3C0618}" type="pres">
      <dgm:prSet presAssocID="{E75B7B71-89B8-4A8F-87CF-F616DB2FF2AC}" presName="DropPinPlaceHolder" presStyleCnt="0"/>
      <dgm:spPr/>
    </dgm:pt>
    <dgm:pt modelId="{3CD0CBB7-FEF4-4E5D-A343-65E17EA8BC12}" type="pres">
      <dgm:prSet presAssocID="{E75B7B71-89B8-4A8F-87CF-F616DB2FF2AC}" presName="DropPin" presStyleLbl="alignNode1" presStyleIdx="3" presStyleCnt="7"/>
      <dgm:spPr/>
    </dgm:pt>
    <dgm:pt modelId="{CB77D24A-30FD-4736-9BBF-46E182CECED5}" type="pres">
      <dgm:prSet presAssocID="{E75B7B71-89B8-4A8F-87CF-F616DB2FF2AC}" presName="Ellipse" presStyleLbl="fgAcc1" presStyleIdx="3" presStyleCnt="7"/>
      <dgm:spPr/>
    </dgm:pt>
    <dgm:pt modelId="{559D35CF-5D53-4735-9F5A-A8CC33E71067}" type="pres">
      <dgm:prSet presAssocID="{E75B7B71-89B8-4A8F-87CF-F616DB2FF2AC}" presName="L2TextContainer" presStyleLbl="revTx" presStyleIdx="6" presStyleCnt="14">
        <dgm:presLayoutVars>
          <dgm:bulletEnabled val="1"/>
        </dgm:presLayoutVars>
      </dgm:prSet>
      <dgm:spPr/>
    </dgm:pt>
    <dgm:pt modelId="{BDF3BEBE-5B77-4FA0-AFB2-E78EA31A6F41}" type="pres">
      <dgm:prSet presAssocID="{E75B7B71-89B8-4A8F-87CF-F616DB2FF2AC}" presName="L1TextContainer" presStyleLbl="revTx" presStyleIdx="7" presStyleCnt="14">
        <dgm:presLayoutVars>
          <dgm:chMax val="1"/>
          <dgm:chPref val="1"/>
          <dgm:bulletEnabled val="1"/>
        </dgm:presLayoutVars>
      </dgm:prSet>
      <dgm:spPr/>
    </dgm:pt>
    <dgm:pt modelId="{DA335E07-6895-479B-B233-97ECB6A6643E}" type="pres">
      <dgm:prSet presAssocID="{E75B7B71-89B8-4A8F-87CF-F616DB2FF2AC}" presName="ConnectLine" presStyleLbl="dkBgShp" presStyleIdx="5" presStyleCnt="9"/>
      <dgm:spPr/>
    </dgm:pt>
    <dgm:pt modelId="{8BAF9CBF-6AD8-4668-B90C-0227100EF980}" type="pres">
      <dgm:prSet presAssocID="{E75B7B71-89B8-4A8F-87CF-F616DB2FF2AC}" presName="ConnectorPoint" presStyleCnt="0"/>
      <dgm:spPr/>
    </dgm:pt>
    <dgm:pt modelId="{B1202ED7-F457-4A5B-BE3A-BE7A6B5C7DD5}" type="pres">
      <dgm:prSet presAssocID="{E75B7B71-89B8-4A8F-87CF-F616DB2FF2AC}" presName="Bullet" presStyleLbl="lnNode1" presStyleIdx="3" presStyleCnt="7"/>
      <dgm:spPr/>
    </dgm:pt>
    <dgm:pt modelId="{810EE8AC-24E6-4B4F-B918-153F05ABE0CD}" type="pres">
      <dgm:prSet presAssocID="{E75B7B71-89B8-4A8F-87CF-F616DB2FF2AC}" presName="EmptyPlaceHolder" presStyleCnt="0"/>
      <dgm:spPr/>
    </dgm:pt>
    <dgm:pt modelId="{97F9A786-C4B1-47BF-A174-2F407317CD2A}" type="pres">
      <dgm:prSet presAssocID="{7D2256F0-57A7-4749-BC5F-6C9B8AC18B48}" presName="spaceBetweenRectangles" presStyleCnt="0"/>
      <dgm:spPr/>
    </dgm:pt>
    <dgm:pt modelId="{7B9F0883-C7E7-4228-8D57-DC9C70F01EE5}" type="pres">
      <dgm:prSet presAssocID="{4E08D75A-945E-45FC-B17F-6CF247CC204F}" presName="composite" presStyleCnt="0"/>
      <dgm:spPr/>
    </dgm:pt>
    <dgm:pt modelId="{204D762F-4DE9-4254-81EC-E4093C19AF45}" type="pres">
      <dgm:prSet presAssocID="{4E08D75A-945E-45FC-B17F-6CF247CC204F}" presName="DropPinPlaceHolder" presStyleCnt="0"/>
      <dgm:spPr/>
    </dgm:pt>
    <dgm:pt modelId="{2B530201-805E-4877-8E03-9C7CA757BCB6}" type="pres">
      <dgm:prSet presAssocID="{4E08D75A-945E-45FC-B17F-6CF247CC204F}" presName="DropPin" presStyleLbl="alignNode1" presStyleIdx="4" presStyleCnt="7"/>
      <dgm:spPr/>
    </dgm:pt>
    <dgm:pt modelId="{6E76A1E4-B29D-4C16-B48B-CF24A4054A04}" type="pres">
      <dgm:prSet presAssocID="{4E08D75A-945E-45FC-B17F-6CF247CC204F}" presName="Ellipse" presStyleLbl="fgAcc1" presStyleIdx="4" presStyleCnt="7"/>
      <dgm:spPr/>
    </dgm:pt>
    <dgm:pt modelId="{92DF8C20-E6DD-41E6-9B49-9B8674BDCAC7}" type="pres">
      <dgm:prSet presAssocID="{4E08D75A-945E-45FC-B17F-6CF247CC204F}" presName="L2TextContainer" presStyleLbl="revTx" presStyleIdx="8" presStyleCnt="14">
        <dgm:presLayoutVars>
          <dgm:bulletEnabled val="1"/>
        </dgm:presLayoutVars>
      </dgm:prSet>
      <dgm:spPr/>
    </dgm:pt>
    <dgm:pt modelId="{0145FCE6-703F-418E-A96F-95C8347E3403}" type="pres">
      <dgm:prSet presAssocID="{4E08D75A-945E-45FC-B17F-6CF247CC204F}" presName="L1TextContainer" presStyleLbl="revTx" presStyleIdx="9" presStyleCnt="14">
        <dgm:presLayoutVars>
          <dgm:chMax val="1"/>
          <dgm:chPref val="1"/>
          <dgm:bulletEnabled val="1"/>
        </dgm:presLayoutVars>
      </dgm:prSet>
      <dgm:spPr/>
    </dgm:pt>
    <dgm:pt modelId="{ED1C9EE5-9B9B-4BF7-92B2-024530764EB3}" type="pres">
      <dgm:prSet presAssocID="{4E08D75A-945E-45FC-B17F-6CF247CC204F}" presName="ConnectLine" presStyleLbl="dkBgShp" presStyleIdx="6" presStyleCnt="9"/>
      <dgm:spPr/>
    </dgm:pt>
    <dgm:pt modelId="{30DE0F85-6C98-4D0E-8474-721074974AD4}" type="pres">
      <dgm:prSet presAssocID="{4E08D75A-945E-45FC-B17F-6CF247CC204F}" presName="ConnectorPoint" presStyleCnt="0"/>
      <dgm:spPr/>
    </dgm:pt>
    <dgm:pt modelId="{6A49C85E-BAB6-4881-BE6A-648E2F3F6CD1}" type="pres">
      <dgm:prSet presAssocID="{4E08D75A-945E-45FC-B17F-6CF247CC204F}" presName="Bullet" presStyleLbl="lnNode1" presStyleIdx="4" presStyleCnt="7"/>
      <dgm:spPr/>
    </dgm:pt>
    <dgm:pt modelId="{70C4B5E7-C49A-457F-A4C3-0EC506B2471F}" type="pres">
      <dgm:prSet presAssocID="{4E08D75A-945E-45FC-B17F-6CF247CC204F}" presName="EmptyPlaceHolder" presStyleCnt="0"/>
      <dgm:spPr/>
    </dgm:pt>
    <dgm:pt modelId="{A0E3F621-95D3-4789-954D-297C6EA40489}" type="pres">
      <dgm:prSet presAssocID="{BCE9ED79-2156-47E2-8BE5-439FCB49C494}" presName="spaceBetweenRectangles" presStyleCnt="0"/>
      <dgm:spPr/>
    </dgm:pt>
    <dgm:pt modelId="{B35162E8-54FB-47D2-ADF7-0451A1F27A86}" type="pres">
      <dgm:prSet presAssocID="{77AD82AB-0126-42F4-A22A-843B8D4DCC76}" presName="composite" presStyleCnt="0"/>
      <dgm:spPr/>
    </dgm:pt>
    <dgm:pt modelId="{5E6A542B-5427-45E0-BCCA-9280D4BEC069}" type="pres">
      <dgm:prSet presAssocID="{77AD82AB-0126-42F4-A22A-843B8D4DCC76}" presName="DropPinPlaceHolder" presStyleCnt="0"/>
      <dgm:spPr/>
    </dgm:pt>
    <dgm:pt modelId="{2AF81578-57A2-4ED4-B3A6-D04E6B751A17}" type="pres">
      <dgm:prSet presAssocID="{77AD82AB-0126-42F4-A22A-843B8D4DCC76}" presName="DropPin" presStyleLbl="alignNode1" presStyleIdx="5" presStyleCnt="7"/>
      <dgm:spPr/>
    </dgm:pt>
    <dgm:pt modelId="{FCA81CE4-AE24-4B43-BA6B-3494250E058A}" type="pres">
      <dgm:prSet presAssocID="{77AD82AB-0126-42F4-A22A-843B8D4DCC76}" presName="Ellipse" presStyleLbl="fgAcc1" presStyleIdx="5" presStyleCnt="7"/>
      <dgm:spPr/>
    </dgm:pt>
    <dgm:pt modelId="{B2B4D4AB-9B33-4685-848B-FCCBE26C03ED}" type="pres">
      <dgm:prSet presAssocID="{77AD82AB-0126-42F4-A22A-843B8D4DCC76}" presName="L2TextContainer" presStyleLbl="revTx" presStyleIdx="10" presStyleCnt="14">
        <dgm:presLayoutVars>
          <dgm:bulletEnabled val="1"/>
        </dgm:presLayoutVars>
      </dgm:prSet>
      <dgm:spPr/>
    </dgm:pt>
    <dgm:pt modelId="{4915CAE9-2BDE-4FF9-97DC-FBD3EC59E21D}" type="pres">
      <dgm:prSet presAssocID="{77AD82AB-0126-42F4-A22A-843B8D4DCC76}" presName="L1TextContainer" presStyleLbl="revTx" presStyleIdx="11" presStyleCnt="14">
        <dgm:presLayoutVars>
          <dgm:chMax val="1"/>
          <dgm:chPref val="1"/>
          <dgm:bulletEnabled val="1"/>
        </dgm:presLayoutVars>
      </dgm:prSet>
      <dgm:spPr/>
    </dgm:pt>
    <dgm:pt modelId="{967FE93D-508D-42E9-9A1C-9F31BD9232D1}" type="pres">
      <dgm:prSet presAssocID="{77AD82AB-0126-42F4-A22A-843B8D4DCC76}" presName="ConnectLine" presStyleLbl="dkBgShp" presStyleIdx="7" presStyleCnt="9"/>
      <dgm:spPr/>
    </dgm:pt>
    <dgm:pt modelId="{3D4CF4CD-8AEC-41F7-89D4-4E10634D2AFD}" type="pres">
      <dgm:prSet presAssocID="{77AD82AB-0126-42F4-A22A-843B8D4DCC76}" presName="ConnectorPoint" presStyleCnt="0"/>
      <dgm:spPr/>
    </dgm:pt>
    <dgm:pt modelId="{6F3DB0AB-7691-4B18-8672-D9E54FE7F8F6}" type="pres">
      <dgm:prSet presAssocID="{77AD82AB-0126-42F4-A22A-843B8D4DCC76}" presName="Bullet" presStyleLbl="lnNode1" presStyleIdx="5" presStyleCnt="7"/>
      <dgm:spPr/>
    </dgm:pt>
    <dgm:pt modelId="{8EEAF77E-FC33-44C7-AB52-47C500EC3707}" type="pres">
      <dgm:prSet presAssocID="{77AD82AB-0126-42F4-A22A-843B8D4DCC76}" presName="EmptyPlaceHolder" presStyleCnt="0"/>
      <dgm:spPr/>
    </dgm:pt>
    <dgm:pt modelId="{BF0AAC80-8F09-4678-BBA9-35DC0C3CA9C8}" type="pres">
      <dgm:prSet presAssocID="{A51572DE-E28F-47A6-B804-45FDBC04EB21}" presName="spaceBetweenRectangles" presStyleCnt="0"/>
      <dgm:spPr/>
    </dgm:pt>
    <dgm:pt modelId="{E1731AD8-7248-430E-ACE7-56CF8DA10491}" type="pres">
      <dgm:prSet presAssocID="{9DCF0C40-9287-48BC-BA61-F369539806A6}" presName="composite" presStyleCnt="0"/>
      <dgm:spPr/>
    </dgm:pt>
    <dgm:pt modelId="{43B55963-5A83-4B10-A0B9-30F9F5787561}" type="pres">
      <dgm:prSet presAssocID="{9DCF0C40-9287-48BC-BA61-F369539806A6}" presName="DropPinPlaceHolder" presStyleCnt="0"/>
      <dgm:spPr/>
    </dgm:pt>
    <dgm:pt modelId="{E7D805DA-95A6-4953-81A2-DEEC3D3A2640}" type="pres">
      <dgm:prSet presAssocID="{9DCF0C40-9287-48BC-BA61-F369539806A6}" presName="DropPin" presStyleLbl="alignNode1" presStyleIdx="6" presStyleCnt="7"/>
      <dgm:spPr/>
    </dgm:pt>
    <dgm:pt modelId="{9D523093-FC15-40DD-BE53-2EB3B208C613}" type="pres">
      <dgm:prSet presAssocID="{9DCF0C40-9287-48BC-BA61-F369539806A6}" presName="Ellipse" presStyleLbl="fgAcc1" presStyleIdx="6" presStyleCnt="7"/>
      <dgm:spPr/>
    </dgm:pt>
    <dgm:pt modelId="{DE751849-82A1-4DF9-B38A-C7B502D11C8B}" type="pres">
      <dgm:prSet presAssocID="{9DCF0C40-9287-48BC-BA61-F369539806A6}" presName="L2TextContainer" presStyleLbl="revTx" presStyleIdx="12" presStyleCnt="14">
        <dgm:presLayoutVars>
          <dgm:bulletEnabled val="1"/>
        </dgm:presLayoutVars>
      </dgm:prSet>
      <dgm:spPr/>
    </dgm:pt>
    <dgm:pt modelId="{ECE131A9-DFDB-407D-B359-86A8D12838B3}" type="pres">
      <dgm:prSet presAssocID="{9DCF0C40-9287-48BC-BA61-F369539806A6}" presName="L1TextContainer" presStyleLbl="revTx" presStyleIdx="13" presStyleCnt="14">
        <dgm:presLayoutVars>
          <dgm:chMax val="1"/>
          <dgm:chPref val="1"/>
          <dgm:bulletEnabled val="1"/>
        </dgm:presLayoutVars>
      </dgm:prSet>
      <dgm:spPr/>
    </dgm:pt>
    <dgm:pt modelId="{36480F0C-5F9D-48BA-A1C7-EDD685853509}" type="pres">
      <dgm:prSet presAssocID="{9DCF0C40-9287-48BC-BA61-F369539806A6}" presName="ConnectLine" presStyleLbl="dkBgShp" presStyleIdx="8" presStyleCnt="9"/>
      <dgm:spPr/>
    </dgm:pt>
    <dgm:pt modelId="{5119B40D-FAD4-468A-B5A9-E9618E8D253A}" type="pres">
      <dgm:prSet presAssocID="{9DCF0C40-9287-48BC-BA61-F369539806A6}" presName="ConnectorPoint" presStyleCnt="0"/>
      <dgm:spPr/>
    </dgm:pt>
    <dgm:pt modelId="{1BD201F9-97D7-4EB6-96B7-41D9410217A2}" type="pres">
      <dgm:prSet presAssocID="{9DCF0C40-9287-48BC-BA61-F369539806A6}" presName="Bullet" presStyleLbl="lnNode1" presStyleIdx="6" presStyleCnt="7"/>
      <dgm:spPr/>
    </dgm:pt>
    <dgm:pt modelId="{B5C55F17-27A9-442B-90AA-3ED819DC1C6C}" type="pres">
      <dgm:prSet presAssocID="{9DCF0C40-9287-48BC-BA61-F369539806A6}" presName="EmptyPlaceHolder" presStyleCnt="0"/>
      <dgm:spPr/>
    </dgm:pt>
  </dgm:ptLst>
  <dgm:cxnLst>
    <dgm:cxn modelId="{62168B02-1EC2-4019-9F8C-2CC36E7ADC97}" type="presOf" srcId="{E75B7B71-89B8-4A8F-87CF-F616DB2FF2AC}" destId="{BDF3BEBE-5B77-4FA0-AFB2-E78EA31A6F41}" srcOrd="0" destOrd="0" presId="urn:microsoft.com/office/officeart/2024/layout/BulletTimelineInverted"/>
    <dgm:cxn modelId="{7702F60B-E358-41D4-87FF-2B19360B16F3}" type="presOf" srcId="{77AD82AB-0126-42F4-A22A-843B8D4DCC76}" destId="{4915CAE9-2BDE-4FF9-97DC-FBD3EC59E21D}" srcOrd="0" destOrd="0" presId="urn:microsoft.com/office/officeart/2024/layout/BulletTimelineInverted"/>
    <dgm:cxn modelId="{FF1F120D-EA70-4B0C-9781-A838081EE035}" type="presOf" srcId="{E0BA97E1-9598-4407-8DA9-2952347D7A6D}" destId="{08F16DD9-94FA-4D37-80CB-C85E95317EEA}" srcOrd="0" destOrd="0" presId="urn:microsoft.com/office/officeart/2024/layout/BulletTimelineInverted"/>
    <dgm:cxn modelId="{1A395E18-8575-469B-88EC-2EF18B77274D}" srcId="{6421980E-621E-40E6-A2D9-109CD66F7704}" destId="{E75B7B71-89B8-4A8F-87CF-F616DB2FF2AC}" srcOrd="3" destOrd="0" parTransId="{958A20A1-8C85-49C7-AFD9-9004BC709AF9}" sibTransId="{7D2256F0-57A7-4749-BC5F-6C9B8AC18B48}"/>
    <dgm:cxn modelId="{3F1E2723-DDBA-4C20-9F2B-439D9CDACD76}" type="presOf" srcId="{F41304D9-B003-43B2-A7A0-9AA20016317B}" destId="{131C7187-16AE-4C6D-8266-F56D06C0B5D1}" srcOrd="0" destOrd="0" presId="urn:microsoft.com/office/officeart/2024/layout/BulletTimelineInverted"/>
    <dgm:cxn modelId="{50CFC523-E5FC-41E1-9EDC-4FCAE78A0363}" type="presOf" srcId="{4E08D75A-945E-45FC-B17F-6CF247CC204F}" destId="{0145FCE6-703F-418E-A96F-95C8347E3403}" srcOrd="0" destOrd="0" presId="urn:microsoft.com/office/officeart/2024/layout/BulletTimelineInverted"/>
    <dgm:cxn modelId="{5A084430-51C7-41C5-AC6F-4D9E26E8A6DE}" type="presOf" srcId="{4DDEF4AD-24B4-497A-BE60-1CE6F1C95C20}" destId="{559D35CF-5D53-4735-9F5A-A8CC33E71067}" srcOrd="0" destOrd="0" presId="urn:microsoft.com/office/officeart/2024/layout/BulletTimelineInverted"/>
    <dgm:cxn modelId="{B6838C33-E9F3-4445-8573-A1B90A7FE36B}" srcId="{6421980E-621E-40E6-A2D9-109CD66F7704}" destId="{E0BA97E1-9598-4407-8DA9-2952347D7A6D}" srcOrd="0" destOrd="0" parTransId="{0C531BF0-4647-4B07-B6CE-2A766749AA77}" sibTransId="{BC2B20A6-E33E-4CEB-B910-1CFB072CA915}"/>
    <dgm:cxn modelId="{C0E78534-3670-4713-910D-B439A5A8127F}" type="presOf" srcId="{B1EAFE44-0480-4F69-9C04-D0C041007C4A}" destId="{813FE090-1C43-4275-BB3B-75B5AB56DFD0}" srcOrd="0" destOrd="0" presId="urn:microsoft.com/office/officeart/2024/layout/BulletTimelineInverted"/>
    <dgm:cxn modelId="{B094B534-9DDF-41C4-9EBC-5EECFA79DC9B}" srcId="{77AD82AB-0126-42F4-A22A-843B8D4DCC76}" destId="{039F4034-8DE1-4548-B8BB-B903742EBA29}" srcOrd="0" destOrd="0" parTransId="{F6D81A53-B07B-4D7D-9FDC-2C1993B647D3}" sibTransId="{0839CE72-CD88-4381-9CB9-1F69343588DB}"/>
    <dgm:cxn modelId="{31B07939-32D6-48E1-8FFA-4FAE6DD4ECFB}" srcId="{9DCF0C40-9287-48BC-BA61-F369539806A6}" destId="{A1E414B7-4205-4029-86C9-5C32E500FD00}" srcOrd="0" destOrd="0" parTransId="{63AA6C3D-D5AC-47F3-BB0C-CE7AC493244E}" sibTransId="{8292E6C1-DB52-463F-B626-82C1FD147CE0}"/>
    <dgm:cxn modelId="{4F629C65-87A2-4B10-831F-FD41E5C26FD9}" type="presOf" srcId="{6421980E-621E-40E6-A2D9-109CD66F7704}" destId="{F393F622-35AB-4D06-A706-C0EB91E3AD65}" srcOrd="0" destOrd="0" presId="urn:microsoft.com/office/officeart/2024/layout/BulletTimelineInverted"/>
    <dgm:cxn modelId="{70DA9B66-6DF8-4564-AC6A-F2AF44EFE8ED}" srcId="{6421980E-621E-40E6-A2D9-109CD66F7704}" destId="{77AD82AB-0126-42F4-A22A-843B8D4DCC76}" srcOrd="5" destOrd="0" parTransId="{E84F188A-7622-4803-920A-31EF4FE5012F}" sibTransId="{A51572DE-E28F-47A6-B804-45FDBC04EB21}"/>
    <dgm:cxn modelId="{069D4A6D-AC02-4CCB-BE24-212EFA714168}" srcId="{9CCFBCAD-34AB-4ADC-A05C-383EAD951EA3}" destId="{977DA917-2816-4093-85E9-898CA1633424}" srcOrd="0" destOrd="0" parTransId="{4488454C-0104-45CD-B59B-CC94F13451BD}" sibTransId="{BCF4125D-FECE-4DCE-BD46-63E77985B3EF}"/>
    <dgm:cxn modelId="{2B55754E-F7CC-48CB-9094-9348FE0FF0A7}" srcId="{6421980E-621E-40E6-A2D9-109CD66F7704}" destId="{4E08D75A-945E-45FC-B17F-6CF247CC204F}" srcOrd="4" destOrd="0" parTransId="{D9D4D6D9-30EB-4D34-88F4-7D7A5A2CC9B7}" sibTransId="{BCE9ED79-2156-47E2-8BE5-439FCB49C494}"/>
    <dgm:cxn modelId="{A4E65C70-B8E9-48D4-A290-0BC0DAE58F5B}" type="presOf" srcId="{A1E414B7-4205-4029-86C9-5C32E500FD00}" destId="{DE751849-82A1-4DF9-B38A-C7B502D11C8B}" srcOrd="0" destOrd="0" presId="urn:microsoft.com/office/officeart/2024/layout/BulletTimelineInverted"/>
    <dgm:cxn modelId="{71E59E76-8228-4077-B8FE-4AE245911FDB}" type="presOf" srcId="{977DA917-2816-4093-85E9-898CA1633424}" destId="{96339474-2AE7-439B-A29B-9509A95D7A8D}" srcOrd="0" destOrd="0" presId="urn:microsoft.com/office/officeart/2024/layout/BulletTimelineInverted"/>
    <dgm:cxn modelId="{14236959-F38B-40EA-9BBC-FF0038D1EEBA}" srcId="{F41304D9-B003-43B2-A7A0-9AA20016317B}" destId="{C792A6A7-49F6-4D91-9A23-F968D4E5036E}" srcOrd="0" destOrd="0" parTransId="{E98C323F-BE9A-4D1C-964E-1B709C506D0D}" sibTransId="{2F1A2E1C-57CF-4679-831F-3B3E9C1782F4}"/>
    <dgm:cxn modelId="{BCEC1A88-0454-4D51-9DB8-99476D57C21F}" type="presOf" srcId="{C792A6A7-49F6-4D91-9A23-F968D4E5036E}" destId="{A15F31EF-2348-47FC-B22A-57DC559AF370}" srcOrd="0" destOrd="0" presId="urn:microsoft.com/office/officeart/2024/layout/BulletTimelineInverted"/>
    <dgm:cxn modelId="{EDD6BD9B-9C86-4304-8FFE-DAABA6DE0C70}" srcId="{E75B7B71-89B8-4A8F-87CF-F616DB2FF2AC}" destId="{4DDEF4AD-24B4-497A-BE60-1CE6F1C95C20}" srcOrd="0" destOrd="0" parTransId="{74E0DCF1-C9D8-40F4-B9DF-3CF5BF53B476}" sibTransId="{628A6F15-74E7-480C-B6E9-499A7B49EDB5}"/>
    <dgm:cxn modelId="{21ACA7A4-FC5C-4016-B895-9AE038A13446}" type="presOf" srcId="{039F4034-8DE1-4548-B8BB-B903742EBA29}" destId="{B2B4D4AB-9B33-4685-848B-FCCBE26C03ED}" srcOrd="0" destOrd="0" presId="urn:microsoft.com/office/officeart/2024/layout/BulletTimelineInverted"/>
    <dgm:cxn modelId="{1485D6AF-B28E-4169-8F04-4C7FDE8C8BA5}" type="presOf" srcId="{16F79AFF-4F1A-467F-B527-6F801AB98ADA}" destId="{92DF8C20-E6DD-41E6-9B49-9B8674BDCAC7}" srcOrd="0" destOrd="0" presId="urn:microsoft.com/office/officeart/2024/layout/BulletTimelineInverted"/>
    <dgm:cxn modelId="{6C2B82C4-0830-449C-A245-8073B6317733}" srcId="{E0BA97E1-9598-4407-8DA9-2952347D7A6D}" destId="{B1EAFE44-0480-4F69-9C04-D0C041007C4A}" srcOrd="0" destOrd="0" parTransId="{2B389BBE-49BF-4F59-B543-61968A59341B}" sibTransId="{6B816E45-52C2-43E0-9E93-913FC2A4A55E}"/>
    <dgm:cxn modelId="{E9209BC9-CAC7-4C63-A668-DE97BB2A1F55}" type="presOf" srcId="{9DCF0C40-9287-48BC-BA61-F369539806A6}" destId="{ECE131A9-DFDB-407D-B359-86A8D12838B3}" srcOrd="0" destOrd="0" presId="urn:microsoft.com/office/officeart/2024/layout/BulletTimelineInverted"/>
    <dgm:cxn modelId="{31263ED8-BE53-4A2E-8988-1C991951A224}" srcId="{6421980E-621E-40E6-A2D9-109CD66F7704}" destId="{9CCFBCAD-34AB-4ADC-A05C-383EAD951EA3}" srcOrd="2" destOrd="0" parTransId="{7FEB347B-A254-4139-919B-AD93A83A0525}" sibTransId="{3013A2C9-DE48-4298-9555-C0A8F2AAA19A}"/>
    <dgm:cxn modelId="{CF61CBDD-07F8-4D6E-9DBB-D1124E971CCE}" srcId="{6421980E-621E-40E6-A2D9-109CD66F7704}" destId="{F41304D9-B003-43B2-A7A0-9AA20016317B}" srcOrd="1" destOrd="0" parTransId="{3EBF5C46-6DC0-432E-AE29-AFB1ECC45298}" sibTransId="{CFB34AE4-E0F9-476E-8B30-8AF61D818CA8}"/>
    <dgm:cxn modelId="{A87260E5-C1EC-40F5-8750-7F2C3BC1CDC0}" srcId="{4E08D75A-945E-45FC-B17F-6CF247CC204F}" destId="{16F79AFF-4F1A-467F-B527-6F801AB98ADA}" srcOrd="0" destOrd="0" parTransId="{5A87617A-D4EB-4949-97FA-E55FA3200516}" sibTransId="{1605F114-B989-4E2F-8274-7D56C7448923}"/>
    <dgm:cxn modelId="{3D0068EC-0211-4D68-ACEA-ABF7CC8D9B1B}" srcId="{6421980E-621E-40E6-A2D9-109CD66F7704}" destId="{9DCF0C40-9287-48BC-BA61-F369539806A6}" srcOrd="6" destOrd="0" parTransId="{856D8BD0-398E-4453-AC56-355D631CA757}" sibTransId="{44FBEB29-676B-441E-AB78-B1002DB9CFB4}"/>
    <dgm:cxn modelId="{9277D2ED-2642-4590-9033-7E3DBBEC5EEC}" type="presOf" srcId="{9CCFBCAD-34AB-4ADC-A05C-383EAD951EA3}" destId="{CAC4B8F3-117C-43EA-9F47-7103278E27D6}" srcOrd="0" destOrd="0" presId="urn:microsoft.com/office/officeart/2024/layout/BulletTimelineInverted"/>
    <dgm:cxn modelId="{0E380ACD-ED03-43F5-9922-24C3292D5F6B}" type="presParOf" srcId="{F393F622-35AB-4D06-A706-C0EB91E3AD65}" destId="{ABA10AF9-633A-494D-81DB-187FA5996B97}" srcOrd="0" destOrd="0" presId="urn:microsoft.com/office/officeart/2024/layout/BulletTimelineInverted"/>
    <dgm:cxn modelId="{BEAAA7E5-F9F7-4C62-9A27-BD8E0E27541C}" type="presParOf" srcId="{ABA10AF9-633A-494D-81DB-187FA5996B97}" destId="{5E0A1C19-F026-420A-A12C-3AB3C316D8D2}" srcOrd="0" destOrd="0" presId="urn:microsoft.com/office/officeart/2024/layout/BulletTimelineInverted"/>
    <dgm:cxn modelId="{BA9302E8-D709-4160-90E7-7B7A0D5F09A3}" type="presParOf" srcId="{ABA10AF9-633A-494D-81DB-187FA5996B97}" destId="{09B1B8E4-E8EE-48C5-B90B-7F4DBD5F958A}" srcOrd="1" destOrd="0" presId="urn:microsoft.com/office/officeart/2024/layout/BulletTimelineInverted"/>
    <dgm:cxn modelId="{E4AA3E71-80A3-4924-B8C2-5EBB74CFE1D7}" type="presParOf" srcId="{F393F622-35AB-4D06-A706-C0EB91E3AD65}" destId="{3F51305C-1D48-4197-85F3-8B8FB2D4C230}" srcOrd="1" destOrd="0" presId="urn:microsoft.com/office/officeart/2024/layout/BulletTimelineInverted"/>
    <dgm:cxn modelId="{1C063E0D-5C73-4924-B662-ACDEB6CCD7E8}" type="presParOf" srcId="{3F51305C-1D48-4197-85F3-8B8FB2D4C230}" destId="{DA3D70E9-96D1-4104-A83D-588F35344AE8}" srcOrd="0" destOrd="0" presId="urn:microsoft.com/office/officeart/2024/layout/BulletTimelineInverted"/>
    <dgm:cxn modelId="{BC5E3CCC-8577-4442-AE65-B812745AF4F0}" type="presParOf" srcId="{DA3D70E9-96D1-4104-A83D-588F35344AE8}" destId="{F6FC15BE-B78B-4886-AF7E-B30BCE6961FF}" srcOrd="0" destOrd="0" presId="urn:microsoft.com/office/officeart/2024/layout/BulletTimelineInverted"/>
    <dgm:cxn modelId="{B42C6A9C-01CD-4A84-8B07-89396E895F87}" type="presParOf" srcId="{F6FC15BE-B78B-4886-AF7E-B30BCE6961FF}" destId="{1A7A9D25-E489-478A-AC19-8EBD4141B6BF}" srcOrd="0" destOrd="0" presId="urn:microsoft.com/office/officeart/2024/layout/BulletTimelineInverted"/>
    <dgm:cxn modelId="{AF737D4D-2402-453A-BE62-14EF75125D3B}" type="presParOf" srcId="{F6FC15BE-B78B-4886-AF7E-B30BCE6961FF}" destId="{00A16C2C-3649-4702-9A6D-A254F437A63A}" srcOrd="1" destOrd="0" presId="urn:microsoft.com/office/officeart/2024/layout/BulletTimelineInverted"/>
    <dgm:cxn modelId="{FA23E591-BD92-4751-83B2-01CB28685695}" type="presParOf" srcId="{DA3D70E9-96D1-4104-A83D-588F35344AE8}" destId="{813FE090-1C43-4275-BB3B-75B5AB56DFD0}" srcOrd="1" destOrd="0" presId="urn:microsoft.com/office/officeart/2024/layout/BulletTimelineInverted"/>
    <dgm:cxn modelId="{7C357685-64C2-4819-B1FE-76E2FAD027C1}" type="presParOf" srcId="{DA3D70E9-96D1-4104-A83D-588F35344AE8}" destId="{08F16DD9-94FA-4D37-80CB-C85E95317EEA}" srcOrd="2" destOrd="0" presId="urn:microsoft.com/office/officeart/2024/layout/BulletTimelineInverted"/>
    <dgm:cxn modelId="{FF54C2C8-74CD-4E22-A0EA-748ECA9F2C0A}" type="presParOf" srcId="{DA3D70E9-96D1-4104-A83D-588F35344AE8}" destId="{E30774C2-4F24-4B93-819A-5339A931069A}" srcOrd="3" destOrd="0" presId="urn:microsoft.com/office/officeart/2024/layout/BulletTimelineInverted"/>
    <dgm:cxn modelId="{7DBB001E-56A7-4ACA-9A86-C812A3141DC0}" type="presParOf" srcId="{DA3D70E9-96D1-4104-A83D-588F35344AE8}" destId="{D46E6270-9640-40FE-84C5-EEEC4E275E95}" srcOrd="4" destOrd="0" presId="urn:microsoft.com/office/officeart/2024/layout/BulletTimelineInverted"/>
    <dgm:cxn modelId="{39853B2E-F5EB-4567-9AF3-C5AE01D73B6E}" type="presParOf" srcId="{D46E6270-9640-40FE-84C5-EEEC4E275E95}" destId="{37EA1CE8-2780-4707-A230-2DC47DCDB71B}" srcOrd="0" destOrd="0" presId="urn:microsoft.com/office/officeart/2024/layout/BulletTimelineInverted"/>
    <dgm:cxn modelId="{1CC33122-1FAB-41DC-9F8C-DF85C1410880}" type="presParOf" srcId="{DA3D70E9-96D1-4104-A83D-588F35344AE8}" destId="{D5AB74A6-C1E2-416F-9E3F-95CF0FE8FDC1}" srcOrd="5" destOrd="0" presId="urn:microsoft.com/office/officeart/2024/layout/BulletTimelineInverted"/>
    <dgm:cxn modelId="{9826A5DD-B1C4-49F6-A43B-15300B21ACB1}" type="presParOf" srcId="{3F51305C-1D48-4197-85F3-8B8FB2D4C230}" destId="{5DA1887A-681B-4586-A567-311BC80CF093}" srcOrd="1" destOrd="0" presId="urn:microsoft.com/office/officeart/2024/layout/BulletTimelineInverted"/>
    <dgm:cxn modelId="{CC3399CD-71D7-4156-9E84-E3B6BE5E5B5C}" type="presParOf" srcId="{3F51305C-1D48-4197-85F3-8B8FB2D4C230}" destId="{4671A012-978A-4B50-8138-F0D2FC37FB5F}" srcOrd="2" destOrd="0" presId="urn:microsoft.com/office/officeart/2024/layout/BulletTimelineInverted"/>
    <dgm:cxn modelId="{4FCF05D3-D48E-4D6B-80CE-4A9A2407291F}" type="presParOf" srcId="{4671A012-978A-4B50-8138-F0D2FC37FB5F}" destId="{0638C157-FA2F-4859-AA89-6BBA85EF322C}" srcOrd="0" destOrd="0" presId="urn:microsoft.com/office/officeart/2024/layout/BulletTimelineInverted"/>
    <dgm:cxn modelId="{2F7917B5-E2E2-4062-8896-4BC3EF2E8185}" type="presParOf" srcId="{0638C157-FA2F-4859-AA89-6BBA85EF322C}" destId="{03FB3EA6-6342-428D-9214-9CAB67F46D9F}" srcOrd="0" destOrd="0" presId="urn:microsoft.com/office/officeart/2024/layout/BulletTimelineInverted"/>
    <dgm:cxn modelId="{A8ED0822-7253-4C5E-8454-3A8838DAD54C}" type="presParOf" srcId="{0638C157-FA2F-4859-AA89-6BBA85EF322C}" destId="{09F4FDD6-6930-4E88-887D-A20A77FB2BA5}" srcOrd="1" destOrd="0" presId="urn:microsoft.com/office/officeart/2024/layout/BulletTimelineInverted"/>
    <dgm:cxn modelId="{333D4AB4-B6C7-4F96-9AA4-1845CD279F5E}" type="presParOf" srcId="{4671A012-978A-4B50-8138-F0D2FC37FB5F}" destId="{A15F31EF-2348-47FC-B22A-57DC559AF370}" srcOrd="1" destOrd="0" presId="urn:microsoft.com/office/officeart/2024/layout/BulletTimelineInverted"/>
    <dgm:cxn modelId="{0DFAA6E7-5A50-4F59-B29A-5F4FCA58B3DF}" type="presParOf" srcId="{4671A012-978A-4B50-8138-F0D2FC37FB5F}" destId="{131C7187-16AE-4C6D-8266-F56D06C0B5D1}" srcOrd="2" destOrd="0" presId="urn:microsoft.com/office/officeart/2024/layout/BulletTimelineInverted"/>
    <dgm:cxn modelId="{82D9BE56-7012-4E6C-878B-057EA5F5C231}" type="presParOf" srcId="{4671A012-978A-4B50-8138-F0D2FC37FB5F}" destId="{985996CA-C876-4404-B51B-EDF8DADCE7B0}" srcOrd="3" destOrd="0" presId="urn:microsoft.com/office/officeart/2024/layout/BulletTimelineInverted"/>
    <dgm:cxn modelId="{E51E3970-B466-4812-9E13-D0073C6AD1EC}" type="presParOf" srcId="{4671A012-978A-4B50-8138-F0D2FC37FB5F}" destId="{682D2CB1-B815-4A73-AC97-47DE3937042B}" srcOrd="4" destOrd="0" presId="urn:microsoft.com/office/officeart/2024/layout/BulletTimelineInverted"/>
    <dgm:cxn modelId="{334012C1-BC6C-4F50-B735-960A6949A980}" type="presParOf" srcId="{682D2CB1-B815-4A73-AC97-47DE3937042B}" destId="{EBE33B10-5D65-4D99-8682-759C63D0F2A0}" srcOrd="0" destOrd="0" presId="urn:microsoft.com/office/officeart/2024/layout/BulletTimelineInverted"/>
    <dgm:cxn modelId="{56442D1A-791F-451F-8B9E-0C3D2BFB3E04}" type="presParOf" srcId="{4671A012-978A-4B50-8138-F0D2FC37FB5F}" destId="{5F868D00-1CDC-40EF-83CB-3C533B30298A}" srcOrd="5" destOrd="0" presId="urn:microsoft.com/office/officeart/2024/layout/BulletTimelineInverted"/>
    <dgm:cxn modelId="{34A41C26-75DE-4421-8EC7-D77259B0EFCD}" type="presParOf" srcId="{3F51305C-1D48-4197-85F3-8B8FB2D4C230}" destId="{7F9EFD97-3390-4E5A-8BA4-C4D090413F8E}" srcOrd="3" destOrd="0" presId="urn:microsoft.com/office/officeart/2024/layout/BulletTimelineInverted"/>
    <dgm:cxn modelId="{4B12ED93-596A-4B32-851F-5CCE40CEF970}" type="presParOf" srcId="{3F51305C-1D48-4197-85F3-8B8FB2D4C230}" destId="{13999B7C-5D22-41BC-BCB8-69BA25C097E9}" srcOrd="4" destOrd="0" presId="urn:microsoft.com/office/officeart/2024/layout/BulletTimelineInverted"/>
    <dgm:cxn modelId="{FE2F1094-97CC-4E0E-98ED-2EEF2F52FD6C}" type="presParOf" srcId="{13999B7C-5D22-41BC-BCB8-69BA25C097E9}" destId="{D3A8C727-5970-4E29-975D-110403816765}" srcOrd="0" destOrd="0" presId="urn:microsoft.com/office/officeart/2024/layout/BulletTimelineInverted"/>
    <dgm:cxn modelId="{7D87D8AF-F0F9-47E6-8F99-5F29A413B423}" type="presParOf" srcId="{D3A8C727-5970-4E29-975D-110403816765}" destId="{4EA28CF6-D4C0-4242-9BE5-54C78CE63C56}" srcOrd="0" destOrd="0" presId="urn:microsoft.com/office/officeart/2024/layout/BulletTimelineInverted"/>
    <dgm:cxn modelId="{A8594C9E-A307-42D5-ACAA-03197F4488FC}" type="presParOf" srcId="{D3A8C727-5970-4E29-975D-110403816765}" destId="{68946E1B-CBA2-4B04-AFD3-15F724869C39}" srcOrd="1" destOrd="0" presId="urn:microsoft.com/office/officeart/2024/layout/BulletTimelineInverted"/>
    <dgm:cxn modelId="{293EF52B-31D9-4A38-A057-C09358F6F3E2}" type="presParOf" srcId="{13999B7C-5D22-41BC-BCB8-69BA25C097E9}" destId="{96339474-2AE7-439B-A29B-9509A95D7A8D}" srcOrd="1" destOrd="0" presId="urn:microsoft.com/office/officeart/2024/layout/BulletTimelineInverted"/>
    <dgm:cxn modelId="{B53AAF58-0022-431F-8AF9-BC7BB0B1651B}" type="presParOf" srcId="{13999B7C-5D22-41BC-BCB8-69BA25C097E9}" destId="{CAC4B8F3-117C-43EA-9F47-7103278E27D6}" srcOrd="2" destOrd="0" presId="urn:microsoft.com/office/officeart/2024/layout/BulletTimelineInverted"/>
    <dgm:cxn modelId="{3FD4DB4E-B91F-4039-91AB-C720ADA9EBEB}" type="presParOf" srcId="{13999B7C-5D22-41BC-BCB8-69BA25C097E9}" destId="{62A1D9B1-C74B-4106-98B2-85C04D53B916}" srcOrd="3" destOrd="0" presId="urn:microsoft.com/office/officeart/2024/layout/BulletTimelineInverted"/>
    <dgm:cxn modelId="{AA35881C-D4DA-47B5-B4AD-8861F8F4C24E}" type="presParOf" srcId="{13999B7C-5D22-41BC-BCB8-69BA25C097E9}" destId="{570D0217-A44C-46EE-B132-8CC26DCCB64B}" srcOrd="4" destOrd="0" presId="urn:microsoft.com/office/officeart/2024/layout/BulletTimelineInverted"/>
    <dgm:cxn modelId="{689F745D-70D0-44F0-8DAD-48D2054E0A64}" type="presParOf" srcId="{570D0217-A44C-46EE-B132-8CC26DCCB64B}" destId="{75F49F99-3C1F-455D-8429-A4A6BF83F310}" srcOrd="0" destOrd="0" presId="urn:microsoft.com/office/officeart/2024/layout/BulletTimelineInverted"/>
    <dgm:cxn modelId="{B3BEAAC1-F837-407E-9F28-474775D52EE6}" type="presParOf" srcId="{13999B7C-5D22-41BC-BCB8-69BA25C097E9}" destId="{6C6D6AB2-3686-4FEC-A16F-5A73A14486A9}" srcOrd="5" destOrd="0" presId="urn:microsoft.com/office/officeart/2024/layout/BulletTimelineInverted"/>
    <dgm:cxn modelId="{54142A15-04C7-45A3-81EF-D40B8B936562}" type="presParOf" srcId="{3F51305C-1D48-4197-85F3-8B8FB2D4C230}" destId="{5DEB1F3C-6ABC-4D29-B16B-721F4564EF67}" srcOrd="5" destOrd="0" presId="urn:microsoft.com/office/officeart/2024/layout/BulletTimelineInverted"/>
    <dgm:cxn modelId="{2249631E-B3E2-42DD-8A6D-F90E27289DE3}" type="presParOf" srcId="{3F51305C-1D48-4197-85F3-8B8FB2D4C230}" destId="{F21361AA-025E-4D50-93CB-8E241FF965D6}" srcOrd="6" destOrd="0" presId="urn:microsoft.com/office/officeart/2024/layout/BulletTimelineInverted"/>
    <dgm:cxn modelId="{BEDCFF6C-0A37-47DF-81D2-4ABE5C87CE1D}" type="presParOf" srcId="{F21361AA-025E-4D50-93CB-8E241FF965D6}" destId="{2816BEDC-B8AE-4D06-9E18-FD405C3C0618}" srcOrd="0" destOrd="0" presId="urn:microsoft.com/office/officeart/2024/layout/BulletTimelineInverted"/>
    <dgm:cxn modelId="{D2CA2B11-5920-4869-A8D3-536015EFA6A1}" type="presParOf" srcId="{2816BEDC-B8AE-4D06-9E18-FD405C3C0618}" destId="{3CD0CBB7-FEF4-4E5D-A343-65E17EA8BC12}" srcOrd="0" destOrd="0" presId="urn:microsoft.com/office/officeart/2024/layout/BulletTimelineInverted"/>
    <dgm:cxn modelId="{0331D9EE-ACFF-4723-855E-C69EE1B481EE}" type="presParOf" srcId="{2816BEDC-B8AE-4D06-9E18-FD405C3C0618}" destId="{CB77D24A-30FD-4736-9BBF-46E182CECED5}" srcOrd="1" destOrd="0" presId="urn:microsoft.com/office/officeart/2024/layout/BulletTimelineInverted"/>
    <dgm:cxn modelId="{4335A33F-64EB-43C3-928C-F4A78550488E}" type="presParOf" srcId="{F21361AA-025E-4D50-93CB-8E241FF965D6}" destId="{559D35CF-5D53-4735-9F5A-A8CC33E71067}" srcOrd="1" destOrd="0" presId="urn:microsoft.com/office/officeart/2024/layout/BulletTimelineInverted"/>
    <dgm:cxn modelId="{AA635AC8-654F-4B8F-96E7-070A5DC4A75A}" type="presParOf" srcId="{F21361AA-025E-4D50-93CB-8E241FF965D6}" destId="{BDF3BEBE-5B77-4FA0-AFB2-E78EA31A6F41}" srcOrd="2" destOrd="0" presId="urn:microsoft.com/office/officeart/2024/layout/BulletTimelineInverted"/>
    <dgm:cxn modelId="{EC301894-5CCB-4599-98AD-0F88B5CDC92F}" type="presParOf" srcId="{F21361AA-025E-4D50-93CB-8E241FF965D6}" destId="{DA335E07-6895-479B-B233-97ECB6A6643E}" srcOrd="3" destOrd="0" presId="urn:microsoft.com/office/officeart/2024/layout/BulletTimelineInverted"/>
    <dgm:cxn modelId="{B71B894F-810F-4DA1-A55E-9A96BE163AD5}" type="presParOf" srcId="{F21361AA-025E-4D50-93CB-8E241FF965D6}" destId="{8BAF9CBF-6AD8-4668-B90C-0227100EF980}" srcOrd="4" destOrd="0" presId="urn:microsoft.com/office/officeart/2024/layout/BulletTimelineInverted"/>
    <dgm:cxn modelId="{4324D1A3-90D1-43A9-B174-D427A8686B2B}" type="presParOf" srcId="{8BAF9CBF-6AD8-4668-B90C-0227100EF980}" destId="{B1202ED7-F457-4A5B-BE3A-BE7A6B5C7DD5}" srcOrd="0" destOrd="0" presId="urn:microsoft.com/office/officeart/2024/layout/BulletTimelineInverted"/>
    <dgm:cxn modelId="{DF0B5EC8-B8FF-4D3C-B716-28C7993E895E}" type="presParOf" srcId="{F21361AA-025E-4D50-93CB-8E241FF965D6}" destId="{810EE8AC-24E6-4B4F-B918-153F05ABE0CD}" srcOrd="5" destOrd="0" presId="urn:microsoft.com/office/officeart/2024/layout/BulletTimelineInverted"/>
    <dgm:cxn modelId="{FCDD06DF-4CCF-4B4C-B3A0-887C8BB1C4F7}" type="presParOf" srcId="{3F51305C-1D48-4197-85F3-8B8FB2D4C230}" destId="{97F9A786-C4B1-47BF-A174-2F407317CD2A}" srcOrd="7" destOrd="0" presId="urn:microsoft.com/office/officeart/2024/layout/BulletTimelineInverted"/>
    <dgm:cxn modelId="{B720428D-BD70-4D6C-9D29-A2A85EB4184F}" type="presParOf" srcId="{3F51305C-1D48-4197-85F3-8B8FB2D4C230}" destId="{7B9F0883-C7E7-4228-8D57-DC9C70F01EE5}" srcOrd="8" destOrd="0" presId="urn:microsoft.com/office/officeart/2024/layout/BulletTimelineInverted"/>
    <dgm:cxn modelId="{0A6D39E5-FAB6-4232-8B65-FBA9D7582724}" type="presParOf" srcId="{7B9F0883-C7E7-4228-8D57-DC9C70F01EE5}" destId="{204D762F-4DE9-4254-81EC-E4093C19AF45}" srcOrd="0" destOrd="0" presId="urn:microsoft.com/office/officeart/2024/layout/BulletTimelineInverted"/>
    <dgm:cxn modelId="{8D36B66F-145D-4B88-BB8F-98D508F68832}" type="presParOf" srcId="{204D762F-4DE9-4254-81EC-E4093C19AF45}" destId="{2B530201-805E-4877-8E03-9C7CA757BCB6}" srcOrd="0" destOrd="0" presId="urn:microsoft.com/office/officeart/2024/layout/BulletTimelineInverted"/>
    <dgm:cxn modelId="{08A2D328-FAE3-4E59-B40F-7F8D8667552B}" type="presParOf" srcId="{204D762F-4DE9-4254-81EC-E4093C19AF45}" destId="{6E76A1E4-B29D-4C16-B48B-CF24A4054A04}" srcOrd="1" destOrd="0" presId="urn:microsoft.com/office/officeart/2024/layout/BulletTimelineInverted"/>
    <dgm:cxn modelId="{9AD6599B-0D13-466E-BD57-B3D7222C20FA}" type="presParOf" srcId="{7B9F0883-C7E7-4228-8D57-DC9C70F01EE5}" destId="{92DF8C20-E6DD-41E6-9B49-9B8674BDCAC7}" srcOrd="1" destOrd="0" presId="urn:microsoft.com/office/officeart/2024/layout/BulletTimelineInverted"/>
    <dgm:cxn modelId="{187CCFEC-8711-4727-8FA0-F7340A699564}" type="presParOf" srcId="{7B9F0883-C7E7-4228-8D57-DC9C70F01EE5}" destId="{0145FCE6-703F-418E-A96F-95C8347E3403}" srcOrd="2" destOrd="0" presId="urn:microsoft.com/office/officeart/2024/layout/BulletTimelineInverted"/>
    <dgm:cxn modelId="{5017AE20-2750-4FC2-B93C-B48B99C4AB69}" type="presParOf" srcId="{7B9F0883-C7E7-4228-8D57-DC9C70F01EE5}" destId="{ED1C9EE5-9B9B-4BF7-92B2-024530764EB3}" srcOrd="3" destOrd="0" presId="urn:microsoft.com/office/officeart/2024/layout/BulletTimelineInverted"/>
    <dgm:cxn modelId="{D5F19283-A90B-4788-B74A-DD79110E385D}" type="presParOf" srcId="{7B9F0883-C7E7-4228-8D57-DC9C70F01EE5}" destId="{30DE0F85-6C98-4D0E-8474-721074974AD4}" srcOrd="4" destOrd="0" presId="urn:microsoft.com/office/officeart/2024/layout/BulletTimelineInverted"/>
    <dgm:cxn modelId="{9779B43D-568D-40E4-97AF-6FDFE567BCA9}" type="presParOf" srcId="{30DE0F85-6C98-4D0E-8474-721074974AD4}" destId="{6A49C85E-BAB6-4881-BE6A-648E2F3F6CD1}" srcOrd="0" destOrd="0" presId="urn:microsoft.com/office/officeart/2024/layout/BulletTimelineInverted"/>
    <dgm:cxn modelId="{F39288EC-30BC-46B2-B8DA-49FA1AA1FE31}" type="presParOf" srcId="{7B9F0883-C7E7-4228-8D57-DC9C70F01EE5}" destId="{70C4B5E7-C49A-457F-A4C3-0EC506B2471F}" srcOrd="5" destOrd="0" presId="urn:microsoft.com/office/officeart/2024/layout/BulletTimelineInverted"/>
    <dgm:cxn modelId="{1A50B0DD-E4DD-4F21-8EEB-2E8535D362D0}" type="presParOf" srcId="{3F51305C-1D48-4197-85F3-8B8FB2D4C230}" destId="{A0E3F621-95D3-4789-954D-297C6EA40489}" srcOrd="9" destOrd="0" presId="urn:microsoft.com/office/officeart/2024/layout/BulletTimelineInverted"/>
    <dgm:cxn modelId="{FC4E0545-F7D5-47D1-A2D8-0A3714CB1526}" type="presParOf" srcId="{3F51305C-1D48-4197-85F3-8B8FB2D4C230}" destId="{B35162E8-54FB-47D2-ADF7-0451A1F27A86}" srcOrd="10" destOrd="0" presId="urn:microsoft.com/office/officeart/2024/layout/BulletTimelineInverted"/>
    <dgm:cxn modelId="{17097306-514B-4B2B-8488-2FA9665C9233}" type="presParOf" srcId="{B35162E8-54FB-47D2-ADF7-0451A1F27A86}" destId="{5E6A542B-5427-45E0-BCCA-9280D4BEC069}" srcOrd="0" destOrd="0" presId="urn:microsoft.com/office/officeart/2024/layout/BulletTimelineInverted"/>
    <dgm:cxn modelId="{F8408A99-9DC7-440D-82D7-89DAD994F083}" type="presParOf" srcId="{5E6A542B-5427-45E0-BCCA-9280D4BEC069}" destId="{2AF81578-57A2-4ED4-B3A6-D04E6B751A17}" srcOrd="0" destOrd="0" presId="urn:microsoft.com/office/officeart/2024/layout/BulletTimelineInverted"/>
    <dgm:cxn modelId="{29781FB2-4156-40DA-8CC7-F06270F87711}" type="presParOf" srcId="{5E6A542B-5427-45E0-BCCA-9280D4BEC069}" destId="{FCA81CE4-AE24-4B43-BA6B-3494250E058A}" srcOrd="1" destOrd="0" presId="urn:microsoft.com/office/officeart/2024/layout/BulletTimelineInverted"/>
    <dgm:cxn modelId="{FEB81664-2A89-49F3-9C00-81631A856CAE}" type="presParOf" srcId="{B35162E8-54FB-47D2-ADF7-0451A1F27A86}" destId="{B2B4D4AB-9B33-4685-848B-FCCBE26C03ED}" srcOrd="1" destOrd="0" presId="urn:microsoft.com/office/officeart/2024/layout/BulletTimelineInverted"/>
    <dgm:cxn modelId="{33EA627E-5859-4E04-BD6A-E774624968B2}" type="presParOf" srcId="{B35162E8-54FB-47D2-ADF7-0451A1F27A86}" destId="{4915CAE9-2BDE-4FF9-97DC-FBD3EC59E21D}" srcOrd="2" destOrd="0" presId="urn:microsoft.com/office/officeart/2024/layout/BulletTimelineInverted"/>
    <dgm:cxn modelId="{3CF9CED8-E5DC-4F17-AB03-399FBC5AA593}" type="presParOf" srcId="{B35162E8-54FB-47D2-ADF7-0451A1F27A86}" destId="{967FE93D-508D-42E9-9A1C-9F31BD9232D1}" srcOrd="3" destOrd="0" presId="urn:microsoft.com/office/officeart/2024/layout/BulletTimelineInverted"/>
    <dgm:cxn modelId="{6BA1FA39-944E-4D64-B1EE-00EC78705147}" type="presParOf" srcId="{B35162E8-54FB-47D2-ADF7-0451A1F27A86}" destId="{3D4CF4CD-8AEC-41F7-89D4-4E10634D2AFD}" srcOrd="4" destOrd="0" presId="urn:microsoft.com/office/officeart/2024/layout/BulletTimelineInverted"/>
    <dgm:cxn modelId="{1A8E7776-A7E8-4CEA-A66E-4F85551A5C92}" type="presParOf" srcId="{3D4CF4CD-8AEC-41F7-89D4-4E10634D2AFD}" destId="{6F3DB0AB-7691-4B18-8672-D9E54FE7F8F6}" srcOrd="0" destOrd="0" presId="urn:microsoft.com/office/officeart/2024/layout/BulletTimelineInverted"/>
    <dgm:cxn modelId="{DBBE4C91-566C-49CD-8532-3A46A3EB58B6}" type="presParOf" srcId="{B35162E8-54FB-47D2-ADF7-0451A1F27A86}" destId="{8EEAF77E-FC33-44C7-AB52-47C500EC3707}" srcOrd="5" destOrd="0" presId="urn:microsoft.com/office/officeart/2024/layout/BulletTimelineInverted"/>
    <dgm:cxn modelId="{96CDEB60-3547-4DEB-BDEC-E615C13A9248}" type="presParOf" srcId="{3F51305C-1D48-4197-85F3-8B8FB2D4C230}" destId="{BF0AAC80-8F09-4678-BBA9-35DC0C3CA9C8}" srcOrd="11" destOrd="0" presId="urn:microsoft.com/office/officeart/2024/layout/BulletTimelineInverted"/>
    <dgm:cxn modelId="{49644220-8D57-44C9-9C9F-7F039A9853D5}" type="presParOf" srcId="{3F51305C-1D48-4197-85F3-8B8FB2D4C230}" destId="{E1731AD8-7248-430E-ACE7-56CF8DA10491}" srcOrd="12" destOrd="0" presId="urn:microsoft.com/office/officeart/2024/layout/BulletTimelineInverted"/>
    <dgm:cxn modelId="{2A87F842-4DC0-48D9-8F0D-3E04B06AEC8F}" type="presParOf" srcId="{E1731AD8-7248-430E-ACE7-56CF8DA10491}" destId="{43B55963-5A83-4B10-A0B9-30F9F5787561}" srcOrd="0" destOrd="0" presId="urn:microsoft.com/office/officeart/2024/layout/BulletTimelineInverted"/>
    <dgm:cxn modelId="{0D9E5623-6C95-4E48-B417-B897BEEA9434}" type="presParOf" srcId="{43B55963-5A83-4B10-A0B9-30F9F5787561}" destId="{E7D805DA-95A6-4953-81A2-DEEC3D3A2640}" srcOrd="0" destOrd="0" presId="urn:microsoft.com/office/officeart/2024/layout/BulletTimelineInverted"/>
    <dgm:cxn modelId="{5C8666C1-B3F9-463A-ACDB-81F7E89C62C1}" type="presParOf" srcId="{43B55963-5A83-4B10-A0B9-30F9F5787561}" destId="{9D523093-FC15-40DD-BE53-2EB3B208C613}" srcOrd="1" destOrd="0" presId="urn:microsoft.com/office/officeart/2024/layout/BulletTimelineInverted"/>
    <dgm:cxn modelId="{CED9499A-79F2-4C9B-B0B6-0E51691227F1}" type="presParOf" srcId="{E1731AD8-7248-430E-ACE7-56CF8DA10491}" destId="{DE751849-82A1-4DF9-B38A-C7B502D11C8B}" srcOrd="1" destOrd="0" presId="urn:microsoft.com/office/officeart/2024/layout/BulletTimelineInverted"/>
    <dgm:cxn modelId="{87C1E875-20AE-4B35-9794-7832E3E631F1}" type="presParOf" srcId="{E1731AD8-7248-430E-ACE7-56CF8DA10491}" destId="{ECE131A9-DFDB-407D-B359-86A8D12838B3}" srcOrd="2" destOrd="0" presId="urn:microsoft.com/office/officeart/2024/layout/BulletTimelineInverted"/>
    <dgm:cxn modelId="{E5144919-15E4-4490-A2C3-0D4B66E3A1C8}" type="presParOf" srcId="{E1731AD8-7248-430E-ACE7-56CF8DA10491}" destId="{36480F0C-5F9D-48BA-A1C7-EDD685853509}" srcOrd="3" destOrd="0" presId="urn:microsoft.com/office/officeart/2024/layout/BulletTimelineInverted"/>
    <dgm:cxn modelId="{9060D927-D2AB-45A4-973A-CD1AABCEAA5A}" type="presParOf" srcId="{E1731AD8-7248-430E-ACE7-56CF8DA10491}" destId="{5119B40D-FAD4-468A-B5A9-E9618E8D253A}" srcOrd="4" destOrd="0" presId="urn:microsoft.com/office/officeart/2024/layout/BulletTimelineInverted"/>
    <dgm:cxn modelId="{6803A660-F573-43BC-ADFB-02FC9D6B1348}" type="presParOf" srcId="{5119B40D-FAD4-468A-B5A9-E9618E8D253A}" destId="{1BD201F9-97D7-4EB6-96B7-41D9410217A2}" srcOrd="0" destOrd="0" presId="urn:microsoft.com/office/officeart/2024/layout/BulletTimelineInverted"/>
    <dgm:cxn modelId="{7BCF2D2E-4D4F-4BE4-9F25-72421392D583}" type="presParOf" srcId="{E1731AD8-7248-430E-ACE7-56CF8DA10491}" destId="{B5C55F17-27A9-442B-90AA-3ED819DC1C6C}" srcOrd="5" destOrd="0" presId="urn:microsoft.com/office/officeart/2024/layout/BulletTimelineInverted"/>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0A1C19-F026-420A-A12C-3AB3C316D8D2}">
      <dsp:nvSpPr>
        <dsp:cNvPr id="0" name=""/>
        <dsp:cNvSpPr/>
      </dsp:nvSpPr>
      <dsp:spPr>
        <a:xfrm>
          <a:off x="0" y="1584198"/>
          <a:ext cx="5730087" cy="32004"/>
        </a:xfrm>
        <a:prstGeom prst="rect">
          <a:avLst/>
        </a:prstGeom>
        <a:gradFill rotWithShape="0">
          <a:gsLst>
            <a:gs pos="0">
              <a:schemeClr val="accent1">
                <a:tint val="76000"/>
              </a:schemeClr>
            </a:gs>
            <a:gs pos="100000">
              <a:schemeClr val="accent1">
                <a:tint val="76000"/>
              </a:schemeClr>
            </a:gs>
          </a:gsLst>
          <a:lin ang="0" scaled="0"/>
        </a:gradFill>
        <a:ln>
          <a:noFill/>
        </a:ln>
        <a:effectLst/>
      </dsp:spPr>
      <dsp:style>
        <a:lnRef idx="0">
          <a:scrgbClr r="0" g="0" b="0"/>
        </a:lnRef>
        <a:fillRef idx="1">
          <a:scrgbClr r="0" g="0" b="0"/>
        </a:fillRef>
        <a:effectRef idx="0">
          <a:scrgbClr r="0" g="0" b="0"/>
        </a:effectRef>
        <a:fontRef idx="minor"/>
      </dsp:style>
    </dsp:sp>
    <dsp:sp modelId="{09B1B8E4-E8EE-48C5-B90B-7F4DBD5F958A}">
      <dsp:nvSpPr>
        <dsp:cNvPr id="0" name=""/>
        <dsp:cNvSpPr/>
      </dsp:nvSpPr>
      <dsp:spPr>
        <a:xfrm>
          <a:off x="5561076" y="1472184"/>
          <a:ext cx="192024" cy="256032"/>
        </a:xfrm>
        <a:prstGeom prst="chevron">
          <a:avLst>
            <a:gd name="adj" fmla="val 75000"/>
          </a:avLst>
        </a:prstGeom>
        <a:gradFill rotWithShape="0">
          <a:gsLst>
            <a:gs pos="0">
              <a:schemeClr val="accent1">
                <a:tint val="76000"/>
              </a:schemeClr>
            </a:gs>
            <a:gs pos="100000">
              <a:schemeClr val="accent1">
                <a:tint val="76000"/>
              </a:schemeClr>
            </a:gs>
          </a:gsLst>
          <a:lin ang="0" scaled="0"/>
        </a:gradFill>
        <a:ln>
          <a:noFill/>
        </a:ln>
        <a:effectLst/>
      </dsp:spPr>
      <dsp:style>
        <a:lnRef idx="0">
          <a:scrgbClr r="0" g="0" b="0"/>
        </a:lnRef>
        <a:fillRef idx="1">
          <a:scrgbClr r="0" g="0" b="0"/>
        </a:fillRef>
        <a:effectRef idx="0">
          <a:scrgbClr r="0" g="0" b="0"/>
        </a:effectRef>
        <a:fontRef idx="minor"/>
      </dsp:style>
    </dsp:sp>
    <dsp:sp modelId="{813FE090-1C43-4275-BB3B-75B5AB56DFD0}">
      <dsp:nvSpPr>
        <dsp:cNvPr id="0" name=""/>
        <dsp:cNvSpPr/>
      </dsp:nvSpPr>
      <dsp:spPr>
        <a:xfrm>
          <a:off x="367459" y="802864"/>
          <a:ext cx="1070815" cy="7055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l" defTabSz="400050">
            <a:lnSpc>
              <a:spcPct val="90000"/>
            </a:lnSpc>
            <a:spcBef>
              <a:spcPct val="0"/>
            </a:spcBef>
            <a:spcAft>
              <a:spcPct val="35000"/>
            </a:spcAft>
            <a:buNone/>
          </a:pPr>
          <a:r>
            <a:rPr lang="en-US" sz="900" kern="1200"/>
            <a:t>October 21, 1998</a:t>
          </a:r>
        </a:p>
      </dsp:txBody>
      <dsp:txXfrm>
        <a:off x="367459" y="802864"/>
        <a:ext cx="1070815" cy="705545"/>
      </dsp:txXfrm>
    </dsp:sp>
    <dsp:sp modelId="{08F16DD9-94FA-4D37-80CB-C85E95317EEA}">
      <dsp:nvSpPr>
        <dsp:cNvPr id="0" name=""/>
        <dsp:cNvSpPr/>
      </dsp:nvSpPr>
      <dsp:spPr>
        <a:xfrm>
          <a:off x="367459" y="437927"/>
          <a:ext cx="1070815" cy="3649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533400">
            <a:lnSpc>
              <a:spcPct val="90000"/>
            </a:lnSpc>
            <a:spcBef>
              <a:spcPct val="0"/>
            </a:spcBef>
            <a:spcAft>
              <a:spcPct val="35000"/>
            </a:spcAft>
            <a:buNone/>
            <a:defRPr b="1"/>
          </a:pPr>
          <a:r>
            <a:rPr lang="en-US" sz="1200" kern="1200"/>
            <a:t>ITFA Enacted</a:t>
          </a:r>
        </a:p>
      </dsp:txBody>
      <dsp:txXfrm>
        <a:off x="367459" y="437927"/>
        <a:ext cx="1070815" cy="364937"/>
      </dsp:txXfrm>
    </dsp:sp>
    <dsp:sp modelId="{E30774C2-4F24-4B93-819A-5339A931069A}">
      <dsp:nvSpPr>
        <dsp:cNvPr id="0" name=""/>
        <dsp:cNvSpPr/>
      </dsp:nvSpPr>
      <dsp:spPr>
        <a:xfrm>
          <a:off x="172246" y="413598"/>
          <a:ext cx="22966" cy="1192128"/>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15F31EF-2348-47FC-B22A-57DC559AF370}">
      <dsp:nvSpPr>
        <dsp:cNvPr id="0" name=""/>
        <dsp:cNvSpPr/>
      </dsp:nvSpPr>
      <dsp:spPr>
        <a:xfrm>
          <a:off x="1086596" y="2206680"/>
          <a:ext cx="1070815" cy="5864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l" defTabSz="400050">
            <a:lnSpc>
              <a:spcPct val="90000"/>
            </a:lnSpc>
            <a:spcBef>
              <a:spcPct val="0"/>
            </a:spcBef>
            <a:spcAft>
              <a:spcPct val="35000"/>
            </a:spcAft>
            <a:buNone/>
          </a:pPr>
          <a:r>
            <a:rPr lang="en-US" sz="900" kern="1200"/>
            <a:t>November 28, 2001</a:t>
          </a:r>
        </a:p>
      </dsp:txBody>
      <dsp:txXfrm>
        <a:off x="1086596" y="2206680"/>
        <a:ext cx="1070815" cy="586428"/>
      </dsp:txXfrm>
    </dsp:sp>
    <dsp:sp modelId="{131C7187-16AE-4C6D-8266-F56D06C0B5D1}">
      <dsp:nvSpPr>
        <dsp:cNvPr id="0" name=""/>
        <dsp:cNvSpPr/>
      </dsp:nvSpPr>
      <dsp:spPr>
        <a:xfrm>
          <a:off x="1086596" y="1819887"/>
          <a:ext cx="1070815" cy="3867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533400">
            <a:lnSpc>
              <a:spcPct val="90000"/>
            </a:lnSpc>
            <a:spcBef>
              <a:spcPct val="0"/>
            </a:spcBef>
            <a:spcAft>
              <a:spcPct val="35000"/>
            </a:spcAft>
            <a:buNone/>
            <a:defRPr b="1"/>
          </a:pPr>
          <a:r>
            <a:rPr lang="en-US" sz="1200" kern="1200"/>
            <a:t>ITFA Extended</a:t>
          </a:r>
        </a:p>
      </dsp:txBody>
      <dsp:txXfrm>
        <a:off x="1086596" y="1819887"/>
        <a:ext cx="1070815" cy="386792"/>
      </dsp:txXfrm>
    </dsp:sp>
    <dsp:sp modelId="{985996CA-C876-4404-B51B-EDF8DADCE7B0}">
      <dsp:nvSpPr>
        <dsp:cNvPr id="0" name=""/>
        <dsp:cNvSpPr/>
      </dsp:nvSpPr>
      <dsp:spPr>
        <a:xfrm>
          <a:off x="891383" y="1595298"/>
          <a:ext cx="22966" cy="1222764"/>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7EA1CE8-2780-4707-A230-2DC47DCDB71B}">
      <dsp:nvSpPr>
        <dsp:cNvPr id="0" name=""/>
        <dsp:cNvSpPr/>
      </dsp:nvSpPr>
      <dsp:spPr>
        <a:xfrm>
          <a:off x="124017" y="353886"/>
          <a:ext cx="119424" cy="11942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BE33B10-5D65-4D99-8682-759C63D0F2A0}">
      <dsp:nvSpPr>
        <dsp:cNvPr id="0" name=""/>
        <dsp:cNvSpPr/>
      </dsp:nvSpPr>
      <dsp:spPr>
        <a:xfrm>
          <a:off x="843154" y="2758351"/>
          <a:ext cx="119424" cy="11942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6339474-2AE7-439B-A29B-9509A95D7A8D}">
      <dsp:nvSpPr>
        <dsp:cNvPr id="0" name=""/>
        <dsp:cNvSpPr/>
      </dsp:nvSpPr>
      <dsp:spPr>
        <a:xfrm>
          <a:off x="1805734" y="802864"/>
          <a:ext cx="1070815" cy="7055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l" defTabSz="400050">
            <a:lnSpc>
              <a:spcPct val="90000"/>
            </a:lnSpc>
            <a:spcBef>
              <a:spcPct val="0"/>
            </a:spcBef>
            <a:spcAft>
              <a:spcPct val="35000"/>
            </a:spcAft>
            <a:buNone/>
          </a:pPr>
          <a:r>
            <a:rPr lang="en-US" sz="900" kern="1200"/>
            <a:t>December 3, 2004</a:t>
          </a:r>
        </a:p>
      </dsp:txBody>
      <dsp:txXfrm>
        <a:off x="1805734" y="802864"/>
        <a:ext cx="1070815" cy="705545"/>
      </dsp:txXfrm>
    </dsp:sp>
    <dsp:sp modelId="{CAC4B8F3-117C-43EA-9F47-7103278E27D6}">
      <dsp:nvSpPr>
        <dsp:cNvPr id="0" name=""/>
        <dsp:cNvSpPr/>
      </dsp:nvSpPr>
      <dsp:spPr>
        <a:xfrm>
          <a:off x="1805734" y="437927"/>
          <a:ext cx="1070815" cy="3649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533400">
            <a:lnSpc>
              <a:spcPct val="90000"/>
            </a:lnSpc>
            <a:spcBef>
              <a:spcPct val="0"/>
            </a:spcBef>
            <a:spcAft>
              <a:spcPct val="35000"/>
            </a:spcAft>
            <a:buNone/>
            <a:defRPr b="1"/>
          </a:pPr>
          <a:r>
            <a:rPr lang="en-US" sz="1200" kern="1200"/>
            <a:t>ITFA Amended and Extended</a:t>
          </a:r>
        </a:p>
      </dsp:txBody>
      <dsp:txXfrm>
        <a:off x="1805734" y="437927"/>
        <a:ext cx="1070815" cy="364937"/>
      </dsp:txXfrm>
    </dsp:sp>
    <dsp:sp modelId="{62A1D9B1-C74B-4106-98B2-85C04D53B916}">
      <dsp:nvSpPr>
        <dsp:cNvPr id="0" name=""/>
        <dsp:cNvSpPr/>
      </dsp:nvSpPr>
      <dsp:spPr>
        <a:xfrm>
          <a:off x="1610521" y="413598"/>
          <a:ext cx="22966" cy="1192128"/>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59D35CF-5D53-4735-9F5A-A8CC33E71067}">
      <dsp:nvSpPr>
        <dsp:cNvPr id="0" name=""/>
        <dsp:cNvSpPr/>
      </dsp:nvSpPr>
      <dsp:spPr>
        <a:xfrm>
          <a:off x="2524871" y="2206680"/>
          <a:ext cx="1070815" cy="5864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l" defTabSz="400050">
            <a:lnSpc>
              <a:spcPct val="90000"/>
            </a:lnSpc>
            <a:spcBef>
              <a:spcPct val="0"/>
            </a:spcBef>
            <a:spcAft>
              <a:spcPct val="35000"/>
            </a:spcAft>
            <a:buNone/>
          </a:pPr>
          <a:r>
            <a:rPr lang="en-US" sz="900" kern="1200"/>
            <a:t>October 31, 2007</a:t>
          </a:r>
        </a:p>
      </dsp:txBody>
      <dsp:txXfrm>
        <a:off x="2524871" y="2206680"/>
        <a:ext cx="1070815" cy="586428"/>
      </dsp:txXfrm>
    </dsp:sp>
    <dsp:sp modelId="{BDF3BEBE-5B77-4FA0-AFB2-E78EA31A6F41}">
      <dsp:nvSpPr>
        <dsp:cNvPr id="0" name=""/>
        <dsp:cNvSpPr/>
      </dsp:nvSpPr>
      <dsp:spPr>
        <a:xfrm>
          <a:off x="2524871" y="1819887"/>
          <a:ext cx="1070815" cy="3867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533400">
            <a:lnSpc>
              <a:spcPct val="90000"/>
            </a:lnSpc>
            <a:spcBef>
              <a:spcPct val="0"/>
            </a:spcBef>
            <a:spcAft>
              <a:spcPct val="35000"/>
            </a:spcAft>
            <a:buNone/>
            <a:defRPr b="1"/>
          </a:pPr>
          <a:r>
            <a:rPr lang="en-US" sz="1200" kern="1200"/>
            <a:t>ITFA Amended and Extended</a:t>
          </a:r>
        </a:p>
      </dsp:txBody>
      <dsp:txXfrm>
        <a:off x="2524871" y="1819887"/>
        <a:ext cx="1070815" cy="386792"/>
      </dsp:txXfrm>
    </dsp:sp>
    <dsp:sp modelId="{DA335E07-6895-479B-B233-97ECB6A6643E}">
      <dsp:nvSpPr>
        <dsp:cNvPr id="0" name=""/>
        <dsp:cNvSpPr/>
      </dsp:nvSpPr>
      <dsp:spPr>
        <a:xfrm>
          <a:off x="2329658" y="1595298"/>
          <a:ext cx="22966" cy="1222764"/>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5F49F99-3C1F-455D-8429-A4A6BF83F310}">
      <dsp:nvSpPr>
        <dsp:cNvPr id="0" name=""/>
        <dsp:cNvSpPr/>
      </dsp:nvSpPr>
      <dsp:spPr>
        <a:xfrm>
          <a:off x="1562292" y="353886"/>
          <a:ext cx="119424" cy="11942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202ED7-F457-4A5B-BE3A-BE7A6B5C7DD5}">
      <dsp:nvSpPr>
        <dsp:cNvPr id="0" name=""/>
        <dsp:cNvSpPr/>
      </dsp:nvSpPr>
      <dsp:spPr>
        <a:xfrm>
          <a:off x="2281429" y="2758351"/>
          <a:ext cx="119424" cy="11942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2DF8C20-E6DD-41E6-9B49-9B8674BDCAC7}">
      <dsp:nvSpPr>
        <dsp:cNvPr id="0" name=""/>
        <dsp:cNvSpPr/>
      </dsp:nvSpPr>
      <dsp:spPr>
        <a:xfrm>
          <a:off x="3244009" y="802864"/>
          <a:ext cx="1070815" cy="7055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l" defTabSz="400050">
            <a:lnSpc>
              <a:spcPct val="90000"/>
            </a:lnSpc>
            <a:spcBef>
              <a:spcPct val="0"/>
            </a:spcBef>
            <a:spcAft>
              <a:spcPct val="35000"/>
            </a:spcAft>
            <a:buNone/>
          </a:pPr>
          <a:r>
            <a:rPr lang="en-US" sz="900" kern="1200"/>
            <a:t>September 19, 2014 &amp; December 16, 2014</a:t>
          </a:r>
        </a:p>
      </dsp:txBody>
      <dsp:txXfrm>
        <a:off x="3244009" y="802864"/>
        <a:ext cx="1070815" cy="705545"/>
      </dsp:txXfrm>
    </dsp:sp>
    <dsp:sp modelId="{0145FCE6-703F-418E-A96F-95C8347E3403}">
      <dsp:nvSpPr>
        <dsp:cNvPr id="0" name=""/>
        <dsp:cNvSpPr/>
      </dsp:nvSpPr>
      <dsp:spPr>
        <a:xfrm>
          <a:off x="3244009" y="437927"/>
          <a:ext cx="1070815" cy="3649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533400">
            <a:lnSpc>
              <a:spcPct val="90000"/>
            </a:lnSpc>
            <a:spcBef>
              <a:spcPct val="0"/>
            </a:spcBef>
            <a:spcAft>
              <a:spcPct val="35000"/>
            </a:spcAft>
            <a:buNone/>
            <a:defRPr b="1"/>
          </a:pPr>
          <a:r>
            <a:rPr lang="en-US" sz="1200" kern="1200"/>
            <a:t>ITFA Extended</a:t>
          </a:r>
        </a:p>
      </dsp:txBody>
      <dsp:txXfrm>
        <a:off x="3244009" y="437927"/>
        <a:ext cx="1070815" cy="364937"/>
      </dsp:txXfrm>
    </dsp:sp>
    <dsp:sp modelId="{ED1C9EE5-9B9B-4BF7-92B2-024530764EB3}">
      <dsp:nvSpPr>
        <dsp:cNvPr id="0" name=""/>
        <dsp:cNvSpPr/>
      </dsp:nvSpPr>
      <dsp:spPr>
        <a:xfrm>
          <a:off x="3048796" y="413598"/>
          <a:ext cx="22966" cy="1192128"/>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2B4D4AB-9B33-4685-848B-FCCBE26C03ED}">
      <dsp:nvSpPr>
        <dsp:cNvPr id="0" name=""/>
        <dsp:cNvSpPr/>
      </dsp:nvSpPr>
      <dsp:spPr>
        <a:xfrm>
          <a:off x="3963146" y="2206680"/>
          <a:ext cx="1070815" cy="5864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l" defTabSz="400050">
            <a:lnSpc>
              <a:spcPct val="90000"/>
            </a:lnSpc>
            <a:spcBef>
              <a:spcPct val="0"/>
            </a:spcBef>
            <a:spcAft>
              <a:spcPct val="35000"/>
            </a:spcAft>
            <a:buNone/>
          </a:pPr>
          <a:r>
            <a:rPr lang="en-US" sz="900" kern="1200"/>
            <a:t>February 14, 2016</a:t>
          </a:r>
        </a:p>
      </dsp:txBody>
      <dsp:txXfrm>
        <a:off x="3963146" y="2206680"/>
        <a:ext cx="1070815" cy="586428"/>
      </dsp:txXfrm>
    </dsp:sp>
    <dsp:sp modelId="{4915CAE9-2BDE-4FF9-97DC-FBD3EC59E21D}">
      <dsp:nvSpPr>
        <dsp:cNvPr id="0" name=""/>
        <dsp:cNvSpPr/>
      </dsp:nvSpPr>
      <dsp:spPr>
        <a:xfrm>
          <a:off x="3963146" y="1819887"/>
          <a:ext cx="1070815" cy="3867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533400">
            <a:lnSpc>
              <a:spcPct val="90000"/>
            </a:lnSpc>
            <a:spcBef>
              <a:spcPct val="0"/>
            </a:spcBef>
            <a:spcAft>
              <a:spcPct val="35000"/>
            </a:spcAft>
            <a:buNone/>
            <a:defRPr b="1"/>
          </a:pPr>
          <a:r>
            <a:rPr lang="en-US" sz="1200" kern="1200"/>
            <a:t>ITFA made Permanent</a:t>
          </a:r>
        </a:p>
      </dsp:txBody>
      <dsp:txXfrm>
        <a:off x="3963146" y="1819887"/>
        <a:ext cx="1070815" cy="386792"/>
      </dsp:txXfrm>
    </dsp:sp>
    <dsp:sp modelId="{967FE93D-508D-42E9-9A1C-9F31BD9232D1}">
      <dsp:nvSpPr>
        <dsp:cNvPr id="0" name=""/>
        <dsp:cNvSpPr/>
      </dsp:nvSpPr>
      <dsp:spPr>
        <a:xfrm>
          <a:off x="3767933" y="1595298"/>
          <a:ext cx="22966" cy="1222764"/>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A49C85E-BAB6-4881-BE6A-648E2F3F6CD1}">
      <dsp:nvSpPr>
        <dsp:cNvPr id="0" name=""/>
        <dsp:cNvSpPr/>
      </dsp:nvSpPr>
      <dsp:spPr>
        <a:xfrm>
          <a:off x="3000567" y="353886"/>
          <a:ext cx="119424" cy="11942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F3DB0AB-7691-4B18-8672-D9E54FE7F8F6}">
      <dsp:nvSpPr>
        <dsp:cNvPr id="0" name=""/>
        <dsp:cNvSpPr/>
      </dsp:nvSpPr>
      <dsp:spPr>
        <a:xfrm>
          <a:off x="3719704" y="2758351"/>
          <a:ext cx="119424" cy="11942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E751849-82A1-4DF9-B38A-C7B502D11C8B}">
      <dsp:nvSpPr>
        <dsp:cNvPr id="0" name=""/>
        <dsp:cNvSpPr/>
      </dsp:nvSpPr>
      <dsp:spPr>
        <a:xfrm>
          <a:off x="4682284" y="802864"/>
          <a:ext cx="1070815" cy="7055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0" lvl="0" indent="0" algn="l" defTabSz="400050">
            <a:lnSpc>
              <a:spcPct val="90000"/>
            </a:lnSpc>
            <a:spcBef>
              <a:spcPct val="0"/>
            </a:spcBef>
            <a:spcAft>
              <a:spcPct val="35000"/>
            </a:spcAft>
            <a:buNone/>
          </a:pPr>
          <a:r>
            <a:rPr lang="en-US" sz="900" kern="1200"/>
            <a:t>June 30, 2020</a:t>
          </a:r>
        </a:p>
      </dsp:txBody>
      <dsp:txXfrm>
        <a:off x="4682284" y="802864"/>
        <a:ext cx="1070815" cy="705545"/>
      </dsp:txXfrm>
    </dsp:sp>
    <dsp:sp modelId="{ECE131A9-DFDB-407D-B359-86A8D12838B3}">
      <dsp:nvSpPr>
        <dsp:cNvPr id="0" name=""/>
        <dsp:cNvSpPr/>
      </dsp:nvSpPr>
      <dsp:spPr>
        <a:xfrm>
          <a:off x="4682284" y="437927"/>
          <a:ext cx="1070815" cy="3649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0" lvl="0" indent="0" algn="l" defTabSz="533400">
            <a:lnSpc>
              <a:spcPct val="90000"/>
            </a:lnSpc>
            <a:spcBef>
              <a:spcPct val="0"/>
            </a:spcBef>
            <a:spcAft>
              <a:spcPct val="35000"/>
            </a:spcAft>
            <a:buNone/>
            <a:defRPr b="1"/>
          </a:pPr>
          <a:r>
            <a:rPr lang="en-US" sz="1200" kern="1200"/>
            <a:t>Legacy Clause Expires</a:t>
          </a:r>
        </a:p>
      </dsp:txBody>
      <dsp:txXfrm>
        <a:off x="4682284" y="437927"/>
        <a:ext cx="1070815" cy="364937"/>
      </dsp:txXfrm>
    </dsp:sp>
    <dsp:sp modelId="{36480F0C-5F9D-48BA-A1C7-EDD685853509}">
      <dsp:nvSpPr>
        <dsp:cNvPr id="0" name=""/>
        <dsp:cNvSpPr/>
      </dsp:nvSpPr>
      <dsp:spPr>
        <a:xfrm>
          <a:off x="4487071" y="413598"/>
          <a:ext cx="22966" cy="1192128"/>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BD201F9-97D7-4EB6-96B7-41D9410217A2}">
      <dsp:nvSpPr>
        <dsp:cNvPr id="0" name=""/>
        <dsp:cNvSpPr/>
      </dsp:nvSpPr>
      <dsp:spPr>
        <a:xfrm>
          <a:off x="4438842" y="353886"/>
          <a:ext cx="119424" cy="11942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24/layout/BulletTimelineInverted">
  <dgm:title val=""/>
  <dgm:desc val=""/>
  <dgm:catLst>
    <dgm:cat type="process" pri="7451"/>
    <dgm:cat type="timeline" pri="101"/>
  </dgm:catLst>
  <dgm:sampData>
    <dgm:dataModel>
      <dgm:ptLst>
        <dgm:pt modelId="0" type="doc"/>
        <dgm:pt modelId="10">
          <dgm:prSet phldrT="Add an event" phldr="1"/>
        </dgm:pt>
        <dgm:pt modelId="11">
          <dgm:prSet phldrT="Write a description of the significance of this event" phldr="1"/>
        </dgm:pt>
        <dgm:pt modelId="20">
          <dgm:prSet phldrT="Add an event" phldr="1"/>
        </dgm:pt>
        <dgm:pt modelId="21">
          <dgm:prSet phldrT="Write a description of the significance of this event" phldr="1"/>
        </dgm:pt>
        <dgm:pt modelId="30">
          <dgm:prSet phldrT="Add an event" phldr="1"/>
        </dgm:pt>
        <dgm:pt modelId="31">
          <dgm:prSet phldrT="Write a description of the significance of this event" phldr="1"/>
        </dgm:pt>
        <dgm:pt modelId="40">
          <dgm:prSet phldrT="Add an event" phldr="1"/>
        </dgm:pt>
        <dgm:pt modelId="41">
          <dgm:prSet phldrT="Write a description of the significance of this event" phldr="1"/>
        </dgm:pt>
        <dgm:pt modelId="50">
          <dgm:prSet phldrT="Add an event" phldr="1"/>
        </dgm:pt>
        <dgm:pt modelId="51">
          <dgm:prSet phldrT="Write a description of the significance of this event" phldr="1"/>
        </dgm:pt>
      </dgm:ptLst>
      <dgm:cxnLst>
        <dgm:cxn modelId="100" srcId="0" destId="10" srcOrd="0" destOrd="0"/>
        <dgm:cxn modelId="12" srcId="10" destId="11" srcOrd="0" destOrd="0"/>
        <dgm:cxn modelId="101" srcId="0" destId="20" srcOrd="1" destOrd="0"/>
        <dgm:cxn modelId="22" srcId="20" destId="21" srcOrd="0" destOrd="0"/>
        <dgm:cxn modelId="102" srcId="0" destId="30" srcOrd="2" destOrd="0"/>
        <dgm:cxn modelId="32" srcId="30" destId="31" srcOrd="0" destOrd="0"/>
        <dgm:cxn modelId="103" srcId="0" destId="40" srcOrd="3" destOrd="0"/>
        <dgm:cxn modelId="42" srcId="40" destId="41" srcOrd="0" destOrd="0"/>
        <dgm:cxn modelId="104" srcId="0" destId="50" srcOrd="4" destOrd="0"/>
        <dgm:cxn modelId="52" srcId="50" destId="5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
    <dgm:varLst>
      <dgm:dir/>
      <dgm:animLvl val="lvl"/>
    </dgm:varLst>
    <dgm:alg type="composite"/>
    <dgm:shape xmlns:r="http://schemas.openxmlformats.org/officeDocument/2006/relationships" r:blip="">
      <dgm:adjLst/>
    </dgm:shape>
    <dgm:constrLst>
      <dgm:constr type="w" for="ch" forName="divider" refType="w"/>
      <dgm:constr type="h" for="ch" forName="divider" refType="h" fact="0.1"/>
      <dgm:constr type="ctrY" for="ch" forName="divider" refType="h" fact="0.5"/>
      <dgm:constr type="l" for="ch" forName="divider"/>
      <dgm:constr type="w" for="ch" forName="nodes" refType="w"/>
      <dgm:constr type="h" for="ch" forName="nodes" refType="h" fact="0.8"/>
      <dgm:constr type="ctrY" for="ch" forName="nodes" refType="h" fact="0.5"/>
    </dgm:constrLst>
    <dgm:layoutNode name="divider">
      <dgm:alg type="composite"/>
      <dgm:shape xmlns:r="http://schemas.openxmlformats.org/officeDocument/2006/relationships" r:blip="">
        <dgm:adjLst/>
      </dgm:shape>
      <dgm:presOf/>
      <dgm:choose name="DividerDirection">
        <dgm:if name="DividerLTR" func="var" arg="dir" op="equ" val="norm">
          <dgm:constrLst>
            <dgm:constr type="w" for="ch" forName="rectBar" refType="w" fact="0.996"/>
            <dgm:constr type="h" for="ch" forName="rectBar" refType="h" fact="0.1"/>
            <dgm:constr type="l" for="ch" forName="rectBar"/>
            <dgm:constr type="ctrY" for="ch" forName="rectBar" refType="h" fact="0.5"/>
            <dgm:constr type="w" for="ch" forName="chevronArrow" refType="h" fact="0.6"/>
            <dgm:constr type="h" for="ch" forName="chevronArrow" refType="h" fact="0.8"/>
            <dgm:constr type="r" for="ch" forName="chevronArrow" refType="w"/>
            <dgm:constr type="ctrY" for="ch" forName="chevronArrow" refType="h" fact="0.5"/>
          </dgm:constrLst>
        </dgm:if>
        <dgm:else name="DividerRTL">
          <dgm:constrLst>
            <dgm:constr type="w" for="ch" forName="rectBar" refType="w" fact="0.996"/>
            <dgm:constr type="h" for="ch" forName="rectBar" refType="h" fact="0.1"/>
            <dgm:constr type="r" for="ch" forName="rectBar" refType="w"/>
            <dgm:constr type="ctrY" for="ch" forName="rectBar" refType="h" fact="0.5"/>
            <dgm:constr type="w" for="ch" forName="chevronArrow" refType="h" fact="0.6"/>
            <dgm:constr type="h" for="ch" forName="chevronArrow" refType="h" fact="0.8"/>
            <dgm:constr type="l" for="ch" forName="chevronArrow"/>
            <dgm:constr type="ctrY" for="ch" forName="chevronArrow" refType="h" fact="0.5"/>
          </dgm:constrLst>
        </dgm:else>
      </dgm:choose>
      <dgm:ruleLst/>
      <dgm:layoutNode name="rectBar" styleLbl="dkBgShp">
        <dgm:alg type="sp"/>
        <dgm:shape xmlns:r="http://schemas.openxmlformats.org/officeDocument/2006/relationships" type="rect" r:blip="" zOrderOff="-1">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presOf/>
        <dgm:constrLst/>
        <dgm:ruleLst/>
      </dgm:layoutNode>
      <dgm:layoutNode name="chevronArrow" styleLbl="dkBgShp">
        <dgm:alg type="sp"/>
        <dgm:choose name="ChevronDir">
          <dgm:if name="ChevronLTR" func="var" arg="dir" op="equ" val="norm">
            <dgm:shape xmlns:r="http://schemas.openxmlformats.org/officeDocument/2006/relationships" type="chevron" r:blip="" zOrderOff="-1">
              <dgm:adjLst>
                <dgm:adj idx="1" val="0.75"/>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if>
          <dgm:else name="ChevronRTL">
            <dgm:shape xmlns:r="http://schemas.openxmlformats.org/officeDocument/2006/relationships" rot="180" type="chevron" r:blip="" zOrderOff="-1">
              <dgm:adjLst>
                <dgm:adj idx="1" val="0.75"/>
              </dgm:adjLst>
              <dgm:extLst>
                <a:ext uri="{B698B0E9-8C71-41B9-8309-B3DCBF30829C}">
                  <dgm1612:spPr xmlns:dgm1612="http://schemas.microsoft.com/office/drawing/2016/12/diagram">
                    <a:gradFill rotWithShape="0">
                      <a:gsLst>
                        <a:gs pos="0">
                          <a:schemeClr val="accent1">
                            <a:tint val="76000"/>
                          </a:schemeClr>
                        </a:gs>
                        <a:gs pos="100000">
                          <a:schemeClr val="accent1">
                            <a:tint val="76000"/>
                          </a:schemeClr>
                        </a:gs>
                      </a:gsLst>
                      <a:lin ang="0" scaled="0"/>
                    </a:gradFill>
                  </dgm1612:spPr>
                </a:ext>
              </dgm:extLst>
            </dgm:shape>
          </dgm:else>
        </dgm:choose>
        <dgm:presOf/>
        <dgm:constrLst/>
        <dgm:ruleLst/>
      </dgm:layoutNode>
    </dgm:layoutNode>
    <dgm:layoutNode name="nodes">
      <dgm:varLst>
        <dgm:chMax/>
        <dgm:chPref/>
        <dgm:animLvl val="lvl"/>
      </dgm:varLst>
      <dgm:choose name="Name1">
        <dgm:if name="Name2" func="var" arg="dir" op="equ" val="norm">
          <dgm:alg type="lin">
            <dgm:param type="fallback" val="1D"/>
          </dgm:alg>
        </dgm:if>
        <dgm:else name="Name3">
          <dgm:alg type="lin">
            <dgm:param type="linDir" val="fromR"/>
            <dgm:param type="fallback" val="1D"/>
          </dgm:alg>
        </dgm:else>
      </dgm:choose>
      <dgm:shape xmlns:r="http://schemas.openxmlformats.org/officeDocument/2006/relationships" r:blip="">
        <dgm:adjLst/>
      </dgm:shape>
      <dgm:constrLst>
        <dgm:constr type="primFontSz" for="des" forName="L1TextContainer" val="20"/>
        <dgm:constr type="primFontSz" for="des" forName="L2TextContainer" refType="primFontSz" refFor="des" refForName="L1TextContainer" op="equ" fact="0.75"/>
        <dgm:constr type="w" for="ch" forName="composite" refType="w"/>
        <dgm:constr type="h" for="ch" forName="composite" refType="h"/>
        <dgm:constr type="w" for="ch" forName="spaceBetweenRectangles" refType="w" refFor="ch" refForName="composite" fact="-0.5"/>
        <dgm:constr type="w" for="ch" ptType="sibTrans" op="equ"/>
        <dgm:constr type="primFontSz" for="des" forName="L1TextContainer" op="equ"/>
        <dgm:constr type="primFontSz" for="des" forName="L2TextContainer" op="equ"/>
        <dgm:constr type="primFontSz" for="des" forName="L1TextContainer1" val="20"/>
        <dgm:constr type="primFontSz" for="des" forName="L2TextContainer1" refType="primFontSz" refFor="des" refForName="L1TextContainer1" op="equ" fact="0.75"/>
        <dgm:constr type="w" for="ch" forName="composite1" refType="w"/>
        <dgm:constr type="h" for="ch" forName="composite1" refType="h"/>
        <dgm:constr type="w" for="ch" forName="spaceBetweenRectangles1" refType="w" refFor="ch" refForName="composite1" fact="0.28"/>
        <dgm:constr type="primFontSz" for="des" forName="L1TextContainer1" op="equ"/>
        <dgm:constr type="primFontSz" for="des" forName="L2TextContainer1" op="equ"/>
      </dgm:constrLst>
      <dgm:choose name="LayoutBasedOnCountOfNodes">
        <dgm:if name="LessThanOrEqualToTwoNodes" axis="ch" ptType="node" func="cnt" op="lte" val="2">
          <dgm:forEach name="nodesForEach1" axis="ch" ptType="node">
            <dgm:layoutNode name="composite1">
              <dgm:alg type="composite"/>
              <dgm:shape xmlns:r="http://schemas.openxmlformats.org/officeDocument/2006/relationships" r:blip="">
                <dgm:adjLst/>
              </dgm:shape>
              <dgm:choose name="CaseForLayoutDirection1">
                <dgm:if name="CaseForLayoutDirectionLTR1" func="var" arg="dir" op="equ" val="norm">
                  <dgm:choose name="CaseForPlacingNodesAboveAndBelowDividerLTR1">
                    <dgm:if name="CaseForPlacingNodeAboveDividerLTR1" axis="self" ptType="node" func="posOdd" op="equ" val="1">
                      <dgm:constrLst>
                        <dgm:constr type="w" for="ch" forName="ConnectorPoint1" refType="h" refFor="ch" refForName="DropPinPlaceHolder1" fact="0.325"/>
                        <dgm:constr type="h" for="ch" forName="ConnectorPoint1" refType="h" refFor="ch" refForName="DropPinPlaceHolder1" fact="0.325"/>
                        <dgm:constr type="ctrX" for="ch" forName="ConnectorPoint1" refType="ctrX" refFor="ch" refForName="ConnectLine1"/>
                        <dgm:constr type="ctrY" for="ch" forName="ConnectorPoint1" refType="t" refFor="ch" refForName="DropPinPlaceHolder1"/>
                        <dgm:constr type="w" for="ch" forName="DropPinPlaceHolder1" refType="h" fact="0.16"/>
                        <dgm:constr type="h" for="ch" forName="DropPinPlaceHolder1" refType="h" fact="0.16"/>
                        <dgm:constr type="t" for="ch" forName="DropPinPlaceHolder1" refType="h" fact="0"/>
                        <dgm:constr type="l" for="ch" forName="DropPinPlaceHolder1" refType="w" fact="0"/>
                        <dgm:constr type="w" for="ch" forName="L2TextContainer1" refType="w" fact="0.83"/>
                        <dgm:constr type="l" for="ch" forName="L2TextContainer1" refType="r" refFor="ch" refForName="DropPinPlaceHolder1"/>
                        <dgm:constr type="t" for="ch" forName="L2TextContainer1" refType="h" fact="0.16"/>
                        <dgm:constr type="b" for="ch" forName="L2TextContainer1" refType="h" fact="0.45"/>
                        <dgm:constr type="w" for="ch" forName="L1TextContainer1" refType="w" fact="0.83"/>
                        <dgm:constr type="l" for="ch" forName="L1TextContainer1" refType="r" refFor="ch" refForName="DropPinPlaceHolder1"/>
                        <dgm:constr type="t" for="ch" forName="L1TextContainer1" refType="h" fact="0.01"/>
                        <dgm:constr type="b" for="ch" forName="L1TextContainer1" refType="h" fact="0.16"/>
                        <dgm:constr type="w" for="ch" forName="ConnectLine1" refType="h" fact="0.01"/>
                        <dgm:constr type="ctrX" for="ch" forName="ConnectLine1" refType="ctrX" refFor="ch" refForName="DropPinPlaceHolder1"/>
                        <dgm:constr type="b" for="ch" forName="ConnectLine1" refType="h" fact="0.49"/>
                        <dgm:constr type="t" for="ch" forName="ConnectLine1" refType="b" refFor="ch" refForName="DropPinPlaceHolder1" fact="0"/>
                        <dgm:constr type="w" for="ch" forName="EmptyPlaceHolder1" refType="w"/>
                        <dgm:constr type="h" for="ch" forName="EmptyPlaceHolder1" refType="h" fact="0.5"/>
                        <dgm:constr type="t" for="ch" forName="EmptyPlaceHolder1" refType="h" fact="0.5"/>
                      </dgm:constrLst>
                    </dgm:if>
                    <dgm:else name="CaseForPlacingNodeBelowDividerLTR1">
                      <dgm:constrLst>
                        <dgm:constr type="w" for="ch" forName="ConnectorPoint1" refType="h" refFor="ch" refForName="DropPinPlaceHolder1" fact="0.325"/>
                        <dgm:constr type="h" for="ch" forName="ConnectorPoint1" refType="h" refFor="ch" refForName="DropPinPlaceHolder1" fact="0.325"/>
                        <dgm:constr type="ctrX" for="ch" forName="ConnectorPoint1" refType="ctrX" refFor="ch" refForName="ConnectLine1"/>
                        <dgm:constr type="ctrY" for="ch" forName="ConnectorPoint1" refType="b" refFor="ch" refForName="DropPinPlaceHolder1"/>
                        <dgm:constr type="w" for="ch" forName="DropPinPlaceHolder1" refType="h" fact="0.16"/>
                        <dgm:constr type="h" for="ch" forName="DropPinPlaceHolder1" refType="h" fact="0.16"/>
                        <dgm:constr type="b" for="ch" forName="DropPinPlaceHolder1" refType="h"/>
                        <dgm:constr type="l" for="ch" forName="DropPinPlaceHolder1" refType="w" fact="0"/>
                        <dgm:constr type="w" for="ch" forName="L1TextContainer1" refType="w" fact="0.83"/>
                        <dgm:constr type="l" for="ch" forName="L1TextContainer1" refType="r" refFor="ch" refForName="DropPinPlaceHolder1"/>
                        <dgm:constr type="b" for="ch" forName="L1TextContainer1" refType="h" fact="0.755"/>
                        <dgm:constr type="t" for="ch" forName="L1TextContainer1" refType="h" fact="0.6"/>
                        <dgm:constr type="w" for="ch" forName="L2TextContainer1" refType="w" fact="0.83"/>
                        <dgm:constr type="l" for="ch" forName="L2TextContainer1" refType="r" refFor="ch" refForName="DropPinPlaceHolder1"/>
                        <dgm:constr type="b" for="ch" forName="L2TextContainer1" refType="h" fact="0.99"/>
                        <dgm:constr type="t" for="ch" forName="L2TextContainer1" refType="h" fact="0.755"/>
                        <dgm:constr type="w" for="ch" forName="ConnectLine1" refType="h" fact="0.01"/>
                        <dgm:constr type="ctrX" for="ch" forName="ConnectLine1" refType="ctrX" refFor="ch" refForName="DropPinPlaceHolder1"/>
                        <dgm:constr type="t" for="ch" forName="ConnectLine1" refType="h" fact="0.51"/>
                        <dgm:constr type="b" for="ch" forName="ConnectLine1" refType="b" refFor="ch" refForName="DropPinPlaceHolder1"/>
                        <dgm:constr type="w" for="ch" forName="EmptyPlaceHolder1" refType="w"/>
                        <dgm:constr type="h" for="ch" forName="EmptyPlaceHolder1" refType="h" fact="0.5"/>
                        <dgm:constr type="t" for="ch" forName="EmptyPlaceHolder1" refType="h" fact="0"/>
                      </dgm:constrLst>
                    </dgm:else>
                  </dgm:choose>
                </dgm:if>
                <dgm:else name="CaseForLayoutDirectionRTL1">
                  <dgm:choose name="CaseForPlacingNodesAboveAndBelowDividerRTL1">
                    <dgm:if name="CaseForPlacingNodeAboveDividerRTL1" axis="self" ptType="node" func="posOdd" op="equ" val="1">
                      <dgm:constrLst>
                        <dgm:constr type="w" for="ch" forName="L1TextContainer1" refType="w" fact="0.83"/>
                        <dgm:constr type="l" for="ch" forName="L1TextContainer1" refType="w" fact="0"/>
                        <dgm:constr type="t" for="ch" forName="L1TextContainer1" refType="h" fact="0.01"/>
                        <dgm:constr type="b" for="ch" forName="L1TextContainer1" refType="h" fact="0.16"/>
                        <dgm:constr type="w" for="ch" forName="L2TextContainer1" refType="w" fact="0.83"/>
                        <dgm:constr type="l" for="ch" forName="L2TextContainer1" refType="w" fact="0"/>
                        <dgm:constr type="t" for="ch" forName="L2TextContainer1" refType="h" fact="0.16"/>
                        <dgm:constr type="b" for="ch" forName="L2TextContainer1" refType="h" fact="0.45"/>
                        <dgm:constr type="w" for="ch" forName="DropPinPlaceHolder1" refType="h" fact="0.16"/>
                        <dgm:constr type="h" for="ch" forName="DropPinPlaceHolder1" refType="h" fact="0.16"/>
                        <dgm:constr type="t" for="ch" forName="DropPinPlaceHolder1" refType="h" fact="0"/>
                        <dgm:constr type="r" for="ch" forName="DropPinPlaceHolder1" refType="w"/>
                        <dgm:constr type="w" for="ch" forName="ConnectLine1" refType="h" fact="0.01"/>
                        <dgm:constr type="ctrX" for="ch" forName="ConnectLine1" refType="ctrX" refFor="ch" refForName="DropPinPlaceHolder1"/>
                        <dgm:constr type="b" for="ch" forName="ConnectLine1" refType="h" fact="0.49"/>
                        <dgm:constr type="t" for="ch" forName="ConnectLine1" refType="b" refFor="ch" refForName="DropPinPlaceHolder1" fact="0"/>
                        <dgm:constr type="w" for="ch" forName="ConnectorPoint1" refType="h" refFor="ch" refForName="DropPinPlaceHolder1" fact="0.325"/>
                        <dgm:constr type="h" for="ch" forName="ConnectorPoint1" refType="h" refFor="ch" refForName="DropPinPlaceHolder1" fact="0.325"/>
                        <dgm:constr type="ctrX" for="ch" forName="ConnectorPoint1" refType="ctrX" refFor="ch" refForName="ConnectLine1"/>
                        <dgm:constr type="ctrY" for="ch" forName="ConnectorPoint1" refType="t" refFor="ch" refForName="DropPinPlaceHolder1"/>
                        <dgm:constr type="w" for="ch" forName="EmptyPlaceHolder1" refType="w"/>
                        <dgm:constr type="h" for="ch" forName="EmptyPlaceHolder1" refType="h" fact="0.5"/>
                        <dgm:constr type="t" for="ch" forName="EmptyPlaceHolder1" refType="h" fact="0.5"/>
                      </dgm:constrLst>
                    </dgm:if>
                    <dgm:else name="CaseForPlacingNodeBelowDividerRTL1">
                      <dgm:constrLst>
                        <dgm:constr type="w" for="ch" forName="L1TextContainer1" refType="w" fact="0.83"/>
                        <dgm:constr type="l" for="ch" forName="L1TextContainer1" refType="w" fact="0"/>
                        <dgm:constr type="b" for="ch" forName="L1TextContainer1" refType="h" fact="0.755"/>
                        <dgm:constr type="t" for="ch" forName="L1TextContainer1" refType="h" fact="0.6"/>
                        <dgm:constr type="w" for="ch" forName="L2TextContainer1" refType="w" fact="0.83"/>
                        <dgm:constr type="l" for="ch" forName="L2TextContainer1" refType="w" fact="0"/>
                        <dgm:constr type="b" for="ch" forName="L2TextContainer1" refType="h" fact="0.99"/>
                        <dgm:constr type="t" for="ch" forName="L2TextContainer1" refType="h" fact="0.755"/>
                        <dgm:constr type="w" for="ch" forName="DropPinPlaceHolder1" refType="h" fact="0.16"/>
                        <dgm:constr type="h" for="ch" forName="DropPinPlaceHolder1" refType="h" fact="0.16"/>
                        <dgm:constr type="b" for="ch" forName="DropPinPlaceHolder1" refType="h"/>
                        <dgm:constr type="r" for="ch" forName="DropPinPlaceHolder1" refType="w"/>
                        <dgm:constr type="w" for="ch" forName="ConnectLine1" refType="h" fact="0.01"/>
                        <dgm:constr type="ctrX" for="ch" forName="ConnectLine1" refType="ctrX" refFor="ch" refForName="DropPinPlaceHolder1"/>
                        <dgm:constr type="t" for="ch" forName="ConnectLine1" refType="h" fact="0.51"/>
                        <dgm:constr type="b" for="ch" forName="ConnectLine1" refType="b" refFor="ch" refForName="DropPinPlaceHolder1"/>
                        <dgm:constr type="w" for="ch" forName="ConnectorPoint1" refType="h" refFor="ch" refForName="DropPinPlaceHolder1" fact="0.325"/>
                        <dgm:constr type="h" for="ch" forName="ConnectorPoint1" refType="h" refFor="ch" refForName="DropPinPlaceHolder1" fact="0.325"/>
                        <dgm:constr type="ctrX" for="ch" forName="ConnectorPoint1" refType="ctrX" refFor="ch" refForName="ConnectLine1"/>
                        <dgm:constr type="ctrY" for="ch" forName="ConnectorPoint1" refType="b" refFor="ch" refForName="DropPinPlaceHolder1"/>
                        <dgm:constr type="w" for="ch" forName="EmptyPlaceHolder1" refType="w"/>
                        <dgm:constr type="h" for="ch" forName="EmptyPlaceHolder1" refType="h" fact="0.5"/>
                        <dgm:constr type="t" for="ch" forName="EmptyPlaceHolder1" refType="h" fact="0"/>
                      </dgm:constrLst>
                    </dgm:else>
                  </dgm:choose>
                </dgm:else>
              </dgm:choose>
              <dgm:layoutNode name="DropPinPlaceHolder1">
                <dgm:alg type="composite"/>
                <dgm:shape xmlns:r="http://schemas.openxmlformats.org/officeDocument/2006/relationships" r:blip="">
                  <dgm:adjLst/>
                </dgm:shape>
                <dgm:constrLst>
                  <dgm:constr type="w" for="ch" forName="DropPin1" refType="w" fact="0"/>
                  <dgm:constr type="h" for="ch" forName="DropPin1" refType="h" fact="0"/>
                  <dgm:constr type="ctrX" for="ch" forName="DropPin1" refType="w" fact="0"/>
                  <dgm:constr type="ctrY" for="ch" forName="DropPin1" refType="h" fact="0"/>
                  <dgm:constr type="w" for="ch" forName="Ellipse1" refType="w" refFor="ch" refForName="DropPin1" fact="0"/>
                  <dgm:constr type="h" for="ch" forName="Ellipse1" refType="w" refFor="ch" refForName="DropPin1" fact="0"/>
                  <dgm:constr type="ctrX" for="ch" forName="Ellipse1" refType="ctrX" refFor="ch" refForName="DropPin1" fact="0"/>
                  <dgm:constr type="ctrY" for="ch" forName="Ellipse1" refType="ctrY" refFor="ch" refForName="DropPin1" fact="0"/>
                </dgm:constrLst>
                <dgm:layoutNode name="DropPin1" styleLbl="alignNode1">
                  <dgm:alg type="sp"/>
                  <dgm:choose name="CaseForPlacingTearDropAboveAndBelowDivider1">
                    <dgm:if name="CaseForPlacingTearDropAboveDivider1" axis="self" ptType="node" func="posOdd" op="equ" val="1">
                      <dgm:shape xmlns:r="http://schemas.openxmlformats.org/officeDocument/2006/relationships" rot="135" type="teardrop" r:blip="">
                        <dgm:adjLst>
                          <dgm:adj idx="1" val="1.15"/>
                        </dgm:adjLst>
                      </dgm:shape>
                    </dgm:if>
                    <dgm:else name="CaseForPlacingTearDropBelowDivider1">
                      <dgm:shape xmlns:r="http://schemas.openxmlformats.org/officeDocument/2006/relationships" rot="-45" type="teardrop" r:blip="">
                        <dgm:adjLst>
                          <dgm:adj idx="1" val="1.15"/>
                        </dgm:adjLst>
                      </dgm:shape>
                    </dgm:else>
                  </dgm:choose>
                  <dgm:presOf/>
                  <dgm:constrLst/>
                </dgm:layoutNode>
                <dgm:layoutNode name="Ellipse1" styleLbl="fgAcc1" moveWith="DropPin1">
                  <dgm:alg type="sp"/>
                  <dgm:shape xmlns:r="http://schemas.openxmlformats.org/officeDocument/2006/relationships" type="ellipse" r:blip="">
                    <dgm:adjLst/>
                  </dgm:shape>
                  <dgm:presOf/>
                  <dgm:constrLst/>
                </dgm:layoutNode>
              </dgm:layoutNode>
              <dgm:layoutNode name="L2TextContainer1" styleLbl="revTx" moveWith="L1TextContainer">
                <dgm:varLst>
                  <dgm:bulletEnabled val="1"/>
                </dgm:varLst>
                <dgm:choose name="casesForTxtDirLogic1">
                  <dgm:if name="Name771" axis="self" ptType="node" func="posOdd" op="equ" val="1">
                    <dgm:alg type="tx">
                      <dgm:param type="txAnchorVert" val="t"/>
                      <dgm:param type="parTxLTRAlign" val="l"/>
                      <dgm:param type="parTxRTLAlign" val="l"/>
                      <dgm:param type="txAnchorVertCh" val="t"/>
                      <dgm:param type="shpTxRTLAlignCh" val="l"/>
                      <dgm:param type="shpTxLTRAlignCh" val="l"/>
                    </dgm:alg>
                    <dgm:constrLst>
                      <dgm:constr type="lMarg"/>
                      <dgm:constr type="rMarg"/>
                      <dgm:constr type="tMarg"/>
                      <dgm:constr type="bMarg"/>
                    </dgm:constrLst>
                  </dgm:if>
                  <dgm:else name="Name881">
                    <dgm:alg type="tx">
                      <dgm:param type="txAnchorVert" val="t"/>
                      <dgm:param type="parTxLTRAlign" val="l"/>
                      <dgm:param type="parTxRTLAlign" val="l"/>
                      <dgm:param type="txAnchorVertCh" val="t"/>
                      <dgm:param type="shpTxRTLAlignCh" val="l"/>
                      <dgm:param type="shpTxLTRAlignCh" val="l"/>
                    </dgm:alg>
                    <dgm:constrLst>
                      <dgm:constr type="lMarg"/>
                      <dgm:constr type="rMarg"/>
                      <dgm:constr type="tMarg"/>
                      <dgm:constr type="bMarg"/>
                    </dgm:constrLst>
                  </dgm:else>
                </dgm:choose>
                <dgm:shape xmlns:r="http://schemas.openxmlformats.org/officeDocument/2006/relationships" type="rect" r:blip="">
                  <dgm:adjLst/>
                </dgm:shape>
                <dgm:presOf axis="des" ptType="node"/>
                <dgm:ruleLst>
                  <dgm:rule type="primFontSz" val="5" fact="NaN" max="NaN"/>
                </dgm:ruleLst>
              </dgm:layoutNode>
              <dgm:layoutNode name="L1TextContainer1" styleLbl="revTx">
                <dgm:varLst>
                  <dgm:chMax val="1"/>
                  <dgm:chPref val="1"/>
                  <dgm:bulletEnabled val="1"/>
                </dgm:varLst>
                <dgm:alg type="tx">
                  <dgm:param type="txAnchorVert" val="mid"/>
                  <dgm:param type="parTxLTRAlign" val="l"/>
                  <dgm:param type="parTxRTLAlign" val="l"/>
                </dgm:alg>
                <dgm:shape xmlns:r="http://schemas.openxmlformats.org/officeDocument/2006/relationships" type="rect" r:blip="">
                  <dgm:adjLst/>
                </dgm:shape>
                <dgm:presOf axis="self"/>
                <dgm:constrLst>
                  <dgm:constr type="lMarg"/>
                  <dgm:constr type="rMarg"/>
                  <dgm:constr type="tMarg"/>
                  <dgm:constr type="bMarg"/>
                </dgm:constrLst>
                <dgm:ruleLst>
                  <dgm:rule type="primFontSz" val="5" fact="NaN" max="NaN"/>
                </dgm:ruleLst>
              </dgm:layoutNode>
              <dgm:layoutNode name="ConnectLine1" styleLbl="dkBgShp">
                <dgm:alg type="sp"/>
                <dgm:shape xmlns:r="http://schemas.openxmlformats.org/officeDocument/2006/relationships" type="rect" r:blip="">
                  <dgm:adjLst/>
                </dgm:shape>
                <dgm:presOf/>
                <dgm:constrLst/>
              </dgm:layoutNode>
              <dgm:layoutNode name="ConnectorPoint1" moveWith="ConnectLine1">
                <dgm:alg type="composite"/>
                <dgm:shape xmlns:r="http://schemas.openxmlformats.org/officeDocument/2006/relationships" r:blip="">
                  <dgm:adjLst/>
                </dgm:shape>
                <dgm:presOf/>
                <dgm:constrLst>
                  <dgm:constr type="w" for="ch" forName="Bullet1" refType="w"/>
                  <dgm:constr type="h" for="ch" forName="Bullet1" refType="w"/>
                  <dgm:constr type="ctrX" for="ch" forName="Bullet1" refType="w" fact="0.5"/>
                  <dgm:constr type="ctrY" for="ch" forName="Bullet1" refType="h" fact="0.5"/>
                </dgm:constrLst>
                <dgm:layoutNode name="Bullet1" styleLbl="lnNode1">
                  <dgm:alg type="sp"/>
                  <dgm:shape xmlns:r="http://schemas.openxmlformats.org/officeDocument/2006/relationships" type="ellipse" r:blip="" zOrderOff="10">
                    <dgm:adjLst/>
                  </dgm:shape>
                  <dgm:presOf/>
                  <dgm:constrLst/>
                </dgm:layoutNode>
              </dgm:layoutNode>
              <dgm:layoutNode name="EmptyPlaceHolder1">
                <dgm:alg type="sp"/>
                <dgm:shape xmlns:r="http://schemas.openxmlformats.org/officeDocument/2006/relationships" r:blip="">
                  <dgm:adjLst/>
                </dgm:shape>
                <dgm:presOf/>
                <dgm:constrLst/>
              </dgm:layoutNode>
            </dgm:layoutNode>
            <dgm:forEach name="Name281" axis="followSib" ptType="sibTrans" cnt="1">
              <dgm:layoutNode name="spaceBetweenRectangles1">
                <dgm:alg type="sp"/>
                <dgm:shape xmlns:r="http://schemas.openxmlformats.org/officeDocument/2006/relationships" r:blip="">
                  <dgm:adjLst/>
                </dgm:shape>
                <dgm:presOf/>
                <dgm:constrLst/>
                <dgm:ruleLst/>
              </dgm:layoutNode>
            </dgm:forEach>
          </dgm:forEach>
        </dgm:if>
        <dgm:else name="MoreThanTwoNodes">
          <dgm:forEach name="nodesForEach" axis="ch" ptType="node">
            <dgm:layoutNode name="composite">
              <dgm:alg type="composite"/>
              <dgm:shape xmlns:r="http://schemas.openxmlformats.org/officeDocument/2006/relationships" r:blip="">
                <dgm:adjLst/>
              </dgm:shape>
              <dgm:choose name="CaseForLayoutDirection">
                <dgm:if name="CaseForLayoutDirectionLTR" func="var" arg="dir" op="equ" val="norm">
                  <dgm:choose name="CaseForPlacingNodesAboveAndBelowDividerLTR">
                    <dgm:if name="CaseForPlacingNodeAboveDividerLTR" axis="self" ptType="node" func="posOdd" op="equ" val="1">
                      <dgm:constrLst>
                        <dgm:constr type="w" for="ch" forName="ConnectorPoint" refType="h" refFor="ch" refForName="DropPinPlaceHolder" fact="0.325"/>
                        <dgm:constr type="h" for="ch" forName="ConnectorPoint" refType="h" refFor="ch" refForName="DropPinPlaceHolder" fact="0.325"/>
                        <dgm:constr type="ctrX" for="ch" forName="ConnectorPoint" refType="ctrX" refFor="ch" refForName="ConnectLine"/>
                        <dgm:constr type="ctrY" for="ch" forName="ConnectorPoint" refType="t" refFor="ch" refForName="DropPinPlaceHolder"/>
                        <dgm:constr type="w" for="ch" forName="DropPinPlaceHolder" refType="h" fact="0.16"/>
                        <dgm:constr type="h" for="ch" forName="DropPinPlaceHolder" refType="h" fact="0.16"/>
                        <dgm:constr type="t" for="ch" forName="DropPinPlaceHolder" refType="h" fact="0"/>
                        <dgm:constr type="l" for="ch" forName="DropPinPlaceHolder" refType="w" fact="0"/>
                        <dgm:constr type="w" for="ch" forName="L2TextContainer" refType="w" fact="0.83"/>
                        <dgm:constr type="l" for="ch" forName="L2TextContainer" refType="r" refFor="ch" refForName="DropPinPlaceHolder"/>
                        <dgm:constr type="t" for="ch" forName="L2TextContainer" refType="h" fact="0.16"/>
                        <dgm:constr type="b" for="ch" forName="L2TextContainer" refType="h" fact="0.45"/>
                        <dgm:constr type="w" for="ch" forName="L1TextContainer" refType="w" fact="0.83"/>
                        <dgm:constr type="l" for="ch" forName="L1TextContainer" refType="r" refFor="ch" refForName="DropPinPlaceHolder"/>
                        <dgm:constr type="t" for="ch" forName="L1TextContainer" refType="h" fact="0.01"/>
                        <dgm:constr type="b" for="ch" forName="L1TextContainer" refType="h" fact="0.16"/>
                        <dgm:constr type="w" for="ch" forName="ConnectLine" refType="h" fact="0.01"/>
                        <dgm:constr type="ctrX" for="ch" forName="ConnectLine" refType="ctrX" refFor="ch" refForName="DropPinPlaceHolder"/>
                        <dgm:constr type="b" for="ch" forName="ConnectLine" refType="h" fact="0.49"/>
                        <dgm:constr type="t" for="ch" forName="ConnectLine" refType="b" refFor="ch" refForName="DropPinPlaceHolder" fact="0"/>
                        <dgm:constr type="w" for="ch" forName="EmptyPlaceHolder" refType="w"/>
                        <dgm:constr type="h" for="ch" forName="EmptyPlaceHolder" refType="h" fact="0.5"/>
                        <dgm:constr type="t" for="ch" forName="EmptyPlaceHolder" refType="h" fact="0.5"/>
                      </dgm:constrLst>
                    </dgm:if>
                    <dgm:else name="CaseForPlacingNodeBelowDividerLTR">
                      <dgm:constrLst>
                        <dgm:constr type="w" for="ch" forName="ConnectorPoint" refType="h" refFor="ch" refForName="DropPinPlaceHolder" fact="0.325"/>
                        <dgm:constr type="h" for="ch" forName="ConnectorPoint" refType="h" refFor="ch" refForName="DropPinPlaceHolder" fact="0.325"/>
                        <dgm:constr type="ctrX" for="ch" forName="ConnectorPoint" refType="ctrX" refFor="ch" refForName="ConnectLine"/>
                        <dgm:constr type="ctrY" for="ch" forName="ConnectorPoint" refType="b" refFor="ch" refForName="DropPinPlaceHolder"/>
                        <dgm:constr type="w" for="ch" forName="DropPinPlaceHolder" refType="h" fact="0.16"/>
                        <dgm:constr type="h" for="ch" forName="DropPinPlaceHolder" refType="h" fact="0.16"/>
                        <dgm:constr type="b" for="ch" forName="DropPinPlaceHolder" refType="h"/>
                        <dgm:constr type="l" for="ch" forName="DropPinPlaceHolder" refType="w" fact="0"/>
                        <dgm:constr type="w" for="ch" forName="L1TextContainer" refType="w" fact="0.83"/>
                        <dgm:constr type="l" for="ch" forName="L1TextContainer" refType="r" refFor="ch" refForName="DropPinPlaceHolder"/>
                        <dgm:constr type="b" for="ch" forName="L1TextContainer" refType="h" fact="0.755"/>
                        <dgm:constr type="t" for="ch" forName="L1TextContainer" refType="h" fact="0.6"/>
                        <dgm:constr type="w" for="ch" forName="L2TextContainer" refType="w" fact="0.83"/>
                        <dgm:constr type="l" for="ch" forName="L2TextContainer" refType="r" refFor="ch" refForName="DropPinPlaceHolder"/>
                        <dgm:constr type="b" for="ch" forName="L2TextContainer" refType="h" fact="0.99"/>
                        <dgm:constr type="t" for="ch" forName="L2TextContainer" refType="h" fact="0.755"/>
                        <dgm:constr type="w" for="ch" forName="ConnectLine" refType="h" fact="0.01"/>
                        <dgm:constr type="ctrX" for="ch" forName="ConnectLine" refType="ctrX" refFor="ch" refForName="DropPinPlaceHolder"/>
                        <dgm:constr type="t" for="ch" forName="ConnectLine" refType="h" fact="0.51"/>
                        <dgm:constr type="b" for="ch" forName="ConnectLine" refType="b" refFor="ch" refForName="DropPinPlaceHolder"/>
                        <dgm:constr type="w" for="ch" forName="EmptyPlaceHolder" refType="w"/>
                        <dgm:constr type="h" for="ch" forName="EmptyPlaceHolder" refType="h" fact="0.5"/>
                        <dgm:constr type="t" for="ch" forName="EmptyPlaceHolder" refType="h" fact="0"/>
                      </dgm:constrLst>
                    </dgm:else>
                  </dgm:choose>
                </dgm:if>
                <dgm:else name="CaseForLayoutDirectionRTL">
                  <dgm:choose name="CaseForPlacingNodesAboveAndBelowDividerRTL">
                    <dgm:if name="CaseForPlacingNodeAboveDividerRTL" axis="self" ptType="node" func="posOdd" op="equ" val="1">
                      <dgm:constrLst>
                        <dgm:constr type="w" for="ch" forName="L1TextContainer" refType="w" fact="0.83"/>
                        <dgm:constr type="l" for="ch" forName="L1TextContainer" refType="w" fact="0"/>
                        <dgm:constr type="t" for="ch" forName="L1TextContainer" refType="h" fact="0.01"/>
                        <dgm:constr type="b" for="ch" forName="L1TextContainer" refType="h" fact="0.16"/>
                        <dgm:constr type="w" for="ch" forName="L2TextContainer" refType="w" fact="0.83"/>
                        <dgm:constr type="l" for="ch" forName="L2TextContainer" refType="w" fact="0"/>
                        <dgm:constr type="t" for="ch" forName="L2TextContainer" refType="h" fact="0.16"/>
                        <dgm:constr type="b" for="ch" forName="L2TextContainer" refType="h" fact="0.45"/>
                        <dgm:constr type="w" for="ch" forName="DropPinPlaceHolder" refType="h" fact="0.16"/>
                        <dgm:constr type="h" for="ch" forName="DropPinPlaceHolder" refType="h" fact="0.16"/>
                        <dgm:constr type="t" for="ch" forName="DropPinPlaceHolder" refType="h" fact="0"/>
                        <dgm:constr type="r" for="ch" forName="DropPinPlaceHolder" refType="w"/>
                        <dgm:constr type="w" for="ch" forName="ConnectLine" refType="h" fact="0.01"/>
                        <dgm:constr type="ctrX" for="ch" forName="ConnectLine" refType="ctrX" refFor="ch" refForName="DropPinPlaceHolder"/>
                        <dgm:constr type="b" for="ch" forName="ConnectLine" refType="h" fact="0.49"/>
                        <dgm:constr type="t" for="ch" forName="ConnectLine" refType="b" refFor="ch" refForName="DropPinPlaceHolder" fact="0"/>
                        <dgm:constr type="w" for="ch" forName="ConnectorPoint" refType="h" refFor="ch" refForName="DropPinPlaceHolder" fact="0.325"/>
                        <dgm:constr type="h" for="ch" forName="ConnectorPoint" refType="h" refFor="ch" refForName="DropPinPlaceHolder" fact="0.325"/>
                        <dgm:constr type="ctrX" for="ch" forName="ConnectorPoint" refType="ctrX" refFor="ch" refForName="ConnectLine"/>
                        <dgm:constr type="ctrY" for="ch" forName="ConnectorPoint" refType="t" refFor="ch" refForName="DropPinPlaceHolder"/>
                        <dgm:constr type="w" for="ch" forName="EmptyPlaceHolder" refType="w"/>
                        <dgm:constr type="h" for="ch" forName="EmptyPlaceHolder" refType="h" fact="0.5"/>
                        <dgm:constr type="t" for="ch" forName="EmptyPlaceHolder" refType="h" fact="0.5"/>
                      </dgm:constrLst>
                    </dgm:if>
                    <dgm:else name="CaseForPlacingNodeBelowDividerRTL">
                      <dgm:constrLst>
                        <dgm:constr type="w" for="ch" forName="L1TextContainer" refType="w" fact="0.83"/>
                        <dgm:constr type="l" for="ch" forName="L1TextContainer" refType="w" fact="0"/>
                        <dgm:constr type="b" for="ch" forName="L1TextContainer" refType="h" fact="0.755"/>
                        <dgm:constr type="t" for="ch" forName="L1TextContainer" refType="h" fact="0.6"/>
                        <dgm:constr type="w" for="ch" forName="L2TextContainer" refType="w" fact="0.83"/>
                        <dgm:constr type="l" for="ch" forName="L2TextContainer" refType="w" fact="0"/>
                        <dgm:constr type="b" for="ch" forName="L2TextContainer" refType="h" fact="0.99"/>
                        <dgm:constr type="t" for="ch" forName="L2TextContainer" refType="h" fact="0.755"/>
                        <dgm:constr type="w" for="ch" forName="DropPinPlaceHolder" refType="h" fact="0.16"/>
                        <dgm:constr type="h" for="ch" forName="DropPinPlaceHolder" refType="h" fact="0.16"/>
                        <dgm:constr type="b" for="ch" forName="DropPinPlaceHolder" refType="h"/>
                        <dgm:constr type="r" for="ch" forName="DropPinPlaceHolder" refType="w"/>
                        <dgm:constr type="w" for="ch" forName="ConnectLine" refType="h" fact="0.01"/>
                        <dgm:constr type="ctrX" for="ch" forName="ConnectLine" refType="ctrX" refFor="ch" refForName="DropPinPlaceHolder"/>
                        <dgm:constr type="t" for="ch" forName="ConnectLine" refType="h" fact="0.51"/>
                        <dgm:constr type="b" for="ch" forName="ConnectLine" refType="b" refFor="ch" refForName="DropPinPlaceHolder"/>
                        <dgm:constr type="w" for="ch" forName="ConnectorPoint" refType="h" refFor="ch" refForName="DropPinPlaceHolder" fact="0.325"/>
                        <dgm:constr type="h" for="ch" forName="ConnectorPoint" refType="h" refFor="ch" refForName="DropPinPlaceHolder" fact="0.325"/>
                        <dgm:constr type="ctrX" for="ch" forName="ConnectorPoint" refType="ctrX" refFor="ch" refForName="ConnectLine"/>
                        <dgm:constr type="ctrY" for="ch" forName="ConnectorPoint" refType="b" refFor="ch" refForName="DropPinPlaceHolder"/>
                        <dgm:constr type="w" for="ch" forName="EmptyPlaceHolder" refType="w"/>
                        <dgm:constr type="h" for="ch" forName="EmptyPlaceHolder" refType="h" fact="0.5"/>
                        <dgm:constr type="t" for="ch" forName="EmptyPlaceHolder" refType="h" fact="0"/>
                      </dgm:constrLst>
                    </dgm:else>
                  </dgm:choose>
                </dgm:else>
              </dgm:choose>
              <dgm:layoutNode name="DropPinPlaceHolder">
                <dgm:alg type="composite"/>
                <dgm:shape xmlns:r="http://schemas.openxmlformats.org/officeDocument/2006/relationships" r:blip="">
                  <dgm:adjLst/>
                </dgm:shape>
                <dgm:constrLst>
                  <dgm:constr type="w" for="ch" forName="DropPin" refType="w" fact="0"/>
                  <dgm:constr type="h" for="ch" forName="DropPin" refType="h" fact="0"/>
                  <dgm:constr type="ctrX" for="ch" forName="DropPin" refType="w" fact="0"/>
                  <dgm:constr type="ctrY" for="ch" forName="DropPin" refType="h" fact="0"/>
                  <dgm:constr type="w" for="ch" forName="Ellipse" refType="w" refFor="ch" refForName="DropPin" fact="0"/>
                  <dgm:constr type="h" for="ch" forName="Ellipse" refType="w" refFor="ch" refForName="DropPin" fact="0"/>
                  <dgm:constr type="ctrX" for="ch" forName="Ellipse" refType="ctrX" refFor="ch" refForName="DropPin" fact="0"/>
                  <dgm:constr type="ctrY" for="ch" forName="Ellipse" refType="ctrY" refFor="ch" refForName="DropPin" fact="0"/>
                </dgm:constrLst>
                <dgm:layoutNode name="DropPin" styleLbl="alignNode1">
                  <dgm:alg type="sp"/>
                  <dgm:choose name="CaseForPlacingTearDropAboveAndBelowDivider">
                    <dgm:if name="CaseForPlacingTearDropAboveDivider" axis="self" ptType="node" func="posOdd" op="equ" val="1">
                      <dgm:shape xmlns:r="http://schemas.openxmlformats.org/officeDocument/2006/relationships" rot="135" type="teardrop" r:blip="">
                        <dgm:adjLst>
                          <dgm:adj idx="1" val="1.15"/>
                        </dgm:adjLst>
                      </dgm:shape>
                    </dgm:if>
                    <dgm:else name="CaseForPlacingTearDropBelowDivider">
                      <dgm:shape xmlns:r="http://schemas.openxmlformats.org/officeDocument/2006/relationships" rot="-45" type="teardrop" r:blip="">
                        <dgm:adjLst>
                          <dgm:adj idx="1" val="1.15"/>
                        </dgm:adjLst>
                      </dgm:shape>
                    </dgm:else>
                  </dgm:choose>
                  <dgm:presOf/>
                  <dgm:constrLst/>
                </dgm:layoutNode>
                <dgm:layoutNode name="Ellipse" styleLbl="fgAcc1" moveWith="DropPin">
                  <dgm:alg type="sp"/>
                  <dgm:shape xmlns:r="http://schemas.openxmlformats.org/officeDocument/2006/relationships" type="ellipse" r:blip="">
                    <dgm:adjLst/>
                  </dgm:shape>
                  <dgm:presOf/>
                  <dgm:constrLst/>
                </dgm:layoutNode>
              </dgm:layoutNode>
              <dgm:layoutNode name="L2TextContainer" styleLbl="revTx" moveWith="L1TextContainer">
                <dgm:varLst>
                  <dgm:bulletEnabled val="1"/>
                </dgm:varLst>
                <dgm:choose name="casesForTxtDirLogic">
                  <dgm:if name="Name77" axis="self" ptType="node" func="posOdd" op="equ" val="1">
                    <dgm:alg type="tx">
                      <dgm:param type="txAnchorVert" val="t"/>
                      <dgm:param type="parTxLTRAlign" val="l"/>
                      <dgm:param type="parTxRTLAlign" val="l"/>
                      <dgm:param type="txAnchorVertCh" val="t"/>
                      <dgm:param type="shpTxRTLAlignCh" val="l"/>
                      <dgm:param type="shpTxLTRAlignCh" val="l"/>
                    </dgm:alg>
                    <dgm:constrLst>
                      <dgm:constr type="lMarg"/>
                      <dgm:constr type="rMarg"/>
                      <dgm:constr type="tMarg"/>
                      <dgm:constr type="bMarg"/>
                    </dgm:constrLst>
                  </dgm:if>
                  <dgm:else name="Name88">
                    <dgm:alg type="tx">
                      <dgm:param type="txAnchorVert" val="t"/>
                      <dgm:param type="parTxLTRAlign" val="l"/>
                      <dgm:param type="parTxRTLAlign" val="l"/>
                      <dgm:param type="txAnchorVertCh" val="t"/>
                      <dgm:param type="shpTxRTLAlignCh" val="l"/>
                      <dgm:param type="shpTxLTRAlignCh" val="l"/>
                    </dgm:alg>
                    <dgm:constrLst>
                      <dgm:constr type="lMarg"/>
                      <dgm:constr type="rMarg"/>
                      <dgm:constr type="tMarg"/>
                      <dgm:constr type="bMarg"/>
                    </dgm:constrLst>
                  </dgm:else>
                </dgm:choose>
                <dgm:shape xmlns:r="http://schemas.openxmlformats.org/officeDocument/2006/relationships" type="rect" r:blip="">
                  <dgm:adjLst/>
                </dgm:shape>
                <dgm:presOf axis="des" ptType="node"/>
                <dgm:ruleLst>
                  <dgm:rule type="primFontSz" val="5" fact="NaN" max="NaN"/>
                </dgm:ruleLst>
              </dgm:layoutNode>
              <dgm:layoutNode name="L1TextContainer" styleLbl="revTx">
                <dgm:varLst>
                  <dgm:chMax val="1"/>
                  <dgm:chPref val="1"/>
                  <dgm:bulletEnabled val="1"/>
                </dgm:varLst>
                <dgm:alg type="tx">
                  <dgm:param type="txAnchorVert" val="mid"/>
                  <dgm:param type="parTxLTRAlign" val="l"/>
                  <dgm:param type="parTxRTLAlign" val="l"/>
                </dgm:alg>
                <dgm:shape xmlns:r="http://schemas.openxmlformats.org/officeDocument/2006/relationships" type="rect" r:blip="">
                  <dgm:adjLst/>
                </dgm:shape>
                <dgm:presOf axis="self"/>
                <dgm:constrLst>
                  <dgm:constr type="lMarg"/>
                  <dgm:constr type="rMarg"/>
                  <dgm:constr type="tMarg"/>
                  <dgm:constr type="bMarg"/>
                </dgm:constrLst>
                <dgm:ruleLst>
                  <dgm:rule type="primFontSz" val="5" fact="NaN" max="NaN"/>
                </dgm:ruleLst>
              </dgm:layoutNode>
              <dgm:layoutNode name="ConnectLine" styleLbl="dkBgShp">
                <dgm:alg type="sp"/>
                <dgm:shape xmlns:r="http://schemas.openxmlformats.org/officeDocument/2006/relationships" type="rect" r:blip="">
                  <dgm:adjLst/>
                </dgm:shape>
                <dgm:presOf/>
                <dgm:constrLst/>
              </dgm:layoutNode>
              <dgm:layoutNode name="ConnectorPoint" moveWith="ConnectLine">
                <dgm:alg type="composite"/>
                <dgm:shape xmlns:r="http://schemas.openxmlformats.org/officeDocument/2006/relationships" r:blip="">
                  <dgm:adjLst/>
                </dgm:shape>
                <dgm:presOf/>
                <dgm:constrLst>
                  <dgm:constr type="w" for="ch" forName="Bullet" refType="w"/>
                  <dgm:constr type="h" for="ch" forName="Bullet" refType="w"/>
                  <dgm:constr type="ctrX" for="ch" forName="Bullet" refType="w" fact="0.5"/>
                  <dgm:constr type="ctrY" for="ch" forName="Bullet" refType="h" fact="0.5"/>
                </dgm:constrLst>
                <dgm:layoutNode name="Bullet" styleLbl="lnNode1">
                  <dgm:alg type="sp"/>
                  <dgm:shape xmlns:r="http://schemas.openxmlformats.org/officeDocument/2006/relationships" type="ellipse" r:blip="" zOrderOff="10">
                    <dgm:adjLst/>
                  </dgm:shape>
                  <dgm:presOf/>
                  <dgm:constrLst/>
                </dgm:layoutNode>
              </dgm:layoutNode>
              <dgm:layoutNode name="EmptyPlaceHolder">
                <dgm:alg type="sp"/>
                <dgm:shape xmlns:r="http://schemas.openxmlformats.org/officeDocument/2006/relationships" r:blip="">
                  <dgm:adjLst/>
                </dgm:shape>
                <dgm:presOf/>
                <dgm:constrLst/>
              </dgm:layoutNode>
            </dgm:layoutNode>
            <dgm:forEach name="Name28" axis="followSib" ptType="sibTrans" cnt="1">
              <dgm:layoutNode name="spaceBetweenRectangles">
                <dgm:alg type="sp"/>
                <dgm:shape xmlns:r="http://schemas.openxmlformats.org/officeDocument/2006/relationships" r:blip="">
                  <dgm:adjLst/>
                </dgm:shape>
                <dgm:presOf/>
                <dgm:constrLst/>
                <dgm:ruleLst/>
              </dgm:layoutNode>
            </dgm:forEach>
          </dgm:forEach>
        </dgm:else>
      </dgm:choose>
    </dgm:layoutNode>
  </dgm:layoutNode>
  <dgm:extLst>
    <a:ext uri="{68A01E43-0DF5-4B5B-8FA6-DAF915123BFB}">
      <dgm1612:lstStyle xmlns:dgm1612="http://schemas.microsoft.com/office/drawing/2016/12/diagram">
        <a:lvl1pPr>
          <a:defRPr b="1"/>
        </a:lvl1pPr>
      </dgm1612:lstStyle>
    </a:ext>
  </dgm:extLst>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1AA99-5246-4540-AC54-B3D57C66E7D2}">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9785</Words>
  <Characters>55779</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2026-07-24T18:57:00Z</dcterms:created>
  <dcterms:modified xsi:type="dcterms:W3CDTF">2026-07-24T18:58:00Z</dcterms:modified>
</cp:coreProperties>
</file>