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3A54" w14:textId="77777777" w:rsidR="00100842" w:rsidRDefault="00317E10" w:rsidP="002312A8">
      <w:pPr>
        <w:pStyle w:val="Heading1"/>
      </w:pPr>
      <w:r>
        <w:rPr>
          <w:noProof/>
        </w:rPr>
        <w:drawing>
          <wp:inline distT="0" distB="0" distL="0" distR="0" wp14:anchorId="4B3E3BC9" wp14:editId="0970BDE1">
            <wp:extent cx="2125804" cy="1073427"/>
            <wp:effectExtent l="0" t="0" r="8255" b="0"/>
            <wp:docPr id="1" name="Picture 1" descr="MultiTax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76975" name="Picture 1" descr="MultiTax Commiss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57067" cy="1089213"/>
                    </a:xfrm>
                    <a:prstGeom prst="rect">
                      <a:avLst/>
                    </a:prstGeom>
                    <a:noFill/>
                    <a:ln>
                      <a:noFill/>
                    </a:ln>
                  </pic:spPr>
                </pic:pic>
              </a:graphicData>
            </a:graphic>
          </wp:inline>
        </w:drawing>
      </w:r>
    </w:p>
    <w:p w14:paraId="10E2E2D6" w14:textId="77777777" w:rsidR="000C1970" w:rsidRDefault="000C1970" w:rsidP="000C1970"/>
    <w:p w14:paraId="7FD0C1CE" w14:textId="77777777" w:rsidR="000C1970" w:rsidRPr="000C1970" w:rsidRDefault="000C1970" w:rsidP="000C1970"/>
    <w:p w14:paraId="46AD3321" w14:textId="77777777" w:rsidR="000C1970" w:rsidRDefault="000C1970" w:rsidP="000C1970">
      <w:pPr>
        <w:pStyle w:val="Title"/>
        <w:jc w:val="center"/>
      </w:pPr>
    </w:p>
    <w:p w14:paraId="7C1EFB11" w14:textId="77777777" w:rsidR="000C1970" w:rsidRDefault="000C1970" w:rsidP="000C1970">
      <w:pPr>
        <w:pStyle w:val="Title"/>
        <w:jc w:val="center"/>
      </w:pPr>
    </w:p>
    <w:p w14:paraId="7731C9B8" w14:textId="1F4D6037" w:rsidR="000C1970" w:rsidRPr="000C1970" w:rsidRDefault="000C1970" w:rsidP="000C1970">
      <w:pPr>
        <w:pStyle w:val="Title"/>
        <w:jc w:val="center"/>
        <w:rPr>
          <w:sz w:val="96"/>
          <w:szCs w:val="96"/>
        </w:rPr>
      </w:pPr>
      <w:r w:rsidRPr="000C1970">
        <w:rPr>
          <w:sz w:val="96"/>
          <w:szCs w:val="96"/>
        </w:rPr>
        <w:t xml:space="preserve">Sales </w:t>
      </w:r>
      <w:r w:rsidR="00317E10" w:rsidRPr="000C1970">
        <w:rPr>
          <w:sz w:val="96"/>
          <w:szCs w:val="96"/>
        </w:rPr>
        <w:t xml:space="preserve">Taxation of </w:t>
      </w:r>
      <w:r w:rsidRPr="000C1970">
        <w:rPr>
          <w:sz w:val="96"/>
          <w:szCs w:val="96"/>
        </w:rPr>
        <w:br/>
      </w:r>
      <w:r w:rsidR="00317E10" w:rsidRPr="000C1970">
        <w:rPr>
          <w:sz w:val="96"/>
          <w:szCs w:val="96"/>
        </w:rPr>
        <w:t>Digital Products</w:t>
      </w:r>
    </w:p>
    <w:p w14:paraId="34DC2B0F" w14:textId="240BF9ED" w:rsidR="00A26D06" w:rsidRPr="00A141F8" w:rsidRDefault="00317E10" w:rsidP="000C1970">
      <w:pPr>
        <w:tabs>
          <w:tab w:val="left" w:pos="540"/>
          <w:tab w:val="center" w:pos="4680"/>
        </w:tabs>
        <w:spacing w:after="0"/>
        <w:rPr>
          <w:i/>
          <w:iCs/>
        </w:rPr>
      </w:pPr>
      <w:r w:rsidRPr="00AE09D8">
        <w:rPr>
          <w:b/>
          <w:bCs/>
          <w:sz w:val="36"/>
          <w:szCs w:val="36"/>
        </w:rPr>
        <w:tab/>
      </w:r>
      <w:r w:rsidRPr="00AE09D8">
        <w:rPr>
          <w:b/>
          <w:bCs/>
          <w:sz w:val="36"/>
          <w:szCs w:val="36"/>
        </w:rPr>
        <w:tab/>
      </w:r>
    </w:p>
    <w:p w14:paraId="1D17FB0D" w14:textId="55509EE3" w:rsidR="00A26D06" w:rsidRDefault="00A26D06" w:rsidP="00A26D06"/>
    <w:p w14:paraId="2F83117D" w14:textId="6D2AE604" w:rsidR="000C1970" w:rsidRPr="000C1970" w:rsidRDefault="000C1970" w:rsidP="000C1970">
      <w:pPr>
        <w:pStyle w:val="Subtitle"/>
        <w:rPr>
          <w:sz w:val="36"/>
          <w:szCs w:val="36"/>
        </w:rPr>
      </w:pPr>
      <w:r w:rsidRPr="000C1970">
        <w:rPr>
          <w:sz w:val="36"/>
          <w:szCs w:val="36"/>
        </w:rPr>
        <w:t>Discussion Draft</w:t>
      </w:r>
      <w:r w:rsidR="002B727D">
        <w:rPr>
          <w:sz w:val="36"/>
          <w:szCs w:val="36"/>
        </w:rPr>
        <w:br/>
        <w:t xml:space="preserve">NOTE – This Introduction Section is </w:t>
      </w:r>
      <w:r w:rsidR="00F02706">
        <w:rPr>
          <w:sz w:val="36"/>
          <w:szCs w:val="36"/>
        </w:rPr>
        <w:t xml:space="preserve">likely to be revised as other sections of the white paper are drafted, but is provided as background for those reviewing those other sections. </w:t>
      </w:r>
    </w:p>
    <w:p w14:paraId="6B61025E" w14:textId="77777777" w:rsidR="00F02706" w:rsidRDefault="00F02706" w:rsidP="000C1970">
      <w:pPr>
        <w:pStyle w:val="Subtitle"/>
        <w:rPr>
          <w:sz w:val="36"/>
          <w:szCs w:val="36"/>
        </w:rPr>
      </w:pPr>
    </w:p>
    <w:p w14:paraId="200D7996" w14:textId="21C706EA" w:rsidR="00A50482" w:rsidRDefault="00BF44AB" w:rsidP="000C1970">
      <w:pPr>
        <w:pStyle w:val="Subtitle"/>
        <w:rPr>
          <w:sz w:val="36"/>
          <w:szCs w:val="36"/>
        </w:rPr>
      </w:pPr>
      <w:r>
        <w:rPr>
          <w:sz w:val="36"/>
          <w:szCs w:val="36"/>
        </w:rPr>
        <w:t>July</w:t>
      </w:r>
      <w:r w:rsidR="00941F8B">
        <w:rPr>
          <w:sz w:val="36"/>
          <w:szCs w:val="36"/>
        </w:rPr>
        <w:t xml:space="preserve"> 15, 2026</w:t>
      </w:r>
    </w:p>
    <w:p w14:paraId="15875F23" w14:textId="77777777" w:rsidR="00A50482" w:rsidRDefault="00A50482" w:rsidP="000C1970">
      <w:pPr>
        <w:pStyle w:val="Subtitle"/>
        <w:rPr>
          <w:sz w:val="36"/>
          <w:szCs w:val="36"/>
        </w:rPr>
      </w:pPr>
    </w:p>
    <w:p w14:paraId="7AB06A79" w14:textId="77777777" w:rsidR="00A50482" w:rsidRDefault="00A50482" w:rsidP="00A50482"/>
    <w:p w14:paraId="3F1954B6" w14:textId="77777777" w:rsidR="00A50482" w:rsidRDefault="00A50482" w:rsidP="00A50482"/>
    <w:p w14:paraId="56516AAB" w14:textId="77777777" w:rsidR="00A50482" w:rsidRDefault="00A50482" w:rsidP="00A50482"/>
    <w:p w14:paraId="25FF3627" w14:textId="77777777" w:rsidR="00A50482" w:rsidRDefault="00A50482" w:rsidP="00A50482"/>
    <w:p w14:paraId="3E4473C6" w14:textId="77777777" w:rsidR="00A50482" w:rsidRDefault="00A50482" w:rsidP="00A50482"/>
    <w:p w14:paraId="0330D10B" w14:textId="77777777" w:rsidR="00A50482" w:rsidRDefault="00A50482" w:rsidP="00A50482"/>
    <w:p w14:paraId="0C1AF6E7" w14:textId="77777777" w:rsidR="00A50482" w:rsidRDefault="00A50482" w:rsidP="00A50482"/>
    <w:p w14:paraId="72386F1A" w14:textId="77777777" w:rsidR="00A50482" w:rsidRDefault="00A50482" w:rsidP="00A50482"/>
    <w:p w14:paraId="17879BB6" w14:textId="77777777" w:rsidR="00A50482" w:rsidRDefault="00A50482" w:rsidP="00A50482"/>
    <w:p w14:paraId="27BDC880" w14:textId="48C729CF" w:rsidR="00293637" w:rsidRDefault="00293637" w:rsidP="00810FC9">
      <w:pPr>
        <w:pStyle w:val="Heading1"/>
      </w:pPr>
      <w:r>
        <w:br w:type="page"/>
      </w:r>
      <w:r w:rsidR="00FF7D0B">
        <w:lastRenderedPageBreak/>
        <w:t xml:space="preserve">Important </w:t>
      </w:r>
      <w:r w:rsidR="001A0230">
        <w:t>Note</w:t>
      </w:r>
      <w:r w:rsidR="00FF7D0B">
        <w:t>s</w:t>
      </w:r>
      <w:r w:rsidR="001A0230">
        <w:t xml:space="preserve"> on </w:t>
      </w:r>
      <w:r w:rsidR="00D232AB">
        <w:t>this White Paper</w:t>
      </w:r>
    </w:p>
    <w:p w14:paraId="71C16070" w14:textId="6CE3F748" w:rsidR="00A32D8B" w:rsidRDefault="00CB772A" w:rsidP="00810FC9">
      <w:pPr>
        <w:pStyle w:val="Heading2"/>
      </w:pPr>
      <w:r>
        <w:t>Drafts</w:t>
      </w:r>
    </w:p>
    <w:p w14:paraId="38A75249" w14:textId="4DAFF11A" w:rsidR="00D232AB" w:rsidRDefault="00D232AB" w:rsidP="00810FC9">
      <w:r>
        <w:t>Drafts of this white paper</w:t>
      </w:r>
      <w:r w:rsidR="00886C37">
        <w:t>’s sections are being issued for review and comment</w:t>
      </w:r>
      <w:r w:rsidR="00DE4673">
        <w:t xml:space="preserve"> by the work group and members of the public</w:t>
      </w:r>
      <w:r w:rsidR="00886C37">
        <w:t>. The current version of the draft will be noted. At the end of that process</w:t>
      </w:r>
      <w:r w:rsidR="001B3E26">
        <w:t xml:space="preserve"> we will </w:t>
      </w:r>
      <w:r w:rsidR="00DE4673">
        <w:t xml:space="preserve">issue a compiled version for recommendation to the Uniformity Committee. </w:t>
      </w:r>
    </w:p>
    <w:p w14:paraId="25CE3B5B" w14:textId="1B9BCF48" w:rsidR="006D784D" w:rsidRDefault="006D784D" w:rsidP="00810FC9">
      <w:pPr>
        <w:pStyle w:val="Heading2"/>
      </w:pPr>
      <w:r>
        <w:t>References to State Law</w:t>
      </w:r>
    </w:p>
    <w:p w14:paraId="1594E654" w14:textId="77777777" w:rsidR="00FF7D0B" w:rsidRDefault="00A32D8B" w:rsidP="00A32D8B">
      <w:r>
        <w:t xml:space="preserve">This white paper contains references to existing state rules and other resources which have been used and discussed as part of the project over its five-year term. This information serves to show the different approaches states may take when addressing various issues and to help states understand the practical effects of these different approaches. </w:t>
      </w:r>
    </w:p>
    <w:p w14:paraId="59B529AA" w14:textId="67DB4425" w:rsidR="00A32D8B" w:rsidRPr="00B27951" w:rsidRDefault="00E74444" w:rsidP="00A32D8B">
      <w:pPr>
        <w:rPr>
          <w:b/>
          <w:bCs/>
          <w:i/>
          <w:iCs/>
        </w:rPr>
      </w:pPr>
      <w:r>
        <w:rPr>
          <w:b/>
          <w:bCs/>
          <w:i/>
          <w:iCs/>
        </w:rPr>
        <w:t>This white paper and the information on state law it contains</w:t>
      </w:r>
      <w:r w:rsidR="00194D07">
        <w:rPr>
          <w:b/>
          <w:bCs/>
          <w:i/>
          <w:iCs/>
        </w:rPr>
        <w:t xml:space="preserve"> </w:t>
      </w:r>
      <w:r w:rsidR="00A32D8B" w:rsidRPr="00E3726A">
        <w:rPr>
          <w:b/>
          <w:bCs/>
          <w:i/>
          <w:iCs/>
        </w:rPr>
        <w:t xml:space="preserve">is not meant to serve as a comprehensive guide to current state tax rules or as advice to persons seeking to comply with </w:t>
      </w:r>
      <w:r w:rsidR="00A32D8B">
        <w:rPr>
          <w:b/>
          <w:bCs/>
          <w:i/>
          <w:iCs/>
        </w:rPr>
        <w:t xml:space="preserve">those </w:t>
      </w:r>
      <w:r w:rsidR="00A32D8B" w:rsidRPr="00E3726A">
        <w:rPr>
          <w:b/>
          <w:bCs/>
          <w:i/>
          <w:iCs/>
        </w:rPr>
        <w:t xml:space="preserve">existing state rules. </w:t>
      </w:r>
    </w:p>
    <w:p w14:paraId="49DDB6A8" w14:textId="77777777" w:rsidR="00A32D8B" w:rsidRPr="00D232AB" w:rsidRDefault="00A32D8B" w:rsidP="00D232AB"/>
    <w:p w14:paraId="17D25D63" w14:textId="77777777" w:rsidR="001A0230" w:rsidRDefault="001A0230">
      <w:pPr>
        <w:spacing w:line="278" w:lineRule="auto"/>
        <w:rPr>
          <w:rFonts w:eastAsiaTheme="majorEastAsia" w:cstheme="majorBidi"/>
          <w:b/>
          <w:color w:val="0F4761" w:themeColor="accent1" w:themeShade="BF"/>
          <w:sz w:val="36"/>
          <w:szCs w:val="40"/>
        </w:rPr>
      </w:pPr>
      <w:r>
        <w:br w:type="page"/>
      </w:r>
    </w:p>
    <w:p w14:paraId="5EB2125D" w14:textId="38AAC2AF" w:rsidR="00A50482" w:rsidRDefault="00CC1231" w:rsidP="001D2F9F">
      <w:pPr>
        <w:pStyle w:val="Heading1"/>
        <w:spacing w:after="0"/>
      </w:pPr>
      <w:r>
        <w:lastRenderedPageBreak/>
        <w:t>Introduction</w:t>
      </w:r>
      <w:r w:rsidR="00E717AB">
        <w:t xml:space="preserve"> –</w:t>
      </w:r>
      <w:r w:rsidR="00EB092D">
        <w:t xml:space="preserve"> </w:t>
      </w:r>
      <w:r w:rsidR="00906145">
        <w:t>Purpose</w:t>
      </w:r>
      <w:r w:rsidR="00EB092D">
        <w:t xml:space="preserve"> &amp; Process</w:t>
      </w:r>
    </w:p>
    <w:p w14:paraId="65BE8D85" w14:textId="271B521B" w:rsidR="003F11DA" w:rsidRPr="008806C8" w:rsidRDefault="003F11DA" w:rsidP="001F19E4">
      <w:pPr>
        <w:jc w:val="center"/>
        <w:rPr>
          <w:sz w:val="24"/>
          <w:szCs w:val="22"/>
        </w:rPr>
      </w:pPr>
      <w:r w:rsidRPr="008806C8">
        <w:rPr>
          <w:sz w:val="24"/>
          <w:szCs w:val="22"/>
        </w:rPr>
        <w:t>S</w:t>
      </w:r>
      <w:r w:rsidR="00222C2F" w:rsidRPr="008806C8">
        <w:rPr>
          <w:sz w:val="24"/>
          <w:szCs w:val="22"/>
        </w:rPr>
        <w:t xml:space="preserve">ee also the project web page on the MTC website here: </w:t>
      </w:r>
      <w:hyperlink r:id="rId9" w:history="1">
        <w:r w:rsidR="00222C2F" w:rsidRPr="008806C8">
          <w:rPr>
            <w:rStyle w:val="Hyperlink"/>
            <w:b/>
            <w:bCs/>
            <w:color w:val="990033"/>
            <w:sz w:val="24"/>
            <w:szCs w:val="22"/>
          </w:rPr>
          <w:t>Project Page</w:t>
        </w:r>
      </w:hyperlink>
    </w:p>
    <w:p w14:paraId="1B749E43" w14:textId="006EBD4A" w:rsidR="003F11DA" w:rsidRDefault="003F11DA" w:rsidP="003F11DA">
      <w:pPr>
        <w:jc w:val="center"/>
      </w:pPr>
      <w:r>
        <w:rPr>
          <w:noProof/>
        </w:rPr>
        <w:drawing>
          <wp:inline distT="0" distB="0" distL="0" distR="0" wp14:anchorId="091A5B5E" wp14:editId="6D8F5215">
            <wp:extent cx="2299201" cy="1530927"/>
            <wp:effectExtent l="0" t="0" r="6350" b="0"/>
            <wp:docPr id="1095731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8203" cy="1603506"/>
                    </a:xfrm>
                    <a:prstGeom prst="rect">
                      <a:avLst/>
                    </a:prstGeom>
                    <a:noFill/>
                    <a:ln>
                      <a:noFill/>
                    </a:ln>
                  </pic:spPr>
                </pic:pic>
              </a:graphicData>
            </a:graphic>
          </wp:inline>
        </w:drawing>
      </w:r>
    </w:p>
    <w:p w14:paraId="1DC68F92" w14:textId="7D5B1E5F" w:rsidR="00FF7D0B" w:rsidRDefault="00FF7D0B" w:rsidP="004E63EB">
      <w:pPr>
        <w:pStyle w:val="Heading2"/>
        <w:spacing w:before="240"/>
      </w:pPr>
      <w:r>
        <w:t xml:space="preserve">Purpose </w:t>
      </w:r>
    </w:p>
    <w:p w14:paraId="657EA748" w14:textId="4FAD12FD" w:rsidR="00FF7D0B" w:rsidRDefault="00FF7D0B" w:rsidP="0036597F">
      <w:pPr>
        <w:spacing w:after="80"/>
      </w:pPr>
      <w:r>
        <w:t xml:space="preserve">The purpose of this white paper is to assist policymakers who are considering including digital products in the </w:t>
      </w:r>
      <w:r w:rsidR="007B12A9">
        <w:t xml:space="preserve">state </w:t>
      </w:r>
      <w:r>
        <w:t>sales tax base and provide information on:</w:t>
      </w:r>
    </w:p>
    <w:p w14:paraId="46E46DCA" w14:textId="78C489B3" w:rsidR="00FF7D0B" w:rsidRDefault="00FF7D0B" w:rsidP="0036597F">
      <w:pPr>
        <w:pStyle w:val="ListParagraph"/>
        <w:numPr>
          <w:ilvl w:val="0"/>
          <w:numId w:val="17"/>
        </w:numPr>
        <w:spacing w:after="80"/>
        <w:contextualSpacing w:val="0"/>
      </w:pPr>
      <w:r>
        <w:t>Practical, constitutional, and statutory limitations on state sales taxes</w:t>
      </w:r>
      <w:r w:rsidR="00EF6F26">
        <w:t>;</w:t>
      </w:r>
    </w:p>
    <w:p w14:paraId="4454C928" w14:textId="04C3FC37" w:rsidR="00FF7D0B" w:rsidRDefault="00FF7D0B" w:rsidP="0036597F">
      <w:pPr>
        <w:pStyle w:val="ListParagraph"/>
        <w:numPr>
          <w:ilvl w:val="0"/>
          <w:numId w:val="17"/>
        </w:numPr>
        <w:spacing w:after="80"/>
        <w:contextualSpacing w:val="0"/>
      </w:pPr>
      <w:r>
        <w:t>Ways of defining digital products or categories of products</w:t>
      </w:r>
      <w:r w:rsidR="00EF6F26">
        <w:t>;</w:t>
      </w:r>
    </w:p>
    <w:p w14:paraId="03B5D728" w14:textId="015B5872" w:rsidR="00FF7D0B" w:rsidRDefault="00FF7D0B" w:rsidP="0036597F">
      <w:pPr>
        <w:pStyle w:val="ListParagraph"/>
        <w:numPr>
          <w:ilvl w:val="0"/>
          <w:numId w:val="17"/>
        </w:numPr>
        <w:spacing w:after="80"/>
        <w:contextualSpacing w:val="0"/>
      </w:pPr>
      <w:r>
        <w:t>Sourcing digital products and granting use tax credits</w:t>
      </w:r>
      <w:r w:rsidR="00EF6F26">
        <w:t>;</w:t>
      </w:r>
    </w:p>
    <w:p w14:paraId="720BC1EA" w14:textId="09CDF797" w:rsidR="00FF7D0B" w:rsidRDefault="00FF7D0B" w:rsidP="0036597F">
      <w:pPr>
        <w:pStyle w:val="ListParagraph"/>
        <w:numPr>
          <w:ilvl w:val="0"/>
          <w:numId w:val="17"/>
        </w:numPr>
        <w:spacing w:after="80"/>
        <w:contextualSpacing w:val="0"/>
      </w:pPr>
      <w:r>
        <w:t>Exempting certain digital products from tax</w:t>
      </w:r>
      <w:r w:rsidR="00EF6F26">
        <w:t>;</w:t>
      </w:r>
    </w:p>
    <w:p w14:paraId="481B2A8A" w14:textId="0B13DD19" w:rsidR="00FF7D0B" w:rsidRDefault="00FF7D0B" w:rsidP="0036597F">
      <w:pPr>
        <w:pStyle w:val="ListParagraph"/>
        <w:numPr>
          <w:ilvl w:val="0"/>
          <w:numId w:val="17"/>
        </w:numPr>
        <w:spacing w:after="80"/>
        <w:contextualSpacing w:val="0"/>
      </w:pPr>
      <w:r>
        <w:t>Applying general bundling rules to transactions involving digital products</w:t>
      </w:r>
      <w:r w:rsidR="00EF6F26">
        <w:t>; and</w:t>
      </w:r>
      <w:r>
        <w:t xml:space="preserve"> </w:t>
      </w:r>
    </w:p>
    <w:p w14:paraId="553BC5C6" w14:textId="77777777" w:rsidR="00FF7D0B" w:rsidRDefault="00FF7D0B" w:rsidP="00FF7D0B">
      <w:pPr>
        <w:pStyle w:val="ListParagraph"/>
        <w:numPr>
          <w:ilvl w:val="0"/>
          <w:numId w:val="17"/>
        </w:numPr>
        <w:contextualSpacing w:val="0"/>
      </w:pPr>
      <w:r>
        <w:t>Other related administrative and compliance issues.</w:t>
      </w:r>
    </w:p>
    <w:p w14:paraId="1DAC9B27" w14:textId="2BA9117B" w:rsidR="00755472" w:rsidRDefault="00755472" w:rsidP="007B12A9">
      <w:pPr>
        <w:pStyle w:val="Heading2"/>
        <w:spacing w:before="240"/>
      </w:pPr>
      <w:r>
        <w:t>Process</w:t>
      </w:r>
      <w:r w:rsidR="00E3726A">
        <w:t xml:space="preserve"> </w:t>
      </w:r>
    </w:p>
    <w:p w14:paraId="5178051E" w14:textId="66C66154" w:rsidR="00826A48" w:rsidRDefault="00472252" w:rsidP="0036597F">
      <w:pPr>
        <w:spacing w:after="80"/>
      </w:pPr>
      <w:r>
        <w:t xml:space="preserve">This MTC uniformity project began in 2021. </w:t>
      </w:r>
      <w:r w:rsidR="00C816AE">
        <w:t xml:space="preserve">It was proposed by Washington state and reviewed by the Uniformity Committee’s standing subcommittee. </w:t>
      </w:r>
      <w:r w:rsidR="00C951C5">
        <w:t xml:space="preserve">The committee approved the project </w:t>
      </w:r>
      <w:r w:rsidR="00DC3C35">
        <w:t>to study</w:t>
      </w:r>
      <w:r w:rsidR="00CA7297">
        <w:t xml:space="preserve"> how </w:t>
      </w:r>
      <w:r w:rsidR="00605A90">
        <w:t>state sales taxes can be applied to digital product</w:t>
      </w:r>
      <w:r w:rsidR="00CA7297">
        <w:t>s</w:t>
      </w:r>
      <w:r w:rsidR="00AA48F5">
        <w:t xml:space="preserve"> </w:t>
      </w:r>
      <w:r w:rsidR="00DC3C35">
        <w:t xml:space="preserve">and </w:t>
      </w:r>
      <w:r w:rsidR="00F006C4">
        <w:t xml:space="preserve">to </w:t>
      </w:r>
      <w:r w:rsidR="00DC3C35">
        <w:t xml:space="preserve">draft a white paper </w:t>
      </w:r>
      <w:r w:rsidR="00AA48F5">
        <w:t>by</w:t>
      </w:r>
      <w:r w:rsidR="005702CA">
        <w:t xml:space="preserve">: </w:t>
      </w:r>
    </w:p>
    <w:p w14:paraId="462FAE47" w14:textId="73DFDC6D" w:rsidR="005702CA" w:rsidRDefault="002B4DF6" w:rsidP="0036597F">
      <w:pPr>
        <w:pStyle w:val="ListParagraph"/>
        <w:numPr>
          <w:ilvl w:val="0"/>
          <w:numId w:val="25"/>
        </w:numPr>
        <w:spacing w:after="80"/>
        <w:contextualSpacing w:val="0"/>
      </w:pPr>
      <w:r>
        <w:t>Conducting</w:t>
      </w:r>
      <w:r w:rsidR="0000461B">
        <w:t xml:space="preserve"> </w:t>
      </w:r>
      <w:r w:rsidR="005702CA">
        <w:t xml:space="preserve">stakeholder </w:t>
      </w:r>
      <w:r w:rsidR="0000461B">
        <w:t>interviews with</w:t>
      </w:r>
      <w:r w:rsidR="002851C3">
        <w:t xml:space="preserve"> </w:t>
      </w:r>
      <w:r w:rsidR="00764EE1">
        <w:t xml:space="preserve">taxpayers, </w:t>
      </w:r>
      <w:r w:rsidR="00057CA2">
        <w:t>practitioners, academics, and</w:t>
      </w:r>
      <w:r w:rsidR="00433ACF">
        <w:t xml:space="preserve"> states; </w:t>
      </w:r>
    </w:p>
    <w:p w14:paraId="011ED79D" w14:textId="50764161" w:rsidR="00020B5B" w:rsidRDefault="00020B5B" w:rsidP="0036597F">
      <w:pPr>
        <w:pStyle w:val="ListParagraph"/>
        <w:numPr>
          <w:ilvl w:val="0"/>
          <w:numId w:val="25"/>
        </w:numPr>
        <w:spacing w:after="80"/>
        <w:contextualSpacing w:val="0"/>
      </w:pPr>
      <w:r>
        <w:t xml:space="preserve">Drafting an issue outline based on that </w:t>
      </w:r>
      <w:r w:rsidR="00F006C4">
        <w:t xml:space="preserve">stakeholder </w:t>
      </w:r>
      <w:r>
        <w:t>information;</w:t>
      </w:r>
      <w:r w:rsidR="00EF522F">
        <w:rPr>
          <w:rStyle w:val="FootnoteReference"/>
        </w:rPr>
        <w:footnoteReference w:id="2"/>
      </w:r>
      <w:r w:rsidR="00057CA2">
        <w:t xml:space="preserve"> </w:t>
      </w:r>
    </w:p>
    <w:p w14:paraId="395F592F" w14:textId="38C91735" w:rsidR="0069228A" w:rsidRDefault="00020B5B" w:rsidP="0036597F">
      <w:pPr>
        <w:pStyle w:val="ListParagraph"/>
        <w:numPr>
          <w:ilvl w:val="0"/>
          <w:numId w:val="25"/>
        </w:numPr>
        <w:spacing w:after="80"/>
        <w:contextualSpacing w:val="0"/>
      </w:pPr>
      <w:r>
        <w:t>E</w:t>
      </w:r>
      <w:r w:rsidR="00057CA2">
        <w:t>stablish</w:t>
      </w:r>
      <w:r>
        <w:t>ing</w:t>
      </w:r>
      <w:r w:rsidR="00057CA2">
        <w:t xml:space="preserve"> a work</w:t>
      </w:r>
      <w:r w:rsidR="00816937">
        <w:t xml:space="preserve"> group</w:t>
      </w:r>
      <w:r w:rsidR="0000461B">
        <w:t xml:space="preserve"> </w:t>
      </w:r>
      <w:r w:rsidR="00F006C4">
        <w:t>to</w:t>
      </w:r>
      <w:r w:rsidR="00433ACF">
        <w:t xml:space="preserve"> </w:t>
      </w:r>
      <w:r w:rsidR="00494FF1">
        <w:t xml:space="preserve">take </w:t>
      </w:r>
      <w:r w:rsidR="00F064D4">
        <w:t>state and public</w:t>
      </w:r>
      <w:r w:rsidR="00581178">
        <w:t xml:space="preserve"> input</w:t>
      </w:r>
      <w:r w:rsidR="0069228A">
        <w:t xml:space="preserve"> and </w:t>
      </w:r>
      <w:r w:rsidR="00F006C4">
        <w:t>study</w:t>
      </w:r>
      <w:r w:rsidR="00F064D4">
        <w:t xml:space="preserve"> certain issues in detail</w:t>
      </w:r>
      <w:r w:rsidR="0069228A">
        <w:t>;</w:t>
      </w:r>
      <w:r w:rsidR="00F064D4">
        <w:t xml:space="preserve"> </w:t>
      </w:r>
    </w:p>
    <w:p w14:paraId="4EADAFB7" w14:textId="158C256C" w:rsidR="00F064D4" w:rsidRDefault="0069228A" w:rsidP="0036597F">
      <w:pPr>
        <w:pStyle w:val="ListParagraph"/>
        <w:numPr>
          <w:ilvl w:val="0"/>
          <w:numId w:val="25"/>
        </w:numPr>
        <w:spacing w:after="80"/>
        <w:contextualSpacing w:val="0"/>
      </w:pPr>
      <w:r>
        <w:t xml:space="preserve">Capturing </w:t>
      </w:r>
      <w:r w:rsidR="00F006C4">
        <w:t>information</w:t>
      </w:r>
      <w:r>
        <w:t xml:space="preserve"> in </w:t>
      </w:r>
      <w:r w:rsidR="00F064D4">
        <w:t xml:space="preserve">a “digital outline” </w:t>
      </w:r>
      <w:r w:rsidR="00E3726A">
        <w:t xml:space="preserve">with </w:t>
      </w:r>
      <w:r w:rsidR="00F064D4">
        <w:t xml:space="preserve">separate </w:t>
      </w:r>
      <w:r w:rsidR="00816937">
        <w:t xml:space="preserve">topic </w:t>
      </w:r>
      <w:r w:rsidR="00F064D4">
        <w:t>pages</w:t>
      </w:r>
      <w:r w:rsidR="00163E26">
        <w:t xml:space="preserve"> </w:t>
      </w:r>
      <w:r w:rsidR="00780032">
        <w:t>(</w:t>
      </w:r>
      <w:r w:rsidR="00163E26">
        <w:t>s</w:t>
      </w:r>
      <w:r w:rsidR="00780032">
        <w:t>ee</w:t>
      </w:r>
      <w:r w:rsidR="00275130">
        <w:t xml:space="preserve"> </w:t>
      </w:r>
      <w:hyperlink r:id="rId11" w:history="1">
        <w:r w:rsidR="00275130" w:rsidRPr="00A248D4">
          <w:rPr>
            <w:rStyle w:val="Hyperlink"/>
          </w:rPr>
          <w:t>project page</w:t>
        </w:r>
      </w:hyperlink>
      <w:r w:rsidR="00F006C4">
        <w:t>)</w:t>
      </w:r>
      <w:r w:rsidR="00163E26">
        <w:t>; and</w:t>
      </w:r>
      <w:r w:rsidR="00275130">
        <w:t xml:space="preserve"> </w:t>
      </w:r>
    </w:p>
    <w:p w14:paraId="758BAF71" w14:textId="71CF8D1A" w:rsidR="004E63EB" w:rsidRDefault="00163E26" w:rsidP="004E63EB">
      <w:pPr>
        <w:pStyle w:val="ListParagraph"/>
        <w:numPr>
          <w:ilvl w:val="0"/>
          <w:numId w:val="25"/>
        </w:numPr>
        <w:spacing w:after="240"/>
        <w:contextualSpacing w:val="0"/>
      </w:pPr>
      <w:r>
        <w:t>Drafting sections of the white paper for review and comment.</w:t>
      </w:r>
    </w:p>
    <w:p w14:paraId="6AE0CE98" w14:textId="602A2E9D" w:rsidR="0056160F" w:rsidRPr="0056160F" w:rsidRDefault="00E62C0B" w:rsidP="00370D58">
      <w:r>
        <w:t>The</w:t>
      </w:r>
      <w:r w:rsidR="00E3726A">
        <w:t xml:space="preserve"> project has also </w:t>
      </w:r>
      <w:r w:rsidR="00780032">
        <w:t>received</w:t>
      </w:r>
      <w:r w:rsidR="00F064D4">
        <w:t xml:space="preserve"> valuable input from other</w:t>
      </w:r>
      <w:r w:rsidR="001932E3">
        <w:t xml:space="preserve"> state</w:t>
      </w:r>
      <w:r w:rsidR="00F064D4">
        <w:t xml:space="preserve"> groups</w:t>
      </w:r>
      <w:r w:rsidR="00835B84">
        <w:t xml:space="preserve"> including the Federation of Tax Administrators, the National Conference of State Legislatures, and </w:t>
      </w:r>
      <w:r w:rsidR="00E54C70">
        <w:t xml:space="preserve">especially </w:t>
      </w:r>
      <w:r w:rsidR="00F064D4">
        <w:t xml:space="preserve">the Streamlined Sales and Use Tax Governing Board (Streamlined) and </w:t>
      </w:r>
      <w:r w:rsidR="0005010F">
        <w:t xml:space="preserve">its </w:t>
      </w:r>
      <w:r w:rsidR="00F064D4">
        <w:t>staff</w:t>
      </w:r>
      <w:r w:rsidR="00D36F30">
        <w:t xml:space="preserve">. </w:t>
      </w:r>
    </w:p>
    <w:p w14:paraId="3F897DEB" w14:textId="60245D05" w:rsidR="00DA2FEB" w:rsidRDefault="00DA2FEB" w:rsidP="00DA2FEB">
      <w:pPr>
        <w:pStyle w:val="Heading1"/>
      </w:pPr>
      <w:r>
        <w:lastRenderedPageBreak/>
        <w:t>Table of Contents</w:t>
      </w:r>
    </w:p>
    <w:p w14:paraId="18B06F46" w14:textId="77777777" w:rsidR="00DA2FEB" w:rsidRDefault="00DA2FEB" w:rsidP="00DA2FEB"/>
    <w:p w14:paraId="40736904" w14:textId="77777777" w:rsidR="00B27951" w:rsidRDefault="00B27951">
      <w:pPr>
        <w:spacing w:line="278" w:lineRule="auto"/>
        <w:rPr>
          <w:rFonts w:eastAsiaTheme="majorEastAsia" w:cstheme="majorBidi"/>
          <w:b/>
          <w:color w:val="0F4761" w:themeColor="accent1" w:themeShade="BF"/>
          <w:sz w:val="36"/>
          <w:szCs w:val="40"/>
        </w:rPr>
      </w:pPr>
      <w:r>
        <w:br w:type="page"/>
      </w:r>
    </w:p>
    <w:p w14:paraId="327680BF" w14:textId="24A7479F" w:rsidR="00243FE5" w:rsidRDefault="0005010F" w:rsidP="00CD0C43">
      <w:pPr>
        <w:pStyle w:val="Heading1"/>
      </w:pPr>
      <w:r>
        <w:lastRenderedPageBreak/>
        <w:t xml:space="preserve">Important </w:t>
      </w:r>
      <w:r w:rsidR="00243FE5">
        <w:t>Terminology</w:t>
      </w:r>
    </w:p>
    <w:p w14:paraId="0735F46F" w14:textId="03D186D6" w:rsidR="00243FE5" w:rsidRDefault="00526191" w:rsidP="00965095">
      <w:pPr>
        <w:spacing w:after="360"/>
      </w:pPr>
      <w:r>
        <w:t xml:space="preserve">This white paper </w:t>
      </w:r>
      <w:r w:rsidR="00243FE5" w:rsidRPr="00F43421">
        <w:t xml:space="preserve">uses the </w:t>
      </w:r>
      <w:r>
        <w:t>terms</w:t>
      </w:r>
      <w:r w:rsidR="00243FE5" w:rsidRPr="00F43421">
        <w:t xml:space="preserve"> </w:t>
      </w:r>
      <w:r w:rsidR="00243FE5">
        <w:t>here</w:t>
      </w:r>
      <w:r w:rsidR="00243FE5" w:rsidRPr="00F43421">
        <w:t xml:space="preserve"> </w:t>
      </w:r>
      <w:r>
        <w:t xml:space="preserve">as </w:t>
      </w:r>
      <w:r w:rsidR="006E31A1">
        <w:t>defined</w:t>
      </w:r>
      <w:r w:rsidR="00243FE5" w:rsidRPr="00F43421">
        <w:t xml:space="preserve">: </w:t>
      </w:r>
    </w:p>
    <w:tbl>
      <w:tblPr>
        <w:tblStyle w:val="TableGrid"/>
        <w:tblW w:w="0" w:type="auto"/>
        <w:tblCellMar>
          <w:top w:w="144" w:type="dxa"/>
          <w:bottom w:w="144" w:type="dxa"/>
        </w:tblCellMar>
        <w:tblLook w:val="04A0" w:firstRow="1" w:lastRow="0" w:firstColumn="1" w:lastColumn="0" w:noHBand="0" w:noVBand="1"/>
      </w:tblPr>
      <w:tblGrid>
        <w:gridCol w:w="2515"/>
        <w:gridCol w:w="7699"/>
      </w:tblGrid>
      <w:tr w:rsidR="007F3933" w14:paraId="0DE2A59A" w14:textId="77777777" w:rsidTr="00421B0C">
        <w:tc>
          <w:tcPr>
            <w:tcW w:w="2515" w:type="dxa"/>
            <w:shd w:val="clear" w:color="auto" w:fill="595959" w:themeFill="text1" w:themeFillTint="A6"/>
            <w:vAlign w:val="center"/>
          </w:tcPr>
          <w:p w14:paraId="38D9EE5E" w14:textId="22BA492D" w:rsidR="007F3933" w:rsidRPr="00045493" w:rsidRDefault="007F3933" w:rsidP="004B12FC">
            <w:pPr>
              <w:jc w:val="center"/>
              <w:rPr>
                <w:b/>
                <w:bCs/>
                <w:color w:val="FFFFFF" w:themeColor="background1"/>
                <w:sz w:val="28"/>
                <w:szCs w:val="28"/>
              </w:rPr>
            </w:pPr>
            <w:r w:rsidRPr="00045493">
              <w:rPr>
                <w:b/>
                <w:bCs/>
                <w:color w:val="FFFFFF" w:themeColor="background1"/>
                <w:sz w:val="28"/>
                <w:szCs w:val="28"/>
              </w:rPr>
              <w:t>Term</w:t>
            </w:r>
          </w:p>
        </w:tc>
        <w:tc>
          <w:tcPr>
            <w:tcW w:w="7699" w:type="dxa"/>
            <w:shd w:val="clear" w:color="auto" w:fill="595959" w:themeFill="text1" w:themeFillTint="A6"/>
          </w:tcPr>
          <w:p w14:paraId="1B9A6A09" w14:textId="25A82695" w:rsidR="007F3933" w:rsidRPr="00045493" w:rsidRDefault="007F3933" w:rsidP="00243FE5">
            <w:pPr>
              <w:rPr>
                <w:b/>
                <w:bCs/>
                <w:color w:val="FFFFFF" w:themeColor="background1"/>
                <w:sz w:val="28"/>
                <w:szCs w:val="28"/>
              </w:rPr>
            </w:pPr>
            <w:r w:rsidRPr="00045493">
              <w:rPr>
                <w:b/>
                <w:bCs/>
                <w:color w:val="FFFFFF" w:themeColor="background1"/>
                <w:sz w:val="28"/>
                <w:szCs w:val="28"/>
              </w:rPr>
              <w:t xml:space="preserve">As </w:t>
            </w:r>
            <w:r w:rsidR="00DF5092" w:rsidRPr="00045493">
              <w:rPr>
                <w:b/>
                <w:bCs/>
                <w:color w:val="FFFFFF" w:themeColor="background1"/>
                <w:sz w:val="28"/>
                <w:szCs w:val="28"/>
              </w:rPr>
              <w:t>U</w:t>
            </w:r>
            <w:r w:rsidRPr="00045493">
              <w:rPr>
                <w:b/>
                <w:bCs/>
                <w:color w:val="FFFFFF" w:themeColor="background1"/>
                <w:sz w:val="28"/>
                <w:szCs w:val="28"/>
              </w:rPr>
              <w:t xml:space="preserve">sed in this </w:t>
            </w:r>
            <w:r w:rsidR="00DF5092" w:rsidRPr="00045493">
              <w:rPr>
                <w:b/>
                <w:bCs/>
                <w:color w:val="FFFFFF" w:themeColor="background1"/>
                <w:sz w:val="28"/>
                <w:szCs w:val="28"/>
              </w:rPr>
              <w:t>W</w:t>
            </w:r>
            <w:r w:rsidRPr="00045493">
              <w:rPr>
                <w:b/>
                <w:bCs/>
                <w:color w:val="FFFFFF" w:themeColor="background1"/>
                <w:sz w:val="28"/>
                <w:szCs w:val="28"/>
              </w:rPr>
              <w:t xml:space="preserve">hite </w:t>
            </w:r>
            <w:r w:rsidR="00DF5092" w:rsidRPr="00045493">
              <w:rPr>
                <w:b/>
                <w:bCs/>
                <w:color w:val="FFFFFF" w:themeColor="background1"/>
                <w:sz w:val="28"/>
                <w:szCs w:val="28"/>
              </w:rPr>
              <w:t>P</w:t>
            </w:r>
            <w:r w:rsidRPr="00045493">
              <w:rPr>
                <w:b/>
                <w:bCs/>
                <w:color w:val="FFFFFF" w:themeColor="background1"/>
                <w:sz w:val="28"/>
                <w:szCs w:val="28"/>
              </w:rPr>
              <w:t>aper</w:t>
            </w:r>
            <w:r w:rsidR="00DF5092" w:rsidRPr="00045493">
              <w:rPr>
                <w:b/>
                <w:bCs/>
                <w:color w:val="FFFFFF" w:themeColor="background1"/>
                <w:sz w:val="28"/>
                <w:szCs w:val="28"/>
              </w:rPr>
              <w:t>:</w:t>
            </w:r>
          </w:p>
        </w:tc>
      </w:tr>
      <w:tr w:rsidR="00AE4C50" w14:paraId="5020BE16" w14:textId="77777777" w:rsidTr="00421B0C">
        <w:tc>
          <w:tcPr>
            <w:tcW w:w="2515" w:type="dxa"/>
            <w:vAlign w:val="center"/>
          </w:tcPr>
          <w:p w14:paraId="43954485" w14:textId="3E61DE0E" w:rsidR="00AE4C50" w:rsidRPr="00AE4C50" w:rsidRDefault="00AE4C50" w:rsidP="004B12FC">
            <w:pPr>
              <w:jc w:val="center"/>
              <w:rPr>
                <w:b/>
                <w:bCs/>
              </w:rPr>
            </w:pPr>
            <w:r w:rsidRPr="00AE4C50">
              <w:rPr>
                <w:b/>
                <w:bCs/>
              </w:rPr>
              <w:t>Digital Products</w:t>
            </w:r>
          </w:p>
        </w:tc>
        <w:tc>
          <w:tcPr>
            <w:tcW w:w="7699" w:type="dxa"/>
          </w:tcPr>
          <w:p w14:paraId="50726886" w14:textId="6A84783D" w:rsidR="00AE4C50" w:rsidRDefault="00AE4C50" w:rsidP="00243FE5">
            <w:r>
              <w:t>Unless otherwise specifically defined—includes all categories of d</w:t>
            </w:r>
            <w:r w:rsidRPr="00F43421">
              <w:t xml:space="preserve">igital </w:t>
            </w:r>
            <w:r w:rsidR="00EF649A">
              <w:t xml:space="preserve">items including items that may be designated as </w:t>
            </w:r>
            <w:r w:rsidRPr="00F43421">
              <w:t>goods</w:t>
            </w:r>
            <w:r>
              <w:t xml:space="preserve">, </w:t>
            </w:r>
            <w:r w:rsidRPr="00F43421">
              <w:t xml:space="preserve">services, </w:t>
            </w:r>
            <w:r>
              <w:t>or</w:t>
            </w:r>
            <w:r w:rsidRPr="00F43421">
              <w:t xml:space="preserve"> other items.</w:t>
            </w:r>
          </w:p>
        </w:tc>
      </w:tr>
      <w:tr w:rsidR="00AE4C50" w14:paraId="6E2358AD" w14:textId="77777777" w:rsidTr="00421B0C">
        <w:tc>
          <w:tcPr>
            <w:tcW w:w="2515" w:type="dxa"/>
            <w:vAlign w:val="center"/>
          </w:tcPr>
          <w:p w14:paraId="132930EE" w14:textId="5FE68CDC" w:rsidR="00AE4C50" w:rsidRPr="00AE4C50" w:rsidRDefault="00AE4C50" w:rsidP="004B12FC">
            <w:pPr>
              <w:jc w:val="center"/>
              <w:rPr>
                <w:b/>
                <w:bCs/>
              </w:rPr>
            </w:pPr>
            <w:r>
              <w:rPr>
                <w:b/>
                <w:bCs/>
              </w:rPr>
              <w:t>Sales Tax</w:t>
            </w:r>
          </w:p>
        </w:tc>
        <w:tc>
          <w:tcPr>
            <w:tcW w:w="7699" w:type="dxa"/>
          </w:tcPr>
          <w:p w14:paraId="2E46D342" w14:textId="67303F3A" w:rsidR="00AE4C50" w:rsidRDefault="00AE4C50" w:rsidP="00243FE5">
            <w:r>
              <w:t xml:space="preserve">A </w:t>
            </w:r>
            <w:r w:rsidR="007530FA">
              <w:t xml:space="preserve">U.S. state </w:t>
            </w:r>
            <w:r>
              <w:t xml:space="preserve">tax broadly based on transactions between sellers and buyers where the tax is computed on the value of the transaction and generally collected </w:t>
            </w:r>
            <w:r w:rsidR="007530FA">
              <w:t xml:space="preserve">by the seller </w:t>
            </w:r>
            <w:r>
              <w:t xml:space="preserve">from the buyer whether or not </w:t>
            </w:r>
            <w:r w:rsidR="007530FA">
              <w:t>legally</w:t>
            </w:r>
            <w:r>
              <w:t xml:space="preserve"> imposed on the buyer</w:t>
            </w:r>
            <w:r w:rsidRPr="00F43421">
              <w:t xml:space="preserve">. Various types of </w:t>
            </w:r>
            <w:r w:rsidR="00DB5B09">
              <w:t>items (</w:t>
            </w:r>
            <w:r w:rsidR="00544204">
              <w:t xml:space="preserve">tangibles, intangibles, services, etc.) and </w:t>
            </w:r>
            <w:r w:rsidRPr="00F43421">
              <w:t xml:space="preserve">transactions </w:t>
            </w:r>
            <w:r>
              <w:t xml:space="preserve">(sales, leases, licenses, subscriptions, etc.) </w:t>
            </w:r>
            <w:r w:rsidRPr="00F43421">
              <w:t>may be subject to the tax.</w:t>
            </w:r>
            <w:r>
              <w:t xml:space="preserve"> States may use different names for their sales tax and may</w:t>
            </w:r>
            <w:r w:rsidR="00207978">
              <w:t xml:space="preserve"> legally</w:t>
            </w:r>
            <w:r>
              <w:t xml:space="preserve"> impose </w:t>
            </w:r>
            <w:r w:rsidR="00D1087E">
              <w:t xml:space="preserve">the </w:t>
            </w:r>
            <w:r>
              <w:t>tax on the buyer or the seller.</w:t>
            </w:r>
            <w:r>
              <w:rPr>
                <w:rStyle w:val="FootnoteReference"/>
              </w:rPr>
              <w:footnoteReference w:id="3"/>
            </w:r>
            <w:r>
              <w:t xml:space="preserve"> The rate of tax often includes </w:t>
            </w:r>
            <w:r w:rsidR="0028052A">
              <w:t xml:space="preserve">both </w:t>
            </w:r>
            <w:r w:rsidR="00C17CBE">
              <w:t xml:space="preserve">state and </w:t>
            </w:r>
            <w:r>
              <w:t>local taxes.</w:t>
            </w:r>
          </w:p>
        </w:tc>
      </w:tr>
      <w:tr w:rsidR="00AE4C50" w14:paraId="5D8DADFE" w14:textId="77777777" w:rsidTr="00421B0C">
        <w:tc>
          <w:tcPr>
            <w:tcW w:w="2515" w:type="dxa"/>
            <w:vAlign w:val="center"/>
          </w:tcPr>
          <w:p w14:paraId="2CF70880" w14:textId="78672E8A" w:rsidR="00AE4C50" w:rsidRPr="00AE4C50" w:rsidRDefault="00AE4C50" w:rsidP="004B12FC">
            <w:pPr>
              <w:jc w:val="center"/>
              <w:rPr>
                <w:b/>
                <w:bCs/>
              </w:rPr>
            </w:pPr>
            <w:r w:rsidRPr="00AE4C50">
              <w:rPr>
                <w:b/>
                <w:bCs/>
              </w:rPr>
              <w:t>Use Tax</w:t>
            </w:r>
          </w:p>
        </w:tc>
        <w:tc>
          <w:tcPr>
            <w:tcW w:w="7699" w:type="dxa"/>
          </w:tcPr>
          <w:p w14:paraId="1C0DEEC5" w14:textId="76B4C084" w:rsidR="00AE4C50" w:rsidRDefault="00AE4C50" w:rsidP="00243FE5">
            <w:r>
              <w:t xml:space="preserve">A tax imposed </w:t>
            </w:r>
            <w:r w:rsidR="00D85A97">
              <w:t xml:space="preserve">on the buyer </w:t>
            </w:r>
            <w:r>
              <w:t>when the sales tax has not been collected or paid by the seller on a taxable transaction (sometimes called a “compensating use tax”</w:t>
            </w:r>
            <w:r w:rsidR="00C2237A">
              <w:t>).</w:t>
            </w:r>
            <w:r>
              <w:t xml:space="preserve"> </w:t>
            </w:r>
            <w:r w:rsidR="00D85A97">
              <w:t xml:space="preserve">The tax rate is generally the same </w:t>
            </w:r>
            <w:r w:rsidR="000E4E3C">
              <w:t xml:space="preserve">as the </w:t>
            </w:r>
            <w:r>
              <w:t>applicable sales tax</w:t>
            </w:r>
            <w:r w:rsidR="00A85FA7">
              <w:t xml:space="preserve">. The tax may also be imposed on </w:t>
            </w:r>
            <w:r w:rsidR="00390BE1">
              <w:t>items imported into the state, with a credit for any sales or use tax paid to another state.</w:t>
            </w:r>
          </w:p>
        </w:tc>
      </w:tr>
      <w:tr w:rsidR="00AE4C50" w14:paraId="04885D59" w14:textId="77777777" w:rsidTr="00421B0C">
        <w:tc>
          <w:tcPr>
            <w:tcW w:w="2515" w:type="dxa"/>
            <w:vAlign w:val="center"/>
          </w:tcPr>
          <w:p w14:paraId="2830F778" w14:textId="5E8A4D30" w:rsidR="00AE4C50" w:rsidRPr="00AE4C50" w:rsidRDefault="00AE4C50" w:rsidP="004B12FC">
            <w:pPr>
              <w:jc w:val="center"/>
              <w:rPr>
                <w:b/>
                <w:bCs/>
              </w:rPr>
            </w:pPr>
            <w:r>
              <w:rPr>
                <w:b/>
                <w:bCs/>
              </w:rPr>
              <w:t xml:space="preserve">Seller </w:t>
            </w:r>
            <w:r w:rsidR="00E0590B">
              <w:rPr>
                <w:b/>
                <w:bCs/>
              </w:rPr>
              <w:t>and</w:t>
            </w:r>
            <w:r>
              <w:rPr>
                <w:b/>
                <w:bCs/>
              </w:rPr>
              <w:t xml:space="preserve"> Sale</w:t>
            </w:r>
            <w:r w:rsidR="00E0590B">
              <w:rPr>
                <w:b/>
                <w:bCs/>
              </w:rPr>
              <w:t xml:space="preserve"> - Generally</w:t>
            </w:r>
          </w:p>
        </w:tc>
        <w:tc>
          <w:tcPr>
            <w:tcW w:w="7699" w:type="dxa"/>
          </w:tcPr>
          <w:p w14:paraId="799281BE" w14:textId="6336C5DD" w:rsidR="00AE4C50" w:rsidRDefault="00D74D3D" w:rsidP="00243FE5">
            <w:r>
              <w:t xml:space="preserve">When used generally in the context of the sales tax, these terms include any </w:t>
            </w:r>
            <w:r w:rsidR="00AE4C50">
              <w:t>person</w:t>
            </w:r>
            <w:r w:rsidR="00E0590B">
              <w:t xml:space="preserve"> that </w:t>
            </w:r>
            <w:r w:rsidR="00330F0C">
              <w:t xml:space="preserve">provides </w:t>
            </w:r>
            <w:r>
              <w:t xml:space="preserve">items (goods, services, intangibles, etc.) </w:t>
            </w:r>
            <w:r w:rsidR="00330F0C">
              <w:t>to a customer</w:t>
            </w:r>
            <w:r w:rsidR="00E0590B">
              <w:t xml:space="preserve"> and any type of transaction in which they are provide</w:t>
            </w:r>
            <w:r>
              <w:t>d (</w:t>
            </w:r>
            <w:r w:rsidR="00AE4C50">
              <w:t>sale, lease, license, subscription, etc.</w:t>
            </w:r>
            <w:r>
              <w:t>)</w:t>
            </w:r>
            <w:r w:rsidR="00F40E27">
              <w:t>.</w:t>
            </w:r>
          </w:p>
        </w:tc>
      </w:tr>
      <w:tr w:rsidR="004974A4" w14:paraId="72DAC09F" w14:textId="77777777" w:rsidTr="00421B0C">
        <w:tc>
          <w:tcPr>
            <w:tcW w:w="2515" w:type="dxa"/>
            <w:vAlign w:val="center"/>
          </w:tcPr>
          <w:p w14:paraId="7FC03FEE" w14:textId="07FA7933" w:rsidR="004974A4" w:rsidRDefault="004974A4" w:rsidP="004B12FC">
            <w:pPr>
              <w:jc w:val="center"/>
              <w:rPr>
                <w:b/>
                <w:bCs/>
              </w:rPr>
            </w:pPr>
            <w:r>
              <w:rPr>
                <w:b/>
                <w:bCs/>
              </w:rPr>
              <w:t>Business Activity or Gross Receipts Tax</w:t>
            </w:r>
          </w:p>
        </w:tc>
        <w:tc>
          <w:tcPr>
            <w:tcW w:w="7699" w:type="dxa"/>
          </w:tcPr>
          <w:p w14:paraId="0D618FEA" w14:textId="011284A7" w:rsidR="004974A4" w:rsidRDefault="004974A4" w:rsidP="00243FE5">
            <w:r>
              <w:t>A tax imposed on a business based on the total amount of its in-state transactions</w:t>
            </w:r>
            <w:r w:rsidR="00F40E27">
              <w:t xml:space="preserve"> (with or without certain exemptions)</w:t>
            </w:r>
            <w:r>
              <w:t xml:space="preserve">, typically </w:t>
            </w:r>
            <w:r w:rsidR="007513C7">
              <w:t xml:space="preserve">using </w:t>
            </w:r>
            <w:r>
              <w:t>a single tax rate.</w:t>
            </w:r>
            <w:r w:rsidR="0036461B">
              <w:t xml:space="preserve"> These taxes are typically not collected from the buyer.</w:t>
            </w:r>
          </w:p>
        </w:tc>
      </w:tr>
      <w:tr w:rsidR="004974A4" w14:paraId="5F2BCB69" w14:textId="77777777" w:rsidTr="00421B0C">
        <w:tc>
          <w:tcPr>
            <w:tcW w:w="2515" w:type="dxa"/>
            <w:vAlign w:val="center"/>
          </w:tcPr>
          <w:p w14:paraId="68A1D28F" w14:textId="1622E483" w:rsidR="004974A4" w:rsidRDefault="004974A4" w:rsidP="004B12FC">
            <w:pPr>
              <w:jc w:val="center"/>
              <w:rPr>
                <w:b/>
                <w:bCs/>
              </w:rPr>
            </w:pPr>
            <w:r>
              <w:rPr>
                <w:b/>
                <w:bCs/>
              </w:rPr>
              <w:t>Excise Tax</w:t>
            </w:r>
          </w:p>
        </w:tc>
        <w:tc>
          <w:tcPr>
            <w:tcW w:w="7699" w:type="dxa"/>
          </w:tcPr>
          <w:p w14:paraId="2317B29C" w14:textId="00F93FD2" w:rsidR="004974A4" w:rsidRDefault="004974A4" w:rsidP="004974A4">
            <w:r>
              <w:t xml:space="preserve">A </w:t>
            </w:r>
            <w:r w:rsidRPr="00D97937">
              <w:t xml:space="preserve">tax </w:t>
            </w:r>
            <w:r>
              <w:t xml:space="preserve">imposed only on </w:t>
            </w:r>
            <w:r w:rsidRPr="00F43421">
              <w:t xml:space="preserve">specific goods </w:t>
            </w:r>
            <w:r>
              <w:t>or</w:t>
            </w:r>
            <w:r w:rsidRPr="00F43421">
              <w:t xml:space="preserve"> services </w:t>
            </w:r>
            <w:r>
              <w:t>and which is separate from any general sales tax (e.g., taxes on alcohol, fuel, vehicles, etc.)</w:t>
            </w:r>
            <w:r w:rsidRPr="00F43421">
              <w:t xml:space="preserve">. </w:t>
            </w:r>
          </w:p>
        </w:tc>
      </w:tr>
      <w:tr w:rsidR="00AB49A6" w14:paraId="62536F58" w14:textId="77777777" w:rsidTr="00421B0C">
        <w:tc>
          <w:tcPr>
            <w:tcW w:w="2515" w:type="dxa"/>
            <w:vAlign w:val="center"/>
          </w:tcPr>
          <w:p w14:paraId="64C3234D" w14:textId="4F896DD4" w:rsidR="00AB49A6" w:rsidRDefault="00AB49A6" w:rsidP="004B12FC">
            <w:pPr>
              <w:jc w:val="center"/>
              <w:rPr>
                <w:b/>
                <w:bCs/>
              </w:rPr>
            </w:pPr>
            <w:r>
              <w:rPr>
                <w:b/>
                <w:bCs/>
              </w:rPr>
              <w:t>B2B</w:t>
            </w:r>
          </w:p>
        </w:tc>
        <w:tc>
          <w:tcPr>
            <w:tcW w:w="7699" w:type="dxa"/>
          </w:tcPr>
          <w:p w14:paraId="2D2E3FD4" w14:textId="1B7B55D1" w:rsidR="00AB49A6" w:rsidRDefault="001D176B" w:rsidP="004974A4">
            <w:r>
              <w:t>Refers</w:t>
            </w:r>
            <w:r w:rsidR="004209EB">
              <w:t xml:space="preserve"> broadly to transactions where the customer is a business and will use the item purchased in its business.</w:t>
            </w:r>
          </w:p>
        </w:tc>
      </w:tr>
    </w:tbl>
    <w:p w14:paraId="04CED653" w14:textId="77777777" w:rsidR="004B12FC" w:rsidRDefault="004B12FC">
      <w:pPr>
        <w:spacing w:line="278" w:lineRule="auto"/>
        <w:rPr>
          <w:rFonts w:eastAsiaTheme="majorEastAsia" w:cstheme="majorBidi"/>
          <w:b/>
          <w:color w:val="0F4761" w:themeColor="accent1" w:themeShade="BF"/>
          <w:sz w:val="36"/>
          <w:szCs w:val="40"/>
        </w:rPr>
      </w:pPr>
      <w:r>
        <w:br w:type="page"/>
      </w:r>
    </w:p>
    <w:p w14:paraId="2AB9014F" w14:textId="7D0B812E" w:rsidR="00793982" w:rsidRDefault="00793982" w:rsidP="00793982">
      <w:pPr>
        <w:pStyle w:val="Heading1"/>
      </w:pPr>
      <w:r>
        <w:lastRenderedPageBreak/>
        <w:t xml:space="preserve">Sales &amp; Use Tax </w:t>
      </w:r>
      <w:r w:rsidRPr="001C3874">
        <w:t>Framework</w:t>
      </w:r>
    </w:p>
    <w:p w14:paraId="1673F8C9" w14:textId="103535D0" w:rsidR="00793982" w:rsidRDefault="00B768A9" w:rsidP="00793982">
      <w:r>
        <w:t>S</w:t>
      </w:r>
      <w:r w:rsidR="00793982">
        <w:t xml:space="preserve">tate sales tax systems vary, including in the terminology they use, </w:t>
      </w:r>
      <w:r>
        <w:t xml:space="preserve">but </w:t>
      </w:r>
      <w:r w:rsidR="00793982">
        <w:t>there are also shared elements:</w:t>
      </w:r>
      <w:r w:rsidR="00194D07">
        <w:t xml:space="preserve"> </w:t>
      </w:r>
    </w:p>
    <w:tbl>
      <w:tblPr>
        <w:tblStyle w:val="TableGrid"/>
        <w:tblW w:w="0" w:type="auto"/>
        <w:tblCellMar>
          <w:top w:w="86" w:type="dxa"/>
          <w:bottom w:w="86" w:type="dxa"/>
        </w:tblCellMar>
        <w:tblLook w:val="04A0" w:firstRow="1" w:lastRow="0" w:firstColumn="1" w:lastColumn="0" w:noHBand="0" w:noVBand="1"/>
      </w:tblPr>
      <w:tblGrid>
        <w:gridCol w:w="2785"/>
        <w:gridCol w:w="7429"/>
      </w:tblGrid>
      <w:tr w:rsidR="00C17CBE" w14:paraId="414E807A" w14:textId="77777777" w:rsidTr="00E84985">
        <w:tc>
          <w:tcPr>
            <w:tcW w:w="2785" w:type="dxa"/>
            <w:shd w:val="clear" w:color="auto" w:fill="595959" w:themeFill="text1" w:themeFillTint="A6"/>
            <w:vAlign w:val="center"/>
          </w:tcPr>
          <w:p w14:paraId="56E88F39" w14:textId="204FB928" w:rsidR="00C17CBE" w:rsidRPr="00045493" w:rsidRDefault="00C17CBE" w:rsidP="001A653A">
            <w:pPr>
              <w:jc w:val="center"/>
              <w:rPr>
                <w:b/>
                <w:bCs/>
                <w:color w:val="FFFFFF" w:themeColor="background1"/>
                <w:sz w:val="28"/>
                <w:szCs w:val="28"/>
              </w:rPr>
            </w:pPr>
            <w:r w:rsidRPr="00045493">
              <w:rPr>
                <w:b/>
                <w:bCs/>
                <w:color w:val="FFFFFF" w:themeColor="background1"/>
                <w:sz w:val="28"/>
                <w:szCs w:val="28"/>
              </w:rPr>
              <w:t>Element</w:t>
            </w:r>
          </w:p>
        </w:tc>
        <w:tc>
          <w:tcPr>
            <w:tcW w:w="7429" w:type="dxa"/>
            <w:shd w:val="clear" w:color="auto" w:fill="595959" w:themeFill="text1" w:themeFillTint="A6"/>
          </w:tcPr>
          <w:p w14:paraId="32CB6E2D" w14:textId="6AEE0F5C" w:rsidR="00C17CBE" w:rsidRPr="00045493" w:rsidRDefault="001A653A" w:rsidP="00793982">
            <w:pPr>
              <w:rPr>
                <w:b/>
                <w:bCs/>
                <w:color w:val="FFFFFF" w:themeColor="background1"/>
                <w:sz w:val="28"/>
                <w:szCs w:val="28"/>
              </w:rPr>
            </w:pPr>
            <w:r w:rsidRPr="00045493">
              <w:rPr>
                <w:b/>
                <w:bCs/>
                <w:color w:val="FFFFFF" w:themeColor="background1"/>
                <w:sz w:val="28"/>
                <w:szCs w:val="28"/>
              </w:rPr>
              <w:t>How it Works:</w:t>
            </w:r>
          </w:p>
        </w:tc>
      </w:tr>
      <w:tr w:rsidR="005E1DCD" w14:paraId="493FF39B" w14:textId="77777777" w:rsidTr="00E84985">
        <w:tc>
          <w:tcPr>
            <w:tcW w:w="2785" w:type="dxa"/>
            <w:vAlign w:val="center"/>
          </w:tcPr>
          <w:p w14:paraId="00A0C3D6" w14:textId="0376963A" w:rsidR="005E1DCD" w:rsidRPr="00A81FDC" w:rsidRDefault="005E1DCD" w:rsidP="00474AE7">
            <w:pPr>
              <w:jc w:val="center"/>
              <w:rPr>
                <w:b/>
                <w:bCs/>
              </w:rPr>
            </w:pPr>
            <w:r w:rsidRPr="00A81FDC">
              <w:rPr>
                <w:b/>
                <w:bCs/>
              </w:rPr>
              <w:t>Legal Imposition</w:t>
            </w:r>
            <w:r w:rsidR="0023578B">
              <w:rPr>
                <w:b/>
                <w:bCs/>
              </w:rPr>
              <w:t xml:space="preserve"> </w:t>
            </w:r>
            <w:r w:rsidR="00636A0A">
              <w:rPr>
                <w:b/>
                <w:bCs/>
              </w:rPr>
              <w:t>&amp; General Definitions -</w:t>
            </w:r>
          </w:p>
        </w:tc>
        <w:tc>
          <w:tcPr>
            <w:tcW w:w="7429" w:type="dxa"/>
          </w:tcPr>
          <w:p w14:paraId="32859207" w14:textId="57985239" w:rsidR="005E1DCD" w:rsidRDefault="001A653A" w:rsidP="00793982">
            <w:r>
              <w:t xml:space="preserve">Tax laws generally start with </w:t>
            </w:r>
            <w:r w:rsidR="00057676">
              <w:t>a statute generally imposing</w:t>
            </w:r>
            <w:r>
              <w:t xml:space="preserve"> tax on certain events or activities conducted by certain taxpayers. Sales tax imposition statutes have t</w:t>
            </w:r>
            <w:r w:rsidR="00223765">
              <w:t>hree</w:t>
            </w:r>
            <w:r>
              <w:t xml:space="preserve"> </w:t>
            </w:r>
            <w:r w:rsidR="004A4223">
              <w:t xml:space="preserve">basic </w:t>
            </w:r>
            <w:r>
              <w:t>elements:</w:t>
            </w:r>
          </w:p>
        </w:tc>
      </w:tr>
      <w:tr w:rsidR="00790127" w14:paraId="0AF3E6FD" w14:textId="77777777" w:rsidTr="00E84985">
        <w:tc>
          <w:tcPr>
            <w:tcW w:w="2785" w:type="dxa"/>
            <w:vAlign w:val="center"/>
          </w:tcPr>
          <w:p w14:paraId="18F41591" w14:textId="61EE19C3" w:rsidR="00790127" w:rsidRPr="00E84985" w:rsidRDefault="00790127" w:rsidP="008606D8">
            <w:pPr>
              <w:pStyle w:val="ListParagraph"/>
              <w:numPr>
                <w:ilvl w:val="0"/>
                <w:numId w:val="28"/>
              </w:numPr>
              <w:jc w:val="right"/>
              <w:rPr>
                <w:b/>
                <w:bCs/>
              </w:rPr>
            </w:pPr>
            <w:r w:rsidRPr="00E84985">
              <w:rPr>
                <w:b/>
                <w:bCs/>
              </w:rPr>
              <w:t>Activities</w:t>
            </w:r>
          </w:p>
        </w:tc>
        <w:tc>
          <w:tcPr>
            <w:tcW w:w="7429" w:type="dxa"/>
          </w:tcPr>
          <w:p w14:paraId="66EC1BD0" w14:textId="59C3CA1B" w:rsidR="00790127" w:rsidRDefault="00F263F7" w:rsidP="00CC6693">
            <w:pPr>
              <w:ind w:left="432"/>
            </w:pPr>
            <w:r>
              <w:t>The</w:t>
            </w:r>
            <w:r w:rsidR="00165C2B">
              <w:t xml:space="preserve"> sales tax is </w:t>
            </w:r>
            <w:r>
              <w:t xml:space="preserve">typically </w:t>
            </w:r>
            <w:r w:rsidR="00165C2B">
              <w:t xml:space="preserve">imposed on transactions (sales, leases, etc.) involving tangible personal property and other specifically enumerated items. A minority of states impose the tax more broadly on </w:t>
            </w:r>
            <w:r>
              <w:t xml:space="preserve">all </w:t>
            </w:r>
            <w:r w:rsidR="00165C2B">
              <w:t>services and</w:t>
            </w:r>
            <w:r>
              <w:t>/or</w:t>
            </w:r>
            <w:r w:rsidR="00165C2B">
              <w:t xml:space="preserve"> intangibles.</w:t>
            </w:r>
          </w:p>
        </w:tc>
      </w:tr>
      <w:tr w:rsidR="00165C2B" w14:paraId="354EF51B" w14:textId="77777777" w:rsidTr="00E84985">
        <w:tc>
          <w:tcPr>
            <w:tcW w:w="2785" w:type="dxa"/>
            <w:vAlign w:val="center"/>
          </w:tcPr>
          <w:p w14:paraId="0961D1D9" w14:textId="3D3A0E3B" w:rsidR="00165C2B" w:rsidRPr="00E84985" w:rsidRDefault="00165C2B" w:rsidP="008606D8">
            <w:pPr>
              <w:pStyle w:val="ListParagraph"/>
              <w:numPr>
                <w:ilvl w:val="0"/>
                <w:numId w:val="28"/>
              </w:numPr>
              <w:jc w:val="right"/>
              <w:rPr>
                <w:b/>
                <w:bCs/>
              </w:rPr>
            </w:pPr>
            <w:r w:rsidRPr="00E84985">
              <w:rPr>
                <w:b/>
                <w:bCs/>
              </w:rPr>
              <w:t>T</w:t>
            </w:r>
            <w:r w:rsidR="002F18C7" w:rsidRPr="00E84985">
              <w:rPr>
                <w:b/>
                <w:bCs/>
              </w:rPr>
              <w:t>axpayers</w:t>
            </w:r>
          </w:p>
        </w:tc>
        <w:tc>
          <w:tcPr>
            <w:tcW w:w="7429" w:type="dxa"/>
          </w:tcPr>
          <w:p w14:paraId="08BC27C9" w14:textId="21841DF6" w:rsidR="00165C2B" w:rsidRDefault="00F263F7" w:rsidP="00CC6693">
            <w:pPr>
              <w:ind w:left="432"/>
            </w:pPr>
            <w:r w:rsidRPr="00FC72EA">
              <w:t xml:space="preserve">In most states, the </w:t>
            </w:r>
            <w:r>
              <w:t xml:space="preserve">sales </w:t>
            </w:r>
            <w:r w:rsidRPr="00FC72EA">
              <w:t xml:space="preserve">tax is </w:t>
            </w:r>
            <w:r w:rsidR="00A81FDC">
              <w:t xml:space="preserve">legally </w:t>
            </w:r>
            <w:r w:rsidRPr="00FC72EA">
              <w:t xml:space="preserve">imposed on the </w:t>
            </w:r>
            <w:r>
              <w:t>customer or buyer</w:t>
            </w:r>
            <w:r w:rsidR="004A4223">
              <w:t xml:space="preserve">, but will also contain provisions requiring the tax to be collected by the seller or other </w:t>
            </w:r>
            <w:r w:rsidRPr="00FC72EA">
              <w:t>intermediar</w:t>
            </w:r>
            <w:r w:rsidR="004A4223">
              <w:t>y</w:t>
            </w:r>
            <w:r>
              <w:t xml:space="preserve"> </w:t>
            </w:r>
            <w:r w:rsidR="004A4223">
              <w:t>(</w:t>
            </w:r>
            <w:r>
              <w:t>see below</w:t>
            </w:r>
            <w:r w:rsidRPr="00FC72EA">
              <w:t>)</w:t>
            </w:r>
            <w:r>
              <w:t>.</w:t>
            </w:r>
            <w:r w:rsidRPr="00FC72EA">
              <w:t xml:space="preserve"> </w:t>
            </w:r>
            <w:r>
              <w:t xml:space="preserve">A minority of </w:t>
            </w:r>
            <w:r w:rsidRPr="00FC72EA">
              <w:t>states impose</w:t>
            </w:r>
            <w:r>
              <w:t xml:space="preserve"> the sales tax</w:t>
            </w:r>
            <w:r w:rsidRPr="00FC72EA">
              <w:t xml:space="preserve"> on the seller</w:t>
            </w:r>
            <w:r>
              <w:t>.</w:t>
            </w:r>
          </w:p>
        </w:tc>
      </w:tr>
      <w:tr w:rsidR="00CE2853" w14:paraId="49C565CB" w14:textId="77777777" w:rsidTr="00E84985">
        <w:tc>
          <w:tcPr>
            <w:tcW w:w="2785" w:type="dxa"/>
            <w:vAlign w:val="center"/>
          </w:tcPr>
          <w:p w14:paraId="66575F1F" w14:textId="2832C374" w:rsidR="00CE2853" w:rsidRPr="00E84985" w:rsidRDefault="00CE2853" w:rsidP="008606D8">
            <w:pPr>
              <w:pStyle w:val="ListParagraph"/>
              <w:numPr>
                <w:ilvl w:val="0"/>
                <w:numId w:val="28"/>
              </w:numPr>
              <w:jc w:val="right"/>
              <w:rPr>
                <w:b/>
                <w:bCs/>
              </w:rPr>
            </w:pPr>
            <w:r w:rsidRPr="00E84985">
              <w:rPr>
                <w:b/>
                <w:bCs/>
              </w:rPr>
              <w:t>Exclusions</w:t>
            </w:r>
          </w:p>
        </w:tc>
        <w:tc>
          <w:tcPr>
            <w:tcW w:w="7429" w:type="dxa"/>
          </w:tcPr>
          <w:p w14:paraId="40E91B34" w14:textId="77777777" w:rsidR="00CE2853" w:rsidRDefault="00CE2853" w:rsidP="00CC6693">
            <w:pPr>
              <w:ind w:left="432"/>
            </w:pPr>
            <w:r>
              <w:t>Certain types of receipts or transactions may be explicitly excluded from transactions or amounts on which tax is generally imposed—e.g., certain service fees, interest, etc. These exclusions are typically broad and require no information from customers.</w:t>
            </w:r>
          </w:p>
        </w:tc>
      </w:tr>
      <w:tr w:rsidR="00DB00C8" w14:paraId="26B25F6F" w14:textId="77777777" w:rsidTr="00E84985">
        <w:tc>
          <w:tcPr>
            <w:tcW w:w="2785" w:type="dxa"/>
            <w:vAlign w:val="center"/>
          </w:tcPr>
          <w:p w14:paraId="386F090E" w14:textId="694BC256" w:rsidR="00DB00C8" w:rsidRPr="00A81FDC" w:rsidRDefault="00DB00C8" w:rsidP="00474AE7">
            <w:pPr>
              <w:jc w:val="center"/>
              <w:rPr>
                <w:b/>
                <w:bCs/>
              </w:rPr>
            </w:pPr>
            <w:r>
              <w:rPr>
                <w:b/>
                <w:bCs/>
              </w:rPr>
              <w:t>Sourcing Rules</w:t>
            </w:r>
          </w:p>
        </w:tc>
        <w:tc>
          <w:tcPr>
            <w:tcW w:w="7429" w:type="dxa"/>
          </w:tcPr>
          <w:p w14:paraId="16BB3379" w14:textId="51EE10CA" w:rsidR="00DB00C8" w:rsidRDefault="00DB00C8" w:rsidP="00793982">
            <w:r>
              <w:t xml:space="preserve">Because sales taxes include local rates, there must be specific rules for sourcing the sale </w:t>
            </w:r>
            <w:r w:rsidR="00E52FCE">
              <w:t>to a particular location. While interstate sales have typically been sourced to the location of the customer, there has been some variation among states on how in-state sales are sourced.</w:t>
            </w:r>
          </w:p>
        </w:tc>
      </w:tr>
      <w:tr w:rsidR="00A22203" w14:paraId="7F7659AD" w14:textId="77777777" w:rsidTr="00E84985">
        <w:tc>
          <w:tcPr>
            <w:tcW w:w="2785" w:type="dxa"/>
            <w:vAlign w:val="center"/>
          </w:tcPr>
          <w:p w14:paraId="1B7A7755" w14:textId="2B804581" w:rsidR="00A22203" w:rsidRDefault="00A22203" w:rsidP="00474AE7">
            <w:pPr>
              <w:jc w:val="center"/>
              <w:rPr>
                <w:b/>
                <w:bCs/>
              </w:rPr>
            </w:pPr>
            <w:r>
              <w:rPr>
                <w:b/>
                <w:bCs/>
              </w:rPr>
              <w:t>Exemptions</w:t>
            </w:r>
            <w:r w:rsidR="00A832DE">
              <w:rPr>
                <w:b/>
                <w:bCs/>
              </w:rPr>
              <w:t xml:space="preserve"> - Criteria</w:t>
            </w:r>
          </w:p>
        </w:tc>
        <w:tc>
          <w:tcPr>
            <w:tcW w:w="7429" w:type="dxa"/>
          </w:tcPr>
          <w:p w14:paraId="4440A7E8" w14:textId="6A54BFCE" w:rsidR="00A22203" w:rsidRDefault="00AB49A6" w:rsidP="00793982">
            <w:r>
              <w:t>States typically provide a number of exemptions</w:t>
            </w:r>
            <w:r w:rsidR="00063C0F">
              <w:t xml:space="preserve"> based on different types of criteria. </w:t>
            </w:r>
            <w:r w:rsidR="003B0829">
              <w:t xml:space="preserve">These exemptions often require buyer documentation—including exemption certificates. </w:t>
            </w:r>
          </w:p>
        </w:tc>
      </w:tr>
      <w:tr w:rsidR="007E333A" w14:paraId="59282159" w14:textId="77777777" w:rsidTr="00E84985">
        <w:tc>
          <w:tcPr>
            <w:tcW w:w="2785" w:type="dxa"/>
            <w:vAlign w:val="center"/>
          </w:tcPr>
          <w:p w14:paraId="200B0543" w14:textId="38CC652E" w:rsidR="007E333A" w:rsidRPr="00116823" w:rsidRDefault="007E333A" w:rsidP="008606D8">
            <w:pPr>
              <w:pStyle w:val="ListParagraph"/>
              <w:numPr>
                <w:ilvl w:val="0"/>
                <w:numId w:val="28"/>
              </w:numPr>
              <w:jc w:val="right"/>
              <w:rPr>
                <w:b/>
                <w:bCs/>
              </w:rPr>
            </w:pPr>
            <w:r w:rsidRPr="00116823">
              <w:rPr>
                <w:b/>
                <w:bCs/>
              </w:rPr>
              <w:t>Item</w:t>
            </w:r>
            <w:r w:rsidR="006433E3" w:rsidRPr="00116823">
              <w:rPr>
                <w:b/>
                <w:bCs/>
              </w:rPr>
              <w:t xml:space="preserve"> </w:t>
            </w:r>
          </w:p>
        </w:tc>
        <w:tc>
          <w:tcPr>
            <w:tcW w:w="7429" w:type="dxa"/>
          </w:tcPr>
          <w:p w14:paraId="61D590FD" w14:textId="4DBDF8D3" w:rsidR="007E333A" w:rsidRDefault="007E333A" w:rsidP="00793982">
            <w:r>
              <w:t xml:space="preserve">Exemptions based on </w:t>
            </w:r>
            <w:r w:rsidR="001A073C">
              <w:t>the nature of the</w:t>
            </w:r>
            <w:r>
              <w:t xml:space="preserve"> </w:t>
            </w:r>
            <w:r w:rsidR="006433E3">
              <w:t>item.</w:t>
            </w:r>
          </w:p>
        </w:tc>
      </w:tr>
      <w:tr w:rsidR="008606D8" w14:paraId="4858157E" w14:textId="77777777" w:rsidTr="00E84985">
        <w:tc>
          <w:tcPr>
            <w:tcW w:w="2785" w:type="dxa"/>
            <w:vAlign w:val="center"/>
          </w:tcPr>
          <w:p w14:paraId="5EFDEE0E" w14:textId="34945875" w:rsidR="008606D8" w:rsidRPr="00116823" w:rsidRDefault="008606D8" w:rsidP="00E22161">
            <w:pPr>
              <w:pStyle w:val="ListParagraph"/>
              <w:numPr>
                <w:ilvl w:val="0"/>
                <w:numId w:val="28"/>
              </w:numPr>
              <w:jc w:val="right"/>
              <w:rPr>
                <w:b/>
                <w:bCs/>
              </w:rPr>
            </w:pPr>
            <w:r>
              <w:rPr>
                <w:b/>
                <w:bCs/>
              </w:rPr>
              <w:t>Transaction</w:t>
            </w:r>
          </w:p>
        </w:tc>
        <w:tc>
          <w:tcPr>
            <w:tcW w:w="7429" w:type="dxa"/>
          </w:tcPr>
          <w:p w14:paraId="4EA26DB8" w14:textId="7AB07935" w:rsidR="008606D8" w:rsidRDefault="00DF1817" w:rsidP="00793982">
            <w:r>
              <w:t xml:space="preserve">Exemptions based on the nature of the transaction. </w:t>
            </w:r>
          </w:p>
        </w:tc>
      </w:tr>
      <w:tr w:rsidR="0015480D" w14:paraId="08865F3D" w14:textId="77777777" w:rsidTr="00E84985">
        <w:tc>
          <w:tcPr>
            <w:tcW w:w="2785" w:type="dxa"/>
            <w:vAlign w:val="center"/>
          </w:tcPr>
          <w:p w14:paraId="013C1084" w14:textId="7FE9B7BB" w:rsidR="0015480D" w:rsidRPr="00E22161" w:rsidRDefault="00617D5C" w:rsidP="00E22161">
            <w:pPr>
              <w:pStyle w:val="ListParagraph"/>
              <w:numPr>
                <w:ilvl w:val="0"/>
                <w:numId w:val="28"/>
              </w:numPr>
              <w:jc w:val="right"/>
              <w:rPr>
                <w:b/>
                <w:bCs/>
              </w:rPr>
            </w:pPr>
            <w:r w:rsidRPr="00E22161">
              <w:rPr>
                <w:b/>
                <w:bCs/>
              </w:rPr>
              <w:t>Buyer</w:t>
            </w:r>
          </w:p>
        </w:tc>
        <w:tc>
          <w:tcPr>
            <w:tcW w:w="7429" w:type="dxa"/>
          </w:tcPr>
          <w:p w14:paraId="78524DFA" w14:textId="5F9F252C" w:rsidR="0015480D" w:rsidRDefault="007E333A" w:rsidP="00793982">
            <w:r>
              <w:t xml:space="preserve">Exemptions based on </w:t>
            </w:r>
            <w:r w:rsidR="001A073C">
              <w:t>who</w:t>
            </w:r>
            <w:r>
              <w:t xml:space="preserve"> the buyer or customer of the transaction is.</w:t>
            </w:r>
          </w:p>
        </w:tc>
      </w:tr>
      <w:tr w:rsidR="00617D5C" w14:paraId="314D887A" w14:textId="77777777" w:rsidTr="00E84985">
        <w:tc>
          <w:tcPr>
            <w:tcW w:w="2785" w:type="dxa"/>
            <w:vAlign w:val="center"/>
          </w:tcPr>
          <w:p w14:paraId="071A78FF" w14:textId="27EA6ACE" w:rsidR="00617D5C" w:rsidRPr="00E22161" w:rsidRDefault="007E333A" w:rsidP="00E22161">
            <w:pPr>
              <w:pStyle w:val="ListParagraph"/>
              <w:numPr>
                <w:ilvl w:val="0"/>
                <w:numId w:val="28"/>
              </w:numPr>
              <w:jc w:val="right"/>
              <w:rPr>
                <w:b/>
                <w:bCs/>
              </w:rPr>
            </w:pPr>
            <w:r w:rsidRPr="00E22161">
              <w:rPr>
                <w:b/>
                <w:bCs/>
              </w:rPr>
              <w:t>Use</w:t>
            </w:r>
          </w:p>
        </w:tc>
        <w:tc>
          <w:tcPr>
            <w:tcW w:w="7429" w:type="dxa"/>
          </w:tcPr>
          <w:p w14:paraId="1DA07FA4" w14:textId="5F75BBD9" w:rsidR="00617D5C" w:rsidRDefault="007E333A" w:rsidP="00793982">
            <w:r>
              <w:t xml:space="preserve">Exemptions based on how the </w:t>
            </w:r>
            <w:r w:rsidR="00381830">
              <w:t xml:space="preserve">buyer will use the </w:t>
            </w:r>
            <w:r>
              <w:t>item.</w:t>
            </w:r>
          </w:p>
        </w:tc>
      </w:tr>
      <w:tr w:rsidR="00063C0F" w14:paraId="2428FF7B" w14:textId="77777777" w:rsidTr="00E84985">
        <w:tc>
          <w:tcPr>
            <w:tcW w:w="2785" w:type="dxa"/>
            <w:vAlign w:val="center"/>
          </w:tcPr>
          <w:p w14:paraId="44408074" w14:textId="10E3F1D0" w:rsidR="00063C0F" w:rsidRPr="00E22161" w:rsidRDefault="00A832DE" w:rsidP="00E22161">
            <w:pPr>
              <w:pStyle w:val="ListParagraph"/>
              <w:numPr>
                <w:ilvl w:val="0"/>
                <w:numId w:val="28"/>
              </w:numPr>
              <w:jc w:val="right"/>
              <w:rPr>
                <w:b/>
                <w:bCs/>
              </w:rPr>
            </w:pPr>
            <w:r w:rsidRPr="00E22161">
              <w:rPr>
                <w:b/>
                <w:bCs/>
              </w:rPr>
              <w:t>Other</w:t>
            </w:r>
          </w:p>
        </w:tc>
        <w:tc>
          <w:tcPr>
            <w:tcW w:w="7429" w:type="dxa"/>
          </w:tcPr>
          <w:p w14:paraId="798CA87F" w14:textId="43937812" w:rsidR="00063C0F" w:rsidRDefault="00A832DE" w:rsidP="00793982">
            <w:r>
              <w:t>Exemptions based on other criteria such as tax holidays.</w:t>
            </w:r>
          </w:p>
        </w:tc>
      </w:tr>
      <w:tr w:rsidR="00A832DE" w14:paraId="748D77C9" w14:textId="77777777" w:rsidTr="00E84985">
        <w:tc>
          <w:tcPr>
            <w:tcW w:w="2785" w:type="dxa"/>
            <w:vAlign w:val="center"/>
          </w:tcPr>
          <w:p w14:paraId="13827214" w14:textId="019E171E" w:rsidR="00A832DE" w:rsidRPr="00E22161" w:rsidRDefault="00A832DE" w:rsidP="00E22161">
            <w:pPr>
              <w:pStyle w:val="ListParagraph"/>
              <w:numPr>
                <w:ilvl w:val="0"/>
                <w:numId w:val="28"/>
              </w:numPr>
              <w:jc w:val="right"/>
              <w:rPr>
                <w:b/>
                <w:bCs/>
              </w:rPr>
            </w:pPr>
            <w:r w:rsidRPr="00E22161">
              <w:rPr>
                <w:b/>
                <w:bCs/>
              </w:rPr>
              <w:t>Multiple</w:t>
            </w:r>
          </w:p>
        </w:tc>
        <w:tc>
          <w:tcPr>
            <w:tcW w:w="7429" w:type="dxa"/>
          </w:tcPr>
          <w:p w14:paraId="0E5F2EA7" w14:textId="3A96D9CE" w:rsidR="00A832DE" w:rsidRDefault="00224B98" w:rsidP="00793982">
            <w:r>
              <w:t xml:space="preserve">Exemptions based on two or more criteria. </w:t>
            </w:r>
          </w:p>
        </w:tc>
      </w:tr>
      <w:tr w:rsidR="00615185" w14:paraId="2250AF7E" w14:textId="77777777" w:rsidTr="00E84985">
        <w:tc>
          <w:tcPr>
            <w:tcW w:w="2785" w:type="dxa"/>
            <w:vAlign w:val="center"/>
          </w:tcPr>
          <w:p w14:paraId="2F3EA047" w14:textId="77777777" w:rsidR="00615185" w:rsidRPr="00A81FDC" w:rsidRDefault="00615185" w:rsidP="00474AE7">
            <w:pPr>
              <w:jc w:val="center"/>
              <w:rPr>
                <w:b/>
                <w:bCs/>
              </w:rPr>
            </w:pPr>
            <w:r w:rsidRPr="00A81FDC">
              <w:rPr>
                <w:b/>
                <w:bCs/>
              </w:rPr>
              <w:lastRenderedPageBreak/>
              <w:t>Tax Rates</w:t>
            </w:r>
          </w:p>
        </w:tc>
        <w:tc>
          <w:tcPr>
            <w:tcW w:w="7429" w:type="dxa"/>
          </w:tcPr>
          <w:p w14:paraId="1097958B" w14:textId="77777777" w:rsidR="00615185" w:rsidRDefault="00615185" w:rsidP="00EA057C">
            <w:r>
              <w:t>Sales and use tax rates may include both state and local government taxes, which are generally combined and charged and collected in a single amount. States then distribute the tax to local governments.</w:t>
            </w:r>
          </w:p>
        </w:tc>
      </w:tr>
      <w:tr w:rsidR="005E1DCD" w14:paraId="1CBEC4A8" w14:textId="77777777" w:rsidTr="00E84985">
        <w:tc>
          <w:tcPr>
            <w:tcW w:w="2785" w:type="dxa"/>
            <w:vAlign w:val="center"/>
          </w:tcPr>
          <w:p w14:paraId="1DB8316B" w14:textId="67D4CB12" w:rsidR="005E1DCD" w:rsidRPr="00A81FDC" w:rsidRDefault="001704A7" w:rsidP="00474AE7">
            <w:pPr>
              <w:jc w:val="center"/>
              <w:rPr>
                <w:b/>
                <w:bCs/>
              </w:rPr>
            </w:pPr>
            <w:r w:rsidRPr="00A81FDC">
              <w:rPr>
                <w:b/>
                <w:bCs/>
              </w:rPr>
              <w:t>Credit for Tax Paid</w:t>
            </w:r>
          </w:p>
        </w:tc>
        <w:tc>
          <w:tcPr>
            <w:tcW w:w="7429" w:type="dxa"/>
          </w:tcPr>
          <w:p w14:paraId="3E4CA0BA" w14:textId="033673D7" w:rsidR="005E1DCD" w:rsidRDefault="0023578B" w:rsidP="00793982">
            <w:r>
              <w:t>Buyers who owe use tax in a state for items acquired outside that state can claim a credit against that tax for sales or use tax properly collected or paid to another state.</w:t>
            </w:r>
          </w:p>
        </w:tc>
      </w:tr>
    </w:tbl>
    <w:p w14:paraId="7AC56D5D" w14:textId="77777777" w:rsidR="0023578B" w:rsidRDefault="0023578B">
      <w:pPr>
        <w:spacing w:line="278" w:lineRule="auto"/>
        <w:rPr>
          <w:rFonts w:eastAsiaTheme="majorEastAsia" w:cstheme="majorBidi"/>
          <w:b/>
          <w:color w:val="0F4761" w:themeColor="accent1" w:themeShade="BF"/>
          <w:sz w:val="36"/>
          <w:szCs w:val="40"/>
        </w:rPr>
      </w:pPr>
      <w:r>
        <w:br w:type="page"/>
      </w:r>
    </w:p>
    <w:p w14:paraId="32DF6D47" w14:textId="2A0E0406" w:rsidR="005A2A32" w:rsidRDefault="00004DDF" w:rsidP="00004DDF">
      <w:pPr>
        <w:pStyle w:val="Heading1"/>
      </w:pPr>
      <w:r>
        <w:lastRenderedPageBreak/>
        <w:t xml:space="preserve">Sales Tax Framework </w:t>
      </w:r>
    </w:p>
    <w:p w14:paraId="293B7C7E" w14:textId="23444303" w:rsidR="00004DDF" w:rsidRDefault="005A2A32" w:rsidP="00004DDF">
      <w:pPr>
        <w:pStyle w:val="Heading1"/>
      </w:pPr>
      <w:r>
        <w:rPr>
          <w:noProof/>
        </w:rPr>
        <w:drawing>
          <wp:inline distT="0" distB="0" distL="0" distR="0" wp14:anchorId="0CCBA1AF" wp14:editId="4ACCCBA3">
            <wp:extent cx="5486400" cy="3200400"/>
            <wp:effectExtent l="0" t="0" r="0" b="0"/>
            <wp:docPr id="707617277"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004DDF">
        <w:br w:type="page"/>
      </w:r>
    </w:p>
    <w:p w14:paraId="2AEAB729" w14:textId="77777777" w:rsidR="00004DDF" w:rsidRDefault="00004DDF">
      <w:pPr>
        <w:spacing w:line="278" w:lineRule="auto"/>
        <w:rPr>
          <w:rFonts w:eastAsiaTheme="majorEastAsia" w:cstheme="majorBidi"/>
          <w:b/>
          <w:color w:val="0F4761" w:themeColor="accent1" w:themeShade="BF"/>
          <w:sz w:val="36"/>
          <w:szCs w:val="40"/>
        </w:rPr>
      </w:pPr>
    </w:p>
    <w:p w14:paraId="5F6BA2A2" w14:textId="2723F35A" w:rsidR="0058338D" w:rsidRDefault="0058338D" w:rsidP="0058338D">
      <w:pPr>
        <w:pStyle w:val="Heading1"/>
      </w:pPr>
      <w:r>
        <w:t>Executive Summary</w:t>
      </w:r>
    </w:p>
    <w:p w14:paraId="7CA144EA" w14:textId="27194B17" w:rsidR="001A4FAE" w:rsidRDefault="001A4FAE" w:rsidP="0058338D">
      <w:r>
        <w:t xml:space="preserve">It is not possible to make this white paper a definitive “snapshot” in time of the detailed treatment by all states of digital products under their different tax systems. </w:t>
      </w:r>
    </w:p>
    <w:p w14:paraId="77B5FA04" w14:textId="1D9873DA" w:rsidR="0058338D" w:rsidRDefault="0032345E" w:rsidP="0058338D">
      <w:r>
        <w:t xml:space="preserve">What the white paper does and does not cover: </w:t>
      </w:r>
    </w:p>
    <w:p w14:paraId="58DA1E99" w14:textId="1F3FF14D" w:rsidR="00F7656B" w:rsidRDefault="00F7656B" w:rsidP="0058338D">
      <w:r>
        <w:t xml:space="preserve">Topics addressed: </w:t>
      </w:r>
    </w:p>
    <w:p w14:paraId="19EEB5F2" w14:textId="77777777" w:rsidR="00F7656B" w:rsidRDefault="00F7656B" w:rsidP="0058338D"/>
    <w:p w14:paraId="67067EAF" w14:textId="484948C7" w:rsidR="00F7656B" w:rsidRDefault="00F7656B" w:rsidP="0058338D">
      <w:r>
        <w:t>Topics not addressed:</w:t>
      </w:r>
    </w:p>
    <w:p w14:paraId="3C53822A" w14:textId="0B50422D" w:rsidR="00DE1787" w:rsidRDefault="00DE1787" w:rsidP="00DE1787">
      <w:pPr>
        <w:pStyle w:val="ListParagraph"/>
        <w:numPr>
          <w:ilvl w:val="0"/>
          <w:numId w:val="27"/>
        </w:numPr>
      </w:pPr>
      <w:r>
        <w:t>Details of exactly how states currently define</w:t>
      </w:r>
      <w:r w:rsidR="003D2434">
        <w:t xml:space="preserve"> (and interpret their definitions)</w:t>
      </w:r>
      <w:r>
        <w:t xml:space="preserve"> or</w:t>
      </w:r>
      <w:r w:rsidR="003D2434">
        <w:t xml:space="preserve"> actually</w:t>
      </w:r>
      <w:r w:rsidR="00194D07">
        <w:t xml:space="preserve"> </w:t>
      </w:r>
      <w:r>
        <w:t xml:space="preserve">tax </w:t>
      </w:r>
      <w:r w:rsidR="003D2434">
        <w:t>(after considering exemptions) particular</w:t>
      </w:r>
      <w:r>
        <w:t xml:space="preserve"> digital items—</w:t>
      </w:r>
    </w:p>
    <w:p w14:paraId="0EBB3DD7" w14:textId="01A9C8FA" w:rsidR="00DE1787" w:rsidRDefault="00DE1787" w:rsidP="00DE1787">
      <w:pPr>
        <w:pStyle w:val="ListParagraph"/>
        <w:numPr>
          <w:ilvl w:val="1"/>
          <w:numId w:val="27"/>
        </w:numPr>
      </w:pPr>
      <w:r>
        <w:t>This is the realm of the CSPs – which states work with to provide taxpayers with detailed information</w:t>
      </w:r>
    </w:p>
    <w:p w14:paraId="4CEB2623" w14:textId="5BCEDCCD" w:rsidR="00DE1787" w:rsidRDefault="00C86785" w:rsidP="00DE1787">
      <w:pPr>
        <w:pStyle w:val="ListParagraph"/>
        <w:numPr>
          <w:ilvl w:val="1"/>
          <w:numId w:val="27"/>
        </w:numPr>
      </w:pPr>
      <w:r>
        <w:t xml:space="preserve">Products change and this may impact the application of definitions. </w:t>
      </w:r>
    </w:p>
    <w:p w14:paraId="58EBF099" w14:textId="77777777" w:rsidR="009512B5" w:rsidRDefault="009512B5" w:rsidP="00B20162">
      <w:pPr>
        <w:pStyle w:val="ListParagraph"/>
        <w:numPr>
          <w:ilvl w:val="0"/>
          <w:numId w:val="27"/>
        </w:numPr>
      </w:pPr>
      <w:r>
        <w:t>Other tax base issues</w:t>
      </w:r>
    </w:p>
    <w:p w14:paraId="61677E0F" w14:textId="0C985198" w:rsidR="00F7656B" w:rsidRDefault="00EF70E5" w:rsidP="009512B5">
      <w:pPr>
        <w:pStyle w:val="ListParagraph"/>
        <w:numPr>
          <w:ilvl w:val="1"/>
          <w:numId w:val="27"/>
        </w:numPr>
      </w:pPr>
      <w:r>
        <w:t>Whether traditional services should be in the tax base</w:t>
      </w:r>
      <w:r w:rsidR="00C86785">
        <w:t xml:space="preserve"> (instead we assume that states will choose not to—see the proposed definition)</w:t>
      </w:r>
    </w:p>
    <w:p w14:paraId="58BF5446" w14:textId="0418E532" w:rsidR="009512B5" w:rsidRDefault="009512B5" w:rsidP="009512B5">
      <w:pPr>
        <w:pStyle w:val="ListParagraph"/>
        <w:numPr>
          <w:ilvl w:val="1"/>
          <w:numId w:val="27"/>
        </w:numPr>
      </w:pPr>
      <w:r>
        <w:t xml:space="preserve">Whether sales taxes should also </w:t>
      </w:r>
      <w:r w:rsidR="00FB31EB">
        <w:t>include items subject to other excise taxes</w:t>
      </w:r>
    </w:p>
    <w:p w14:paraId="5C1BB393" w14:textId="167E846E" w:rsidR="00373643" w:rsidRDefault="00373643" w:rsidP="00B20162">
      <w:pPr>
        <w:pStyle w:val="ListParagraph"/>
        <w:numPr>
          <w:ilvl w:val="0"/>
          <w:numId w:val="27"/>
        </w:numPr>
      </w:pPr>
      <w:r>
        <w:t xml:space="preserve">Exemptions </w:t>
      </w:r>
      <w:r w:rsidR="006C438D">
        <w:t>other than those covered above</w:t>
      </w:r>
    </w:p>
    <w:p w14:paraId="6D03E900" w14:textId="1947D70F" w:rsidR="00D47A50" w:rsidRDefault="00D47A50" w:rsidP="00373643">
      <w:pPr>
        <w:pStyle w:val="ListParagraph"/>
        <w:numPr>
          <w:ilvl w:val="1"/>
          <w:numId w:val="27"/>
        </w:numPr>
      </w:pPr>
      <w:r>
        <w:t xml:space="preserve">Whether </w:t>
      </w:r>
      <w:r w:rsidR="00373643">
        <w:t>exemptions for particular activities or items are useful incentives</w:t>
      </w:r>
    </w:p>
    <w:p w14:paraId="3A21DE09" w14:textId="0967A86C" w:rsidR="00373643" w:rsidRDefault="00373643" w:rsidP="00373643">
      <w:pPr>
        <w:pStyle w:val="ListParagraph"/>
        <w:numPr>
          <w:ilvl w:val="1"/>
          <w:numId w:val="27"/>
        </w:numPr>
      </w:pPr>
      <w:r>
        <w:t>Whether excluding certain items an effective way of reducing regressivity</w:t>
      </w:r>
    </w:p>
    <w:p w14:paraId="46C3E520" w14:textId="77777777" w:rsidR="00177397" w:rsidRDefault="00177397" w:rsidP="00FB31EB">
      <w:pPr>
        <w:pStyle w:val="ListParagraph"/>
        <w:numPr>
          <w:ilvl w:val="0"/>
          <w:numId w:val="27"/>
        </w:numPr>
      </w:pPr>
    </w:p>
    <w:p w14:paraId="1A13E109" w14:textId="77777777" w:rsidR="00EF70E5" w:rsidRDefault="00EF70E5" w:rsidP="0058338D"/>
    <w:p w14:paraId="51681BF7" w14:textId="77777777" w:rsidR="0058338D" w:rsidRDefault="0058338D" w:rsidP="0058338D"/>
    <w:p w14:paraId="528E629C" w14:textId="77777777" w:rsidR="0058338D" w:rsidRDefault="0058338D" w:rsidP="0058338D"/>
    <w:p w14:paraId="68187F98" w14:textId="77777777" w:rsidR="0058338D" w:rsidRDefault="0058338D" w:rsidP="0058338D"/>
    <w:p w14:paraId="54CB0F44" w14:textId="0D15772D" w:rsidR="0058338D" w:rsidRDefault="0058338D">
      <w:pPr>
        <w:spacing w:line="278" w:lineRule="auto"/>
      </w:pPr>
      <w:r>
        <w:br w:type="page"/>
      </w:r>
    </w:p>
    <w:p w14:paraId="0B89BA2A" w14:textId="4602A4A9" w:rsidR="0058338D" w:rsidRPr="0058338D" w:rsidRDefault="00B96167" w:rsidP="0037024F">
      <w:pPr>
        <w:pStyle w:val="Heading1"/>
      </w:pPr>
      <w:r>
        <w:lastRenderedPageBreak/>
        <w:t>Key Take-Aways</w:t>
      </w:r>
    </w:p>
    <w:p w14:paraId="3AFEA448" w14:textId="77777777" w:rsidR="0058338D" w:rsidRDefault="0058338D" w:rsidP="0058338D">
      <w:pPr>
        <w:pStyle w:val="Heading1"/>
      </w:pPr>
    </w:p>
    <w:p w14:paraId="237F31FB" w14:textId="77777777" w:rsidR="0058338D" w:rsidRDefault="0058338D" w:rsidP="0058338D">
      <w:pPr>
        <w:pStyle w:val="Heading1"/>
      </w:pPr>
    </w:p>
    <w:p w14:paraId="4CC186C0" w14:textId="77777777" w:rsidR="0058338D" w:rsidRDefault="0058338D" w:rsidP="0058338D">
      <w:pPr>
        <w:pStyle w:val="Heading1"/>
      </w:pPr>
    </w:p>
    <w:p w14:paraId="46A5158B" w14:textId="77777777" w:rsidR="0058338D" w:rsidRDefault="0058338D" w:rsidP="0058338D">
      <w:pPr>
        <w:pStyle w:val="Heading1"/>
      </w:pPr>
    </w:p>
    <w:p w14:paraId="476E553A" w14:textId="5D239FE2" w:rsidR="00F43421" w:rsidRDefault="00F43421" w:rsidP="008A569F">
      <w:pPr>
        <w:pStyle w:val="Heading1"/>
      </w:pPr>
      <w:r>
        <w:br w:type="page"/>
      </w:r>
    </w:p>
    <w:p w14:paraId="35C5ADA1" w14:textId="3F0FC057" w:rsidR="00F43421" w:rsidRPr="00DE21CC" w:rsidRDefault="001F7B5F" w:rsidP="00E717AB">
      <w:pPr>
        <w:pStyle w:val="Heading1"/>
      </w:pPr>
      <w:r>
        <w:lastRenderedPageBreak/>
        <w:t>Sales Taxes are a Product of</w:t>
      </w:r>
      <w:r w:rsidR="00EE138C">
        <w:t xml:space="preserve"> History</w:t>
      </w:r>
    </w:p>
    <w:p w14:paraId="294E3BC8" w14:textId="6CE3E870" w:rsidR="00FC0515" w:rsidRPr="00975B18" w:rsidRDefault="00FC0515" w:rsidP="00FC0515">
      <w:r w:rsidRPr="00975B18">
        <w:t xml:space="preserve">All but five states—Alaska, Delaware, Montana, New Hampshire, and Oregon—have imposed a state-level </w:t>
      </w:r>
      <w:r w:rsidR="00C65113">
        <w:t xml:space="preserve">general </w:t>
      </w:r>
      <w:r w:rsidRPr="00975B18">
        <w:t xml:space="preserve">sales tax. (In Alaska, the tax is imposed only by local governments.) Even these five states (and their local governments) impose narrower excise taxes on certain goods and services—e.g., fuel taxes, tobacco and alcohol taxes, lodging taxes, and utility taxes. </w:t>
      </w:r>
    </w:p>
    <w:p w14:paraId="4AD7864F" w14:textId="53994A87" w:rsidR="001F45A6" w:rsidRDefault="00F81B22" w:rsidP="00EE138C">
      <w:r>
        <w:t>S</w:t>
      </w:r>
      <w:r w:rsidR="00504C97">
        <w:t>tate</w:t>
      </w:r>
      <w:r w:rsidR="00766F9A">
        <w:t xml:space="preserve"> and local</w:t>
      </w:r>
      <w:r w:rsidR="00504C97">
        <w:t xml:space="preserve"> </w:t>
      </w:r>
      <w:r w:rsidR="00732137">
        <w:t>sales</w:t>
      </w:r>
      <w:r>
        <w:t xml:space="preserve"> </w:t>
      </w:r>
      <w:r w:rsidR="008C18C6">
        <w:t xml:space="preserve">taxes </w:t>
      </w:r>
      <w:r w:rsidR="003C3D8E">
        <w:t xml:space="preserve">have a </w:t>
      </w:r>
      <w:r>
        <w:t xml:space="preserve">unique history </w:t>
      </w:r>
      <w:r w:rsidR="00E3726A">
        <w:t xml:space="preserve">which continues to </w:t>
      </w:r>
      <w:r w:rsidR="003C3D8E">
        <w:t>influence their development</w:t>
      </w:r>
      <w:r w:rsidR="00E3726A">
        <w:t xml:space="preserve">. </w:t>
      </w:r>
      <w:r w:rsidR="003C3D8E">
        <w:t>This section highlights some important parts of that history</w:t>
      </w:r>
    </w:p>
    <w:p w14:paraId="7FE4737C" w14:textId="1ABAAB2E" w:rsidR="00BB6183" w:rsidRDefault="00BB6183" w:rsidP="008247D7">
      <w:pPr>
        <w:pStyle w:val="Heading2"/>
      </w:pPr>
      <w:r w:rsidRPr="00BB6183">
        <w:t xml:space="preserve">Early </w:t>
      </w:r>
      <w:r w:rsidR="00202494">
        <w:t>20</w:t>
      </w:r>
      <w:r w:rsidR="00202494" w:rsidRPr="00202494">
        <w:rPr>
          <w:vertAlign w:val="superscript"/>
        </w:rPr>
        <w:t>th</w:t>
      </w:r>
      <w:r w:rsidR="00202494">
        <w:t xml:space="preserve"> </w:t>
      </w:r>
      <w:r w:rsidR="00202494" w:rsidRPr="008247D7">
        <w:t>Century</w:t>
      </w:r>
      <w:r w:rsidR="00AD01F5">
        <w:t xml:space="preserve"> – State-Centered </w:t>
      </w:r>
      <w:r w:rsidR="004E21DB">
        <w:t xml:space="preserve">Sales </w:t>
      </w:r>
      <w:r w:rsidR="00AD01F5">
        <w:t>Tax</w:t>
      </w:r>
    </w:p>
    <w:p w14:paraId="12EB0D69" w14:textId="269D9B69" w:rsidR="00720E2A" w:rsidRDefault="00C33CCF" w:rsidP="00121D98">
      <w:pPr>
        <w:spacing w:before="120" w:after="120"/>
      </w:pPr>
      <w:r>
        <w:rPr>
          <w:noProof/>
        </w:rPr>
        <w:drawing>
          <wp:anchor distT="0" distB="0" distL="114300" distR="114300" simplePos="0" relativeHeight="251660288" behindDoc="1" locked="0" layoutInCell="1" allowOverlap="1" wp14:anchorId="14A56B69" wp14:editId="43F0C8D8">
            <wp:simplePos x="0" y="0"/>
            <wp:positionH relativeFrom="column">
              <wp:posOffset>-17145</wp:posOffset>
            </wp:positionH>
            <wp:positionV relativeFrom="paragraph">
              <wp:posOffset>56515</wp:posOffset>
            </wp:positionV>
            <wp:extent cx="1891030" cy="1544320"/>
            <wp:effectExtent l="0" t="0" r="0" b="0"/>
            <wp:wrapTight wrapText="bothSides">
              <wp:wrapPolygon edited="0">
                <wp:start x="0" y="0"/>
                <wp:lineTo x="0" y="21316"/>
                <wp:lineTo x="21324" y="21316"/>
                <wp:lineTo x="21324" y="0"/>
                <wp:lineTo x="0" y="0"/>
              </wp:wrapPolygon>
            </wp:wrapTight>
            <wp:docPr id="670559876" name="Picture 3" descr="Life In The 1930's In Alabama: W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 In The 1930's In Alabama: What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1030" cy="154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04CE">
        <w:t xml:space="preserve">The federal government has no </w:t>
      </w:r>
      <w:r w:rsidR="00AD01F5">
        <w:t xml:space="preserve">general </w:t>
      </w:r>
      <w:r w:rsidR="006E04CE">
        <w:t>consumption tax</w:t>
      </w:r>
      <w:r w:rsidR="00545D77">
        <w:t xml:space="preserve">, </w:t>
      </w:r>
      <w:r w:rsidR="00A82883">
        <w:t>relying</w:t>
      </w:r>
      <w:r w:rsidR="0015307A">
        <w:t xml:space="preserve"> </w:t>
      </w:r>
      <w:r w:rsidR="001F61D2">
        <w:t>inste</w:t>
      </w:r>
      <w:r w:rsidR="006B1BA4">
        <w:t>a</w:t>
      </w:r>
      <w:r w:rsidR="001F61D2">
        <w:t xml:space="preserve">d </w:t>
      </w:r>
      <w:r w:rsidR="0015307A">
        <w:t>on</w:t>
      </w:r>
      <w:r w:rsidR="006E04CE">
        <w:t xml:space="preserve"> income tax</w:t>
      </w:r>
      <w:r w:rsidR="00FC4427">
        <w:t>es</w:t>
      </w:r>
      <w:r w:rsidR="006E04CE">
        <w:t xml:space="preserve">. </w:t>
      </w:r>
      <w:r w:rsidR="00673406">
        <w:t>States adopted s</w:t>
      </w:r>
      <w:r w:rsidR="008D2A0F">
        <w:t xml:space="preserve">ales taxes independently </w:t>
      </w:r>
      <w:r w:rsidR="00721B59">
        <w:t xml:space="preserve">starting </w:t>
      </w:r>
      <w:r w:rsidR="008D2A0F">
        <w:t>in</w:t>
      </w:r>
      <w:r w:rsidR="00BB6183">
        <w:t xml:space="preserve"> the 1930s</w:t>
      </w:r>
      <w:r w:rsidR="00B36CCD">
        <w:t xml:space="preserve">. </w:t>
      </w:r>
      <w:r w:rsidR="005E56FE">
        <w:t>States</w:t>
      </w:r>
      <w:r w:rsidR="00A87B2A">
        <w:t xml:space="preserve"> feared</w:t>
      </w:r>
      <w:r w:rsidR="00FF1490">
        <w:t xml:space="preserve"> </w:t>
      </w:r>
      <w:r w:rsidR="005E56FE">
        <w:t>their</w:t>
      </w:r>
      <w:r w:rsidR="001E59E4">
        <w:t xml:space="preserve"> authority </w:t>
      </w:r>
      <w:r w:rsidR="00720E2A">
        <w:t xml:space="preserve">might </w:t>
      </w:r>
      <w:r w:rsidR="00F254EE">
        <w:t xml:space="preserve">not extend to </w:t>
      </w:r>
      <w:r w:rsidR="00C66D7E">
        <w:t>any transactions touching on interstate commerce</w:t>
      </w:r>
      <w:r w:rsidR="00443CA1">
        <w:t xml:space="preserve"> and expected challenges</w:t>
      </w:r>
      <w:r w:rsidR="00D27546">
        <w:t>, which soon came</w:t>
      </w:r>
      <w:r w:rsidR="00443CA1">
        <w:t>.</w:t>
      </w:r>
      <w:r w:rsidR="0042731F">
        <w:rPr>
          <w:rStyle w:val="FootnoteReference"/>
        </w:rPr>
        <w:footnoteReference w:id="4"/>
      </w:r>
      <w:r w:rsidR="00B130D5">
        <w:t xml:space="preserve"> </w:t>
      </w:r>
      <w:r w:rsidR="00D27546">
        <w:t>But</w:t>
      </w:r>
      <w:r w:rsidR="00720E2A">
        <w:t xml:space="preserve"> sales tax revenues proved a fairly stable source of revenue, a bonus for states which must balance their budgets. </w:t>
      </w:r>
      <w:r w:rsidR="00440C21">
        <w:t xml:space="preserve">As a result, there was </w:t>
      </w:r>
      <w:r w:rsidR="00E3726A">
        <w:t>widespread adoption</w:t>
      </w:r>
      <w:r w:rsidR="00B667C7">
        <w:t xml:space="preserve"> of the</w:t>
      </w:r>
      <w:r w:rsidR="001E59E4">
        <w:t>se</w:t>
      </w:r>
      <w:r w:rsidR="00B667C7">
        <w:t xml:space="preserve"> taxes</w:t>
      </w:r>
      <w:r w:rsidR="00720E2A">
        <w:t xml:space="preserve"> over the next two decades.</w:t>
      </w:r>
      <w:r w:rsidR="00720E2A">
        <w:rPr>
          <w:rStyle w:val="FootnoteReference"/>
        </w:rPr>
        <w:footnoteReference w:id="5"/>
      </w:r>
    </w:p>
    <w:p w14:paraId="7AB570BA" w14:textId="073C97AE" w:rsidR="008415E9" w:rsidRDefault="00B36CCD" w:rsidP="0083084A">
      <w:pPr>
        <w:spacing w:before="360" w:after="120"/>
      </w:pPr>
      <w:r>
        <w:t xml:space="preserve">In designing </w:t>
      </w:r>
      <w:r w:rsidR="008247D7">
        <w:t xml:space="preserve">their </w:t>
      </w:r>
      <w:r>
        <w:t>tax</w:t>
      </w:r>
      <w:r w:rsidR="00B667C7">
        <w:t xml:space="preserve"> systems</w:t>
      </w:r>
      <w:r>
        <w:t xml:space="preserve">, </w:t>
      </w:r>
      <w:r w:rsidR="00B05161">
        <w:t xml:space="preserve">states made </w:t>
      </w:r>
      <w:r w:rsidR="00647D75">
        <w:t>certain</w:t>
      </w:r>
      <w:r w:rsidR="00E4150C">
        <w:t xml:space="preserve"> </w:t>
      </w:r>
      <w:r w:rsidR="008415E9">
        <w:t xml:space="preserve">choices </w:t>
      </w:r>
      <w:r w:rsidR="00B05161">
        <w:t xml:space="preserve">that </w:t>
      </w:r>
      <w:r w:rsidR="008415E9">
        <w:t>turned out to be critical</w:t>
      </w:r>
      <w:r w:rsidR="00E3726A">
        <w:t>:</w:t>
      </w:r>
    </w:p>
    <w:p w14:paraId="034009F1" w14:textId="77777777" w:rsidR="00E4150C" w:rsidRDefault="00E4150C" w:rsidP="00E4150C">
      <w:pPr>
        <w:pStyle w:val="Heading3"/>
        <w:ind w:left="720"/>
      </w:pPr>
      <w:r>
        <w:t>Taxing the Buyer</w:t>
      </w:r>
    </w:p>
    <w:p w14:paraId="26F63787" w14:textId="1F0FD5E4" w:rsidR="00E4150C" w:rsidRDefault="000630BE" w:rsidP="00E4150C">
      <w:pPr>
        <w:ind w:left="720"/>
      </w:pPr>
      <w:r>
        <w:t xml:space="preserve">It appears that the widespread </w:t>
      </w:r>
      <w:r w:rsidR="002E281D">
        <w:t xml:space="preserve">legal </w:t>
      </w:r>
      <w:r>
        <w:t xml:space="preserve">imposition of tax on the buyer, presumably resident or at least present in the state, </w:t>
      </w:r>
      <w:r w:rsidR="00122267">
        <w:t>was to ensure that the state would have sufficient jurisdiction.</w:t>
      </w:r>
    </w:p>
    <w:p w14:paraId="29C159D1" w14:textId="77777777" w:rsidR="000D042E" w:rsidRDefault="000D042E" w:rsidP="000D042E">
      <w:pPr>
        <w:pStyle w:val="Heading3"/>
        <w:ind w:left="720"/>
      </w:pPr>
      <w:r>
        <w:t>Use Tax</w:t>
      </w:r>
    </w:p>
    <w:p w14:paraId="6D63CB10" w14:textId="6AC6EE58" w:rsidR="000D042E" w:rsidRDefault="000D042E" w:rsidP="00E4150C">
      <w:pPr>
        <w:ind w:left="720"/>
      </w:pPr>
      <w:r>
        <w:t>To curtail tax-avoidance</w:t>
      </w:r>
      <w:r w:rsidR="006F642B">
        <w:t>—</w:t>
      </w:r>
      <w:r>
        <w:t>having residents travel out of state to purchase items where they would not be taxed and bring them back into the state</w:t>
      </w:r>
      <w:r w:rsidR="006F642B">
        <w:t>—states imposed use taxes</w:t>
      </w:r>
      <w:r w:rsidR="007659CC">
        <w:t xml:space="preserve">. </w:t>
      </w:r>
      <w:r w:rsidR="006F642B">
        <w:t>The use</w:t>
      </w:r>
      <w:r w:rsidR="007659CC">
        <w:t xml:space="preserve"> tax was held to be constitutional provided it </w:t>
      </w:r>
      <w:r w:rsidR="009E39CB">
        <w:t>was imposed consistent with the states</w:t>
      </w:r>
      <w:r w:rsidR="006F642B">
        <w:t>’</w:t>
      </w:r>
      <w:r w:rsidR="009E39CB">
        <w:t xml:space="preserve"> </w:t>
      </w:r>
      <w:r w:rsidR="00C71785">
        <w:t xml:space="preserve">tax </w:t>
      </w:r>
      <w:r w:rsidR="009E39CB">
        <w:t xml:space="preserve">on in-state purchases and provided </w:t>
      </w:r>
      <w:r w:rsidR="0067097C">
        <w:t xml:space="preserve">that the state gave </w:t>
      </w:r>
      <w:r w:rsidR="009E39CB">
        <w:t>a credit for taxes paid to other states.</w:t>
      </w:r>
      <w:r w:rsidR="009E39CB">
        <w:rPr>
          <w:rStyle w:val="FootnoteReference"/>
        </w:rPr>
        <w:footnoteReference w:id="6"/>
      </w:r>
    </w:p>
    <w:p w14:paraId="4BE375C3" w14:textId="77777777" w:rsidR="004E21DB" w:rsidRDefault="004E21DB" w:rsidP="004E21DB">
      <w:pPr>
        <w:pStyle w:val="Heading3"/>
        <w:ind w:left="720"/>
      </w:pPr>
      <w:r>
        <w:t xml:space="preserve">Requiring Sellers to Charge and Collect Tax </w:t>
      </w:r>
    </w:p>
    <w:p w14:paraId="38E0A0F8" w14:textId="372A5385" w:rsidR="00D34C0F" w:rsidRDefault="00801651" w:rsidP="00801651">
      <w:pPr>
        <w:pStyle w:val="ListParagraph"/>
        <w:contextualSpacing w:val="0"/>
      </w:pPr>
      <w:r>
        <w:t>B</w:t>
      </w:r>
      <w:r w:rsidR="00AF4E2C">
        <w:t>uyers are typically consumers with little ability to keep and report transaction information.</w:t>
      </w:r>
      <w:r w:rsidR="002C3912">
        <w:t xml:space="preserve"> Therefore, sellers are essential to a functioning sales tax system.</w:t>
      </w:r>
      <w:r w:rsidR="00D34C0F">
        <w:t xml:space="preserve"> States generally impose rules requiring sellers to charge, collect, and report the proper amount of tax on each taxable transaction. </w:t>
      </w:r>
      <w:r w:rsidR="004E21DB">
        <w:t>This transaction-based approach posed potential burdens on sellers, especially as local governments began to impose their own sales tax on these transactions. These burdens would eventually be raised in litigation seeking to restrict states’ authority to require sellers to collect tax.</w:t>
      </w:r>
      <w:r w:rsidR="00194D07">
        <w:t xml:space="preserve"> </w:t>
      </w:r>
    </w:p>
    <w:p w14:paraId="701837C9" w14:textId="4F5CE30B" w:rsidR="00801651" w:rsidRDefault="00D34C0F" w:rsidP="00801651">
      <w:pPr>
        <w:pStyle w:val="ListParagraph"/>
        <w:contextualSpacing w:val="0"/>
      </w:pPr>
      <w:r>
        <w:lastRenderedPageBreak/>
        <w:t>Note that i</w:t>
      </w:r>
      <w:r w:rsidR="00801651">
        <w:t xml:space="preserve">t is possible to impose sales tax directly on the seller, which a few states do, along with a separate compensating use tax imposed on the buyer in certain circumstances. This approach can be simpler in that it does not require the seller to compute the tax </w:t>
      </w:r>
      <w:r>
        <w:t xml:space="preserve">for each transaction but does </w:t>
      </w:r>
      <w:r w:rsidR="00801651">
        <w:t>require that sellers inform buyers whether they will pay the tax</w:t>
      </w:r>
      <w:r w:rsidR="0092250A">
        <w:t xml:space="preserve"> so that buyers can comply with any use tax obligation</w:t>
      </w:r>
      <w:r w:rsidR="00801651">
        <w:t>.</w:t>
      </w:r>
      <w:r w:rsidR="00801651">
        <w:rPr>
          <w:rStyle w:val="FootnoteReference"/>
        </w:rPr>
        <w:footnoteReference w:id="7"/>
      </w:r>
      <w:r w:rsidR="00801651">
        <w:t xml:space="preserve"> </w:t>
      </w:r>
    </w:p>
    <w:p w14:paraId="4BC7EC8E" w14:textId="5920ED73" w:rsidR="00FC5BAE" w:rsidRDefault="001E59E4" w:rsidP="00E3726A">
      <w:pPr>
        <w:pStyle w:val="Heading3"/>
        <w:spacing w:before="240"/>
        <w:ind w:left="720"/>
      </w:pPr>
      <w:r>
        <w:t>Limiting the Tax to Tangible Property</w:t>
      </w:r>
    </w:p>
    <w:p w14:paraId="7CA938B7" w14:textId="589FC2BB" w:rsidR="00183BAA" w:rsidRPr="00183BAA" w:rsidRDefault="00183BAA" w:rsidP="00183BAA">
      <w:pPr>
        <w:pStyle w:val="ListParagraph"/>
        <w:contextualSpacing w:val="0"/>
      </w:pPr>
      <w:r>
        <w:t>W</w:t>
      </w:r>
      <w:r w:rsidR="004A23B9">
        <w:t>hile s</w:t>
      </w:r>
      <w:r w:rsidR="009F1031">
        <w:t>ome</w:t>
      </w:r>
      <w:r w:rsidR="00F74899">
        <w:t xml:space="preserve"> states</w:t>
      </w:r>
      <w:r w:rsidR="009F1031">
        <w:t xml:space="preserve">, including </w:t>
      </w:r>
      <w:r w:rsidR="00BB6183">
        <w:t xml:space="preserve">Hawaii, New Mexico, </w:t>
      </w:r>
      <w:r w:rsidR="0009544C">
        <w:t xml:space="preserve">and </w:t>
      </w:r>
      <w:r w:rsidR="00BB6183">
        <w:t>South Dakota</w:t>
      </w:r>
      <w:r w:rsidR="001E3B9E">
        <w:t>,</w:t>
      </w:r>
      <w:r w:rsidR="009F302D">
        <w:t xml:space="preserve"> </w:t>
      </w:r>
      <w:r w:rsidR="009F1031">
        <w:t>adopted broad</w:t>
      </w:r>
      <w:r w:rsidR="00CF0F7B">
        <w:t>-</w:t>
      </w:r>
      <w:r w:rsidR="009F1031">
        <w:t xml:space="preserve">based </w:t>
      </w:r>
      <w:r w:rsidR="00BF67F2">
        <w:t xml:space="preserve">sales </w:t>
      </w:r>
      <w:r w:rsidR="009F1031">
        <w:t>tax</w:t>
      </w:r>
      <w:r w:rsidR="00A872C7">
        <w:t>es</w:t>
      </w:r>
      <w:r w:rsidR="007A4498">
        <w:t xml:space="preserve">, </w:t>
      </w:r>
      <w:r w:rsidR="00945957">
        <w:t xml:space="preserve">most </w:t>
      </w:r>
      <w:r w:rsidR="0083084A">
        <w:t xml:space="preserve">states </w:t>
      </w:r>
      <w:r w:rsidR="00BF67F2">
        <w:t xml:space="preserve">initially </w:t>
      </w:r>
      <w:r w:rsidR="00945957">
        <w:t>limited the</w:t>
      </w:r>
      <w:r w:rsidR="00A6072B">
        <w:t>ir</w:t>
      </w:r>
      <w:r w:rsidR="00945957">
        <w:t xml:space="preserve"> tax to </w:t>
      </w:r>
      <w:r w:rsidR="001E59E4">
        <w:t xml:space="preserve">tangible </w:t>
      </w:r>
      <w:r w:rsidR="00945957">
        <w:t>propert</w:t>
      </w:r>
      <w:r w:rsidR="000D2E57">
        <w:t>y</w:t>
      </w:r>
      <w:r w:rsidR="0032758D">
        <w:t>.</w:t>
      </w:r>
      <w:r w:rsidR="00A872C7">
        <w:t xml:space="preserve"> </w:t>
      </w:r>
      <w:r w:rsidR="00524E63">
        <w:t xml:space="preserve">Later, </w:t>
      </w:r>
      <w:r w:rsidR="00FF1490">
        <w:t xml:space="preserve">Florida and Massachusetts attempted to expand </w:t>
      </w:r>
      <w:r w:rsidR="00524E63">
        <w:t>the</w:t>
      </w:r>
      <w:r w:rsidR="001E3B9E">
        <w:t>ir</w:t>
      </w:r>
      <w:r w:rsidR="00FF1490">
        <w:t xml:space="preserve"> tax to services </w:t>
      </w:r>
      <w:r>
        <w:t>generally</w:t>
      </w:r>
      <w:r w:rsidR="00FF1490">
        <w:t>, but each soon repealed that expansion.</w:t>
      </w:r>
      <w:r w:rsidR="00FF1490">
        <w:rPr>
          <w:rStyle w:val="FootnoteReference"/>
        </w:rPr>
        <w:footnoteReference w:id="8"/>
      </w:r>
      <w:r w:rsidR="00FF1490">
        <w:t xml:space="preserve"> </w:t>
      </w:r>
      <w:r w:rsidR="0037327B">
        <w:t>Instead, a</w:t>
      </w:r>
      <w:r w:rsidR="00883C9F">
        <w:t xml:space="preserve">s </w:t>
      </w:r>
      <w:r w:rsidR="0037327B">
        <w:t xml:space="preserve">most </w:t>
      </w:r>
      <w:r w:rsidR="00587C1B">
        <w:t>states</w:t>
      </w:r>
      <w:r w:rsidR="00FF1490">
        <w:t xml:space="preserve"> have</w:t>
      </w:r>
      <w:r w:rsidR="00587C1B">
        <w:t xml:space="preserve"> </w:t>
      </w:r>
      <w:r w:rsidR="00FF1490">
        <w:t>expanded</w:t>
      </w:r>
      <w:r w:rsidR="00587C1B">
        <w:t xml:space="preserve"> the</w:t>
      </w:r>
      <w:r w:rsidR="008247D7">
        <w:t>ir</w:t>
      </w:r>
      <w:r w:rsidR="00587C1B">
        <w:t xml:space="preserve"> tax base</w:t>
      </w:r>
      <w:r w:rsidR="0037327B">
        <w:t xml:space="preserve"> over time</w:t>
      </w:r>
      <w:r w:rsidR="00587C1B">
        <w:t xml:space="preserve">, they </w:t>
      </w:r>
      <w:r w:rsidR="00FF1490">
        <w:t xml:space="preserve">have done </w:t>
      </w:r>
      <w:r w:rsidR="00587C1B">
        <w:t xml:space="preserve">so by “specifically enumerating” (defining and imposing tax on) particular </w:t>
      </w:r>
      <w:r w:rsidR="00182066">
        <w:t xml:space="preserve">transactions or </w:t>
      </w:r>
      <w:r w:rsidR="00587C1B">
        <w:t xml:space="preserve">items. </w:t>
      </w:r>
      <w:r w:rsidR="008247D7">
        <w:t>As a result, d</w:t>
      </w:r>
      <w:r w:rsidR="001A6FBE">
        <w:t xml:space="preserve">rawing </w:t>
      </w:r>
      <w:r w:rsidR="00FF1490">
        <w:t xml:space="preserve">clear </w:t>
      </w:r>
      <w:r w:rsidR="001A6FBE">
        <w:t>line</w:t>
      </w:r>
      <w:r w:rsidR="008247D7">
        <w:t>s</w:t>
      </w:r>
      <w:r w:rsidR="0070743E">
        <w:t xml:space="preserve"> between</w:t>
      </w:r>
      <w:r w:rsidR="001A6FBE">
        <w:t xml:space="preserve"> </w:t>
      </w:r>
      <w:r w:rsidR="00197235">
        <w:t>taxable and non-taxable items</w:t>
      </w:r>
      <w:r w:rsidR="00627F84">
        <w:t xml:space="preserve">, especially tangibles and services, </w:t>
      </w:r>
      <w:r w:rsidR="001A6FBE">
        <w:t xml:space="preserve">has </w:t>
      </w:r>
      <w:r w:rsidR="00D52A57">
        <w:t>become an ongoing exercise.</w:t>
      </w:r>
      <w:r w:rsidR="001E59E4">
        <w:t xml:space="preserve"> </w:t>
      </w:r>
      <w:r>
        <w:t>And</w:t>
      </w:r>
      <w:r w:rsidR="001E59E4">
        <w:t xml:space="preserve"> states have</w:t>
      </w:r>
      <w:r>
        <w:t xml:space="preserve"> </w:t>
      </w:r>
      <w:r w:rsidR="001E59E4">
        <w:t xml:space="preserve">been slow to impose tax on digital products. </w:t>
      </w:r>
    </w:p>
    <w:p w14:paraId="16EDD954" w14:textId="65910BD1" w:rsidR="004B424A" w:rsidRPr="00D645DA" w:rsidRDefault="00DE2D26" w:rsidP="003D2263">
      <w:pPr>
        <w:pStyle w:val="Heading2"/>
        <w:spacing w:before="240"/>
      </w:pPr>
      <w:r>
        <w:t>Late 20th</w:t>
      </w:r>
      <w:r w:rsidR="004B424A">
        <w:t xml:space="preserve"> Century </w:t>
      </w:r>
      <w:r w:rsidR="00810CB6">
        <w:t>–</w:t>
      </w:r>
      <w:r w:rsidR="004B424A">
        <w:t xml:space="preserve"> </w:t>
      </w:r>
      <w:r w:rsidR="00810CB6">
        <w:t xml:space="preserve">Looming </w:t>
      </w:r>
      <w:r w:rsidR="004B424A" w:rsidRPr="00C3746D">
        <w:t>Federal</w:t>
      </w:r>
      <w:r w:rsidR="004B424A" w:rsidRPr="00D645DA">
        <w:t xml:space="preserve"> </w:t>
      </w:r>
      <w:r w:rsidR="00ED3294">
        <w:t>Restrictions</w:t>
      </w:r>
    </w:p>
    <w:p w14:paraId="7F2F3661" w14:textId="67D25B9E" w:rsidR="00766D81" w:rsidRDefault="00D517CD" w:rsidP="00766D81">
      <w:r>
        <w:rPr>
          <w:noProof/>
        </w:rPr>
        <w:drawing>
          <wp:anchor distT="0" distB="0" distL="114300" distR="114300" simplePos="0" relativeHeight="251663360" behindDoc="1" locked="0" layoutInCell="1" allowOverlap="1" wp14:anchorId="62678672" wp14:editId="13FFE44C">
            <wp:simplePos x="0" y="0"/>
            <wp:positionH relativeFrom="margin">
              <wp:posOffset>4645025</wp:posOffset>
            </wp:positionH>
            <wp:positionV relativeFrom="paragraph">
              <wp:posOffset>52705</wp:posOffset>
            </wp:positionV>
            <wp:extent cx="1838325" cy="2860675"/>
            <wp:effectExtent l="0" t="0" r="9525" b="0"/>
            <wp:wrapTight wrapText="bothSides">
              <wp:wrapPolygon edited="0">
                <wp:start x="0" y="0"/>
                <wp:lineTo x="0" y="21432"/>
                <wp:lineTo x="21488" y="21432"/>
                <wp:lineTo x="21488" y="0"/>
                <wp:lineTo x="0" y="0"/>
              </wp:wrapPolygon>
            </wp:wrapTight>
            <wp:docPr id="18475497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8325" cy="2860675"/>
                    </a:xfrm>
                    <a:prstGeom prst="rect">
                      <a:avLst/>
                    </a:prstGeom>
                    <a:noFill/>
                  </pic:spPr>
                </pic:pic>
              </a:graphicData>
            </a:graphic>
            <wp14:sizeRelV relativeFrom="margin">
              <wp14:pctHeight>0</wp14:pctHeight>
            </wp14:sizeRelV>
          </wp:anchor>
        </w:drawing>
      </w:r>
      <w:r w:rsidR="003673A4">
        <w:t>In the late 20</w:t>
      </w:r>
      <w:r w:rsidR="003673A4" w:rsidRPr="003673A4">
        <w:rPr>
          <w:vertAlign w:val="superscript"/>
        </w:rPr>
        <w:t>th</w:t>
      </w:r>
      <w:r w:rsidR="003673A4">
        <w:t xml:space="preserve"> Century, s</w:t>
      </w:r>
      <w:r w:rsidR="003E5804">
        <w:t xml:space="preserve">ales taxes </w:t>
      </w:r>
      <w:r w:rsidR="001814B5">
        <w:t>began to face</w:t>
      </w:r>
      <w:r w:rsidR="009C3CCD">
        <w:t xml:space="preserve"> the threat of various federal </w:t>
      </w:r>
      <w:r w:rsidR="00121D98">
        <w:t>restriction</w:t>
      </w:r>
      <w:r w:rsidR="009C3CCD">
        <w:t>s</w:t>
      </w:r>
      <w:r w:rsidR="004768B6">
        <w:t xml:space="preserve"> including:</w:t>
      </w:r>
      <w:r w:rsidR="00B126A2">
        <w:t xml:space="preserve"> </w:t>
      </w:r>
    </w:p>
    <w:p w14:paraId="3107D35B" w14:textId="77777777" w:rsidR="0097371D" w:rsidRDefault="001815C4" w:rsidP="00331288">
      <w:pPr>
        <w:pStyle w:val="Heading3"/>
        <w:ind w:left="720"/>
      </w:pPr>
      <w:r w:rsidRPr="003E5804">
        <w:t>The Willis Committee</w:t>
      </w:r>
      <w:r>
        <w:t xml:space="preserve">: </w:t>
      </w:r>
    </w:p>
    <w:p w14:paraId="443D79D3" w14:textId="0D2781E9" w:rsidR="0006329C" w:rsidRDefault="00D84117" w:rsidP="00E52F87">
      <w:pPr>
        <w:pStyle w:val="ListParagraph"/>
        <w:spacing w:after="40"/>
        <w:contextualSpacing w:val="0"/>
      </w:pPr>
      <w:r>
        <w:t>In 1965, t</w:t>
      </w:r>
      <w:r w:rsidR="004B424A">
        <w:t>he Willis Committee, best known for its study of multistate income taxes,</w:t>
      </w:r>
      <w:r w:rsidR="004B424A" w:rsidRPr="00685851">
        <w:rPr>
          <w:rStyle w:val="FootnoteReference"/>
        </w:rPr>
        <w:footnoteReference w:id="9"/>
      </w:r>
      <w:r w:rsidR="004B424A">
        <w:t xml:space="preserve"> expanded its work </w:t>
      </w:r>
      <w:r w:rsidR="0095660D">
        <w:t>to state</w:t>
      </w:r>
      <w:r w:rsidR="004B424A">
        <w:t xml:space="preserve"> sales taxes. </w:t>
      </w:r>
      <w:r>
        <w:t>I</w:t>
      </w:r>
      <w:r w:rsidR="0006329C">
        <w:t>t</w:t>
      </w:r>
      <w:r w:rsidR="004B424A">
        <w:t xml:space="preserve"> proposed sweeping federal reforms and limits, which Congress declined to </w:t>
      </w:r>
      <w:r w:rsidR="00011E9B">
        <w:t>enact</w:t>
      </w:r>
      <w:r w:rsidR="004B424A">
        <w:t>.</w:t>
      </w:r>
      <w:r w:rsidR="004B424A" w:rsidRPr="00685851">
        <w:rPr>
          <w:rStyle w:val="FootnoteReference"/>
        </w:rPr>
        <w:footnoteReference w:id="10"/>
      </w:r>
      <w:r w:rsidR="004B424A">
        <w:t xml:space="preserve"> </w:t>
      </w:r>
      <w:r w:rsidR="00E6325E">
        <w:t xml:space="preserve">Instead, states voluntarily responded to two major </w:t>
      </w:r>
      <w:r w:rsidR="00B54BAF">
        <w:t xml:space="preserve">sales tax </w:t>
      </w:r>
      <w:r w:rsidR="00E6325E">
        <w:t>concerns</w:t>
      </w:r>
      <w:r w:rsidR="00EA0D90">
        <w:t xml:space="preserve"> raised</w:t>
      </w:r>
      <w:r w:rsidR="00E6325E">
        <w:t xml:space="preserve">: </w:t>
      </w:r>
    </w:p>
    <w:p w14:paraId="6B20A165" w14:textId="2C95EE7A" w:rsidR="006A405F" w:rsidRDefault="0006329C" w:rsidP="00E52F87">
      <w:pPr>
        <w:pStyle w:val="ListParagraph"/>
        <w:numPr>
          <w:ilvl w:val="0"/>
          <w:numId w:val="19"/>
        </w:numPr>
        <w:spacing w:after="40"/>
        <w:contextualSpacing w:val="0"/>
      </w:pPr>
      <w:r>
        <w:t xml:space="preserve">Providing </w:t>
      </w:r>
      <w:r w:rsidR="004B424A">
        <w:t>uniform credit</w:t>
      </w:r>
      <w:r>
        <w:t>s</w:t>
      </w:r>
      <w:r w:rsidR="004B424A">
        <w:t xml:space="preserve"> for </w:t>
      </w:r>
      <w:r w:rsidR="00AF5C52">
        <w:t xml:space="preserve">state </w:t>
      </w:r>
      <w:r w:rsidR="004B424A">
        <w:t>taxes paid</w:t>
      </w:r>
      <w:r w:rsidR="006A405F">
        <w:t>;</w:t>
      </w:r>
      <w:r w:rsidR="004B424A">
        <w:t xml:space="preserve"> and </w:t>
      </w:r>
    </w:p>
    <w:p w14:paraId="76DA9670" w14:textId="12C0AADC" w:rsidR="00D961A0" w:rsidRDefault="006A405F" w:rsidP="000B6C0A">
      <w:pPr>
        <w:pStyle w:val="ListParagraph"/>
        <w:numPr>
          <w:ilvl w:val="0"/>
          <w:numId w:val="19"/>
        </w:numPr>
        <w:spacing w:after="80"/>
        <w:contextualSpacing w:val="0"/>
      </w:pPr>
      <w:r>
        <w:t xml:space="preserve">Allowing </w:t>
      </w:r>
      <w:r w:rsidR="00C450A5">
        <w:t xml:space="preserve">sellers to </w:t>
      </w:r>
      <w:r w:rsidR="004F66DC">
        <w:t xml:space="preserve">use </w:t>
      </w:r>
      <w:r w:rsidR="00C450A5">
        <w:t>other states’ exemption certificates</w:t>
      </w:r>
      <w:r w:rsidR="004F66DC">
        <w:t xml:space="preserve"> in certain circumstances</w:t>
      </w:r>
      <w:r w:rsidR="00D961A0">
        <w:t xml:space="preserve">. </w:t>
      </w:r>
    </w:p>
    <w:p w14:paraId="3849041F" w14:textId="2DE5059B" w:rsidR="004B424A" w:rsidRDefault="00D961A0" w:rsidP="00D517CD">
      <w:pPr>
        <w:spacing w:after="80"/>
        <w:ind w:left="720"/>
      </w:pPr>
      <w:r>
        <w:t xml:space="preserve">This also led to </w:t>
      </w:r>
      <w:r w:rsidR="0002538B">
        <w:t>the inclusion of</w:t>
      </w:r>
      <w:r w:rsidR="004B424A">
        <w:t xml:space="preserve"> Article V of the Multistate Tax Compact</w:t>
      </w:r>
      <w:r w:rsidR="0002538B">
        <w:t>.</w:t>
      </w:r>
      <w:r w:rsidR="004B424A" w:rsidRPr="00685851">
        <w:rPr>
          <w:rStyle w:val="FootnoteReference"/>
        </w:rPr>
        <w:footnoteReference w:id="11"/>
      </w:r>
      <w:r w:rsidR="004B424A">
        <w:t xml:space="preserve"> </w:t>
      </w:r>
    </w:p>
    <w:p w14:paraId="6631E734" w14:textId="7126A93A" w:rsidR="00B7014B" w:rsidRDefault="008629C7" w:rsidP="00331288">
      <w:pPr>
        <w:pStyle w:val="Heading3"/>
        <w:ind w:left="720"/>
      </w:pPr>
      <w:r>
        <w:lastRenderedPageBreak/>
        <w:t xml:space="preserve">Constitutional Challenges - </w:t>
      </w:r>
      <w:r w:rsidR="00B7014B" w:rsidRPr="00C60D6B">
        <w:rPr>
          <w:i/>
          <w:iCs/>
        </w:rPr>
        <w:t>National Bellas Hess</w:t>
      </w:r>
      <w:r w:rsidR="00331288">
        <w:t xml:space="preserve"> and </w:t>
      </w:r>
      <w:r w:rsidR="00331288" w:rsidRPr="00C60D6B">
        <w:rPr>
          <w:i/>
          <w:iCs/>
        </w:rPr>
        <w:t>Quill</w:t>
      </w:r>
      <w:r w:rsidR="00B7014B">
        <w:t>:</w:t>
      </w:r>
    </w:p>
    <w:p w14:paraId="51367891" w14:textId="161F90A5" w:rsidR="009B1237" w:rsidRDefault="00620A6B" w:rsidP="00527589">
      <w:pPr>
        <w:pStyle w:val="ListParagraph"/>
        <w:spacing w:after="80"/>
        <w:contextualSpacing w:val="0"/>
      </w:pPr>
      <w:r>
        <w:t>In two cases, the</w:t>
      </w:r>
      <w:r w:rsidR="00E52F87">
        <w:t xml:space="preserve"> U.S. Supreme Court </w:t>
      </w:r>
      <w:r>
        <w:t>acted to</w:t>
      </w:r>
      <w:r w:rsidR="00E52F87">
        <w:t xml:space="preserve"> </w:t>
      </w:r>
      <w:r w:rsidR="00772CDF">
        <w:t>restrict states from imposing sales tax collection requirements on mail-order sellers. In the first case</w:t>
      </w:r>
      <w:r w:rsidR="00E52F87">
        <w:t>, the Court cited</w:t>
      </w:r>
      <w:r w:rsidR="00F277AF">
        <w:t xml:space="preserve"> both due process and dormant commerce clause</w:t>
      </w:r>
      <w:r w:rsidR="009F0488">
        <w:t xml:space="preserve"> precedent</w:t>
      </w:r>
      <w:r w:rsidR="00C60D6B">
        <w:t xml:space="preserve"> as limiting the burdens that states might impose</w:t>
      </w:r>
      <w:r w:rsidR="00437B2F" w:rsidRPr="00D645DA">
        <w:t>.</w:t>
      </w:r>
      <w:r w:rsidR="00437B2F">
        <w:t xml:space="preserve"> </w:t>
      </w:r>
      <w:r w:rsidR="00772CDF">
        <w:t xml:space="preserve">See </w:t>
      </w:r>
      <w:r w:rsidR="00D84117" w:rsidRPr="00D84117">
        <w:rPr>
          <w:i/>
          <w:iCs/>
        </w:rPr>
        <w:t>National Bellas Hess v. Department of Revenue of Ill</w:t>
      </w:r>
      <w:r w:rsidR="00D84117" w:rsidRPr="00C43347">
        <w:t>., 386 U.S. 753</w:t>
      </w:r>
      <w:r w:rsidR="00772CDF">
        <w:t xml:space="preserve"> (1967)</w:t>
      </w:r>
      <w:r w:rsidR="00D84117">
        <w:t>.</w:t>
      </w:r>
      <w:r w:rsidR="00D84117" w:rsidRPr="00D645DA">
        <w:t xml:space="preserve"> </w:t>
      </w:r>
      <w:r w:rsidR="00772CDF">
        <w:t>In the second case, the Court based its so-called “physical presence standard” entirely upon the dormant commerce clause doctrine, giving Congress the authority to change it</w:t>
      </w:r>
      <w:r w:rsidR="00331288">
        <w:t xml:space="preserve">. </w:t>
      </w:r>
      <w:r w:rsidR="00772CDF">
        <w:t xml:space="preserve">See </w:t>
      </w:r>
      <w:r w:rsidR="00D22596" w:rsidRPr="009B1237">
        <w:rPr>
          <w:i/>
          <w:iCs/>
        </w:rPr>
        <w:t>Quill Corp. v. North Dakota</w:t>
      </w:r>
      <w:r w:rsidR="00D22596" w:rsidRPr="0094078A">
        <w:t>, 504 U.S. 298</w:t>
      </w:r>
      <w:r w:rsidR="00772CDF">
        <w:t xml:space="preserve"> (1992)</w:t>
      </w:r>
      <w:r w:rsidR="00331288">
        <w:t xml:space="preserve">. </w:t>
      </w:r>
    </w:p>
    <w:p w14:paraId="5B7BC32F" w14:textId="77777777" w:rsidR="00E55C98" w:rsidRDefault="00E55C98" w:rsidP="00331288">
      <w:pPr>
        <w:pStyle w:val="Heading3"/>
        <w:ind w:left="720"/>
      </w:pPr>
      <w:r w:rsidRPr="003E5804">
        <w:t>The Internet Tax Freedom Act</w:t>
      </w:r>
      <w:r>
        <w:t xml:space="preserve">: </w:t>
      </w:r>
    </w:p>
    <w:p w14:paraId="528B02BA" w14:textId="2FFE2C5C" w:rsidR="004B424A" w:rsidRDefault="009B1237" w:rsidP="00C60D6B">
      <w:pPr>
        <w:pStyle w:val="ListParagraph"/>
        <w:contextualSpacing w:val="0"/>
      </w:pPr>
      <w:r>
        <w:t>I</w:t>
      </w:r>
      <w:r w:rsidR="004B424A" w:rsidRPr="00D645DA">
        <w:t>n 19</w:t>
      </w:r>
      <w:r w:rsidR="004B424A">
        <w:t>9</w:t>
      </w:r>
      <w:r w:rsidR="004B424A" w:rsidRPr="00D645DA">
        <w:t>8</w:t>
      </w:r>
      <w:r w:rsidR="009C243D">
        <w:t>,</w:t>
      </w:r>
      <w:r w:rsidR="004B424A" w:rsidRPr="00D645DA">
        <w:t xml:space="preserve"> Congress enacted the Internet Tax Freedom Act (ITFA)</w:t>
      </w:r>
      <w:r w:rsidR="003228D8">
        <w:t>,</w:t>
      </w:r>
      <w:r w:rsidR="004B424A" w:rsidRPr="00685851">
        <w:rPr>
          <w:rStyle w:val="FootnoteReference"/>
        </w:rPr>
        <w:footnoteReference w:id="12"/>
      </w:r>
      <w:r w:rsidR="004B424A" w:rsidRPr="00D645DA">
        <w:t xml:space="preserve"> </w:t>
      </w:r>
      <w:r w:rsidR="003228D8">
        <w:t xml:space="preserve">discussed further in this white paper. </w:t>
      </w:r>
      <w:r w:rsidR="00E55C98">
        <w:t xml:space="preserve">Proponents of this legislation </w:t>
      </w:r>
      <w:r w:rsidR="009574F5">
        <w:t xml:space="preserve">argued states would </w:t>
      </w:r>
      <w:r w:rsidR="00C60D6B">
        <w:t>otherwise</w:t>
      </w:r>
      <w:r w:rsidR="009574F5">
        <w:t xml:space="preserve"> tax </w:t>
      </w:r>
      <w:r w:rsidR="00F42FF0">
        <w:t xml:space="preserve">Internet-based </w:t>
      </w:r>
      <w:r w:rsidR="009574F5">
        <w:t xml:space="preserve">transactions </w:t>
      </w:r>
      <w:r w:rsidR="004E7A84">
        <w:t xml:space="preserve">(“electronic commerce”) </w:t>
      </w:r>
      <w:r w:rsidR="009574F5">
        <w:t xml:space="preserve">more than </w:t>
      </w:r>
      <w:r w:rsidR="0090521F">
        <w:t xml:space="preserve">the same </w:t>
      </w:r>
      <w:r w:rsidR="009574F5">
        <w:t xml:space="preserve">transactions taking place </w:t>
      </w:r>
      <w:r w:rsidR="0090521F">
        <w:t>through other means</w:t>
      </w:r>
      <w:r w:rsidR="00185106">
        <w:t xml:space="preserve">. </w:t>
      </w:r>
      <w:r w:rsidR="004B424A" w:rsidRPr="00D645DA">
        <w:t>ITFA</w:t>
      </w:r>
      <w:r w:rsidR="00194D07">
        <w:t xml:space="preserve"> </w:t>
      </w:r>
      <w:r w:rsidR="00C60D6B">
        <w:t xml:space="preserve">therefore </w:t>
      </w:r>
      <w:r w:rsidR="00F42FF0">
        <w:t xml:space="preserve">preempted </w:t>
      </w:r>
      <w:r w:rsidR="00C60D6B">
        <w:t xml:space="preserve">such </w:t>
      </w:r>
      <w:r w:rsidR="00772CDF">
        <w:t xml:space="preserve">discriminatory </w:t>
      </w:r>
      <w:r w:rsidR="00C60D6B">
        <w:t xml:space="preserve">taxes, as well as </w:t>
      </w:r>
      <w:r w:rsidR="00C866E3">
        <w:t xml:space="preserve">state </w:t>
      </w:r>
      <w:r w:rsidR="00F42FF0">
        <w:t xml:space="preserve">taxes on </w:t>
      </w:r>
      <w:r w:rsidR="003228D8">
        <w:t>Internet access (as defined)</w:t>
      </w:r>
      <w:r w:rsidR="004B424A" w:rsidRPr="00D645DA">
        <w:t xml:space="preserve">. </w:t>
      </w:r>
      <w:r w:rsidR="00772CDF">
        <w:t xml:space="preserve">The preemption against discriminatory taxes on electronic commerce also insured Internet sellers would be subject to </w:t>
      </w:r>
      <w:r w:rsidR="00772CDF" w:rsidRPr="00772CDF">
        <w:rPr>
          <w:i/>
          <w:iCs/>
        </w:rPr>
        <w:t>Quill’s</w:t>
      </w:r>
      <w:r w:rsidR="00772CDF">
        <w:t xml:space="preserve"> protections</w:t>
      </w:r>
      <w:r w:rsidR="007A4498">
        <w:t xml:space="preserve"> in the same way as mail-order sellers</w:t>
      </w:r>
      <w:r w:rsidR="00772CDF">
        <w:t>.</w:t>
      </w:r>
    </w:p>
    <w:p w14:paraId="3CA5D458" w14:textId="0985BBBF" w:rsidR="003C70E4" w:rsidRDefault="000155ED" w:rsidP="003C70E4">
      <w:pPr>
        <w:spacing w:after="80"/>
      </w:pPr>
      <w:r>
        <w:t xml:space="preserve">In </w:t>
      </w:r>
      <w:r w:rsidR="00C60D6B">
        <w:t>short</w:t>
      </w:r>
      <w:r>
        <w:t xml:space="preserve">, the </w:t>
      </w:r>
      <w:r w:rsidR="0077559A">
        <w:t>latter half of the 20</w:t>
      </w:r>
      <w:r w:rsidR="0077559A" w:rsidRPr="0077559A">
        <w:rPr>
          <w:vertAlign w:val="superscript"/>
        </w:rPr>
        <w:t>th</w:t>
      </w:r>
      <w:r w:rsidR="0077559A">
        <w:t xml:space="preserve"> Century saw a sharp rise in</w:t>
      </w:r>
      <w:r w:rsidR="00386B96">
        <w:t xml:space="preserve"> </w:t>
      </w:r>
      <w:r w:rsidR="0077559A">
        <w:t xml:space="preserve">efforts </w:t>
      </w:r>
      <w:r w:rsidR="00386B96">
        <w:t xml:space="preserve">to persuade federal courts and lawmakers </w:t>
      </w:r>
      <w:r w:rsidR="00B667C7">
        <w:t xml:space="preserve">to limit </w:t>
      </w:r>
      <w:r w:rsidR="00C366C7">
        <w:t xml:space="preserve">application of </w:t>
      </w:r>
      <w:r w:rsidR="00B667C7">
        <w:t xml:space="preserve">state </w:t>
      </w:r>
      <w:r w:rsidR="00B33E5B">
        <w:t>sales taxes</w:t>
      </w:r>
      <w:r w:rsidR="00E52F87">
        <w:t xml:space="preserve"> which likely had</w:t>
      </w:r>
      <w:r w:rsidR="00E75079">
        <w:t xml:space="preserve"> some effect in preventing</w:t>
      </w:r>
      <w:r w:rsidR="00B33E5B">
        <w:t xml:space="preserve"> </w:t>
      </w:r>
      <w:r w:rsidR="003C70E4">
        <w:t xml:space="preserve">states </w:t>
      </w:r>
      <w:r w:rsidR="006E685A">
        <w:t xml:space="preserve">from </w:t>
      </w:r>
      <w:r w:rsidR="003C70E4">
        <w:t>expand</w:t>
      </w:r>
      <w:r w:rsidR="00E52F87">
        <w:t>ing</w:t>
      </w:r>
      <w:r w:rsidR="003C70E4">
        <w:t xml:space="preserve"> their </w:t>
      </w:r>
      <w:r w:rsidR="00E75079">
        <w:t xml:space="preserve">sales </w:t>
      </w:r>
      <w:r w:rsidR="003C70E4">
        <w:t>tax base to include new</w:t>
      </w:r>
      <w:r w:rsidR="006E685A">
        <w:t xml:space="preserve"> </w:t>
      </w:r>
      <w:r w:rsidR="003C70E4">
        <w:t xml:space="preserve">products </w:t>
      </w:r>
      <w:r w:rsidR="006E685A">
        <w:t xml:space="preserve">or </w:t>
      </w:r>
      <w:r w:rsidR="003C70E4">
        <w:t>services</w:t>
      </w:r>
      <w:r w:rsidR="00BB6486">
        <w:t>, including digital products</w:t>
      </w:r>
      <w:r w:rsidR="003C70E4" w:rsidRPr="00D645DA">
        <w:t>.</w:t>
      </w:r>
      <w:r w:rsidR="003C70E4" w:rsidRPr="00685851">
        <w:rPr>
          <w:rStyle w:val="FootnoteReference"/>
        </w:rPr>
        <w:footnoteReference w:id="13"/>
      </w:r>
    </w:p>
    <w:p w14:paraId="55A54F23" w14:textId="7CDF34C3" w:rsidR="004B424A" w:rsidRDefault="004B424A" w:rsidP="00374EAE">
      <w:pPr>
        <w:pStyle w:val="Heading2"/>
      </w:pPr>
      <w:r>
        <w:t>Post-</w:t>
      </w:r>
      <w:r w:rsidRPr="00A9350A">
        <w:rPr>
          <w:i/>
          <w:iCs/>
        </w:rPr>
        <w:t>Quill</w:t>
      </w:r>
      <w:r>
        <w:t xml:space="preserve"> Years – State</w:t>
      </w:r>
      <w:r w:rsidR="00013F2E">
        <w:t xml:space="preserve">s </w:t>
      </w:r>
      <w:r w:rsidR="00446B57">
        <w:t xml:space="preserve">Attempt to Win </w:t>
      </w:r>
      <w:r w:rsidR="00CA0623">
        <w:t xml:space="preserve">Congressional </w:t>
      </w:r>
      <w:r w:rsidR="00446B57">
        <w:t>Support</w:t>
      </w:r>
      <w:r>
        <w:t xml:space="preserve"> </w:t>
      </w:r>
    </w:p>
    <w:p w14:paraId="6A1BF6A6" w14:textId="4D52A4CF" w:rsidR="00542F96" w:rsidRDefault="00EB14AC" w:rsidP="00EE138C">
      <w:r>
        <w:rPr>
          <w:noProof/>
        </w:rPr>
        <w:drawing>
          <wp:anchor distT="0" distB="0" distL="114300" distR="114300" simplePos="0" relativeHeight="251661312" behindDoc="1" locked="0" layoutInCell="1" allowOverlap="1" wp14:anchorId="09AED973" wp14:editId="53BEE1A8">
            <wp:simplePos x="0" y="0"/>
            <wp:positionH relativeFrom="margin">
              <wp:posOffset>4429125</wp:posOffset>
            </wp:positionH>
            <wp:positionV relativeFrom="paragraph">
              <wp:posOffset>45720</wp:posOffset>
            </wp:positionV>
            <wp:extent cx="1884045" cy="1440815"/>
            <wp:effectExtent l="0" t="0" r="1905" b="6985"/>
            <wp:wrapTight wrapText="bothSides">
              <wp:wrapPolygon edited="0">
                <wp:start x="0" y="0"/>
                <wp:lineTo x="0" y="21419"/>
                <wp:lineTo x="21403" y="21419"/>
                <wp:lineTo x="21403" y="0"/>
                <wp:lineTo x="0" y="0"/>
              </wp:wrapPolygon>
            </wp:wrapTight>
            <wp:docPr id="544630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4045" cy="1440815"/>
                    </a:xfrm>
                    <a:prstGeom prst="rect">
                      <a:avLst/>
                    </a:prstGeom>
                    <a:noFill/>
                  </pic:spPr>
                </pic:pic>
              </a:graphicData>
            </a:graphic>
            <wp14:sizeRelH relativeFrom="margin">
              <wp14:pctWidth>0</wp14:pctWidth>
            </wp14:sizeRelH>
            <wp14:sizeRelV relativeFrom="margin">
              <wp14:pctHeight>0</wp14:pctHeight>
            </wp14:sizeRelV>
          </wp:anchor>
        </w:drawing>
      </w:r>
      <w:r w:rsidR="00421935" w:rsidRPr="00421935">
        <w:t xml:space="preserve">As the Supreme Court noted in </w:t>
      </w:r>
      <w:r w:rsidR="00A1262F">
        <w:rPr>
          <w:i/>
          <w:iCs/>
        </w:rPr>
        <w:t>Quill</w:t>
      </w:r>
      <w:r w:rsidR="00421935" w:rsidRPr="00421935">
        <w:t xml:space="preserve">, </w:t>
      </w:r>
      <w:r w:rsidR="00321CD0">
        <w:t xml:space="preserve">Congress </w:t>
      </w:r>
      <w:r>
        <w:t xml:space="preserve">could have </w:t>
      </w:r>
      <w:r w:rsidR="00772CDF">
        <w:t>removed the physical presence restriction on state sales tax</w:t>
      </w:r>
      <w:r w:rsidR="00857028">
        <w:t xml:space="preserve"> jurisdiction</w:t>
      </w:r>
      <w:r w:rsidR="00772CDF">
        <w:t xml:space="preserve">, permitting states to require these </w:t>
      </w:r>
      <w:r>
        <w:t>“remote sellers”</w:t>
      </w:r>
      <w:r w:rsidR="00772CDF">
        <w:t xml:space="preserve"> to collect the tax.</w:t>
      </w:r>
      <w:r w:rsidR="00D9584F">
        <w:rPr>
          <w:rStyle w:val="FootnoteReference"/>
        </w:rPr>
        <w:footnoteReference w:id="14"/>
      </w:r>
      <w:r>
        <w:t xml:space="preserve"> </w:t>
      </w:r>
      <w:r w:rsidR="00D9584F">
        <w:t>I</w:t>
      </w:r>
      <w:r>
        <w:t xml:space="preserve">nstead, </w:t>
      </w:r>
      <w:r w:rsidR="00C60D6B">
        <w:t>Congress</w:t>
      </w:r>
      <w:r w:rsidR="00A1262F">
        <w:t xml:space="preserve"> </w:t>
      </w:r>
      <w:r w:rsidR="00421935">
        <w:t>enacted</w:t>
      </w:r>
      <w:r w:rsidR="00C60D6B">
        <w:t xml:space="preserve"> ITFA</w:t>
      </w:r>
      <w:r w:rsidR="00421935">
        <w:t>—</w:t>
      </w:r>
      <w:r w:rsidR="00772CDF">
        <w:t xml:space="preserve">effectively </w:t>
      </w:r>
      <w:r w:rsidR="00BB6486">
        <w:t xml:space="preserve">conferring </w:t>
      </w:r>
      <w:r w:rsidR="00C366C7" w:rsidRPr="00C366C7">
        <w:rPr>
          <w:i/>
          <w:iCs/>
        </w:rPr>
        <w:t>Quill’s</w:t>
      </w:r>
      <w:r w:rsidR="00C366C7">
        <w:t xml:space="preserve"> protections to Internet </w:t>
      </w:r>
      <w:r w:rsidR="00A1262F">
        <w:t xml:space="preserve">sellers. Still, </w:t>
      </w:r>
      <w:r w:rsidR="00C60D6B">
        <w:t xml:space="preserve">states hoped </w:t>
      </w:r>
      <w:r>
        <w:t xml:space="preserve">to </w:t>
      </w:r>
      <w:r w:rsidR="00C60D6B">
        <w:t xml:space="preserve">persuade Congress </w:t>
      </w:r>
      <w:r w:rsidR="00C366C7">
        <w:t xml:space="preserve">to remove these restrictions </w:t>
      </w:r>
      <w:r>
        <w:t xml:space="preserve">by </w:t>
      </w:r>
      <w:r w:rsidR="00B2039C">
        <w:t xml:space="preserve">voluntarily </w:t>
      </w:r>
      <w:r w:rsidR="00D01227">
        <w:t>simplifying</w:t>
      </w:r>
      <w:r w:rsidR="00C60D6B">
        <w:t xml:space="preserve"> the</w:t>
      </w:r>
      <w:r w:rsidR="00183BAA">
        <w:t>ir</w:t>
      </w:r>
      <w:r w:rsidR="00C60D6B">
        <w:t xml:space="preserve"> sales tax system</w:t>
      </w:r>
      <w:r w:rsidR="00BB6486">
        <w:t>s and lowering the burdens on sellers</w:t>
      </w:r>
      <w:r w:rsidR="00BD4CC8">
        <w:t xml:space="preserve">. </w:t>
      </w:r>
    </w:p>
    <w:p w14:paraId="13A6CA91" w14:textId="1300CA11" w:rsidR="00542F96" w:rsidRDefault="00542F96" w:rsidP="00F37A82">
      <w:pPr>
        <w:pStyle w:val="Heading3"/>
        <w:ind w:left="720"/>
      </w:pPr>
      <w:r>
        <w:t>Streamlined Efforts</w:t>
      </w:r>
      <w:r w:rsidR="00791F99">
        <w:t xml:space="preserve"> </w:t>
      </w:r>
      <w:r w:rsidR="00DA61B2">
        <w:t>Including Definitions</w:t>
      </w:r>
    </w:p>
    <w:p w14:paraId="77B091F2" w14:textId="12F678D7" w:rsidR="00864061" w:rsidRDefault="00C366C7" w:rsidP="00F37A82">
      <w:pPr>
        <w:ind w:left="720"/>
      </w:pPr>
      <w:r>
        <w:t>S</w:t>
      </w:r>
      <w:r w:rsidR="00421935">
        <w:t xml:space="preserve">tate action to </w:t>
      </w:r>
      <w:r w:rsidR="0013272C">
        <w:t xml:space="preserve">simplify sales taxes led to </w:t>
      </w:r>
      <w:r w:rsidR="008A5183">
        <w:t xml:space="preserve">the </w:t>
      </w:r>
      <w:r w:rsidR="004A3CB7" w:rsidRPr="00D645DA">
        <w:t>Streamlined Sales and Use Tax Agreement</w:t>
      </w:r>
      <w:r>
        <w:t xml:space="preserve"> in 2000</w:t>
      </w:r>
      <w:r w:rsidR="004A3CB7" w:rsidRPr="00D645DA">
        <w:t xml:space="preserve">. </w:t>
      </w:r>
      <w:r w:rsidR="004A3CB7">
        <w:t>The MTC was an early and active proponent of</w:t>
      </w:r>
      <w:r w:rsidR="00421935">
        <w:t xml:space="preserve"> this effort</w:t>
      </w:r>
      <w:r w:rsidR="004C68EE">
        <w:t>.</w:t>
      </w:r>
      <w:r w:rsidR="004A3CB7" w:rsidRPr="00685851">
        <w:rPr>
          <w:rStyle w:val="FootnoteReference"/>
        </w:rPr>
        <w:footnoteReference w:id="15"/>
      </w:r>
      <w:r w:rsidR="00BE044F">
        <w:t xml:space="preserve"> </w:t>
      </w:r>
      <w:r w:rsidR="00FB7A39">
        <w:t>Part of the goal was to provide uniform definitions</w:t>
      </w:r>
      <w:r w:rsidR="00BB1258">
        <w:t xml:space="preserve"> for sales taxes</w:t>
      </w:r>
      <w:r w:rsidR="00FB7A39">
        <w:t xml:space="preserve">. </w:t>
      </w:r>
      <w:r w:rsidR="008732AA">
        <w:t>At</w:t>
      </w:r>
      <w:r w:rsidR="00BB7AF6">
        <w:t xml:space="preserve"> </w:t>
      </w:r>
      <w:r w:rsidR="00BB1258">
        <w:t>that</w:t>
      </w:r>
      <w:r w:rsidR="003E531C">
        <w:t xml:space="preserve"> time</w:t>
      </w:r>
      <w:r w:rsidR="00BB7AF6">
        <w:t>, it was</w:t>
      </w:r>
      <w:r w:rsidR="00204E60" w:rsidRPr="00D645DA">
        <w:t xml:space="preserve"> </w:t>
      </w:r>
      <w:r w:rsidR="00BB7AF6">
        <w:t xml:space="preserve">fairly </w:t>
      </w:r>
      <w:r w:rsidR="00204E60" w:rsidRPr="00D645DA">
        <w:t xml:space="preserve">common for states </w:t>
      </w:r>
      <w:r w:rsidR="00204E60">
        <w:t xml:space="preserve">to </w:t>
      </w:r>
      <w:r w:rsidR="00BB7AF6">
        <w:t xml:space="preserve">tax </w:t>
      </w:r>
      <w:r w:rsidR="00C34B4B">
        <w:lastRenderedPageBreak/>
        <w:t xml:space="preserve">pre-packaged </w:t>
      </w:r>
      <w:r w:rsidR="000F536C">
        <w:t xml:space="preserve">“canned” </w:t>
      </w:r>
      <w:r w:rsidR="00204E60" w:rsidRPr="00D645DA">
        <w:t xml:space="preserve">software </w:t>
      </w:r>
      <w:r w:rsidR="00204E60">
        <w:t>as tangible property</w:t>
      </w:r>
      <w:r w:rsidR="008A3C57">
        <w:t xml:space="preserve">, and this </w:t>
      </w:r>
      <w:r w:rsidR="00B12D99">
        <w:t>approach was incorporated in to the Streamlined agreement</w:t>
      </w:r>
      <w:r w:rsidR="00472F69">
        <w:t xml:space="preserve">. Streamlined states also began working on </w:t>
      </w:r>
      <w:r w:rsidR="00D01227">
        <w:t xml:space="preserve">uniform </w:t>
      </w:r>
      <w:r w:rsidR="00F95949">
        <w:t>definitions for</w:t>
      </w:r>
      <w:r w:rsidR="00180D1E">
        <w:t xml:space="preserve"> digital products</w:t>
      </w:r>
      <w:r w:rsidR="00375A19">
        <w:t xml:space="preserve"> that </w:t>
      </w:r>
      <w:r w:rsidR="000A1851">
        <w:t xml:space="preserve">have </w:t>
      </w:r>
      <w:r w:rsidR="00B51BA1">
        <w:t>a similar</w:t>
      </w:r>
      <w:r w:rsidR="00375A19">
        <w:t xml:space="preserve"> tangible</w:t>
      </w:r>
      <w:r w:rsidR="00B51BA1">
        <w:t xml:space="preserve"> </w:t>
      </w:r>
      <w:r w:rsidR="00E44F65">
        <w:t>equivalent</w:t>
      </w:r>
      <w:r w:rsidR="00472F69">
        <w:t>.</w:t>
      </w:r>
      <w:r w:rsidR="00375A19">
        <w:rPr>
          <w:rStyle w:val="FootnoteReference"/>
        </w:rPr>
        <w:footnoteReference w:id="16"/>
      </w:r>
    </w:p>
    <w:p w14:paraId="5B2A9AB7" w14:textId="71775DD4" w:rsidR="004E6189" w:rsidRDefault="00F95949" w:rsidP="00F37A82">
      <w:pPr>
        <w:pStyle w:val="Heading3"/>
        <w:ind w:left="720"/>
      </w:pPr>
      <w:r>
        <w:t xml:space="preserve">Congressional </w:t>
      </w:r>
      <w:r w:rsidR="009729FE">
        <w:t xml:space="preserve">Proposals </w:t>
      </w:r>
      <w:r w:rsidR="00B55895">
        <w:t xml:space="preserve">to </w:t>
      </w:r>
      <w:r w:rsidR="00E16D8F">
        <w:t xml:space="preserve">Further </w:t>
      </w:r>
      <w:r w:rsidR="00B55895">
        <w:t>Restrict S</w:t>
      </w:r>
      <w:r w:rsidR="00AB44DB">
        <w:t>tates</w:t>
      </w:r>
    </w:p>
    <w:p w14:paraId="225BBBAB" w14:textId="5AE492D5" w:rsidR="00BB6486" w:rsidRDefault="00EB14AC" w:rsidP="00DF24A5">
      <w:pPr>
        <w:ind w:left="720"/>
      </w:pPr>
      <w:r>
        <w:t xml:space="preserve">While the efforts of the Streamline states continued, </w:t>
      </w:r>
      <w:r w:rsidR="00421935">
        <w:t>Congress</w:t>
      </w:r>
      <w:r w:rsidR="007F0C65">
        <w:t xml:space="preserve"> </w:t>
      </w:r>
      <w:r w:rsidR="008B127B">
        <w:t>considered</w:t>
      </w:r>
      <w:r w:rsidR="00B534FE">
        <w:t xml:space="preserve"> enacting</w:t>
      </w:r>
      <w:r w:rsidR="008B127B">
        <w:t xml:space="preserve"> </w:t>
      </w:r>
      <w:r w:rsidR="00652245">
        <w:t>further restrictions</w:t>
      </w:r>
      <w:r w:rsidR="00421935">
        <w:t xml:space="preserve"> on</w:t>
      </w:r>
      <w:r w:rsidR="007F0C65">
        <w:t xml:space="preserve"> </w:t>
      </w:r>
      <w:r w:rsidR="00421935">
        <w:t xml:space="preserve">state </w:t>
      </w:r>
      <w:r w:rsidR="007F0C65">
        <w:t>sales taxes</w:t>
      </w:r>
      <w:r w:rsidR="00652245">
        <w:t>. Introduced</w:t>
      </w:r>
      <w:r w:rsidR="00A30DFD">
        <w:t xml:space="preserve"> first</w:t>
      </w:r>
      <w:r w:rsidR="00652245">
        <w:t xml:space="preserve"> in 2010, the</w:t>
      </w:r>
      <w:r w:rsidR="00421935">
        <w:t xml:space="preserve"> </w:t>
      </w:r>
      <w:r w:rsidR="00AA514B" w:rsidRPr="00D645DA">
        <w:t>Digital Goods and Services Tax Fairness Act (“DGSTFA”</w:t>
      </w:r>
      <w:r w:rsidR="00C366C7">
        <w:t>, H.R. 5649</w:t>
      </w:r>
      <w:r w:rsidR="00AA514B" w:rsidRPr="00D645DA">
        <w:t>)</w:t>
      </w:r>
      <w:r w:rsidR="00652245">
        <w:t xml:space="preserve"> </w:t>
      </w:r>
      <w:r w:rsidR="0099013C">
        <w:t xml:space="preserve">would </w:t>
      </w:r>
      <w:r w:rsidR="005C60B7">
        <w:t xml:space="preserve">have </w:t>
      </w:r>
      <w:r w:rsidR="00652245">
        <w:t>preempt</w:t>
      </w:r>
      <w:r w:rsidR="005C60B7">
        <w:t>ed</w:t>
      </w:r>
      <w:r w:rsidR="00652245">
        <w:t xml:space="preserve"> </w:t>
      </w:r>
      <w:r w:rsidR="005C60B7">
        <w:t>tax</w:t>
      </w:r>
      <w:r w:rsidR="00652245">
        <w:t xml:space="preserve"> on</w:t>
      </w:r>
      <w:r w:rsidR="00AA514B" w:rsidRPr="00D645DA">
        <w:t xml:space="preserve"> digital </w:t>
      </w:r>
      <w:r w:rsidR="005C60B7">
        <w:t>goods or services</w:t>
      </w:r>
      <w:r w:rsidR="00AA514B" w:rsidRPr="00D645DA">
        <w:t xml:space="preserve"> unless </w:t>
      </w:r>
      <w:r w:rsidR="0099013C">
        <w:t xml:space="preserve">the </w:t>
      </w:r>
      <w:r w:rsidR="005C60B7">
        <w:t xml:space="preserve">same </w:t>
      </w:r>
      <w:r w:rsidR="0099013C">
        <w:t xml:space="preserve">tax was </w:t>
      </w:r>
      <w:r w:rsidR="00AA514B" w:rsidRPr="00D645DA">
        <w:t xml:space="preserve">imposed on “similar” </w:t>
      </w:r>
      <w:r w:rsidR="00AA514B">
        <w:t>items</w:t>
      </w:r>
      <w:r w:rsidR="00652245">
        <w:t xml:space="preserve"> (a broader preemption than in ITFA). </w:t>
      </w:r>
    </w:p>
    <w:p w14:paraId="62FB4851" w14:textId="33769452" w:rsidR="006D4AD9" w:rsidRDefault="00BB6486" w:rsidP="00DF24A5">
      <w:pPr>
        <w:ind w:left="720"/>
      </w:pPr>
      <w:r>
        <w:t>In addition</w:t>
      </w:r>
      <w:r w:rsidR="00D17AE2">
        <w:t>, t</w:t>
      </w:r>
      <w:r w:rsidR="00D32B49">
        <w:t>he DGSTFA</w:t>
      </w:r>
      <w:r w:rsidR="006A1F4C">
        <w:t xml:space="preserve"> </w:t>
      </w:r>
      <w:r w:rsidR="00EB14AC">
        <w:t>prohibited</w:t>
      </w:r>
      <w:r w:rsidR="00FF3915">
        <w:t xml:space="preserve"> any state from taxing </w:t>
      </w:r>
      <w:r w:rsidR="00165BF4">
        <w:t>a</w:t>
      </w:r>
      <w:r w:rsidR="004C5FF0">
        <w:t xml:space="preserve"> </w:t>
      </w:r>
      <w:r w:rsidR="008E01B7">
        <w:t>digital</w:t>
      </w:r>
      <w:r w:rsidR="005C60B7">
        <w:t xml:space="preserve"> </w:t>
      </w:r>
      <w:r w:rsidR="008E01B7">
        <w:t>transaction except for the</w:t>
      </w:r>
      <w:r w:rsidR="00E93C50">
        <w:t xml:space="preserve"> </w:t>
      </w:r>
      <w:r w:rsidR="008D0E67">
        <w:t xml:space="preserve">single </w:t>
      </w:r>
      <w:r w:rsidR="00E93C50">
        <w:t xml:space="preserve">state to which </w:t>
      </w:r>
      <w:r>
        <w:t>that transaction</w:t>
      </w:r>
      <w:r w:rsidR="00E93C50">
        <w:t xml:space="preserve"> </w:t>
      </w:r>
      <w:r w:rsidR="008B127B">
        <w:t>w</w:t>
      </w:r>
      <w:r w:rsidR="00E93C50">
        <w:t>ould be sourced under the Act, typically the</w:t>
      </w:r>
      <w:r w:rsidR="008E01B7">
        <w:t xml:space="preserve"> </w:t>
      </w:r>
      <w:r w:rsidR="00E840DD">
        <w:t>customer’s location</w:t>
      </w:r>
      <w:r w:rsidR="00064EC0">
        <w:t>.</w:t>
      </w:r>
      <w:r w:rsidR="008B127B">
        <w:t xml:space="preserve"> </w:t>
      </w:r>
      <w:r w:rsidR="00826706">
        <w:t xml:space="preserve">But </w:t>
      </w:r>
      <w:r w:rsidR="003C7ED6">
        <w:t xml:space="preserve">as </w:t>
      </w:r>
      <w:r w:rsidR="00826706">
        <w:t>s</w:t>
      </w:r>
      <w:r w:rsidR="00A7448F">
        <w:t>tate</w:t>
      </w:r>
      <w:r w:rsidR="008B127B">
        <w:t>s</w:t>
      </w:r>
      <w:r w:rsidR="00D634E4">
        <w:t xml:space="preserve"> </w:t>
      </w:r>
      <w:r w:rsidR="007207AD">
        <w:t>pointed out</w:t>
      </w:r>
      <w:r w:rsidR="003C7ED6">
        <w:t xml:space="preserve">, </w:t>
      </w:r>
      <w:r w:rsidR="005C60B7">
        <w:t xml:space="preserve">because </w:t>
      </w:r>
      <w:r w:rsidR="008D0E67">
        <w:t>the Act</w:t>
      </w:r>
      <w:r w:rsidR="008B395F">
        <w:t xml:space="preserve"> </w:t>
      </w:r>
      <w:r w:rsidR="00EB14AC">
        <w:t xml:space="preserve">did not </w:t>
      </w:r>
      <w:r>
        <w:t xml:space="preserve">grant the destination state any relief from </w:t>
      </w:r>
      <w:r w:rsidR="00F53B81">
        <w:rPr>
          <w:i/>
          <w:iCs/>
        </w:rPr>
        <w:t>Quill’s</w:t>
      </w:r>
      <w:r>
        <w:t xml:space="preserve"> physical presence requirement, many digital transactions </w:t>
      </w:r>
      <w:r w:rsidR="00183BAA">
        <w:t xml:space="preserve">conducted </w:t>
      </w:r>
      <w:r>
        <w:t>over the Internet</w:t>
      </w:r>
      <w:r w:rsidR="00463E33">
        <w:t xml:space="preserve"> </w:t>
      </w:r>
      <w:r w:rsidR="00EB14AC">
        <w:t xml:space="preserve">would escape </w:t>
      </w:r>
      <w:r w:rsidR="008B127B">
        <w:t>tax</w:t>
      </w:r>
      <w:r w:rsidR="00EB14AC">
        <w:t xml:space="preserve"> entirely</w:t>
      </w:r>
      <w:r w:rsidR="00AA514B" w:rsidRPr="00D645DA">
        <w:t>.</w:t>
      </w:r>
      <w:r w:rsidR="00906F9A">
        <w:t xml:space="preserve"> </w:t>
      </w:r>
    </w:p>
    <w:p w14:paraId="367970F0" w14:textId="3185542E" w:rsidR="00AA514B" w:rsidRDefault="008B127B" w:rsidP="00DF24A5">
      <w:pPr>
        <w:ind w:left="720"/>
      </w:pPr>
      <w:r>
        <w:t>T</w:t>
      </w:r>
      <w:r w:rsidR="00AA514B" w:rsidRPr="00D645DA">
        <w:t xml:space="preserve">he Congressional Budget Office </w:t>
      </w:r>
      <w:r w:rsidR="009C754D">
        <w:t xml:space="preserve">concluded that </w:t>
      </w:r>
      <w:r w:rsidR="001B3589">
        <w:t xml:space="preserve">the DGSTFA constituted </w:t>
      </w:r>
      <w:r w:rsidR="009C754D">
        <w:t>an</w:t>
      </w:r>
      <w:r w:rsidR="00AA514B" w:rsidRPr="00D645DA">
        <w:t xml:space="preserve"> “unfunded mandate” </w:t>
      </w:r>
      <w:r w:rsidR="006A1F4C">
        <w:t>imposing</w:t>
      </w:r>
      <w:r w:rsidR="00AA514B" w:rsidRPr="00D645DA">
        <w:t xml:space="preserve"> costs on the states in the form of forgone revenues</w:t>
      </w:r>
      <w:r w:rsidR="00796931">
        <w:t>. Based on its estimates, those foregone revenues would total</w:t>
      </w:r>
      <w:r w:rsidR="00AA514B" w:rsidRPr="00D645DA">
        <w:t xml:space="preserve"> </w:t>
      </w:r>
      <w:r w:rsidR="00AA514B">
        <w:t>“</w:t>
      </w:r>
      <w:r w:rsidR="00D111BC">
        <w:t>m</w:t>
      </w:r>
      <w:r w:rsidR="00AA514B" w:rsidRPr="00D645DA">
        <w:t>ore than $3 billion in the first full year and at least that amount in each subsequent year.”</w:t>
      </w:r>
      <w:r w:rsidR="00AA514B" w:rsidRPr="00685851">
        <w:rPr>
          <w:rStyle w:val="FootnoteReference"/>
        </w:rPr>
        <w:footnoteReference w:id="17"/>
      </w:r>
      <w:r w:rsidR="00AA514B" w:rsidRPr="00D645DA">
        <w:t xml:space="preserve"> </w:t>
      </w:r>
    </w:p>
    <w:p w14:paraId="64F0BC28" w14:textId="45206EDD" w:rsidR="002F47F0" w:rsidRDefault="00F62AD6" w:rsidP="00F62AD6">
      <w:pPr>
        <w:pStyle w:val="Heading3"/>
        <w:ind w:left="720"/>
      </w:pPr>
      <w:r>
        <w:t>Other State Efforts</w:t>
      </w:r>
    </w:p>
    <w:p w14:paraId="121240CE" w14:textId="473F3FC2" w:rsidR="0059595F" w:rsidRPr="00D645DA" w:rsidRDefault="00ED6470" w:rsidP="00F62AD6">
      <w:pPr>
        <w:ind w:left="720"/>
      </w:pPr>
      <w:r>
        <w:t xml:space="preserve">As </w:t>
      </w:r>
      <w:r w:rsidR="00D01227">
        <w:t xml:space="preserve">the state </w:t>
      </w:r>
      <w:r w:rsidR="002F4A10">
        <w:t xml:space="preserve">efforts to </w:t>
      </w:r>
      <w:r w:rsidR="008B127B">
        <w:t xml:space="preserve">obtain relief from </w:t>
      </w:r>
      <w:r w:rsidR="006C7748">
        <w:t xml:space="preserve">Congress </w:t>
      </w:r>
      <w:r w:rsidR="008B127B">
        <w:t xml:space="preserve">appeared to stall, </w:t>
      </w:r>
      <w:r w:rsidR="00D01227">
        <w:t>some states</w:t>
      </w:r>
      <w:r w:rsidR="0059595F">
        <w:t xml:space="preserve"> considered</w:t>
      </w:r>
      <w:r w:rsidR="00D01227">
        <w:t xml:space="preserve"> imposing information reporting requirements on remote sellers or adopting </w:t>
      </w:r>
      <w:r w:rsidR="005C60B7">
        <w:t>so-called “affiliate nexus” provisions.</w:t>
      </w:r>
      <w:r w:rsidR="00035A9F">
        <w:rPr>
          <w:rStyle w:val="FootnoteReference"/>
        </w:rPr>
        <w:footnoteReference w:id="18"/>
      </w:r>
      <w:r w:rsidR="005C60B7">
        <w:t xml:space="preserve"> </w:t>
      </w:r>
      <w:r w:rsidR="008B127B">
        <w:t>Others</w:t>
      </w:r>
      <w:r w:rsidR="005C60B7">
        <w:t xml:space="preserve"> considered </w:t>
      </w:r>
      <w:r w:rsidR="0059595F">
        <w:t>business activity tax</w:t>
      </w:r>
      <w:r w:rsidR="006F45FF">
        <w:t>es</w:t>
      </w:r>
      <w:r w:rsidR="0059595F">
        <w:t>—adopted by Ohio, Nevada, and Oregon</w:t>
      </w:r>
      <w:r w:rsidR="005C60B7">
        <w:t>. But</w:t>
      </w:r>
      <w:r w:rsidR="00D111BC">
        <w:t xml:space="preserve"> eventually, the question of state</w:t>
      </w:r>
      <w:r w:rsidR="005C60B7">
        <w:t xml:space="preserve"> jurisdiction over remote sellers</w:t>
      </w:r>
      <w:r w:rsidR="00D111BC">
        <w:t xml:space="preserve"> found its way back to the Supreme Court. </w:t>
      </w:r>
    </w:p>
    <w:p w14:paraId="7F19EA38" w14:textId="7249EC19" w:rsidR="004B424A" w:rsidRDefault="008B127B" w:rsidP="00374EAE">
      <w:pPr>
        <w:pStyle w:val="Heading2"/>
      </w:pPr>
      <w:r>
        <w:t>The Supreme Court Weighs in Again –</w:t>
      </w:r>
      <w:r w:rsidR="004B424A" w:rsidRPr="00B109F1">
        <w:rPr>
          <w:i/>
          <w:iCs/>
        </w:rPr>
        <w:t>Wayfair</w:t>
      </w:r>
      <w:r w:rsidR="004B424A">
        <w:t xml:space="preserve"> and </w:t>
      </w:r>
      <w:r w:rsidR="008F08EE">
        <w:t>its Effects</w:t>
      </w:r>
    </w:p>
    <w:p w14:paraId="3B11F402" w14:textId="18F37B49" w:rsidR="00980321" w:rsidRDefault="002E66E2" w:rsidP="00EE138C">
      <w:r>
        <w:rPr>
          <w:noProof/>
        </w:rPr>
        <w:drawing>
          <wp:anchor distT="0" distB="0" distL="114300" distR="114300" simplePos="0" relativeHeight="251662336" behindDoc="1" locked="0" layoutInCell="1" allowOverlap="1" wp14:anchorId="4072B0C6" wp14:editId="2EFE06C9">
            <wp:simplePos x="0" y="0"/>
            <wp:positionH relativeFrom="margin">
              <wp:posOffset>4215765</wp:posOffset>
            </wp:positionH>
            <wp:positionV relativeFrom="paragraph">
              <wp:posOffset>6350</wp:posOffset>
            </wp:positionV>
            <wp:extent cx="2164080" cy="1273175"/>
            <wp:effectExtent l="0" t="0" r="7620" b="3175"/>
            <wp:wrapTight wrapText="bothSides">
              <wp:wrapPolygon edited="0">
                <wp:start x="0" y="0"/>
                <wp:lineTo x="0" y="21331"/>
                <wp:lineTo x="21486" y="21331"/>
                <wp:lineTo x="21486" y="0"/>
                <wp:lineTo x="0" y="0"/>
              </wp:wrapPolygon>
            </wp:wrapTight>
            <wp:docPr id="663210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8134"/>
                    <a:stretch>
                      <a:fillRect/>
                    </a:stretch>
                  </pic:blipFill>
                  <pic:spPr bwMode="auto">
                    <a:xfrm>
                      <a:off x="0" y="0"/>
                      <a:ext cx="2164080" cy="127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0321">
        <w:t>A</w:t>
      </w:r>
      <w:r w:rsidR="008B127B">
        <w:t xml:space="preserve">s </w:t>
      </w:r>
      <w:r w:rsidR="00392495">
        <w:t xml:space="preserve">states continued their </w:t>
      </w:r>
      <w:r w:rsidR="00980321">
        <w:t xml:space="preserve">Streamlined efforts </w:t>
      </w:r>
      <w:r w:rsidR="00193094">
        <w:t xml:space="preserve">and </w:t>
      </w:r>
      <w:r w:rsidR="00392495">
        <w:t xml:space="preserve">considered adopting </w:t>
      </w:r>
      <w:r w:rsidR="00193094">
        <w:t>in</w:t>
      </w:r>
      <w:r w:rsidR="008B127B">
        <w:t>formation reporting requirements</w:t>
      </w:r>
      <w:r w:rsidR="00193094">
        <w:t xml:space="preserve"> on</w:t>
      </w:r>
      <w:r w:rsidR="008B127B">
        <w:t xml:space="preserve"> remote sellers</w:t>
      </w:r>
      <w:r w:rsidR="00980321">
        <w:t>,</w:t>
      </w:r>
      <w:r w:rsidR="008B127B">
        <w:t xml:space="preserve"> </w:t>
      </w:r>
      <w:r w:rsidR="00E92623" w:rsidRPr="00D645DA">
        <w:t xml:space="preserve">the Supreme Court </w:t>
      </w:r>
      <w:r w:rsidR="008B127B">
        <w:t>again took up the question of whether remote sellers</w:t>
      </w:r>
      <w:r w:rsidR="00392495">
        <w:t xml:space="preserve"> could be required</w:t>
      </w:r>
      <w:r w:rsidR="008B127B">
        <w:t xml:space="preserve"> to collect sales tax. This time, the </w:t>
      </w:r>
      <w:r w:rsidR="00980321">
        <w:t>case involved</w:t>
      </w:r>
      <w:r w:rsidR="008B127B">
        <w:t xml:space="preserve"> an Internet</w:t>
      </w:r>
      <w:r w:rsidR="00980321">
        <w:t xml:space="preserve"> seller.</w:t>
      </w:r>
      <w:r w:rsidR="008B127B">
        <w:t xml:space="preserve"> </w:t>
      </w:r>
      <w:r w:rsidR="00980321">
        <w:t>See</w:t>
      </w:r>
      <w:r w:rsidR="008B127B">
        <w:t xml:space="preserve"> </w:t>
      </w:r>
      <w:r w:rsidR="004C11DC">
        <w:rPr>
          <w:i/>
          <w:iCs/>
        </w:rPr>
        <w:t>South Dakota v. W</w:t>
      </w:r>
      <w:r w:rsidR="00E92623" w:rsidRPr="00D645DA">
        <w:rPr>
          <w:i/>
          <w:iCs/>
        </w:rPr>
        <w:t>ayfai</w:t>
      </w:r>
      <w:r w:rsidR="004C11DC">
        <w:rPr>
          <w:i/>
          <w:iCs/>
        </w:rPr>
        <w:t>r</w:t>
      </w:r>
      <w:r w:rsidR="00E92623" w:rsidRPr="00D645DA">
        <w:t xml:space="preserve"> </w:t>
      </w:r>
      <w:r w:rsidR="00980321" w:rsidRPr="005B5F5F">
        <w:t xml:space="preserve">585 U.S. </w:t>
      </w:r>
      <w:r w:rsidR="00980321">
        <w:t>162, 187</w:t>
      </w:r>
      <w:r w:rsidR="00980321" w:rsidRPr="005B5F5F">
        <w:t xml:space="preserve"> (2018).</w:t>
      </w:r>
    </w:p>
    <w:p w14:paraId="508144EE" w14:textId="715A2CAF" w:rsidR="00980321" w:rsidRDefault="00980321" w:rsidP="00980321">
      <w:pPr>
        <w:pStyle w:val="Heading3"/>
        <w:ind w:left="720"/>
      </w:pPr>
      <w:r>
        <w:t xml:space="preserve">The Decision </w:t>
      </w:r>
    </w:p>
    <w:p w14:paraId="1502C08F" w14:textId="5404EABE" w:rsidR="00897950" w:rsidRDefault="00980321" w:rsidP="00193094">
      <w:pPr>
        <w:ind w:left="720"/>
      </w:pPr>
      <w:r>
        <w:t>T</w:t>
      </w:r>
      <w:r w:rsidR="007D42A8">
        <w:t xml:space="preserve">he Court </w:t>
      </w:r>
      <w:r w:rsidR="005669C7">
        <w:t>recognized</w:t>
      </w:r>
      <w:r w:rsidR="0053137C">
        <w:t xml:space="preserve"> the inherent problems with </w:t>
      </w:r>
      <w:r w:rsidR="00392495">
        <w:t>applying</w:t>
      </w:r>
      <w:r w:rsidR="005E7FC4">
        <w:t xml:space="preserve"> the </w:t>
      </w:r>
      <w:r w:rsidR="0053137C">
        <w:t xml:space="preserve">physical presence </w:t>
      </w:r>
      <w:r>
        <w:t xml:space="preserve">nexus </w:t>
      </w:r>
      <w:r w:rsidR="0053137C">
        <w:t xml:space="preserve">standard </w:t>
      </w:r>
      <w:r w:rsidR="005E7FC4">
        <w:t>in a world where it could be argued that “</w:t>
      </w:r>
      <w:r w:rsidR="005E7FC4" w:rsidRPr="005E7FC4">
        <w:t xml:space="preserve">a company with a website accessible in South Dakota may be said to have a physical presence in the State via the customers’ </w:t>
      </w:r>
      <w:r w:rsidR="005E7FC4" w:rsidRPr="005E7FC4">
        <w:lastRenderedPageBreak/>
        <w:t>computers</w:t>
      </w:r>
      <w:r w:rsidR="005E7FC4">
        <w:t xml:space="preserve">.” </w:t>
      </w:r>
      <w:r w:rsidR="004944B6">
        <w:t>But t</w:t>
      </w:r>
      <w:r w:rsidR="005E7FC4">
        <w:t>he Court</w:t>
      </w:r>
      <w:r>
        <w:t xml:space="preserve"> </w:t>
      </w:r>
      <w:r w:rsidR="004944B6">
        <w:t xml:space="preserve">went further, concluding that </w:t>
      </w:r>
      <w:r>
        <w:t xml:space="preserve">the dormant commerce clause </w:t>
      </w:r>
      <w:r w:rsidR="005E7FC4">
        <w:t xml:space="preserve">simply </w:t>
      </w:r>
      <w:r>
        <w:t xml:space="preserve">could not support </w:t>
      </w:r>
      <w:r w:rsidR="00A13D72">
        <w:t>this</w:t>
      </w:r>
      <w:r w:rsidR="00392495">
        <w:t xml:space="preserve"> </w:t>
      </w:r>
      <w:r w:rsidR="0099405C">
        <w:t xml:space="preserve">physical presence </w:t>
      </w:r>
      <w:r w:rsidR="00392495">
        <w:t xml:space="preserve">limitation on </w:t>
      </w:r>
      <w:r w:rsidR="0053137C">
        <w:t>state</w:t>
      </w:r>
      <w:r w:rsidR="000F6A8F">
        <w:t xml:space="preserve"> tax jurisdiction</w:t>
      </w:r>
      <w:r>
        <w:t xml:space="preserve">. </w:t>
      </w:r>
    </w:p>
    <w:p w14:paraId="434F42AF" w14:textId="7620CF54" w:rsidR="00193094" w:rsidRDefault="00193094" w:rsidP="00193094">
      <w:pPr>
        <w:ind w:left="720"/>
      </w:pPr>
      <w:r>
        <w:t xml:space="preserve">The Court also recognized that the same technological advances that made physical presence </w:t>
      </w:r>
      <w:r w:rsidR="00392495">
        <w:t>a</w:t>
      </w:r>
      <w:r w:rsidR="0099405C">
        <w:t xml:space="preserve"> clearly</w:t>
      </w:r>
      <w:r w:rsidR="00392495">
        <w:t xml:space="preserve"> arbitrary nexus standard</w:t>
      </w:r>
      <w:r>
        <w:t xml:space="preserve"> </w:t>
      </w:r>
      <w:r w:rsidR="0099405C">
        <w:t xml:space="preserve">were the same advances that </w:t>
      </w:r>
      <w:r>
        <w:t>provided a means to reduce</w:t>
      </w:r>
      <w:r w:rsidR="00392495">
        <w:t xml:space="preserve"> the</w:t>
      </w:r>
      <w:r>
        <w:t xml:space="preserve"> burdens on sellers, noting: </w:t>
      </w:r>
    </w:p>
    <w:p w14:paraId="4158D261" w14:textId="70BB19E8" w:rsidR="00193094" w:rsidRPr="00193094" w:rsidRDefault="00193094" w:rsidP="00193094">
      <w:pPr>
        <w:ind w:left="1152" w:right="432"/>
        <w:rPr>
          <w:sz w:val="24"/>
          <w:szCs w:val="22"/>
        </w:rPr>
      </w:pPr>
      <w:r>
        <w:rPr>
          <w:sz w:val="24"/>
          <w:szCs w:val="22"/>
        </w:rPr>
        <w:t>“</w:t>
      </w:r>
      <w:r w:rsidRPr="00193094">
        <w:rPr>
          <w:sz w:val="24"/>
          <w:szCs w:val="22"/>
        </w:rPr>
        <w:t>Eventually, software that is available at a reasonable cost may make it easier for small businesses to cope with these problems. Indeed, as the physical presence rule no longer controls, those systems may well become available in a short period of time, either from private providers or from state taxing agencies themselves.</w:t>
      </w:r>
      <w:r>
        <w:rPr>
          <w:sz w:val="24"/>
          <w:szCs w:val="22"/>
        </w:rPr>
        <w:t>”</w:t>
      </w:r>
    </w:p>
    <w:p w14:paraId="613EE3DC" w14:textId="672F13F1" w:rsidR="00980321" w:rsidRPr="001C5CEB" w:rsidRDefault="008657D4" w:rsidP="00980321">
      <w:pPr>
        <w:pStyle w:val="Heading3"/>
        <w:ind w:left="720"/>
      </w:pPr>
      <w:r>
        <w:t>State Response</w:t>
      </w:r>
      <w:r w:rsidR="00A13D72">
        <w:t xml:space="preserve"> </w:t>
      </w:r>
      <w:r>
        <w:t xml:space="preserve">to </w:t>
      </w:r>
      <w:r>
        <w:rPr>
          <w:i/>
          <w:iCs/>
        </w:rPr>
        <w:t>Wayfair</w:t>
      </w:r>
      <w:r w:rsidR="001C5CEB">
        <w:rPr>
          <w:i/>
          <w:iCs/>
        </w:rPr>
        <w:t xml:space="preserve"> </w:t>
      </w:r>
      <w:r w:rsidR="001C5CEB">
        <w:t>and Expansion of the Digital Economy</w:t>
      </w:r>
    </w:p>
    <w:p w14:paraId="467B745F" w14:textId="41920036" w:rsidR="00E92623" w:rsidRPr="00D645DA" w:rsidRDefault="00980321" w:rsidP="00980321">
      <w:pPr>
        <w:ind w:left="720"/>
      </w:pPr>
      <w:r>
        <w:t>Immediately</w:t>
      </w:r>
      <w:r w:rsidR="0048032F">
        <w:t xml:space="preserve"> after </w:t>
      </w:r>
      <w:r w:rsidR="0048032F" w:rsidRPr="00101596">
        <w:rPr>
          <w:i/>
          <w:iCs/>
        </w:rPr>
        <w:t>Wayfair</w:t>
      </w:r>
      <w:r w:rsidR="0048032F">
        <w:t xml:space="preserve">, states began </w:t>
      </w:r>
      <w:r>
        <w:t xml:space="preserve">work </w:t>
      </w:r>
      <w:r w:rsidR="0048032F">
        <w:t xml:space="preserve">to adopt much simpler </w:t>
      </w:r>
      <w:r w:rsidR="0048032F" w:rsidRPr="00D645DA">
        <w:t xml:space="preserve">dollar-based </w:t>
      </w:r>
      <w:r w:rsidR="0048032F">
        <w:t>sales tax nexus standards</w:t>
      </w:r>
      <w:r>
        <w:t xml:space="preserve"> </w:t>
      </w:r>
      <w:r w:rsidR="000B2A40">
        <w:t>for when sellers would be subject to requirements to collect tax in the state</w:t>
      </w:r>
      <w:r w:rsidR="0048032F">
        <w:t xml:space="preserve">. </w:t>
      </w:r>
      <w:r w:rsidR="00F35D58">
        <w:t>By this time, online marketplaces had become a prominent means for smaller businesses to sell their products across state lines</w:t>
      </w:r>
      <w:r w:rsidR="00442FDC">
        <w:t xml:space="preserve"> and</w:t>
      </w:r>
      <w:r w:rsidR="005364FC">
        <w:t xml:space="preserve"> </w:t>
      </w:r>
      <w:r w:rsidR="00442FDC">
        <w:t>s</w:t>
      </w:r>
      <w:r w:rsidR="00001335">
        <w:t>tates also adopted rules allowing these marketplaces to collect the tax</w:t>
      </w:r>
      <w:r w:rsidR="00A13D72">
        <w:t xml:space="preserve"> on behalf of their sellers</w:t>
      </w:r>
      <w:r w:rsidR="00001335">
        <w:t xml:space="preserve">. </w:t>
      </w:r>
      <w:r w:rsidR="00665D0F">
        <w:t xml:space="preserve">The MTC </w:t>
      </w:r>
      <w:r w:rsidR="0032388E">
        <w:t>played a rol</w:t>
      </w:r>
      <w:r w:rsidR="007A3947">
        <w:t>e</w:t>
      </w:r>
      <w:r w:rsidR="0032388E">
        <w:t xml:space="preserve"> in helping states coordinate th</w:t>
      </w:r>
      <w:r w:rsidR="00442FDC">
        <w:t>ese</w:t>
      </w:r>
      <w:r w:rsidR="0032388E">
        <w:t xml:space="preserve"> </w:t>
      </w:r>
      <w:r w:rsidR="00392495">
        <w:t xml:space="preserve">new </w:t>
      </w:r>
      <w:r w:rsidR="00442FDC">
        <w:t>rules</w:t>
      </w:r>
      <w:r w:rsidR="0032388E">
        <w:t>.</w:t>
      </w:r>
      <w:r w:rsidR="0032388E">
        <w:rPr>
          <w:rStyle w:val="FootnoteReference"/>
        </w:rPr>
        <w:footnoteReference w:id="19"/>
      </w:r>
    </w:p>
    <w:p w14:paraId="47A2AD1D" w14:textId="2CB56778" w:rsidR="00CA0790" w:rsidRDefault="00153D96" w:rsidP="00193094">
      <w:pPr>
        <w:ind w:left="720"/>
      </w:pPr>
      <w:r w:rsidRPr="00D645DA">
        <w:t xml:space="preserve">Since </w:t>
      </w:r>
      <w:r w:rsidRPr="00D645DA">
        <w:rPr>
          <w:i/>
          <w:iCs/>
        </w:rPr>
        <w:t>Wayfair</w:t>
      </w:r>
      <w:r w:rsidRPr="00D645DA">
        <w:t xml:space="preserve">, </w:t>
      </w:r>
      <w:r w:rsidR="000E5733">
        <w:t>there has also been a renewed focus on whether states should broaden their sales tax base to include</w:t>
      </w:r>
      <w:r w:rsidRPr="00D645DA">
        <w:t xml:space="preserve"> digital products</w:t>
      </w:r>
      <w:r w:rsidR="00E807AE">
        <w:t>.</w:t>
      </w:r>
      <w:r w:rsidR="00A13D72">
        <w:rPr>
          <w:rStyle w:val="FootnoteReference"/>
        </w:rPr>
        <w:footnoteReference w:id="20"/>
      </w:r>
      <w:r w:rsidR="00AB4E32">
        <w:t xml:space="preserve"> </w:t>
      </w:r>
      <w:r w:rsidR="00E807AE">
        <w:t xml:space="preserve">States </w:t>
      </w:r>
      <w:r w:rsidR="00592A99">
        <w:t xml:space="preserve">have </w:t>
      </w:r>
      <w:r w:rsidR="00E807AE">
        <w:t>also recognize</w:t>
      </w:r>
      <w:r w:rsidR="001C5CEB">
        <w:t>s</w:t>
      </w:r>
      <w:r w:rsidR="00E807AE">
        <w:t xml:space="preserve"> the challenges in taxing digital products—including defining </w:t>
      </w:r>
      <w:r w:rsidR="0035508D">
        <w:t>various</w:t>
      </w:r>
      <w:r w:rsidR="00E807AE">
        <w:t xml:space="preserve"> items, sourcing</w:t>
      </w:r>
      <w:r w:rsidR="0035508D">
        <w:t xml:space="preserve"> items sold over the Internet</w:t>
      </w:r>
      <w:r w:rsidR="00E807AE">
        <w:t xml:space="preserve">, handling bundled transactions, and providing for certain exemptions. </w:t>
      </w:r>
      <w:r w:rsidR="00980321">
        <w:t>Some s</w:t>
      </w:r>
      <w:r w:rsidR="009C52EF">
        <w:t xml:space="preserve">tates have also considered </w:t>
      </w:r>
      <w:r w:rsidR="006B50B5">
        <w:t>alternative</w:t>
      </w:r>
      <w:r w:rsidR="00AB4E32">
        <w:t xml:space="preserve"> taxes</w:t>
      </w:r>
      <w:r w:rsidR="00533B70">
        <w:t xml:space="preserve"> that would apply to the expanding digital economy</w:t>
      </w:r>
      <w:r w:rsidR="00AB4E32">
        <w:t>. For example</w:t>
      </w:r>
      <w:r w:rsidRPr="003E319F">
        <w:t xml:space="preserve">, in 2021, Maryland adopted a tax on digital advertising that has received significant attention and </w:t>
      </w:r>
      <w:r w:rsidR="00AB4E32">
        <w:t>has been</w:t>
      </w:r>
      <w:r w:rsidRPr="003E319F">
        <w:t xml:space="preserve"> the subject of </w:t>
      </w:r>
      <w:r w:rsidR="00AB4E32">
        <w:t xml:space="preserve">ongoing </w:t>
      </w:r>
      <w:r w:rsidRPr="003E319F">
        <w:t>litigation.</w:t>
      </w:r>
      <w:r w:rsidR="00DF4D0A" w:rsidRPr="00685851">
        <w:rPr>
          <w:rStyle w:val="FootnoteReference"/>
        </w:rPr>
        <w:footnoteReference w:id="21"/>
      </w:r>
    </w:p>
    <w:p w14:paraId="32C52B0C" w14:textId="77777777" w:rsidR="00974066" w:rsidRDefault="00974066">
      <w:pPr>
        <w:spacing w:line="278" w:lineRule="auto"/>
        <w:rPr>
          <w:rFonts w:eastAsiaTheme="majorEastAsia" w:cstheme="majorBidi"/>
          <w:b/>
          <w:color w:val="0F4761" w:themeColor="accent1" w:themeShade="BF"/>
          <w:sz w:val="36"/>
          <w:szCs w:val="40"/>
        </w:rPr>
      </w:pPr>
      <w:r>
        <w:br w:type="page"/>
      </w:r>
    </w:p>
    <w:p w14:paraId="519EDA1C" w14:textId="34CB0B19" w:rsidR="000733BF" w:rsidRDefault="004507B7" w:rsidP="00974066">
      <w:pPr>
        <w:pStyle w:val="Heading1"/>
      </w:pPr>
      <w:r>
        <w:lastRenderedPageBreak/>
        <w:t>N</w:t>
      </w:r>
      <w:r w:rsidR="000733BF" w:rsidRPr="000733BF">
        <w:t>arrowing of the Tax Base</w:t>
      </w:r>
    </w:p>
    <w:p w14:paraId="3C3B0C76" w14:textId="3734ABB4" w:rsidR="006B04A4" w:rsidRDefault="006B04A4" w:rsidP="006B04A4">
      <w:r>
        <w:t xml:space="preserve">As noted above, while </w:t>
      </w:r>
      <w:r w:rsidR="004251D2">
        <w:t>a handful of</w:t>
      </w:r>
      <w:r>
        <w:t xml:space="preserve"> states</w:t>
      </w:r>
      <w:r w:rsidR="001B573D">
        <w:t xml:space="preserve"> generally </w:t>
      </w:r>
      <w:r>
        <w:t>impose</w:t>
      </w:r>
      <w:r w:rsidR="001B573D">
        <w:t>d their</w:t>
      </w:r>
      <w:r>
        <w:t xml:space="preserve"> the sales tax</w:t>
      </w:r>
      <w:r w:rsidR="001B573D">
        <w:t>es</w:t>
      </w:r>
      <w:r>
        <w:t xml:space="preserve"> on a broad base—including tangible property, intangible property, and services—</w:t>
      </w:r>
      <w:r w:rsidR="004251D2">
        <w:t>most</w:t>
      </w:r>
      <w:r>
        <w:t xml:space="preserve"> </w:t>
      </w:r>
      <w:r w:rsidR="00DA2999">
        <w:t xml:space="preserve">initially </w:t>
      </w:r>
      <w:r>
        <w:t>impose</w:t>
      </w:r>
      <w:r w:rsidR="00DA2999">
        <w:t>d</w:t>
      </w:r>
      <w:r>
        <w:t xml:space="preserve"> it only on sales or transactions involving tangible personal property (however defined) and </w:t>
      </w:r>
      <w:r w:rsidR="00DA2999">
        <w:t xml:space="preserve">then expanded to include other items, including </w:t>
      </w:r>
      <w:r>
        <w:t xml:space="preserve">certain other specifically enumerated (or narrowly defined) items. </w:t>
      </w:r>
      <w:r w:rsidRPr="00C8001E">
        <w:t>The</w:t>
      </w:r>
      <w:r>
        <w:t>refore, the</w:t>
      </w:r>
      <w:r w:rsidRPr="00C8001E">
        <w:t xml:space="preserve"> relative breadth of the</w:t>
      </w:r>
      <w:r>
        <w:t xml:space="preserve"> </w:t>
      </w:r>
      <w:r w:rsidRPr="00C8001E">
        <w:t>tax base (excluding specific excise taxes) varies from state to state</w:t>
      </w:r>
      <w:r>
        <w:t xml:space="preserve">. Some studies have measured this </w:t>
      </w:r>
      <w:r w:rsidR="005A3B94">
        <w:t xml:space="preserve">relative </w:t>
      </w:r>
      <w:r w:rsidR="008470D4">
        <w:t xml:space="preserve">breadth </w:t>
      </w:r>
      <w:r w:rsidR="005A3B94">
        <w:t>against</w:t>
      </w:r>
      <w:r w:rsidRPr="00C8001E">
        <w:t xml:space="preserve"> </w:t>
      </w:r>
      <w:r>
        <w:t xml:space="preserve">overall </w:t>
      </w:r>
      <w:r w:rsidRPr="00C8001E">
        <w:t>consumption data</w:t>
      </w:r>
      <w:r>
        <w:t xml:space="preserve"> and others </w:t>
      </w:r>
      <w:r w:rsidR="005A3B94">
        <w:t xml:space="preserve">have </w:t>
      </w:r>
      <w:r>
        <w:t xml:space="preserve">based </w:t>
      </w:r>
      <w:r w:rsidR="005A3B94">
        <w:t xml:space="preserve">it </w:t>
      </w:r>
      <w:r>
        <w:t xml:space="preserve">on </w:t>
      </w:r>
      <w:r w:rsidR="006724AD">
        <w:t xml:space="preserve">the state’s share of </w:t>
      </w:r>
      <w:r w:rsidRPr="00C8001E">
        <w:t>personal income</w:t>
      </w:r>
      <w:r w:rsidR="006724AD">
        <w:t xml:space="preserve"> as compared to its share of the sales tax base</w:t>
      </w:r>
      <w:r w:rsidRPr="00C8001E">
        <w:t xml:space="preserve">. One estimate </w:t>
      </w:r>
      <w:r w:rsidR="00A27307">
        <w:t xml:space="preserve">of the breadth of states’ sales tax bases </w:t>
      </w:r>
      <w:r w:rsidR="00B42F0A">
        <w:t xml:space="preserve">by comparing the share of tax revenue to </w:t>
      </w:r>
      <w:r w:rsidR="00A27307">
        <w:t>the</w:t>
      </w:r>
      <w:r w:rsidR="00194D07">
        <w:t xml:space="preserve"> </w:t>
      </w:r>
      <w:r w:rsidR="006724AD">
        <w:t xml:space="preserve">share of personal income </w:t>
      </w:r>
      <w:r w:rsidRPr="00C8001E">
        <w:t>shows a variation ranging from 19% (California) to 94% (Hawaii).</w:t>
      </w:r>
      <w:r w:rsidRPr="00685851">
        <w:rPr>
          <w:rStyle w:val="FootnoteReference"/>
        </w:rPr>
        <w:footnoteReference w:id="22"/>
      </w:r>
      <w:r w:rsidRPr="00C8001E">
        <w:t xml:space="preserve"> </w:t>
      </w:r>
    </w:p>
    <w:p w14:paraId="21924B58" w14:textId="44DF2D43" w:rsidR="00980321" w:rsidRDefault="00D32FBE" w:rsidP="000733BF">
      <w:r>
        <w:t>But</w:t>
      </w:r>
      <w:r w:rsidR="004559B1">
        <w:t>, again,</w:t>
      </w:r>
      <w:r w:rsidR="00194D07">
        <w:t xml:space="preserve"> </w:t>
      </w:r>
      <w:r>
        <w:t xml:space="preserve">it </w:t>
      </w:r>
      <w:r w:rsidR="007226A5">
        <w:t xml:space="preserve">is widely accepted that </w:t>
      </w:r>
      <w:r w:rsidR="00186CF6">
        <w:t>state sales tax base</w:t>
      </w:r>
      <w:r w:rsidR="004559B1">
        <w:t>s</w:t>
      </w:r>
      <w:r w:rsidR="00186CF6">
        <w:t xml:space="preserve"> </w:t>
      </w:r>
      <w:r w:rsidR="004559B1">
        <w:t>are</w:t>
      </w:r>
      <w:r w:rsidR="00693BDB">
        <w:t xml:space="preserve"> narrowing</w:t>
      </w:r>
      <w:r w:rsidR="00210B61">
        <w:t xml:space="preserve"> when compared to </w:t>
      </w:r>
      <w:r w:rsidR="004559B1">
        <w:t>overall economy</w:t>
      </w:r>
      <w:r w:rsidR="003102AF">
        <w:t>.</w:t>
      </w:r>
      <w:r w:rsidR="00944C3A">
        <w:rPr>
          <w:rStyle w:val="FootnoteReference"/>
        </w:rPr>
        <w:footnoteReference w:id="23"/>
      </w:r>
      <w:r w:rsidR="008540F3">
        <w:t xml:space="preserve"> </w:t>
      </w:r>
      <w:r w:rsidR="007D284C">
        <w:t>The main reasons for and effects of this narrowing are</w:t>
      </w:r>
      <w:r w:rsidR="004F78CA">
        <w:t xml:space="preserve"> </w:t>
      </w:r>
      <w:r w:rsidR="008A59E9">
        <w:t>described below.</w:t>
      </w:r>
      <w:r w:rsidR="007226A5">
        <w:t xml:space="preserve"> </w:t>
      </w:r>
    </w:p>
    <w:p w14:paraId="064AC006" w14:textId="1BE10C51" w:rsidR="00836F71" w:rsidRDefault="00836F71" w:rsidP="001A3397">
      <w:pPr>
        <w:pStyle w:val="Heading3"/>
        <w:keepNext w:val="0"/>
        <w:keepLines w:val="0"/>
        <w:spacing w:before="0" w:line="278" w:lineRule="auto"/>
      </w:pPr>
      <w:r>
        <w:t>Reasons:</w:t>
      </w:r>
    </w:p>
    <w:p w14:paraId="5E1EEB15" w14:textId="053FC0B9" w:rsidR="00622749" w:rsidRDefault="00622749" w:rsidP="004A3A11">
      <w:pPr>
        <w:pStyle w:val="Heading3"/>
        <w:spacing w:before="120"/>
        <w:ind w:left="576"/>
      </w:pPr>
      <w:r>
        <w:t>Common Exemption</w:t>
      </w:r>
      <w:r w:rsidR="00CE61D7">
        <w:t>s</w:t>
      </w:r>
      <w:r w:rsidR="00D33A74">
        <w:t xml:space="preserve"> – to Reduce Pyramiding and Regressivity</w:t>
      </w:r>
    </w:p>
    <w:p w14:paraId="2C3E1DED" w14:textId="18133FD3" w:rsidR="00210B61" w:rsidRDefault="00622749" w:rsidP="00622749">
      <w:pPr>
        <w:ind w:left="576"/>
      </w:pPr>
      <w:r w:rsidRPr="00C8001E">
        <w:t xml:space="preserve">Most states have attempted to reduce what is sometimes called sales tax “pyramiding” or “cascading” on </w:t>
      </w:r>
      <w:r w:rsidR="00FD55B7">
        <w:t>B2B</w:t>
      </w:r>
      <w:r w:rsidR="00194D07">
        <w:t xml:space="preserve"> </w:t>
      </w:r>
      <w:r w:rsidRPr="00C8001E">
        <w:t xml:space="preserve">transactions by granting exemptions for purchases made for resale or purchases of manufacturing or processing inputs or other business inputs. In some cases, however, </w:t>
      </w:r>
      <w:r w:rsidRPr="0051651D">
        <w:rPr>
          <w:b/>
          <w:noProof/>
        </w:rPr>
        <mc:AlternateContent>
          <mc:Choice Requires="wpg">
            <w:drawing>
              <wp:anchor distT="0" distB="0" distL="228600" distR="228600" simplePos="0" relativeHeight="251665408" behindDoc="1" locked="0" layoutInCell="1" allowOverlap="1" wp14:anchorId="4D2B4EB4" wp14:editId="11772EC7">
                <wp:simplePos x="0" y="0"/>
                <wp:positionH relativeFrom="margin">
                  <wp:posOffset>5058410</wp:posOffset>
                </wp:positionH>
                <wp:positionV relativeFrom="margin">
                  <wp:posOffset>-9859315</wp:posOffset>
                </wp:positionV>
                <wp:extent cx="1550035" cy="709295"/>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1550035" cy="709295"/>
                          <a:chOff x="0" y="-118617"/>
                          <a:chExt cx="1828800" cy="555704"/>
                        </a:xfrm>
                        <a:solidFill>
                          <a:srgbClr val="B40000"/>
                        </a:solidFill>
                      </wpg:grpSpPr>
                      <wps:wsp>
                        <wps:cNvPr id="16" name="Rectangle 16"/>
                        <wps:cNvSpPr/>
                        <wps:spPr>
                          <a:xfrm>
                            <a:off x="0" y="-118617"/>
                            <a:ext cx="1828799" cy="206230"/>
                          </a:xfrm>
                          <a:prstGeom prst="rect">
                            <a:avLst/>
                          </a:prstGeom>
                          <a:solidFill>
                            <a:sysClr val="windowText" lastClr="000000">
                              <a:lumMod val="85000"/>
                              <a:lumOff val="1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0" y="104810"/>
                            <a:ext cx="1828800" cy="332277"/>
                          </a:xfrm>
                          <a:prstGeom prst="rect">
                            <a:avLst/>
                          </a:prstGeom>
                          <a:grpFill/>
                          <a:ln w="6350">
                            <a:noFill/>
                          </a:ln>
                          <a:effectLst/>
                        </wps:spPr>
                        <wps:txbx>
                          <w:txbxContent>
                            <w:p w14:paraId="0F84A777" w14:textId="77777777" w:rsidR="00622749" w:rsidRPr="00C305D3" w:rsidRDefault="00622749" w:rsidP="00622749">
                              <w:pPr>
                                <w:pStyle w:val="NoSpacing"/>
                                <w:jc w:val="center"/>
                                <w:rPr>
                                  <w:rFonts w:eastAsiaTheme="majorEastAsia" w:cstheme="minorHAnsi"/>
                                  <w:b/>
                                  <w:bCs/>
                                  <w:caps/>
                                  <w:color w:val="FFFFFF" w:themeColor="background1"/>
                                  <w:sz w:val="18"/>
                                  <w:szCs w:val="18"/>
                                </w:rPr>
                              </w:pPr>
                              <w:r>
                                <w:rPr>
                                  <w:rFonts w:eastAsiaTheme="majorEastAsia" w:cstheme="minorHAnsi"/>
                                  <w:b/>
                                  <w:bCs/>
                                  <w:caps/>
                                  <w:color w:val="FFFFFF" w:themeColor="background1"/>
                                  <w:sz w:val="18"/>
                                  <w:szCs w:val="18"/>
                                </w:rPr>
                                <w:t>Majority Rules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2B4EB4" id="Group 15" o:spid="_x0000_s1026" style="position:absolute;left:0;text-align:left;margin-left:398.3pt;margin-top:-776.3pt;width:122.05pt;height:55.85pt;z-index:-251651072;mso-wrap-distance-left:18pt;mso-wrap-distance-right:18pt;mso-position-horizontal-relative:margin;mso-position-vertical-relative:margin;mso-width-relative:margin;mso-height-relative:margin" coordorigin=",-1186" coordsize="18288,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">
                <v:rect id="Rectangle 16" o:spid="_x0000_s1027" style="position:absolute;top:-1186;width:18287;height:2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" fillcolor="#262626" stroked="f" strokeweight="2pt"/>
                <v:shapetype id="_x0000_t202" coordsize="21600,21600" o:spt="202" path="m,l,21600r21600,l21600,xe">
                  <v:stroke joinstyle="miter"/>
                  <v:path gradientshapeok="t" o:connecttype="rect"/>
                </v:shapetype>
                <v:shape id="Text Box 18" o:spid="_x0000_s1028" type="#_x0000_t202" style="position:absolute;top:1048;width:18288;height:3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" filled="f" stroked="f" strokeweight=".5pt">
                  <v:textbox inset=",7.2pt,,7.2pt">
                    <w:txbxContent>
                      <w:p w14:paraId="0F84A777" w14:textId="77777777" w:rsidR="00622749" w:rsidRPr="00C305D3" w:rsidRDefault="00622749" w:rsidP="00622749">
                        <w:pPr>
                          <w:pStyle w:val="NoSpacing"/>
                          <w:jc w:val="center"/>
                          <w:rPr>
                            <w:rFonts w:eastAsiaTheme="majorEastAsia" w:cstheme="minorHAnsi"/>
                            <w:b/>
                            <w:bCs/>
                            <w:caps/>
                            <w:color w:val="FFFFFF" w:themeColor="background1"/>
                            <w:sz w:val="18"/>
                            <w:szCs w:val="18"/>
                          </w:rPr>
                        </w:pPr>
                        <w:r>
                          <w:rPr>
                            <w:rFonts w:eastAsiaTheme="majorEastAsia" w:cstheme="minorHAnsi"/>
                            <w:b/>
                            <w:bCs/>
                            <w:caps/>
                            <w:color w:val="FFFFFF" w:themeColor="background1"/>
                            <w:sz w:val="18"/>
                            <w:szCs w:val="18"/>
                          </w:rPr>
                          <w:t>Majority Rules</w:t>
                        </w:r>
                      </w:p>
                    </w:txbxContent>
                  </v:textbox>
                </v:shape>
                <w10:wrap type="square" anchorx="margin" anchory="margin"/>
              </v:group>
            </w:pict>
          </mc:Fallback>
        </mc:AlternateContent>
      </w:r>
      <w:r w:rsidRPr="00C8001E">
        <w:t>imposing tax on B2B transactions may be</w:t>
      </w:r>
      <w:r>
        <w:t xml:space="preserve"> considered</w:t>
      </w:r>
      <w:r w:rsidRPr="00C8001E">
        <w:t xml:space="preserve"> justified where there is no tax imposed on the ultimate consumption.</w:t>
      </w:r>
      <w:r w:rsidRPr="00685851">
        <w:rPr>
          <w:rStyle w:val="FootnoteReference"/>
        </w:rPr>
        <w:footnoteReference w:id="24"/>
      </w:r>
      <w:r>
        <w:t xml:space="preserve"> </w:t>
      </w:r>
    </w:p>
    <w:p w14:paraId="632D7EC3" w14:textId="0D54A59F" w:rsidR="00622749" w:rsidRDefault="00622749" w:rsidP="00622749">
      <w:pPr>
        <w:ind w:left="576"/>
      </w:pPr>
      <w:r w:rsidRPr="00C8001E">
        <w:t xml:space="preserve">Most states have </w:t>
      </w:r>
      <w:r>
        <w:t xml:space="preserve">also </w:t>
      </w:r>
      <w:r w:rsidRPr="00C8001E">
        <w:t>attempted to reduce the regressivity of sales taxes. Methods include exempting certain essential purchases, such as food,</w:t>
      </w:r>
      <w:r w:rsidR="00CE61D7">
        <w:t xml:space="preserve"> adopting</w:t>
      </w:r>
      <w:r w:rsidRPr="00C8001E">
        <w:t xml:space="preserve"> </w:t>
      </w:r>
      <w:r>
        <w:t xml:space="preserve">tax “holidays,” </w:t>
      </w:r>
      <w:r w:rsidR="001A37FE">
        <w:t xml:space="preserve">and </w:t>
      </w:r>
      <w:r w:rsidRPr="00C8001E">
        <w:t>providing credits tied to income</w:t>
      </w:r>
      <w:r w:rsidR="001A37FE">
        <w:t xml:space="preserve">. </w:t>
      </w:r>
      <w:r w:rsidR="00B160EA">
        <w:t>States also have granted exemptions for certain items generally viewed as beneficial or essential</w:t>
      </w:r>
      <w:r w:rsidR="00E665E7">
        <w:t xml:space="preserve">, such as health-related or educational items. </w:t>
      </w:r>
      <w:r w:rsidR="001A37FE">
        <w:t>Less often do states expand</w:t>
      </w:r>
      <w:r w:rsidRPr="00C8001E">
        <w:t xml:space="preserve"> the tax base to include certain services purchased by higher-income households.</w:t>
      </w:r>
      <w:r w:rsidRPr="00685851">
        <w:rPr>
          <w:rStyle w:val="FootnoteReference"/>
        </w:rPr>
        <w:footnoteReference w:id="25"/>
      </w:r>
      <w:r w:rsidR="00194D07">
        <w:t xml:space="preserve"> </w:t>
      </w:r>
    </w:p>
    <w:p w14:paraId="6364DB86" w14:textId="7CF273DF" w:rsidR="00622749" w:rsidRDefault="00DA1047" w:rsidP="00D721EC">
      <w:pPr>
        <w:pStyle w:val="Heading3"/>
        <w:spacing w:before="120"/>
        <w:ind w:left="576"/>
      </w:pPr>
      <w:r>
        <w:lastRenderedPageBreak/>
        <w:t xml:space="preserve">Tax </w:t>
      </w:r>
      <w:r w:rsidR="00357D6F">
        <w:t xml:space="preserve">Bases </w:t>
      </w:r>
      <w:r w:rsidR="00D33A74">
        <w:t xml:space="preserve">that </w:t>
      </w:r>
      <w:r w:rsidR="00357D6F">
        <w:t xml:space="preserve">Started Narrow and </w:t>
      </w:r>
      <w:r w:rsidR="009427F0">
        <w:t>Lack Adaptability</w:t>
      </w:r>
      <w:r w:rsidR="00622749">
        <w:t xml:space="preserve"> </w:t>
      </w:r>
    </w:p>
    <w:p w14:paraId="7F38B834" w14:textId="759CB862" w:rsidR="00423224" w:rsidRPr="00C8001E" w:rsidRDefault="0092326A" w:rsidP="00874F3E">
      <w:pPr>
        <w:ind w:left="576"/>
      </w:pPr>
      <w:r>
        <w:t>But again,</w:t>
      </w:r>
      <w:r w:rsidR="00386AD7">
        <w:t xml:space="preserve"> while states may </w:t>
      </w:r>
      <w:r w:rsidR="00E02D70">
        <w:t>grant exemptions for various purposes,</w:t>
      </w:r>
      <w:r>
        <w:t xml:space="preserve"> most agree that the base is </w:t>
      </w:r>
      <w:r w:rsidR="00E02D70">
        <w:t xml:space="preserve">also </w:t>
      </w:r>
      <w:r>
        <w:t xml:space="preserve">narrowing </w:t>
      </w:r>
      <w:r w:rsidR="00960238">
        <w:t xml:space="preserve">because of </w:t>
      </w:r>
      <w:r w:rsidR="00423224" w:rsidRPr="00C8001E">
        <w:t>changes in the economy</w:t>
      </w:r>
      <w:r w:rsidR="00960238">
        <w:t>. O</w:t>
      </w:r>
      <w:r w:rsidR="00423224" w:rsidRPr="00C8001E">
        <w:t>ne expert estimated that the breadth of the sales tax base across all states has narrowed by as much as 35% since 2000.</w:t>
      </w:r>
      <w:r w:rsidR="00423224" w:rsidRPr="00685851">
        <w:rPr>
          <w:rStyle w:val="FootnoteReference"/>
        </w:rPr>
        <w:footnoteReference w:id="26"/>
      </w:r>
      <w:r w:rsidR="00423224" w:rsidRPr="00C8001E">
        <w:t xml:space="preserve"> </w:t>
      </w:r>
    </w:p>
    <w:p w14:paraId="2F4697F8" w14:textId="13EEC575" w:rsidR="00622749" w:rsidRDefault="00960238" w:rsidP="00622749">
      <w:pPr>
        <w:spacing w:after="120"/>
        <w:ind w:left="576"/>
      </w:pPr>
      <w:r>
        <w:t xml:space="preserve">To the extent this narrowing is </w:t>
      </w:r>
      <w:r w:rsidR="00A35A95">
        <w:t xml:space="preserve">due to the </w:t>
      </w:r>
      <w:r w:rsidR="00622749">
        <w:t>inability of the state and local sales taxes to adapt to changes in the economy</w:t>
      </w:r>
      <w:r w:rsidR="00A35A95">
        <w:t>, this issue is</w:t>
      </w:r>
      <w:r w:rsidR="00622749" w:rsidRPr="00C8001E">
        <w:t xml:space="preserve"> often cited as critical to the tax’s future.</w:t>
      </w:r>
      <w:r w:rsidR="00622749" w:rsidRPr="00685851">
        <w:rPr>
          <w:rStyle w:val="FootnoteReference"/>
        </w:rPr>
        <w:footnoteReference w:id="27"/>
      </w:r>
      <w:r w:rsidR="00622749" w:rsidRPr="00C8001E">
        <w:t xml:space="preserve"> </w:t>
      </w:r>
      <w:r w:rsidR="00622749">
        <w:t>Experts have, for decades, noted the failure of sales taxes to keep up with the digital economy, to the point where one noted expert has opined:</w:t>
      </w:r>
    </w:p>
    <w:p w14:paraId="633DAEC3" w14:textId="44FBDFA4" w:rsidR="007F16CF" w:rsidRPr="00C8001E" w:rsidRDefault="00622749" w:rsidP="007F16CF">
      <w:pPr>
        <w:ind w:left="1152" w:right="576"/>
      </w:pPr>
      <w:r>
        <w:t xml:space="preserve">“. . .the tax, as it currently functions, is an anachronism that reflects its origins in the Industrial Age nearly 70 years ago; since the [retail sales tax or RST] was created without a firm conceptual basis and “just </w:t>
      </w:r>
      <w:proofErr w:type="spellStart"/>
      <w:r>
        <w:t>growed</w:t>
      </w:r>
      <w:proofErr w:type="spellEnd"/>
      <w:r>
        <w:t>,” it is not surprising that it is defective—or that e-commerce magnifies its defects. But the problem may be deeper than this; even if reformed, the RST may simply not be suitable to serve as the most important source of tax revenue of state and local governments in the twenty-first century.”</w:t>
      </w:r>
      <w:r w:rsidRPr="00685851">
        <w:rPr>
          <w:rStyle w:val="FootnoteReference"/>
        </w:rPr>
        <w:footnoteReference w:id="28"/>
      </w:r>
    </w:p>
    <w:p w14:paraId="77EF5B75" w14:textId="08B2FE61" w:rsidR="00FE43AA" w:rsidRDefault="00FE43AA" w:rsidP="001A3397">
      <w:pPr>
        <w:spacing w:after="80" w:line="278" w:lineRule="auto"/>
        <w:outlineLvl w:val="2"/>
        <w:rPr>
          <w:b/>
          <w:bCs/>
        </w:rPr>
      </w:pPr>
      <w:r>
        <w:rPr>
          <w:b/>
          <w:bCs/>
        </w:rPr>
        <w:t>Effects:</w:t>
      </w:r>
    </w:p>
    <w:p w14:paraId="0F36EF8A" w14:textId="24E4C892" w:rsidR="003D2FF9" w:rsidRPr="00975B18" w:rsidRDefault="003D2FF9" w:rsidP="004A3A11">
      <w:pPr>
        <w:keepNext/>
        <w:keepLines/>
        <w:spacing w:before="120" w:after="80"/>
        <w:ind w:left="576"/>
        <w:outlineLvl w:val="2"/>
        <w:rPr>
          <w:b/>
          <w:bCs/>
        </w:rPr>
      </w:pPr>
      <w:r w:rsidRPr="00975B18">
        <w:rPr>
          <w:b/>
          <w:bCs/>
        </w:rPr>
        <w:t>Revenue Generated from the Tax</w:t>
      </w:r>
    </w:p>
    <w:p w14:paraId="3AC96728" w14:textId="53BBFD34" w:rsidR="003D2FF9" w:rsidRPr="00975B18" w:rsidRDefault="003D2FF9" w:rsidP="003D2FF9">
      <w:pPr>
        <w:ind w:left="576"/>
      </w:pPr>
      <w:r w:rsidRPr="00975B18">
        <w:t xml:space="preserve">The share of tax revenue that </w:t>
      </w:r>
      <w:r w:rsidR="003A0285" w:rsidRPr="00975B18">
        <w:t xml:space="preserve">a </w:t>
      </w:r>
      <w:r w:rsidRPr="00975B18">
        <w:t xml:space="preserve">state derives from </w:t>
      </w:r>
      <w:r w:rsidR="003A0285" w:rsidRPr="00975B18">
        <w:t xml:space="preserve">its </w:t>
      </w:r>
      <w:r w:rsidRPr="00975B18">
        <w:t>sales tax varies. A 2020 study found that sales taxes provided 32% of all state tax revenue, slightly less than the revenue provided by state personal income taxes, although, in 16 states, sales taxes are the largest source of tax revenues.</w:t>
      </w:r>
      <w:r w:rsidRPr="00975B18">
        <w:rPr>
          <w:rStyle w:val="FootnoteReference"/>
        </w:rPr>
        <w:footnoteReference w:id="29"/>
      </w:r>
      <w:r w:rsidRPr="00975B18">
        <w:t xml:space="preserve"> According to U.S. census data for more recent quarters, total state sales tax revenue for all states was about 30% of total state tax revenue.</w:t>
      </w:r>
      <w:r w:rsidRPr="00975B18">
        <w:rPr>
          <w:rStyle w:val="FootnoteReference"/>
        </w:rPr>
        <w:footnoteReference w:id="30"/>
      </w:r>
      <w:r w:rsidRPr="00975B18">
        <w:t xml:space="preserve"> This slightly lower percentage may be anomalous, or it may be consistent with the slight but steady relative decline in sales tax revenue that has occurred over the last few decades.</w:t>
      </w:r>
      <w:r w:rsidRPr="00975B18">
        <w:rPr>
          <w:rStyle w:val="FootnoteReference"/>
        </w:rPr>
        <w:footnoteReference w:id="31"/>
      </w:r>
      <w:r w:rsidRPr="00975B18">
        <w:t xml:space="preserve"> </w:t>
      </w:r>
    </w:p>
    <w:p w14:paraId="5B874192" w14:textId="77777777" w:rsidR="003D2FF9" w:rsidRPr="00B416FC" w:rsidRDefault="003D2FF9" w:rsidP="004A3A11">
      <w:pPr>
        <w:pStyle w:val="Heading3"/>
        <w:spacing w:before="120"/>
        <w:ind w:left="576"/>
      </w:pPr>
      <w:r w:rsidRPr="00B416FC">
        <w:t>Tax Rates Imposed</w:t>
      </w:r>
    </w:p>
    <w:p w14:paraId="6EEB6849" w14:textId="2FD4E56B" w:rsidR="003D2FF9" w:rsidRPr="00C8001E" w:rsidRDefault="003D2FF9" w:rsidP="003D2FF9">
      <w:pPr>
        <w:ind w:left="576"/>
      </w:pPr>
      <w:r w:rsidRPr="00B416FC">
        <w:t xml:space="preserve">Sales tax rates also vary between jurisdictions and depend on both the state rate imposed and any local rates that may be included. Today, the highest combined state and local rate is </w:t>
      </w:r>
      <w:r w:rsidR="00306293">
        <w:t xml:space="preserve">around </w:t>
      </w:r>
      <w:r w:rsidRPr="00B416FC">
        <w:t>1</w:t>
      </w:r>
      <w:r w:rsidR="00306293">
        <w:t>1</w:t>
      </w:r>
      <w:r w:rsidRPr="00B416FC">
        <w:t xml:space="preserve">%, and the lowest </w:t>
      </w:r>
      <w:r w:rsidR="00431707">
        <w:t xml:space="preserve">(for states that have both state and local taxes) </w:t>
      </w:r>
      <w:r w:rsidRPr="00B416FC">
        <w:t xml:space="preserve">is around 5%. </w:t>
      </w:r>
      <w:r w:rsidR="00EA7654">
        <w:t>M</w:t>
      </w:r>
      <w:r w:rsidRPr="00B416FC">
        <w:t xml:space="preserve">edian state rates </w:t>
      </w:r>
      <w:r w:rsidR="00EA7654">
        <w:t xml:space="preserve">increased </w:t>
      </w:r>
      <w:r w:rsidR="00BB1B5E">
        <w:t>have increased over time,</w:t>
      </w:r>
      <w:r w:rsidR="00AA00EE">
        <w:rPr>
          <w:rStyle w:val="FootnoteReference"/>
        </w:rPr>
        <w:footnoteReference w:id="32"/>
      </w:r>
      <w:r w:rsidR="00BB1B5E">
        <w:t xml:space="preserve"> </w:t>
      </w:r>
      <w:r w:rsidR="00AA00EE">
        <w:t xml:space="preserve">with </w:t>
      </w:r>
      <w:r w:rsidRPr="00B416FC">
        <w:t xml:space="preserve">about one percentage point </w:t>
      </w:r>
      <w:r w:rsidR="00AA00EE">
        <w:t xml:space="preserve">change </w:t>
      </w:r>
      <w:r w:rsidR="006F710B">
        <w:t xml:space="preserve">between </w:t>
      </w:r>
      <w:r w:rsidR="00EA7654">
        <w:lastRenderedPageBreak/>
        <w:t>2008 and 2018</w:t>
      </w:r>
      <w:r w:rsidRPr="00B416FC">
        <w:t>.</w:t>
      </w:r>
      <w:r w:rsidRPr="00B416FC">
        <w:rPr>
          <w:rStyle w:val="FootnoteReference"/>
        </w:rPr>
        <w:footnoteReference w:id="33"/>
      </w:r>
      <w:r w:rsidRPr="00C8001E">
        <w:t xml:space="preserve"> </w:t>
      </w:r>
      <w:r w:rsidR="00EE4319">
        <w:t>And t</w:t>
      </w:r>
      <w:r w:rsidR="00EE4319" w:rsidRPr="00EE4319">
        <w:t>he average tax rate among states that levy a retail sales tax was 5.7 percent in 2015 compared to 3.5 percent in 1970.</w:t>
      </w:r>
      <w:r w:rsidR="00D9400F">
        <w:rPr>
          <w:rStyle w:val="FootnoteReference"/>
        </w:rPr>
        <w:footnoteReference w:id="34"/>
      </w:r>
    </w:p>
    <w:p w14:paraId="15AB0A75" w14:textId="2E7BC246" w:rsidR="00B96167" w:rsidRPr="00DC6EEC" w:rsidRDefault="00EA551E" w:rsidP="00B96167">
      <w:pPr>
        <w:pStyle w:val="Heading3"/>
      </w:pPr>
      <w:r>
        <w:br w:type="page"/>
      </w:r>
    </w:p>
    <w:p w14:paraId="4EFD33BC" w14:textId="2F73EEF2" w:rsidR="00E253B3" w:rsidRPr="00DC6EEC" w:rsidRDefault="00E253B3" w:rsidP="00E253B3"/>
    <w:sectPr w:rsidR="00E253B3" w:rsidRPr="00DC6EEC" w:rsidSect="00147A18">
      <w:headerReference w:type="default" r:id="rId21"/>
      <w:footerReference w:type="default" r:id="rId22"/>
      <w:pgSz w:w="12240" w:h="15840" w:code="1"/>
      <w:pgMar w:top="864" w:right="1008" w:bottom="864" w:left="100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13D9" w14:textId="77777777" w:rsidR="009B08C6" w:rsidRDefault="009B08C6">
      <w:pPr>
        <w:spacing w:after="0" w:line="240" w:lineRule="auto"/>
      </w:pPr>
      <w:r>
        <w:separator/>
      </w:r>
    </w:p>
  </w:endnote>
  <w:endnote w:type="continuationSeparator" w:id="0">
    <w:p w14:paraId="600C0874" w14:textId="77777777" w:rsidR="009B08C6" w:rsidRDefault="009B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3BEF" w14:textId="2222421B" w:rsidR="007D37ED" w:rsidRPr="0007004C" w:rsidRDefault="00A50482" w:rsidP="00A50482">
    <w:pPr>
      <w:pStyle w:val="Footer"/>
      <w:jc w:val="center"/>
      <w:rPr>
        <w:sz w:val="18"/>
        <w:szCs w:val="22"/>
      </w:rPr>
    </w:pPr>
    <w:r w:rsidRPr="0007004C">
      <w:rPr>
        <w:sz w:val="18"/>
        <w:szCs w:val="22"/>
      </w:rPr>
      <w:t xml:space="preserve">MTC Digital Products White Paper Discussion Draft – </w:t>
    </w:r>
    <w:r w:rsidR="001B3E26">
      <w:rPr>
        <w:sz w:val="18"/>
        <w:szCs w:val="22"/>
      </w:rPr>
      <w:t>J</w:t>
    </w:r>
    <w:r w:rsidR="008E1B16">
      <w:rPr>
        <w:sz w:val="18"/>
        <w:szCs w:val="22"/>
      </w:rPr>
      <w:t>uly</w:t>
    </w:r>
    <w:r w:rsidR="001B3E26">
      <w:rPr>
        <w:sz w:val="18"/>
        <w:szCs w:val="22"/>
      </w:rPr>
      <w:t xml:space="preserve"> 15</w:t>
    </w:r>
    <w:r w:rsidRPr="0007004C">
      <w:rPr>
        <w:sz w:val="18"/>
        <w:szCs w:val="22"/>
      </w:rPr>
      <w:t xml:space="preserve">, 2026 – Page </w:t>
    </w:r>
    <w:sdt>
      <w:sdtPr>
        <w:rPr>
          <w:sz w:val="18"/>
          <w:szCs w:val="22"/>
        </w:rPr>
        <w:id w:val="1183315189"/>
        <w:docPartObj>
          <w:docPartGallery w:val="Page Numbers (Bottom of Page)"/>
          <w:docPartUnique/>
        </w:docPartObj>
      </w:sdtPr>
      <w:sdtEndPr>
        <w:rPr>
          <w:noProof/>
        </w:rPr>
      </w:sdtEndPr>
      <w:sdtContent>
        <w:r w:rsidRPr="0007004C">
          <w:rPr>
            <w:sz w:val="18"/>
            <w:szCs w:val="22"/>
          </w:rPr>
          <w:fldChar w:fldCharType="begin"/>
        </w:r>
        <w:r w:rsidRPr="0007004C">
          <w:rPr>
            <w:sz w:val="18"/>
            <w:szCs w:val="22"/>
          </w:rPr>
          <w:instrText xml:space="preserve"> PAGE   \* MERGEFORMAT </w:instrText>
        </w:r>
        <w:r w:rsidRPr="0007004C">
          <w:rPr>
            <w:sz w:val="18"/>
            <w:szCs w:val="22"/>
          </w:rPr>
          <w:fldChar w:fldCharType="separate"/>
        </w:r>
        <w:r w:rsidRPr="0007004C">
          <w:rPr>
            <w:sz w:val="18"/>
            <w:szCs w:val="22"/>
          </w:rPr>
          <w:t>2</w:t>
        </w:r>
        <w:r w:rsidRPr="0007004C">
          <w:rPr>
            <w:noProof/>
            <w:sz w:val="18"/>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7D31" w14:textId="77777777" w:rsidR="009B08C6" w:rsidRDefault="009B08C6" w:rsidP="007D37ED">
      <w:pPr>
        <w:spacing w:after="0" w:line="240" w:lineRule="auto"/>
      </w:pPr>
      <w:r>
        <w:separator/>
      </w:r>
    </w:p>
  </w:footnote>
  <w:footnote w:type="continuationSeparator" w:id="0">
    <w:p w14:paraId="1A8B5646" w14:textId="77777777" w:rsidR="009B08C6" w:rsidRDefault="009B08C6" w:rsidP="007D37ED">
      <w:pPr>
        <w:spacing w:after="0" w:line="240" w:lineRule="auto"/>
      </w:pPr>
      <w:r>
        <w:continuationSeparator/>
      </w:r>
    </w:p>
  </w:footnote>
  <w:footnote w:type="continuationNotice" w:id="1">
    <w:p w14:paraId="470D4482" w14:textId="77777777" w:rsidR="009B08C6" w:rsidRDefault="009B08C6">
      <w:pPr>
        <w:spacing w:after="0" w:line="240" w:lineRule="auto"/>
      </w:pPr>
    </w:p>
  </w:footnote>
  <w:footnote w:id="2">
    <w:p w14:paraId="5FEBDC01" w14:textId="77777777" w:rsidR="00EF522F" w:rsidRDefault="00EF522F" w:rsidP="00EF522F">
      <w:pPr>
        <w:pStyle w:val="FootnoteText"/>
      </w:pPr>
      <w:r>
        <w:rPr>
          <w:rStyle w:val="FootnoteReference"/>
        </w:rPr>
        <w:footnoteRef/>
      </w:r>
      <w:r>
        <w:t xml:space="preserve"> The final version of the issue outline, which also contains an appendix summarizing the stakeholders and their responses, is available here: </w:t>
      </w:r>
      <w:hyperlink r:id="rId1" w:history="1">
        <w:r w:rsidRPr="00FA571B">
          <w:rPr>
            <w:rStyle w:val="Hyperlink"/>
            <w:color w:val="990033"/>
          </w:rPr>
          <w:t>https://www.mtc.gov/wp-content/uploads/2023/02/Draft-Detailed-Digital-Outline-Final-for-8-2-22-Meeting.pdf</w:t>
        </w:r>
      </w:hyperlink>
      <w:r>
        <w:t xml:space="preserve">. </w:t>
      </w:r>
    </w:p>
  </w:footnote>
  <w:footnote w:id="3">
    <w:p w14:paraId="55369FDE" w14:textId="77777777" w:rsidR="00AE4C50" w:rsidRDefault="00AE4C50" w:rsidP="00AE4C50">
      <w:pPr>
        <w:pStyle w:val="FootnoteText"/>
      </w:pPr>
      <w:r>
        <w:rPr>
          <w:rStyle w:val="FootnoteReference"/>
        </w:rPr>
        <w:footnoteRef/>
      </w:r>
      <w:r>
        <w:t xml:space="preserve"> For examples of states that impose tax on the seller, see New Mexico and Hawaii.</w:t>
      </w:r>
    </w:p>
  </w:footnote>
  <w:footnote w:id="4">
    <w:p w14:paraId="36C847DA" w14:textId="79AB67F5" w:rsidR="0042731F" w:rsidRDefault="0042731F">
      <w:pPr>
        <w:pStyle w:val="FootnoteText"/>
      </w:pPr>
      <w:r>
        <w:rPr>
          <w:rStyle w:val="FootnoteReference"/>
        </w:rPr>
        <w:footnoteRef/>
      </w:r>
      <w:r>
        <w:t xml:space="preserve"> </w:t>
      </w:r>
      <w:r w:rsidR="000B7E3B">
        <w:t xml:space="preserve">See </w:t>
      </w:r>
      <w:r w:rsidR="000B7E3B" w:rsidRPr="00521A51">
        <w:rPr>
          <w:i/>
          <w:iCs/>
        </w:rPr>
        <w:t>Western Live Stock v. Bureau of Revenue</w:t>
      </w:r>
      <w:r w:rsidR="000B7E3B" w:rsidRPr="00521A51">
        <w:t>, 303 U.S. 250</w:t>
      </w:r>
      <w:r w:rsidR="000B7E3B">
        <w:t xml:space="preserve"> (1938).</w:t>
      </w:r>
    </w:p>
  </w:footnote>
  <w:footnote w:id="5">
    <w:p w14:paraId="7E4F98A5" w14:textId="3AFE775B" w:rsidR="00720E2A" w:rsidRDefault="00720E2A" w:rsidP="00720E2A">
      <w:pPr>
        <w:pStyle w:val="FootnoteText"/>
      </w:pPr>
      <w:r>
        <w:rPr>
          <w:rStyle w:val="FootnoteReference"/>
        </w:rPr>
        <w:footnoteRef/>
      </w:r>
      <w:r>
        <w:t xml:space="preserve"> See Vivien Lee and David Wessel, “The history and future of the retail sales tax,” July 16,</w:t>
      </w:r>
      <w:r w:rsidR="007A4498">
        <w:t xml:space="preserve"> </w:t>
      </w:r>
      <w:r>
        <w:t>2018</w:t>
      </w:r>
      <w:r w:rsidR="007A4498">
        <w:t xml:space="preserve">, available here: </w:t>
      </w:r>
      <w:r w:rsidRPr="00720E2A">
        <w:t>https://www.brookings.edu/articles/the-history-and-future-of-the-retail-sales-tax/</w:t>
      </w:r>
      <w:r w:rsidR="007A4498">
        <w:t>.</w:t>
      </w:r>
    </w:p>
  </w:footnote>
  <w:footnote w:id="6">
    <w:p w14:paraId="26AB66D4" w14:textId="6C8FD53E" w:rsidR="009E39CB" w:rsidRDefault="009E39CB">
      <w:pPr>
        <w:pStyle w:val="FootnoteText"/>
      </w:pPr>
      <w:r>
        <w:rPr>
          <w:rStyle w:val="FootnoteReference"/>
        </w:rPr>
        <w:footnoteRef/>
      </w:r>
      <w:r>
        <w:t xml:space="preserve"> </w:t>
      </w:r>
      <w:proofErr w:type="spellStart"/>
      <w:r w:rsidR="00FF602D" w:rsidRPr="00FF602D">
        <w:rPr>
          <w:i/>
          <w:iCs/>
        </w:rPr>
        <w:t>Henneford</w:t>
      </w:r>
      <w:proofErr w:type="spellEnd"/>
      <w:r w:rsidR="00FF602D" w:rsidRPr="00FF602D">
        <w:rPr>
          <w:i/>
          <w:iCs/>
        </w:rPr>
        <w:t xml:space="preserve"> v. Silas Mason Co., Inc</w:t>
      </w:r>
      <w:r w:rsidR="00FF602D" w:rsidRPr="00FF602D">
        <w:t>., 300 U.S. 577 (1937)</w:t>
      </w:r>
    </w:p>
  </w:footnote>
  <w:footnote w:id="7">
    <w:p w14:paraId="4B1D83DE" w14:textId="5F048C3F" w:rsidR="00801651" w:rsidRDefault="00801651" w:rsidP="00801651">
      <w:pPr>
        <w:pStyle w:val="FootnoteText"/>
      </w:pPr>
      <w:r>
        <w:rPr>
          <w:rStyle w:val="FootnoteReference"/>
        </w:rPr>
        <w:footnoteRef/>
      </w:r>
      <w:r>
        <w:t xml:space="preserve"> For example, in New Mexico, which imposes the tax on the seller, the seller is required to either charge the tax or indicate whether they have included the tax in the charges so the buyer has notice of whether they may owe the compensating use tax.</w:t>
      </w:r>
      <w:r w:rsidR="00CD1C60">
        <w:t xml:space="preserve"> </w:t>
      </w:r>
      <w:r w:rsidR="00341410" w:rsidRPr="00341410">
        <w:t>NM Stat § 7-9-</w:t>
      </w:r>
      <w:r w:rsidR="00AD733C">
        <w:t>6</w:t>
      </w:r>
      <w:r w:rsidR="00341410" w:rsidRPr="00341410">
        <w:t xml:space="preserve"> (2025)</w:t>
      </w:r>
      <w:r w:rsidR="00AD733C">
        <w:t>.</w:t>
      </w:r>
      <w:r w:rsidR="00945207">
        <w:t xml:space="preserve"> </w:t>
      </w:r>
      <w:r>
        <w:t xml:space="preserve"> </w:t>
      </w:r>
    </w:p>
  </w:footnote>
  <w:footnote w:id="8">
    <w:p w14:paraId="1943CF96" w14:textId="77777777" w:rsidR="00FF1490" w:rsidRDefault="00FF1490" w:rsidP="00FF1490">
      <w:pPr>
        <w:pStyle w:val="FootnoteText"/>
      </w:pPr>
      <w:r>
        <w:rPr>
          <w:rStyle w:val="FootnoteReference"/>
        </w:rPr>
        <w:footnoteRef/>
      </w:r>
      <w:r>
        <w:t xml:space="preserve"> </w:t>
      </w:r>
      <w:r w:rsidRPr="00DE21CC">
        <w:t>Hellerstein, Hellerstein &amp; Appleby, State Taxation, Thomson Reuters/Tax &amp; Accounting, 3rd ed. 2001 &amp; Supp. 2022-1, ¶12.05</w:t>
      </w:r>
    </w:p>
  </w:footnote>
  <w:footnote w:id="9">
    <w:p w14:paraId="5FF0933C" w14:textId="77777777" w:rsidR="004B424A" w:rsidRDefault="004B424A" w:rsidP="004B424A">
      <w:pPr>
        <w:pStyle w:val="Footnote"/>
      </w:pPr>
      <w:r w:rsidRPr="00685851">
        <w:rPr>
          <w:rStyle w:val="FootnoteReference"/>
        </w:rPr>
        <w:footnoteRef/>
      </w:r>
      <w:r>
        <w:t xml:space="preserve"> 358 U.S. 450.</w:t>
      </w:r>
    </w:p>
  </w:footnote>
  <w:footnote w:id="10">
    <w:p w14:paraId="2B4D59D6" w14:textId="77777777" w:rsidR="004B424A" w:rsidRDefault="004B424A" w:rsidP="004B424A">
      <w:pPr>
        <w:pStyle w:val="Footnote"/>
      </w:pPr>
      <w:r w:rsidRPr="00685851">
        <w:rPr>
          <w:rStyle w:val="FootnoteReference"/>
        </w:rPr>
        <w:footnoteRef/>
      </w:r>
      <w:r>
        <w:t xml:space="preserve"> See Jerome R. Hellerstein, “Federal Legislation on State Taxation of Interstate Commerce: Key Areas of Controversy,” William &amp;</w:t>
      </w:r>
    </w:p>
    <w:p w14:paraId="517C35F1" w14:textId="55F53BBF" w:rsidR="004B424A" w:rsidRDefault="004B424A" w:rsidP="004B424A">
      <w:pPr>
        <w:pStyle w:val="Footnote"/>
      </w:pPr>
      <w:r>
        <w:t>Mary Annual Tax Conference, 626 (1966), available here:</w:t>
      </w:r>
      <w:r w:rsidR="00194D07">
        <w:t xml:space="preserve"> </w:t>
      </w:r>
      <w:hyperlink r:id="rId2" w:history="1">
        <w:r w:rsidRPr="003216AB">
          <w:rPr>
            <w:rStyle w:val="Hyperlink"/>
          </w:rPr>
          <w:t>https://scholarship.law.wm.edu/cgi/viewcontent.cgi?article=1630&amp;context=tax</w:t>
        </w:r>
      </w:hyperlink>
      <w:r>
        <w:t xml:space="preserve"> . </w:t>
      </w:r>
    </w:p>
  </w:footnote>
  <w:footnote w:id="11">
    <w:p w14:paraId="252E382B" w14:textId="32F70B0F" w:rsidR="004B424A" w:rsidRDefault="004B424A" w:rsidP="004B424A">
      <w:pPr>
        <w:pStyle w:val="Footnote"/>
      </w:pPr>
      <w:r w:rsidRPr="00685851">
        <w:rPr>
          <w:rStyle w:val="FootnoteReference"/>
        </w:rPr>
        <w:footnoteRef/>
      </w:r>
      <w:r>
        <w:t xml:space="preserve"> Article V provides that purchasers liable for a use tax on tangible personal property are entitled to full credit for the combined amount or amounts of legally imposed sales or use taxes paid with respect to the same property to another state and any subdivision thereof. It further provides that whenever a vendor receives and accepts in good faith from a purchaser a resale or other exemption certificate of a state or subdivision taxing author the seller will be relieved of liability for a sales or use tax with respect to that transaction. See the Compact, available here:</w:t>
      </w:r>
      <w:r w:rsidR="00194D07">
        <w:t xml:space="preserve"> </w:t>
      </w:r>
      <w:hyperlink r:id="rId3" w:anchor="Article_V" w:history="1">
        <w:r w:rsidRPr="003216AB">
          <w:rPr>
            <w:rStyle w:val="Hyperlink"/>
          </w:rPr>
          <w:t>https://</w:t>
        </w:r>
        <w:r w:rsidRPr="00CC7AB2">
          <w:rPr>
            <w:rStyle w:val="Hyperlink"/>
          </w:rPr>
          <w:t>www</w:t>
        </w:r>
        <w:r w:rsidRPr="003216AB">
          <w:rPr>
            <w:rStyle w:val="Hyperlink"/>
          </w:rPr>
          <w:t>.mtc.gov/The-Commission/Multistate-Tax-Compact#Article_V</w:t>
        </w:r>
      </w:hyperlink>
      <w:r>
        <w:t xml:space="preserve">. </w:t>
      </w:r>
    </w:p>
  </w:footnote>
  <w:footnote w:id="12">
    <w:p w14:paraId="1E63CDFA" w14:textId="77777777" w:rsidR="004B424A" w:rsidRDefault="004B424A" w:rsidP="004B424A">
      <w:pPr>
        <w:pStyle w:val="Footnote"/>
      </w:pPr>
      <w:r w:rsidRPr="00685851">
        <w:rPr>
          <w:rStyle w:val="FootnoteReference"/>
        </w:rPr>
        <w:footnoteRef/>
      </w:r>
      <w:r>
        <w:t xml:space="preserve"> </w:t>
      </w:r>
      <w:r w:rsidRPr="009B1EFA">
        <w:t>See 47 U.S.C. §151 note.</w:t>
      </w:r>
    </w:p>
  </w:footnote>
  <w:footnote w:id="13">
    <w:p w14:paraId="09AE645D" w14:textId="477AD669" w:rsidR="003C70E4" w:rsidRDefault="003C70E4" w:rsidP="003C70E4">
      <w:pPr>
        <w:pStyle w:val="Footnote"/>
      </w:pPr>
      <w:r w:rsidRPr="00685851">
        <w:rPr>
          <w:rStyle w:val="FootnoteReference"/>
        </w:rPr>
        <w:footnoteRef/>
      </w:r>
      <w:r>
        <w:t xml:space="preserve"> A number of experts have commented on the influence that the lack of tax jurisdiction over out-of-state sellers had on policy-makers decisions about whether or not to expand the tax base. See, for example, </w:t>
      </w:r>
      <w:r w:rsidRPr="00D361F4">
        <w:t>John L. Mikesell and Sharon N. Kioko, “The Retail Sales Tax in a New Economy,” presented at the Municipal Finance Conference, July 16-17, 2018, available here: https://www.brookings.edu/wp-content/uploads/2018/04/Mikesell-Kioko1.pdf, (hereafter “Mikesell”), p. 3</w:t>
      </w:r>
      <w:r w:rsidRPr="00733686">
        <w:t>.</w:t>
      </w:r>
      <w:r w:rsidR="00194D07">
        <w:t xml:space="preserve"> </w:t>
      </w:r>
    </w:p>
  </w:footnote>
  <w:footnote w:id="14">
    <w:p w14:paraId="481063F2" w14:textId="389A83A8" w:rsidR="00D9584F" w:rsidRDefault="00D9584F">
      <w:pPr>
        <w:pStyle w:val="FootnoteText"/>
      </w:pPr>
      <w:r>
        <w:rPr>
          <w:rStyle w:val="FootnoteReference"/>
        </w:rPr>
        <w:footnoteRef/>
      </w:r>
      <w:r>
        <w:t xml:space="preserve"> </w:t>
      </w:r>
      <w:r w:rsidR="00800339" w:rsidRPr="00800339">
        <w:rPr>
          <w:i/>
          <w:iCs/>
        </w:rPr>
        <w:t>Quill</w:t>
      </w:r>
      <w:r w:rsidR="00800339">
        <w:t xml:space="preserve"> at</w:t>
      </w:r>
      <w:r w:rsidR="00800339" w:rsidRPr="00800339">
        <w:t xml:space="preserve"> </w:t>
      </w:r>
      <w:r w:rsidR="003862C1">
        <w:t>305</w:t>
      </w:r>
      <w:r w:rsidR="0019543F">
        <w:t>.</w:t>
      </w:r>
    </w:p>
  </w:footnote>
  <w:footnote w:id="15">
    <w:p w14:paraId="3580233C" w14:textId="2CF492C8" w:rsidR="004A3CB7" w:rsidRDefault="004A3CB7" w:rsidP="004A3CB7">
      <w:pPr>
        <w:pStyle w:val="Footnote"/>
      </w:pPr>
      <w:r w:rsidRPr="00685851">
        <w:rPr>
          <w:rStyle w:val="FootnoteReference"/>
        </w:rPr>
        <w:footnoteRef/>
      </w:r>
      <w:r>
        <w:t xml:space="preserve"> See MTC Resolution No. 02-01, Improving State Sales Taxes to Achieve Fairness and Simplicity;</w:t>
      </w:r>
      <w:r w:rsidR="00194D07">
        <w:t xml:space="preserve"> </w:t>
      </w:r>
      <w:r>
        <w:t>Resolution No. 01-10, Resolution Supporting the Proposals and Work of the Streamlined Sales Tax Project;</w:t>
      </w:r>
      <w:r w:rsidRPr="00464956">
        <w:t xml:space="preserve"> </w:t>
      </w:r>
      <w:r>
        <w:t xml:space="preserve">and Resolution No. 00-2, and Resolution in Support of the Streamlined Sales Tax Project; available here: </w:t>
      </w:r>
      <w:hyperlink r:id="rId4" w:history="1">
        <w:r w:rsidRPr="003216AB">
          <w:rPr>
            <w:rStyle w:val="Hyperlink"/>
          </w:rPr>
          <w:t>https://www.mtc.gov/The-Commission/Policy-Statements-Resolutions</w:t>
        </w:r>
      </w:hyperlink>
      <w:r>
        <w:t xml:space="preserve">. </w:t>
      </w:r>
    </w:p>
  </w:footnote>
  <w:footnote w:id="16">
    <w:p w14:paraId="31D050A6" w14:textId="5BD18615" w:rsidR="00375A19" w:rsidRDefault="00375A19">
      <w:pPr>
        <w:pStyle w:val="FootnoteText"/>
      </w:pPr>
      <w:r>
        <w:rPr>
          <w:rStyle w:val="FootnoteReference"/>
        </w:rPr>
        <w:footnoteRef/>
      </w:r>
      <w:r>
        <w:t xml:space="preserve"> </w:t>
      </w:r>
      <w:r w:rsidR="009C4265">
        <w:t xml:space="preserve">For information on Streamlined and the current agreement see the Streamlined website, here: </w:t>
      </w:r>
      <w:hyperlink r:id="rId5" w:history="1">
        <w:r w:rsidR="00F95949" w:rsidRPr="00F46867">
          <w:rPr>
            <w:rStyle w:val="Hyperlink"/>
          </w:rPr>
          <w:t>https://www.streamlinedsalestax.org/</w:t>
        </w:r>
      </w:hyperlink>
      <w:r w:rsidR="00F95949">
        <w:t xml:space="preserve">. </w:t>
      </w:r>
    </w:p>
  </w:footnote>
  <w:footnote w:id="17">
    <w:p w14:paraId="6BEE70D7" w14:textId="77777777" w:rsidR="00AA514B" w:rsidRDefault="00AA514B" w:rsidP="00AA514B">
      <w:pPr>
        <w:pStyle w:val="Footnote"/>
      </w:pPr>
      <w:r w:rsidRPr="00685851">
        <w:rPr>
          <w:rStyle w:val="FootnoteReference"/>
        </w:rPr>
        <w:footnoteRef/>
      </w:r>
      <w:r>
        <w:t xml:space="preserve"> Congressional Budget Office Cost Estimate </w:t>
      </w:r>
      <w:r w:rsidRPr="00A64E31">
        <w:t>H.R. 1860</w:t>
      </w:r>
      <w:r>
        <w:t xml:space="preserve">, </w:t>
      </w:r>
      <w:r w:rsidRPr="00A64E31">
        <w:t>Digital Goods and Service Tax Fairness Act of 2012</w:t>
      </w:r>
      <w:r>
        <w:t xml:space="preserve">, Sept. 14, 2012, available here: </w:t>
      </w:r>
      <w:hyperlink r:id="rId6" w:history="1">
        <w:r w:rsidRPr="003216AB">
          <w:rPr>
            <w:rStyle w:val="Hyperlink"/>
          </w:rPr>
          <w:t>https://www.cbo.gov/system/files/112th-congress-2011-2012/costestimate/hr1860.pdf</w:t>
        </w:r>
      </w:hyperlink>
      <w:r>
        <w:t xml:space="preserve">. </w:t>
      </w:r>
    </w:p>
  </w:footnote>
  <w:footnote w:id="18">
    <w:p w14:paraId="607DBD7B" w14:textId="15EAC099" w:rsidR="00035A9F" w:rsidRDefault="00035A9F">
      <w:pPr>
        <w:pStyle w:val="FootnoteText"/>
      </w:pPr>
      <w:r>
        <w:rPr>
          <w:rStyle w:val="FootnoteReference"/>
        </w:rPr>
        <w:footnoteRef/>
      </w:r>
      <w:r>
        <w:t xml:space="preserve"> </w:t>
      </w:r>
      <w:r w:rsidR="0073033E">
        <w:t>See</w:t>
      </w:r>
      <w:r w:rsidR="00AF7A6A">
        <w:t xml:space="preserve"> </w:t>
      </w:r>
      <w:r w:rsidR="00AF7A6A" w:rsidRPr="00AF7A6A">
        <w:rPr>
          <w:i/>
          <w:iCs/>
        </w:rPr>
        <w:t xml:space="preserve">Direct Marketing </w:t>
      </w:r>
      <w:proofErr w:type="spellStart"/>
      <w:r w:rsidR="00AF7A6A" w:rsidRPr="00AF7A6A">
        <w:rPr>
          <w:i/>
          <w:iCs/>
        </w:rPr>
        <w:t>Ass'n</w:t>
      </w:r>
      <w:proofErr w:type="spellEnd"/>
      <w:r w:rsidR="00AF7A6A" w:rsidRPr="00AF7A6A">
        <w:rPr>
          <w:i/>
          <w:iCs/>
        </w:rPr>
        <w:t xml:space="preserve"> v. Brohl</w:t>
      </w:r>
      <w:r w:rsidR="00AF7A6A" w:rsidRPr="00AF7A6A">
        <w:t>, 575 U.S. 1 (2015)</w:t>
      </w:r>
      <w:r w:rsidR="00711EA4">
        <w:t xml:space="preserve"> </w:t>
      </w:r>
      <w:r w:rsidR="00AF7A6A">
        <w:t xml:space="preserve">as well as </w:t>
      </w:r>
      <w:r w:rsidR="0073033E">
        <w:t xml:space="preserve">the MTC </w:t>
      </w:r>
      <w:r w:rsidR="009B45BA">
        <w:t xml:space="preserve">Use Tax Information Reporting Project, here: </w:t>
      </w:r>
      <w:hyperlink r:id="rId7" w:history="1">
        <w:r w:rsidR="00DA3775" w:rsidRPr="003F1B24">
          <w:rPr>
            <w:rStyle w:val="Hyperlink"/>
          </w:rPr>
          <w:t>https://www.mtc.gov/uniformity/use-tax-information-reporting-work-group/</w:t>
        </w:r>
      </w:hyperlink>
      <w:r w:rsidR="00DA3775">
        <w:t xml:space="preserve">. </w:t>
      </w:r>
      <w:r w:rsidR="00D566E2">
        <w:t xml:space="preserve">See also </w:t>
      </w:r>
    </w:p>
  </w:footnote>
  <w:footnote w:id="19">
    <w:p w14:paraId="51F75582" w14:textId="5EB0FAD3" w:rsidR="0032388E" w:rsidRPr="00F235D2" w:rsidRDefault="0032388E">
      <w:pPr>
        <w:pStyle w:val="FootnoteText"/>
      </w:pPr>
      <w:r>
        <w:rPr>
          <w:rStyle w:val="FootnoteReference"/>
        </w:rPr>
        <w:footnoteRef/>
      </w:r>
      <w:r>
        <w:t xml:space="preserve"> </w:t>
      </w:r>
      <w:r w:rsidR="00F235D2" w:rsidRPr="00F235D2">
        <w:t xml:space="preserve">See information on that MTC project here: </w:t>
      </w:r>
      <w:hyperlink r:id="rId8" w:history="1">
        <w:r w:rsidR="00F235D2" w:rsidRPr="00F235D2">
          <w:rPr>
            <w:rStyle w:val="Hyperlink"/>
          </w:rPr>
          <w:t>https://www.mtc.gov/uniformity/wayfair-implementation-informational-project/</w:t>
        </w:r>
      </w:hyperlink>
      <w:r w:rsidR="00F235D2" w:rsidRPr="00F235D2">
        <w:t xml:space="preserve">, </w:t>
      </w:r>
    </w:p>
  </w:footnote>
  <w:footnote w:id="20">
    <w:p w14:paraId="072F5F99" w14:textId="19C29E54" w:rsidR="00A13D72" w:rsidRDefault="00A13D72" w:rsidP="00A13D72">
      <w:pPr>
        <w:pStyle w:val="FootnoteText"/>
      </w:pPr>
      <w:r>
        <w:rPr>
          <w:rStyle w:val="FootnoteReference"/>
        </w:rPr>
        <w:footnoteRef/>
      </w:r>
      <w:r>
        <w:t xml:space="preserve"> </w:t>
      </w:r>
      <w:r w:rsidR="005904F9">
        <w:t xml:space="preserve">See </w:t>
      </w:r>
      <w:r w:rsidR="005904F9" w:rsidRPr="005904F9">
        <w:t>Annette Nellen</w:t>
      </w:r>
      <w:r w:rsidR="005904F9">
        <w:t>,</w:t>
      </w:r>
      <w:r w:rsidR="005904F9" w:rsidRPr="005904F9">
        <w:t xml:space="preserve"> </w:t>
      </w:r>
      <w:r w:rsidR="005904F9">
        <w:t>“</w:t>
      </w:r>
      <w:r w:rsidR="005904F9" w:rsidRPr="005904F9">
        <w:t>Now Is a Good Time to Start Fixing the Sales Tax Base</w:t>
      </w:r>
      <w:r w:rsidR="005904F9">
        <w:t xml:space="preserve">,” Tax Notes State, </w:t>
      </w:r>
      <w:r w:rsidR="005904F9" w:rsidRPr="005904F9">
        <w:t>Volume 97, Number 10</w:t>
      </w:r>
      <w:r w:rsidR="005904F9">
        <w:t>, P. 987,</w:t>
      </w:r>
      <w:r w:rsidR="005904F9" w:rsidRPr="005904F9">
        <w:t xml:space="preserve"> Sep</w:t>
      </w:r>
      <w:r w:rsidR="005904F9">
        <w:t>.</w:t>
      </w:r>
      <w:r w:rsidR="005904F9" w:rsidRPr="005904F9">
        <w:t xml:space="preserve"> 7, 2020</w:t>
      </w:r>
      <w:r w:rsidR="005904F9">
        <w:t xml:space="preserve">, available here: </w:t>
      </w:r>
      <w:hyperlink r:id="rId9" w:history="1">
        <w:r w:rsidR="005904F9" w:rsidRPr="00FF28BE">
          <w:rPr>
            <w:rStyle w:val="Hyperlink"/>
          </w:rPr>
          <w:t>https://www.mtc.gov/wp-content/uploads/2023/11/2020tns36-3-003.pdf</w:t>
        </w:r>
      </w:hyperlink>
      <w:r w:rsidR="005904F9">
        <w:t xml:space="preserve">; and </w:t>
      </w:r>
      <w:r w:rsidR="001C3874" w:rsidRPr="001C3874">
        <w:t>– Young Ran (Christine) Kim &amp; Darien Shanske,</w:t>
      </w:r>
      <w:r w:rsidR="001C3874">
        <w:t xml:space="preserve"> State Digital Services Taxes: A Good and Permissible Idea (Despite What You Might Have Heard), </w:t>
      </w:r>
      <w:r w:rsidR="001C3874" w:rsidRPr="001C3874">
        <w:t>98 Notre Dame Law Review 741 (2022).</w:t>
      </w:r>
      <w:r>
        <w:t>, available here:</w:t>
      </w:r>
      <w:r w:rsidR="00194D07">
        <w:t xml:space="preserve"> </w:t>
      </w:r>
      <w:hyperlink r:id="rId10" w:history="1">
        <w:r w:rsidR="001C3874" w:rsidRPr="00FF28BE">
          <w:rPr>
            <w:rStyle w:val="Hyperlink"/>
          </w:rPr>
          <w:t>https://larc.cardozo.yu.edu/cgi/viewcontent.cgi?article=1540&amp;amp;context=faculty-articles</w:t>
        </w:r>
      </w:hyperlink>
      <w:r w:rsidR="001C3874">
        <w:t xml:space="preserve">. </w:t>
      </w:r>
    </w:p>
  </w:footnote>
  <w:footnote w:id="21">
    <w:p w14:paraId="30D66A36" w14:textId="7E47D978" w:rsidR="00DF4D0A" w:rsidRPr="00F235D2" w:rsidRDefault="00DF4D0A" w:rsidP="00DF4D0A">
      <w:pPr>
        <w:pStyle w:val="FootnoteText"/>
      </w:pPr>
      <w:r w:rsidRPr="00F235D2">
        <w:rPr>
          <w:rStyle w:val="FootnoteReference"/>
        </w:rPr>
        <w:footnoteRef/>
      </w:r>
      <w:r w:rsidR="00F35176">
        <w:t xml:space="preserve"> </w:t>
      </w:r>
      <w:r>
        <w:t>See</w:t>
      </w:r>
      <w:r w:rsidR="00194D07">
        <w:t xml:space="preserve"> </w:t>
      </w:r>
      <w:r w:rsidRPr="00F235D2">
        <w:t>Md. Code, Tax-Gen. § 7.5-101 et. seq.</w:t>
      </w:r>
      <w:r w:rsidR="000B3459">
        <w:t xml:space="preserve"> which has been subject to various challenges in both federal and state courts.</w:t>
      </w:r>
    </w:p>
  </w:footnote>
  <w:footnote w:id="22">
    <w:p w14:paraId="4059DDBD" w14:textId="77777777" w:rsidR="006B04A4" w:rsidRDefault="006B04A4" w:rsidP="006B04A4">
      <w:pPr>
        <w:pStyle w:val="Footnote"/>
      </w:pPr>
      <w:r w:rsidRPr="00685851">
        <w:rPr>
          <w:rStyle w:val="FootnoteReference"/>
        </w:rPr>
        <w:footnoteRef/>
      </w:r>
      <w:r>
        <w:t xml:space="preserve"> See Jared Walczak, State Sales Tax Breadth and Reliance, Fiscal Year 2021, May 4, 2022, Tax Foundation, available here: </w:t>
      </w:r>
      <w:hyperlink r:id="rId11" w:history="1">
        <w:r>
          <w:rPr>
            <w:rStyle w:val="Hyperlink"/>
          </w:rPr>
          <w:t>https://taxfoundation.org/state-sales-tax-base-reliance/</w:t>
        </w:r>
      </w:hyperlink>
      <w:r>
        <w:t xml:space="preserve"> .</w:t>
      </w:r>
    </w:p>
  </w:footnote>
  <w:footnote w:id="23">
    <w:p w14:paraId="172B9EA0" w14:textId="3101E30E" w:rsidR="00944C3A" w:rsidRDefault="00944C3A" w:rsidP="00B35ECB">
      <w:pPr>
        <w:pStyle w:val="FootnoteText"/>
      </w:pPr>
      <w:r>
        <w:rPr>
          <w:rStyle w:val="FootnoteReference"/>
        </w:rPr>
        <w:footnoteRef/>
      </w:r>
      <w:r w:rsidR="00F35176">
        <w:t xml:space="preserve"> See, for example, </w:t>
      </w:r>
      <w:r w:rsidR="006C7176">
        <w:t>Jared Walczak, “</w:t>
      </w:r>
      <w:r w:rsidR="006C7176" w:rsidRPr="006C7176">
        <w:t>Modernizing State Sales Taxes: A Policymaker’s Guid</w:t>
      </w:r>
      <w:r w:rsidR="006C7176">
        <w:t xml:space="preserve">e,” Tax Foundation, </w:t>
      </w:r>
      <w:r w:rsidR="006F036A">
        <w:t xml:space="preserve">Sep.5, 2024 </w:t>
      </w:r>
      <w:r w:rsidR="005503E5">
        <w:t xml:space="preserve">available here: </w:t>
      </w:r>
      <w:hyperlink r:id="rId12" w:history="1">
        <w:r w:rsidR="005503E5" w:rsidRPr="00DA0EC3">
          <w:rPr>
            <w:rStyle w:val="Hyperlink"/>
          </w:rPr>
          <w:t>https://taxfoundation.org/research/all/state/state-sales-tax-reform-guide/</w:t>
        </w:r>
      </w:hyperlink>
      <w:r w:rsidR="006F036A">
        <w:t xml:space="preserve">; </w:t>
      </w:r>
      <w:r w:rsidR="00B35ECB">
        <w:t xml:space="preserve">Nikhita Airi and Frank Sammartino, </w:t>
      </w:r>
      <w:r w:rsidR="00111119">
        <w:t>“</w:t>
      </w:r>
      <w:r w:rsidR="00111119" w:rsidRPr="00111119">
        <w:t>How Broad Are State Sales Tax Bases?</w:t>
      </w:r>
      <w:r w:rsidR="00111119">
        <w:t>,” Urban Institute, Apr. 19, 202</w:t>
      </w:r>
      <w:r w:rsidR="005503E5">
        <w:t xml:space="preserve">1, available here: </w:t>
      </w:r>
      <w:hyperlink r:id="rId13" w:history="1">
        <w:r w:rsidR="007C5319" w:rsidRPr="00DA0EC3">
          <w:rPr>
            <w:rStyle w:val="Hyperlink"/>
          </w:rPr>
          <w:t>https://www.urban.org/research/publication/how-broad-are-state-sales-tax-bases</w:t>
        </w:r>
      </w:hyperlink>
      <w:r w:rsidR="007C5319">
        <w:t xml:space="preserve">; </w:t>
      </w:r>
      <w:r w:rsidR="00D3493B" w:rsidRPr="00D3493B">
        <w:t>Jackson Brainerd</w:t>
      </w:r>
      <w:r w:rsidR="00D3493B">
        <w:t>, “</w:t>
      </w:r>
      <w:r w:rsidR="00D3493B" w:rsidRPr="00D3493B">
        <w:t>What Happens When States Ditch Income Tax for Sales Tax?</w:t>
      </w:r>
      <w:r w:rsidR="00D3493B">
        <w:t xml:space="preserve">,” </w:t>
      </w:r>
      <w:r w:rsidR="00633371">
        <w:t xml:space="preserve">National Conference of State Legislatures, Feb. 14, 2023, available here: </w:t>
      </w:r>
      <w:r w:rsidR="006033C5" w:rsidRPr="006033C5">
        <w:t>https://www.ncsl.org/state-legislatures-news/details/what-happens-when-states-ditch-income-tax-for-sales-tax</w:t>
      </w:r>
      <w:r w:rsidR="006033C5">
        <w:t>.</w:t>
      </w:r>
    </w:p>
  </w:footnote>
  <w:footnote w:id="24">
    <w:p w14:paraId="796750C1" w14:textId="77777777" w:rsidR="00622749" w:rsidRDefault="00622749" w:rsidP="00622749">
      <w:pPr>
        <w:pStyle w:val="Footnote"/>
      </w:pPr>
      <w:r w:rsidRPr="00685851">
        <w:rPr>
          <w:rStyle w:val="FootnoteReference"/>
        </w:rPr>
        <w:footnoteRef/>
      </w:r>
      <w:r>
        <w:t xml:space="preserve"> See William F. Fox and Leann Luna, “How Broad Should State Sales Tax Bases Be? A Review of the Empirical Literature,” State Tax Notes, Sept. 4, 2006, P. 639.</w:t>
      </w:r>
    </w:p>
  </w:footnote>
  <w:footnote w:id="25">
    <w:p w14:paraId="0B91F62D" w14:textId="25DA249E" w:rsidR="00622749" w:rsidRDefault="00622749" w:rsidP="00622749">
      <w:pPr>
        <w:pStyle w:val="Footnote"/>
      </w:pPr>
      <w:r w:rsidRPr="00685851">
        <w:rPr>
          <w:rStyle w:val="FootnoteReference"/>
        </w:rPr>
        <w:footnoteRef/>
      </w:r>
      <w:r>
        <w:t xml:space="preserve"> See, for example, “Who Pays? 6th Edition,” Institute for Taxation and Economic Policy, 2018, available here:</w:t>
      </w:r>
      <w:r w:rsidR="00194D07">
        <w:t xml:space="preserve"> </w:t>
      </w:r>
      <w:hyperlink r:id="rId14" w:history="1">
        <w:r>
          <w:rPr>
            <w:rStyle w:val="Hyperlink"/>
          </w:rPr>
          <w:t>https://itep.sfo2.digitaloceanspaces.com/whopays-ITEP-2018.pdf</w:t>
        </w:r>
      </w:hyperlink>
      <w:r>
        <w:t xml:space="preserve">; and Michael Mazerov, “Expanding Sales Taxation of Services: Options and Issues,” Aug.10, 2009; available here: </w:t>
      </w:r>
      <w:hyperlink r:id="rId15" w:history="1">
        <w:r>
          <w:rPr>
            <w:rStyle w:val="Hyperlink"/>
          </w:rPr>
          <w:t>https://www.cbpp.org/research/state-budget-and-tax/expanding-sales-taxation-of-services-options-and-issues</w:t>
        </w:r>
      </w:hyperlink>
      <w:r>
        <w:t xml:space="preserve">. </w:t>
      </w:r>
    </w:p>
  </w:footnote>
  <w:footnote w:id="26">
    <w:p w14:paraId="12D5E4D5" w14:textId="77777777" w:rsidR="00423224" w:rsidRDefault="00423224" w:rsidP="00423224">
      <w:pPr>
        <w:pStyle w:val="Footnote"/>
      </w:pPr>
      <w:r w:rsidRPr="00685851">
        <w:rPr>
          <w:rStyle w:val="FootnoteReference"/>
        </w:rPr>
        <w:footnoteRef/>
      </w:r>
      <w:r>
        <w:t xml:space="preserve"> Id.</w:t>
      </w:r>
    </w:p>
  </w:footnote>
  <w:footnote w:id="27">
    <w:p w14:paraId="799DCBC6" w14:textId="7FB31935" w:rsidR="00622749" w:rsidRDefault="00622749" w:rsidP="00622749">
      <w:pPr>
        <w:pStyle w:val="Footnote"/>
      </w:pPr>
      <w:r w:rsidRPr="00685851">
        <w:rPr>
          <w:rStyle w:val="FootnoteReference"/>
        </w:rPr>
        <w:footnoteRef/>
      </w:r>
      <w:r>
        <w:t xml:space="preserve"> See, for example, Brookings, </w:t>
      </w:r>
      <w:r w:rsidRPr="00067C7E">
        <w:t>supra FN</w:t>
      </w:r>
      <w:r>
        <w:t xml:space="preserve"> 17; and Mikesell, </w:t>
      </w:r>
      <w:r w:rsidRPr="00067C7E">
        <w:t>supra FN</w:t>
      </w:r>
      <w:r>
        <w:t xml:space="preserve"> 1.</w:t>
      </w:r>
      <w:r w:rsidR="00194D07">
        <w:t xml:space="preserve"> </w:t>
      </w:r>
    </w:p>
  </w:footnote>
  <w:footnote w:id="28">
    <w:p w14:paraId="359F6A4F" w14:textId="77777777" w:rsidR="00622749" w:rsidRDefault="00622749" w:rsidP="00622749">
      <w:pPr>
        <w:pStyle w:val="Footnote"/>
      </w:pPr>
      <w:r w:rsidRPr="00685851">
        <w:rPr>
          <w:rStyle w:val="FootnoteReference"/>
        </w:rPr>
        <w:footnoteRef/>
      </w:r>
      <w:r>
        <w:t xml:space="preserve"> </w:t>
      </w:r>
      <w:r w:rsidRPr="008D684E">
        <w:t>Charles E. McLure, Jr.</w:t>
      </w:r>
      <w:r>
        <w:t xml:space="preserve">, “Rethinking State and Local Reliance on the Retail Sales Tax: Should We Fix the Sales Tax or Discard It?,” 2000 BYU Law Rev. 1, Art. 11, Mar. 1, 2000, available here: </w:t>
      </w:r>
      <w:hyperlink r:id="rId16" w:history="1">
        <w:r w:rsidRPr="007C2300">
          <w:rPr>
            <w:rStyle w:val="Hyperlink"/>
          </w:rPr>
          <w:t>https://digitalcommons.law.byu.edu/cgi/viewcontent.cgi?article=2052&amp;context=lawreview</w:t>
        </w:r>
      </w:hyperlink>
      <w:r>
        <w:t xml:space="preserve">, (hereafter, McClure). </w:t>
      </w:r>
    </w:p>
  </w:footnote>
  <w:footnote w:id="29">
    <w:p w14:paraId="4F4575C9" w14:textId="77777777" w:rsidR="003D2FF9" w:rsidRPr="00F235D2" w:rsidRDefault="003D2FF9" w:rsidP="003D2FF9">
      <w:pPr>
        <w:pStyle w:val="Footnote"/>
      </w:pPr>
      <w:r w:rsidRPr="00F235D2">
        <w:rPr>
          <w:rStyle w:val="FootnoteReference"/>
        </w:rPr>
        <w:footnoteRef/>
      </w:r>
      <w:r w:rsidRPr="00F235D2">
        <w:t xml:space="preserve"> “How States Raise Their Tax Dollars,” PEW, May 13, 2021, available here: https://www.pewtrusts.org/en/research-and-analysis/data-visualizations/2021/how-states-raise-their-tax-dollars-fy2020.</w:t>
      </w:r>
    </w:p>
  </w:footnote>
  <w:footnote w:id="30">
    <w:p w14:paraId="36C46D0C" w14:textId="43E75690" w:rsidR="003D2FF9" w:rsidRDefault="003D2FF9" w:rsidP="003D2FF9">
      <w:pPr>
        <w:pStyle w:val="Footnote"/>
      </w:pPr>
      <w:r w:rsidRPr="00685851">
        <w:rPr>
          <w:rStyle w:val="FootnoteReference"/>
        </w:rPr>
        <w:footnoteRef/>
      </w:r>
      <w:r>
        <w:t xml:space="preserve"> See information available on the U.S. Census Data website, here: </w:t>
      </w:r>
      <w:hyperlink r:id="rId17" w:history="1">
        <w:r w:rsidR="001C3874" w:rsidRPr="00FF28BE">
          <w:rPr>
            <w:rStyle w:val="Hyperlink"/>
          </w:rPr>
          <w:t>https://www.census.gov/programs-surveys/stc.html</w:t>
        </w:r>
      </w:hyperlink>
      <w:r>
        <w:t>. All state excise taxes generate 13% of total state tax revenues. Common state excise taxes include fuel taxes at around 4% of total taxes and insurance premiums taxes at around 3%. Local governments also impose excise taxes, most notably hotel accommodations and related taxes.</w:t>
      </w:r>
    </w:p>
  </w:footnote>
  <w:footnote w:id="31">
    <w:p w14:paraId="289834B6" w14:textId="77777777" w:rsidR="003D2FF9" w:rsidRDefault="003D2FF9" w:rsidP="003D2FF9">
      <w:pPr>
        <w:pStyle w:val="Footnote"/>
      </w:pPr>
      <w:r w:rsidRPr="00685851">
        <w:rPr>
          <w:rStyle w:val="FootnoteReference"/>
        </w:rPr>
        <w:footnoteRef/>
      </w:r>
      <w:r>
        <w:t xml:space="preserve"> See Vivien Lee and David Wessel, “The history and future of the retail sales tax,” Brookings, July 16, 2018, available here: </w:t>
      </w:r>
      <w:hyperlink r:id="rId18" w:anchor=":~:text=The%20retail%20sales%20tax%20was,than%2032%20percent%20in%201970" w:history="1">
        <w:r>
          <w:rPr>
            <w:rStyle w:val="Hyperlink"/>
          </w:rPr>
          <w:t>https://www.brookings.edu/blog/up-front/2018/07/16/the-history-and-future-of-the-retail-sales-tax/#:~:text=The%20retail%20sales%20tax%20was,than%2032%20percent%20in%201970</w:t>
        </w:r>
      </w:hyperlink>
      <w:r>
        <w:t>, (hereafter, Brookings).</w:t>
      </w:r>
    </w:p>
  </w:footnote>
  <w:footnote w:id="32">
    <w:p w14:paraId="1371D4B7" w14:textId="7EA0A057" w:rsidR="00AA00EE" w:rsidRDefault="00AA00EE">
      <w:pPr>
        <w:pStyle w:val="FootnoteText"/>
      </w:pPr>
      <w:r>
        <w:rPr>
          <w:rStyle w:val="FootnoteReference"/>
        </w:rPr>
        <w:footnoteRef/>
      </w:r>
      <w:r>
        <w:t xml:space="preserve"> See Walczak, F</w:t>
      </w:r>
      <w:r w:rsidR="00693BDB">
        <w:t xml:space="preserve">N 20. </w:t>
      </w:r>
    </w:p>
  </w:footnote>
  <w:footnote w:id="33">
    <w:p w14:paraId="722AEB4D" w14:textId="77777777" w:rsidR="003D2FF9" w:rsidRDefault="003D2FF9" w:rsidP="003D2FF9">
      <w:pPr>
        <w:pStyle w:val="Footnote"/>
      </w:pPr>
      <w:r w:rsidRPr="00685851">
        <w:rPr>
          <w:rStyle w:val="FootnoteReference"/>
        </w:rPr>
        <w:footnoteRef/>
      </w:r>
      <w:r>
        <w:t xml:space="preserve"> See John L. Mikesell, “State Retail Sales Taxes in 2018,” Tax Notes State, Sept. 30, 2019, p. 1339.</w:t>
      </w:r>
    </w:p>
  </w:footnote>
  <w:footnote w:id="34">
    <w:p w14:paraId="157201BB" w14:textId="3CD0814F" w:rsidR="00D9400F" w:rsidRDefault="00D9400F" w:rsidP="00A24153">
      <w:pPr>
        <w:pStyle w:val="FootnoteText"/>
      </w:pPr>
      <w:r>
        <w:rPr>
          <w:rStyle w:val="FootnoteReference"/>
        </w:rPr>
        <w:footnoteRef/>
      </w:r>
      <w:r>
        <w:t xml:space="preserve"> </w:t>
      </w:r>
      <w:r w:rsidR="00A24153">
        <w:t xml:space="preserve">Vivien Lee and David Wessel, </w:t>
      </w:r>
      <w:r w:rsidR="001961C3">
        <w:t>“</w:t>
      </w:r>
      <w:r w:rsidR="001961C3" w:rsidRPr="001961C3">
        <w:t>The history and future of the retail sales tax</w:t>
      </w:r>
      <w:r w:rsidR="001961C3">
        <w:t xml:space="preserve">,” Brookings, Jul. 16, 2018, available here: </w:t>
      </w:r>
      <w:hyperlink r:id="rId19" w:history="1">
        <w:r w:rsidR="001F61FA" w:rsidRPr="00DA0EC3">
          <w:rPr>
            <w:rStyle w:val="Hyperlink"/>
          </w:rPr>
          <w:t>https://www.brookings.edu/articles/the-history-and-future-of-the-retail-sales-tax/</w:t>
        </w:r>
      </w:hyperlink>
      <w:r w:rsidR="001F61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BD60" w14:textId="09EE01D7" w:rsidR="00A50482" w:rsidRDefault="00A50482">
    <w:pPr>
      <w:pStyle w:val="Header"/>
    </w:pPr>
    <w:r>
      <w:rPr>
        <w:noProof/>
      </w:rPr>
      <w:drawing>
        <wp:anchor distT="0" distB="0" distL="114300" distR="114300" simplePos="0" relativeHeight="251658240" behindDoc="0" locked="0" layoutInCell="1" allowOverlap="1" wp14:anchorId="0AC95A45" wp14:editId="6769ECF3">
          <wp:simplePos x="0" y="0"/>
          <wp:positionH relativeFrom="column">
            <wp:posOffset>-4445</wp:posOffset>
          </wp:positionH>
          <wp:positionV relativeFrom="paragraph">
            <wp:posOffset>3810</wp:posOffset>
          </wp:positionV>
          <wp:extent cx="440690" cy="222250"/>
          <wp:effectExtent l="0" t="0" r="0" b="6350"/>
          <wp:wrapTopAndBottom/>
          <wp:docPr id="986365504" name="Picture 986365504" descr="MultiTax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76975" name="Picture 1" descr="MultiTax Commissio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0690" cy="222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EB9"/>
    <w:multiLevelType w:val="hybridMultilevel"/>
    <w:tmpl w:val="AB509200"/>
    <w:lvl w:ilvl="0" w:tplc="1186B042">
      <w:start w:val="1"/>
      <w:numFmt w:val="upperLetter"/>
      <w:lvlText w:val="%1."/>
      <w:lvlJc w:val="left"/>
      <w:pPr>
        <w:ind w:left="720" w:hanging="360"/>
      </w:pPr>
    </w:lvl>
    <w:lvl w:ilvl="1" w:tplc="73BA1770">
      <w:start w:val="1"/>
      <w:numFmt w:val="lowerRoman"/>
      <w:lvlText w:val="%2."/>
      <w:lvlJc w:val="right"/>
      <w:pPr>
        <w:ind w:left="1440" w:hanging="360"/>
      </w:pPr>
    </w:lvl>
    <w:lvl w:ilvl="2" w:tplc="A8E4D410">
      <w:start w:val="1"/>
      <w:numFmt w:val="lowerRoman"/>
      <w:lvlText w:val="%3."/>
      <w:lvlJc w:val="right"/>
      <w:pPr>
        <w:ind w:left="2160" w:hanging="180"/>
      </w:pPr>
    </w:lvl>
    <w:lvl w:ilvl="3" w:tplc="88523506">
      <w:start w:val="1"/>
      <w:numFmt w:val="decimal"/>
      <w:lvlText w:val="%4."/>
      <w:lvlJc w:val="left"/>
      <w:pPr>
        <w:ind w:left="2880" w:hanging="360"/>
      </w:pPr>
      <w:rPr>
        <w:rFonts w:hint="default"/>
      </w:rPr>
    </w:lvl>
    <w:lvl w:ilvl="4" w:tplc="FA36B3B2">
      <w:start w:val="1"/>
      <w:numFmt w:val="lowerLetter"/>
      <w:lvlText w:val="%5."/>
      <w:lvlJc w:val="left"/>
      <w:pPr>
        <w:ind w:left="3600" w:hanging="360"/>
      </w:pPr>
    </w:lvl>
    <w:lvl w:ilvl="5" w:tplc="4B2A1458">
      <w:start w:val="1"/>
      <w:numFmt w:val="lowerRoman"/>
      <w:lvlText w:val="%6."/>
      <w:lvlJc w:val="right"/>
      <w:pPr>
        <w:ind w:left="4320" w:hanging="180"/>
      </w:pPr>
    </w:lvl>
    <w:lvl w:ilvl="6" w:tplc="F60246DA">
      <w:start w:val="1"/>
      <w:numFmt w:val="decimal"/>
      <w:lvlText w:val="%7."/>
      <w:lvlJc w:val="left"/>
      <w:pPr>
        <w:ind w:left="5040" w:hanging="360"/>
      </w:pPr>
    </w:lvl>
    <w:lvl w:ilvl="7" w:tplc="80A4B1AA" w:tentative="1">
      <w:start w:val="1"/>
      <w:numFmt w:val="lowerLetter"/>
      <w:lvlText w:val="%8."/>
      <w:lvlJc w:val="left"/>
      <w:pPr>
        <w:ind w:left="5760" w:hanging="360"/>
      </w:pPr>
    </w:lvl>
    <w:lvl w:ilvl="8" w:tplc="674685D0" w:tentative="1">
      <w:start w:val="1"/>
      <w:numFmt w:val="lowerRoman"/>
      <w:lvlText w:val="%9."/>
      <w:lvlJc w:val="right"/>
      <w:pPr>
        <w:ind w:left="6480" w:hanging="180"/>
      </w:pPr>
    </w:lvl>
  </w:abstractNum>
  <w:abstractNum w:abstractNumId="1" w15:restartNumberingAfterBreak="0">
    <w:nsid w:val="038E081A"/>
    <w:multiLevelType w:val="hybridMultilevel"/>
    <w:tmpl w:val="FB8C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32549"/>
    <w:multiLevelType w:val="hybridMultilevel"/>
    <w:tmpl w:val="0784B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45BDE"/>
    <w:multiLevelType w:val="hybridMultilevel"/>
    <w:tmpl w:val="9F2CDAC4"/>
    <w:lvl w:ilvl="0" w:tplc="9856888E">
      <w:start w:val="1"/>
      <w:numFmt w:val="lowerRoman"/>
      <w:lvlText w:val="%1."/>
      <w:lvlJc w:val="left"/>
      <w:pPr>
        <w:ind w:left="1080" w:hanging="720"/>
      </w:pPr>
      <w:rPr>
        <w:rFonts w:hint="default"/>
      </w:rPr>
    </w:lvl>
    <w:lvl w:ilvl="1" w:tplc="1A08FDA2">
      <w:start w:val="1"/>
      <w:numFmt w:val="lowerLetter"/>
      <w:lvlText w:val="%2."/>
      <w:lvlJc w:val="left"/>
      <w:pPr>
        <w:ind w:left="1440" w:hanging="360"/>
      </w:pPr>
    </w:lvl>
    <w:lvl w:ilvl="2" w:tplc="D286DC72" w:tentative="1">
      <w:start w:val="1"/>
      <w:numFmt w:val="lowerRoman"/>
      <w:lvlText w:val="%3."/>
      <w:lvlJc w:val="right"/>
      <w:pPr>
        <w:ind w:left="2160" w:hanging="180"/>
      </w:pPr>
    </w:lvl>
    <w:lvl w:ilvl="3" w:tplc="9EA0CEDC" w:tentative="1">
      <w:start w:val="1"/>
      <w:numFmt w:val="decimal"/>
      <w:lvlText w:val="%4."/>
      <w:lvlJc w:val="left"/>
      <w:pPr>
        <w:ind w:left="2880" w:hanging="360"/>
      </w:pPr>
    </w:lvl>
    <w:lvl w:ilvl="4" w:tplc="66149CE4" w:tentative="1">
      <w:start w:val="1"/>
      <w:numFmt w:val="lowerLetter"/>
      <w:lvlText w:val="%5."/>
      <w:lvlJc w:val="left"/>
      <w:pPr>
        <w:ind w:left="3600" w:hanging="360"/>
      </w:pPr>
    </w:lvl>
    <w:lvl w:ilvl="5" w:tplc="46FC8488" w:tentative="1">
      <w:start w:val="1"/>
      <w:numFmt w:val="lowerRoman"/>
      <w:lvlText w:val="%6."/>
      <w:lvlJc w:val="right"/>
      <w:pPr>
        <w:ind w:left="4320" w:hanging="180"/>
      </w:pPr>
    </w:lvl>
    <w:lvl w:ilvl="6" w:tplc="D5AEF264" w:tentative="1">
      <w:start w:val="1"/>
      <w:numFmt w:val="decimal"/>
      <w:lvlText w:val="%7."/>
      <w:lvlJc w:val="left"/>
      <w:pPr>
        <w:ind w:left="5040" w:hanging="360"/>
      </w:pPr>
    </w:lvl>
    <w:lvl w:ilvl="7" w:tplc="6A70ACF0" w:tentative="1">
      <w:start w:val="1"/>
      <w:numFmt w:val="lowerLetter"/>
      <w:lvlText w:val="%8."/>
      <w:lvlJc w:val="left"/>
      <w:pPr>
        <w:ind w:left="5760" w:hanging="360"/>
      </w:pPr>
    </w:lvl>
    <w:lvl w:ilvl="8" w:tplc="E72C2246" w:tentative="1">
      <w:start w:val="1"/>
      <w:numFmt w:val="lowerRoman"/>
      <w:lvlText w:val="%9."/>
      <w:lvlJc w:val="right"/>
      <w:pPr>
        <w:ind w:left="6480" w:hanging="180"/>
      </w:pPr>
    </w:lvl>
  </w:abstractNum>
  <w:abstractNum w:abstractNumId="4" w15:restartNumberingAfterBreak="0">
    <w:nsid w:val="10D60724"/>
    <w:multiLevelType w:val="hybridMultilevel"/>
    <w:tmpl w:val="61D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77FF4"/>
    <w:multiLevelType w:val="hybridMultilevel"/>
    <w:tmpl w:val="10B0B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F58B7"/>
    <w:multiLevelType w:val="hybridMultilevel"/>
    <w:tmpl w:val="5B40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A6E59"/>
    <w:multiLevelType w:val="hybridMultilevel"/>
    <w:tmpl w:val="1A0C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A2DD9"/>
    <w:multiLevelType w:val="hybridMultilevel"/>
    <w:tmpl w:val="2D1AC1D6"/>
    <w:lvl w:ilvl="0" w:tplc="82CE792C">
      <w:start w:val="1"/>
      <w:numFmt w:val="bullet"/>
      <w:lvlText w:val=""/>
      <w:lvlJc w:val="left"/>
      <w:pPr>
        <w:ind w:left="720" w:hanging="360"/>
      </w:pPr>
      <w:rPr>
        <w:rFonts w:ascii="Symbol" w:hAnsi="Symbol" w:hint="default"/>
      </w:rPr>
    </w:lvl>
    <w:lvl w:ilvl="1" w:tplc="2670E88E" w:tentative="1">
      <w:start w:val="1"/>
      <w:numFmt w:val="bullet"/>
      <w:lvlText w:val="o"/>
      <w:lvlJc w:val="left"/>
      <w:pPr>
        <w:ind w:left="1440" w:hanging="360"/>
      </w:pPr>
      <w:rPr>
        <w:rFonts w:ascii="Courier New" w:hAnsi="Courier New" w:cs="Courier New" w:hint="default"/>
      </w:rPr>
    </w:lvl>
    <w:lvl w:ilvl="2" w:tplc="55F87558" w:tentative="1">
      <w:start w:val="1"/>
      <w:numFmt w:val="bullet"/>
      <w:lvlText w:val=""/>
      <w:lvlJc w:val="left"/>
      <w:pPr>
        <w:ind w:left="2160" w:hanging="360"/>
      </w:pPr>
      <w:rPr>
        <w:rFonts w:ascii="Wingdings" w:hAnsi="Wingdings" w:hint="default"/>
      </w:rPr>
    </w:lvl>
    <w:lvl w:ilvl="3" w:tplc="2ADE0EC2" w:tentative="1">
      <w:start w:val="1"/>
      <w:numFmt w:val="bullet"/>
      <w:lvlText w:val=""/>
      <w:lvlJc w:val="left"/>
      <w:pPr>
        <w:ind w:left="2880" w:hanging="360"/>
      </w:pPr>
      <w:rPr>
        <w:rFonts w:ascii="Symbol" w:hAnsi="Symbol" w:hint="default"/>
      </w:rPr>
    </w:lvl>
    <w:lvl w:ilvl="4" w:tplc="6E5A078E" w:tentative="1">
      <w:start w:val="1"/>
      <w:numFmt w:val="bullet"/>
      <w:lvlText w:val="o"/>
      <w:lvlJc w:val="left"/>
      <w:pPr>
        <w:ind w:left="3600" w:hanging="360"/>
      </w:pPr>
      <w:rPr>
        <w:rFonts w:ascii="Courier New" w:hAnsi="Courier New" w:cs="Courier New" w:hint="default"/>
      </w:rPr>
    </w:lvl>
    <w:lvl w:ilvl="5" w:tplc="0E309B9A" w:tentative="1">
      <w:start w:val="1"/>
      <w:numFmt w:val="bullet"/>
      <w:lvlText w:val=""/>
      <w:lvlJc w:val="left"/>
      <w:pPr>
        <w:ind w:left="4320" w:hanging="360"/>
      </w:pPr>
      <w:rPr>
        <w:rFonts w:ascii="Wingdings" w:hAnsi="Wingdings" w:hint="default"/>
      </w:rPr>
    </w:lvl>
    <w:lvl w:ilvl="6" w:tplc="E2C08EAA" w:tentative="1">
      <w:start w:val="1"/>
      <w:numFmt w:val="bullet"/>
      <w:lvlText w:val=""/>
      <w:lvlJc w:val="left"/>
      <w:pPr>
        <w:ind w:left="5040" w:hanging="360"/>
      </w:pPr>
      <w:rPr>
        <w:rFonts w:ascii="Symbol" w:hAnsi="Symbol" w:hint="default"/>
      </w:rPr>
    </w:lvl>
    <w:lvl w:ilvl="7" w:tplc="7DE2A842" w:tentative="1">
      <w:start w:val="1"/>
      <w:numFmt w:val="bullet"/>
      <w:lvlText w:val="o"/>
      <w:lvlJc w:val="left"/>
      <w:pPr>
        <w:ind w:left="5760" w:hanging="360"/>
      </w:pPr>
      <w:rPr>
        <w:rFonts w:ascii="Courier New" w:hAnsi="Courier New" w:cs="Courier New" w:hint="default"/>
      </w:rPr>
    </w:lvl>
    <w:lvl w:ilvl="8" w:tplc="713C8D60" w:tentative="1">
      <w:start w:val="1"/>
      <w:numFmt w:val="bullet"/>
      <w:lvlText w:val=""/>
      <w:lvlJc w:val="left"/>
      <w:pPr>
        <w:ind w:left="6480" w:hanging="360"/>
      </w:pPr>
      <w:rPr>
        <w:rFonts w:ascii="Wingdings" w:hAnsi="Wingdings" w:hint="default"/>
      </w:rPr>
    </w:lvl>
  </w:abstractNum>
  <w:abstractNum w:abstractNumId="9" w15:restartNumberingAfterBreak="0">
    <w:nsid w:val="34A14629"/>
    <w:multiLevelType w:val="hybridMultilevel"/>
    <w:tmpl w:val="A70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C306D"/>
    <w:multiLevelType w:val="hybridMultilevel"/>
    <w:tmpl w:val="C0C4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B5981"/>
    <w:multiLevelType w:val="hybridMultilevel"/>
    <w:tmpl w:val="F2847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0165E3"/>
    <w:multiLevelType w:val="hybridMultilevel"/>
    <w:tmpl w:val="1A3858BA"/>
    <w:lvl w:ilvl="0" w:tplc="63FC236C">
      <w:start w:val="1"/>
      <w:numFmt w:val="bullet"/>
      <w:lvlText w:val=""/>
      <w:lvlJc w:val="left"/>
      <w:pPr>
        <w:ind w:left="720" w:hanging="360"/>
      </w:pPr>
      <w:rPr>
        <w:rFonts w:ascii="Symbol" w:hAnsi="Symbol" w:hint="default"/>
      </w:rPr>
    </w:lvl>
    <w:lvl w:ilvl="1" w:tplc="3D8699F6" w:tentative="1">
      <w:start w:val="1"/>
      <w:numFmt w:val="bullet"/>
      <w:lvlText w:val="o"/>
      <w:lvlJc w:val="left"/>
      <w:pPr>
        <w:ind w:left="1440" w:hanging="360"/>
      </w:pPr>
      <w:rPr>
        <w:rFonts w:ascii="Courier New" w:hAnsi="Courier New" w:cs="Courier New" w:hint="default"/>
      </w:rPr>
    </w:lvl>
    <w:lvl w:ilvl="2" w:tplc="E0269828" w:tentative="1">
      <w:start w:val="1"/>
      <w:numFmt w:val="bullet"/>
      <w:lvlText w:val=""/>
      <w:lvlJc w:val="left"/>
      <w:pPr>
        <w:ind w:left="2160" w:hanging="360"/>
      </w:pPr>
      <w:rPr>
        <w:rFonts w:ascii="Wingdings" w:hAnsi="Wingdings" w:hint="default"/>
      </w:rPr>
    </w:lvl>
    <w:lvl w:ilvl="3" w:tplc="D72E8F58" w:tentative="1">
      <w:start w:val="1"/>
      <w:numFmt w:val="bullet"/>
      <w:lvlText w:val=""/>
      <w:lvlJc w:val="left"/>
      <w:pPr>
        <w:ind w:left="2880" w:hanging="360"/>
      </w:pPr>
      <w:rPr>
        <w:rFonts w:ascii="Symbol" w:hAnsi="Symbol" w:hint="default"/>
      </w:rPr>
    </w:lvl>
    <w:lvl w:ilvl="4" w:tplc="A3D6D714" w:tentative="1">
      <w:start w:val="1"/>
      <w:numFmt w:val="bullet"/>
      <w:lvlText w:val="o"/>
      <w:lvlJc w:val="left"/>
      <w:pPr>
        <w:ind w:left="3600" w:hanging="360"/>
      </w:pPr>
      <w:rPr>
        <w:rFonts w:ascii="Courier New" w:hAnsi="Courier New" w:cs="Courier New" w:hint="default"/>
      </w:rPr>
    </w:lvl>
    <w:lvl w:ilvl="5" w:tplc="91C84540" w:tentative="1">
      <w:start w:val="1"/>
      <w:numFmt w:val="bullet"/>
      <w:lvlText w:val=""/>
      <w:lvlJc w:val="left"/>
      <w:pPr>
        <w:ind w:left="4320" w:hanging="360"/>
      </w:pPr>
      <w:rPr>
        <w:rFonts w:ascii="Wingdings" w:hAnsi="Wingdings" w:hint="default"/>
      </w:rPr>
    </w:lvl>
    <w:lvl w:ilvl="6" w:tplc="3CCE10C2" w:tentative="1">
      <w:start w:val="1"/>
      <w:numFmt w:val="bullet"/>
      <w:lvlText w:val=""/>
      <w:lvlJc w:val="left"/>
      <w:pPr>
        <w:ind w:left="5040" w:hanging="360"/>
      </w:pPr>
      <w:rPr>
        <w:rFonts w:ascii="Symbol" w:hAnsi="Symbol" w:hint="default"/>
      </w:rPr>
    </w:lvl>
    <w:lvl w:ilvl="7" w:tplc="22741E3A" w:tentative="1">
      <w:start w:val="1"/>
      <w:numFmt w:val="bullet"/>
      <w:lvlText w:val="o"/>
      <w:lvlJc w:val="left"/>
      <w:pPr>
        <w:ind w:left="5760" w:hanging="360"/>
      </w:pPr>
      <w:rPr>
        <w:rFonts w:ascii="Courier New" w:hAnsi="Courier New" w:cs="Courier New" w:hint="default"/>
      </w:rPr>
    </w:lvl>
    <w:lvl w:ilvl="8" w:tplc="FA74B63A" w:tentative="1">
      <w:start w:val="1"/>
      <w:numFmt w:val="bullet"/>
      <w:lvlText w:val=""/>
      <w:lvlJc w:val="left"/>
      <w:pPr>
        <w:ind w:left="6480" w:hanging="360"/>
      </w:pPr>
      <w:rPr>
        <w:rFonts w:ascii="Wingdings" w:hAnsi="Wingdings" w:hint="default"/>
      </w:rPr>
    </w:lvl>
  </w:abstractNum>
  <w:abstractNum w:abstractNumId="13" w15:restartNumberingAfterBreak="0">
    <w:nsid w:val="42C66726"/>
    <w:multiLevelType w:val="hybridMultilevel"/>
    <w:tmpl w:val="E8CEB8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3A4C89"/>
    <w:multiLevelType w:val="hybridMultilevel"/>
    <w:tmpl w:val="AC64F7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0A33BFD"/>
    <w:multiLevelType w:val="hybridMultilevel"/>
    <w:tmpl w:val="13E0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36B73"/>
    <w:multiLevelType w:val="hybridMultilevel"/>
    <w:tmpl w:val="F2D8F4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8E60B7"/>
    <w:multiLevelType w:val="hybridMultilevel"/>
    <w:tmpl w:val="87122734"/>
    <w:lvl w:ilvl="0" w:tplc="7E52A8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978EA"/>
    <w:multiLevelType w:val="hybridMultilevel"/>
    <w:tmpl w:val="307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36277"/>
    <w:multiLevelType w:val="hybridMultilevel"/>
    <w:tmpl w:val="8062A8A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6D581A46"/>
    <w:multiLevelType w:val="hybridMultilevel"/>
    <w:tmpl w:val="5748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D511E"/>
    <w:multiLevelType w:val="hybridMultilevel"/>
    <w:tmpl w:val="7004E8F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718253D6"/>
    <w:multiLevelType w:val="hybridMultilevel"/>
    <w:tmpl w:val="37228BB2"/>
    <w:lvl w:ilvl="0" w:tplc="0E0EA8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D7C17"/>
    <w:multiLevelType w:val="hybridMultilevel"/>
    <w:tmpl w:val="9E06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E098A"/>
    <w:multiLevelType w:val="hybridMultilevel"/>
    <w:tmpl w:val="DE24AF94"/>
    <w:lvl w:ilvl="0" w:tplc="6434750C">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477AD"/>
    <w:multiLevelType w:val="hybridMultilevel"/>
    <w:tmpl w:val="D276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61202"/>
    <w:multiLevelType w:val="hybridMultilevel"/>
    <w:tmpl w:val="C73CE590"/>
    <w:lvl w:ilvl="0" w:tplc="401E411C">
      <w:start w:val="1"/>
      <w:numFmt w:val="upperLetter"/>
      <w:lvlText w:val="%1."/>
      <w:lvlJc w:val="left"/>
      <w:pPr>
        <w:ind w:left="720" w:hanging="360"/>
      </w:pPr>
    </w:lvl>
    <w:lvl w:ilvl="1" w:tplc="223239AC">
      <w:start w:val="1"/>
      <w:numFmt w:val="lowerLetter"/>
      <w:lvlText w:val="%2."/>
      <w:lvlJc w:val="left"/>
      <w:pPr>
        <w:ind w:left="1440" w:hanging="360"/>
      </w:pPr>
    </w:lvl>
    <w:lvl w:ilvl="2" w:tplc="F4D65C9C">
      <w:start w:val="1"/>
      <w:numFmt w:val="lowerLetter"/>
      <w:lvlText w:val="%3."/>
      <w:lvlJc w:val="left"/>
      <w:pPr>
        <w:ind w:left="1440" w:hanging="360"/>
      </w:pPr>
    </w:lvl>
    <w:lvl w:ilvl="3" w:tplc="69101122">
      <w:start w:val="1"/>
      <w:numFmt w:val="decimal"/>
      <w:lvlText w:val="%4."/>
      <w:lvlJc w:val="left"/>
      <w:pPr>
        <w:ind w:left="2880" w:hanging="360"/>
      </w:pPr>
    </w:lvl>
    <w:lvl w:ilvl="4" w:tplc="A99AF65E" w:tentative="1">
      <w:start w:val="1"/>
      <w:numFmt w:val="lowerLetter"/>
      <w:lvlText w:val="%5."/>
      <w:lvlJc w:val="left"/>
      <w:pPr>
        <w:ind w:left="3600" w:hanging="360"/>
      </w:pPr>
    </w:lvl>
    <w:lvl w:ilvl="5" w:tplc="2178772A" w:tentative="1">
      <w:start w:val="1"/>
      <w:numFmt w:val="lowerRoman"/>
      <w:lvlText w:val="%6."/>
      <w:lvlJc w:val="right"/>
      <w:pPr>
        <w:ind w:left="4320" w:hanging="180"/>
      </w:pPr>
    </w:lvl>
    <w:lvl w:ilvl="6" w:tplc="0C7A1246" w:tentative="1">
      <w:start w:val="1"/>
      <w:numFmt w:val="decimal"/>
      <w:lvlText w:val="%7."/>
      <w:lvlJc w:val="left"/>
      <w:pPr>
        <w:ind w:left="5040" w:hanging="360"/>
      </w:pPr>
    </w:lvl>
    <w:lvl w:ilvl="7" w:tplc="48FECB8A" w:tentative="1">
      <w:start w:val="1"/>
      <w:numFmt w:val="lowerLetter"/>
      <w:lvlText w:val="%8."/>
      <w:lvlJc w:val="left"/>
      <w:pPr>
        <w:ind w:left="5760" w:hanging="360"/>
      </w:pPr>
    </w:lvl>
    <w:lvl w:ilvl="8" w:tplc="F8244970" w:tentative="1">
      <w:start w:val="1"/>
      <w:numFmt w:val="lowerRoman"/>
      <w:lvlText w:val="%9."/>
      <w:lvlJc w:val="right"/>
      <w:pPr>
        <w:ind w:left="6480" w:hanging="180"/>
      </w:pPr>
    </w:lvl>
  </w:abstractNum>
  <w:abstractNum w:abstractNumId="27" w15:restartNumberingAfterBreak="0">
    <w:nsid w:val="7D3C2F38"/>
    <w:multiLevelType w:val="hybridMultilevel"/>
    <w:tmpl w:val="6F8E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8344">
    <w:abstractNumId w:val="3"/>
  </w:num>
  <w:num w:numId="2" w16cid:durableId="1666978137">
    <w:abstractNumId w:val="0"/>
  </w:num>
  <w:num w:numId="3" w16cid:durableId="950430786">
    <w:abstractNumId w:val="26"/>
  </w:num>
  <w:num w:numId="4" w16cid:durableId="740836681">
    <w:abstractNumId w:val="12"/>
  </w:num>
  <w:num w:numId="5" w16cid:durableId="356926131">
    <w:abstractNumId w:val="8"/>
  </w:num>
  <w:num w:numId="6" w16cid:durableId="1752048518">
    <w:abstractNumId w:val="16"/>
  </w:num>
  <w:num w:numId="7" w16cid:durableId="691494477">
    <w:abstractNumId w:val="25"/>
  </w:num>
  <w:num w:numId="8" w16cid:durableId="353112003">
    <w:abstractNumId w:val="18"/>
  </w:num>
  <w:num w:numId="9" w16cid:durableId="756905182">
    <w:abstractNumId w:val="10"/>
  </w:num>
  <w:num w:numId="10" w16cid:durableId="556280474">
    <w:abstractNumId w:val="6"/>
  </w:num>
  <w:num w:numId="11" w16cid:durableId="663238471">
    <w:abstractNumId w:val="15"/>
  </w:num>
  <w:num w:numId="12" w16cid:durableId="1887990508">
    <w:abstractNumId w:val="22"/>
  </w:num>
  <w:num w:numId="13" w16cid:durableId="1303972545">
    <w:abstractNumId w:val="17"/>
  </w:num>
  <w:num w:numId="14" w16cid:durableId="1448312256">
    <w:abstractNumId w:val="2"/>
  </w:num>
  <w:num w:numId="15" w16cid:durableId="901253085">
    <w:abstractNumId w:val="14"/>
  </w:num>
  <w:num w:numId="16" w16cid:durableId="1300183398">
    <w:abstractNumId w:val="13"/>
  </w:num>
  <w:num w:numId="17" w16cid:durableId="1962764222">
    <w:abstractNumId w:val="9"/>
  </w:num>
  <w:num w:numId="18" w16cid:durableId="1246961221">
    <w:abstractNumId w:val="19"/>
  </w:num>
  <w:num w:numId="19" w16cid:durableId="1730961198">
    <w:abstractNumId w:val="11"/>
  </w:num>
  <w:num w:numId="20" w16cid:durableId="1866626342">
    <w:abstractNumId w:val="27"/>
  </w:num>
  <w:num w:numId="21" w16cid:durableId="990642599">
    <w:abstractNumId w:val="1"/>
  </w:num>
  <w:num w:numId="22" w16cid:durableId="1424373323">
    <w:abstractNumId w:val="4"/>
  </w:num>
  <w:num w:numId="23" w16cid:durableId="364214919">
    <w:abstractNumId w:val="21"/>
  </w:num>
  <w:num w:numId="24" w16cid:durableId="825710246">
    <w:abstractNumId w:val="23"/>
  </w:num>
  <w:num w:numId="25" w16cid:durableId="1454715117">
    <w:abstractNumId w:val="7"/>
  </w:num>
  <w:num w:numId="26" w16cid:durableId="1280917807">
    <w:abstractNumId w:val="20"/>
  </w:num>
  <w:num w:numId="27" w16cid:durableId="571737111">
    <w:abstractNumId w:val="5"/>
  </w:num>
  <w:num w:numId="28" w16cid:durableId="194341732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06"/>
    <w:rsid w:val="00000118"/>
    <w:rsid w:val="00000D13"/>
    <w:rsid w:val="00001335"/>
    <w:rsid w:val="00001413"/>
    <w:rsid w:val="000019E9"/>
    <w:rsid w:val="00002144"/>
    <w:rsid w:val="00002B22"/>
    <w:rsid w:val="00003B30"/>
    <w:rsid w:val="000041B1"/>
    <w:rsid w:val="00004388"/>
    <w:rsid w:val="0000461B"/>
    <w:rsid w:val="00004DDF"/>
    <w:rsid w:val="000061B1"/>
    <w:rsid w:val="0000650F"/>
    <w:rsid w:val="00007604"/>
    <w:rsid w:val="0000794E"/>
    <w:rsid w:val="00010538"/>
    <w:rsid w:val="000107E1"/>
    <w:rsid w:val="00011077"/>
    <w:rsid w:val="000113A2"/>
    <w:rsid w:val="00011D2E"/>
    <w:rsid w:val="00011E9B"/>
    <w:rsid w:val="000121EB"/>
    <w:rsid w:val="000128A5"/>
    <w:rsid w:val="00012C5C"/>
    <w:rsid w:val="00012D6D"/>
    <w:rsid w:val="000130BA"/>
    <w:rsid w:val="000136CC"/>
    <w:rsid w:val="00013F2E"/>
    <w:rsid w:val="00014172"/>
    <w:rsid w:val="000155ED"/>
    <w:rsid w:val="00015D68"/>
    <w:rsid w:val="000165DE"/>
    <w:rsid w:val="00016EDA"/>
    <w:rsid w:val="00016EFD"/>
    <w:rsid w:val="0002071A"/>
    <w:rsid w:val="00020B5B"/>
    <w:rsid w:val="00020E1C"/>
    <w:rsid w:val="00022ADC"/>
    <w:rsid w:val="00022B14"/>
    <w:rsid w:val="00022F0F"/>
    <w:rsid w:val="00023299"/>
    <w:rsid w:val="00023930"/>
    <w:rsid w:val="00024099"/>
    <w:rsid w:val="00024DD3"/>
    <w:rsid w:val="00025113"/>
    <w:rsid w:val="00025195"/>
    <w:rsid w:val="0002538B"/>
    <w:rsid w:val="00025C25"/>
    <w:rsid w:val="00025E41"/>
    <w:rsid w:val="00025E47"/>
    <w:rsid w:val="0002649C"/>
    <w:rsid w:val="00026B4F"/>
    <w:rsid w:val="00026DF7"/>
    <w:rsid w:val="00027101"/>
    <w:rsid w:val="00030054"/>
    <w:rsid w:val="000309BB"/>
    <w:rsid w:val="00030AA2"/>
    <w:rsid w:val="0003161B"/>
    <w:rsid w:val="000324A0"/>
    <w:rsid w:val="000329E8"/>
    <w:rsid w:val="0003358A"/>
    <w:rsid w:val="000337A6"/>
    <w:rsid w:val="000347BE"/>
    <w:rsid w:val="00034D29"/>
    <w:rsid w:val="00035A9F"/>
    <w:rsid w:val="00035C6B"/>
    <w:rsid w:val="00036670"/>
    <w:rsid w:val="000371C7"/>
    <w:rsid w:val="000376EB"/>
    <w:rsid w:val="00040416"/>
    <w:rsid w:val="00040A05"/>
    <w:rsid w:val="00041073"/>
    <w:rsid w:val="00042033"/>
    <w:rsid w:val="000421B6"/>
    <w:rsid w:val="0004224C"/>
    <w:rsid w:val="00042600"/>
    <w:rsid w:val="00042C08"/>
    <w:rsid w:val="00044558"/>
    <w:rsid w:val="00044670"/>
    <w:rsid w:val="00045493"/>
    <w:rsid w:val="00045506"/>
    <w:rsid w:val="00045E0B"/>
    <w:rsid w:val="000460A4"/>
    <w:rsid w:val="00046D83"/>
    <w:rsid w:val="00046F5D"/>
    <w:rsid w:val="00047BB7"/>
    <w:rsid w:val="0005010F"/>
    <w:rsid w:val="00050362"/>
    <w:rsid w:val="00052365"/>
    <w:rsid w:val="000534D0"/>
    <w:rsid w:val="0005400C"/>
    <w:rsid w:val="000543F3"/>
    <w:rsid w:val="000553DA"/>
    <w:rsid w:val="000573B8"/>
    <w:rsid w:val="000575DB"/>
    <w:rsid w:val="00057676"/>
    <w:rsid w:val="000578E5"/>
    <w:rsid w:val="00057CA2"/>
    <w:rsid w:val="00057FA2"/>
    <w:rsid w:val="00060A7C"/>
    <w:rsid w:val="00061057"/>
    <w:rsid w:val="0006176E"/>
    <w:rsid w:val="00061986"/>
    <w:rsid w:val="000630BE"/>
    <w:rsid w:val="0006329C"/>
    <w:rsid w:val="00063B52"/>
    <w:rsid w:val="00063C0F"/>
    <w:rsid w:val="000642E2"/>
    <w:rsid w:val="00064B33"/>
    <w:rsid w:val="00064EC0"/>
    <w:rsid w:val="000656D3"/>
    <w:rsid w:val="00066590"/>
    <w:rsid w:val="00066C34"/>
    <w:rsid w:val="000674F4"/>
    <w:rsid w:val="0006798E"/>
    <w:rsid w:val="00067C2E"/>
    <w:rsid w:val="0007004C"/>
    <w:rsid w:val="000704A2"/>
    <w:rsid w:val="000706B4"/>
    <w:rsid w:val="00070CC6"/>
    <w:rsid w:val="00071C65"/>
    <w:rsid w:val="00071EAB"/>
    <w:rsid w:val="00071EFC"/>
    <w:rsid w:val="00071F6B"/>
    <w:rsid w:val="0007245C"/>
    <w:rsid w:val="000729FF"/>
    <w:rsid w:val="00072A76"/>
    <w:rsid w:val="000733BF"/>
    <w:rsid w:val="00073434"/>
    <w:rsid w:val="00074619"/>
    <w:rsid w:val="000756BB"/>
    <w:rsid w:val="00076720"/>
    <w:rsid w:val="00076E9D"/>
    <w:rsid w:val="00077679"/>
    <w:rsid w:val="00080DCF"/>
    <w:rsid w:val="000819A2"/>
    <w:rsid w:val="00081C1E"/>
    <w:rsid w:val="00081F17"/>
    <w:rsid w:val="00083C5D"/>
    <w:rsid w:val="0008411A"/>
    <w:rsid w:val="00084651"/>
    <w:rsid w:val="00084691"/>
    <w:rsid w:val="00085512"/>
    <w:rsid w:val="00086445"/>
    <w:rsid w:val="0008745D"/>
    <w:rsid w:val="00087B0A"/>
    <w:rsid w:val="000904B7"/>
    <w:rsid w:val="00090A41"/>
    <w:rsid w:val="00090C0D"/>
    <w:rsid w:val="00091075"/>
    <w:rsid w:val="00091531"/>
    <w:rsid w:val="00091ADD"/>
    <w:rsid w:val="000922AE"/>
    <w:rsid w:val="0009272A"/>
    <w:rsid w:val="000937A4"/>
    <w:rsid w:val="00094D81"/>
    <w:rsid w:val="000953C1"/>
    <w:rsid w:val="0009544C"/>
    <w:rsid w:val="00095AB3"/>
    <w:rsid w:val="000962A2"/>
    <w:rsid w:val="00096464"/>
    <w:rsid w:val="000965BF"/>
    <w:rsid w:val="000965CD"/>
    <w:rsid w:val="00096A2E"/>
    <w:rsid w:val="00096F3B"/>
    <w:rsid w:val="00097749"/>
    <w:rsid w:val="000A1344"/>
    <w:rsid w:val="000A1851"/>
    <w:rsid w:val="000A21A9"/>
    <w:rsid w:val="000A2847"/>
    <w:rsid w:val="000A292C"/>
    <w:rsid w:val="000A347C"/>
    <w:rsid w:val="000A44FE"/>
    <w:rsid w:val="000A51C7"/>
    <w:rsid w:val="000A523B"/>
    <w:rsid w:val="000A567A"/>
    <w:rsid w:val="000A5BA7"/>
    <w:rsid w:val="000A6E1A"/>
    <w:rsid w:val="000B06D8"/>
    <w:rsid w:val="000B255A"/>
    <w:rsid w:val="000B2566"/>
    <w:rsid w:val="000B2A40"/>
    <w:rsid w:val="000B2A52"/>
    <w:rsid w:val="000B3459"/>
    <w:rsid w:val="000B3AF6"/>
    <w:rsid w:val="000B43F2"/>
    <w:rsid w:val="000B4A5B"/>
    <w:rsid w:val="000B50D9"/>
    <w:rsid w:val="000B5370"/>
    <w:rsid w:val="000B5704"/>
    <w:rsid w:val="000B6A41"/>
    <w:rsid w:val="000B6C0A"/>
    <w:rsid w:val="000B7E3B"/>
    <w:rsid w:val="000C0964"/>
    <w:rsid w:val="000C0EC2"/>
    <w:rsid w:val="000C17FD"/>
    <w:rsid w:val="000C1970"/>
    <w:rsid w:val="000C393E"/>
    <w:rsid w:val="000C5613"/>
    <w:rsid w:val="000C5BA3"/>
    <w:rsid w:val="000C633A"/>
    <w:rsid w:val="000C67A0"/>
    <w:rsid w:val="000C7E48"/>
    <w:rsid w:val="000D042E"/>
    <w:rsid w:val="000D0756"/>
    <w:rsid w:val="000D07D3"/>
    <w:rsid w:val="000D0F2F"/>
    <w:rsid w:val="000D109F"/>
    <w:rsid w:val="000D1143"/>
    <w:rsid w:val="000D164F"/>
    <w:rsid w:val="000D1AAD"/>
    <w:rsid w:val="000D20D6"/>
    <w:rsid w:val="000D249D"/>
    <w:rsid w:val="000D2746"/>
    <w:rsid w:val="000D2E57"/>
    <w:rsid w:val="000D321D"/>
    <w:rsid w:val="000D3D05"/>
    <w:rsid w:val="000D4156"/>
    <w:rsid w:val="000D443B"/>
    <w:rsid w:val="000D4DE4"/>
    <w:rsid w:val="000D5B20"/>
    <w:rsid w:val="000D72A3"/>
    <w:rsid w:val="000D73D8"/>
    <w:rsid w:val="000D7676"/>
    <w:rsid w:val="000D7EBB"/>
    <w:rsid w:val="000E0008"/>
    <w:rsid w:val="000E0A90"/>
    <w:rsid w:val="000E0BA1"/>
    <w:rsid w:val="000E1A4A"/>
    <w:rsid w:val="000E25F7"/>
    <w:rsid w:val="000E33F4"/>
    <w:rsid w:val="000E4716"/>
    <w:rsid w:val="000E4E3C"/>
    <w:rsid w:val="000E5733"/>
    <w:rsid w:val="000E6292"/>
    <w:rsid w:val="000E66E1"/>
    <w:rsid w:val="000E6A81"/>
    <w:rsid w:val="000E75D5"/>
    <w:rsid w:val="000F16AC"/>
    <w:rsid w:val="000F18E2"/>
    <w:rsid w:val="000F2ADD"/>
    <w:rsid w:val="000F2BEB"/>
    <w:rsid w:val="000F2EB9"/>
    <w:rsid w:val="000F443E"/>
    <w:rsid w:val="000F4E31"/>
    <w:rsid w:val="000F536C"/>
    <w:rsid w:val="000F5A16"/>
    <w:rsid w:val="000F63A0"/>
    <w:rsid w:val="000F6446"/>
    <w:rsid w:val="000F6510"/>
    <w:rsid w:val="000F693E"/>
    <w:rsid w:val="000F6A8F"/>
    <w:rsid w:val="000F6EA4"/>
    <w:rsid w:val="000F73F8"/>
    <w:rsid w:val="00100835"/>
    <w:rsid w:val="00100842"/>
    <w:rsid w:val="001009CA"/>
    <w:rsid w:val="00101122"/>
    <w:rsid w:val="00101596"/>
    <w:rsid w:val="001019AF"/>
    <w:rsid w:val="00101DC0"/>
    <w:rsid w:val="00102335"/>
    <w:rsid w:val="001024C1"/>
    <w:rsid w:val="00102C6C"/>
    <w:rsid w:val="00102D41"/>
    <w:rsid w:val="00102D8B"/>
    <w:rsid w:val="0010313E"/>
    <w:rsid w:val="0010366B"/>
    <w:rsid w:val="00104102"/>
    <w:rsid w:val="001055B6"/>
    <w:rsid w:val="00105923"/>
    <w:rsid w:val="00106514"/>
    <w:rsid w:val="00107480"/>
    <w:rsid w:val="00110057"/>
    <w:rsid w:val="00110608"/>
    <w:rsid w:val="0011091B"/>
    <w:rsid w:val="00110B9D"/>
    <w:rsid w:val="00111119"/>
    <w:rsid w:val="00113CAD"/>
    <w:rsid w:val="00116823"/>
    <w:rsid w:val="00117557"/>
    <w:rsid w:val="00117A06"/>
    <w:rsid w:val="001208CD"/>
    <w:rsid w:val="00120ACA"/>
    <w:rsid w:val="00121CDB"/>
    <w:rsid w:val="00121D98"/>
    <w:rsid w:val="00122267"/>
    <w:rsid w:val="0012249B"/>
    <w:rsid w:val="0012269A"/>
    <w:rsid w:val="00123070"/>
    <w:rsid w:val="00124844"/>
    <w:rsid w:val="00124878"/>
    <w:rsid w:val="001248BA"/>
    <w:rsid w:val="00125958"/>
    <w:rsid w:val="00125B49"/>
    <w:rsid w:val="0012692C"/>
    <w:rsid w:val="001304BF"/>
    <w:rsid w:val="001320BE"/>
    <w:rsid w:val="0013272C"/>
    <w:rsid w:val="001329E1"/>
    <w:rsid w:val="001332EC"/>
    <w:rsid w:val="00133BE8"/>
    <w:rsid w:val="00133C7B"/>
    <w:rsid w:val="00134897"/>
    <w:rsid w:val="00134B03"/>
    <w:rsid w:val="00137FF5"/>
    <w:rsid w:val="00141A52"/>
    <w:rsid w:val="001420FC"/>
    <w:rsid w:val="00142226"/>
    <w:rsid w:val="001424C8"/>
    <w:rsid w:val="00142FBD"/>
    <w:rsid w:val="001433D5"/>
    <w:rsid w:val="0014346E"/>
    <w:rsid w:val="00143D8C"/>
    <w:rsid w:val="0014483E"/>
    <w:rsid w:val="001448EF"/>
    <w:rsid w:val="00144900"/>
    <w:rsid w:val="00145CB5"/>
    <w:rsid w:val="001461CB"/>
    <w:rsid w:val="001464EC"/>
    <w:rsid w:val="00147A18"/>
    <w:rsid w:val="00147D34"/>
    <w:rsid w:val="00150D61"/>
    <w:rsid w:val="001528A1"/>
    <w:rsid w:val="0015307A"/>
    <w:rsid w:val="00153D96"/>
    <w:rsid w:val="00154471"/>
    <w:rsid w:val="001547C3"/>
    <w:rsid w:val="0015480D"/>
    <w:rsid w:val="00154984"/>
    <w:rsid w:val="00156BB3"/>
    <w:rsid w:val="00157B20"/>
    <w:rsid w:val="00162BDA"/>
    <w:rsid w:val="00163312"/>
    <w:rsid w:val="0016357C"/>
    <w:rsid w:val="001635B9"/>
    <w:rsid w:val="00163B46"/>
    <w:rsid w:val="00163E26"/>
    <w:rsid w:val="001641ED"/>
    <w:rsid w:val="001645C6"/>
    <w:rsid w:val="00165107"/>
    <w:rsid w:val="00165BF4"/>
    <w:rsid w:val="00165C2B"/>
    <w:rsid w:val="00165F1B"/>
    <w:rsid w:val="00165F82"/>
    <w:rsid w:val="001668BA"/>
    <w:rsid w:val="001704A7"/>
    <w:rsid w:val="00171527"/>
    <w:rsid w:val="00171752"/>
    <w:rsid w:val="00171D67"/>
    <w:rsid w:val="00174049"/>
    <w:rsid w:val="00174E3A"/>
    <w:rsid w:val="0017622D"/>
    <w:rsid w:val="001765AE"/>
    <w:rsid w:val="00176BD9"/>
    <w:rsid w:val="00177397"/>
    <w:rsid w:val="00177409"/>
    <w:rsid w:val="001804D7"/>
    <w:rsid w:val="00180B01"/>
    <w:rsid w:val="00180D1E"/>
    <w:rsid w:val="001814B5"/>
    <w:rsid w:val="001814DE"/>
    <w:rsid w:val="001815C4"/>
    <w:rsid w:val="00182066"/>
    <w:rsid w:val="001821C6"/>
    <w:rsid w:val="0018224E"/>
    <w:rsid w:val="001826CA"/>
    <w:rsid w:val="00182A0E"/>
    <w:rsid w:val="00182ECA"/>
    <w:rsid w:val="00183195"/>
    <w:rsid w:val="00183B6A"/>
    <w:rsid w:val="00183BAA"/>
    <w:rsid w:val="00184AF4"/>
    <w:rsid w:val="00184B50"/>
    <w:rsid w:val="00185106"/>
    <w:rsid w:val="001864CE"/>
    <w:rsid w:val="00186CF6"/>
    <w:rsid w:val="0018702A"/>
    <w:rsid w:val="00187290"/>
    <w:rsid w:val="00191653"/>
    <w:rsid w:val="00191745"/>
    <w:rsid w:val="00191BB3"/>
    <w:rsid w:val="00192253"/>
    <w:rsid w:val="00193094"/>
    <w:rsid w:val="001932E3"/>
    <w:rsid w:val="00194B8A"/>
    <w:rsid w:val="00194D07"/>
    <w:rsid w:val="0019543F"/>
    <w:rsid w:val="001961C3"/>
    <w:rsid w:val="00197235"/>
    <w:rsid w:val="0019779C"/>
    <w:rsid w:val="00197934"/>
    <w:rsid w:val="001A0230"/>
    <w:rsid w:val="001A03DE"/>
    <w:rsid w:val="001A04BE"/>
    <w:rsid w:val="001A073C"/>
    <w:rsid w:val="001A08D3"/>
    <w:rsid w:val="001A0AB8"/>
    <w:rsid w:val="001A0C2F"/>
    <w:rsid w:val="001A13A3"/>
    <w:rsid w:val="001A2506"/>
    <w:rsid w:val="001A27F0"/>
    <w:rsid w:val="001A2CAB"/>
    <w:rsid w:val="001A3397"/>
    <w:rsid w:val="001A37FE"/>
    <w:rsid w:val="001A3FD4"/>
    <w:rsid w:val="001A4FAE"/>
    <w:rsid w:val="001A5095"/>
    <w:rsid w:val="001A525E"/>
    <w:rsid w:val="001A5519"/>
    <w:rsid w:val="001A5B0A"/>
    <w:rsid w:val="001A653A"/>
    <w:rsid w:val="001A6ED5"/>
    <w:rsid w:val="001A6FBE"/>
    <w:rsid w:val="001B1C77"/>
    <w:rsid w:val="001B1C92"/>
    <w:rsid w:val="001B2CE3"/>
    <w:rsid w:val="001B31F0"/>
    <w:rsid w:val="001B341B"/>
    <w:rsid w:val="001B3589"/>
    <w:rsid w:val="001B3599"/>
    <w:rsid w:val="001B3E26"/>
    <w:rsid w:val="001B4A5C"/>
    <w:rsid w:val="001B5553"/>
    <w:rsid w:val="001B573D"/>
    <w:rsid w:val="001B5A9E"/>
    <w:rsid w:val="001B5DC2"/>
    <w:rsid w:val="001B6CBD"/>
    <w:rsid w:val="001C01A2"/>
    <w:rsid w:val="001C0A4A"/>
    <w:rsid w:val="001C1346"/>
    <w:rsid w:val="001C203C"/>
    <w:rsid w:val="001C303C"/>
    <w:rsid w:val="001C3874"/>
    <w:rsid w:val="001C404B"/>
    <w:rsid w:val="001C4A03"/>
    <w:rsid w:val="001C5CEB"/>
    <w:rsid w:val="001C723A"/>
    <w:rsid w:val="001C75A9"/>
    <w:rsid w:val="001C7AAC"/>
    <w:rsid w:val="001D0099"/>
    <w:rsid w:val="001D025F"/>
    <w:rsid w:val="001D0E5C"/>
    <w:rsid w:val="001D176B"/>
    <w:rsid w:val="001D1A8B"/>
    <w:rsid w:val="001D26A4"/>
    <w:rsid w:val="001D2F9F"/>
    <w:rsid w:val="001D327C"/>
    <w:rsid w:val="001D3BB2"/>
    <w:rsid w:val="001D3BFA"/>
    <w:rsid w:val="001D4A16"/>
    <w:rsid w:val="001D4E87"/>
    <w:rsid w:val="001D623A"/>
    <w:rsid w:val="001D7515"/>
    <w:rsid w:val="001D7A73"/>
    <w:rsid w:val="001D7C7D"/>
    <w:rsid w:val="001D7F81"/>
    <w:rsid w:val="001E0136"/>
    <w:rsid w:val="001E068E"/>
    <w:rsid w:val="001E0C0A"/>
    <w:rsid w:val="001E0FE7"/>
    <w:rsid w:val="001E2271"/>
    <w:rsid w:val="001E309B"/>
    <w:rsid w:val="001E3734"/>
    <w:rsid w:val="001E3B9E"/>
    <w:rsid w:val="001E59E4"/>
    <w:rsid w:val="001E62F8"/>
    <w:rsid w:val="001E6674"/>
    <w:rsid w:val="001E71A5"/>
    <w:rsid w:val="001E77E3"/>
    <w:rsid w:val="001E7993"/>
    <w:rsid w:val="001E7DAD"/>
    <w:rsid w:val="001F0481"/>
    <w:rsid w:val="001F05E7"/>
    <w:rsid w:val="001F0C4E"/>
    <w:rsid w:val="001F17A6"/>
    <w:rsid w:val="001F19E4"/>
    <w:rsid w:val="001F289C"/>
    <w:rsid w:val="001F428F"/>
    <w:rsid w:val="001F45A6"/>
    <w:rsid w:val="001F5B6B"/>
    <w:rsid w:val="001F61D2"/>
    <w:rsid w:val="001F61FA"/>
    <w:rsid w:val="001F7B5F"/>
    <w:rsid w:val="001F7DBE"/>
    <w:rsid w:val="001F7E88"/>
    <w:rsid w:val="0020041D"/>
    <w:rsid w:val="00201018"/>
    <w:rsid w:val="00201512"/>
    <w:rsid w:val="00201591"/>
    <w:rsid w:val="00202494"/>
    <w:rsid w:val="00202634"/>
    <w:rsid w:val="00202DBA"/>
    <w:rsid w:val="0020456E"/>
    <w:rsid w:val="0020486E"/>
    <w:rsid w:val="00204E60"/>
    <w:rsid w:val="00205B69"/>
    <w:rsid w:val="002064CA"/>
    <w:rsid w:val="002075A6"/>
    <w:rsid w:val="00207978"/>
    <w:rsid w:val="00207DE5"/>
    <w:rsid w:val="0021002E"/>
    <w:rsid w:val="00210402"/>
    <w:rsid w:val="00210B61"/>
    <w:rsid w:val="002114C2"/>
    <w:rsid w:val="00211FF0"/>
    <w:rsid w:val="00212BB8"/>
    <w:rsid w:val="00212C68"/>
    <w:rsid w:val="00213248"/>
    <w:rsid w:val="00213573"/>
    <w:rsid w:val="00214811"/>
    <w:rsid w:val="0021529B"/>
    <w:rsid w:val="00215CE5"/>
    <w:rsid w:val="00215EAD"/>
    <w:rsid w:val="00215F69"/>
    <w:rsid w:val="002166C2"/>
    <w:rsid w:val="00216B69"/>
    <w:rsid w:val="00217511"/>
    <w:rsid w:val="0022034C"/>
    <w:rsid w:val="00220678"/>
    <w:rsid w:val="00221ABC"/>
    <w:rsid w:val="00222C2F"/>
    <w:rsid w:val="00223208"/>
    <w:rsid w:val="00223765"/>
    <w:rsid w:val="0022478A"/>
    <w:rsid w:val="002247FB"/>
    <w:rsid w:val="00224B98"/>
    <w:rsid w:val="00225B24"/>
    <w:rsid w:val="00226054"/>
    <w:rsid w:val="00226A8B"/>
    <w:rsid w:val="00226E87"/>
    <w:rsid w:val="00227CC4"/>
    <w:rsid w:val="00227E38"/>
    <w:rsid w:val="002305D3"/>
    <w:rsid w:val="002312A8"/>
    <w:rsid w:val="002318E7"/>
    <w:rsid w:val="00231AF5"/>
    <w:rsid w:val="00231CE9"/>
    <w:rsid w:val="0023268E"/>
    <w:rsid w:val="00232DC3"/>
    <w:rsid w:val="00233951"/>
    <w:rsid w:val="0023530E"/>
    <w:rsid w:val="0023578B"/>
    <w:rsid w:val="00237AAE"/>
    <w:rsid w:val="00241EC9"/>
    <w:rsid w:val="00241FCB"/>
    <w:rsid w:val="002422EE"/>
    <w:rsid w:val="00243A5F"/>
    <w:rsid w:val="00243FE5"/>
    <w:rsid w:val="00244A6E"/>
    <w:rsid w:val="00245169"/>
    <w:rsid w:val="00245BF5"/>
    <w:rsid w:val="00246E36"/>
    <w:rsid w:val="00247192"/>
    <w:rsid w:val="002476C1"/>
    <w:rsid w:val="00247CB9"/>
    <w:rsid w:val="00247F42"/>
    <w:rsid w:val="00250068"/>
    <w:rsid w:val="00250AAC"/>
    <w:rsid w:val="002519EB"/>
    <w:rsid w:val="00251AD5"/>
    <w:rsid w:val="00252263"/>
    <w:rsid w:val="002526CC"/>
    <w:rsid w:val="00253701"/>
    <w:rsid w:val="002539A5"/>
    <w:rsid w:val="00253AF6"/>
    <w:rsid w:val="00253D5F"/>
    <w:rsid w:val="002541A1"/>
    <w:rsid w:val="00254F3F"/>
    <w:rsid w:val="002564B9"/>
    <w:rsid w:val="002567D7"/>
    <w:rsid w:val="002575C2"/>
    <w:rsid w:val="00257CC0"/>
    <w:rsid w:val="00262383"/>
    <w:rsid w:val="00264138"/>
    <w:rsid w:val="00264140"/>
    <w:rsid w:val="00264A67"/>
    <w:rsid w:val="00264C2C"/>
    <w:rsid w:val="002659D4"/>
    <w:rsid w:val="002659DF"/>
    <w:rsid w:val="00266151"/>
    <w:rsid w:val="00267D54"/>
    <w:rsid w:val="002706AA"/>
    <w:rsid w:val="00270A21"/>
    <w:rsid w:val="002718DB"/>
    <w:rsid w:val="00272598"/>
    <w:rsid w:val="00272DDB"/>
    <w:rsid w:val="00273915"/>
    <w:rsid w:val="00274485"/>
    <w:rsid w:val="0027469C"/>
    <w:rsid w:val="00274842"/>
    <w:rsid w:val="00274B5F"/>
    <w:rsid w:val="00274B9E"/>
    <w:rsid w:val="00274D5B"/>
    <w:rsid w:val="00275130"/>
    <w:rsid w:val="00275D1D"/>
    <w:rsid w:val="0027672A"/>
    <w:rsid w:val="00276E01"/>
    <w:rsid w:val="00276FDF"/>
    <w:rsid w:val="00277776"/>
    <w:rsid w:val="0027796E"/>
    <w:rsid w:val="00280055"/>
    <w:rsid w:val="0028052A"/>
    <w:rsid w:val="00280812"/>
    <w:rsid w:val="00280920"/>
    <w:rsid w:val="00280BB5"/>
    <w:rsid w:val="00282684"/>
    <w:rsid w:val="00283731"/>
    <w:rsid w:val="0028446A"/>
    <w:rsid w:val="00284492"/>
    <w:rsid w:val="00284EB1"/>
    <w:rsid w:val="002851C3"/>
    <w:rsid w:val="00286611"/>
    <w:rsid w:val="002867B7"/>
    <w:rsid w:val="002867E6"/>
    <w:rsid w:val="00286BB5"/>
    <w:rsid w:val="00287529"/>
    <w:rsid w:val="00287D3D"/>
    <w:rsid w:val="002901EE"/>
    <w:rsid w:val="002904FB"/>
    <w:rsid w:val="002905C2"/>
    <w:rsid w:val="00292339"/>
    <w:rsid w:val="00292709"/>
    <w:rsid w:val="00292DB4"/>
    <w:rsid w:val="00293017"/>
    <w:rsid w:val="002934AD"/>
    <w:rsid w:val="00293637"/>
    <w:rsid w:val="00297C24"/>
    <w:rsid w:val="002A0FEF"/>
    <w:rsid w:val="002A22CB"/>
    <w:rsid w:val="002A285D"/>
    <w:rsid w:val="002A3009"/>
    <w:rsid w:val="002A30E7"/>
    <w:rsid w:val="002A3C60"/>
    <w:rsid w:val="002A4465"/>
    <w:rsid w:val="002A44AC"/>
    <w:rsid w:val="002A4C84"/>
    <w:rsid w:val="002A59D8"/>
    <w:rsid w:val="002A658F"/>
    <w:rsid w:val="002A65E2"/>
    <w:rsid w:val="002A7155"/>
    <w:rsid w:val="002B173D"/>
    <w:rsid w:val="002B1CBA"/>
    <w:rsid w:val="002B2089"/>
    <w:rsid w:val="002B2E54"/>
    <w:rsid w:val="002B329F"/>
    <w:rsid w:val="002B4690"/>
    <w:rsid w:val="002B4C95"/>
    <w:rsid w:val="002B4DF6"/>
    <w:rsid w:val="002B529D"/>
    <w:rsid w:val="002B6576"/>
    <w:rsid w:val="002B727D"/>
    <w:rsid w:val="002B763F"/>
    <w:rsid w:val="002B7859"/>
    <w:rsid w:val="002B7B0D"/>
    <w:rsid w:val="002C043D"/>
    <w:rsid w:val="002C0D16"/>
    <w:rsid w:val="002C1BCE"/>
    <w:rsid w:val="002C20EA"/>
    <w:rsid w:val="002C29C1"/>
    <w:rsid w:val="002C2C02"/>
    <w:rsid w:val="002C3912"/>
    <w:rsid w:val="002C4938"/>
    <w:rsid w:val="002C5531"/>
    <w:rsid w:val="002C563A"/>
    <w:rsid w:val="002C5C0C"/>
    <w:rsid w:val="002C6736"/>
    <w:rsid w:val="002C7242"/>
    <w:rsid w:val="002C7C6B"/>
    <w:rsid w:val="002D0FE5"/>
    <w:rsid w:val="002D1717"/>
    <w:rsid w:val="002D1F38"/>
    <w:rsid w:val="002D229B"/>
    <w:rsid w:val="002D38A0"/>
    <w:rsid w:val="002D4D58"/>
    <w:rsid w:val="002D4F47"/>
    <w:rsid w:val="002D5E9F"/>
    <w:rsid w:val="002D64DD"/>
    <w:rsid w:val="002D7298"/>
    <w:rsid w:val="002E03FB"/>
    <w:rsid w:val="002E04BE"/>
    <w:rsid w:val="002E0644"/>
    <w:rsid w:val="002E0CF9"/>
    <w:rsid w:val="002E281D"/>
    <w:rsid w:val="002E2995"/>
    <w:rsid w:val="002E3DF2"/>
    <w:rsid w:val="002E4363"/>
    <w:rsid w:val="002E4897"/>
    <w:rsid w:val="002E6638"/>
    <w:rsid w:val="002E66E2"/>
    <w:rsid w:val="002E69DE"/>
    <w:rsid w:val="002E6CF2"/>
    <w:rsid w:val="002E7A02"/>
    <w:rsid w:val="002E7B7A"/>
    <w:rsid w:val="002F02CB"/>
    <w:rsid w:val="002F17F3"/>
    <w:rsid w:val="002F18C7"/>
    <w:rsid w:val="002F24CC"/>
    <w:rsid w:val="002F2C19"/>
    <w:rsid w:val="002F2F89"/>
    <w:rsid w:val="002F3393"/>
    <w:rsid w:val="002F3970"/>
    <w:rsid w:val="002F4385"/>
    <w:rsid w:val="002F47F0"/>
    <w:rsid w:val="002F4A10"/>
    <w:rsid w:val="002F4AEB"/>
    <w:rsid w:val="002F4D96"/>
    <w:rsid w:val="002F5176"/>
    <w:rsid w:val="002F577B"/>
    <w:rsid w:val="002F5CDB"/>
    <w:rsid w:val="002F64C1"/>
    <w:rsid w:val="002F666E"/>
    <w:rsid w:val="002F6B3B"/>
    <w:rsid w:val="002F7855"/>
    <w:rsid w:val="003008D7"/>
    <w:rsid w:val="00301D41"/>
    <w:rsid w:val="0030268A"/>
    <w:rsid w:val="003029D9"/>
    <w:rsid w:val="00303958"/>
    <w:rsid w:val="00303A9A"/>
    <w:rsid w:val="00304737"/>
    <w:rsid w:val="0030598E"/>
    <w:rsid w:val="00306133"/>
    <w:rsid w:val="00306271"/>
    <w:rsid w:val="00306293"/>
    <w:rsid w:val="00306C5E"/>
    <w:rsid w:val="00307C45"/>
    <w:rsid w:val="00307C61"/>
    <w:rsid w:val="003102AF"/>
    <w:rsid w:val="003109DA"/>
    <w:rsid w:val="00310F2E"/>
    <w:rsid w:val="00311C37"/>
    <w:rsid w:val="00311E90"/>
    <w:rsid w:val="0031742E"/>
    <w:rsid w:val="00317E10"/>
    <w:rsid w:val="00320320"/>
    <w:rsid w:val="00320E31"/>
    <w:rsid w:val="00321CD0"/>
    <w:rsid w:val="00321D55"/>
    <w:rsid w:val="0032245D"/>
    <w:rsid w:val="003224E1"/>
    <w:rsid w:val="003228D8"/>
    <w:rsid w:val="0032318D"/>
    <w:rsid w:val="003231C7"/>
    <w:rsid w:val="0032345E"/>
    <w:rsid w:val="0032388E"/>
    <w:rsid w:val="00324079"/>
    <w:rsid w:val="00326C55"/>
    <w:rsid w:val="0032722A"/>
    <w:rsid w:val="0032758D"/>
    <w:rsid w:val="00330427"/>
    <w:rsid w:val="00330F0C"/>
    <w:rsid w:val="0033110C"/>
    <w:rsid w:val="00331288"/>
    <w:rsid w:val="00331F66"/>
    <w:rsid w:val="00332ABE"/>
    <w:rsid w:val="003330C5"/>
    <w:rsid w:val="0033368C"/>
    <w:rsid w:val="00333B1E"/>
    <w:rsid w:val="0033465C"/>
    <w:rsid w:val="00334877"/>
    <w:rsid w:val="003359E9"/>
    <w:rsid w:val="00335CB4"/>
    <w:rsid w:val="0033697B"/>
    <w:rsid w:val="003375CD"/>
    <w:rsid w:val="00337932"/>
    <w:rsid w:val="00337BC8"/>
    <w:rsid w:val="0034068F"/>
    <w:rsid w:val="00341410"/>
    <w:rsid w:val="00341482"/>
    <w:rsid w:val="003421D1"/>
    <w:rsid w:val="003421FA"/>
    <w:rsid w:val="00342945"/>
    <w:rsid w:val="0034402B"/>
    <w:rsid w:val="003450B8"/>
    <w:rsid w:val="00346173"/>
    <w:rsid w:val="00346611"/>
    <w:rsid w:val="00346EC7"/>
    <w:rsid w:val="00347153"/>
    <w:rsid w:val="00347632"/>
    <w:rsid w:val="00347649"/>
    <w:rsid w:val="00347DBA"/>
    <w:rsid w:val="0035087C"/>
    <w:rsid w:val="00350FCA"/>
    <w:rsid w:val="003510CF"/>
    <w:rsid w:val="00351256"/>
    <w:rsid w:val="0035188D"/>
    <w:rsid w:val="0035241D"/>
    <w:rsid w:val="00352A47"/>
    <w:rsid w:val="00352F8C"/>
    <w:rsid w:val="003533EB"/>
    <w:rsid w:val="00353E19"/>
    <w:rsid w:val="00353EE0"/>
    <w:rsid w:val="0035409E"/>
    <w:rsid w:val="003545CC"/>
    <w:rsid w:val="0035508D"/>
    <w:rsid w:val="003558EB"/>
    <w:rsid w:val="003559BC"/>
    <w:rsid w:val="00355D29"/>
    <w:rsid w:val="003568C0"/>
    <w:rsid w:val="003572C1"/>
    <w:rsid w:val="00357484"/>
    <w:rsid w:val="00357700"/>
    <w:rsid w:val="00357C9D"/>
    <w:rsid w:val="00357D6F"/>
    <w:rsid w:val="00360822"/>
    <w:rsid w:val="003612A6"/>
    <w:rsid w:val="0036298C"/>
    <w:rsid w:val="00362B47"/>
    <w:rsid w:val="00363AD4"/>
    <w:rsid w:val="0036461B"/>
    <w:rsid w:val="003646BD"/>
    <w:rsid w:val="00364B5C"/>
    <w:rsid w:val="0036597F"/>
    <w:rsid w:val="00365A1C"/>
    <w:rsid w:val="003673A4"/>
    <w:rsid w:val="00367D18"/>
    <w:rsid w:val="0037024F"/>
    <w:rsid w:val="003705DF"/>
    <w:rsid w:val="00370C0C"/>
    <w:rsid w:val="00370D58"/>
    <w:rsid w:val="00370E30"/>
    <w:rsid w:val="00371606"/>
    <w:rsid w:val="003721CA"/>
    <w:rsid w:val="0037327B"/>
    <w:rsid w:val="00373643"/>
    <w:rsid w:val="003742BA"/>
    <w:rsid w:val="00374396"/>
    <w:rsid w:val="0037446F"/>
    <w:rsid w:val="00374EAE"/>
    <w:rsid w:val="00375878"/>
    <w:rsid w:val="00375A19"/>
    <w:rsid w:val="00376C6A"/>
    <w:rsid w:val="00377213"/>
    <w:rsid w:val="00377D1C"/>
    <w:rsid w:val="00381830"/>
    <w:rsid w:val="00381DF1"/>
    <w:rsid w:val="00382C5A"/>
    <w:rsid w:val="00382E84"/>
    <w:rsid w:val="003833E6"/>
    <w:rsid w:val="00384ACF"/>
    <w:rsid w:val="003854D6"/>
    <w:rsid w:val="00385D71"/>
    <w:rsid w:val="00386112"/>
    <w:rsid w:val="003861CF"/>
    <w:rsid w:val="003862C1"/>
    <w:rsid w:val="00386AD7"/>
    <w:rsid w:val="00386B96"/>
    <w:rsid w:val="00386CF7"/>
    <w:rsid w:val="00386D8A"/>
    <w:rsid w:val="00387063"/>
    <w:rsid w:val="003870A8"/>
    <w:rsid w:val="00387113"/>
    <w:rsid w:val="003873BE"/>
    <w:rsid w:val="00387F84"/>
    <w:rsid w:val="00390B9B"/>
    <w:rsid w:val="00390BE1"/>
    <w:rsid w:val="003911B3"/>
    <w:rsid w:val="003913CC"/>
    <w:rsid w:val="00391589"/>
    <w:rsid w:val="00392495"/>
    <w:rsid w:val="003931AB"/>
    <w:rsid w:val="00393708"/>
    <w:rsid w:val="003942A8"/>
    <w:rsid w:val="00395C65"/>
    <w:rsid w:val="0039664A"/>
    <w:rsid w:val="003969BB"/>
    <w:rsid w:val="003972C7"/>
    <w:rsid w:val="0039736B"/>
    <w:rsid w:val="003974B6"/>
    <w:rsid w:val="00397543"/>
    <w:rsid w:val="00397AC1"/>
    <w:rsid w:val="00397F39"/>
    <w:rsid w:val="003A0231"/>
    <w:rsid w:val="003A0285"/>
    <w:rsid w:val="003A0426"/>
    <w:rsid w:val="003A2985"/>
    <w:rsid w:val="003A2DD9"/>
    <w:rsid w:val="003A47FF"/>
    <w:rsid w:val="003A50B7"/>
    <w:rsid w:val="003A5DC2"/>
    <w:rsid w:val="003A6CA0"/>
    <w:rsid w:val="003B0829"/>
    <w:rsid w:val="003B1406"/>
    <w:rsid w:val="003B16D5"/>
    <w:rsid w:val="003B1790"/>
    <w:rsid w:val="003B1C8B"/>
    <w:rsid w:val="003B4F72"/>
    <w:rsid w:val="003B501E"/>
    <w:rsid w:val="003B54C8"/>
    <w:rsid w:val="003B5732"/>
    <w:rsid w:val="003B7885"/>
    <w:rsid w:val="003C04D9"/>
    <w:rsid w:val="003C1928"/>
    <w:rsid w:val="003C1B29"/>
    <w:rsid w:val="003C2822"/>
    <w:rsid w:val="003C3010"/>
    <w:rsid w:val="003C3D8E"/>
    <w:rsid w:val="003C413C"/>
    <w:rsid w:val="003C511C"/>
    <w:rsid w:val="003C5126"/>
    <w:rsid w:val="003C5BE3"/>
    <w:rsid w:val="003C5F50"/>
    <w:rsid w:val="003C70E4"/>
    <w:rsid w:val="003C7ED6"/>
    <w:rsid w:val="003D089D"/>
    <w:rsid w:val="003D094B"/>
    <w:rsid w:val="003D09D1"/>
    <w:rsid w:val="003D0AD2"/>
    <w:rsid w:val="003D0F80"/>
    <w:rsid w:val="003D1067"/>
    <w:rsid w:val="003D122F"/>
    <w:rsid w:val="003D193E"/>
    <w:rsid w:val="003D1A69"/>
    <w:rsid w:val="003D1DB5"/>
    <w:rsid w:val="003D2263"/>
    <w:rsid w:val="003D2434"/>
    <w:rsid w:val="003D2FF9"/>
    <w:rsid w:val="003D58CA"/>
    <w:rsid w:val="003D5C3C"/>
    <w:rsid w:val="003D68F7"/>
    <w:rsid w:val="003D6C76"/>
    <w:rsid w:val="003D720F"/>
    <w:rsid w:val="003E0333"/>
    <w:rsid w:val="003E0ED4"/>
    <w:rsid w:val="003E217D"/>
    <w:rsid w:val="003E26D3"/>
    <w:rsid w:val="003E32DC"/>
    <w:rsid w:val="003E3523"/>
    <w:rsid w:val="003E394D"/>
    <w:rsid w:val="003E3B77"/>
    <w:rsid w:val="003E3C0A"/>
    <w:rsid w:val="003E4972"/>
    <w:rsid w:val="003E4EA6"/>
    <w:rsid w:val="003E531C"/>
    <w:rsid w:val="003E5804"/>
    <w:rsid w:val="003E59E9"/>
    <w:rsid w:val="003E66FE"/>
    <w:rsid w:val="003E6CD6"/>
    <w:rsid w:val="003F046A"/>
    <w:rsid w:val="003F11DA"/>
    <w:rsid w:val="003F4000"/>
    <w:rsid w:val="003F55BC"/>
    <w:rsid w:val="003F5B5B"/>
    <w:rsid w:val="003F5C69"/>
    <w:rsid w:val="003F6874"/>
    <w:rsid w:val="003F7754"/>
    <w:rsid w:val="0040048D"/>
    <w:rsid w:val="00401398"/>
    <w:rsid w:val="00402712"/>
    <w:rsid w:val="00402B39"/>
    <w:rsid w:val="004032CF"/>
    <w:rsid w:val="004057AD"/>
    <w:rsid w:val="00406AFC"/>
    <w:rsid w:val="00407759"/>
    <w:rsid w:val="00407ADD"/>
    <w:rsid w:val="004111BF"/>
    <w:rsid w:val="004118EC"/>
    <w:rsid w:val="00411F1B"/>
    <w:rsid w:val="00413019"/>
    <w:rsid w:val="00413211"/>
    <w:rsid w:val="0041432F"/>
    <w:rsid w:val="0041459E"/>
    <w:rsid w:val="00414AAD"/>
    <w:rsid w:val="0041622A"/>
    <w:rsid w:val="00416C5A"/>
    <w:rsid w:val="004170D0"/>
    <w:rsid w:val="00417227"/>
    <w:rsid w:val="00417329"/>
    <w:rsid w:val="00417C16"/>
    <w:rsid w:val="00417CD1"/>
    <w:rsid w:val="004209EB"/>
    <w:rsid w:val="0042183A"/>
    <w:rsid w:val="00421935"/>
    <w:rsid w:val="00421B0C"/>
    <w:rsid w:val="00422B58"/>
    <w:rsid w:val="00423224"/>
    <w:rsid w:val="004232D3"/>
    <w:rsid w:val="00424F35"/>
    <w:rsid w:val="004251D2"/>
    <w:rsid w:val="004260D3"/>
    <w:rsid w:val="0042731F"/>
    <w:rsid w:val="00427B49"/>
    <w:rsid w:val="00427BFF"/>
    <w:rsid w:val="00427EDC"/>
    <w:rsid w:val="00430B22"/>
    <w:rsid w:val="0043160C"/>
    <w:rsid w:val="00431707"/>
    <w:rsid w:val="004317EA"/>
    <w:rsid w:val="0043215B"/>
    <w:rsid w:val="00433ACF"/>
    <w:rsid w:val="00433B4F"/>
    <w:rsid w:val="00435649"/>
    <w:rsid w:val="004356FF"/>
    <w:rsid w:val="00435A26"/>
    <w:rsid w:val="00435F02"/>
    <w:rsid w:val="00437B2F"/>
    <w:rsid w:val="004404D3"/>
    <w:rsid w:val="00440C21"/>
    <w:rsid w:val="0044119B"/>
    <w:rsid w:val="004423C1"/>
    <w:rsid w:val="00442FDC"/>
    <w:rsid w:val="0044315A"/>
    <w:rsid w:val="004431C0"/>
    <w:rsid w:val="00443B8C"/>
    <w:rsid w:val="00443CA1"/>
    <w:rsid w:val="00446B57"/>
    <w:rsid w:val="004477F0"/>
    <w:rsid w:val="00450012"/>
    <w:rsid w:val="00450788"/>
    <w:rsid w:val="004507B7"/>
    <w:rsid w:val="00450912"/>
    <w:rsid w:val="00450CC0"/>
    <w:rsid w:val="00451E56"/>
    <w:rsid w:val="00452FDF"/>
    <w:rsid w:val="00453246"/>
    <w:rsid w:val="004536E1"/>
    <w:rsid w:val="004537A6"/>
    <w:rsid w:val="004540F8"/>
    <w:rsid w:val="0045455F"/>
    <w:rsid w:val="00454A60"/>
    <w:rsid w:val="00454E07"/>
    <w:rsid w:val="004559B1"/>
    <w:rsid w:val="00455A58"/>
    <w:rsid w:val="00455CCB"/>
    <w:rsid w:val="00461E7A"/>
    <w:rsid w:val="00462081"/>
    <w:rsid w:val="00462BEB"/>
    <w:rsid w:val="0046313D"/>
    <w:rsid w:val="00463E33"/>
    <w:rsid w:val="00463E75"/>
    <w:rsid w:val="004640A4"/>
    <w:rsid w:val="0046465C"/>
    <w:rsid w:val="00465197"/>
    <w:rsid w:val="00465478"/>
    <w:rsid w:val="00465DE4"/>
    <w:rsid w:val="004663B4"/>
    <w:rsid w:val="00466513"/>
    <w:rsid w:val="00467347"/>
    <w:rsid w:val="00467446"/>
    <w:rsid w:val="0047179B"/>
    <w:rsid w:val="00471CEC"/>
    <w:rsid w:val="00471D5F"/>
    <w:rsid w:val="00472252"/>
    <w:rsid w:val="00472F69"/>
    <w:rsid w:val="00474276"/>
    <w:rsid w:val="00474AE7"/>
    <w:rsid w:val="00474E77"/>
    <w:rsid w:val="00475D31"/>
    <w:rsid w:val="004768B6"/>
    <w:rsid w:val="0048032F"/>
    <w:rsid w:val="0048122B"/>
    <w:rsid w:val="00482945"/>
    <w:rsid w:val="00483293"/>
    <w:rsid w:val="004838BD"/>
    <w:rsid w:val="00483D00"/>
    <w:rsid w:val="00484571"/>
    <w:rsid w:val="004848B3"/>
    <w:rsid w:val="00485372"/>
    <w:rsid w:val="00485DCD"/>
    <w:rsid w:val="00486ABD"/>
    <w:rsid w:val="0048739F"/>
    <w:rsid w:val="0048746F"/>
    <w:rsid w:val="00487BCF"/>
    <w:rsid w:val="00487D4A"/>
    <w:rsid w:val="00487D94"/>
    <w:rsid w:val="0049101A"/>
    <w:rsid w:val="0049320F"/>
    <w:rsid w:val="00493E45"/>
    <w:rsid w:val="004944B6"/>
    <w:rsid w:val="00494869"/>
    <w:rsid w:val="00494A0A"/>
    <w:rsid w:val="00494CDC"/>
    <w:rsid w:val="00494EA9"/>
    <w:rsid w:val="00494EDC"/>
    <w:rsid w:val="00494FF1"/>
    <w:rsid w:val="004958B0"/>
    <w:rsid w:val="00495D92"/>
    <w:rsid w:val="004971A4"/>
    <w:rsid w:val="004974A4"/>
    <w:rsid w:val="00497BE1"/>
    <w:rsid w:val="00497C36"/>
    <w:rsid w:val="004A013A"/>
    <w:rsid w:val="004A1C4E"/>
    <w:rsid w:val="004A23B9"/>
    <w:rsid w:val="004A3752"/>
    <w:rsid w:val="004A3A11"/>
    <w:rsid w:val="004A3CB7"/>
    <w:rsid w:val="004A4223"/>
    <w:rsid w:val="004A48AB"/>
    <w:rsid w:val="004A48E1"/>
    <w:rsid w:val="004A4D35"/>
    <w:rsid w:val="004A520B"/>
    <w:rsid w:val="004A59A6"/>
    <w:rsid w:val="004A5F47"/>
    <w:rsid w:val="004A6439"/>
    <w:rsid w:val="004A74B3"/>
    <w:rsid w:val="004A7C20"/>
    <w:rsid w:val="004B10C9"/>
    <w:rsid w:val="004B12FC"/>
    <w:rsid w:val="004B360C"/>
    <w:rsid w:val="004B371B"/>
    <w:rsid w:val="004B3E93"/>
    <w:rsid w:val="004B3FED"/>
    <w:rsid w:val="004B424A"/>
    <w:rsid w:val="004B4B18"/>
    <w:rsid w:val="004B5AE1"/>
    <w:rsid w:val="004B5F12"/>
    <w:rsid w:val="004B6465"/>
    <w:rsid w:val="004B69EB"/>
    <w:rsid w:val="004B7A5C"/>
    <w:rsid w:val="004C05F2"/>
    <w:rsid w:val="004C0936"/>
    <w:rsid w:val="004C11DC"/>
    <w:rsid w:val="004C1828"/>
    <w:rsid w:val="004C1B52"/>
    <w:rsid w:val="004C1F4A"/>
    <w:rsid w:val="004C26E1"/>
    <w:rsid w:val="004C3D39"/>
    <w:rsid w:val="004C5FF0"/>
    <w:rsid w:val="004C68EE"/>
    <w:rsid w:val="004D02E3"/>
    <w:rsid w:val="004D1828"/>
    <w:rsid w:val="004D2374"/>
    <w:rsid w:val="004D2890"/>
    <w:rsid w:val="004D2BCE"/>
    <w:rsid w:val="004D3D2E"/>
    <w:rsid w:val="004D4151"/>
    <w:rsid w:val="004D5058"/>
    <w:rsid w:val="004D5B48"/>
    <w:rsid w:val="004D6863"/>
    <w:rsid w:val="004D7012"/>
    <w:rsid w:val="004E21DB"/>
    <w:rsid w:val="004E4B9C"/>
    <w:rsid w:val="004E5468"/>
    <w:rsid w:val="004E6189"/>
    <w:rsid w:val="004E63EB"/>
    <w:rsid w:val="004E68EA"/>
    <w:rsid w:val="004E79B9"/>
    <w:rsid w:val="004E7A84"/>
    <w:rsid w:val="004F30B1"/>
    <w:rsid w:val="004F349C"/>
    <w:rsid w:val="004F3CBD"/>
    <w:rsid w:val="004F3E71"/>
    <w:rsid w:val="004F4522"/>
    <w:rsid w:val="004F477C"/>
    <w:rsid w:val="004F4944"/>
    <w:rsid w:val="004F5BDD"/>
    <w:rsid w:val="004F622E"/>
    <w:rsid w:val="004F6286"/>
    <w:rsid w:val="004F6684"/>
    <w:rsid w:val="004F66DC"/>
    <w:rsid w:val="004F6905"/>
    <w:rsid w:val="004F78CA"/>
    <w:rsid w:val="0050020E"/>
    <w:rsid w:val="005009D2"/>
    <w:rsid w:val="00500C04"/>
    <w:rsid w:val="00500F88"/>
    <w:rsid w:val="005025DA"/>
    <w:rsid w:val="00503BC7"/>
    <w:rsid w:val="00504130"/>
    <w:rsid w:val="00504A50"/>
    <w:rsid w:val="00504C97"/>
    <w:rsid w:val="00504D13"/>
    <w:rsid w:val="005054B1"/>
    <w:rsid w:val="00505548"/>
    <w:rsid w:val="00506B85"/>
    <w:rsid w:val="00506D39"/>
    <w:rsid w:val="005075FD"/>
    <w:rsid w:val="00507BFD"/>
    <w:rsid w:val="00510638"/>
    <w:rsid w:val="00510DC8"/>
    <w:rsid w:val="0051262D"/>
    <w:rsid w:val="00512BD5"/>
    <w:rsid w:val="00513AA9"/>
    <w:rsid w:val="00514AF1"/>
    <w:rsid w:val="00515059"/>
    <w:rsid w:val="00515A9D"/>
    <w:rsid w:val="00515E9C"/>
    <w:rsid w:val="00515FDC"/>
    <w:rsid w:val="0051684F"/>
    <w:rsid w:val="00516ED8"/>
    <w:rsid w:val="00517BA6"/>
    <w:rsid w:val="00520E14"/>
    <w:rsid w:val="00521A51"/>
    <w:rsid w:val="0052205E"/>
    <w:rsid w:val="00522673"/>
    <w:rsid w:val="005229FB"/>
    <w:rsid w:val="00522E43"/>
    <w:rsid w:val="005230B1"/>
    <w:rsid w:val="005235EF"/>
    <w:rsid w:val="00524A39"/>
    <w:rsid w:val="00524AE9"/>
    <w:rsid w:val="00524E63"/>
    <w:rsid w:val="00525047"/>
    <w:rsid w:val="00525285"/>
    <w:rsid w:val="00525517"/>
    <w:rsid w:val="0052563E"/>
    <w:rsid w:val="00525812"/>
    <w:rsid w:val="00526191"/>
    <w:rsid w:val="005263F9"/>
    <w:rsid w:val="00527589"/>
    <w:rsid w:val="005304A1"/>
    <w:rsid w:val="00531134"/>
    <w:rsid w:val="005312DD"/>
    <w:rsid w:val="0053137C"/>
    <w:rsid w:val="00531861"/>
    <w:rsid w:val="005329D8"/>
    <w:rsid w:val="0053374B"/>
    <w:rsid w:val="0053387E"/>
    <w:rsid w:val="00533B70"/>
    <w:rsid w:val="00534148"/>
    <w:rsid w:val="00534656"/>
    <w:rsid w:val="00536161"/>
    <w:rsid w:val="005364FC"/>
    <w:rsid w:val="00536A37"/>
    <w:rsid w:val="00536EB6"/>
    <w:rsid w:val="005379E7"/>
    <w:rsid w:val="00537B70"/>
    <w:rsid w:val="00540674"/>
    <w:rsid w:val="00541327"/>
    <w:rsid w:val="00542D47"/>
    <w:rsid w:val="00542F96"/>
    <w:rsid w:val="00544033"/>
    <w:rsid w:val="00544204"/>
    <w:rsid w:val="0054454F"/>
    <w:rsid w:val="00545D77"/>
    <w:rsid w:val="005464F1"/>
    <w:rsid w:val="0054677E"/>
    <w:rsid w:val="00546ADB"/>
    <w:rsid w:val="005470D5"/>
    <w:rsid w:val="0054744C"/>
    <w:rsid w:val="00547E3C"/>
    <w:rsid w:val="005503B5"/>
    <w:rsid w:val="005503E5"/>
    <w:rsid w:val="005511AE"/>
    <w:rsid w:val="005517FD"/>
    <w:rsid w:val="005534DF"/>
    <w:rsid w:val="00554D07"/>
    <w:rsid w:val="00554D9E"/>
    <w:rsid w:val="005555C5"/>
    <w:rsid w:val="00555729"/>
    <w:rsid w:val="0055642A"/>
    <w:rsid w:val="005602A3"/>
    <w:rsid w:val="005607AD"/>
    <w:rsid w:val="00560E22"/>
    <w:rsid w:val="005615F8"/>
    <w:rsid w:val="0056160F"/>
    <w:rsid w:val="0056186F"/>
    <w:rsid w:val="0056192B"/>
    <w:rsid w:val="00562093"/>
    <w:rsid w:val="00563EDF"/>
    <w:rsid w:val="00565E4B"/>
    <w:rsid w:val="005669C7"/>
    <w:rsid w:val="00567A85"/>
    <w:rsid w:val="005702CA"/>
    <w:rsid w:val="0057125A"/>
    <w:rsid w:val="0057229F"/>
    <w:rsid w:val="0057325A"/>
    <w:rsid w:val="00573669"/>
    <w:rsid w:val="00573DA9"/>
    <w:rsid w:val="00574171"/>
    <w:rsid w:val="00574400"/>
    <w:rsid w:val="00574594"/>
    <w:rsid w:val="00574DEB"/>
    <w:rsid w:val="00574EBC"/>
    <w:rsid w:val="00574F0F"/>
    <w:rsid w:val="0057600C"/>
    <w:rsid w:val="0057623A"/>
    <w:rsid w:val="00576E14"/>
    <w:rsid w:val="00577BF3"/>
    <w:rsid w:val="00580333"/>
    <w:rsid w:val="00580C90"/>
    <w:rsid w:val="00580DB2"/>
    <w:rsid w:val="0058110D"/>
    <w:rsid w:val="00581178"/>
    <w:rsid w:val="00581CA8"/>
    <w:rsid w:val="0058295C"/>
    <w:rsid w:val="00582EC3"/>
    <w:rsid w:val="00582ED5"/>
    <w:rsid w:val="0058338D"/>
    <w:rsid w:val="00583A66"/>
    <w:rsid w:val="005846DE"/>
    <w:rsid w:val="0058551A"/>
    <w:rsid w:val="005856CB"/>
    <w:rsid w:val="00586EDA"/>
    <w:rsid w:val="00587594"/>
    <w:rsid w:val="00587C1B"/>
    <w:rsid w:val="005904F9"/>
    <w:rsid w:val="00591E26"/>
    <w:rsid w:val="00592374"/>
    <w:rsid w:val="00592A99"/>
    <w:rsid w:val="005934BD"/>
    <w:rsid w:val="00594DAF"/>
    <w:rsid w:val="00595435"/>
    <w:rsid w:val="0059595F"/>
    <w:rsid w:val="00596EA6"/>
    <w:rsid w:val="00596EAB"/>
    <w:rsid w:val="005A0995"/>
    <w:rsid w:val="005A2603"/>
    <w:rsid w:val="005A2A32"/>
    <w:rsid w:val="005A35F3"/>
    <w:rsid w:val="005A391C"/>
    <w:rsid w:val="005A3B94"/>
    <w:rsid w:val="005A4124"/>
    <w:rsid w:val="005A42FC"/>
    <w:rsid w:val="005A45AE"/>
    <w:rsid w:val="005A4847"/>
    <w:rsid w:val="005A4C68"/>
    <w:rsid w:val="005A55AD"/>
    <w:rsid w:val="005A57AD"/>
    <w:rsid w:val="005A6122"/>
    <w:rsid w:val="005A67D2"/>
    <w:rsid w:val="005A6836"/>
    <w:rsid w:val="005A698E"/>
    <w:rsid w:val="005A6D92"/>
    <w:rsid w:val="005B0504"/>
    <w:rsid w:val="005B086B"/>
    <w:rsid w:val="005B093B"/>
    <w:rsid w:val="005B154A"/>
    <w:rsid w:val="005B199F"/>
    <w:rsid w:val="005B1C24"/>
    <w:rsid w:val="005B2162"/>
    <w:rsid w:val="005B2BE3"/>
    <w:rsid w:val="005B4045"/>
    <w:rsid w:val="005B418D"/>
    <w:rsid w:val="005B45DC"/>
    <w:rsid w:val="005B5F5F"/>
    <w:rsid w:val="005B6D46"/>
    <w:rsid w:val="005B7229"/>
    <w:rsid w:val="005C03F9"/>
    <w:rsid w:val="005C0C9A"/>
    <w:rsid w:val="005C1D35"/>
    <w:rsid w:val="005C3548"/>
    <w:rsid w:val="005C3A16"/>
    <w:rsid w:val="005C3CE7"/>
    <w:rsid w:val="005C46E9"/>
    <w:rsid w:val="005C5E09"/>
    <w:rsid w:val="005C60B7"/>
    <w:rsid w:val="005C7215"/>
    <w:rsid w:val="005C7504"/>
    <w:rsid w:val="005C7DD8"/>
    <w:rsid w:val="005D01C7"/>
    <w:rsid w:val="005D1506"/>
    <w:rsid w:val="005D1F95"/>
    <w:rsid w:val="005D2894"/>
    <w:rsid w:val="005D42F5"/>
    <w:rsid w:val="005D54DA"/>
    <w:rsid w:val="005D5ADF"/>
    <w:rsid w:val="005D5D98"/>
    <w:rsid w:val="005D69D9"/>
    <w:rsid w:val="005D6B20"/>
    <w:rsid w:val="005E002B"/>
    <w:rsid w:val="005E0077"/>
    <w:rsid w:val="005E1070"/>
    <w:rsid w:val="005E1770"/>
    <w:rsid w:val="005E1DCD"/>
    <w:rsid w:val="005E1E7B"/>
    <w:rsid w:val="005E224B"/>
    <w:rsid w:val="005E2312"/>
    <w:rsid w:val="005E28F2"/>
    <w:rsid w:val="005E2A16"/>
    <w:rsid w:val="005E3246"/>
    <w:rsid w:val="005E3EDD"/>
    <w:rsid w:val="005E53F4"/>
    <w:rsid w:val="005E5616"/>
    <w:rsid w:val="005E56FE"/>
    <w:rsid w:val="005E57DC"/>
    <w:rsid w:val="005E5F8D"/>
    <w:rsid w:val="005E7637"/>
    <w:rsid w:val="005E7CF8"/>
    <w:rsid w:val="005E7E4B"/>
    <w:rsid w:val="005E7FC4"/>
    <w:rsid w:val="005F0748"/>
    <w:rsid w:val="005F18F6"/>
    <w:rsid w:val="005F2D1B"/>
    <w:rsid w:val="005F39B2"/>
    <w:rsid w:val="005F3EB6"/>
    <w:rsid w:val="005F402A"/>
    <w:rsid w:val="005F444F"/>
    <w:rsid w:val="005F4BC4"/>
    <w:rsid w:val="005F4D28"/>
    <w:rsid w:val="005F4FED"/>
    <w:rsid w:val="005F516C"/>
    <w:rsid w:val="005F5E75"/>
    <w:rsid w:val="005F66A9"/>
    <w:rsid w:val="005F672E"/>
    <w:rsid w:val="005F69C2"/>
    <w:rsid w:val="006025E9"/>
    <w:rsid w:val="006033C5"/>
    <w:rsid w:val="00603D9D"/>
    <w:rsid w:val="00604839"/>
    <w:rsid w:val="00605864"/>
    <w:rsid w:val="00605A90"/>
    <w:rsid w:val="00607030"/>
    <w:rsid w:val="0060781D"/>
    <w:rsid w:val="006078F0"/>
    <w:rsid w:val="00610821"/>
    <w:rsid w:val="0061180E"/>
    <w:rsid w:val="00611CA8"/>
    <w:rsid w:val="00611E8B"/>
    <w:rsid w:val="006126C0"/>
    <w:rsid w:val="00612C8E"/>
    <w:rsid w:val="006136B8"/>
    <w:rsid w:val="00613C3D"/>
    <w:rsid w:val="0061454A"/>
    <w:rsid w:val="00614C6E"/>
    <w:rsid w:val="00615174"/>
    <w:rsid w:val="00615185"/>
    <w:rsid w:val="00615B57"/>
    <w:rsid w:val="00615C8A"/>
    <w:rsid w:val="006169DE"/>
    <w:rsid w:val="00616B58"/>
    <w:rsid w:val="00616E92"/>
    <w:rsid w:val="00617670"/>
    <w:rsid w:val="00617D5C"/>
    <w:rsid w:val="006207F2"/>
    <w:rsid w:val="0062083A"/>
    <w:rsid w:val="00620A6B"/>
    <w:rsid w:val="00620D0D"/>
    <w:rsid w:val="00621C84"/>
    <w:rsid w:val="00621EFF"/>
    <w:rsid w:val="006223AC"/>
    <w:rsid w:val="00622749"/>
    <w:rsid w:val="00622984"/>
    <w:rsid w:val="006230F3"/>
    <w:rsid w:val="00623275"/>
    <w:rsid w:val="00623E6A"/>
    <w:rsid w:val="00624987"/>
    <w:rsid w:val="00624DEC"/>
    <w:rsid w:val="00624F8A"/>
    <w:rsid w:val="00627CDA"/>
    <w:rsid w:val="00627F84"/>
    <w:rsid w:val="00630130"/>
    <w:rsid w:val="00632B66"/>
    <w:rsid w:val="00633371"/>
    <w:rsid w:val="00633C67"/>
    <w:rsid w:val="006355D7"/>
    <w:rsid w:val="00635BF2"/>
    <w:rsid w:val="00635CF1"/>
    <w:rsid w:val="00636693"/>
    <w:rsid w:val="00636919"/>
    <w:rsid w:val="00636A0A"/>
    <w:rsid w:val="006427B2"/>
    <w:rsid w:val="006433E3"/>
    <w:rsid w:val="00643C6B"/>
    <w:rsid w:val="00644D1A"/>
    <w:rsid w:val="006459BB"/>
    <w:rsid w:val="00645B40"/>
    <w:rsid w:val="00645B41"/>
    <w:rsid w:val="00645BE8"/>
    <w:rsid w:val="00646FF6"/>
    <w:rsid w:val="00647031"/>
    <w:rsid w:val="0064708C"/>
    <w:rsid w:val="00647D75"/>
    <w:rsid w:val="00650798"/>
    <w:rsid w:val="006519F7"/>
    <w:rsid w:val="00651F29"/>
    <w:rsid w:val="00652245"/>
    <w:rsid w:val="00652613"/>
    <w:rsid w:val="006531E7"/>
    <w:rsid w:val="0065338F"/>
    <w:rsid w:val="006533FC"/>
    <w:rsid w:val="00654E6C"/>
    <w:rsid w:val="00654FE0"/>
    <w:rsid w:val="00655A57"/>
    <w:rsid w:val="00655AA5"/>
    <w:rsid w:val="00656290"/>
    <w:rsid w:val="00657BDE"/>
    <w:rsid w:val="006600ED"/>
    <w:rsid w:val="00660C90"/>
    <w:rsid w:val="00660DEC"/>
    <w:rsid w:val="0066196F"/>
    <w:rsid w:val="00661A1E"/>
    <w:rsid w:val="00663A87"/>
    <w:rsid w:val="00663D89"/>
    <w:rsid w:val="00665209"/>
    <w:rsid w:val="00665D0F"/>
    <w:rsid w:val="0066664B"/>
    <w:rsid w:val="00666EC4"/>
    <w:rsid w:val="0067008F"/>
    <w:rsid w:val="0067054E"/>
    <w:rsid w:val="0067097C"/>
    <w:rsid w:val="00670A8C"/>
    <w:rsid w:val="00670EAE"/>
    <w:rsid w:val="00672123"/>
    <w:rsid w:val="006724AD"/>
    <w:rsid w:val="00672549"/>
    <w:rsid w:val="006725D7"/>
    <w:rsid w:val="00672983"/>
    <w:rsid w:val="00672A40"/>
    <w:rsid w:val="00673406"/>
    <w:rsid w:val="0067490E"/>
    <w:rsid w:val="006757B6"/>
    <w:rsid w:val="00675E36"/>
    <w:rsid w:val="00676526"/>
    <w:rsid w:val="0067688B"/>
    <w:rsid w:val="006771EC"/>
    <w:rsid w:val="0067755D"/>
    <w:rsid w:val="0067793D"/>
    <w:rsid w:val="00680084"/>
    <w:rsid w:val="00680447"/>
    <w:rsid w:val="00681210"/>
    <w:rsid w:val="006815B2"/>
    <w:rsid w:val="00681ACB"/>
    <w:rsid w:val="00682966"/>
    <w:rsid w:val="00682EBF"/>
    <w:rsid w:val="00682F8F"/>
    <w:rsid w:val="00683C38"/>
    <w:rsid w:val="00683C6B"/>
    <w:rsid w:val="00683DF4"/>
    <w:rsid w:val="00684CA6"/>
    <w:rsid w:val="0068636E"/>
    <w:rsid w:val="006868B7"/>
    <w:rsid w:val="00686F14"/>
    <w:rsid w:val="00687831"/>
    <w:rsid w:val="00690A79"/>
    <w:rsid w:val="00690D76"/>
    <w:rsid w:val="00691370"/>
    <w:rsid w:val="0069228A"/>
    <w:rsid w:val="00692D00"/>
    <w:rsid w:val="00692D1A"/>
    <w:rsid w:val="00692F59"/>
    <w:rsid w:val="006932C9"/>
    <w:rsid w:val="00693BDB"/>
    <w:rsid w:val="00695805"/>
    <w:rsid w:val="0069605B"/>
    <w:rsid w:val="00696156"/>
    <w:rsid w:val="006975FC"/>
    <w:rsid w:val="006976E7"/>
    <w:rsid w:val="0069773C"/>
    <w:rsid w:val="006A049D"/>
    <w:rsid w:val="006A10CD"/>
    <w:rsid w:val="006A1535"/>
    <w:rsid w:val="006A19C2"/>
    <w:rsid w:val="006A1F4C"/>
    <w:rsid w:val="006A248F"/>
    <w:rsid w:val="006A2954"/>
    <w:rsid w:val="006A2D97"/>
    <w:rsid w:val="006A3ED1"/>
    <w:rsid w:val="006A405F"/>
    <w:rsid w:val="006A43B3"/>
    <w:rsid w:val="006A50F8"/>
    <w:rsid w:val="006A515B"/>
    <w:rsid w:val="006A6AA5"/>
    <w:rsid w:val="006A7A49"/>
    <w:rsid w:val="006B04A4"/>
    <w:rsid w:val="006B078C"/>
    <w:rsid w:val="006B0C31"/>
    <w:rsid w:val="006B1BA4"/>
    <w:rsid w:val="006B3F47"/>
    <w:rsid w:val="006B48CC"/>
    <w:rsid w:val="006B49DF"/>
    <w:rsid w:val="006B4D83"/>
    <w:rsid w:val="006B4FCC"/>
    <w:rsid w:val="006B50B5"/>
    <w:rsid w:val="006B53B2"/>
    <w:rsid w:val="006B653D"/>
    <w:rsid w:val="006B72E5"/>
    <w:rsid w:val="006B7907"/>
    <w:rsid w:val="006B7AAB"/>
    <w:rsid w:val="006C1B0C"/>
    <w:rsid w:val="006C1F40"/>
    <w:rsid w:val="006C2321"/>
    <w:rsid w:val="006C262D"/>
    <w:rsid w:val="006C390A"/>
    <w:rsid w:val="006C438D"/>
    <w:rsid w:val="006C4586"/>
    <w:rsid w:val="006C4DBC"/>
    <w:rsid w:val="006C501E"/>
    <w:rsid w:val="006C5C0E"/>
    <w:rsid w:val="006C61BB"/>
    <w:rsid w:val="006C6FDF"/>
    <w:rsid w:val="006C7041"/>
    <w:rsid w:val="006C7176"/>
    <w:rsid w:val="006C73F9"/>
    <w:rsid w:val="006C75BE"/>
    <w:rsid w:val="006C7748"/>
    <w:rsid w:val="006C7A9C"/>
    <w:rsid w:val="006D0B10"/>
    <w:rsid w:val="006D11F0"/>
    <w:rsid w:val="006D2577"/>
    <w:rsid w:val="006D260C"/>
    <w:rsid w:val="006D2C19"/>
    <w:rsid w:val="006D2E5C"/>
    <w:rsid w:val="006D35BF"/>
    <w:rsid w:val="006D382A"/>
    <w:rsid w:val="006D3E6E"/>
    <w:rsid w:val="006D423F"/>
    <w:rsid w:val="006D4595"/>
    <w:rsid w:val="006D48FB"/>
    <w:rsid w:val="006D4A66"/>
    <w:rsid w:val="006D4AD0"/>
    <w:rsid w:val="006D4AD9"/>
    <w:rsid w:val="006D57FC"/>
    <w:rsid w:val="006D6353"/>
    <w:rsid w:val="006D6D20"/>
    <w:rsid w:val="006D751C"/>
    <w:rsid w:val="006D75F5"/>
    <w:rsid w:val="006D776C"/>
    <w:rsid w:val="006D784D"/>
    <w:rsid w:val="006D7DF4"/>
    <w:rsid w:val="006E04CE"/>
    <w:rsid w:val="006E0FEE"/>
    <w:rsid w:val="006E1370"/>
    <w:rsid w:val="006E1618"/>
    <w:rsid w:val="006E1C76"/>
    <w:rsid w:val="006E1CE8"/>
    <w:rsid w:val="006E277B"/>
    <w:rsid w:val="006E31A1"/>
    <w:rsid w:val="006E3697"/>
    <w:rsid w:val="006E3C5B"/>
    <w:rsid w:val="006E4A79"/>
    <w:rsid w:val="006E5B0C"/>
    <w:rsid w:val="006E5F65"/>
    <w:rsid w:val="006E6619"/>
    <w:rsid w:val="006E685A"/>
    <w:rsid w:val="006E7A07"/>
    <w:rsid w:val="006F036A"/>
    <w:rsid w:val="006F0ED7"/>
    <w:rsid w:val="006F1860"/>
    <w:rsid w:val="006F30A3"/>
    <w:rsid w:val="006F362D"/>
    <w:rsid w:val="006F4036"/>
    <w:rsid w:val="006F4289"/>
    <w:rsid w:val="006F45FF"/>
    <w:rsid w:val="006F4FDB"/>
    <w:rsid w:val="006F5F64"/>
    <w:rsid w:val="006F642B"/>
    <w:rsid w:val="006F710B"/>
    <w:rsid w:val="006F7391"/>
    <w:rsid w:val="006F786F"/>
    <w:rsid w:val="006F7D69"/>
    <w:rsid w:val="006F7F5B"/>
    <w:rsid w:val="00700837"/>
    <w:rsid w:val="007017B4"/>
    <w:rsid w:val="00701BC6"/>
    <w:rsid w:val="00702183"/>
    <w:rsid w:val="00702D2D"/>
    <w:rsid w:val="007047CE"/>
    <w:rsid w:val="007051D2"/>
    <w:rsid w:val="007057CB"/>
    <w:rsid w:val="00705CD4"/>
    <w:rsid w:val="00705E44"/>
    <w:rsid w:val="007063F9"/>
    <w:rsid w:val="007065CC"/>
    <w:rsid w:val="0070678F"/>
    <w:rsid w:val="007073D6"/>
    <w:rsid w:val="007073E0"/>
    <w:rsid w:val="0070743E"/>
    <w:rsid w:val="0070747A"/>
    <w:rsid w:val="0071073E"/>
    <w:rsid w:val="007107DE"/>
    <w:rsid w:val="007113B6"/>
    <w:rsid w:val="007118BB"/>
    <w:rsid w:val="00711EA4"/>
    <w:rsid w:val="00712D60"/>
    <w:rsid w:val="007137CE"/>
    <w:rsid w:val="00713948"/>
    <w:rsid w:val="00713E4F"/>
    <w:rsid w:val="00714553"/>
    <w:rsid w:val="00714A8A"/>
    <w:rsid w:val="00715D56"/>
    <w:rsid w:val="00717810"/>
    <w:rsid w:val="0071793D"/>
    <w:rsid w:val="007207AD"/>
    <w:rsid w:val="00720A2E"/>
    <w:rsid w:val="00720E2A"/>
    <w:rsid w:val="007217E8"/>
    <w:rsid w:val="0072195D"/>
    <w:rsid w:val="00721B59"/>
    <w:rsid w:val="007226A5"/>
    <w:rsid w:val="007226BE"/>
    <w:rsid w:val="0072308C"/>
    <w:rsid w:val="0072340E"/>
    <w:rsid w:val="0072411B"/>
    <w:rsid w:val="00724736"/>
    <w:rsid w:val="00724BD0"/>
    <w:rsid w:val="0072620F"/>
    <w:rsid w:val="00726EAD"/>
    <w:rsid w:val="00726EE1"/>
    <w:rsid w:val="00727570"/>
    <w:rsid w:val="00727BFB"/>
    <w:rsid w:val="0073033E"/>
    <w:rsid w:val="00732137"/>
    <w:rsid w:val="00732FDD"/>
    <w:rsid w:val="007338D9"/>
    <w:rsid w:val="00733BF4"/>
    <w:rsid w:val="00733C88"/>
    <w:rsid w:val="00733FAB"/>
    <w:rsid w:val="007345D6"/>
    <w:rsid w:val="0073488F"/>
    <w:rsid w:val="00734B1F"/>
    <w:rsid w:val="00734B36"/>
    <w:rsid w:val="0073618C"/>
    <w:rsid w:val="007363B9"/>
    <w:rsid w:val="0073673F"/>
    <w:rsid w:val="00736E6B"/>
    <w:rsid w:val="00740627"/>
    <w:rsid w:val="007408DC"/>
    <w:rsid w:val="00740FF0"/>
    <w:rsid w:val="0074141A"/>
    <w:rsid w:val="0074249A"/>
    <w:rsid w:val="0074340E"/>
    <w:rsid w:val="007438A6"/>
    <w:rsid w:val="0074434E"/>
    <w:rsid w:val="00744B50"/>
    <w:rsid w:val="00745A1D"/>
    <w:rsid w:val="00745E13"/>
    <w:rsid w:val="00746F31"/>
    <w:rsid w:val="00747400"/>
    <w:rsid w:val="00747440"/>
    <w:rsid w:val="0074755A"/>
    <w:rsid w:val="007502DD"/>
    <w:rsid w:val="00750611"/>
    <w:rsid w:val="00750761"/>
    <w:rsid w:val="00750973"/>
    <w:rsid w:val="007513C7"/>
    <w:rsid w:val="00751965"/>
    <w:rsid w:val="0075301D"/>
    <w:rsid w:val="007530FA"/>
    <w:rsid w:val="00753FAA"/>
    <w:rsid w:val="00754CAD"/>
    <w:rsid w:val="00754F92"/>
    <w:rsid w:val="00755472"/>
    <w:rsid w:val="007555CF"/>
    <w:rsid w:val="007559AF"/>
    <w:rsid w:val="00755BBD"/>
    <w:rsid w:val="007573D1"/>
    <w:rsid w:val="0075747B"/>
    <w:rsid w:val="00761620"/>
    <w:rsid w:val="007622DC"/>
    <w:rsid w:val="00762D47"/>
    <w:rsid w:val="0076399A"/>
    <w:rsid w:val="00764EE1"/>
    <w:rsid w:val="007650E6"/>
    <w:rsid w:val="00765441"/>
    <w:rsid w:val="00765650"/>
    <w:rsid w:val="007659CC"/>
    <w:rsid w:val="0076689B"/>
    <w:rsid w:val="00766D81"/>
    <w:rsid w:val="00766F9A"/>
    <w:rsid w:val="007722D6"/>
    <w:rsid w:val="00772CDF"/>
    <w:rsid w:val="00772FF9"/>
    <w:rsid w:val="00774185"/>
    <w:rsid w:val="0077559A"/>
    <w:rsid w:val="007762D2"/>
    <w:rsid w:val="0077694E"/>
    <w:rsid w:val="007771B0"/>
    <w:rsid w:val="00777CC2"/>
    <w:rsid w:val="00780032"/>
    <w:rsid w:val="007809BF"/>
    <w:rsid w:val="007819BA"/>
    <w:rsid w:val="007821A8"/>
    <w:rsid w:val="00782601"/>
    <w:rsid w:val="00783134"/>
    <w:rsid w:val="00786C10"/>
    <w:rsid w:val="00786D66"/>
    <w:rsid w:val="0078750D"/>
    <w:rsid w:val="00790127"/>
    <w:rsid w:val="007915DB"/>
    <w:rsid w:val="00791F92"/>
    <w:rsid w:val="00791F99"/>
    <w:rsid w:val="00792043"/>
    <w:rsid w:val="00792149"/>
    <w:rsid w:val="00792849"/>
    <w:rsid w:val="00792B42"/>
    <w:rsid w:val="00793982"/>
    <w:rsid w:val="00793C24"/>
    <w:rsid w:val="00795DAB"/>
    <w:rsid w:val="00796169"/>
    <w:rsid w:val="00796931"/>
    <w:rsid w:val="0079709E"/>
    <w:rsid w:val="007978BE"/>
    <w:rsid w:val="0079794C"/>
    <w:rsid w:val="007A0AC2"/>
    <w:rsid w:val="007A0BF8"/>
    <w:rsid w:val="007A137A"/>
    <w:rsid w:val="007A1F64"/>
    <w:rsid w:val="007A2161"/>
    <w:rsid w:val="007A26FE"/>
    <w:rsid w:val="007A294A"/>
    <w:rsid w:val="007A2CE9"/>
    <w:rsid w:val="007A3476"/>
    <w:rsid w:val="007A3947"/>
    <w:rsid w:val="007A3C1B"/>
    <w:rsid w:val="007A3F1A"/>
    <w:rsid w:val="007A4314"/>
    <w:rsid w:val="007A4498"/>
    <w:rsid w:val="007A4EF4"/>
    <w:rsid w:val="007A5EB4"/>
    <w:rsid w:val="007A6AC6"/>
    <w:rsid w:val="007A6D8F"/>
    <w:rsid w:val="007A7E1F"/>
    <w:rsid w:val="007B12A9"/>
    <w:rsid w:val="007B1690"/>
    <w:rsid w:val="007B1BA6"/>
    <w:rsid w:val="007B2136"/>
    <w:rsid w:val="007B2201"/>
    <w:rsid w:val="007B22E5"/>
    <w:rsid w:val="007B2543"/>
    <w:rsid w:val="007B291B"/>
    <w:rsid w:val="007B2987"/>
    <w:rsid w:val="007B2CDF"/>
    <w:rsid w:val="007B33B5"/>
    <w:rsid w:val="007B360B"/>
    <w:rsid w:val="007B3928"/>
    <w:rsid w:val="007B3CB1"/>
    <w:rsid w:val="007B55D7"/>
    <w:rsid w:val="007B55FF"/>
    <w:rsid w:val="007B5788"/>
    <w:rsid w:val="007B5EF8"/>
    <w:rsid w:val="007B6515"/>
    <w:rsid w:val="007B6DE0"/>
    <w:rsid w:val="007B7158"/>
    <w:rsid w:val="007B7491"/>
    <w:rsid w:val="007B7CD6"/>
    <w:rsid w:val="007B7DB6"/>
    <w:rsid w:val="007C126F"/>
    <w:rsid w:val="007C13CA"/>
    <w:rsid w:val="007C185A"/>
    <w:rsid w:val="007C1CDF"/>
    <w:rsid w:val="007C202A"/>
    <w:rsid w:val="007C214B"/>
    <w:rsid w:val="007C3A67"/>
    <w:rsid w:val="007C3B73"/>
    <w:rsid w:val="007C4267"/>
    <w:rsid w:val="007C4392"/>
    <w:rsid w:val="007C4408"/>
    <w:rsid w:val="007C50BE"/>
    <w:rsid w:val="007C5319"/>
    <w:rsid w:val="007C5552"/>
    <w:rsid w:val="007C5583"/>
    <w:rsid w:val="007C7541"/>
    <w:rsid w:val="007D1A1B"/>
    <w:rsid w:val="007D1A57"/>
    <w:rsid w:val="007D1FE1"/>
    <w:rsid w:val="007D23C4"/>
    <w:rsid w:val="007D2673"/>
    <w:rsid w:val="007D284C"/>
    <w:rsid w:val="007D37ED"/>
    <w:rsid w:val="007D427D"/>
    <w:rsid w:val="007D42A8"/>
    <w:rsid w:val="007D44C8"/>
    <w:rsid w:val="007D45A4"/>
    <w:rsid w:val="007D4E79"/>
    <w:rsid w:val="007D4FF8"/>
    <w:rsid w:val="007D500C"/>
    <w:rsid w:val="007D53AA"/>
    <w:rsid w:val="007D58F7"/>
    <w:rsid w:val="007D6002"/>
    <w:rsid w:val="007D6405"/>
    <w:rsid w:val="007D6660"/>
    <w:rsid w:val="007D6813"/>
    <w:rsid w:val="007D7042"/>
    <w:rsid w:val="007D7383"/>
    <w:rsid w:val="007E0103"/>
    <w:rsid w:val="007E0A10"/>
    <w:rsid w:val="007E18B0"/>
    <w:rsid w:val="007E1D8E"/>
    <w:rsid w:val="007E1D99"/>
    <w:rsid w:val="007E27DC"/>
    <w:rsid w:val="007E333A"/>
    <w:rsid w:val="007E4496"/>
    <w:rsid w:val="007E5D25"/>
    <w:rsid w:val="007E6034"/>
    <w:rsid w:val="007E65E5"/>
    <w:rsid w:val="007E6ADF"/>
    <w:rsid w:val="007E6C32"/>
    <w:rsid w:val="007E7EA8"/>
    <w:rsid w:val="007F01FE"/>
    <w:rsid w:val="007F0489"/>
    <w:rsid w:val="007F0544"/>
    <w:rsid w:val="007F06E4"/>
    <w:rsid w:val="007F0C65"/>
    <w:rsid w:val="007F0F64"/>
    <w:rsid w:val="007F1346"/>
    <w:rsid w:val="007F16CF"/>
    <w:rsid w:val="007F30BF"/>
    <w:rsid w:val="007F3256"/>
    <w:rsid w:val="007F35B4"/>
    <w:rsid w:val="007F3866"/>
    <w:rsid w:val="007F3933"/>
    <w:rsid w:val="007F3B08"/>
    <w:rsid w:val="007F3D01"/>
    <w:rsid w:val="007F3DC0"/>
    <w:rsid w:val="007F43D9"/>
    <w:rsid w:val="007F550E"/>
    <w:rsid w:val="007F7ECD"/>
    <w:rsid w:val="00800339"/>
    <w:rsid w:val="008008C5"/>
    <w:rsid w:val="00800944"/>
    <w:rsid w:val="00800F3F"/>
    <w:rsid w:val="00801651"/>
    <w:rsid w:val="00801CBA"/>
    <w:rsid w:val="0080247E"/>
    <w:rsid w:val="008028CD"/>
    <w:rsid w:val="0080302C"/>
    <w:rsid w:val="00803332"/>
    <w:rsid w:val="008043B3"/>
    <w:rsid w:val="008047F5"/>
    <w:rsid w:val="00804879"/>
    <w:rsid w:val="008051F3"/>
    <w:rsid w:val="0080575F"/>
    <w:rsid w:val="00805CD2"/>
    <w:rsid w:val="00806DB7"/>
    <w:rsid w:val="00806E39"/>
    <w:rsid w:val="00806F78"/>
    <w:rsid w:val="00807278"/>
    <w:rsid w:val="00807519"/>
    <w:rsid w:val="00810377"/>
    <w:rsid w:val="00810CB6"/>
    <w:rsid w:val="00810FC9"/>
    <w:rsid w:val="008114BF"/>
    <w:rsid w:val="008120B2"/>
    <w:rsid w:val="008127BD"/>
    <w:rsid w:val="00812AE7"/>
    <w:rsid w:val="008132FC"/>
    <w:rsid w:val="008139B0"/>
    <w:rsid w:val="00813A7B"/>
    <w:rsid w:val="0081448E"/>
    <w:rsid w:val="00814997"/>
    <w:rsid w:val="00815C7D"/>
    <w:rsid w:val="00816937"/>
    <w:rsid w:val="008175BA"/>
    <w:rsid w:val="0082165C"/>
    <w:rsid w:val="008218C8"/>
    <w:rsid w:val="00821A0B"/>
    <w:rsid w:val="00821E6C"/>
    <w:rsid w:val="00822EE2"/>
    <w:rsid w:val="008231EF"/>
    <w:rsid w:val="00823CC1"/>
    <w:rsid w:val="0082414E"/>
    <w:rsid w:val="00824514"/>
    <w:rsid w:val="008247D7"/>
    <w:rsid w:val="00825940"/>
    <w:rsid w:val="00825A3D"/>
    <w:rsid w:val="00825A71"/>
    <w:rsid w:val="00825FD3"/>
    <w:rsid w:val="00826706"/>
    <w:rsid w:val="00826A48"/>
    <w:rsid w:val="008300FE"/>
    <w:rsid w:val="00830264"/>
    <w:rsid w:val="0083084A"/>
    <w:rsid w:val="00830A7F"/>
    <w:rsid w:val="00830F92"/>
    <w:rsid w:val="00831C20"/>
    <w:rsid w:val="00832161"/>
    <w:rsid w:val="008323B7"/>
    <w:rsid w:val="008338C5"/>
    <w:rsid w:val="00833BDD"/>
    <w:rsid w:val="008346C2"/>
    <w:rsid w:val="00834DCE"/>
    <w:rsid w:val="00835B84"/>
    <w:rsid w:val="00835DA6"/>
    <w:rsid w:val="00835FE1"/>
    <w:rsid w:val="00836A73"/>
    <w:rsid w:val="00836F71"/>
    <w:rsid w:val="0083776D"/>
    <w:rsid w:val="00837C16"/>
    <w:rsid w:val="00837C43"/>
    <w:rsid w:val="00840705"/>
    <w:rsid w:val="0084076D"/>
    <w:rsid w:val="00840F1F"/>
    <w:rsid w:val="008415E9"/>
    <w:rsid w:val="00842E1A"/>
    <w:rsid w:val="0084324A"/>
    <w:rsid w:val="00843829"/>
    <w:rsid w:val="00843AA7"/>
    <w:rsid w:val="00843AC3"/>
    <w:rsid w:val="008440F1"/>
    <w:rsid w:val="008444E7"/>
    <w:rsid w:val="00844946"/>
    <w:rsid w:val="00846080"/>
    <w:rsid w:val="00846BD0"/>
    <w:rsid w:val="00846DC1"/>
    <w:rsid w:val="008470D4"/>
    <w:rsid w:val="008474C7"/>
    <w:rsid w:val="00847EDC"/>
    <w:rsid w:val="00850AEE"/>
    <w:rsid w:val="00851021"/>
    <w:rsid w:val="008516C8"/>
    <w:rsid w:val="00851CA7"/>
    <w:rsid w:val="00851DD4"/>
    <w:rsid w:val="008527F5"/>
    <w:rsid w:val="00852CEA"/>
    <w:rsid w:val="008540F3"/>
    <w:rsid w:val="00855C55"/>
    <w:rsid w:val="00856DE5"/>
    <w:rsid w:val="00856E9D"/>
    <w:rsid w:val="00857028"/>
    <w:rsid w:val="008602DA"/>
    <w:rsid w:val="008606D8"/>
    <w:rsid w:val="00862278"/>
    <w:rsid w:val="00862482"/>
    <w:rsid w:val="008627B9"/>
    <w:rsid w:val="008629C7"/>
    <w:rsid w:val="00862C9D"/>
    <w:rsid w:val="00864061"/>
    <w:rsid w:val="0086410B"/>
    <w:rsid w:val="0086469B"/>
    <w:rsid w:val="008651EE"/>
    <w:rsid w:val="008657D4"/>
    <w:rsid w:val="00865B51"/>
    <w:rsid w:val="00865D5A"/>
    <w:rsid w:val="00866A16"/>
    <w:rsid w:val="0087002C"/>
    <w:rsid w:val="00871BA5"/>
    <w:rsid w:val="00871C5C"/>
    <w:rsid w:val="00871F63"/>
    <w:rsid w:val="00872587"/>
    <w:rsid w:val="00872C4D"/>
    <w:rsid w:val="008732AA"/>
    <w:rsid w:val="00874F3E"/>
    <w:rsid w:val="008752E8"/>
    <w:rsid w:val="00875506"/>
    <w:rsid w:val="00875A16"/>
    <w:rsid w:val="008764C6"/>
    <w:rsid w:val="008805FA"/>
    <w:rsid w:val="008806C8"/>
    <w:rsid w:val="00882980"/>
    <w:rsid w:val="00883117"/>
    <w:rsid w:val="00883C92"/>
    <w:rsid w:val="00883C9F"/>
    <w:rsid w:val="0088418B"/>
    <w:rsid w:val="00884DAD"/>
    <w:rsid w:val="00885DFD"/>
    <w:rsid w:val="00886328"/>
    <w:rsid w:val="00886BE9"/>
    <w:rsid w:val="00886C37"/>
    <w:rsid w:val="00886C99"/>
    <w:rsid w:val="0088787A"/>
    <w:rsid w:val="00887BFE"/>
    <w:rsid w:val="00890525"/>
    <w:rsid w:val="008912C1"/>
    <w:rsid w:val="008926BE"/>
    <w:rsid w:val="0089315C"/>
    <w:rsid w:val="008937DD"/>
    <w:rsid w:val="008942B7"/>
    <w:rsid w:val="0089492D"/>
    <w:rsid w:val="0089539C"/>
    <w:rsid w:val="00896A71"/>
    <w:rsid w:val="00896B03"/>
    <w:rsid w:val="00896F04"/>
    <w:rsid w:val="008971CA"/>
    <w:rsid w:val="00897950"/>
    <w:rsid w:val="008979A2"/>
    <w:rsid w:val="008A0678"/>
    <w:rsid w:val="008A07AD"/>
    <w:rsid w:val="008A07B3"/>
    <w:rsid w:val="008A0EA3"/>
    <w:rsid w:val="008A1A09"/>
    <w:rsid w:val="008A2465"/>
    <w:rsid w:val="008A30E2"/>
    <w:rsid w:val="008A39B6"/>
    <w:rsid w:val="008A3C57"/>
    <w:rsid w:val="008A4DAD"/>
    <w:rsid w:val="008A5183"/>
    <w:rsid w:val="008A569F"/>
    <w:rsid w:val="008A59E9"/>
    <w:rsid w:val="008A78BC"/>
    <w:rsid w:val="008B101C"/>
    <w:rsid w:val="008B1096"/>
    <w:rsid w:val="008B127B"/>
    <w:rsid w:val="008B1698"/>
    <w:rsid w:val="008B299D"/>
    <w:rsid w:val="008B2D17"/>
    <w:rsid w:val="008B395F"/>
    <w:rsid w:val="008B39AF"/>
    <w:rsid w:val="008B3D2A"/>
    <w:rsid w:val="008B4DCD"/>
    <w:rsid w:val="008B5054"/>
    <w:rsid w:val="008B5118"/>
    <w:rsid w:val="008B6BAC"/>
    <w:rsid w:val="008B78E1"/>
    <w:rsid w:val="008C0A9C"/>
    <w:rsid w:val="008C0DDD"/>
    <w:rsid w:val="008C18C6"/>
    <w:rsid w:val="008C3D43"/>
    <w:rsid w:val="008C4048"/>
    <w:rsid w:val="008C4233"/>
    <w:rsid w:val="008C427D"/>
    <w:rsid w:val="008C51D5"/>
    <w:rsid w:val="008C62EB"/>
    <w:rsid w:val="008C740E"/>
    <w:rsid w:val="008C74F5"/>
    <w:rsid w:val="008D0E67"/>
    <w:rsid w:val="008D26B8"/>
    <w:rsid w:val="008D2747"/>
    <w:rsid w:val="008D2A0F"/>
    <w:rsid w:val="008D35BD"/>
    <w:rsid w:val="008D36F6"/>
    <w:rsid w:val="008D3D2A"/>
    <w:rsid w:val="008D3D39"/>
    <w:rsid w:val="008D443D"/>
    <w:rsid w:val="008D48D9"/>
    <w:rsid w:val="008D5A06"/>
    <w:rsid w:val="008D6B27"/>
    <w:rsid w:val="008D6C12"/>
    <w:rsid w:val="008E01B7"/>
    <w:rsid w:val="008E065E"/>
    <w:rsid w:val="008E15C8"/>
    <w:rsid w:val="008E18DE"/>
    <w:rsid w:val="008E1B16"/>
    <w:rsid w:val="008E1D13"/>
    <w:rsid w:val="008E42D4"/>
    <w:rsid w:val="008E43CB"/>
    <w:rsid w:val="008E5196"/>
    <w:rsid w:val="008E60FD"/>
    <w:rsid w:val="008E635A"/>
    <w:rsid w:val="008E641C"/>
    <w:rsid w:val="008F0486"/>
    <w:rsid w:val="008F08EE"/>
    <w:rsid w:val="008F1247"/>
    <w:rsid w:val="008F14C4"/>
    <w:rsid w:val="008F1712"/>
    <w:rsid w:val="008F1B65"/>
    <w:rsid w:val="008F2250"/>
    <w:rsid w:val="008F2561"/>
    <w:rsid w:val="008F2586"/>
    <w:rsid w:val="008F32D9"/>
    <w:rsid w:val="008F4774"/>
    <w:rsid w:val="008F4B8E"/>
    <w:rsid w:val="008F526B"/>
    <w:rsid w:val="008F7588"/>
    <w:rsid w:val="008F79C7"/>
    <w:rsid w:val="008F7B89"/>
    <w:rsid w:val="00900762"/>
    <w:rsid w:val="00900AED"/>
    <w:rsid w:val="009019ED"/>
    <w:rsid w:val="00901F3D"/>
    <w:rsid w:val="00902349"/>
    <w:rsid w:val="00902C61"/>
    <w:rsid w:val="00902E63"/>
    <w:rsid w:val="00903D1A"/>
    <w:rsid w:val="00903FA3"/>
    <w:rsid w:val="0090521F"/>
    <w:rsid w:val="0090604D"/>
    <w:rsid w:val="00906145"/>
    <w:rsid w:val="00906AFC"/>
    <w:rsid w:val="00906F9A"/>
    <w:rsid w:val="009074D0"/>
    <w:rsid w:val="00907AD9"/>
    <w:rsid w:val="00907E1E"/>
    <w:rsid w:val="009103E8"/>
    <w:rsid w:val="00910418"/>
    <w:rsid w:val="00911D3D"/>
    <w:rsid w:val="00911DF8"/>
    <w:rsid w:val="00911E4F"/>
    <w:rsid w:val="00911F04"/>
    <w:rsid w:val="00912E65"/>
    <w:rsid w:val="009130B3"/>
    <w:rsid w:val="009137B9"/>
    <w:rsid w:val="009146B1"/>
    <w:rsid w:val="00914D62"/>
    <w:rsid w:val="00914FD8"/>
    <w:rsid w:val="00916487"/>
    <w:rsid w:val="00916B41"/>
    <w:rsid w:val="009203E1"/>
    <w:rsid w:val="009203EE"/>
    <w:rsid w:val="00920639"/>
    <w:rsid w:val="0092225E"/>
    <w:rsid w:val="009224F4"/>
    <w:rsid w:val="0092250A"/>
    <w:rsid w:val="00922B6A"/>
    <w:rsid w:val="0092326A"/>
    <w:rsid w:val="009256ED"/>
    <w:rsid w:val="0092579F"/>
    <w:rsid w:val="00925A91"/>
    <w:rsid w:val="00925E55"/>
    <w:rsid w:val="0092656E"/>
    <w:rsid w:val="00926FC5"/>
    <w:rsid w:val="00927763"/>
    <w:rsid w:val="0093063E"/>
    <w:rsid w:val="009315AF"/>
    <w:rsid w:val="00931D75"/>
    <w:rsid w:val="009321CD"/>
    <w:rsid w:val="00935108"/>
    <w:rsid w:val="009357D0"/>
    <w:rsid w:val="009364F4"/>
    <w:rsid w:val="0093674C"/>
    <w:rsid w:val="00936CFC"/>
    <w:rsid w:val="00937360"/>
    <w:rsid w:val="009401AC"/>
    <w:rsid w:val="0094078A"/>
    <w:rsid w:val="009419A6"/>
    <w:rsid w:val="00941F8B"/>
    <w:rsid w:val="00942043"/>
    <w:rsid w:val="009422D5"/>
    <w:rsid w:val="009427F0"/>
    <w:rsid w:val="009442EC"/>
    <w:rsid w:val="00944C3A"/>
    <w:rsid w:val="00945207"/>
    <w:rsid w:val="00945957"/>
    <w:rsid w:val="00946777"/>
    <w:rsid w:val="00947052"/>
    <w:rsid w:val="009512B5"/>
    <w:rsid w:val="00952040"/>
    <w:rsid w:val="009525FC"/>
    <w:rsid w:val="00952F59"/>
    <w:rsid w:val="00956587"/>
    <w:rsid w:val="0095660D"/>
    <w:rsid w:val="009574F5"/>
    <w:rsid w:val="009575F3"/>
    <w:rsid w:val="00957CF7"/>
    <w:rsid w:val="00957DFC"/>
    <w:rsid w:val="00960238"/>
    <w:rsid w:val="00960A79"/>
    <w:rsid w:val="00962810"/>
    <w:rsid w:val="009629E4"/>
    <w:rsid w:val="00962F77"/>
    <w:rsid w:val="00962FBC"/>
    <w:rsid w:val="00963661"/>
    <w:rsid w:val="00963A6F"/>
    <w:rsid w:val="00963E83"/>
    <w:rsid w:val="009641E2"/>
    <w:rsid w:val="0096448B"/>
    <w:rsid w:val="00965095"/>
    <w:rsid w:val="00965307"/>
    <w:rsid w:val="00965380"/>
    <w:rsid w:val="00967495"/>
    <w:rsid w:val="00967D95"/>
    <w:rsid w:val="00971555"/>
    <w:rsid w:val="009729FE"/>
    <w:rsid w:val="00972B49"/>
    <w:rsid w:val="00972F51"/>
    <w:rsid w:val="00972F75"/>
    <w:rsid w:val="00973646"/>
    <w:rsid w:val="0097371D"/>
    <w:rsid w:val="00973AD8"/>
    <w:rsid w:val="00973B29"/>
    <w:rsid w:val="00974066"/>
    <w:rsid w:val="00975775"/>
    <w:rsid w:val="00975B18"/>
    <w:rsid w:val="009766B7"/>
    <w:rsid w:val="00976D15"/>
    <w:rsid w:val="0097703D"/>
    <w:rsid w:val="009770BD"/>
    <w:rsid w:val="00977246"/>
    <w:rsid w:val="00980321"/>
    <w:rsid w:val="0098038F"/>
    <w:rsid w:val="00982239"/>
    <w:rsid w:val="009824F7"/>
    <w:rsid w:val="00983A87"/>
    <w:rsid w:val="00983C67"/>
    <w:rsid w:val="00985340"/>
    <w:rsid w:val="0098594D"/>
    <w:rsid w:val="00986F02"/>
    <w:rsid w:val="009870EC"/>
    <w:rsid w:val="0098727E"/>
    <w:rsid w:val="009872C3"/>
    <w:rsid w:val="00987478"/>
    <w:rsid w:val="00990060"/>
    <w:rsid w:val="0099013C"/>
    <w:rsid w:val="009901AE"/>
    <w:rsid w:val="00991303"/>
    <w:rsid w:val="009918E9"/>
    <w:rsid w:val="00991A0D"/>
    <w:rsid w:val="0099310B"/>
    <w:rsid w:val="0099332F"/>
    <w:rsid w:val="009937AF"/>
    <w:rsid w:val="0099405C"/>
    <w:rsid w:val="009953B9"/>
    <w:rsid w:val="00996335"/>
    <w:rsid w:val="009970B1"/>
    <w:rsid w:val="0099723A"/>
    <w:rsid w:val="009977B8"/>
    <w:rsid w:val="009A0592"/>
    <w:rsid w:val="009A0C22"/>
    <w:rsid w:val="009A16E2"/>
    <w:rsid w:val="009A2CF9"/>
    <w:rsid w:val="009A3223"/>
    <w:rsid w:val="009A3A80"/>
    <w:rsid w:val="009A4B19"/>
    <w:rsid w:val="009A4FE2"/>
    <w:rsid w:val="009A68F0"/>
    <w:rsid w:val="009A71F6"/>
    <w:rsid w:val="009B0465"/>
    <w:rsid w:val="009B08C6"/>
    <w:rsid w:val="009B0BAD"/>
    <w:rsid w:val="009B0C4B"/>
    <w:rsid w:val="009B0EDE"/>
    <w:rsid w:val="009B0F12"/>
    <w:rsid w:val="009B1145"/>
    <w:rsid w:val="009B1237"/>
    <w:rsid w:val="009B16A7"/>
    <w:rsid w:val="009B2231"/>
    <w:rsid w:val="009B2FDC"/>
    <w:rsid w:val="009B45BA"/>
    <w:rsid w:val="009B4DF0"/>
    <w:rsid w:val="009B4F06"/>
    <w:rsid w:val="009B5A09"/>
    <w:rsid w:val="009B63CE"/>
    <w:rsid w:val="009B6973"/>
    <w:rsid w:val="009B7AAD"/>
    <w:rsid w:val="009B7BD1"/>
    <w:rsid w:val="009C0CDF"/>
    <w:rsid w:val="009C176C"/>
    <w:rsid w:val="009C17C6"/>
    <w:rsid w:val="009C2093"/>
    <w:rsid w:val="009C243D"/>
    <w:rsid w:val="009C29D9"/>
    <w:rsid w:val="009C2A09"/>
    <w:rsid w:val="009C3CCD"/>
    <w:rsid w:val="009C4265"/>
    <w:rsid w:val="009C52EF"/>
    <w:rsid w:val="009C5775"/>
    <w:rsid w:val="009C5A74"/>
    <w:rsid w:val="009C5DBD"/>
    <w:rsid w:val="009C754D"/>
    <w:rsid w:val="009C7A50"/>
    <w:rsid w:val="009C7AB2"/>
    <w:rsid w:val="009D03C2"/>
    <w:rsid w:val="009D1F0A"/>
    <w:rsid w:val="009D1FA5"/>
    <w:rsid w:val="009D31F1"/>
    <w:rsid w:val="009D4FB1"/>
    <w:rsid w:val="009D53B1"/>
    <w:rsid w:val="009D53E3"/>
    <w:rsid w:val="009D5734"/>
    <w:rsid w:val="009D58BB"/>
    <w:rsid w:val="009D58CF"/>
    <w:rsid w:val="009D7EBA"/>
    <w:rsid w:val="009E29BF"/>
    <w:rsid w:val="009E3377"/>
    <w:rsid w:val="009E39CB"/>
    <w:rsid w:val="009E4BD8"/>
    <w:rsid w:val="009E582E"/>
    <w:rsid w:val="009E5A9B"/>
    <w:rsid w:val="009E7570"/>
    <w:rsid w:val="009E7E97"/>
    <w:rsid w:val="009F0283"/>
    <w:rsid w:val="009F0488"/>
    <w:rsid w:val="009F0C1F"/>
    <w:rsid w:val="009F0FE1"/>
    <w:rsid w:val="009F1031"/>
    <w:rsid w:val="009F14F6"/>
    <w:rsid w:val="009F3027"/>
    <w:rsid w:val="009F302D"/>
    <w:rsid w:val="009F41E0"/>
    <w:rsid w:val="009F5166"/>
    <w:rsid w:val="009F5532"/>
    <w:rsid w:val="009F57B8"/>
    <w:rsid w:val="009F61DF"/>
    <w:rsid w:val="009F7557"/>
    <w:rsid w:val="00A00135"/>
    <w:rsid w:val="00A001E8"/>
    <w:rsid w:val="00A00DF2"/>
    <w:rsid w:val="00A04883"/>
    <w:rsid w:val="00A04A27"/>
    <w:rsid w:val="00A04FE4"/>
    <w:rsid w:val="00A051BC"/>
    <w:rsid w:val="00A054D2"/>
    <w:rsid w:val="00A0584B"/>
    <w:rsid w:val="00A0595E"/>
    <w:rsid w:val="00A063D9"/>
    <w:rsid w:val="00A0649F"/>
    <w:rsid w:val="00A06E9B"/>
    <w:rsid w:val="00A0732E"/>
    <w:rsid w:val="00A07633"/>
    <w:rsid w:val="00A079CE"/>
    <w:rsid w:val="00A07D7B"/>
    <w:rsid w:val="00A109A8"/>
    <w:rsid w:val="00A10F28"/>
    <w:rsid w:val="00A112B6"/>
    <w:rsid w:val="00A1192D"/>
    <w:rsid w:val="00A11B5B"/>
    <w:rsid w:val="00A1262F"/>
    <w:rsid w:val="00A131EA"/>
    <w:rsid w:val="00A1360C"/>
    <w:rsid w:val="00A1390E"/>
    <w:rsid w:val="00A13D72"/>
    <w:rsid w:val="00A141F8"/>
    <w:rsid w:val="00A14B67"/>
    <w:rsid w:val="00A153A4"/>
    <w:rsid w:val="00A153E4"/>
    <w:rsid w:val="00A154CF"/>
    <w:rsid w:val="00A159B9"/>
    <w:rsid w:val="00A165B6"/>
    <w:rsid w:val="00A21399"/>
    <w:rsid w:val="00A2201C"/>
    <w:rsid w:val="00A22203"/>
    <w:rsid w:val="00A22A07"/>
    <w:rsid w:val="00A22A79"/>
    <w:rsid w:val="00A230E2"/>
    <w:rsid w:val="00A236AD"/>
    <w:rsid w:val="00A23D75"/>
    <w:rsid w:val="00A24153"/>
    <w:rsid w:val="00A248D4"/>
    <w:rsid w:val="00A24C1A"/>
    <w:rsid w:val="00A24E15"/>
    <w:rsid w:val="00A25736"/>
    <w:rsid w:val="00A2581E"/>
    <w:rsid w:val="00A25C80"/>
    <w:rsid w:val="00A2650E"/>
    <w:rsid w:val="00A26C3A"/>
    <w:rsid w:val="00A26D06"/>
    <w:rsid w:val="00A2704D"/>
    <w:rsid w:val="00A27307"/>
    <w:rsid w:val="00A30082"/>
    <w:rsid w:val="00A3030F"/>
    <w:rsid w:val="00A30DFD"/>
    <w:rsid w:val="00A30E98"/>
    <w:rsid w:val="00A32D8B"/>
    <w:rsid w:val="00A33643"/>
    <w:rsid w:val="00A342D5"/>
    <w:rsid w:val="00A34F96"/>
    <w:rsid w:val="00A34FE7"/>
    <w:rsid w:val="00A35A95"/>
    <w:rsid w:val="00A36367"/>
    <w:rsid w:val="00A363B6"/>
    <w:rsid w:val="00A363FA"/>
    <w:rsid w:val="00A36649"/>
    <w:rsid w:val="00A36A02"/>
    <w:rsid w:val="00A40632"/>
    <w:rsid w:val="00A41DBD"/>
    <w:rsid w:val="00A43436"/>
    <w:rsid w:val="00A440D1"/>
    <w:rsid w:val="00A45791"/>
    <w:rsid w:val="00A46D48"/>
    <w:rsid w:val="00A50482"/>
    <w:rsid w:val="00A5071E"/>
    <w:rsid w:val="00A50EA8"/>
    <w:rsid w:val="00A5225D"/>
    <w:rsid w:val="00A525F6"/>
    <w:rsid w:val="00A5385C"/>
    <w:rsid w:val="00A54649"/>
    <w:rsid w:val="00A5572B"/>
    <w:rsid w:val="00A5753D"/>
    <w:rsid w:val="00A60177"/>
    <w:rsid w:val="00A60322"/>
    <w:rsid w:val="00A6072B"/>
    <w:rsid w:val="00A60A5A"/>
    <w:rsid w:val="00A61550"/>
    <w:rsid w:val="00A61626"/>
    <w:rsid w:val="00A61729"/>
    <w:rsid w:val="00A61A00"/>
    <w:rsid w:val="00A61E6D"/>
    <w:rsid w:val="00A6217E"/>
    <w:rsid w:val="00A62775"/>
    <w:rsid w:val="00A65705"/>
    <w:rsid w:val="00A657CB"/>
    <w:rsid w:val="00A65CB4"/>
    <w:rsid w:val="00A65FC5"/>
    <w:rsid w:val="00A6633E"/>
    <w:rsid w:val="00A675C4"/>
    <w:rsid w:val="00A67CDB"/>
    <w:rsid w:val="00A715DF"/>
    <w:rsid w:val="00A719D0"/>
    <w:rsid w:val="00A723A0"/>
    <w:rsid w:val="00A73BCE"/>
    <w:rsid w:val="00A7448F"/>
    <w:rsid w:val="00A746A1"/>
    <w:rsid w:val="00A74AA0"/>
    <w:rsid w:val="00A74AB1"/>
    <w:rsid w:val="00A74BB5"/>
    <w:rsid w:val="00A75F31"/>
    <w:rsid w:val="00A7676C"/>
    <w:rsid w:val="00A767A7"/>
    <w:rsid w:val="00A76CD8"/>
    <w:rsid w:val="00A774EB"/>
    <w:rsid w:val="00A800A9"/>
    <w:rsid w:val="00A81FDC"/>
    <w:rsid w:val="00A8274B"/>
    <w:rsid w:val="00A82883"/>
    <w:rsid w:val="00A82B64"/>
    <w:rsid w:val="00A832DE"/>
    <w:rsid w:val="00A83482"/>
    <w:rsid w:val="00A840E9"/>
    <w:rsid w:val="00A85019"/>
    <w:rsid w:val="00A8546C"/>
    <w:rsid w:val="00A85FA7"/>
    <w:rsid w:val="00A86ABF"/>
    <w:rsid w:val="00A86E40"/>
    <w:rsid w:val="00A872C7"/>
    <w:rsid w:val="00A8773E"/>
    <w:rsid w:val="00A87B2A"/>
    <w:rsid w:val="00A9030B"/>
    <w:rsid w:val="00A905C1"/>
    <w:rsid w:val="00A92D2A"/>
    <w:rsid w:val="00A931A8"/>
    <w:rsid w:val="00A9350A"/>
    <w:rsid w:val="00A93CE8"/>
    <w:rsid w:val="00A93D5A"/>
    <w:rsid w:val="00A93F0C"/>
    <w:rsid w:val="00A940F4"/>
    <w:rsid w:val="00A94167"/>
    <w:rsid w:val="00A946B8"/>
    <w:rsid w:val="00A95082"/>
    <w:rsid w:val="00A9544C"/>
    <w:rsid w:val="00A955A4"/>
    <w:rsid w:val="00A95C0C"/>
    <w:rsid w:val="00A96222"/>
    <w:rsid w:val="00A96581"/>
    <w:rsid w:val="00A970C7"/>
    <w:rsid w:val="00AA00EE"/>
    <w:rsid w:val="00AA11FD"/>
    <w:rsid w:val="00AA1AB6"/>
    <w:rsid w:val="00AA21D1"/>
    <w:rsid w:val="00AA30D5"/>
    <w:rsid w:val="00AA3236"/>
    <w:rsid w:val="00AA3A5D"/>
    <w:rsid w:val="00AA3BFC"/>
    <w:rsid w:val="00AA4374"/>
    <w:rsid w:val="00AA480A"/>
    <w:rsid w:val="00AA48F5"/>
    <w:rsid w:val="00AA4C5C"/>
    <w:rsid w:val="00AA50A9"/>
    <w:rsid w:val="00AA514B"/>
    <w:rsid w:val="00AA57E3"/>
    <w:rsid w:val="00AA7046"/>
    <w:rsid w:val="00AA7A19"/>
    <w:rsid w:val="00AA7BF6"/>
    <w:rsid w:val="00AB15C5"/>
    <w:rsid w:val="00AB1D3B"/>
    <w:rsid w:val="00AB238C"/>
    <w:rsid w:val="00AB3481"/>
    <w:rsid w:val="00AB38EE"/>
    <w:rsid w:val="00AB44DB"/>
    <w:rsid w:val="00AB49A6"/>
    <w:rsid w:val="00AB4D82"/>
    <w:rsid w:val="00AB4E32"/>
    <w:rsid w:val="00AB6897"/>
    <w:rsid w:val="00AB6E93"/>
    <w:rsid w:val="00AB6EF4"/>
    <w:rsid w:val="00AB774F"/>
    <w:rsid w:val="00AB7B67"/>
    <w:rsid w:val="00AC003D"/>
    <w:rsid w:val="00AC06D9"/>
    <w:rsid w:val="00AC1C74"/>
    <w:rsid w:val="00AC2B11"/>
    <w:rsid w:val="00AC2DEC"/>
    <w:rsid w:val="00AC33A1"/>
    <w:rsid w:val="00AC449B"/>
    <w:rsid w:val="00AC4D1A"/>
    <w:rsid w:val="00AC56F9"/>
    <w:rsid w:val="00AC5BD2"/>
    <w:rsid w:val="00AC6092"/>
    <w:rsid w:val="00AC6C6E"/>
    <w:rsid w:val="00AD01F5"/>
    <w:rsid w:val="00AD07CD"/>
    <w:rsid w:val="00AD0CF2"/>
    <w:rsid w:val="00AD0D0E"/>
    <w:rsid w:val="00AD0F4E"/>
    <w:rsid w:val="00AD16BA"/>
    <w:rsid w:val="00AD25C2"/>
    <w:rsid w:val="00AD2818"/>
    <w:rsid w:val="00AD2BC6"/>
    <w:rsid w:val="00AD2C30"/>
    <w:rsid w:val="00AD3104"/>
    <w:rsid w:val="00AD344C"/>
    <w:rsid w:val="00AD3BAA"/>
    <w:rsid w:val="00AD3F04"/>
    <w:rsid w:val="00AD491E"/>
    <w:rsid w:val="00AD5C66"/>
    <w:rsid w:val="00AD5E0E"/>
    <w:rsid w:val="00AD733C"/>
    <w:rsid w:val="00AD7668"/>
    <w:rsid w:val="00AD7ACB"/>
    <w:rsid w:val="00AE04FE"/>
    <w:rsid w:val="00AE09D8"/>
    <w:rsid w:val="00AE16F2"/>
    <w:rsid w:val="00AE1EE3"/>
    <w:rsid w:val="00AE1F74"/>
    <w:rsid w:val="00AE26F3"/>
    <w:rsid w:val="00AE27C2"/>
    <w:rsid w:val="00AE2B54"/>
    <w:rsid w:val="00AE39FA"/>
    <w:rsid w:val="00AE4A6D"/>
    <w:rsid w:val="00AE4C50"/>
    <w:rsid w:val="00AE5648"/>
    <w:rsid w:val="00AE6598"/>
    <w:rsid w:val="00AE7276"/>
    <w:rsid w:val="00AF192F"/>
    <w:rsid w:val="00AF1C7A"/>
    <w:rsid w:val="00AF1F92"/>
    <w:rsid w:val="00AF20C9"/>
    <w:rsid w:val="00AF2DB2"/>
    <w:rsid w:val="00AF3C6B"/>
    <w:rsid w:val="00AF3DC6"/>
    <w:rsid w:val="00AF4488"/>
    <w:rsid w:val="00AF4E2C"/>
    <w:rsid w:val="00AF58E5"/>
    <w:rsid w:val="00AF5C52"/>
    <w:rsid w:val="00AF600D"/>
    <w:rsid w:val="00AF6D58"/>
    <w:rsid w:val="00AF71B1"/>
    <w:rsid w:val="00AF7A6A"/>
    <w:rsid w:val="00AF7C87"/>
    <w:rsid w:val="00AF7E20"/>
    <w:rsid w:val="00B0048D"/>
    <w:rsid w:val="00B01BFB"/>
    <w:rsid w:val="00B0238B"/>
    <w:rsid w:val="00B02795"/>
    <w:rsid w:val="00B03084"/>
    <w:rsid w:val="00B03758"/>
    <w:rsid w:val="00B05036"/>
    <w:rsid w:val="00B05131"/>
    <w:rsid w:val="00B05161"/>
    <w:rsid w:val="00B058DA"/>
    <w:rsid w:val="00B05A04"/>
    <w:rsid w:val="00B101A2"/>
    <w:rsid w:val="00B109F1"/>
    <w:rsid w:val="00B11754"/>
    <w:rsid w:val="00B126A2"/>
    <w:rsid w:val="00B12D99"/>
    <w:rsid w:val="00B12FE5"/>
    <w:rsid w:val="00B130D5"/>
    <w:rsid w:val="00B1458A"/>
    <w:rsid w:val="00B14806"/>
    <w:rsid w:val="00B160EA"/>
    <w:rsid w:val="00B1713D"/>
    <w:rsid w:val="00B17A29"/>
    <w:rsid w:val="00B20162"/>
    <w:rsid w:val="00B2039C"/>
    <w:rsid w:val="00B20482"/>
    <w:rsid w:val="00B206B6"/>
    <w:rsid w:val="00B2104F"/>
    <w:rsid w:val="00B21AC4"/>
    <w:rsid w:val="00B22CEE"/>
    <w:rsid w:val="00B2354F"/>
    <w:rsid w:val="00B24555"/>
    <w:rsid w:val="00B24F15"/>
    <w:rsid w:val="00B2622B"/>
    <w:rsid w:val="00B26AA0"/>
    <w:rsid w:val="00B27951"/>
    <w:rsid w:val="00B314C5"/>
    <w:rsid w:val="00B32058"/>
    <w:rsid w:val="00B32160"/>
    <w:rsid w:val="00B324BC"/>
    <w:rsid w:val="00B33141"/>
    <w:rsid w:val="00B334BC"/>
    <w:rsid w:val="00B33920"/>
    <w:rsid w:val="00B33AF8"/>
    <w:rsid w:val="00B33E5B"/>
    <w:rsid w:val="00B34A2A"/>
    <w:rsid w:val="00B34C94"/>
    <w:rsid w:val="00B35ECB"/>
    <w:rsid w:val="00B367F5"/>
    <w:rsid w:val="00B36CCD"/>
    <w:rsid w:val="00B37300"/>
    <w:rsid w:val="00B37FAD"/>
    <w:rsid w:val="00B37FE7"/>
    <w:rsid w:val="00B416FC"/>
    <w:rsid w:val="00B41774"/>
    <w:rsid w:val="00B4236C"/>
    <w:rsid w:val="00B42E3F"/>
    <w:rsid w:val="00B42F0A"/>
    <w:rsid w:val="00B4373E"/>
    <w:rsid w:val="00B43747"/>
    <w:rsid w:val="00B43EBC"/>
    <w:rsid w:val="00B463F8"/>
    <w:rsid w:val="00B4681D"/>
    <w:rsid w:val="00B468AB"/>
    <w:rsid w:val="00B4690C"/>
    <w:rsid w:val="00B46949"/>
    <w:rsid w:val="00B46BFF"/>
    <w:rsid w:val="00B46D59"/>
    <w:rsid w:val="00B476B1"/>
    <w:rsid w:val="00B50282"/>
    <w:rsid w:val="00B503AA"/>
    <w:rsid w:val="00B51313"/>
    <w:rsid w:val="00B519FE"/>
    <w:rsid w:val="00B51BA1"/>
    <w:rsid w:val="00B51FC9"/>
    <w:rsid w:val="00B5224C"/>
    <w:rsid w:val="00B526C8"/>
    <w:rsid w:val="00B5283C"/>
    <w:rsid w:val="00B529A6"/>
    <w:rsid w:val="00B534FE"/>
    <w:rsid w:val="00B5397B"/>
    <w:rsid w:val="00B53A9A"/>
    <w:rsid w:val="00B53EA0"/>
    <w:rsid w:val="00B54828"/>
    <w:rsid w:val="00B54BAF"/>
    <w:rsid w:val="00B55895"/>
    <w:rsid w:val="00B55E4E"/>
    <w:rsid w:val="00B5657D"/>
    <w:rsid w:val="00B56691"/>
    <w:rsid w:val="00B56779"/>
    <w:rsid w:val="00B56832"/>
    <w:rsid w:val="00B56C8D"/>
    <w:rsid w:val="00B5791D"/>
    <w:rsid w:val="00B60208"/>
    <w:rsid w:val="00B6033B"/>
    <w:rsid w:val="00B61146"/>
    <w:rsid w:val="00B614ED"/>
    <w:rsid w:val="00B616AA"/>
    <w:rsid w:val="00B627EC"/>
    <w:rsid w:val="00B63318"/>
    <w:rsid w:val="00B64859"/>
    <w:rsid w:val="00B667C7"/>
    <w:rsid w:val="00B6706D"/>
    <w:rsid w:val="00B67F75"/>
    <w:rsid w:val="00B7014B"/>
    <w:rsid w:val="00B71431"/>
    <w:rsid w:val="00B744AD"/>
    <w:rsid w:val="00B755BB"/>
    <w:rsid w:val="00B7579F"/>
    <w:rsid w:val="00B764BA"/>
    <w:rsid w:val="00B768A9"/>
    <w:rsid w:val="00B77C0D"/>
    <w:rsid w:val="00B802E0"/>
    <w:rsid w:val="00B807D7"/>
    <w:rsid w:val="00B80D40"/>
    <w:rsid w:val="00B826CE"/>
    <w:rsid w:val="00B8366A"/>
    <w:rsid w:val="00B8483C"/>
    <w:rsid w:val="00B84D92"/>
    <w:rsid w:val="00B85105"/>
    <w:rsid w:val="00B85413"/>
    <w:rsid w:val="00B85AD2"/>
    <w:rsid w:val="00B85D54"/>
    <w:rsid w:val="00B86049"/>
    <w:rsid w:val="00B86AB4"/>
    <w:rsid w:val="00B86E7A"/>
    <w:rsid w:val="00B900B6"/>
    <w:rsid w:val="00B92621"/>
    <w:rsid w:val="00B92EF5"/>
    <w:rsid w:val="00B94D9F"/>
    <w:rsid w:val="00B94DE3"/>
    <w:rsid w:val="00B9522B"/>
    <w:rsid w:val="00B96167"/>
    <w:rsid w:val="00B970F1"/>
    <w:rsid w:val="00B975B1"/>
    <w:rsid w:val="00B97F9C"/>
    <w:rsid w:val="00BA0070"/>
    <w:rsid w:val="00BA0857"/>
    <w:rsid w:val="00BA0902"/>
    <w:rsid w:val="00BA1A05"/>
    <w:rsid w:val="00BA3A43"/>
    <w:rsid w:val="00BA4A09"/>
    <w:rsid w:val="00BA533F"/>
    <w:rsid w:val="00BA5419"/>
    <w:rsid w:val="00BA5ED2"/>
    <w:rsid w:val="00BA658D"/>
    <w:rsid w:val="00BB0766"/>
    <w:rsid w:val="00BB0884"/>
    <w:rsid w:val="00BB09DE"/>
    <w:rsid w:val="00BB0AF0"/>
    <w:rsid w:val="00BB0E56"/>
    <w:rsid w:val="00BB1221"/>
    <w:rsid w:val="00BB1258"/>
    <w:rsid w:val="00BB18B5"/>
    <w:rsid w:val="00BB1B5E"/>
    <w:rsid w:val="00BB1BEC"/>
    <w:rsid w:val="00BB31E2"/>
    <w:rsid w:val="00BB32D3"/>
    <w:rsid w:val="00BB32E3"/>
    <w:rsid w:val="00BB3336"/>
    <w:rsid w:val="00BB3EB4"/>
    <w:rsid w:val="00BB59DF"/>
    <w:rsid w:val="00BB6183"/>
    <w:rsid w:val="00BB6486"/>
    <w:rsid w:val="00BB7AF6"/>
    <w:rsid w:val="00BC0D46"/>
    <w:rsid w:val="00BC15D6"/>
    <w:rsid w:val="00BC22D0"/>
    <w:rsid w:val="00BC25D0"/>
    <w:rsid w:val="00BC3882"/>
    <w:rsid w:val="00BC3A8B"/>
    <w:rsid w:val="00BC3D4C"/>
    <w:rsid w:val="00BC4AAE"/>
    <w:rsid w:val="00BC59B7"/>
    <w:rsid w:val="00BC5CB9"/>
    <w:rsid w:val="00BC6DD1"/>
    <w:rsid w:val="00BD02AF"/>
    <w:rsid w:val="00BD07BE"/>
    <w:rsid w:val="00BD0ED8"/>
    <w:rsid w:val="00BD13F6"/>
    <w:rsid w:val="00BD19B4"/>
    <w:rsid w:val="00BD1B91"/>
    <w:rsid w:val="00BD1EC5"/>
    <w:rsid w:val="00BD29EA"/>
    <w:rsid w:val="00BD2EEB"/>
    <w:rsid w:val="00BD2FA6"/>
    <w:rsid w:val="00BD30BA"/>
    <w:rsid w:val="00BD38B9"/>
    <w:rsid w:val="00BD39E8"/>
    <w:rsid w:val="00BD3D48"/>
    <w:rsid w:val="00BD4CA0"/>
    <w:rsid w:val="00BD4CC8"/>
    <w:rsid w:val="00BD4E0E"/>
    <w:rsid w:val="00BD53CA"/>
    <w:rsid w:val="00BD5A42"/>
    <w:rsid w:val="00BD5CD0"/>
    <w:rsid w:val="00BD5DE1"/>
    <w:rsid w:val="00BD6EC4"/>
    <w:rsid w:val="00BD7374"/>
    <w:rsid w:val="00BE044F"/>
    <w:rsid w:val="00BE0588"/>
    <w:rsid w:val="00BE0689"/>
    <w:rsid w:val="00BE0825"/>
    <w:rsid w:val="00BE2D55"/>
    <w:rsid w:val="00BE443F"/>
    <w:rsid w:val="00BE4687"/>
    <w:rsid w:val="00BE5132"/>
    <w:rsid w:val="00BE5377"/>
    <w:rsid w:val="00BE5479"/>
    <w:rsid w:val="00BE6683"/>
    <w:rsid w:val="00BE759B"/>
    <w:rsid w:val="00BF0232"/>
    <w:rsid w:val="00BF104C"/>
    <w:rsid w:val="00BF12D9"/>
    <w:rsid w:val="00BF1F85"/>
    <w:rsid w:val="00BF2068"/>
    <w:rsid w:val="00BF31AB"/>
    <w:rsid w:val="00BF44AB"/>
    <w:rsid w:val="00BF473F"/>
    <w:rsid w:val="00BF4B66"/>
    <w:rsid w:val="00BF4C5E"/>
    <w:rsid w:val="00BF4E7C"/>
    <w:rsid w:val="00BF5525"/>
    <w:rsid w:val="00BF5870"/>
    <w:rsid w:val="00BF63AE"/>
    <w:rsid w:val="00BF645A"/>
    <w:rsid w:val="00BF6481"/>
    <w:rsid w:val="00BF67F2"/>
    <w:rsid w:val="00BF706D"/>
    <w:rsid w:val="00BF7193"/>
    <w:rsid w:val="00BF7366"/>
    <w:rsid w:val="00BF741C"/>
    <w:rsid w:val="00BF7DAB"/>
    <w:rsid w:val="00C0218E"/>
    <w:rsid w:val="00C0465A"/>
    <w:rsid w:val="00C046AD"/>
    <w:rsid w:val="00C0484A"/>
    <w:rsid w:val="00C04A7E"/>
    <w:rsid w:val="00C06987"/>
    <w:rsid w:val="00C06C73"/>
    <w:rsid w:val="00C06D3D"/>
    <w:rsid w:val="00C07171"/>
    <w:rsid w:val="00C072A3"/>
    <w:rsid w:val="00C1068D"/>
    <w:rsid w:val="00C110E7"/>
    <w:rsid w:val="00C13C55"/>
    <w:rsid w:val="00C16013"/>
    <w:rsid w:val="00C16616"/>
    <w:rsid w:val="00C16890"/>
    <w:rsid w:val="00C16F41"/>
    <w:rsid w:val="00C1778A"/>
    <w:rsid w:val="00C17CBE"/>
    <w:rsid w:val="00C2004F"/>
    <w:rsid w:val="00C20558"/>
    <w:rsid w:val="00C209EA"/>
    <w:rsid w:val="00C20E62"/>
    <w:rsid w:val="00C2237A"/>
    <w:rsid w:val="00C2285F"/>
    <w:rsid w:val="00C2290D"/>
    <w:rsid w:val="00C22A57"/>
    <w:rsid w:val="00C230A3"/>
    <w:rsid w:val="00C23497"/>
    <w:rsid w:val="00C238FC"/>
    <w:rsid w:val="00C23DDD"/>
    <w:rsid w:val="00C24142"/>
    <w:rsid w:val="00C244BC"/>
    <w:rsid w:val="00C25D95"/>
    <w:rsid w:val="00C26CA5"/>
    <w:rsid w:val="00C272D4"/>
    <w:rsid w:val="00C2736B"/>
    <w:rsid w:val="00C278A7"/>
    <w:rsid w:val="00C27D0E"/>
    <w:rsid w:val="00C3067C"/>
    <w:rsid w:val="00C31804"/>
    <w:rsid w:val="00C32E65"/>
    <w:rsid w:val="00C32EC8"/>
    <w:rsid w:val="00C332D7"/>
    <w:rsid w:val="00C33CCF"/>
    <w:rsid w:val="00C34B4B"/>
    <w:rsid w:val="00C34F7D"/>
    <w:rsid w:val="00C366C7"/>
    <w:rsid w:val="00C3772B"/>
    <w:rsid w:val="00C4083E"/>
    <w:rsid w:val="00C40A11"/>
    <w:rsid w:val="00C41AC9"/>
    <w:rsid w:val="00C421EE"/>
    <w:rsid w:val="00C42E5D"/>
    <w:rsid w:val="00C4321F"/>
    <w:rsid w:val="00C43347"/>
    <w:rsid w:val="00C43475"/>
    <w:rsid w:val="00C43486"/>
    <w:rsid w:val="00C44883"/>
    <w:rsid w:val="00C44DB7"/>
    <w:rsid w:val="00C450A5"/>
    <w:rsid w:val="00C4588D"/>
    <w:rsid w:val="00C45F5A"/>
    <w:rsid w:val="00C4673B"/>
    <w:rsid w:val="00C510DC"/>
    <w:rsid w:val="00C5188E"/>
    <w:rsid w:val="00C51F46"/>
    <w:rsid w:val="00C521CB"/>
    <w:rsid w:val="00C52A6A"/>
    <w:rsid w:val="00C5322F"/>
    <w:rsid w:val="00C545A6"/>
    <w:rsid w:val="00C54A30"/>
    <w:rsid w:val="00C55420"/>
    <w:rsid w:val="00C5574F"/>
    <w:rsid w:val="00C55A17"/>
    <w:rsid w:val="00C55C7C"/>
    <w:rsid w:val="00C560A8"/>
    <w:rsid w:val="00C57020"/>
    <w:rsid w:val="00C572D1"/>
    <w:rsid w:val="00C60045"/>
    <w:rsid w:val="00C60928"/>
    <w:rsid w:val="00C60D6B"/>
    <w:rsid w:val="00C61B05"/>
    <w:rsid w:val="00C61C9D"/>
    <w:rsid w:val="00C6299B"/>
    <w:rsid w:val="00C63716"/>
    <w:rsid w:val="00C63F49"/>
    <w:rsid w:val="00C6435A"/>
    <w:rsid w:val="00C64528"/>
    <w:rsid w:val="00C6472D"/>
    <w:rsid w:val="00C648BA"/>
    <w:rsid w:val="00C65113"/>
    <w:rsid w:val="00C655B8"/>
    <w:rsid w:val="00C66545"/>
    <w:rsid w:val="00C66D7E"/>
    <w:rsid w:val="00C674D7"/>
    <w:rsid w:val="00C70778"/>
    <w:rsid w:val="00C71785"/>
    <w:rsid w:val="00C71858"/>
    <w:rsid w:val="00C72852"/>
    <w:rsid w:val="00C73627"/>
    <w:rsid w:val="00C7505C"/>
    <w:rsid w:val="00C764F7"/>
    <w:rsid w:val="00C80296"/>
    <w:rsid w:val="00C81569"/>
    <w:rsid w:val="00C816AE"/>
    <w:rsid w:val="00C81D27"/>
    <w:rsid w:val="00C81ECD"/>
    <w:rsid w:val="00C822E4"/>
    <w:rsid w:val="00C82425"/>
    <w:rsid w:val="00C82968"/>
    <w:rsid w:val="00C82B47"/>
    <w:rsid w:val="00C83E81"/>
    <w:rsid w:val="00C85989"/>
    <w:rsid w:val="00C85992"/>
    <w:rsid w:val="00C85EFA"/>
    <w:rsid w:val="00C86161"/>
    <w:rsid w:val="00C86263"/>
    <w:rsid w:val="00C86613"/>
    <w:rsid w:val="00C86685"/>
    <w:rsid w:val="00C866E3"/>
    <w:rsid w:val="00C86785"/>
    <w:rsid w:val="00C87068"/>
    <w:rsid w:val="00C8773B"/>
    <w:rsid w:val="00C87AB9"/>
    <w:rsid w:val="00C90320"/>
    <w:rsid w:val="00C937A6"/>
    <w:rsid w:val="00C93E96"/>
    <w:rsid w:val="00C9513B"/>
    <w:rsid w:val="00C951C5"/>
    <w:rsid w:val="00C95251"/>
    <w:rsid w:val="00C953A9"/>
    <w:rsid w:val="00C95834"/>
    <w:rsid w:val="00C96043"/>
    <w:rsid w:val="00C96CF9"/>
    <w:rsid w:val="00C974AD"/>
    <w:rsid w:val="00C9786D"/>
    <w:rsid w:val="00CA024D"/>
    <w:rsid w:val="00CA0623"/>
    <w:rsid w:val="00CA0790"/>
    <w:rsid w:val="00CA0810"/>
    <w:rsid w:val="00CA0B76"/>
    <w:rsid w:val="00CA1DEB"/>
    <w:rsid w:val="00CA1E63"/>
    <w:rsid w:val="00CA336C"/>
    <w:rsid w:val="00CA351D"/>
    <w:rsid w:val="00CA4643"/>
    <w:rsid w:val="00CA61E1"/>
    <w:rsid w:val="00CA66DF"/>
    <w:rsid w:val="00CA6AF3"/>
    <w:rsid w:val="00CA6EC1"/>
    <w:rsid w:val="00CA7297"/>
    <w:rsid w:val="00CB0AB8"/>
    <w:rsid w:val="00CB2EAF"/>
    <w:rsid w:val="00CB3125"/>
    <w:rsid w:val="00CB32B7"/>
    <w:rsid w:val="00CB37CC"/>
    <w:rsid w:val="00CB4AB9"/>
    <w:rsid w:val="00CB53AE"/>
    <w:rsid w:val="00CB5BCB"/>
    <w:rsid w:val="00CB6580"/>
    <w:rsid w:val="00CB66CC"/>
    <w:rsid w:val="00CB6902"/>
    <w:rsid w:val="00CB772A"/>
    <w:rsid w:val="00CB7788"/>
    <w:rsid w:val="00CB788E"/>
    <w:rsid w:val="00CC0303"/>
    <w:rsid w:val="00CC0D69"/>
    <w:rsid w:val="00CC1231"/>
    <w:rsid w:val="00CC205A"/>
    <w:rsid w:val="00CC2423"/>
    <w:rsid w:val="00CC2A2F"/>
    <w:rsid w:val="00CC2B21"/>
    <w:rsid w:val="00CC32AA"/>
    <w:rsid w:val="00CC4753"/>
    <w:rsid w:val="00CC47AA"/>
    <w:rsid w:val="00CC6693"/>
    <w:rsid w:val="00CC66DB"/>
    <w:rsid w:val="00CC686D"/>
    <w:rsid w:val="00CC7003"/>
    <w:rsid w:val="00CC7829"/>
    <w:rsid w:val="00CC783B"/>
    <w:rsid w:val="00CC7AD5"/>
    <w:rsid w:val="00CD0450"/>
    <w:rsid w:val="00CD060D"/>
    <w:rsid w:val="00CD08C7"/>
    <w:rsid w:val="00CD0C43"/>
    <w:rsid w:val="00CD1228"/>
    <w:rsid w:val="00CD1C60"/>
    <w:rsid w:val="00CD1CD2"/>
    <w:rsid w:val="00CD1F3E"/>
    <w:rsid w:val="00CD2AC4"/>
    <w:rsid w:val="00CD3500"/>
    <w:rsid w:val="00CD4F8B"/>
    <w:rsid w:val="00CD513C"/>
    <w:rsid w:val="00CD56F6"/>
    <w:rsid w:val="00CD59B1"/>
    <w:rsid w:val="00CD7316"/>
    <w:rsid w:val="00CE05CB"/>
    <w:rsid w:val="00CE0DCE"/>
    <w:rsid w:val="00CE1671"/>
    <w:rsid w:val="00CE23A3"/>
    <w:rsid w:val="00CE2853"/>
    <w:rsid w:val="00CE369F"/>
    <w:rsid w:val="00CE38BF"/>
    <w:rsid w:val="00CE3C54"/>
    <w:rsid w:val="00CE4173"/>
    <w:rsid w:val="00CE4704"/>
    <w:rsid w:val="00CE61D7"/>
    <w:rsid w:val="00CE79CD"/>
    <w:rsid w:val="00CE7E4A"/>
    <w:rsid w:val="00CF07ED"/>
    <w:rsid w:val="00CF0A97"/>
    <w:rsid w:val="00CF0D9D"/>
    <w:rsid w:val="00CF0F7B"/>
    <w:rsid w:val="00CF36CF"/>
    <w:rsid w:val="00CF3A4C"/>
    <w:rsid w:val="00CF3F21"/>
    <w:rsid w:val="00CF41B6"/>
    <w:rsid w:val="00CF4820"/>
    <w:rsid w:val="00CF58B4"/>
    <w:rsid w:val="00CF6119"/>
    <w:rsid w:val="00CF6401"/>
    <w:rsid w:val="00CF64EC"/>
    <w:rsid w:val="00CF7279"/>
    <w:rsid w:val="00CF73F5"/>
    <w:rsid w:val="00CF7CA1"/>
    <w:rsid w:val="00D002D2"/>
    <w:rsid w:val="00D01227"/>
    <w:rsid w:val="00D0139C"/>
    <w:rsid w:val="00D05408"/>
    <w:rsid w:val="00D0581D"/>
    <w:rsid w:val="00D06B4F"/>
    <w:rsid w:val="00D073DA"/>
    <w:rsid w:val="00D077E1"/>
    <w:rsid w:val="00D07AC2"/>
    <w:rsid w:val="00D07B6C"/>
    <w:rsid w:val="00D07E5C"/>
    <w:rsid w:val="00D104C8"/>
    <w:rsid w:val="00D1087E"/>
    <w:rsid w:val="00D10D73"/>
    <w:rsid w:val="00D111BC"/>
    <w:rsid w:val="00D11D1E"/>
    <w:rsid w:val="00D12C6B"/>
    <w:rsid w:val="00D12E2B"/>
    <w:rsid w:val="00D1340E"/>
    <w:rsid w:val="00D13B6F"/>
    <w:rsid w:val="00D15708"/>
    <w:rsid w:val="00D159BD"/>
    <w:rsid w:val="00D169CC"/>
    <w:rsid w:val="00D16D39"/>
    <w:rsid w:val="00D179AA"/>
    <w:rsid w:val="00D17AE2"/>
    <w:rsid w:val="00D20D32"/>
    <w:rsid w:val="00D21E9A"/>
    <w:rsid w:val="00D22596"/>
    <w:rsid w:val="00D232AB"/>
    <w:rsid w:val="00D24451"/>
    <w:rsid w:val="00D24A1F"/>
    <w:rsid w:val="00D2503E"/>
    <w:rsid w:val="00D253CF"/>
    <w:rsid w:val="00D256A5"/>
    <w:rsid w:val="00D260FA"/>
    <w:rsid w:val="00D266FE"/>
    <w:rsid w:val="00D26A85"/>
    <w:rsid w:val="00D2728C"/>
    <w:rsid w:val="00D27546"/>
    <w:rsid w:val="00D278B7"/>
    <w:rsid w:val="00D27F10"/>
    <w:rsid w:val="00D305D1"/>
    <w:rsid w:val="00D308CD"/>
    <w:rsid w:val="00D315D2"/>
    <w:rsid w:val="00D31C17"/>
    <w:rsid w:val="00D31DFE"/>
    <w:rsid w:val="00D32B49"/>
    <w:rsid w:val="00D32FBE"/>
    <w:rsid w:val="00D33A1A"/>
    <w:rsid w:val="00D33A74"/>
    <w:rsid w:val="00D3493B"/>
    <w:rsid w:val="00D34C0F"/>
    <w:rsid w:val="00D35922"/>
    <w:rsid w:val="00D35999"/>
    <w:rsid w:val="00D35A20"/>
    <w:rsid w:val="00D361F4"/>
    <w:rsid w:val="00D36F30"/>
    <w:rsid w:val="00D377E7"/>
    <w:rsid w:val="00D37F49"/>
    <w:rsid w:val="00D4082E"/>
    <w:rsid w:val="00D40D41"/>
    <w:rsid w:val="00D41C8C"/>
    <w:rsid w:val="00D42B75"/>
    <w:rsid w:val="00D4323B"/>
    <w:rsid w:val="00D437FA"/>
    <w:rsid w:val="00D43DE7"/>
    <w:rsid w:val="00D444B8"/>
    <w:rsid w:val="00D44D53"/>
    <w:rsid w:val="00D45726"/>
    <w:rsid w:val="00D462C1"/>
    <w:rsid w:val="00D46C7C"/>
    <w:rsid w:val="00D47176"/>
    <w:rsid w:val="00D47A50"/>
    <w:rsid w:val="00D47F1F"/>
    <w:rsid w:val="00D517CD"/>
    <w:rsid w:val="00D52203"/>
    <w:rsid w:val="00D526AA"/>
    <w:rsid w:val="00D52A57"/>
    <w:rsid w:val="00D54516"/>
    <w:rsid w:val="00D55719"/>
    <w:rsid w:val="00D55EBB"/>
    <w:rsid w:val="00D566E2"/>
    <w:rsid w:val="00D57146"/>
    <w:rsid w:val="00D57CE6"/>
    <w:rsid w:val="00D57F57"/>
    <w:rsid w:val="00D618C0"/>
    <w:rsid w:val="00D61D25"/>
    <w:rsid w:val="00D63342"/>
    <w:rsid w:val="00D634E4"/>
    <w:rsid w:val="00D638B4"/>
    <w:rsid w:val="00D646B9"/>
    <w:rsid w:val="00D64D0D"/>
    <w:rsid w:val="00D65141"/>
    <w:rsid w:val="00D6543B"/>
    <w:rsid w:val="00D658A9"/>
    <w:rsid w:val="00D65ACB"/>
    <w:rsid w:val="00D65BE3"/>
    <w:rsid w:val="00D66545"/>
    <w:rsid w:val="00D66CFD"/>
    <w:rsid w:val="00D66D80"/>
    <w:rsid w:val="00D7089F"/>
    <w:rsid w:val="00D70AA1"/>
    <w:rsid w:val="00D71730"/>
    <w:rsid w:val="00D72096"/>
    <w:rsid w:val="00D721EC"/>
    <w:rsid w:val="00D729E4"/>
    <w:rsid w:val="00D72AA3"/>
    <w:rsid w:val="00D734D9"/>
    <w:rsid w:val="00D73F0E"/>
    <w:rsid w:val="00D74C12"/>
    <w:rsid w:val="00D74D3D"/>
    <w:rsid w:val="00D768A6"/>
    <w:rsid w:val="00D76E3A"/>
    <w:rsid w:val="00D77274"/>
    <w:rsid w:val="00D773B9"/>
    <w:rsid w:val="00D77DD7"/>
    <w:rsid w:val="00D801FC"/>
    <w:rsid w:val="00D81E83"/>
    <w:rsid w:val="00D8233E"/>
    <w:rsid w:val="00D82827"/>
    <w:rsid w:val="00D838C2"/>
    <w:rsid w:val="00D83F2E"/>
    <w:rsid w:val="00D84117"/>
    <w:rsid w:val="00D84A38"/>
    <w:rsid w:val="00D84C15"/>
    <w:rsid w:val="00D853BC"/>
    <w:rsid w:val="00D859A7"/>
    <w:rsid w:val="00D85A97"/>
    <w:rsid w:val="00D85F2A"/>
    <w:rsid w:val="00D86BC3"/>
    <w:rsid w:val="00D87DB4"/>
    <w:rsid w:val="00D87FB7"/>
    <w:rsid w:val="00D9005D"/>
    <w:rsid w:val="00D90E15"/>
    <w:rsid w:val="00D90F25"/>
    <w:rsid w:val="00D91005"/>
    <w:rsid w:val="00D910B4"/>
    <w:rsid w:val="00D91873"/>
    <w:rsid w:val="00D9194F"/>
    <w:rsid w:val="00D91987"/>
    <w:rsid w:val="00D91C8C"/>
    <w:rsid w:val="00D93C4E"/>
    <w:rsid w:val="00D9400F"/>
    <w:rsid w:val="00D9510F"/>
    <w:rsid w:val="00D953E1"/>
    <w:rsid w:val="00D9584F"/>
    <w:rsid w:val="00D95B3C"/>
    <w:rsid w:val="00D961A0"/>
    <w:rsid w:val="00D97346"/>
    <w:rsid w:val="00D97790"/>
    <w:rsid w:val="00D97937"/>
    <w:rsid w:val="00D97FE4"/>
    <w:rsid w:val="00DA1047"/>
    <w:rsid w:val="00DA2999"/>
    <w:rsid w:val="00DA2FEB"/>
    <w:rsid w:val="00DA30B0"/>
    <w:rsid w:val="00DA344B"/>
    <w:rsid w:val="00DA3775"/>
    <w:rsid w:val="00DA39F5"/>
    <w:rsid w:val="00DA441E"/>
    <w:rsid w:val="00DA55A6"/>
    <w:rsid w:val="00DA61B2"/>
    <w:rsid w:val="00DA72D7"/>
    <w:rsid w:val="00DB00C8"/>
    <w:rsid w:val="00DB0766"/>
    <w:rsid w:val="00DB3234"/>
    <w:rsid w:val="00DB34DA"/>
    <w:rsid w:val="00DB417A"/>
    <w:rsid w:val="00DB5B09"/>
    <w:rsid w:val="00DB5C9B"/>
    <w:rsid w:val="00DB61F3"/>
    <w:rsid w:val="00DB630D"/>
    <w:rsid w:val="00DB648C"/>
    <w:rsid w:val="00DB66F1"/>
    <w:rsid w:val="00DB7EA6"/>
    <w:rsid w:val="00DC117E"/>
    <w:rsid w:val="00DC1B7D"/>
    <w:rsid w:val="00DC3C35"/>
    <w:rsid w:val="00DC4E78"/>
    <w:rsid w:val="00DC4EF7"/>
    <w:rsid w:val="00DC530D"/>
    <w:rsid w:val="00DC54E8"/>
    <w:rsid w:val="00DC570C"/>
    <w:rsid w:val="00DC6AC3"/>
    <w:rsid w:val="00DC6EEC"/>
    <w:rsid w:val="00DC7B6C"/>
    <w:rsid w:val="00DC7D55"/>
    <w:rsid w:val="00DD0DF4"/>
    <w:rsid w:val="00DD0F11"/>
    <w:rsid w:val="00DD127D"/>
    <w:rsid w:val="00DD1FA0"/>
    <w:rsid w:val="00DD20BF"/>
    <w:rsid w:val="00DD2246"/>
    <w:rsid w:val="00DD23F3"/>
    <w:rsid w:val="00DD3840"/>
    <w:rsid w:val="00DD3E71"/>
    <w:rsid w:val="00DD3F06"/>
    <w:rsid w:val="00DD4D42"/>
    <w:rsid w:val="00DD515F"/>
    <w:rsid w:val="00DD5C12"/>
    <w:rsid w:val="00DD63A2"/>
    <w:rsid w:val="00DD6B7F"/>
    <w:rsid w:val="00DD6DB2"/>
    <w:rsid w:val="00DD730B"/>
    <w:rsid w:val="00DE0134"/>
    <w:rsid w:val="00DE0294"/>
    <w:rsid w:val="00DE1787"/>
    <w:rsid w:val="00DE1CBD"/>
    <w:rsid w:val="00DE1EC8"/>
    <w:rsid w:val="00DE21CC"/>
    <w:rsid w:val="00DE2D26"/>
    <w:rsid w:val="00DE376D"/>
    <w:rsid w:val="00DE3BBC"/>
    <w:rsid w:val="00DE3BEA"/>
    <w:rsid w:val="00DE44B4"/>
    <w:rsid w:val="00DE4673"/>
    <w:rsid w:val="00DE482D"/>
    <w:rsid w:val="00DE64CE"/>
    <w:rsid w:val="00DE71E2"/>
    <w:rsid w:val="00DF1359"/>
    <w:rsid w:val="00DF1817"/>
    <w:rsid w:val="00DF247C"/>
    <w:rsid w:val="00DF24A5"/>
    <w:rsid w:val="00DF3505"/>
    <w:rsid w:val="00DF3C32"/>
    <w:rsid w:val="00DF3D89"/>
    <w:rsid w:val="00DF3F35"/>
    <w:rsid w:val="00DF4D0A"/>
    <w:rsid w:val="00DF5092"/>
    <w:rsid w:val="00DF5237"/>
    <w:rsid w:val="00DF58C0"/>
    <w:rsid w:val="00DF6666"/>
    <w:rsid w:val="00DF6734"/>
    <w:rsid w:val="00DF677F"/>
    <w:rsid w:val="00E002B8"/>
    <w:rsid w:val="00E01865"/>
    <w:rsid w:val="00E02198"/>
    <w:rsid w:val="00E021EB"/>
    <w:rsid w:val="00E022AB"/>
    <w:rsid w:val="00E025E7"/>
    <w:rsid w:val="00E02B50"/>
    <w:rsid w:val="00E02D70"/>
    <w:rsid w:val="00E02FE9"/>
    <w:rsid w:val="00E04572"/>
    <w:rsid w:val="00E04A67"/>
    <w:rsid w:val="00E04FB2"/>
    <w:rsid w:val="00E0590B"/>
    <w:rsid w:val="00E06494"/>
    <w:rsid w:val="00E06F03"/>
    <w:rsid w:val="00E070B0"/>
    <w:rsid w:val="00E07F95"/>
    <w:rsid w:val="00E112BA"/>
    <w:rsid w:val="00E126F1"/>
    <w:rsid w:val="00E12E9C"/>
    <w:rsid w:val="00E13AFE"/>
    <w:rsid w:val="00E13DDE"/>
    <w:rsid w:val="00E13ED2"/>
    <w:rsid w:val="00E13FFE"/>
    <w:rsid w:val="00E147FB"/>
    <w:rsid w:val="00E15003"/>
    <w:rsid w:val="00E16139"/>
    <w:rsid w:val="00E16B6A"/>
    <w:rsid w:val="00E16D8F"/>
    <w:rsid w:val="00E16F9D"/>
    <w:rsid w:val="00E173D3"/>
    <w:rsid w:val="00E17616"/>
    <w:rsid w:val="00E2205A"/>
    <w:rsid w:val="00E22161"/>
    <w:rsid w:val="00E22563"/>
    <w:rsid w:val="00E231D8"/>
    <w:rsid w:val="00E2327C"/>
    <w:rsid w:val="00E232E0"/>
    <w:rsid w:val="00E2345A"/>
    <w:rsid w:val="00E2396C"/>
    <w:rsid w:val="00E24A31"/>
    <w:rsid w:val="00E24BA1"/>
    <w:rsid w:val="00E24D91"/>
    <w:rsid w:val="00E251B8"/>
    <w:rsid w:val="00E253B3"/>
    <w:rsid w:val="00E25774"/>
    <w:rsid w:val="00E25883"/>
    <w:rsid w:val="00E25A27"/>
    <w:rsid w:val="00E25BA4"/>
    <w:rsid w:val="00E272B8"/>
    <w:rsid w:val="00E274C7"/>
    <w:rsid w:val="00E277B0"/>
    <w:rsid w:val="00E27874"/>
    <w:rsid w:val="00E27A63"/>
    <w:rsid w:val="00E27B82"/>
    <w:rsid w:val="00E3080F"/>
    <w:rsid w:val="00E32274"/>
    <w:rsid w:val="00E3265C"/>
    <w:rsid w:val="00E3286F"/>
    <w:rsid w:val="00E334B5"/>
    <w:rsid w:val="00E33DD1"/>
    <w:rsid w:val="00E34704"/>
    <w:rsid w:val="00E350BA"/>
    <w:rsid w:val="00E352A0"/>
    <w:rsid w:val="00E35ED4"/>
    <w:rsid w:val="00E364CF"/>
    <w:rsid w:val="00E36638"/>
    <w:rsid w:val="00E3726A"/>
    <w:rsid w:val="00E40F1A"/>
    <w:rsid w:val="00E4150C"/>
    <w:rsid w:val="00E41802"/>
    <w:rsid w:val="00E41858"/>
    <w:rsid w:val="00E4354F"/>
    <w:rsid w:val="00E43732"/>
    <w:rsid w:val="00E44634"/>
    <w:rsid w:val="00E44F65"/>
    <w:rsid w:val="00E45F3E"/>
    <w:rsid w:val="00E468D8"/>
    <w:rsid w:val="00E47904"/>
    <w:rsid w:val="00E5020A"/>
    <w:rsid w:val="00E50409"/>
    <w:rsid w:val="00E5141C"/>
    <w:rsid w:val="00E517AB"/>
    <w:rsid w:val="00E51E33"/>
    <w:rsid w:val="00E52B04"/>
    <w:rsid w:val="00E52EA2"/>
    <w:rsid w:val="00E52F87"/>
    <w:rsid w:val="00E52FCE"/>
    <w:rsid w:val="00E5321E"/>
    <w:rsid w:val="00E53AB8"/>
    <w:rsid w:val="00E54C70"/>
    <w:rsid w:val="00E54EDD"/>
    <w:rsid w:val="00E54EE2"/>
    <w:rsid w:val="00E55253"/>
    <w:rsid w:val="00E5551B"/>
    <w:rsid w:val="00E5556D"/>
    <w:rsid w:val="00E555DB"/>
    <w:rsid w:val="00E55C98"/>
    <w:rsid w:val="00E55DDF"/>
    <w:rsid w:val="00E578ED"/>
    <w:rsid w:val="00E57A6D"/>
    <w:rsid w:val="00E6042F"/>
    <w:rsid w:val="00E60A61"/>
    <w:rsid w:val="00E61340"/>
    <w:rsid w:val="00E61784"/>
    <w:rsid w:val="00E61B14"/>
    <w:rsid w:val="00E62C0B"/>
    <w:rsid w:val="00E6325E"/>
    <w:rsid w:val="00E63EA1"/>
    <w:rsid w:val="00E65009"/>
    <w:rsid w:val="00E6529E"/>
    <w:rsid w:val="00E6530B"/>
    <w:rsid w:val="00E65E65"/>
    <w:rsid w:val="00E66496"/>
    <w:rsid w:val="00E665E7"/>
    <w:rsid w:val="00E676FE"/>
    <w:rsid w:val="00E67C76"/>
    <w:rsid w:val="00E709C1"/>
    <w:rsid w:val="00E7122C"/>
    <w:rsid w:val="00E717AB"/>
    <w:rsid w:val="00E725D4"/>
    <w:rsid w:val="00E72D0D"/>
    <w:rsid w:val="00E733E6"/>
    <w:rsid w:val="00E735F4"/>
    <w:rsid w:val="00E73928"/>
    <w:rsid w:val="00E73EE3"/>
    <w:rsid w:val="00E74320"/>
    <w:rsid w:val="00E74444"/>
    <w:rsid w:val="00E74DE9"/>
    <w:rsid w:val="00E75079"/>
    <w:rsid w:val="00E7588E"/>
    <w:rsid w:val="00E75E6E"/>
    <w:rsid w:val="00E7678C"/>
    <w:rsid w:val="00E778A4"/>
    <w:rsid w:val="00E77C4B"/>
    <w:rsid w:val="00E77CAE"/>
    <w:rsid w:val="00E801A0"/>
    <w:rsid w:val="00E807AE"/>
    <w:rsid w:val="00E81C01"/>
    <w:rsid w:val="00E81F17"/>
    <w:rsid w:val="00E82026"/>
    <w:rsid w:val="00E82BCD"/>
    <w:rsid w:val="00E83111"/>
    <w:rsid w:val="00E83C41"/>
    <w:rsid w:val="00E840DD"/>
    <w:rsid w:val="00E84985"/>
    <w:rsid w:val="00E84E99"/>
    <w:rsid w:val="00E86AC0"/>
    <w:rsid w:val="00E877D7"/>
    <w:rsid w:val="00E87C52"/>
    <w:rsid w:val="00E87E3C"/>
    <w:rsid w:val="00E91102"/>
    <w:rsid w:val="00E911A7"/>
    <w:rsid w:val="00E92623"/>
    <w:rsid w:val="00E92DD5"/>
    <w:rsid w:val="00E93C50"/>
    <w:rsid w:val="00E93CF0"/>
    <w:rsid w:val="00E93D92"/>
    <w:rsid w:val="00E94667"/>
    <w:rsid w:val="00E952B7"/>
    <w:rsid w:val="00E9585E"/>
    <w:rsid w:val="00E96273"/>
    <w:rsid w:val="00E96560"/>
    <w:rsid w:val="00E9665C"/>
    <w:rsid w:val="00E9733E"/>
    <w:rsid w:val="00E97643"/>
    <w:rsid w:val="00E9773B"/>
    <w:rsid w:val="00EA0448"/>
    <w:rsid w:val="00EA0646"/>
    <w:rsid w:val="00EA0D90"/>
    <w:rsid w:val="00EA0DB1"/>
    <w:rsid w:val="00EA13ED"/>
    <w:rsid w:val="00EA1C48"/>
    <w:rsid w:val="00EA403C"/>
    <w:rsid w:val="00EA4855"/>
    <w:rsid w:val="00EA551E"/>
    <w:rsid w:val="00EA5A16"/>
    <w:rsid w:val="00EA6B01"/>
    <w:rsid w:val="00EA6F88"/>
    <w:rsid w:val="00EA75C0"/>
    <w:rsid w:val="00EA7654"/>
    <w:rsid w:val="00EB092D"/>
    <w:rsid w:val="00EB14AC"/>
    <w:rsid w:val="00EB2947"/>
    <w:rsid w:val="00EB2A43"/>
    <w:rsid w:val="00EB2FAE"/>
    <w:rsid w:val="00EB3597"/>
    <w:rsid w:val="00EB37AC"/>
    <w:rsid w:val="00EB3E3E"/>
    <w:rsid w:val="00EB4331"/>
    <w:rsid w:val="00EB436A"/>
    <w:rsid w:val="00EB4DC6"/>
    <w:rsid w:val="00EB4DD4"/>
    <w:rsid w:val="00EB5497"/>
    <w:rsid w:val="00EB57CA"/>
    <w:rsid w:val="00EB741A"/>
    <w:rsid w:val="00EB749B"/>
    <w:rsid w:val="00EB77E8"/>
    <w:rsid w:val="00EC0B3C"/>
    <w:rsid w:val="00EC0B60"/>
    <w:rsid w:val="00EC2743"/>
    <w:rsid w:val="00EC3194"/>
    <w:rsid w:val="00EC394D"/>
    <w:rsid w:val="00EC4524"/>
    <w:rsid w:val="00EC4668"/>
    <w:rsid w:val="00EC4AB3"/>
    <w:rsid w:val="00EC5040"/>
    <w:rsid w:val="00EC5751"/>
    <w:rsid w:val="00EC575B"/>
    <w:rsid w:val="00EC6166"/>
    <w:rsid w:val="00EC700D"/>
    <w:rsid w:val="00EC77FD"/>
    <w:rsid w:val="00ED058A"/>
    <w:rsid w:val="00ED1AD0"/>
    <w:rsid w:val="00ED201A"/>
    <w:rsid w:val="00ED26F9"/>
    <w:rsid w:val="00ED2707"/>
    <w:rsid w:val="00ED2E6C"/>
    <w:rsid w:val="00ED3294"/>
    <w:rsid w:val="00ED4558"/>
    <w:rsid w:val="00ED4568"/>
    <w:rsid w:val="00ED6286"/>
    <w:rsid w:val="00ED6470"/>
    <w:rsid w:val="00ED6C3B"/>
    <w:rsid w:val="00EE0F60"/>
    <w:rsid w:val="00EE138C"/>
    <w:rsid w:val="00EE13D8"/>
    <w:rsid w:val="00EE2C8D"/>
    <w:rsid w:val="00EE4319"/>
    <w:rsid w:val="00EE5E94"/>
    <w:rsid w:val="00EE69BC"/>
    <w:rsid w:val="00EE70E1"/>
    <w:rsid w:val="00EF024B"/>
    <w:rsid w:val="00EF1867"/>
    <w:rsid w:val="00EF1E30"/>
    <w:rsid w:val="00EF31B7"/>
    <w:rsid w:val="00EF33CB"/>
    <w:rsid w:val="00EF522F"/>
    <w:rsid w:val="00EF5CEE"/>
    <w:rsid w:val="00EF649A"/>
    <w:rsid w:val="00EF64E8"/>
    <w:rsid w:val="00EF6E9F"/>
    <w:rsid w:val="00EF6F26"/>
    <w:rsid w:val="00EF70E5"/>
    <w:rsid w:val="00EF7282"/>
    <w:rsid w:val="00EF72DF"/>
    <w:rsid w:val="00F006C4"/>
    <w:rsid w:val="00F00783"/>
    <w:rsid w:val="00F00937"/>
    <w:rsid w:val="00F00B07"/>
    <w:rsid w:val="00F00C49"/>
    <w:rsid w:val="00F00C93"/>
    <w:rsid w:val="00F011AD"/>
    <w:rsid w:val="00F017C7"/>
    <w:rsid w:val="00F01D06"/>
    <w:rsid w:val="00F02706"/>
    <w:rsid w:val="00F02C43"/>
    <w:rsid w:val="00F02DF4"/>
    <w:rsid w:val="00F037E5"/>
    <w:rsid w:val="00F05748"/>
    <w:rsid w:val="00F0593E"/>
    <w:rsid w:val="00F064D4"/>
    <w:rsid w:val="00F0687C"/>
    <w:rsid w:val="00F10974"/>
    <w:rsid w:val="00F10B0D"/>
    <w:rsid w:val="00F10E68"/>
    <w:rsid w:val="00F120DE"/>
    <w:rsid w:val="00F13587"/>
    <w:rsid w:val="00F14208"/>
    <w:rsid w:val="00F14807"/>
    <w:rsid w:val="00F1517D"/>
    <w:rsid w:val="00F15345"/>
    <w:rsid w:val="00F155F4"/>
    <w:rsid w:val="00F157D0"/>
    <w:rsid w:val="00F16A87"/>
    <w:rsid w:val="00F17FD2"/>
    <w:rsid w:val="00F21DB9"/>
    <w:rsid w:val="00F235D2"/>
    <w:rsid w:val="00F2366B"/>
    <w:rsid w:val="00F237F9"/>
    <w:rsid w:val="00F24C02"/>
    <w:rsid w:val="00F253EA"/>
    <w:rsid w:val="00F25475"/>
    <w:rsid w:val="00F254EE"/>
    <w:rsid w:val="00F262A5"/>
    <w:rsid w:val="00F263F7"/>
    <w:rsid w:val="00F2678D"/>
    <w:rsid w:val="00F27277"/>
    <w:rsid w:val="00F27373"/>
    <w:rsid w:val="00F277AF"/>
    <w:rsid w:val="00F27AF5"/>
    <w:rsid w:val="00F30564"/>
    <w:rsid w:val="00F30A94"/>
    <w:rsid w:val="00F30CCB"/>
    <w:rsid w:val="00F3129D"/>
    <w:rsid w:val="00F31FE8"/>
    <w:rsid w:val="00F326E7"/>
    <w:rsid w:val="00F32E21"/>
    <w:rsid w:val="00F33197"/>
    <w:rsid w:val="00F33239"/>
    <w:rsid w:val="00F33DBC"/>
    <w:rsid w:val="00F34E85"/>
    <w:rsid w:val="00F35176"/>
    <w:rsid w:val="00F35305"/>
    <w:rsid w:val="00F35D58"/>
    <w:rsid w:val="00F369ED"/>
    <w:rsid w:val="00F36CE7"/>
    <w:rsid w:val="00F37092"/>
    <w:rsid w:val="00F37A82"/>
    <w:rsid w:val="00F37BC6"/>
    <w:rsid w:val="00F40274"/>
    <w:rsid w:val="00F40E27"/>
    <w:rsid w:val="00F42FF0"/>
    <w:rsid w:val="00F43421"/>
    <w:rsid w:val="00F43840"/>
    <w:rsid w:val="00F44643"/>
    <w:rsid w:val="00F44AE5"/>
    <w:rsid w:val="00F45720"/>
    <w:rsid w:val="00F458A6"/>
    <w:rsid w:val="00F4610C"/>
    <w:rsid w:val="00F46929"/>
    <w:rsid w:val="00F46A32"/>
    <w:rsid w:val="00F46AAC"/>
    <w:rsid w:val="00F46F09"/>
    <w:rsid w:val="00F478AA"/>
    <w:rsid w:val="00F50007"/>
    <w:rsid w:val="00F5141F"/>
    <w:rsid w:val="00F52154"/>
    <w:rsid w:val="00F529B2"/>
    <w:rsid w:val="00F53B81"/>
    <w:rsid w:val="00F53D80"/>
    <w:rsid w:val="00F5421B"/>
    <w:rsid w:val="00F548E6"/>
    <w:rsid w:val="00F55A94"/>
    <w:rsid w:val="00F55BB2"/>
    <w:rsid w:val="00F56D60"/>
    <w:rsid w:val="00F57120"/>
    <w:rsid w:val="00F60F23"/>
    <w:rsid w:val="00F61058"/>
    <w:rsid w:val="00F6185C"/>
    <w:rsid w:val="00F62954"/>
    <w:rsid w:val="00F62AD6"/>
    <w:rsid w:val="00F6395E"/>
    <w:rsid w:val="00F64460"/>
    <w:rsid w:val="00F64DCF"/>
    <w:rsid w:val="00F6519D"/>
    <w:rsid w:val="00F652DC"/>
    <w:rsid w:val="00F65AF9"/>
    <w:rsid w:val="00F66972"/>
    <w:rsid w:val="00F66C49"/>
    <w:rsid w:val="00F66EBA"/>
    <w:rsid w:val="00F67007"/>
    <w:rsid w:val="00F67207"/>
    <w:rsid w:val="00F67E99"/>
    <w:rsid w:val="00F725CA"/>
    <w:rsid w:val="00F74899"/>
    <w:rsid w:val="00F75022"/>
    <w:rsid w:val="00F753CC"/>
    <w:rsid w:val="00F75F03"/>
    <w:rsid w:val="00F7656B"/>
    <w:rsid w:val="00F76C6F"/>
    <w:rsid w:val="00F76F54"/>
    <w:rsid w:val="00F7705A"/>
    <w:rsid w:val="00F77395"/>
    <w:rsid w:val="00F776E6"/>
    <w:rsid w:val="00F77978"/>
    <w:rsid w:val="00F8017D"/>
    <w:rsid w:val="00F80566"/>
    <w:rsid w:val="00F80684"/>
    <w:rsid w:val="00F8167E"/>
    <w:rsid w:val="00F81B22"/>
    <w:rsid w:val="00F81D62"/>
    <w:rsid w:val="00F824AF"/>
    <w:rsid w:val="00F828A5"/>
    <w:rsid w:val="00F836A7"/>
    <w:rsid w:val="00F852E3"/>
    <w:rsid w:val="00F858C5"/>
    <w:rsid w:val="00F85F77"/>
    <w:rsid w:val="00F862F6"/>
    <w:rsid w:val="00F873C9"/>
    <w:rsid w:val="00F903FB"/>
    <w:rsid w:val="00F9120F"/>
    <w:rsid w:val="00F915C7"/>
    <w:rsid w:val="00F91885"/>
    <w:rsid w:val="00F91C83"/>
    <w:rsid w:val="00F91DBB"/>
    <w:rsid w:val="00F93194"/>
    <w:rsid w:val="00F93726"/>
    <w:rsid w:val="00F943F8"/>
    <w:rsid w:val="00F946D0"/>
    <w:rsid w:val="00F94C14"/>
    <w:rsid w:val="00F9564C"/>
    <w:rsid w:val="00F95949"/>
    <w:rsid w:val="00F9658E"/>
    <w:rsid w:val="00F96736"/>
    <w:rsid w:val="00F97A40"/>
    <w:rsid w:val="00F97B5F"/>
    <w:rsid w:val="00F97F58"/>
    <w:rsid w:val="00F97F6D"/>
    <w:rsid w:val="00FA0B52"/>
    <w:rsid w:val="00FA1291"/>
    <w:rsid w:val="00FA1A2E"/>
    <w:rsid w:val="00FA1C96"/>
    <w:rsid w:val="00FA22C1"/>
    <w:rsid w:val="00FA2F3B"/>
    <w:rsid w:val="00FA30BB"/>
    <w:rsid w:val="00FA4F6A"/>
    <w:rsid w:val="00FA51FB"/>
    <w:rsid w:val="00FA56A0"/>
    <w:rsid w:val="00FA56A9"/>
    <w:rsid w:val="00FA571B"/>
    <w:rsid w:val="00FA59F9"/>
    <w:rsid w:val="00FA5DCF"/>
    <w:rsid w:val="00FA6470"/>
    <w:rsid w:val="00FA6C4E"/>
    <w:rsid w:val="00FA6CB4"/>
    <w:rsid w:val="00FA7DC7"/>
    <w:rsid w:val="00FB0223"/>
    <w:rsid w:val="00FB1064"/>
    <w:rsid w:val="00FB17B4"/>
    <w:rsid w:val="00FB2091"/>
    <w:rsid w:val="00FB22F1"/>
    <w:rsid w:val="00FB268F"/>
    <w:rsid w:val="00FB31EB"/>
    <w:rsid w:val="00FB37C9"/>
    <w:rsid w:val="00FB41B3"/>
    <w:rsid w:val="00FB47D9"/>
    <w:rsid w:val="00FB4D6F"/>
    <w:rsid w:val="00FB4F69"/>
    <w:rsid w:val="00FB5E9C"/>
    <w:rsid w:val="00FB5F31"/>
    <w:rsid w:val="00FB6C10"/>
    <w:rsid w:val="00FB7A39"/>
    <w:rsid w:val="00FC0515"/>
    <w:rsid w:val="00FC08D1"/>
    <w:rsid w:val="00FC23F0"/>
    <w:rsid w:val="00FC2E46"/>
    <w:rsid w:val="00FC324A"/>
    <w:rsid w:val="00FC4427"/>
    <w:rsid w:val="00FC5BAE"/>
    <w:rsid w:val="00FC61BF"/>
    <w:rsid w:val="00FC6AE2"/>
    <w:rsid w:val="00FC7886"/>
    <w:rsid w:val="00FD203A"/>
    <w:rsid w:val="00FD36FB"/>
    <w:rsid w:val="00FD3755"/>
    <w:rsid w:val="00FD3F12"/>
    <w:rsid w:val="00FD520D"/>
    <w:rsid w:val="00FD55B7"/>
    <w:rsid w:val="00FD6FBA"/>
    <w:rsid w:val="00FD712F"/>
    <w:rsid w:val="00FD7D7E"/>
    <w:rsid w:val="00FE0884"/>
    <w:rsid w:val="00FE0B56"/>
    <w:rsid w:val="00FE0E95"/>
    <w:rsid w:val="00FE31F9"/>
    <w:rsid w:val="00FE3873"/>
    <w:rsid w:val="00FE38F8"/>
    <w:rsid w:val="00FE43AA"/>
    <w:rsid w:val="00FE45DC"/>
    <w:rsid w:val="00FE4A6B"/>
    <w:rsid w:val="00FE5163"/>
    <w:rsid w:val="00FE6A6E"/>
    <w:rsid w:val="00FE6F3B"/>
    <w:rsid w:val="00FE709C"/>
    <w:rsid w:val="00FE7FE8"/>
    <w:rsid w:val="00FF0A56"/>
    <w:rsid w:val="00FF1490"/>
    <w:rsid w:val="00FF1B8B"/>
    <w:rsid w:val="00FF26A1"/>
    <w:rsid w:val="00FF34D1"/>
    <w:rsid w:val="00FF3915"/>
    <w:rsid w:val="00FF49F1"/>
    <w:rsid w:val="00FF536D"/>
    <w:rsid w:val="00FF602D"/>
    <w:rsid w:val="00FF6CB0"/>
    <w:rsid w:val="00FF7C96"/>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3A54"/>
  <w15:chartTrackingRefBased/>
  <w15:docId w15:val="{CB31151C-DD14-4CA6-9409-4F90B373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1CC"/>
    <w:pPr>
      <w:spacing w:line="264" w:lineRule="auto"/>
    </w:pPr>
    <w:rPr>
      <w:rFonts w:ascii="Garamond" w:hAnsi="Garamond"/>
      <w:sz w:val="26"/>
    </w:rPr>
  </w:style>
  <w:style w:type="paragraph" w:styleId="Heading1">
    <w:name w:val="heading 1"/>
    <w:basedOn w:val="Normal"/>
    <w:next w:val="Normal"/>
    <w:link w:val="Heading1Char"/>
    <w:uiPriority w:val="9"/>
    <w:qFormat/>
    <w:rsid w:val="00E16139"/>
    <w:pPr>
      <w:keepNext/>
      <w:keepLines/>
      <w:spacing w:before="240" w:after="240"/>
      <w:jc w:val="center"/>
      <w:outlineLvl w:val="0"/>
    </w:pPr>
    <w:rPr>
      <w:rFonts w:eastAsiaTheme="majorEastAsia" w:cstheme="majorBidi"/>
      <w:b/>
      <w:color w:val="0F4761" w:themeColor="accent1" w:themeShade="BF"/>
      <w:sz w:val="36"/>
      <w:szCs w:val="40"/>
    </w:rPr>
  </w:style>
  <w:style w:type="paragraph" w:styleId="Heading2">
    <w:name w:val="heading 2"/>
    <w:basedOn w:val="Normal"/>
    <w:next w:val="Normal"/>
    <w:link w:val="Heading2Char"/>
    <w:uiPriority w:val="9"/>
    <w:unhideWhenUsed/>
    <w:qFormat/>
    <w:rsid w:val="008247D7"/>
    <w:pPr>
      <w:keepNext/>
      <w:keepLines/>
      <w:spacing w:before="160" w:after="80"/>
      <w:outlineLvl w:val="1"/>
    </w:pPr>
    <w:rPr>
      <w:rFonts w:eastAsiaTheme="majorEastAsia" w:cstheme="majorBidi"/>
      <w:b/>
      <w:color w:val="595959" w:themeColor="text1" w:themeTint="A6"/>
      <w:sz w:val="32"/>
      <w:szCs w:val="32"/>
    </w:rPr>
  </w:style>
  <w:style w:type="paragraph" w:styleId="Heading3">
    <w:name w:val="heading 3"/>
    <w:basedOn w:val="Normal"/>
    <w:next w:val="Normal"/>
    <w:link w:val="Heading3Char"/>
    <w:uiPriority w:val="9"/>
    <w:unhideWhenUsed/>
    <w:qFormat/>
    <w:rsid w:val="008247D7"/>
    <w:pPr>
      <w:keepNext/>
      <w:keepLines/>
      <w:spacing w:before="160" w:after="80"/>
      <w:outlineLvl w:val="2"/>
    </w:pPr>
    <w:rPr>
      <w:rFonts w:eastAsiaTheme="majorEastAsia" w:cstheme="majorBidi"/>
      <w:b/>
      <w:color w:val="595959" w:themeColor="text1" w:themeTint="A6"/>
      <w:sz w:val="28"/>
      <w:szCs w:val="28"/>
    </w:rPr>
  </w:style>
  <w:style w:type="paragraph" w:styleId="Heading4">
    <w:name w:val="heading 4"/>
    <w:basedOn w:val="Normal"/>
    <w:next w:val="Normal"/>
    <w:link w:val="Heading4Char"/>
    <w:uiPriority w:val="9"/>
    <w:unhideWhenUsed/>
    <w:qFormat/>
    <w:rsid w:val="00B14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39"/>
    <w:rPr>
      <w:rFonts w:ascii="Garamond" w:eastAsiaTheme="majorEastAsia" w:hAnsi="Garamond" w:cstheme="majorBidi"/>
      <w:b/>
      <w:color w:val="0F4761" w:themeColor="accent1" w:themeShade="BF"/>
      <w:sz w:val="36"/>
      <w:szCs w:val="40"/>
    </w:rPr>
  </w:style>
  <w:style w:type="character" w:customStyle="1" w:styleId="Heading2Char">
    <w:name w:val="Heading 2 Char"/>
    <w:basedOn w:val="DefaultParagraphFont"/>
    <w:link w:val="Heading2"/>
    <w:uiPriority w:val="9"/>
    <w:rsid w:val="008247D7"/>
    <w:rPr>
      <w:rFonts w:ascii="Garamond" w:eastAsiaTheme="majorEastAsia" w:hAnsi="Garamond" w:cstheme="majorBidi"/>
      <w:b/>
      <w:color w:val="595959" w:themeColor="text1" w:themeTint="A6"/>
      <w:sz w:val="32"/>
      <w:szCs w:val="32"/>
    </w:rPr>
  </w:style>
  <w:style w:type="character" w:customStyle="1" w:styleId="Heading3Char">
    <w:name w:val="Heading 3 Char"/>
    <w:basedOn w:val="DefaultParagraphFont"/>
    <w:link w:val="Heading3"/>
    <w:uiPriority w:val="9"/>
    <w:rsid w:val="008247D7"/>
    <w:rPr>
      <w:rFonts w:ascii="Garamond" w:eastAsiaTheme="majorEastAsia" w:hAnsi="Garamond" w:cstheme="majorBidi"/>
      <w:b/>
      <w:color w:val="595959" w:themeColor="text1" w:themeTint="A6"/>
      <w:sz w:val="28"/>
      <w:szCs w:val="28"/>
    </w:rPr>
  </w:style>
  <w:style w:type="character" w:customStyle="1" w:styleId="Heading4Char">
    <w:name w:val="Heading 4 Char"/>
    <w:basedOn w:val="DefaultParagraphFont"/>
    <w:link w:val="Heading4"/>
    <w:uiPriority w:val="9"/>
    <w:rsid w:val="00027101"/>
    <w:rPr>
      <w:rFonts w:ascii="Garamond" w:eastAsiaTheme="majorEastAsia" w:hAnsi="Garamond" w:cstheme="majorBidi"/>
      <w:i/>
      <w:iCs/>
      <w:color w:val="0F4761" w:themeColor="accent1" w:themeShade="BF"/>
    </w:rPr>
  </w:style>
  <w:style w:type="character" w:customStyle="1" w:styleId="Heading5Char">
    <w:name w:val="Heading 5 Char"/>
    <w:basedOn w:val="DefaultParagraphFont"/>
    <w:link w:val="Heading5"/>
    <w:uiPriority w:val="9"/>
    <w:semiHidden/>
    <w:rsid w:val="00B14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806"/>
    <w:rPr>
      <w:rFonts w:eastAsiaTheme="majorEastAsia" w:cstheme="majorBidi"/>
      <w:color w:val="272727" w:themeColor="text1" w:themeTint="D8"/>
    </w:rPr>
  </w:style>
  <w:style w:type="paragraph" w:styleId="Title">
    <w:name w:val="Title"/>
    <w:basedOn w:val="Normal"/>
    <w:next w:val="Normal"/>
    <w:link w:val="TitleChar"/>
    <w:uiPriority w:val="10"/>
    <w:qFormat/>
    <w:rsid w:val="000C1970"/>
    <w:pPr>
      <w:spacing w:after="80" w:line="240" w:lineRule="auto"/>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0C1970"/>
    <w:rPr>
      <w:rFonts w:ascii="Garamond" w:eastAsiaTheme="majorEastAsia" w:hAnsi="Garamond" w:cstheme="majorBidi"/>
      <w:b/>
      <w:spacing w:val="-10"/>
      <w:kern w:val="28"/>
      <w:sz w:val="72"/>
      <w:szCs w:val="56"/>
    </w:rPr>
  </w:style>
  <w:style w:type="paragraph" w:styleId="Subtitle">
    <w:name w:val="Subtitle"/>
    <w:basedOn w:val="Normal"/>
    <w:next w:val="Normal"/>
    <w:link w:val="SubtitleChar"/>
    <w:uiPriority w:val="11"/>
    <w:qFormat/>
    <w:rsid w:val="000C1970"/>
    <w:pPr>
      <w:numPr>
        <w:ilvl w:val="1"/>
      </w:numPr>
      <w:jc w:val="center"/>
    </w:pPr>
    <w:rPr>
      <w:rFonts w:eastAsiaTheme="majorEastAsia" w:cstheme="majorBidi"/>
      <w:b/>
      <w:color w:val="595959" w:themeColor="text1" w:themeTint="A6"/>
      <w:spacing w:val="15"/>
      <w:sz w:val="28"/>
      <w:szCs w:val="28"/>
    </w:rPr>
  </w:style>
  <w:style w:type="character" w:customStyle="1" w:styleId="SubtitleChar">
    <w:name w:val="Subtitle Char"/>
    <w:basedOn w:val="DefaultParagraphFont"/>
    <w:link w:val="Subtitle"/>
    <w:uiPriority w:val="11"/>
    <w:rsid w:val="000C1970"/>
    <w:rPr>
      <w:rFonts w:ascii="Garamond" w:eastAsiaTheme="majorEastAsia" w:hAnsi="Garamond" w:cstheme="majorBidi"/>
      <w:b/>
      <w:color w:val="595959" w:themeColor="text1" w:themeTint="A6"/>
      <w:spacing w:val="15"/>
      <w:sz w:val="28"/>
      <w:szCs w:val="28"/>
    </w:rPr>
  </w:style>
  <w:style w:type="paragraph" w:styleId="Quote">
    <w:name w:val="Quote"/>
    <w:basedOn w:val="Normal"/>
    <w:next w:val="Normal"/>
    <w:link w:val="QuoteChar"/>
    <w:uiPriority w:val="29"/>
    <w:qFormat/>
    <w:rsid w:val="00B14806"/>
    <w:pPr>
      <w:spacing w:before="160"/>
      <w:jc w:val="center"/>
    </w:pPr>
    <w:rPr>
      <w:i/>
      <w:iCs/>
      <w:color w:val="404040" w:themeColor="text1" w:themeTint="BF"/>
    </w:rPr>
  </w:style>
  <w:style w:type="character" w:customStyle="1" w:styleId="QuoteChar">
    <w:name w:val="Quote Char"/>
    <w:basedOn w:val="DefaultParagraphFont"/>
    <w:link w:val="Quote"/>
    <w:uiPriority w:val="29"/>
    <w:rsid w:val="00B14806"/>
    <w:rPr>
      <w:i/>
      <w:iCs/>
      <w:color w:val="404040" w:themeColor="text1" w:themeTint="BF"/>
    </w:rPr>
  </w:style>
  <w:style w:type="paragraph" w:styleId="ListParagraph">
    <w:name w:val="List Paragraph"/>
    <w:basedOn w:val="Normal"/>
    <w:uiPriority w:val="34"/>
    <w:qFormat/>
    <w:rsid w:val="00B14806"/>
    <w:pPr>
      <w:ind w:left="720"/>
      <w:contextualSpacing/>
    </w:pPr>
  </w:style>
  <w:style w:type="character" w:styleId="IntenseEmphasis">
    <w:name w:val="Intense Emphasis"/>
    <w:basedOn w:val="DefaultParagraphFont"/>
    <w:uiPriority w:val="21"/>
    <w:qFormat/>
    <w:rsid w:val="00B14806"/>
    <w:rPr>
      <w:i/>
      <w:iCs/>
      <w:color w:val="0F4761" w:themeColor="accent1" w:themeShade="BF"/>
    </w:rPr>
  </w:style>
  <w:style w:type="paragraph" w:styleId="IntenseQuote">
    <w:name w:val="Intense Quote"/>
    <w:basedOn w:val="Normal"/>
    <w:next w:val="Normal"/>
    <w:link w:val="IntenseQuoteChar"/>
    <w:uiPriority w:val="30"/>
    <w:qFormat/>
    <w:rsid w:val="00B14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806"/>
    <w:rPr>
      <w:i/>
      <w:iCs/>
      <w:color w:val="0F4761" w:themeColor="accent1" w:themeShade="BF"/>
    </w:rPr>
  </w:style>
  <w:style w:type="character" w:styleId="IntenseReference">
    <w:name w:val="Intense Reference"/>
    <w:basedOn w:val="DefaultParagraphFont"/>
    <w:uiPriority w:val="32"/>
    <w:qFormat/>
    <w:rsid w:val="00B14806"/>
    <w:rPr>
      <w:b/>
      <w:bCs/>
      <w:smallCaps/>
      <w:color w:val="0F4761" w:themeColor="accent1" w:themeShade="BF"/>
      <w:spacing w:val="5"/>
    </w:rPr>
  </w:style>
  <w:style w:type="paragraph" w:styleId="Revision">
    <w:name w:val="Revision"/>
    <w:hidden/>
    <w:uiPriority w:val="99"/>
    <w:semiHidden/>
    <w:rsid w:val="004D6863"/>
    <w:pPr>
      <w:spacing w:after="0" w:line="240" w:lineRule="auto"/>
    </w:pPr>
    <w:rPr>
      <w:rFonts w:ascii="Garamond" w:hAnsi="Garamond"/>
    </w:rPr>
  </w:style>
  <w:style w:type="character" w:styleId="CommentReference">
    <w:name w:val="annotation reference"/>
    <w:basedOn w:val="DefaultParagraphFont"/>
    <w:uiPriority w:val="99"/>
    <w:semiHidden/>
    <w:unhideWhenUsed/>
    <w:rsid w:val="00E25774"/>
    <w:rPr>
      <w:sz w:val="16"/>
      <w:szCs w:val="16"/>
    </w:rPr>
  </w:style>
  <w:style w:type="paragraph" w:styleId="CommentText">
    <w:name w:val="annotation text"/>
    <w:basedOn w:val="Normal"/>
    <w:link w:val="CommentTextChar"/>
    <w:uiPriority w:val="99"/>
    <w:unhideWhenUsed/>
    <w:rsid w:val="00E25774"/>
    <w:pPr>
      <w:spacing w:line="240" w:lineRule="auto"/>
    </w:pPr>
    <w:rPr>
      <w:sz w:val="20"/>
      <w:szCs w:val="20"/>
    </w:rPr>
  </w:style>
  <w:style w:type="character" w:customStyle="1" w:styleId="CommentTextChar">
    <w:name w:val="Comment Text Char"/>
    <w:basedOn w:val="DefaultParagraphFont"/>
    <w:link w:val="CommentText"/>
    <w:uiPriority w:val="99"/>
    <w:rsid w:val="00E257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25774"/>
    <w:rPr>
      <w:b/>
      <w:bCs/>
    </w:rPr>
  </w:style>
  <w:style w:type="character" w:customStyle="1" w:styleId="CommentSubjectChar">
    <w:name w:val="Comment Subject Char"/>
    <w:basedOn w:val="CommentTextChar"/>
    <w:link w:val="CommentSubject"/>
    <w:uiPriority w:val="99"/>
    <w:semiHidden/>
    <w:rsid w:val="00E25774"/>
    <w:rPr>
      <w:rFonts w:ascii="Garamond" w:hAnsi="Garamond"/>
      <w:b/>
      <w:bCs/>
      <w:sz w:val="20"/>
      <w:szCs w:val="20"/>
    </w:rPr>
  </w:style>
  <w:style w:type="paragraph" w:styleId="Header">
    <w:name w:val="header"/>
    <w:basedOn w:val="Normal"/>
    <w:link w:val="HeaderChar"/>
    <w:uiPriority w:val="99"/>
    <w:unhideWhenUsed/>
    <w:rsid w:val="007D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7ED"/>
    <w:rPr>
      <w:rFonts w:ascii="Garamond" w:hAnsi="Garamond"/>
    </w:rPr>
  </w:style>
  <w:style w:type="paragraph" w:styleId="Footer">
    <w:name w:val="footer"/>
    <w:basedOn w:val="Normal"/>
    <w:link w:val="FooterChar"/>
    <w:uiPriority w:val="99"/>
    <w:unhideWhenUsed/>
    <w:rsid w:val="007D3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7ED"/>
    <w:rPr>
      <w:rFonts w:ascii="Garamond" w:hAnsi="Garamond"/>
    </w:rPr>
  </w:style>
  <w:style w:type="character" w:styleId="Hyperlink">
    <w:name w:val="Hyperlink"/>
    <w:basedOn w:val="DefaultParagraphFont"/>
    <w:uiPriority w:val="99"/>
    <w:unhideWhenUsed/>
    <w:rsid w:val="00A675C4"/>
    <w:rPr>
      <w:color w:val="467886" w:themeColor="hyperlink"/>
      <w:u w:val="single"/>
    </w:rPr>
  </w:style>
  <w:style w:type="character" w:customStyle="1" w:styleId="UnresolvedMention1">
    <w:name w:val="Unresolved Mention1"/>
    <w:basedOn w:val="DefaultParagraphFont"/>
    <w:uiPriority w:val="99"/>
    <w:semiHidden/>
    <w:unhideWhenUsed/>
    <w:rsid w:val="00A675C4"/>
    <w:rPr>
      <w:color w:val="605E5C"/>
      <w:shd w:val="clear" w:color="auto" w:fill="E1DFDD"/>
    </w:rPr>
  </w:style>
  <w:style w:type="paragraph" w:styleId="FootnoteText">
    <w:name w:val="footnote text"/>
    <w:basedOn w:val="Normal"/>
    <w:link w:val="FootnoteTextChar"/>
    <w:uiPriority w:val="99"/>
    <w:unhideWhenUsed/>
    <w:rsid w:val="00DE21CC"/>
    <w:pPr>
      <w:spacing w:after="0" w:line="240" w:lineRule="auto"/>
    </w:pPr>
    <w:rPr>
      <w:sz w:val="20"/>
      <w:szCs w:val="20"/>
    </w:rPr>
  </w:style>
  <w:style w:type="character" w:customStyle="1" w:styleId="FootnoteTextChar">
    <w:name w:val="Footnote Text Char"/>
    <w:basedOn w:val="DefaultParagraphFont"/>
    <w:link w:val="FootnoteText"/>
    <w:uiPriority w:val="99"/>
    <w:rsid w:val="00DE21CC"/>
    <w:rPr>
      <w:rFonts w:ascii="Garamond" w:hAnsi="Garamond"/>
      <w:sz w:val="20"/>
      <w:szCs w:val="20"/>
    </w:rPr>
  </w:style>
  <w:style w:type="character" w:styleId="FootnoteReference">
    <w:name w:val="footnote reference"/>
    <w:basedOn w:val="DefaultParagraphFont"/>
    <w:uiPriority w:val="99"/>
    <w:semiHidden/>
    <w:unhideWhenUsed/>
    <w:rsid w:val="00E25BA4"/>
    <w:rPr>
      <w:vertAlign w:val="superscript"/>
    </w:rPr>
  </w:style>
  <w:style w:type="character" w:customStyle="1" w:styleId="c-doc-para-italic">
    <w:name w:val="c-doc-para-italic"/>
    <w:basedOn w:val="DefaultParagraphFont"/>
    <w:rsid w:val="00E25BA4"/>
  </w:style>
  <w:style w:type="character" w:styleId="FollowedHyperlink">
    <w:name w:val="FollowedHyperlink"/>
    <w:basedOn w:val="DefaultParagraphFont"/>
    <w:uiPriority w:val="99"/>
    <w:semiHidden/>
    <w:unhideWhenUsed/>
    <w:rsid w:val="00C06987"/>
    <w:rPr>
      <w:color w:val="96607D" w:themeColor="followedHyperlink"/>
      <w:u w:val="single"/>
    </w:rPr>
  </w:style>
  <w:style w:type="paragraph" w:styleId="PlainText">
    <w:name w:val="Plain Text"/>
    <w:basedOn w:val="Normal"/>
    <w:link w:val="PlainTextChar"/>
    <w:uiPriority w:val="99"/>
    <w:unhideWhenUsed/>
    <w:rsid w:val="00C83E81"/>
    <w:pPr>
      <w:spacing w:after="0" w:line="240" w:lineRule="auto"/>
    </w:pPr>
    <w:rPr>
      <w:kern w:val="0"/>
      <w:szCs w:val="21"/>
      <w14:ligatures w14:val="none"/>
    </w:rPr>
  </w:style>
  <w:style w:type="character" w:customStyle="1" w:styleId="PlainTextChar">
    <w:name w:val="Plain Text Char"/>
    <w:basedOn w:val="DefaultParagraphFont"/>
    <w:link w:val="PlainText"/>
    <w:uiPriority w:val="99"/>
    <w:rsid w:val="00C83E81"/>
    <w:rPr>
      <w:rFonts w:ascii="Garamond" w:hAnsi="Garamond"/>
      <w:kern w:val="0"/>
      <w:sz w:val="26"/>
      <w:szCs w:val="21"/>
      <w14:ligatures w14:val="none"/>
    </w:rPr>
  </w:style>
  <w:style w:type="paragraph" w:styleId="NormalWeb">
    <w:name w:val="Normal (Web)"/>
    <w:basedOn w:val="Normal"/>
    <w:uiPriority w:val="99"/>
    <w:unhideWhenUsed/>
    <w:rsid w:val="005A35F3"/>
    <w:pPr>
      <w:spacing w:before="100" w:beforeAutospacing="1" w:after="100" w:afterAutospacing="1" w:line="240" w:lineRule="auto"/>
    </w:pPr>
    <w:rPr>
      <w:rFonts w:ascii="Aptos" w:hAnsi="Aptos" w:cs="Aptos"/>
      <w:kern w:val="0"/>
      <w14:ligatures w14:val="none"/>
    </w:rPr>
  </w:style>
  <w:style w:type="character" w:styleId="UnresolvedMention">
    <w:name w:val="Unresolved Mention"/>
    <w:basedOn w:val="DefaultParagraphFont"/>
    <w:uiPriority w:val="99"/>
    <w:rsid w:val="00986F02"/>
    <w:rPr>
      <w:color w:val="605E5C"/>
      <w:shd w:val="clear" w:color="auto" w:fill="E1DFDD"/>
    </w:rPr>
  </w:style>
  <w:style w:type="paragraph" w:customStyle="1" w:styleId="Footnote">
    <w:name w:val="Footnote"/>
    <w:basedOn w:val="FootnoteText"/>
    <w:link w:val="FootnoteChar"/>
    <w:qFormat/>
    <w:rsid w:val="00BB6183"/>
  </w:style>
  <w:style w:type="character" w:customStyle="1" w:styleId="FootnoteChar">
    <w:name w:val="Footnote Char"/>
    <w:basedOn w:val="FootnoteTextChar"/>
    <w:link w:val="Footnote"/>
    <w:rsid w:val="00BB6183"/>
    <w:rPr>
      <w:rFonts w:ascii="Garamond" w:hAnsi="Garamond"/>
      <w:sz w:val="20"/>
      <w:szCs w:val="20"/>
    </w:rPr>
  </w:style>
  <w:style w:type="paragraph" w:styleId="NoSpacing">
    <w:name w:val="No Spacing"/>
    <w:link w:val="NoSpacingChar"/>
    <w:uiPriority w:val="1"/>
    <w:qFormat/>
    <w:rsid w:val="003D2FF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D2FF9"/>
    <w:rPr>
      <w:rFonts w:eastAsiaTheme="minorEastAsia"/>
      <w:kern w:val="0"/>
      <w:sz w:val="22"/>
      <w:szCs w:val="22"/>
      <w14:ligatures w14:val="none"/>
    </w:rPr>
  </w:style>
  <w:style w:type="table" w:styleId="TableGrid">
    <w:name w:val="Table Grid"/>
    <w:basedOn w:val="TableNormal"/>
    <w:uiPriority w:val="39"/>
    <w:rsid w:val="00AE4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E39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39CB"/>
    <w:rPr>
      <w:rFonts w:ascii="Garamond" w:hAnsi="Garamond"/>
      <w:sz w:val="20"/>
      <w:szCs w:val="20"/>
    </w:rPr>
  </w:style>
  <w:style w:type="character" w:styleId="EndnoteReference">
    <w:name w:val="endnote reference"/>
    <w:basedOn w:val="DefaultParagraphFont"/>
    <w:uiPriority w:val="99"/>
    <w:semiHidden/>
    <w:unhideWhenUsed/>
    <w:rsid w:val="009E39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jpe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tc.gov/uniformity/project-on-state-taxation-of-partnership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mtc.gov/uniformity/sales-tax-on-digital-products/"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tc.gov/uniformity/wayfair-implementation-informational-project/" TargetMode="External"/><Relationship Id="rId13" Type="http://schemas.openxmlformats.org/officeDocument/2006/relationships/hyperlink" Target="https://www.urban.org/research/publication/how-broad-are-state-sales-tax-bases" TargetMode="External"/><Relationship Id="rId18" Type="http://schemas.openxmlformats.org/officeDocument/2006/relationships/hyperlink" Target="https://www.brookings.edu/blog/up-front/2018/07/16/the-history-and-future-of-the-retail-sales-tax/" TargetMode="External"/><Relationship Id="rId3" Type="http://schemas.openxmlformats.org/officeDocument/2006/relationships/hyperlink" Target="https://www.mtc.gov/The-Commission/Multistate-Tax-Compact" TargetMode="External"/><Relationship Id="rId7" Type="http://schemas.openxmlformats.org/officeDocument/2006/relationships/hyperlink" Target="https://www.mtc.gov/uniformity/use-tax-information-reporting-work-group/" TargetMode="External"/><Relationship Id="rId12" Type="http://schemas.openxmlformats.org/officeDocument/2006/relationships/hyperlink" Target="https://taxfoundation.org/research/all/state/state-sales-tax-reform-guide/" TargetMode="External"/><Relationship Id="rId17" Type="http://schemas.openxmlformats.org/officeDocument/2006/relationships/hyperlink" Target="https://www.census.gov/programs-surveys/stc.html" TargetMode="External"/><Relationship Id="rId2" Type="http://schemas.openxmlformats.org/officeDocument/2006/relationships/hyperlink" Target="https://scholarship.law.wm.edu/cgi/viewcontent.cgi?article=1630&amp;context=tax" TargetMode="External"/><Relationship Id="rId16" Type="http://schemas.openxmlformats.org/officeDocument/2006/relationships/hyperlink" Target="https://digitalcommons.law.byu.edu/cgi/viewcontent.cgi?article=2052&amp;context=lawreview" TargetMode="External"/><Relationship Id="rId1" Type="http://schemas.openxmlformats.org/officeDocument/2006/relationships/hyperlink" Target="https://www.mtc.gov/wp-content/uploads/2023/02/Draft-Detailed-Digital-Outline-Final-for-8-2-22-Meeting.pdf" TargetMode="External"/><Relationship Id="rId6" Type="http://schemas.openxmlformats.org/officeDocument/2006/relationships/hyperlink" Target="https://www.cbo.gov/system/files/112th-congress-2011-2012/costestimate/hr1860.pdf" TargetMode="External"/><Relationship Id="rId11" Type="http://schemas.openxmlformats.org/officeDocument/2006/relationships/hyperlink" Target="https://taxfoundation.org/state-sales-tax-base-reliance/" TargetMode="External"/><Relationship Id="rId5" Type="http://schemas.openxmlformats.org/officeDocument/2006/relationships/hyperlink" Target="https://www.streamlinedsalestax.org/" TargetMode="External"/><Relationship Id="rId15" Type="http://schemas.openxmlformats.org/officeDocument/2006/relationships/hyperlink" Target="https://www.cbpp.org/research/state-budget-and-tax/expanding-sales-taxation-of-services-options-and-issues" TargetMode="External"/><Relationship Id="rId10" Type="http://schemas.openxmlformats.org/officeDocument/2006/relationships/hyperlink" Target="https://larc.cardozo.yu.edu/cgi/viewcontent.cgi?article=1540&amp;amp;context=faculty-articles" TargetMode="External"/><Relationship Id="rId19" Type="http://schemas.openxmlformats.org/officeDocument/2006/relationships/hyperlink" Target="https://www.brookings.edu/articles/the-history-and-future-of-the-retail-sales-tax/" TargetMode="External"/><Relationship Id="rId4" Type="http://schemas.openxmlformats.org/officeDocument/2006/relationships/hyperlink" Target="https://www.mtc.gov/The-Commission/Policy-Statements-Resolutions" TargetMode="External"/><Relationship Id="rId9" Type="http://schemas.openxmlformats.org/officeDocument/2006/relationships/hyperlink" Target="https://www.mtc.gov/wp-content/uploads/2023/11/2020tns36-3-003.pdf" TargetMode="External"/><Relationship Id="rId14" Type="http://schemas.openxmlformats.org/officeDocument/2006/relationships/hyperlink" Target="https://itep.sfo2.digitaloceanspaces.com/whopays-ITEP-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29E15A-B275-409B-8753-A9E391E006EA}"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FA43FDA2-7E61-487F-A1A8-DA518DD2D50B}">
      <dgm:prSet phldrT="[Text]"/>
      <dgm:spPr/>
      <dgm:t>
        <a:bodyPr/>
        <a:lstStyle/>
        <a:p>
          <a:r>
            <a:rPr lang="en-US"/>
            <a:t>Legal Imposition</a:t>
          </a:r>
        </a:p>
      </dgm:t>
    </dgm:pt>
    <dgm:pt modelId="{3E5E4F51-91FB-426D-84BC-4BD40CDA3338}" type="parTrans" cxnId="{B4E50664-AADC-4857-8CF2-FFA9AB62E19D}">
      <dgm:prSet/>
      <dgm:spPr/>
      <dgm:t>
        <a:bodyPr/>
        <a:lstStyle/>
        <a:p>
          <a:endParaRPr lang="en-US"/>
        </a:p>
      </dgm:t>
    </dgm:pt>
    <dgm:pt modelId="{3F8558F5-88AB-45CA-AEA7-E1B989C4A3EE}" type="sibTrans" cxnId="{B4E50664-AADC-4857-8CF2-FFA9AB62E19D}">
      <dgm:prSet/>
      <dgm:spPr/>
      <dgm:t>
        <a:bodyPr/>
        <a:lstStyle/>
        <a:p>
          <a:endParaRPr lang="en-US"/>
        </a:p>
      </dgm:t>
    </dgm:pt>
    <dgm:pt modelId="{192A746C-E7A7-4621-B32F-57E509057566}">
      <dgm:prSet phldrT="[Text]"/>
      <dgm:spPr/>
      <dgm:t>
        <a:bodyPr/>
        <a:lstStyle/>
        <a:p>
          <a:pPr algn="l"/>
          <a:r>
            <a:rPr lang="en-US"/>
            <a:t>Taxpayers</a:t>
          </a:r>
        </a:p>
      </dgm:t>
    </dgm:pt>
    <dgm:pt modelId="{11C2CD6B-97BD-4E99-B751-615A64671148}" type="parTrans" cxnId="{ABA0093A-88FA-4F3A-B35E-BE21CB3607B6}">
      <dgm:prSet/>
      <dgm:spPr/>
      <dgm:t>
        <a:bodyPr/>
        <a:lstStyle/>
        <a:p>
          <a:endParaRPr lang="en-US"/>
        </a:p>
      </dgm:t>
    </dgm:pt>
    <dgm:pt modelId="{22027EA3-9457-4E61-BB0A-4977945886E9}" type="sibTrans" cxnId="{ABA0093A-88FA-4F3A-B35E-BE21CB3607B6}">
      <dgm:prSet/>
      <dgm:spPr/>
      <dgm:t>
        <a:bodyPr/>
        <a:lstStyle/>
        <a:p>
          <a:endParaRPr lang="en-US"/>
        </a:p>
      </dgm:t>
    </dgm:pt>
    <dgm:pt modelId="{8EA98FB0-FAEF-4FCB-AC40-6A37D82305BD}">
      <dgm:prSet phldrT="[Text]"/>
      <dgm:spPr/>
      <dgm:t>
        <a:bodyPr/>
        <a:lstStyle/>
        <a:p>
          <a:r>
            <a:rPr lang="en-US"/>
            <a:t>Sourcing</a:t>
          </a:r>
        </a:p>
      </dgm:t>
    </dgm:pt>
    <dgm:pt modelId="{1D0DADF7-39BF-4249-B8EE-8E7150E73CF1}" type="parTrans" cxnId="{48FEA1FC-3C30-4DBB-8A85-EF9BDACD6441}">
      <dgm:prSet/>
      <dgm:spPr/>
      <dgm:t>
        <a:bodyPr/>
        <a:lstStyle/>
        <a:p>
          <a:endParaRPr lang="en-US"/>
        </a:p>
      </dgm:t>
    </dgm:pt>
    <dgm:pt modelId="{A7CB5CA1-1E16-41CE-8BD1-D3DCD7354376}" type="sibTrans" cxnId="{48FEA1FC-3C30-4DBB-8A85-EF9BDACD6441}">
      <dgm:prSet/>
      <dgm:spPr/>
      <dgm:t>
        <a:bodyPr/>
        <a:lstStyle/>
        <a:p>
          <a:endParaRPr lang="en-US"/>
        </a:p>
      </dgm:t>
    </dgm:pt>
    <dgm:pt modelId="{836A49D9-51C7-48EF-8EC7-7439BE3F4F1D}">
      <dgm:prSet phldrT="[Text]"/>
      <dgm:spPr/>
      <dgm:t>
        <a:bodyPr/>
        <a:lstStyle/>
        <a:p>
          <a:r>
            <a:rPr lang="en-US"/>
            <a:t>State sourcing rules</a:t>
          </a:r>
        </a:p>
      </dgm:t>
    </dgm:pt>
    <dgm:pt modelId="{2FA032B7-2F84-4A53-A605-5646E3F930FA}" type="parTrans" cxnId="{19230526-4904-4BB3-B6E2-AB68BE539E1C}">
      <dgm:prSet/>
      <dgm:spPr/>
      <dgm:t>
        <a:bodyPr/>
        <a:lstStyle/>
        <a:p>
          <a:endParaRPr lang="en-US"/>
        </a:p>
      </dgm:t>
    </dgm:pt>
    <dgm:pt modelId="{54800422-A6EB-4693-A00C-4586DC26B0E3}" type="sibTrans" cxnId="{19230526-4904-4BB3-B6E2-AB68BE539E1C}">
      <dgm:prSet/>
      <dgm:spPr/>
      <dgm:t>
        <a:bodyPr/>
        <a:lstStyle/>
        <a:p>
          <a:endParaRPr lang="en-US"/>
        </a:p>
      </dgm:t>
    </dgm:pt>
    <dgm:pt modelId="{0F6AFCA4-04A1-430C-8932-4E9F4A027D9E}">
      <dgm:prSet phldrT="[Text]"/>
      <dgm:spPr/>
      <dgm:t>
        <a:bodyPr/>
        <a:lstStyle/>
        <a:p>
          <a:r>
            <a:rPr lang="en-US"/>
            <a:t>Exemptions</a:t>
          </a:r>
        </a:p>
      </dgm:t>
    </dgm:pt>
    <dgm:pt modelId="{1D634C37-55D8-49AD-842E-0DF348C0C242}" type="parTrans" cxnId="{B08AC9AA-3755-42A1-9284-4D32F476839E}">
      <dgm:prSet/>
      <dgm:spPr/>
      <dgm:t>
        <a:bodyPr/>
        <a:lstStyle/>
        <a:p>
          <a:endParaRPr lang="en-US"/>
        </a:p>
      </dgm:t>
    </dgm:pt>
    <dgm:pt modelId="{00EBE126-D9F4-4F5E-B777-441478ABE9D1}" type="sibTrans" cxnId="{B08AC9AA-3755-42A1-9284-4D32F476839E}">
      <dgm:prSet/>
      <dgm:spPr/>
      <dgm:t>
        <a:bodyPr/>
        <a:lstStyle/>
        <a:p>
          <a:endParaRPr lang="en-US"/>
        </a:p>
      </dgm:t>
    </dgm:pt>
    <dgm:pt modelId="{9E2C3F3F-C16C-4BC6-8E82-960B97AD9B3A}">
      <dgm:prSet phldrT="[Text]"/>
      <dgm:spPr/>
      <dgm:t>
        <a:bodyPr/>
        <a:lstStyle/>
        <a:p>
          <a:r>
            <a:rPr lang="en-US"/>
            <a:t>Specific items that are not taxed </a:t>
          </a:r>
        </a:p>
      </dgm:t>
    </dgm:pt>
    <dgm:pt modelId="{7C5F014E-A741-4C4F-B5EC-A5A513025D98}" type="parTrans" cxnId="{19DE51A0-0653-4179-9AA1-7F9DFCB2D139}">
      <dgm:prSet/>
      <dgm:spPr/>
      <dgm:t>
        <a:bodyPr/>
        <a:lstStyle/>
        <a:p>
          <a:endParaRPr lang="en-US"/>
        </a:p>
      </dgm:t>
    </dgm:pt>
    <dgm:pt modelId="{F6938133-4118-4939-8C92-86D6E10BE6B9}" type="sibTrans" cxnId="{19DE51A0-0653-4179-9AA1-7F9DFCB2D139}">
      <dgm:prSet/>
      <dgm:spPr/>
      <dgm:t>
        <a:bodyPr/>
        <a:lstStyle/>
        <a:p>
          <a:endParaRPr lang="en-US"/>
        </a:p>
      </dgm:t>
    </dgm:pt>
    <dgm:pt modelId="{ED1B95DF-E8C6-4218-B027-44E672FE1A6E}">
      <dgm:prSet phldrT="[Text]"/>
      <dgm:spPr/>
      <dgm:t>
        <a:bodyPr/>
        <a:lstStyle/>
        <a:p>
          <a:pPr algn="l"/>
          <a:r>
            <a:rPr lang="en-US"/>
            <a:t>Activities</a:t>
          </a:r>
        </a:p>
      </dgm:t>
    </dgm:pt>
    <dgm:pt modelId="{9F1BA711-F46D-47A1-9E5F-A71BF7746B88}" type="parTrans" cxnId="{BFD2060A-3305-4105-9318-AA79C2B628ED}">
      <dgm:prSet/>
      <dgm:spPr/>
      <dgm:t>
        <a:bodyPr/>
        <a:lstStyle/>
        <a:p>
          <a:endParaRPr lang="en-US"/>
        </a:p>
      </dgm:t>
    </dgm:pt>
    <dgm:pt modelId="{551EBF2F-C91E-45D2-B550-42A7843AA8B9}" type="sibTrans" cxnId="{BFD2060A-3305-4105-9318-AA79C2B628ED}">
      <dgm:prSet/>
      <dgm:spPr/>
      <dgm:t>
        <a:bodyPr/>
        <a:lstStyle/>
        <a:p>
          <a:endParaRPr lang="en-US"/>
        </a:p>
      </dgm:t>
    </dgm:pt>
    <dgm:pt modelId="{7357797A-7612-4FFF-8A09-C96957FE0C05}">
      <dgm:prSet phldrT="[Text]"/>
      <dgm:spPr/>
      <dgm:t>
        <a:bodyPr/>
        <a:lstStyle/>
        <a:p>
          <a:r>
            <a:rPr lang="en-US"/>
            <a:t>Local sourcing rules</a:t>
          </a:r>
        </a:p>
      </dgm:t>
    </dgm:pt>
    <dgm:pt modelId="{FBC3B1EF-E835-4790-AB1A-445CEDAA1B9F}" type="parTrans" cxnId="{00988EF1-E5DB-487F-B146-E22265691B5C}">
      <dgm:prSet/>
      <dgm:spPr/>
      <dgm:t>
        <a:bodyPr/>
        <a:lstStyle/>
        <a:p>
          <a:endParaRPr lang="en-US"/>
        </a:p>
      </dgm:t>
    </dgm:pt>
    <dgm:pt modelId="{341781D6-0AB0-467E-93AA-040748EF5B7C}" type="sibTrans" cxnId="{00988EF1-E5DB-487F-B146-E22265691B5C}">
      <dgm:prSet/>
      <dgm:spPr/>
      <dgm:t>
        <a:bodyPr/>
        <a:lstStyle/>
        <a:p>
          <a:endParaRPr lang="en-US"/>
        </a:p>
      </dgm:t>
    </dgm:pt>
    <dgm:pt modelId="{ED61A8A6-9B7D-4F49-8407-9593CC7D5364}">
      <dgm:prSet phldrT="[Text]"/>
      <dgm:spPr/>
      <dgm:t>
        <a:bodyPr/>
        <a:lstStyle/>
        <a:p>
          <a:pPr algn="l"/>
          <a:r>
            <a:rPr lang="en-US"/>
            <a:t>Exclusions</a:t>
          </a:r>
        </a:p>
      </dgm:t>
    </dgm:pt>
    <dgm:pt modelId="{AB4BFABA-3669-4E30-9CCA-89BA2ED055D0}" type="parTrans" cxnId="{457B1930-203F-48C5-9098-560805F82026}">
      <dgm:prSet/>
      <dgm:spPr/>
      <dgm:t>
        <a:bodyPr/>
        <a:lstStyle/>
        <a:p>
          <a:endParaRPr lang="en-US"/>
        </a:p>
      </dgm:t>
    </dgm:pt>
    <dgm:pt modelId="{7E76E2CB-84F0-4719-AF94-60054AE4C79D}" type="sibTrans" cxnId="{457B1930-203F-48C5-9098-560805F82026}">
      <dgm:prSet/>
      <dgm:spPr/>
      <dgm:t>
        <a:bodyPr/>
        <a:lstStyle/>
        <a:p>
          <a:endParaRPr lang="en-US"/>
        </a:p>
      </dgm:t>
    </dgm:pt>
    <dgm:pt modelId="{F2B2B2C9-7023-4BA1-A3C6-B30B6A1C2FD8}" type="pres">
      <dgm:prSet presAssocID="{0629E15A-B275-409B-8753-A9E391E006EA}" presName="rootnode" presStyleCnt="0">
        <dgm:presLayoutVars>
          <dgm:chMax/>
          <dgm:chPref/>
          <dgm:dir/>
          <dgm:animLvl val="lvl"/>
        </dgm:presLayoutVars>
      </dgm:prSet>
      <dgm:spPr/>
    </dgm:pt>
    <dgm:pt modelId="{C083BDD5-1DED-4538-A47D-CCBE7CD6802A}" type="pres">
      <dgm:prSet presAssocID="{FA43FDA2-7E61-487F-A1A8-DA518DD2D50B}" presName="composite" presStyleCnt="0"/>
      <dgm:spPr/>
    </dgm:pt>
    <dgm:pt modelId="{15925DA9-8F69-4D4C-BC00-B80350AA2651}" type="pres">
      <dgm:prSet presAssocID="{FA43FDA2-7E61-487F-A1A8-DA518DD2D50B}" presName="bentUpArrow1" presStyleLbl="alignImgPlace1" presStyleIdx="0" presStyleCnt="2"/>
      <dgm:spPr/>
    </dgm:pt>
    <dgm:pt modelId="{546A9BB2-8BA9-4BAC-967E-EAAA2D4EAD6C}" type="pres">
      <dgm:prSet presAssocID="{FA43FDA2-7E61-487F-A1A8-DA518DD2D50B}" presName="ParentText" presStyleLbl="node1" presStyleIdx="0" presStyleCnt="3">
        <dgm:presLayoutVars>
          <dgm:chMax val="1"/>
          <dgm:chPref val="1"/>
          <dgm:bulletEnabled val="1"/>
        </dgm:presLayoutVars>
      </dgm:prSet>
      <dgm:spPr/>
    </dgm:pt>
    <dgm:pt modelId="{B7365AFA-CA42-45C9-B695-7DB5048BC956}" type="pres">
      <dgm:prSet presAssocID="{FA43FDA2-7E61-487F-A1A8-DA518DD2D50B}" presName="ChildText" presStyleLbl="revTx" presStyleIdx="0" presStyleCnt="3">
        <dgm:presLayoutVars>
          <dgm:chMax val="0"/>
          <dgm:chPref val="0"/>
          <dgm:bulletEnabled val="1"/>
        </dgm:presLayoutVars>
      </dgm:prSet>
      <dgm:spPr/>
    </dgm:pt>
    <dgm:pt modelId="{3840D8AE-9B11-4707-81EA-EE5CA071D6A5}" type="pres">
      <dgm:prSet presAssocID="{3F8558F5-88AB-45CA-AEA7-E1B989C4A3EE}" presName="sibTrans" presStyleCnt="0"/>
      <dgm:spPr/>
    </dgm:pt>
    <dgm:pt modelId="{97279E23-2D8C-4495-B5AD-5453F23E52C9}" type="pres">
      <dgm:prSet presAssocID="{8EA98FB0-FAEF-4FCB-AC40-6A37D82305BD}" presName="composite" presStyleCnt="0"/>
      <dgm:spPr/>
    </dgm:pt>
    <dgm:pt modelId="{0722B198-4321-4294-8039-49234821B48C}" type="pres">
      <dgm:prSet presAssocID="{8EA98FB0-FAEF-4FCB-AC40-6A37D82305BD}" presName="bentUpArrow1" presStyleLbl="alignImgPlace1" presStyleIdx="1" presStyleCnt="2"/>
      <dgm:spPr/>
    </dgm:pt>
    <dgm:pt modelId="{D61D885C-1505-409A-B342-FFC668547CE7}" type="pres">
      <dgm:prSet presAssocID="{8EA98FB0-FAEF-4FCB-AC40-6A37D82305BD}" presName="ParentText" presStyleLbl="node1" presStyleIdx="1" presStyleCnt="3">
        <dgm:presLayoutVars>
          <dgm:chMax val="1"/>
          <dgm:chPref val="1"/>
          <dgm:bulletEnabled val="1"/>
        </dgm:presLayoutVars>
      </dgm:prSet>
      <dgm:spPr/>
    </dgm:pt>
    <dgm:pt modelId="{FF797ABB-720F-4D55-801D-431040544A55}" type="pres">
      <dgm:prSet presAssocID="{8EA98FB0-FAEF-4FCB-AC40-6A37D82305BD}" presName="ChildText" presStyleLbl="revTx" presStyleIdx="1" presStyleCnt="3">
        <dgm:presLayoutVars>
          <dgm:chMax val="0"/>
          <dgm:chPref val="0"/>
          <dgm:bulletEnabled val="1"/>
        </dgm:presLayoutVars>
      </dgm:prSet>
      <dgm:spPr/>
    </dgm:pt>
    <dgm:pt modelId="{6042185D-81B9-4ECD-B751-C0D61E5D30BF}" type="pres">
      <dgm:prSet presAssocID="{A7CB5CA1-1E16-41CE-8BD1-D3DCD7354376}" presName="sibTrans" presStyleCnt="0"/>
      <dgm:spPr/>
    </dgm:pt>
    <dgm:pt modelId="{7D08045B-32C1-423F-8034-A1E39B8678C2}" type="pres">
      <dgm:prSet presAssocID="{0F6AFCA4-04A1-430C-8932-4E9F4A027D9E}" presName="composite" presStyleCnt="0"/>
      <dgm:spPr/>
    </dgm:pt>
    <dgm:pt modelId="{64AB4BD1-A8D2-425B-9008-DA203E40D732}" type="pres">
      <dgm:prSet presAssocID="{0F6AFCA4-04A1-430C-8932-4E9F4A027D9E}" presName="ParentText" presStyleLbl="node1" presStyleIdx="2" presStyleCnt="3">
        <dgm:presLayoutVars>
          <dgm:chMax val="1"/>
          <dgm:chPref val="1"/>
          <dgm:bulletEnabled val="1"/>
        </dgm:presLayoutVars>
      </dgm:prSet>
      <dgm:spPr/>
    </dgm:pt>
    <dgm:pt modelId="{8BF4BA43-60FB-499B-8E79-2437518278FF}" type="pres">
      <dgm:prSet presAssocID="{0F6AFCA4-04A1-430C-8932-4E9F4A027D9E}" presName="FinalChildText" presStyleLbl="revTx" presStyleIdx="2" presStyleCnt="3">
        <dgm:presLayoutVars>
          <dgm:chMax val="0"/>
          <dgm:chPref val="0"/>
          <dgm:bulletEnabled val="1"/>
        </dgm:presLayoutVars>
      </dgm:prSet>
      <dgm:spPr/>
    </dgm:pt>
  </dgm:ptLst>
  <dgm:cxnLst>
    <dgm:cxn modelId="{BFD2060A-3305-4105-9318-AA79C2B628ED}" srcId="{FA43FDA2-7E61-487F-A1A8-DA518DD2D50B}" destId="{ED1B95DF-E8C6-4218-B027-44E672FE1A6E}" srcOrd="1" destOrd="0" parTransId="{9F1BA711-F46D-47A1-9E5F-A71BF7746B88}" sibTransId="{551EBF2F-C91E-45D2-B550-42A7843AA8B9}"/>
    <dgm:cxn modelId="{19230526-4904-4BB3-B6E2-AB68BE539E1C}" srcId="{8EA98FB0-FAEF-4FCB-AC40-6A37D82305BD}" destId="{836A49D9-51C7-48EF-8EC7-7439BE3F4F1D}" srcOrd="0" destOrd="0" parTransId="{2FA032B7-2F84-4A53-A605-5646E3F930FA}" sibTransId="{54800422-A6EB-4693-A00C-4586DC26B0E3}"/>
    <dgm:cxn modelId="{457B1930-203F-48C5-9098-560805F82026}" srcId="{FA43FDA2-7E61-487F-A1A8-DA518DD2D50B}" destId="{ED61A8A6-9B7D-4F49-8407-9593CC7D5364}" srcOrd="2" destOrd="0" parTransId="{AB4BFABA-3669-4E30-9CCA-89BA2ED055D0}" sibTransId="{7E76E2CB-84F0-4719-AF94-60054AE4C79D}"/>
    <dgm:cxn modelId="{ABA0093A-88FA-4F3A-B35E-BE21CB3607B6}" srcId="{FA43FDA2-7E61-487F-A1A8-DA518DD2D50B}" destId="{192A746C-E7A7-4621-B32F-57E509057566}" srcOrd="0" destOrd="0" parTransId="{11C2CD6B-97BD-4E99-B751-615A64671148}" sibTransId="{22027EA3-9457-4E61-BB0A-4977945886E9}"/>
    <dgm:cxn modelId="{8CFDE741-2F5B-4B10-9A40-84C0686C8598}" type="presOf" srcId="{192A746C-E7A7-4621-B32F-57E509057566}" destId="{B7365AFA-CA42-45C9-B695-7DB5048BC956}" srcOrd="0" destOrd="0" presId="urn:microsoft.com/office/officeart/2005/8/layout/StepDownProcess"/>
    <dgm:cxn modelId="{B4E50664-AADC-4857-8CF2-FFA9AB62E19D}" srcId="{0629E15A-B275-409B-8753-A9E391E006EA}" destId="{FA43FDA2-7E61-487F-A1A8-DA518DD2D50B}" srcOrd="0" destOrd="0" parTransId="{3E5E4F51-91FB-426D-84BC-4BD40CDA3338}" sibTransId="{3F8558F5-88AB-45CA-AEA7-E1B989C4A3EE}"/>
    <dgm:cxn modelId="{10749964-9905-4283-A311-829CC301939B}" type="presOf" srcId="{0F6AFCA4-04A1-430C-8932-4E9F4A027D9E}" destId="{64AB4BD1-A8D2-425B-9008-DA203E40D732}" srcOrd="0" destOrd="0" presId="urn:microsoft.com/office/officeart/2005/8/layout/StepDownProcess"/>
    <dgm:cxn modelId="{509AB44A-0655-495B-925C-629155D35EF8}" type="presOf" srcId="{836A49D9-51C7-48EF-8EC7-7439BE3F4F1D}" destId="{FF797ABB-720F-4D55-801D-431040544A55}" srcOrd="0" destOrd="0" presId="urn:microsoft.com/office/officeart/2005/8/layout/StepDownProcess"/>
    <dgm:cxn modelId="{AF410E77-AD0D-4A26-AE72-D39204AF3B92}" type="presOf" srcId="{FA43FDA2-7E61-487F-A1A8-DA518DD2D50B}" destId="{546A9BB2-8BA9-4BAC-967E-EAAA2D4EAD6C}" srcOrd="0" destOrd="0" presId="urn:microsoft.com/office/officeart/2005/8/layout/StepDownProcess"/>
    <dgm:cxn modelId="{19DE51A0-0653-4179-9AA1-7F9DFCB2D139}" srcId="{0F6AFCA4-04A1-430C-8932-4E9F4A027D9E}" destId="{9E2C3F3F-C16C-4BC6-8E82-960B97AD9B3A}" srcOrd="0" destOrd="0" parTransId="{7C5F014E-A741-4C4F-B5EC-A5A513025D98}" sibTransId="{F6938133-4118-4939-8C92-86D6E10BE6B9}"/>
    <dgm:cxn modelId="{B08AC9AA-3755-42A1-9284-4D32F476839E}" srcId="{0629E15A-B275-409B-8753-A9E391E006EA}" destId="{0F6AFCA4-04A1-430C-8932-4E9F4A027D9E}" srcOrd="2" destOrd="0" parTransId="{1D634C37-55D8-49AD-842E-0DF348C0C242}" sibTransId="{00EBE126-D9F4-4F5E-B777-441478ABE9D1}"/>
    <dgm:cxn modelId="{7F8514C4-66EA-400A-9CC2-5231A595302E}" type="presOf" srcId="{9E2C3F3F-C16C-4BC6-8E82-960B97AD9B3A}" destId="{8BF4BA43-60FB-499B-8E79-2437518278FF}" srcOrd="0" destOrd="0" presId="urn:microsoft.com/office/officeart/2005/8/layout/StepDownProcess"/>
    <dgm:cxn modelId="{11D70CD1-F1BF-4284-BF1F-FCE4F58D6B8A}" type="presOf" srcId="{0629E15A-B275-409B-8753-A9E391E006EA}" destId="{F2B2B2C9-7023-4BA1-A3C6-B30B6A1C2FD8}" srcOrd="0" destOrd="0" presId="urn:microsoft.com/office/officeart/2005/8/layout/StepDownProcess"/>
    <dgm:cxn modelId="{FE6269E9-7D70-4929-99AF-8628A767232E}" type="presOf" srcId="{8EA98FB0-FAEF-4FCB-AC40-6A37D82305BD}" destId="{D61D885C-1505-409A-B342-FFC668547CE7}" srcOrd="0" destOrd="0" presId="urn:microsoft.com/office/officeart/2005/8/layout/StepDownProcess"/>
    <dgm:cxn modelId="{B5F661EF-B7D0-433D-8FA7-53C9AF8DF6E1}" type="presOf" srcId="{ED1B95DF-E8C6-4218-B027-44E672FE1A6E}" destId="{B7365AFA-CA42-45C9-B695-7DB5048BC956}" srcOrd="0" destOrd="1" presId="urn:microsoft.com/office/officeart/2005/8/layout/StepDownProcess"/>
    <dgm:cxn modelId="{00988EF1-E5DB-487F-B146-E22265691B5C}" srcId="{8EA98FB0-FAEF-4FCB-AC40-6A37D82305BD}" destId="{7357797A-7612-4FFF-8A09-C96957FE0C05}" srcOrd="1" destOrd="0" parTransId="{FBC3B1EF-E835-4790-AB1A-445CEDAA1B9F}" sibTransId="{341781D6-0AB0-467E-93AA-040748EF5B7C}"/>
    <dgm:cxn modelId="{977AA2F7-5EF3-4F71-AB22-50941FD08B2C}" type="presOf" srcId="{7357797A-7612-4FFF-8A09-C96957FE0C05}" destId="{FF797ABB-720F-4D55-801D-431040544A55}" srcOrd="0" destOrd="1" presId="urn:microsoft.com/office/officeart/2005/8/layout/StepDownProcess"/>
    <dgm:cxn modelId="{69F0F4F8-E644-4DBD-8D99-F332D2CED1D4}" type="presOf" srcId="{ED61A8A6-9B7D-4F49-8407-9593CC7D5364}" destId="{B7365AFA-CA42-45C9-B695-7DB5048BC956}" srcOrd="0" destOrd="2" presId="urn:microsoft.com/office/officeart/2005/8/layout/StepDownProcess"/>
    <dgm:cxn modelId="{48FEA1FC-3C30-4DBB-8A85-EF9BDACD6441}" srcId="{0629E15A-B275-409B-8753-A9E391E006EA}" destId="{8EA98FB0-FAEF-4FCB-AC40-6A37D82305BD}" srcOrd="1" destOrd="0" parTransId="{1D0DADF7-39BF-4249-B8EE-8E7150E73CF1}" sibTransId="{A7CB5CA1-1E16-41CE-8BD1-D3DCD7354376}"/>
    <dgm:cxn modelId="{96AEAC57-7309-4533-82E0-03C612B77C75}" type="presParOf" srcId="{F2B2B2C9-7023-4BA1-A3C6-B30B6A1C2FD8}" destId="{C083BDD5-1DED-4538-A47D-CCBE7CD6802A}" srcOrd="0" destOrd="0" presId="urn:microsoft.com/office/officeart/2005/8/layout/StepDownProcess"/>
    <dgm:cxn modelId="{3795C7C1-E331-4B22-8570-90D8133AB3E6}" type="presParOf" srcId="{C083BDD5-1DED-4538-A47D-CCBE7CD6802A}" destId="{15925DA9-8F69-4D4C-BC00-B80350AA2651}" srcOrd="0" destOrd="0" presId="urn:microsoft.com/office/officeart/2005/8/layout/StepDownProcess"/>
    <dgm:cxn modelId="{6D3796BA-04A3-45F0-873D-E465A6165A51}" type="presParOf" srcId="{C083BDD5-1DED-4538-A47D-CCBE7CD6802A}" destId="{546A9BB2-8BA9-4BAC-967E-EAAA2D4EAD6C}" srcOrd="1" destOrd="0" presId="urn:microsoft.com/office/officeart/2005/8/layout/StepDownProcess"/>
    <dgm:cxn modelId="{849BB6F4-7FBD-4600-A069-9987D266F3CA}" type="presParOf" srcId="{C083BDD5-1DED-4538-A47D-CCBE7CD6802A}" destId="{B7365AFA-CA42-45C9-B695-7DB5048BC956}" srcOrd="2" destOrd="0" presId="urn:microsoft.com/office/officeart/2005/8/layout/StepDownProcess"/>
    <dgm:cxn modelId="{67C607D5-C9EA-41ED-9C30-3DB67E7D9CF2}" type="presParOf" srcId="{F2B2B2C9-7023-4BA1-A3C6-B30B6A1C2FD8}" destId="{3840D8AE-9B11-4707-81EA-EE5CA071D6A5}" srcOrd="1" destOrd="0" presId="urn:microsoft.com/office/officeart/2005/8/layout/StepDownProcess"/>
    <dgm:cxn modelId="{2CA1CBFE-18A3-4F67-9715-B8A50ED88491}" type="presParOf" srcId="{F2B2B2C9-7023-4BA1-A3C6-B30B6A1C2FD8}" destId="{97279E23-2D8C-4495-B5AD-5453F23E52C9}" srcOrd="2" destOrd="0" presId="urn:microsoft.com/office/officeart/2005/8/layout/StepDownProcess"/>
    <dgm:cxn modelId="{EB2DDECF-CCAA-4431-B885-8C9A9EC66DAD}" type="presParOf" srcId="{97279E23-2D8C-4495-B5AD-5453F23E52C9}" destId="{0722B198-4321-4294-8039-49234821B48C}" srcOrd="0" destOrd="0" presId="urn:microsoft.com/office/officeart/2005/8/layout/StepDownProcess"/>
    <dgm:cxn modelId="{3F31B6BE-DD78-46CF-B1FB-FC59275F7B5E}" type="presParOf" srcId="{97279E23-2D8C-4495-B5AD-5453F23E52C9}" destId="{D61D885C-1505-409A-B342-FFC668547CE7}" srcOrd="1" destOrd="0" presId="urn:microsoft.com/office/officeart/2005/8/layout/StepDownProcess"/>
    <dgm:cxn modelId="{621BE0CF-1331-4123-A4D8-E4EC3677BA1C}" type="presParOf" srcId="{97279E23-2D8C-4495-B5AD-5453F23E52C9}" destId="{FF797ABB-720F-4D55-801D-431040544A55}" srcOrd="2" destOrd="0" presId="urn:microsoft.com/office/officeart/2005/8/layout/StepDownProcess"/>
    <dgm:cxn modelId="{8DCABE8D-F525-4C47-8B13-24683E7C9BB8}" type="presParOf" srcId="{F2B2B2C9-7023-4BA1-A3C6-B30B6A1C2FD8}" destId="{6042185D-81B9-4ECD-B751-C0D61E5D30BF}" srcOrd="3" destOrd="0" presId="urn:microsoft.com/office/officeart/2005/8/layout/StepDownProcess"/>
    <dgm:cxn modelId="{FF5A3198-E91D-4BCE-A564-DB2C5221FE51}" type="presParOf" srcId="{F2B2B2C9-7023-4BA1-A3C6-B30B6A1C2FD8}" destId="{7D08045B-32C1-423F-8034-A1E39B8678C2}" srcOrd="4" destOrd="0" presId="urn:microsoft.com/office/officeart/2005/8/layout/StepDownProcess"/>
    <dgm:cxn modelId="{3B4C4C04-A94F-46C8-927C-49A4028824B8}" type="presParOf" srcId="{7D08045B-32C1-423F-8034-A1E39B8678C2}" destId="{64AB4BD1-A8D2-425B-9008-DA203E40D732}" srcOrd="0" destOrd="0" presId="urn:microsoft.com/office/officeart/2005/8/layout/StepDownProcess"/>
    <dgm:cxn modelId="{0A044CD5-0CCC-4A84-9101-79692B43AD2C}" type="presParOf" srcId="{7D08045B-32C1-423F-8034-A1E39B8678C2}" destId="{8BF4BA43-60FB-499B-8E79-2437518278FF}" srcOrd="1"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925DA9-8F69-4D4C-BC00-B80350AA2651}">
      <dsp:nvSpPr>
        <dsp:cNvPr id="0" name=""/>
        <dsp:cNvSpPr/>
      </dsp:nvSpPr>
      <dsp:spPr>
        <a:xfrm rot="5400000">
          <a:off x="605734" y="935058"/>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6A9BB2-8BA9-4BAC-967E-EAAA2D4EAD6C}">
      <dsp:nvSpPr>
        <dsp:cNvPr id="0" name=""/>
        <dsp:cNvSpPr/>
      </dsp:nvSpPr>
      <dsp:spPr>
        <a:xfrm>
          <a:off x="386634" y="18336"/>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Legal Imposition</a:t>
          </a:r>
        </a:p>
      </dsp:txBody>
      <dsp:txXfrm>
        <a:off x="434212" y="65914"/>
        <a:ext cx="1296988" cy="879300"/>
      </dsp:txXfrm>
    </dsp:sp>
    <dsp:sp modelId="{B7365AFA-CA42-45C9-B695-7DB5048BC956}">
      <dsp:nvSpPr>
        <dsp:cNvPr id="0" name=""/>
        <dsp:cNvSpPr/>
      </dsp:nvSpPr>
      <dsp:spPr>
        <a:xfrm>
          <a:off x="1778779" y="111272"/>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ctr" anchorCtr="0">
          <a:noAutofit/>
        </a:bodyPr>
        <a:lstStyle/>
        <a:p>
          <a:pPr marL="57150" lvl="1" indent="-57150" algn="l" defTabSz="444500">
            <a:lnSpc>
              <a:spcPct val="90000"/>
            </a:lnSpc>
            <a:spcBef>
              <a:spcPct val="0"/>
            </a:spcBef>
            <a:spcAft>
              <a:spcPct val="15000"/>
            </a:spcAft>
            <a:buChar char="•"/>
          </a:pPr>
          <a:r>
            <a:rPr lang="en-US" sz="1000" kern="1200"/>
            <a:t>Taxpayers</a:t>
          </a:r>
        </a:p>
        <a:p>
          <a:pPr marL="57150" lvl="1" indent="-57150" algn="l" defTabSz="444500">
            <a:lnSpc>
              <a:spcPct val="90000"/>
            </a:lnSpc>
            <a:spcBef>
              <a:spcPct val="0"/>
            </a:spcBef>
            <a:spcAft>
              <a:spcPct val="15000"/>
            </a:spcAft>
            <a:buChar char="•"/>
          </a:pPr>
          <a:r>
            <a:rPr lang="en-US" sz="1000" kern="1200"/>
            <a:t>Activities</a:t>
          </a:r>
        </a:p>
        <a:p>
          <a:pPr marL="57150" lvl="1" indent="-57150" algn="l" defTabSz="444500">
            <a:lnSpc>
              <a:spcPct val="90000"/>
            </a:lnSpc>
            <a:spcBef>
              <a:spcPct val="0"/>
            </a:spcBef>
            <a:spcAft>
              <a:spcPct val="15000"/>
            </a:spcAft>
            <a:buChar char="•"/>
          </a:pPr>
          <a:r>
            <a:rPr lang="en-US" sz="1000" kern="1200"/>
            <a:t>Exclusions</a:t>
          </a:r>
        </a:p>
      </dsp:txBody>
      <dsp:txXfrm>
        <a:off x="1778779" y="111272"/>
        <a:ext cx="1012513" cy="787598"/>
      </dsp:txXfrm>
    </dsp:sp>
    <dsp:sp modelId="{0722B198-4321-4294-8039-49234821B48C}">
      <dsp:nvSpPr>
        <dsp:cNvPr id="0" name=""/>
        <dsp:cNvSpPr/>
      </dsp:nvSpPr>
      <dsp:spPr>
        <a:xfrm rot="5400000">
          <a:off x="1759969" y="2029694"/>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61D885C-1505-409A-B342-FFC668547CE7}">
      <dsp:nvSpPr>
        <dsp:cNvPr id="0" name=""/>
        <dsp:cNvSpPr/>
      </dsp:nvSpPr>
      <dsp:spPr>
        <a:xfrm>
          <a:off x="1540870" y="1112971"/>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Sourcing</a:t>
          </a:r>
        </a:p>
      </dsp:txBody>
      <dsp:txXfrm>
        <a:off x="1588448" y="1160549"/>
        <a:ext cx="1296988" cy="879300"/>
      </dsp:txXfrm>
    </dsp:sp>
    <dsp:sp modelId="{FF797ABB-720F-4D55-801D-431040544A55}">
      <dsp:nvSpPr>
        <dsp:cNvPr id="0" name=""/>
        <dsp:cNvSpPr/>
      </dsp:nvSpPr>
      <dsp:spPr>
        <a:xfrm>
          <a:off x="2933015" y="1205908"/>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ctr" anchorCtr="0">
          <a:noAutofit/>
        </a:bodyPr>
        <a:lstStyle/>
        <a:p>
          <a:pPr marL="57150" lvl="1" indent="-57150" algn="l" defTabSz="444500">
            <a:lnSpc>
              <a:spcPct val="90000"/>
            </a:lnSpc>
            <a:spcBef>
              <a:spcPct val="0"/>
            </a:spcBef>
            <a:spcAft>
              <a:spcPct val="15000"/>
            </a:spcAft>
            <a:buChar char="•"/>
          </a:pPr>
          <a:r>
            <a:rPr lang="en-US" sz="1000" kern="1200"/>
            <a:t>State sourcing rules</a:t>
          </a:r>
        </a:p>
        <a:p>
          <a:pPr marL="57150" lvl="1" indent="-57150" algn="l" defTabSz="444500">
            <a:lnSpc>
              <a:spcPct val="90000"/>
            </a:lnSpc>
            <a:spcBef>
              <a:spcPct val="0"/>
            </a:spcBef>
            <a:spcAft>
              <a:spcPct val="15000"/>
            </a:spcAft>
            <a:buChar char="•"/>
          </a:pPr>
          <a:r>
            <a:rPr lang="en-US" sz="1000" kern="1200"/>
            <a:t>Local sourcing rules</a:t>
          </a:r>
        </a:p>
      </dsp:txBody>
      <dsp:txXfrm>
        <a:off x="2933015" y="1205908"/>
        <a:ext cx="1012513" cy="787598"/>
      </dsp:txXfrm>
    </dsp:sp>
    <dsp:sp modelId="{64AB4BD1-A8D2-425B-9008-DA203E40D732}">
      <dsp:nvSpPr>
        <dsp:cNvPr id="0" name=""/>
        <dsp:cNvSpPr/>
      </dsp:nvSpPr>
      <dsp:spPr>
        <a:xfrm>
          <a:off x="2695106" y="2207607"/>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Exemptions</a:t>
          </a:r>
        </a:p>
      </dsp:txBody>
      <dsp:txXfrm>
        <a:off x="2742684" y="2255185"/>
        <a:ext cx="1296988" cy="879300"/>
      </dsp:txXfrm>
    </dsp:sp>
    <dsp:sp modelId="{8BF4BA43-60FB-499B-8E79-2437518278FF}">
      <dsp:nvSpPr>
        <dsp:cNvPr id="0" name=""/>
        <dsp:cNvSpPr/>
      </dsp:nvSpPr>
      <dsp:spPr>
        <a:xfrm>
          <a:off x="4087251" y="2300544"/>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0" tIns="57150" rIns="57150" bIns="57150" numCol="1" spcCol="1270" anchor="ctr" anchorCtr="0">
          <a:noAutofit/>
        </a:bodyPr>
        <a:lstStyle/>
        <a:p>
          <a:pPr marL="114300" lvl="1" indent="-114300" algn="l" defTabSz="533400">
            <a:lnSpc>
              <a:spcPct val="90000"/>
            </a:lnSpc>
            <a:spcBef>
              <a:spcPct val="0"/>
            </a:spcBef>
            <a:spcAft>
              <a:spcPct val="15000"/>
            </a:spcAft>
            <a:buChar char="•"/>
          </a:pPr>
          <a:r>
            <a:rPr lang="en-US" sz="1200" kern="1200"/>
            <a:t>Specific items that are not taxed </a:t>
          </a:r>
        </a:p>
      </dsp:txBody>
      <dsp:txXfrm>
        <a:off x="4087251" y="2300544"/>
        <a:ext cx="1012513" cy="787598"/>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EDEC6-F46B-489F-92D5-305FE13D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Hecht</dc:creator>
  <cp:lastModifiedBy>Helen Hecht</cp:lastModifiedBy>
  <cp:revision>2</cp:revision>
  <dcterms:created xsi:type="dcterms:W3CDTF">2026-07-19T19:47:00Z</dcterms:created>
  <dcterms:modified xsi:type="dcterms:W3CDTF">2026-07-19T19:47:00Z</dcterms:modified>
</cp:coreProperties>
</file>