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1AAA8" w14:textId="053FFCEA" w:rsidR="00AA190A" w:rsidRDefault="00AA190A" w:rsidP="004843D2">
      <w:pPr>
        <w:rPr>
          <w:rFonts w:ascii="Georgia" w:hAnsi="Georgia"/>
          <w:b/>
          <w:bCs/>
          <w:color w:val="A80410"/>
          <w:sz w:val="56"/>
          <w:szCs w:val="180"/>
        </w:rPr>
      </w:pPr>
      <w:bookmarkStart w:id="0" w:name="_Hlk142738703"/>
    </w:p>
    <w:p w14:paraId="23E980C4" w14:textId="77777777" w:rsidR="00EA6D2C" w:rsidRDefault="00EA6D2C" w:rsidP="004843D2">
      <w:pPr>
        <w:rPr>
          <w:rFonts w:ascii="Georgia" w:hAnsi="Georgia"/>
          <w:b/>
          <w:bCs/>
          <w:color w:val="A80410"/>
          <w:sz w:val="56"/>
          <w:szCs w:val="180"/>
        </w:rPr>
      </w:pPr>
    </w:p>
    <w:p w14:paraId="792CCA57" w14:textId="27F9531D" w:rsidR="00916C78" w:rsidRDefault="00916C78" w:rsidP="006A570E">
      <w:pPr>
        <w:spacing w:after="0"/>
        <w:jc w:val="left"/>
        <w:rPr>
          <w:i/>
          <w:iCs/>
          <w:sz w:val="22"/>
          <w:szCs w:val="20"/>
        </w:rPr>
      </w:pPr>
    </w:p>
    <w:p w14:paraId="3DADE5A7" w14:textId="0CE6FBD5" w:rsidR="00916C78" w:rsidRDefault="002E144A" w:rsidP="00FF5FF5">
      <w:pPr>
        <w:pBdr>
          <w:bottom w:val="single" w:sz="24" w:space="1" w:color="591200" w:themeColor="accent6" w:themeShade="80"/>
        </w:pBdr>
        <w:shd w:val="clear" w:color="auto" w:fill="FFFFFF" w:themeFill="background1"/>
        <w:jc w:val="center"/>
        <w:rPr>
          <w:i/>
          <w:iCs/>
          <w:sz w:val="22"/>
          <w:szCs w:val="20"/>
        </w:rPr>
      </w:pPr>
      <w:r>
        <w:rPr>
          <w:noProof/>
        </w:rPr>
        <w:drawing>
          <wp:anchor distT="0" distB="0" distL="114300" distR="114300" simplePos="0" relativeHeight="251655168" behindDoc="0" locked="0" layoutInCell="1" allowOverlap="1" wp14:anchorId="2220A04F" wp14:editId="01B77F03">
            <wp:simplePos x="0" y="0"/>
            <wp:positionH relativeFrom="margin">
              <wp:align>center</wp:align>
            </wp:positionH>
            <wp:positionV relativeFrom="paragraph">
              <wp:posOffset>5715</wp:posOffset>
            </wp:positionV>
            <wp:extent cx="1849120" cy="982980"/>
            <wp:effectExtent l="0" t="0" r="0" b="762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14000"/>
                              </a14:imgEffect>
                              <a14:imgEffect>
                                <a14:brightnessContrast contrast="-9000"/>
                              </a14:imgEffect>
                            </a14:imgLayer>
                          </a14:imgProps>
                        </a:ext>
                        <a:ext uri="{28A0092B-C50C-407E-A947-70E740481C1C}">
                          <a14:useLocalDpi xmlns:a14="http://schemas.microsoft.com/office/drawing/2010/main" val="0"/>
                        </a:ext>
                      </a:extLst>
                    </a:blip>
                    <a:srcRect/>
                    <a:stretch>
                      <a:fillRect/>
                    </a:stretch>
                  </pic:blipFill>
                  <pic:spPr bwMode="auto">
                    <a:xfrm>
                      <a:off x="0" y="0"/>
                      <a:ext cx="1849120" cy="982980"/>
                    </a:xfrm>
                    <a:prstGeom prst="rect">
                      <a:avLst/>
                    </a:prstGeom>
                    <a:noFill/>
                    <a:effectLst/>
                  </pic:spPr>
                </pic:pic>
              </a:graphicData>
            </a:graphic>
            <wp14:sizeRelH relativeFrom="page">
              <wp14:pctWidth>0</wp14:pctWidth>
            </wp14:sizeRelH>
            <wp14:sizeRelV relativeFrom="page">
              <wp14:pctHeight>0</wp14:pctHeight>
            </wp14:sizeRelV>
          </wp:anchor>
        </w:drawing>
      </w:r>
    </w:p>
    <w:p w14:paraId="27607B0D" w14:textId="04F062DB" w:rsidR="00F31B02" w:rsidRDefault="00F31B02" w:rsidP="00FF5FF5">
      <w:pPr>
        <w:pBdr>
          <w:bottom w:val="single" w:sz="24" w:space="1" w:color="591200" w:themeColor="accent6" w:themeShade="80"/>
        </w:pBdr>
        <w:shd w:val="clear" w:color="auto" w:fill="FFFFFF" w:themeFill="background1"/>
        <w:jc w:val="center"/>
        <w:rPr>
          <w:i/>
          <w:iCs/>
          <w:sz w:val="22"/>
          <w:szCs w:val="20"/>
        </w:rPr>
      </w:pPr>
    </w:p>
    <w:p w14:paraId="4C23C895" w14:textId="75DBD0D2" w:rsidR="0019545B" w:rsidRDefault="0019545B" w:rsidP="00FF5FF5">
      <w:pPr>
        <w:pBdr>
          <w:bottom w:val="single" w:sz="24" w:space="1" w:color="591200" w:themeColor="accent6" w:themeShade="80"/>
        </w:pBdr>
        <w:shd w:val="clear" w:color="auto" w:fill="FFFFFF" w:themeFill="background1"/>
        <w:jc w:val="center"/>
        <w:rPr>
          <w:i/>
          <w:iCs/>
          <w:sz w:val="22"/>
          <w:szCs w:val="20"/>
        </w:rPr>
      </w:pPr>
    </w:p>
    <w:p w14:paraId="1B0575A8" w14:textId="1CC50DEA" w:rsidR="0019545B" w:rsidRDefault="0019545B" w:rsidP="00FF5FF5">
      <w:pPr>
        <w:pBdr>
          <w:bottom w:val="single" w:sz="24" w:space="1" w:color="591200" w:themeColor="accent6" w:themeShade="80"/>
        </w:pBdr>
        <w:shd w:val="clear" w:color="auto" w:fill="FFFFFF" w:themeFill="background1"/>
        <w:jc w:val="center"/>
        <w:rPr>
          <w:i/>
          <w:iCs/>
          <w:sz w:val="22"/>
          <w:szCs w:val="20"/>
        </w:rPr>
      </w:pPr>
    </w:p>
    <w:p w14:paraId="62535E10" w14:textId="77777777" w:rsidR="009E5ED3" w:rsidRDefault="009E5ED3" w:rsidP="00FF5FF5">
      <w:pPr>
        <w:pBdr>
          <w:bottom w:val="single" w:sz="24" w:space="1" w:color="591200" w:themeColor="accent6" w:themeShade="80"/>
        </w:pBdr>
        <w:shd w:val="clear" w:color="auto" w:fill="FFFFFF" w:themeFill="background1"/>
        <w:jc w:val="center"/>
        <w:rPr>
          <w:rFonts w:ascii="Californian FB" w:hAnsi="Californian FB"/>
          <w:b/>
          <w:bCs/>
          <w:color w:val="000000" w:themeColor="text1"/>
          <w:sz w:val="44"/>
          <w:szCs w:val="40"/>
        </w:rPr>
      </w:pPr>
    </w:p>
    <w:p w14:paraId="627ABF8D" w14:textId="6133EF61" w:rsidR="00FF5FF5" w:rsidRPr="002E144A" w:rsidRDefault="000F3B39" w:rsidP="002E144A">
      <w:pPr>
        <w:pBdr>
          <w:bottom w:val="single" w:sz="24" w:space="1" w:color="591200" w:themeColor="accent6" w:themeShade="80"/>
        </w:pBdr>
        <w:shd w:val="clear" w:color="auto" w:fill="FFFFFF" w:themeFill="background1"/>
        <w:ind w:left="-720" w:right="-720"/>
        <w:jc w:val="center"/>
        <w:rPr>
          <w:rFonts w:ascii="Georgia Pro Black" w:hAnsi="Georgia Pro Black"/>
          <w:b/>
          <w:bCs/>
          <w:color w:val="000000" w:themeColor="text1"/>
          <w:sz w:val="40"/>
          <w:szCs w:val="36"/>
        </w:rPr>
      </w:pPr>
      <w:r w:rsidRPr="00CB5231">
        <w:rPr>
          <w:rFonts w:ascii="Georgia Pro Black" w:hAnsi="Georgia Pro Black"/>
          <w:b/>
          <w:bCs/>
          <w:color w:val="000000" w:themeColor="text1"/>
          <w:sz w:val="44"/>
          <w:szCs w:val="40"/>
        </w:rPr>
        <w:t xml:space="preserve">State Tax </w:t>
      </w:r>
      <w:r w:rsidR="003F1733" w:rsidRPr="00CB5231">
        <w:rPr>
          <w:rFonts w:ascii="Georgia Pro Black" w:hAnsi="Georgia Pro Black"/>
          <w:b/>
          <w:bCs/>
          <w:color w:val="000000" w:themeColor="text1"/>
          <w:sz w:val="44"/>
          <w:szCs w:val="40"/>
        </w:rPr>
        <w:t xml:space="preserve">Sourcing of </w:t>
      </w:r>
      <w:r w:rsidRPr="00CB5231">
        <w:rPr>
          <w:rFonts w:ascii="Georgia Pro Black" w:hAnsi="Georgia Pro Black"/>
          <w:b/>
          <w:bCs/>
          <w:color w:val="000000" w:themeColor="text1"/>
          <w:sz w:val="44"/>
          <w:szCs w:val="40"/>
        </w:rPr>
        <w:br/>
      </w:r>
      <w:r w:rsidR="00F65298" w:rsidRPr="00CB5231">
        <w:rPr>
          <w:rFonts w:ascii="Georgia Pro Black" w:hAnsi="Georgia Pro Black"/>
          <w:b/>
          <w:bCs/>
          <w:color w:val="000000" w:themeColor="text1"/>
          <w:sz w:val="44"/>
          <w:szCs w:val="40"/>
        </w:rPr>
        <w:t>Partnership Income</w:t>
      </w:r>
      <w:r w:rsidR="000315D9" w:rsidRPr="00CB5231">
        <w:rPr>
          <w:rFonts w:ascii="Georgia Pro Black" w:hAnsi="Georgia Pro Black"/>
          <w:b/>
          <w:bCs/>
          <w:color w:val="000000" w:themeColor="text1"/>
          <w:sz w:val="44"/>
          <w:szCs w:val="40"/>
        </w:rPr>
        <w:t xml:space="preserve"> </w:t>
      </w:r>
      <w:r w:rsidR="00F65298" w:rsidRPr="00CB5231">
        <w:rPr>
          <w:rFonts w:ascii="Georgia Pro Black" w:hAnsi="Georgia Pro Black"/>
          <w:b/>
          <w:bCs/>
          <w:color w:val="000000" w:themeColor="text1"/>
          <w:sz w:val="44"/>
          <w:szCs w:val="40"/>
        </w:rPr>
        <w:t xml:space="preserve">&amp; </w:t>
      </w:r>
      <w:r w:rsidR="000D50D2" w:rsidRPr="00CB5231">
        <w:rPr>
          <w:rFonts w:ascii="Georgia Pro Black" w:hAnsi="Georgia Pro Black"/>
          <w:b/>
          <w:bCs/>
          <w:color w:val="000000" w:themeColor="text1"/>
          <w:sz w:val="44"/>
          <w:szCs w:val="40"/>
        </w:rPr>
        <w:br/>
      </w:r>
      <w:r w:rsidR="00942D90" w:rsidRPr="00CB5231">
        <w:rPr>
          <w:rFonts w:ascii="Georgia Pro Black" w:hAnsi="Georgia Pro Black"/>
          <w:b/>
          <w:bCs/>
          <w:color w:val="000000" w:themeColor="text1"/>
          <w:sz w:val="44"/>
          <w:szCs w:val="40"/>
        </w:rPr>
        <w:t>the</w:t>
      </w:r>
      <w:r w:rsidR="00F65298" w:rsidRPr="00CB5231">
        <w:rPr>
          <w:rFonts w:ascii="Georgia Pro Black" w:hAnsi="Georgia Pro Black"/>
          <w:b/>
          <w:bCs/>
          <w:color w:val="000000" w:themeColor="text1"/>
          <w:sz w:val="44"/>
          <w:szCs w:val="40"/>
        </w:rPr>
        <w:t xml:space="preserve"> Blended Apportionment</w:t>
      </w:r>
      <w:r w:rsidR="00942D90" w:rsidRPr="00CB5231">
        <w:rPr>
          <w:rFonts w:ascii="Georgia Pro Black" w:hAnsi="Georgia Pro Black"/>
          <w:b/>
          <w:bCs/>
          <w:color w:val="000000" w:themeColor="text1"/>
          <w:sz w:val="44"/>
          <w:szCs w:val="40"/>
        </w:rPr>
        <w:t xml:space="preserve"> Method</w:t>
      </w:r>
      <w:r w:rsidR="000315D9" w:rsidRPr="002E144A">
        <w:rPr>
          <w:rFonts w:ascii="Georgia Pro Black" w:hAnsi="Georgia Pro Black"/>
          <w:b/>
          <w:bCs/>
          <w:color w:val="000000" w:themeColor="text1"/>
          <w:sz w:val="48"/>
          <w:szCs w:val="44"/>
        </w:rPr>
        <w:br/>
      </w:r>
    </w:p>
    <w:p w14:paraId="69C8AFC3" w14:textId="77777777" w:rsidR="002E144A" w:rsidRDefault="002E144A" w:rsidP="002E144A">
      <w:pPr>
        <w:pBdr>
          <w:bottom w:val="single" w:sz="24" w:space="1" w:color="591200" w:themeColor="accent6" w:themeShade="80"/>
        </w:pBdr>
        <w:spacing w:after="0"/>
        <w:jc w:val="center"/>
        <w:rPr>
          <w:rFonts w:ascii="Californian FB" w:hAnsi="Californian FB"/>
          <w:b/>
          <w:bCs/>
          <w:color w:val="000000" w:themeColor="text1"/>
          <w:sz w:val="36"/>
          <w:szCs w:val="32"/>
        </w:rPr>
      </w:pPr>
    </w:p>
    <w:p w14:paraId="0401D1CE" w14:textId="77777777" w:rsidR="002E144A" w:rsidRDefault="002E144A" w:rsidP="002E144A">
      <w:pPr>
        <w:pBdr>
          <w:bottom w:val="single" w:sz="24" w:space="1" w:color="591200" w:themeColor="accent6" w:themeShade="80"/>
        </w:pBdr>
        <w:spacing w:after="0"/>
        <w:jc w:val="center"/>
        <w:rPr>
          <w:rFonts w:ascii="Californian FB" w:hAnsi="Californian FB"/>
          <w:b/>
          <w:bCs/>
          <w:color w:val="000000" w:themeColor="text1"/>
          <w:sz w:val="36"/>
          <w:szCs w:val="32"/>
        </w:rPr>
      </w:pPr>
    </w:p>
    <w:p w14:paraId="5D6CD092" w14:textId="77777777" w:rsidR="002E144A" w:rsidRDefault="002E144A" w:rsidP="002E144A">
      <w:pPr>
        <w:pBdr>
          <w:bottom w:val="single" w:sz="24" w:space="1" w:color="591200" w:themeColor="accent6" w:themeShade="80"/>
        </w:pBdr>
        <w:spacing w:after="0"/>
        <w:jc w:val="center"/>
        <w:rPr>
          <w:rFonts w:ascii="Californian FB" w:hAnsi="Californian FB"/>
          <w:b/>
          <w:bCs/>
          <w:color w:val="000000" w:themeColor="text1"/>
          <w:sz w:val="36"/>
          <w:szCs w:val="32"/>
        </w:rPr>
      </w:pPr>
    </w:p>
    <w:p w14:paraId="7E8709FC" w14:textId="77777777" w:rsidR="002E144A" w:rsidRDefault="002E144A" w:rsidP="002E144A">
      <w:pPr>
        <w:pBdr>
          <w:bottom w:val="single" w:sz="24" w:space="1" w:color="591200" w:themeColor="accent6" w:themeShade="80"/>
        </w:pBdr>
        <w:spacing w:after="0"/>
        <w:jc w:val="center"/>
        <w:rPr>
          <w:rFonts w:ascii="Californian FB" w:hAnsi="Californian FB"/>
          <w:b/>
          <w:bCs/>
          <w:color w:val="000000" w:themeColor="text1"/>
          <w:sz w:val="36"/>
          <w:szCs w:val="32"/>
        </w:rPr>
      </w:pPr>
    </w:p>
    <w:p w14:paraId="3050995C" w14:textId="77777777" w:rsidR="00865C2C" w:rsidRDefault="00865C2C" w:rsidP="002E144A">
      <w:pPr>
        <w:pBdr>
          <w:bottom w:val="single" w:sz="24" w:space="1" w:color="591200" w:themeColor="accent6" w:themeShade="80"/>
        </w:pBdr>
        <w:spacing w:after="0"/>
        <w:jc w:val="center"/>
        <w:rPr>
          <w:rFonts w:ascii="Californian FB" w:hAnsi="Californian FB"/>
          <w:b/>
          <w:bCs/>
          <w:color w:val="000000" w:themeColor="text1"/>
          <w:sz w:val="36"/>
          <w:szCs w:val="32"/>
        </w:rPr>
      </w:pPr>
    </w:p>
    <w:p w14:paraId="451AEC3A" w14:textId="77777777" w:rsidR="002E144A" w:rsidRDefault="002E144A" w:rsidP="002E144A">
      <w:pPr>
        <w:pBdr>
          <w:bottom w:val="single" w:sz="24" w:space="1" w:color="591200" w:themeColor="accent6" w:themeShade="80"/>
        </w:pBdr>
        <w:spacing w:after="0"/>
        <w:jc w:val="center"/>
        <w:rPr>
          <w:rFonts w:ascii="Californian FB" w:hAnsi="Californian FB"/>
          <w:b/>
          <w:bCs/>
          <w:color w:val="000000" w:themeColor="text1"/>
          <w:sz w:val="36"/>
          <w:szCs w:val="32"/>
        </w:rPr>
      </w:pPr>
    </w:p>
    <w:p w14:paraId="5F902F04" w14:textId="77777777" w:rsidR="002E144A" w:rsidRDefault="002E144A" w:rsidP="002E144A">
      <w:pPr>
        <w:pBdr>
          <w:bottom w:val="single" w:sz="24" w:space="1" w:color="591200" w:themeColor="accent6" w:themeShade="80"/>
        </w:pBdr>
        <w:spacing w:after="0"/>
        <w:jc w:val="center"/>
        <w:rPr>
          <w:rFonts w:ascii="Californian FB" w:hAnsi="Californian FB"/>
          <w:b/>
          <w:bCs/>
          <w:color w:val="000000" w:themeColor="text1"/>
          <w:sz w:val="36"/>
          <w:szCs w:val="32"/>
        </w:rPr>
      </w:pPr>
    </w:p>
    <w:p w14:paraId="75A0CECD" w14:textId="74F469EA" w:rsidR="00FF5FF5" w:rsidRPr="00CB5231" w:rsidRDefault="00C23413" w:rsidP="002E144A">
      <w:pPr>
        <w:pBdr>
          <w:bottom w:val="single" w:sz="24" w:space="1" w:color="591200" w:themeColor="accent6" w:themeShade="80"/>
        </w:pBdr>
        <w:spacing w:after="0"/>
        <w:jc w:val="center"/>
        <w:rPr>
          <w:rFonts w:ascii="Californian FB" w:hAnsi="Californian FB"/>
          <w:b/>
          <w:bCs/>
          <w:color w:val="680000"/>
          <w:sz w:val="24"/>
        </w:rPr>
      </w:pPr>
      <w:r w:rsidRPr="00FA7927">
        <w:rPr>
          <w:rFonts w:ascii="Californian FB" w:hAnsi="Californian FB"/>
          <w:b/>
          <w:bCs/>
          <w:color w:val="000000" w:themeColor="text1"/>
          <w:sz w:val="36"/>
          <w:szCs w:val="32"/>
        </w:rPr>
        <w:br/>
      </w:r>
      <w:r w:rsidR="00FF5FF5" w:rsidRPr="00CB5231">
        <w:rPr>
          <w:rFonts w:ascii="Californian FB" w:hAnsi="Californian FB"/>
          <w:b/>
          <w:bCs/>
          <w:color w:val="680000"/>
          <w:sz w:val="28"/>
          <w:szCs w:val="24"/>
        </w:rPr>
        <w:t>Multistate Tax Commission</w:t>
      </w:r>
    </w:p>
    <w:p w14:paraId="352A811D" w14:textId="3FF0858D" w:rsidR="00FF5FF5" w:rsidRDefault="00FF5FF5" w:rsidP="002E144A">
      <w:pPr>
        <w:pBdr>
          <w:bottom w:val="single" w:sz="24" w:space="1" w:color="591200" w:themeColor="accent6" w:themeShade="80"/>
        </w:pBdr>
        <w:spacing w:after="0"/>
        <w:jc w:val="center"/>
        <w:rPr>
          <w:rFonts w:ascii="Californian FB" w:hAnsi="Californian FB"/>
          <w:b/>
          <w:bCs/>
          <w:color w:val="680000"/>
          <w:sz w:val="24"/>
        </w:rPr>
      </w:pPr>
      <w:r w:rsidRPr="00865C2C">
        <w:rPr>
          <w:rFonts w:ascii="Californian FB" w:hAnsi="Californian FB"/>
          <w:b/>
          <w:bCs/>
          <w:color w:val="680000"/>
          <w:sz w:val="24"/>
        </w:rPr>
        <w:t xml:space="preserve">DRAFT – </w:t>
      </w:r>
      <w:r w:rsidR="00EC7718">
        <w:rPr>
          <w:rFonts w:ascii="Californian FB" w:hAnsi="Californian FB"/>
          <w:b/>
          <w:bCs/>
          <w:color w:val="680000"/>
          <w:sz w:val="24"/>
        </w:rPr>
        <w:t>MAY 19</w:t>
      </w:r>
      <w:r w:rsidR="00865C2C">
        <w:rPr>
          <w:rFonts w:ascii="Californian FB" w:hAnsi="Californian FB"/>
          <w:b/>
          <w:bCs/>
          <w:color w:val="680000"/>
          <w:sz w:val="24"/>
        </w:rPr>
        <w:t>, 2025</w:t>
      </w:r>
    </w:p>
    <w:p w14:paraId="02A47423" w14:textId="5E31F6F7" w:rsidR="00EC7718" w:rsidRPr="00865C2C" w:rsidRDefault="008A0890" w:rsidP="002E144A">
      <w:pPr>
        <w:pBdr>
          <w:bottom w:val="single" w:sz="24" w:space="1" w:color="591200" w:themeColor="accent6" w:themeShade="80"/>
        </w:pBdr>
        <w:spacing w:after="0"/>
        <w:jc w:val="center"/>
        <w:rPr>
          <w:rFonts w:ascii="Californian FB" w:hAnsi="Californian FB"/>
          <w:b/>
          <w:bCs/>
          <w:color w:val="680000"/>
          <w:sz w:val="24"/>
        </w:rPr>
      </w:pPr>
      <w:r>
        <w:rPr>
          <w:rFonts w:ascii="Californian FB" w:hAnsi="Californian FB"/>
          <w:b/>
          <w:bCs/>
          <w:color w:val="680000"/>
          <w:sz w:val="24"/>
          <w:highlight w:val="yellow"/>
        </w:rPr>
        <w:t>Sections with s</w:t>
      </w:r>
      <w:r w:rsidR="00EC7718" w:rsidRPr="00EC7718">
        <w:rPr>
          <w:rFonts w:ascii="Californian FB" w:hAnsi="Californian FB"/>
          <w:b/>
          <w:bCs/>
          <w:color w:val="680000"/>
          <w:sz w:val="24"/>
          <w:highlight w:val="yellow"/>
        </w:rPr>
        <w:t>ubstantive changes are highlighted in yellow.</w:t>
      </w:r>
    </w:p>
    <w:p w14:paraId="3AA80C14" w14:textId="77777777" w:rsidR="00FF5FF5" w:rsidRPr="00865C2C" w:rsidRDefault="00FF5FF5" w:rsidP="002E144A">
      <w:pPr>
        <w:pBdr>
          <w:bottom w:val="single" w:sz="24" w:space="1" w:color="591200" w:themeColor="accent6" w:themeShade="80"/>
        </w:pBdr>
        <w:shd w:val="clear" w:color="auto" w:fill="FFFFFF" w:themeFill="background1"/>
        <w:spacing w:after="0"/>
        <w:jc w:val="center"/>
        <w:rPr>
          <w:rFonts w:ascii="Californian FB" w:hAnsi="Californian FB"/>
          <w:b/>
          <w:bCs/>
          <w:color w:val="680000"/>
          <w:sz w:val="24"/>
        </w:rPr>
      </w:pPr>
      <w:r w:rsidRPr="00F95EE8">
        <w:rPr>
          <w:rFonts w:ascii="Californian FB" w:hAnsi="Californian FB"/>
          <w:b/>
          <w:bCs/>
          <w:color w:val="680000"/>
          <w:sz w:val="40"/>
          <w:szCs w:val="36"/>
        </w:rPr>
        <w:t>FOR DISCUSSION PURPOSES ONLY</w:t>
      </w:r>
    </w:p>
    <w:p w14:paraId="7392B63F" w14:textId="77777777" w:rsidR="009E7F86" w:rsidRDefault="009E7F86" w:rsidP="009E7F86">
      <w:pPr>
        <w:pBdr>
          <w:bottom w:val="single" w:sz="24" w:space="1" w:color="591200" w:themeColor="accent6" w:themeShade="80"/>
        </w:pBdr>
        <w:shd w:val="clear" w:color="auto" w:fill="FFFFFF" w:themeFill="background1"/>
        <w:rPr>
          <w:i/>
          <w:iCs/>
          <w:sz w:val="22"/>
          <w:szCs w:val="20"/>
        </w:rPr>
      </w:pPr>
    </w:p>
    <w:p w14:paraId="41B8EF1F" w14:textId="175925A7" w:rsidR="00E85560" w:rsidRPr="00435DBA" w:rsidRDefault="009B161D" w:rsidP="00435DBA">
      <w:pPr>
        <w:shd w:val="clear" w:color="auto" w:fill="FFFFFF" w:themeFill="background1"/>
        <w:ind w:left="-720" w:right="-720"/>
        <w:jc w:val="center"/>
        <w:rPr>
          <w:i/>
          <w:iCs/>
          <w:sz w:val="18"/>
          <w:szCs w:val="18"/>
        </w:rPr>
      </w:pPr>
      <w:r w:rsidRPr="00435DBA">
        <w:rPr>
          <w:i/>
          <w:iCs/>
          <w:sz w:val="18"/>
          <w:szCs w:val="18"/>
        </w:rPr>
        <w:t xml:space="preserve">This white paper is prepared by the Multistate Tax Commission </w:t>
      </w:r>
      <w:r w:rsidR="00120DCC" w:rsidRPr="00435DBA">
        <w:rPr>
          <w:i/>
          <w:iCs/>
          <w:sz w:val="18"/>
          <w:szCs w:val="18"/>
        </w:rPr>
        <w:t>(MTC)</w:t>
      </w:r>
      <w:r w:rsidR="00C93290" w:rsidRPr="00435DBA">
        <w:rPr>
          <w:i/>
          <w:iCs/>
          <w:sz w:val="18"/>
          <w:szCs w:val="18"/>
        </w:rPr>
        <w:t xml:space="preserve"> </w:t>
      </w:r>
      <w:r w:rsidR="004E378F">
        <w:rPr>
          <w:i/>
          <w:iCs/>
          <w:sz w:val="18"/>
          <w:szCs w:val="18"/>
        </w:rPr>
        <w:t>with input</w:t>
      </w:r>
      <w:r w:rsidR="00B32636">
        <w:rPr>
          <w:i/>
          <w:iCs/>
          <w:sz w:val="18"/>
          <w:szCs w:val="18"/>
        </w:rPr>
        <w:t xml:space="preserve"> </w:t>
      </w:r>
      <w:r w:rsidR="004E378F">
        <w:rPr>
          <w:i/>
          <w:iCs/>
          <w:sz w:val="18"/>
          <w:szCs w:val="18"/>
        </w:rPr>
        <w:t xml:space="preserve">from a work group of state participants </w:t>
      </w:r>
      <w:r w:rsidR="0016511A">
        <w:rPr>
          <w:i/>
          <w:iCs/>
          <w:sz w:val="18"/>
          <w:szCs w:val="18"/>
        </w:rPr>
        <w:t>and the public</w:t>
      </w:r>
      <w:r w:rsidR="00432ABB">
        <w:rPr>
          <w:i/>
          <w:iCs/>
          <w:sz w:val="18"/>
          <w:szCs w:val="18"/>
        </w:rPr>
        <w:t xml:space="preserve">.  </w:t>
      </w:r>
      <w:r w:rsidR="00432ABB">
        <w:rPr>
          <w:i/>
          <w:iCs/>
          <w:sz w:val="18"/>
          <w:szCs w:val="18"/>
        </w:rPr>
        <w:br/>
        <w:t xml:space="preserve">It is </w:t>
      </w:r>
      <w:r w:rsidRPr="00435DBA">
        <w:rPr>
          <w:i/>
          <w:iCs/>
          <w:sz w:val="18"/>
          <w:szCs w:val="18"/>
        </w:rPr>
        <w:t xml:space="preserve">part of </w:t>
      </w:r>
      <w:r w:rsidR="00EE070D" w:rsidRPr="00435DBA">
        <w:rPr>
          <w:i/>
          <w:iCs/>
          <w:sz w:val="18"/>
          <w:szCs w:val="18"/>
        </w:rPr>
        <w:t>the MTC’s</w:t>
      </w:r>
      <w:r w:rsidR="00756309" w:rsidRPr="00435DBA">
        <w:rPr>
          <w:i/>
          <w:iCs/>
          <w:sz w:val="18"/>
          <w:szCs w:val="18"/>
        </w:rPr>
        <w:t xml:space="preserve"> </w:t>
      </w:r>
      <w:r w:rsidRPr="00435DBA">
        <w:rPr>
          <w:i/>
          <w:iCs/>
          <w:sz w:val="18"/>
          <w:szCs w:val="18"/>
        </w:rPr>
        <w:t>uniformity project on state taxation of partnerships</w:t>
      </w:r>
      <w:r w:rsidR="00EE070D" w:rsidRPr="00435DBA">
        <w:rPr>
          <w:i/>
          <w:iCs/>
          <w:sz w:val="18"/>
          <w:szCs w:val="18"/>
        </w:rPr>
        <w:t>,</w:t>
      </w:r>
      <w:r w:rsidR="00C93290" w:rsidRPr="00435DBA">
        <w:rPr>
          <w:i/>
          <w:iCs/>
          <w:sz w:val="18"/>
          <w:szCs w:val="18"/>
        </w:rPr>
        <w:t xml:space="preserve"> </w:t>
      </w:r>
      <w:r w:rsidR="00B32636">
        <w:rPr>
          <w:i/>
          <w:iCs/>
          <w:sz w:val="18"/>
          <w:szCs w:val="18"/>
        </w:rPr>
        <w:t xml:space="preserve">is </w:t>
      </w:r>
      <w:r w:rsidR="00C93290" w:rsidRPr="00435DBA">
        <w:rPr>
          <w:i/>
          <w:iCs/>
          <w:sz w:val="18"/>
          <w:szCs w:val="18"/>
        </w:rPr>
        <w:t>published as of the date shown,</w:t>
      </w:r>
      <w:r w:rsidRPr="00435DBA">
        <w:rPr>
          <w:i/>
          <w:iCs/>
          <w:sz w:val="18"/>
          <w:szCs w:val="18"/>
        </w:rPr>
        <w:t xml:space="preserve"> and </w:t>
      </w:r>
      <w:r w:rsidR="002E144A">
        <w:rPr>
          <w:i/>
          <w:iCs/>
          <w:sz w:val="18"/>
          <w:szCs w:val="18"/>
        </w:rPr>
        <w:t xml:space="preserve">is </w:t>
      </w:r>
      <w:r w:rsidRPr="00435DBA">
        <w:rPr>
          <w:i/>
          <w:iCs/>
          <w:sz w:val="18"/>
          <w:szCs w:val="18"/>
        </w:rPr>
        <w:t>subject to revision.</w:t>
      </w:r>
      <w:r w:rsidR="002E144A">
        <w:rPr>
          <w:i/>
          <w:iCs/>
          <w:sz w:val="18"/>
          <w:szCs w:val="18"/>
        </w:rPr>
        <w:t xml:space="preserve"> </w:t>
      </w:r>
      <w:r w:rsidR="00EE070D" w:rsidRPr="00435DBA">
        <w:rPr>
          <w:i/>
          <w:iCs/>
          <w:sz w:val="18"/>
          <w:szCs w:val="18"/>
        </w:rPr>
        <w:t>This draft white paper is not intended to provide accounting or legal advice to taxpayers and cannot be cited for that purpose.</w:t>
      </w:r>
      <w:r w:rsidR="00F95EE8">
        <w:rPr>
          <w:i/>
          <w:iCs/>
          <w:sz w:val="18"/>
          <w:szCs w:val="18"/>
        </w:rPr>
        <w:br/>
        <w:t>This draft is intended for discussion purposes only.</w:t>
      </w:r>
    </w:p>
    <w:p w14:paraId="0DC1296C" w14:textId="3899236E" w:rsidR="006D40CB" w:rsidRDefault="00EE070D" w:rsidP="006066C8">
      <w:pPr>
        <w:shd w:val="clear" w:color="auto" w:fill="FFFFFF" w:themeFill="background1"/>
        <w:ind w:left="-720" w:right="-720"/>
        <w:jc w:val="center"/>
        <w:rPr>
          <w:i/>
          <w:iCs/>
          <w:sz w:val="18"/>
          <w:szCs w:val="18"/>
        </w:rPr>
      </w:pPr>
      <w:r w:rsidRPr="00435DBA">
        <w:rPr>
          <w:i/>
          <w:iCs/>
          <w:sz w:val="18"/>
          <w:szCs w:val="18"/>
        </w:rPr>
        <w:t xml:space="preserve">Those with questions on the white paper </w:t>
      </w:r>
      <w:r w:rsidR="00AB4E9B" w:rsidRPr="00435DBA">
        <w:rPr>
          <w:i/>
          <w:iCs/>
          <w:sz w:val="18"/>
          <w:szCs w:val="18"/>
        </w:rPr>
        <w:t>may</w:t>
      </w:r>
      <w:r w:rsidRPr="00435DBA">
        <w:rPr>
          <w:i/>
          <w:iCs/>
          <w:sz w:val="18"/>
          <w:szCs w:val="18"/>
        </w:rPr>
        <w:t xml:space="preserve"> contact Helen Hecht, at </w:t>
      </w:r>
      <w:hyperlink r:id="rId10" w:history="1">
        <w:r w:rsidRPr="00435DBA">
          <w:rPr>
            <w:rStyle w:val="Hyperlink"/>
            <w:i/>
            <w:iCs/>
            <w:sz w:val="18"/>
            <w:szCs w:val="18"/>
          </w:rPr>
          <w:t>hhecht@mtc.gov</w:t>
        </w:r>
      </w:hyperlink>
      <w:r w:rsidRPr="00435DBA">
        <w:rPr>
          <w:i/>
          <w:iCs/>
          <w:sz w:val="18"/>
          <w:szCs w:val="18"/>
        </w:rPr>
        <w:t xml:space="preserve">.  </w:t>
      </w:r>
    </w:p>
    <w:p w14:paraId="5EFE7F4B" w14:textId="047A1E72" w:rsidR="009646C5" w:rsidRDefault="009E7F86" w:rsidP="009E7F86">
      <w:pPr>
        <w:pStyle w:val="Heading1"/>
      </w:pPr>
      <w:bookmarkStart w:id="1" w:name="_Toc198480703"/>
      <w:bookmarkStart w:id="2" w:name="_Toc104209200"/>
      <w:r>
        <w:lastRenderedPageBreak/>
        <w:t>Table of Contents</w:t>
      </w:r>
      <w:bookmarkEnd w:id="1"/>
    </w:p>
    <w:sdt>
      <w:sdtPr>
        <w:rPr>
          <w:rFonts w:ascii="Cambria" w:eastAsiaTheme="minorHAnsi" w:hAnsi="Cambria" w:cstheme="minorBidi"/>
          <w:smallCaps w:val="0"/>
          <w:color w:val="auto"/>
          <w:sz w:val="20"/>
          <w:szCs w:val="22"/>
        </w:rPr>
        <w:id w:val="-563417472"/>
        <w:docPartObj>
          <w:docPartGallery w:val="Table of Contents"/>
          <w:docPartUnique/>
        </w:docPartObj>
      </w:sdtPr>
      <w:sdtEndPr>
        <w:rPr>
          <w:b/>
          <w:bCs/>
          <w:noProof/>
        </w:rPr>
      </w:sdtEndPr>
      <w:sdtContent>
        <w:p w14:paraId="22557870" w14:textId="7822EEF2" w:rsidR="00F717F0" w:rsidRDefault="00F717F0">
          <w:pPr>
            <w:pStyle w:val="TOCHeading"/>
          </w:pPr>
          <w:r>
            <w:t>Contents</w:t>
          </w:r>
        </w:p>
        <w:p w14:paraId="6F988FAC" w14:textId="632E36FB" w:rsidR="007F19FE" w:rsidRDefault="00F717F0">
          <w:pPr>
            <w:pStyle w:val="TOC1"/>
            <w:rPr>
              <w:rFonts w:asciiTheme="minorHAnsi" w:eastAsiaTheme="minorEastAsia" w:hAnsiTheme="minorHAnsi"/>
              <w:b w:val="0"/>
              <w:bCs w:val="0"/>
              <w:noProof/>
              <w:color w:val="auto"/>
              <w:kern w:val="2"/>
              <w:sz w:val="24"/>
              <w:szCs w:val="24"/>
              <w14:ligatures w14:val="standardContextual"/>
            </w:rPr>
          </w:pPr>
          <w:r>
            <w:fldChar w:fldCharType="begin"/>
          </w:r>
          <w:r>
            <w:instrText xml:space="preserve"> TOC \o "1-3" \h \z \u </w:instrText>
          </w:r>
          <w:r>
            <w:fldChar w:fldCharType="separate"/>
          </w:r>
          <w:hyperlink w:anchor="_Toc198480703" w:history="1">
            <w:r w:rsidR="007F19FE" w:rsidRPr="00BA057C">
              <w:rPr>
                <w:rStyle w:val="Hyperlink"/>
                <w:noProof/>
              </w:rPr>
              <w:t>Table of Contents</w:t>
            </w:r>
            <w:r w:rsidR="007F19FE">
              <w:rPr>
                <w:noProof/>
                <w:webHidden/>
              </w:rPr>
              <w:tab/>
            </w:r>
            <w:r w:rsidR="007F19FE">
              <w:rPr>
                <w:noProof/>
                <w:webHidden/>
              </w:rPr>
              <w:fldChar w:fldCharType="begin"/>
            </w:r>
            <w:r w:rsidR="007F19FE">
              <w:rPr>
                <w:noProof/>
                <w:webHidden/>
              </w:rPr>
              <w:instrText xml:space="preserve"> PAGEREF _Toc198480703 \h </w:instrText>
            </w:r>
            <w:r w:rsidR="007F19FE">
              <w:rPr>
                <w:noProof/>
                <w:webHidden/>
              </w:rPr>
            </w:r>
            <w:r w:rsidR="007F19FE">
              <w:rPr>
                <w:noProof/>
                <w:webHidden/>
              </w:rPr>
              <w:fldChar w:fldCharType="separate"/>
            </w:r>
            <w:r w:rsidR="007F19FE">
              <w:rPr>
                <w:noProof/>
                <w:webHidden/>
              </w:rPr>
              <w:t>2</w:t>
            </w:r>
            <w:r w:rsidR="007F19FE">
              <w:rPr>
                <w:noProof/>
                <w:webHidden/>
              </w:rPr>
              <w:fldChar w:fldCharType="end"/>
            </w:r>
          </w:hyperlink>
        </w:p>
        <w:p w14:paraId="4ACCA142" w14:textId="7D65D9CC" w:rsidR="007F19FE" w:rsidRDefault="007F19FE">
          <w:pPr>
            <w:pStyle w:val="TOC1"/>
            <w:rPr>
              <w:rFonts w:asciiTheme="minorHAnsi" w:eastAsiaTheme="minorEastAsia" w:hAnsiTheme="minorHAnsi"/>
              <w:b w:val="0"/>
              <w:bCs w:val="0"/>
              <w:noProof/>
              <w:color w:val="auto"/>
              <w:kern w:val="2"/>
              <w:sz w:val="24"/>
              <w:szCs w:val="24"/>
              <w14:ligatures w14:val="standardContextual"/>
            </w:rPr>
          </w:pPr>
          <w:hyperlink w:anchor="_Toc198480704" w:history="1">
            <w:r w:rsidRPr="00BA057C">
              <w:rPr>
                <w:rStyle w:val="Hyperlink"/>
                <w:noProof/>
              </w:rPr>
              <w:t>Introduction to the White Paper</w:t>
            </w:r>
            <w:r>
              <w:rPr>
                <w:noProof/>
                <w:webHidden/>
              </w:rPr>
              <w:tab/>
            </w:r>
            <w:r>
              <w:rPr>
                <w:noProof/>
                <w:webHidden/>
              </w:rPr>
              <w:fldChar w:fldCharType="begin"/>
            </w:r>
            <w:r>
              <w:rPr>
                <w:noProof/>
                <w:webHidden/>
              </w:rPr>
              <w:instrText xml:space="preserve"> PAGEREF _Toc198480704 \h </w:instrText>
            </w:r>
            <w:r>
              <w:rPr>
                <w:noProof/>
                <w:webHidden/>
              </w:rPr>
            </w:r>
            <w:r>
              <w:rPr>
                <w:noProof/>
                <w:webHidden/>
              </w:rPr>
              <w:fldChar w:fldCharType="separate"/>
            </w:r>
            <w:r>
              <w:rPr>
                <w:noProof/>
                <w:webHidden/>
              </w:rPr>
              <w:t>5</w:t>
            </w:r>
            <w:r>
              <w:rPr>
                <w:noProof/>
                <w:webHidden/>
              </w:rPr>
              <w:fldChar w:fldCharType="end"/>
            </w:r>
          </w:hyperlink>
        </w:p>
        <w:p w14:paraId="275350D9" w14:textId="1E84565A" w:rsidR="007F19FE" w:rsidRDefault="007F19FE">
          <w:pPr>
            <w:pStyle w:val="TOC3"/>
            <w:rPr>
              <w:rFonts w:asciiTheme="minorHAnsi" w:eastAsiaTheme="minorEastAsia" w:hAnsiTheme="minorHAnsi"/>
              <w:noProof/>
              <w:kern w:val="2"/>
              <w:sz w:val="24"/>
              <w:szCs w:val="24"/>
              <w14:ligatures w14:val="standardContextual"/>
            </w:rPr>
          </w:pPr>
          <w:hyperlink w:anchor="_Toc198480705" w:history="1">
            <w:r w:rsidRPr="00BA057C">
              <w:rPr>
                <w:rStyle w:val="Hyperlink"/>
                <w:noProof/>
              </w:rPr>
              <w:t>Preparation</w:t>
            </w:r>
            <w:r>
              <w:rPr>
                <w:noProof/>
                <w:webHidden/>
              </w:rPr>
              <w:tab/>
            </w:r>
            <w:r>
              <w:rPr>
                <w:noProof/>
                <w:webHidden/>
              </w:rPr>
              <w:fldChar w:fldCharType="begin"/>
            </w:r>
            <w:r>
              <w:rPr>
                <w:noProof/>
                <w:webHidden/>
              </w:rPr>
              <w:instrText xml:space="preserve"> PAGEREF _Toc198480705 \h </w:instrText>
            </w:r>
            <w:r>
              <w:rPr>
                <w:noProof/>
                <w:webHidden/>
              </w:rPr>
            </w:r>
            <w:r>
              <w:rPr>
                <w:noProof/>
                <w:webHidden/>
              </w:rPr>
              <w:fldChar w:fldCharType="separate"/>
            </w:r>
            <w:r>
              <w:rPr>
                <w:noProof/>
                <w:webHidden/>
              </w:rPr>
              <w:t>5</w:t>
            </w:r>
            <w:r>
              <w:rPr>
                <w:noProof/>
                <w:webHidden/>
              </w:rPr>
              <w:fldChar w:fldCharType="end"/>
            </w:r>
          </w:hyperlink>
        </w:p>
        <w:p w14:paraId="42514F93" w14:textId="4C2CD3CF" w:rsidR="007F19FE" w:rsidRDefault="007F19FE">
          <w:pPr>
            <w:pStyle w:val="TOC3"/>
            <w:rPr>
              <w:rFonts w:asciiTheme="minorHAnsi" w:eastAsiaTheme="minorEastAsia" w:hAnsiTheme="minorHAnsi"/>
              <w:noProof/>
              <w:kern w:val="2"/>
              <w:sz w:val="24"/>
              <w:szCs w:val="24"/>
              <w14:ligatures w14:val="standardContextual"/>
            </w:rPr>
          </w:pPr>
          <w:hyperlink w:anchor="_Toc198480706" w:history="1">
            <w:r w:rsidRPr="00BA057C">
              <w:rPr>
                <w:rStyle w:val="Hyperlink"/>
                <w:noProof/>
              </w:rPr>
              <w:t>Reasons</w:t>
            </w:r>
            <w:r>
              <w:rPr>
                <w:noProof/>
                <w:webHidden/>
              </w:rPr>
              <w:tab/>
            </w:r>
            <w:r>
              <w:rPr>
                <w:noProof/>
                <w:webHidden/>
              </w:rPr>
              <w:fldChar w:fldCharType="begin"/>
            </w:r>
            <w:r>
              <w:rPr>
                <w:noProof/>
                <w:webHidden/>
              </w:rPr>
              <w:instrText xml:space="preserve"> PAGEREF _Toc198480706 \h </w:instrText>
            </w:r>
            <w:r>
              <w:rPr>
                <w:noProof/>
                <w:webHidden/>
              </w:rPr>
            </w:r>
            <w:r>
              <w:rPr>
                <w:noProof/>
                <w:webHidden/>
              </w:rPr>
              <w:fldChar w:fldCharType="separate"/>
            </w:r>
            <w:r>
              <w:rPr>
                <w:noProof/>
                <w:webHidden/>
              </w:rPr>
              <w:t>5</w:t>
            </w:r>
            <w:r>
              <w:rPr>
                <w:noProof/>
                <w:webHidden/>
              </w:rPr>
              <w:fldChar w:fldCharType="end"/>
            </w:r>
          </w:hyperlink>
        </w:p>
        <w:p w14:paraId="4466A3D4" w14:textId="12192BA2" w:rsidR="007F19FE" w:rsidRDefault="007F19FE">
          <w:pPr>
            <w:pStyle w:val="TOC3"/>
            <w:rPr>
              <w:rFonts w:asciiTheme="minorHAnsi" w:eastAsiaTheme="minorEastAsia" w:hAnsiTheme="minorHAnsi"/>
              <w:noProof/>
              <w:kern w:val="2"/>
              <w:sz w:val="24"/>
              <w:szCs w:val="24"/>
              <w14:ligatures w14:val="standardContextual"/>
            </w:rPr>
          </w:pPr>
          <w:hyperlink w:anchor="_Toc198480707" w:history="1">
            <w:r w:rsidRPr="00BA057C">
              <w:rPr>
                <w:rStyle w:val="Hyperlink"/>
                <w:noProof/>
              </w:rPr>
              <w:t>Scope</w:t>
            </w:r>
            <w:r>
              <w:rPr>
                <w:noProof/>
                <w:webHidden/>
              </w:rPr>
              <w:tab/>
            </w:r>
            <w:r>
              <w:rPr>
                <w:noProof/>
                <w:webHidden/>
              </w:rPr>
              <w:fldChar w:fldCharType="begin"/>
            </w:r>
            <w:r>
              <w:rPr>
                <w:noProof/>
                <w:webHidden/>
              </w:rPr>
              <w:instrText xml:space="preserve"> PAGEREF _Toc198480707 \h </w:instrText>
            </w:r>
            <w:r>
              <w:rPr>
                <w:noProof/>
                <w:webHidden/>
              </w:rPr>
            </w:r>
            <w:r>
              <w:rPr>
                <w:noProof/>
                <w:webHidden/>
              </w:rPr>
              <w:fldChar w:fldCharType="separate"/>
            </w:r>
            <w:r>
              <w:rPr>
                <w:noProof/>
                <w:webHidden/>
              </w:rPr>
              <w:t>5</w:t>
            </w:r>
            <w:r>
              <w:rPr>
                <w:noProof/>
                <w:webHidden/>
              </w:rPr>
              <w:fldChar w:fldCharType="end"/>
            </w:r>
          </w:hyperlink>
        </w:p>
        <w:p w14:paraId="30A7C54C" w14:textId="114348C1" w:rsidR="007F19FE" w:rsidRDefault="007F19FE">
          <w:pPr>
            <w:pStyle w:val="TOC3"/>
            <w:rPr>
              <w:rFonts w:asciiTheme="minorHAnsi" w:eastAsiaTheme="minorEastAsia" w:hAnsiTheme="minorHAnsi"/>
              <w:noProof/>
              <w:kern w:val="2"/>
              <w:sz w:val="24"/>
              <w:szCs w:val="24"/>
              <w14:ligatures w14:val="standardContextual"/>
            </w:rPr>
          </w:pPr>
          <w:hyperlink w:anchor="_Toc198480708" w:history="1">
            <w:r w:rsidRPr="00BA057C">
              <w:rPr>
                <w:rStyle w:val="Hyperlink"/>
                <w:noProof/>
              </w:rPr>
              <w:t>Approach</w:t>
            </w:r>
            <w:r>
              <w:rPr>
                <w:noProof/>
                <w:webHidden/>
              </w:rPr>
              <w:tab/>
            </w:r>
            <w:r>
              <w:rPr>
                <w:noProof/>
                <w:webHidden/>
              </w:rPr>
              <w:fldChar w:fldCharType="begin"/>
            </w:r>
            <w:r>
              <w:rPr>
                <w:noProof/>
                <w:webHidden/>
              </w:rPr>
              <w:instrText xml:space="preserve"> PAGEREF _Toc198480708 \h </w:instrText>
            </w:r>
            <w:r>
              <w:rPr>
                <w:noProof/>
                <w:webHidden/>
              </w:rPr>
            </w:r>
            <w:r>
              <w:rPr>
                <w:noProof/>
                <w:webHidden/>
              </w:rPr>
              <w:fldChar w:fldCharType="separate"/>
            </w:r>
            <w:r>
              <w:rPr>
                <w:noProof/>
                <w:webHidden/>
              </w:rPr>
              <w:t>5</w:t>
            </w:r>
            <w:r>
              <w:rPr>
                <w:noProof/>
                <w:webHidden/>
              </w:rPr>
              <w:fldChar w:fldCharType="end"/>
            </w:r>
          </w:hyperlink>
        </w:p>
        <w:p w14:paraId="2F48C0D0" w14:textId="27124902" w:rsidR="007F19FE" w:rsidRDefault="007F19FE">
          <w:pPr>
            <w:pStyle w:val="TOC1"/>
            <w:rPr>
              <w:rFonts w:asciiTheme="minorHAnsi" w:eastAsiaTheme="minorEastAsia" w:hAnsiTheme="minorHAnsi"/>
              <w:b w:val="0"/>
              <w:bCs w:val="0"/>
              <w:noProof/>
              <w:color w:val="auto"/>
              <w:kern w:val="2"/>
              <w:sz w:val="24"/>
              <w:szCs w:val="24"/>
              <w14:ligatures w14:val="standardContextual"/>
            </w:rPr>
          </w:pPr>
          <w:hyperlink w:anchor="_Toc198480709" w:history="1">
            <w:r w:rsidRPr="00BA057C">
              <w:rPr>
                <w:rStyle w:val="Hyperlink"/>
                <w:noProof/>
              </w:rPr>
              <w:t>Executive Summary</w:t>
            </w:r>
            <w:r>
              <w:rPr>
                <w:noProof/>
                <w:webHidden/>
              </w:rPr>
              <w:tab/>
            </w:r>
            <w:r>
              <w:rPr>
                <w:noProof/>
                <w:webHidden/>
              </w:rPr>
              <w:fldChar w:fldCharType="begin"/>
            </w:r>
            <w:r>
              <w:rPr>
                <w:noProof/>
                <w:webHidden/>
              </w:rPr>
              <w:instrText xml:space="preserve"> PAGEREF _Toc198480709 \h </w:instrText>
            </w:r>
            <w:r>
              <w:rPr>
                <w:noProof/>
                <w:webHidden/>
              </w:rPr>
            </w:r>
            <w:r>
              <w:rPr>
                <w:noProof/>
                <w:webHidden/>
              </w:rPr>
              <w:fldChar w:fldCharType="separate"/>
            </w:r>
            <w:r>
              <w:rPr>
                <w:noProof/>
                <w:webHidden/>
              </w:rPr>
              <w:t>6</w:t>
            </w:r>
            <w:r>
              <w:rPr>
                <w:noProof/>
                <w:webHidden/>
              </w:rPr>
              <w:fldChar w:fldCharType="end"/>
            </w:r>
          </w:hyperlink>
        </w:p>
        <w:p w14:paraId="1519BAFD" w14:textId="2DA79379" w:rsidR="007F19FE" w:rsidRDefault="007F19FE">
          <w:pPr>
            <w:pStyle w:val="TOC2"/>
            <w:tabs>
              <w:tab w:val="right" w:leader="dot" w:pos="8774"/>
            </w:tabs>
            <w:rPr>
              <w:rFonts w:asciiTheme="minorHAnsi" w:eastAsiaTheme="minorEastAsia" w:hAnsiTheme="minorHAnsi"/>
              <w:noProof/>
              <w:kern w:val="2"/>
              <w:sz w:val="24"/>
              <w:szCs w:val="24"/>
              <w14:ligatures w14:val="standardContextual"/>
            </w:rPr>
          </w:pPr>
          <w:hyperlink w:anchor="_Toc198480710" w:history="1">
            <w:r w:rsidRPr="00BA057C">
              <w:rPr>
                <w:rStyle w:val="Hyperlink"/>
                <w:noProof/>
              </w:rPr>
              <w:t>Findings</w:t>
            </w:r>
            <w:r>
              <w:rPr>
                <w:noProof/>
                <w:webHidden/>
              </w:rPr>
              <w:tab/>
            </w:r>
            <w:r>
              <w:rPr>
                <w:noProof/>
                <w:webHidden/>
              </w:rPr>
              <w:fldChar w:fldCharType="begin"/>
            </w:r>
            <w:r>
              <w:rPr>
                <w:noProof/>
                <w:webHidden/>
              </w:rPr>
              <w:instrText xml:space="preserve"> PAGEREF _Toc198480710 \h </w:instrText>
            </w:r>
            <w:r>
              <w:rPr>
                <w:noProof/>
                <w:webHidden/>
              </w:rPr>
            </w:r>
            <w:r>
              <w:rPr>
                <w:noProof/>
                <w:webHidden/>
              </w:rPr>
              <w:fldChar w:fldCharType="separate"/>
            </w:r>
            <w:r>
              <w:rPr>
                <w:noProof/>
                <w:webHidden/>
              </w:rPr>
              <w:t>6</w:t>
            </w:r>
            <w:r>
              <w:rPr>
                <w:noProof/>
                <w:webHidden/>
              </w:rPr>
              <w:fldChar w:fldCharType="end"/>
            </w:r>
          </w:hyperlink>
        </w:p>
        <w:p w14:paraId="17274412" w14:textId="20C48E20" w:rsidR="007F19FE" w:rsidRDefault="007F19FE">
          <w:pPr>
            <w:pStyle w:val="TOC2"/>
            <w:tabs>
              <w:tab w:val="right" w:leader="dot" w:pos="8774"/>
            </w:tabs>
            <w:rPr>
              <w:rFonts w:asciiTheme="minorHAnsi" w:eastAsiaTheme="minorEastAsia" w:hAnsiTheme="minorHAnsi"/>
              <w:noProof/>
              <w:kern w:val="2"/>
              <w:sz w:val="24"/>
              <w:szCs w:val="24"/>
              <w14:ligatures w14:val="standardContextual"/>
            </w:rPr>
          </w:pPr>
          <w:hyperlink w:anchor="_Toc198480711" w:history="1">
            <w:r w:rsidRPr="00BA057C">
              <w:rPr>
                <w:rStyle w:val="Hyperlink"/>
                <w:noProof/>
              </w:rPr>
              <w:t>Recommendations</w:t>
            </w:r>
            <w:r>
              <w:rPr>
                <w:noProof/>
                <w:webHidden/>
              </w:rPr>
              <w:tab/>
            </w:r>
            <w:r>
              <w:rPr>
                <w:noProof/>
                <w:webHidden/>
              </w:rPr>
              <w:fldChar w:fldCharType="begin"/>
            </w:r>
            <w:r>
              <w:rPr>
                <w:noProof/>
                <w:webHidden/>
              </w:rPr>
              <w:instrText xml:space="preserve"> PAGEREF _Toc198480711 \h </w:instrText>
            </w:r>
            <w:r>
              <w:rPr>
                <w:noProof/>
                <w:webHidden/>
              </w:rPr>
            </w:r>
            <w:r>
              <w:rPr>
                <w:noProof/>
                <w:webHidden/>
              </w:rPr>
              <w:fldChar w:fldCharType="separate"/>
            </w:r>
            <w:r>
              <w:rPr>
                <w:noProof/>
                <w:webHidden/>
              </w:rPr>
              <w:t>6</w:t>
            </w:r>
            <w:r>
              <w:rPr>
                <w:noProof/>
                <w:webHidden/>
              </w:rPr>
              <w:fldChar w:fldCharType="end"/>
            </w:r>
          </w:hyperlink>
        </w:p>
        <w:p w14:paraId="586B16F1" w14:textId="10884DF3" w:rsidR="007F19FE" w:rsidRDefault="007F19FE">
          <w:pPr>
            <w:pStyle w:val="TOC1"/>
            <w:rPr>
              <w:rFonts w:asciiTheme="minorHAnsi" w:eastAsiaTheme="minorEastAsia" w:hAnsiTheme="minorHAnsi"/>
              <w:b w:val="0"/>
              <w:bCs w:val="0"/>
              <w:noProof/>
              <w:color w:val="auto"/>
              <w:kern w:val="2"/>
              <w:sz w:val="24"/>
              <w:szCs w:val="24"/>
              <w14:ligatures w14:val="standardContextual"/>
            </w:rPr>
          </w:pPr>
          <w:hyperlink w:anchor="_Toc198480712" w:history="1">
            <w:r w:rsidRPr="00BA057C">
              <w:rPr>
                <w:rStyle w:val="Hyperlink"/>
                <w:noProof/>
              </w:rPr>
              <w:t>Section I. Important Context for Understanding the Issues</w:t>
            </w:r>
            <w:r>
              <w:rPr>
                <w:noProof/>
                <w:webHidden/>
              </w:rPr>
              <w:tab/>
            </w:r>
            <w:r>
              <w:rPr>
                <w:noProof/>
                <w:webHidden/>
              </w:rPr>
              <w:fldChar w:fldCharType="begin"/>
            </w:r>
            <w:r>
              <w:rPr>
                <w:noProof/>
                <w:webHidden/>
              </w:rPr>
              <w:instrText xml:space="preserve"> PAGEREF _Toc198480712 \h </w:instrText>
            </w:r>
            <w:r>
              <w:rPr>
                <w:noProof/>
                <w:webHidden/>
              </w:rPr>
            </w:r>
            <w:r>
              <w:rPr>
                <w:noProof/>
                <w:webHidden/>
              </w:rPr>
              <w:fldChar w:fldCharType="separate"/>
            </w:r>
            <w:r>
              <w:rPr>
                <w:noProof/>
                <w:webHidden/>
              </w:rPr>
              <w:t>7</w:t>
            </w:r>
            <w:r>
              <w:rPr>
                <w:noProof/>
                <w:webHidden/>
              </w:rPr>
              <w:fldChar w:fldCharType="end"/>
            </w:r>
          </w:hyperlink>
        </w:p>
        <w:p w14:paraId="1F5C026E" w14:textId="574EBEA6" w:rsidR="007F19FE" w:rsidRDefault="007F19FE">
          <w:pPr>
            <w:pStyle w:val="TOC2"/>
            <w:tabs>
              <w:tab w:val="right" w:leader="dot" w:pos="8774"/>
            </w:tabs>
            <w:rPr>
              <w:rFonts w:asciiTheme="minorHAnsi" w:eastAsiaTheme="minorEastAsia" w:hAnsiTheme="minorHAnsi"/>
              <w:noProof/>
              <w:kern w:val="2"/>
              <w:sz w:val="24"/>
              <w:szCs w:val="24"/>
              <w14:ligatures w14:val="standardContextual"/>
            </w:rPr>
          </w:pPr>
          <w:hyperlink w:anchor="_Toc198480713" w:history="1">
            <w:r w:rsidRPr="00BA057C">
              <w:rPr>
                <w:rStyle w:val="Hyperlink"/>
                <w:noProof/>
              </w:rPr>
              <w:t>I.A. Examples of Issues and Common Questions</w:t>
            </w:r>
            <w:r>
              <w:rPr>
                <w:noProof/>
                <w:webHidden/>
              </w:rPr>
              <w:tab/>
            </w:r>
            <w:r>
              <w:rPr>
                <w:noProof/>
                <w:webHidden/>
              </w:rPr>
              <w:fldChar w:fldCharType="begin"/>
            </w:r>
            <w:r>
              <w:rPr>
                <w:noProof/>
                <w:webHidden/>
              </w:rPr>
              <w:instrText xml:space="preserve"> PAGEREF _Toc198480713 \h </w:instrText>
            </w:r>
            <w:r>
              <w:rPr>
                <w:noProof/>
                <w:webHidden/>
              </w:rPr>
            </w:r>
            <w:r>
              <w:rPr>
                <w:noProof/>
                <w:webHidden/>
              </w:rPr>
              <w:fldChar w:fldCharType="separate"/>
            </w:r>
            <w:r>
              <w:rPr>
                <w:noProof/>
                <w:webHidden/>
              </w:rPr>
              <w:t>7</w:t>
            </w:r>
            <w:r>
              <w:rPr>
                <w:noProof/>
                <w:webHidden/>
              </w:rPr>
              <w:fldChar w:fldCharType="end"/>
            </w:r>
          </w:hyperlink>
        </w:p>
        <w:p w14:paraId="27D5F880" w14:textId="60A90A0D" w:rsidR="007F19FE" w:rsidRDefault="007F19FE">
          <w:pPr>
            <w:pStyle w:val="TOC3"/>
            <w:rPr>
              <w:rFonts w:asciiTheme="minorHAnsi" w:eastAsiaTheme="minorEastAsia" w:hAnsiTheme="minorHAnsi"/>
              <w:noProof/>
              <w:kern w:val="2"/>
              <w:sz w:val="24"/>
              <w:szCs w:val="24"/>
              <w14:ligatures w14:val="standardContextual"/>
            </w:rPr>
          </w:pPr>
          <w:hyperlink w:anchor="_Toc198480714" w:history="1">
            <w:r w:rsidRPr="00BA057C">
              <w:rPr>
                <w:rStyle w:val="Hyperlink"/>
                <w:noProof/>
              </w:rPr>
              <w:t>State Rules for Sourcing Multistate Income – Generally</w:t>
            </w:r>
            <w:r>
              <w:rPr>
                <w:noProof/>
                <w:webHidden/>
              </w:rPr>
              <w:tab/>
            </w:r>
            <w:r>
              <w:rPr>
                <w:noProof/>
                <w:webHidden/>
              </w:rPr>
              <w:fldChar w:fldCharType="begin"/>
            </w:r>
            <w:r>
              <w:rPr>
                <w:noProof/>
                <w:webHidden/>
              </w:rPr>
              <w:instrText xml:space="preserve"> PAGEREF _Toc198480714 \h </w:instrText>
            </w:r>
            <w:r>
              <w:rPr>
                <w:noProof/>
                <w:webHidden/>
              </w:rPr>
            </w:r>
            <w:r>
              <w:rPr>
                <w:noProof/>
                <w:webHidden/>
              </w:rPr>
              <w:fldChar w:fldCharType="separate"/>
            </w:r>
            <w:r>
              <w:rPr>
                <w:noProof/>
                <w:webHidden/>
              </w:rPr>
              <w:t>7</w:t>
            </w:r>
            <w:r>
              <w:rPr>
                <w:noProof/>
                <w:webHidden/>
              </w:rPr>
              <w:fldChar w:fldCharType="end"/>
            </w:r>
          </w:hyperlink>
        </w:p>
        <w:p w14:paraId="56AB055D" w14:textId="4FF12659" w:rsidR="007F19FE" w:rsidRDefault="007F19FE">
          <w:pPr>
            <w:pStyle w:val="TOC3"/>
            <w:rPr>
              <w:rFonts w:asciiTheme="minorHAnsi" w:eastAsiaTheme="minorEastAsia" w:hAnsiTheme="minorHAnsi"/>
              <w:noProof/>
              <w:kern w:val="2"/>
              <w:sz w:val="24"/>
              <w:szCs w:val="24"/>
              <w14:ligatures w14:val="standardContextual"/>
            </w:rPr>
          </w:pPr>
          <w:hyperlink w:anchor="_Toc198480715" w:history="1">
            <w:r w:rsidRPr="00BA057C">
              <w:rPr>
                <w:rStyle w:val="Hyperlink"/>
                <w:noProof/>
              </w:rPr>
              <w:t>Treatment of Related Entities - Generally</w:t>
            </w:r>
            <w:r>
              <w:rPr>
                <w:noProof/>
                <w:webHidden/>
              </w:rPr>
              <w:tab/>
            </w:r>
            <w:r>
              <w:rPr>
                <w:noProof/>
                <w:webHidden/>
              </w:rPr>
              <w:fldChar w:fldCharType="begin"/>
            </w:r>
            <w:r>
              <w:rPr>
                <w:noProof/>
                <w:webHidden/>
              </w:rPr>
              <w:instrText xml:space="preserve"> PAGEREF _Toc198480715 \h </w:instrText>
            </w:r>
            <w:r>
              <w:rPr>
                <w:noProof/>
                <w:webHidden/>
              </w:rPr>
            </w:r>
            <w:r>
              <w:rPr>
                <w:noProof/>
                <w:webHidden/>
              </w:rPr>
              <w:fldChar w:fldCharType="separate"/>
            </w:r>
            <w:r>
              <w:rPr>
                <w:noProof/>
                <w:webHidden/>
              </w:rPr>
              <w:t>7</w:t>
            </w:r>
            <w:r>
              <w:rPr>
                <w:noProof/>
                <w:webHidden/>
              </w:rPr>
              <w:fldChar w:fldCharType="end"/>
            </w:r>
          </w:hyperlink>
        </w:p>
        <w:p w14:paraId="79F9A9D5" w14:textId="43B8B1DE" w:rsidR="007F19FE" w:rsidRDefault="007F19FE">
          <w:pPr>
            <w:pStyle w:val="TOC3"/>
            <w:rPr>
              <w:rFonts w:asciiTheme="minorHAnsi" w:eastAsiaTheme="minorEastAsia" w:hAnsiTheme="minorHAnsi"/>
              <w:noProof/>
              <w:kern w:val="2"/>
              <w:sz w:val="24"/>
              <w:szCs w:val="24"/>
              <w14:ligatures w14:val="standardContextual"/>
            </w:rPr>
          </w:pPr>
          <w:hyperlink w:anchor="_Toc198480716" w:history="1">
            <w:r w:rsidRPr="00BA057C">
              <w:rPr>
                <w:rStyle w:val="Hyperlink"/>
                <w:noProof/>
              </w:rPr>
              <w:t>Examples of Issues Created by the Pass-Through System</w:t>
            </w:r>
            <w:r>
              <w:rPr>
                <w:noProof/>
                <w:webHidden/>
              </w:rPr>
              <w:tab/>
            </w:r>
            <w:r>
              <w:rPr>
                <w:noProof/>
                <w:webHidden/>
              </w:rPr>
              <w:fldChar w:fldCharType="begin"/>
            </w:r>
            <w:r>
              <w:rPr>
                <w:noProof/>
                <w:webHidden/>
              </w:rPr>
              <w:instrText xml:space="preserve"> PAGEREF _Toc198480716 \h </w:instrText>
            </w:r>
            <w:r>
              <w:rPr>
                <w:noProof/>
                <w:webHidden/>
              </w:rPr>
            </w:r>
            <w:r>
              <w:rPr>
                <w:noProof/>
                <w:webHidden/>
              </w:rPr>
              <w:fldChar w:fldCharType="separate"/>
            </w:r>
            <w:r>
              <w:rPr>
                <w:noProof/>
                <w:webHidden/>
              </w:rPr>
              <w:t>8</w:t>
            </w:r>
            <w:r>
              <w:rPr>
                <w:noProof/>
                <w:webHidden/>
              </w:rPr>
              <w:fldChar w:fldCharType="end"/>
            </w:r>
          </w:hyperlink>
        </w:p>
        <w:p w14:paraId="79F5438A" w14:textId="3E9483CD" w:rsidR="007F19FE" w:rsidRDefault="007F19FE">
          <w:pPr>
            <w:pStyle w:val="TOC3"/>
            <w:rPr>
              <w:rFonts w:asciiTheme="minorHAnsi" w:eastAsiaTheme="minorEastAsia" w:hAnsiTheme="minorHAnsi"/>
              <w:noProof/>
              <w:kern w:val="2"/>
              <w:sz w:val="24"/>
              <w:szCs w:val="24"/>
              <w14:ligatures w14:val="standardContextual"/>
            </w:rPr>
          </w:pPr>
          <w:hyperlink w:anchor="_Toc198480717" w:history="1">
            <w:r w:rsidRPr="00BA057C">
              <w:rPr>
                <w:rStyle w:val="Hyperlink"/>
                <w:noProof/>
              </w:rPr>
              <w:t>Summary of Some Common Questions</w:t>
            </w:r>
            <w:r>
              <w:rPr>
                <w:noProof/>
                <w:webHidden/>
              </w:rPr>
              <w:tab/>
            </w:r>
            <w:r>
              <w:rPr>
                <w:noProof/>
                <w:webHidden/>
              </w:rPr>
              <w:fldChar w:fldCharType="begin"/>
            </w:r>
            <w:r>
              <w:rPr>
                <w:noProof/>
                <w:webHidden/>
              </w:rPr>
              <w:instrText xml:space="preserve"> PAGEREF _Toc198480717 \h </w:instrText>
            </w:r>
            <w:r>
              <w:rPr>
                <w:noProof/>
                <w:webHidden/>
              </w:rPr>
            </w:r>
            <w:r>
              <w:rPr>
                <w:noProof/>
                <w:webHidden/>
              </w:rPr>
              <w:fldChar w:fldCharType="separate"/>
            </w:r>
            <w:r>
              <w:rPr>
                <w:noProof/>
                <w:webHidden/>
              </w:rPr>
              <w:t>10</w:t>
            </w:r>
            <w:r>
              <w:rPr>
                <w:noProof/>
                <w:webHidden/>
              </w:rPr>
              <w:fldChar w:fldCharType="end"/>
            </w:r>
          </w:hyperlink>
        </w:p>
        <w:p w14:paraId="512D0C61" w14:textId="3A5078EB" w:rsidR="007F19FE" w:rsidRDefault="007F19FE">
          <w:pPr>
            <w:pStyle w:val="TOC2"/>
            <w:tabs>
              <w:tab w:val="right" w:leader="dot" w:pos="8774"/>
            </w:tabs>
            <w:rPr>
              <w:rFonts w:asciiTheme="minorHAnsi" w:eastAsiaTheme="minorEastAsia" w:hAnsiTheme="minorHAnsi"/>
              <w:noProof/>
              <w:kern w:val="2"/>
              <w:sz w:val="24"/>
              <w:szCs w:val="24"/>
              <w14:ligatures w14:val="standardContextual"/>
            </w:rPr>
          </w:pPr>
          <w:hyperlink w:anchor="_Toc198480718" w:history="1">
            <w:r w:rsidRPr="00BA057C">
              <w:rPr>
                <w:rStyle w:val="Hyperlink"/>
                <w:noProof/>
              </w:rPr>
              <w:t>I. B. Overview of Important Law</w:t>
            </w:r>
            <w:r>
              <w:rPr>
                <w:noProof/>
                <w:webHidden/>
              </w:rPr>
              <w:tab/>
            </w:r>
            <w:r>
              <w:rPr>
                <w:noProof/>
                <w:webHidden/>
              </w:rPr>
              <w:fldChar w:fldCharType="begin"/>
            </w:r>
            <w:r>
              <w:rPr>
                <w:noProof/>
                <w:webHidden/>
              </w:rPr>
              <w:instrText xml:space="preserve"> PAGEREF _Toc198480718 \h </w:instrText>
            </w:r>
            <w:r>
              <w:rPr>
                <w:noProof/>
                <w:webHidden/>
              </w:rPr>
            </w:r>
            <w:r>
              <w:rPr>
                <w:noProof/>
                <w:webHidden/>
              </w:rPr>
              <w:fldChar w:fldCharType="separate"/>
            </w:r>
            <w:r>
              <w:rPr>
                <w:noProof/>
                <w:webHidden/>
              </w:rPr>
              <w:t>10</w:t>
            </w:r>
            <w:r>
              <w:rPr>
                <w:noProof/>
                <w:webHidden/>
              </w:rPr>
              <w:fldChar w:fldCharType="end"/>
            </w:r>
          </w:hyperlink>
        </w:p>
        <w:p w14:paraId="4840B9D5" w14:textId="7DB10E66" w:rsidR="007F19FE" w:rsidRDefault="007F19FE">
          <w:pPr>
            <w:pStyle w:val="TOC3"/>
            <w:rPr>
              <w:rFonts w:asciiTheme="minorHAnsi" w:eastAsiaTheme="minorEastAsia" w:hAnsiTheme="minorHAnsi"/>
              <w:noProof/>
              <w:kern w:val="2"/>
              <w:sz w:val="24"/>
              <w:szCs w:val="24"/>
              <w14:ligatures w14:val="standardContextual"/>
            </w:rPr>
          </w:pPr>
          <w:hyperlink w:anchor="_Toc198480719" w:history="1">
            <w:r w:rsidRPr="00BA057C">
              <w:rPr>
                <w:rStyle w:val="Hyperlink"/>
                <w:noProof/>
              </w:rPr>
              <w:t>CATEGORY 1: State Laws Governing Formation</w:t>
            </w:r>
            <w:r>
              <w:rPr>
                <w:noProof/>
                <w:webHidden/>
              </w:rPr>
              <w:tab/>
            </w:r>
            <w:r>
              <w:rPr>
                <w:noProof/>
                <w:webHidden/>
              </w:rPr>
              <w:fldChar w:fldCharType="begin"/>
            </w:r>
            <w:r>
              <w:rPr>
                <w:noProof/>
                <w:webHidden/>
              </w:rPr>
              <w:instrText xml:space="preserve"> PAGEREF _Toc198480719 \h </w:instrText>
            </w:r>
            <w:r>
              <w:rPr>
                <w:noProof/>
                <w:webHidden/>
              </w:rPr>
            </w:r>
            <w:r>
              <w:rPr>
                <w:noProof/>
                <w:webHidden/>
              </w:rPr>
              <w:fldChar w:fldCharType="separate"/>
            </w:r>
            <w:r>
              <w:rPr>
                <w:noProof/>
                <w:webHidden/>
              </w:rPr>
              <w:t>11</w:t>
            </w:r>
            <w:r>
              <w:rPr>
                <w:noProof/>
                <w:webHidden/>
              </w:rPr>
              <w:fldChar w:fldCharType="end"/>
            </w:r>
          </w:hyperlink>
        </w:p>
        <w:p w14:paraId="7625FCFD" w14:textId="06521544" w:rsidR="007F19FE" w:rsidRDefault="007F19FE">
          <w:pPr>
            <w:pStyle w:val="TOC3"/>
            <w:rPr>
              <w:rFonts w:asciiTheme="minorHAnsi" w:eastAsiaTheme="minorEastAsia" w:hAnsiTheme="minorHAnsi"/>
              <w:noProof/>
              <w:kern w:val="2"/>
              <w:sz w:val="24"/>
              <w:szCs w:val="24"/>
              <w14:ligatures w14:val="standardContextual"/>
            </w:rPr>
          </w:pPr>
          <w:hyperlink w:anchor="_Toc198480720" w:history="1">
            <w:r w:rsidRPr="00BA057C">
              <w:rPr>
                <w:rStyle w:val="Hyperlink"/>
                <w:noProof/>
              </w:rPr>
              <w:t>CATEGORY 2: Federal Tax Law - Generally</w:t>
            </w:r>
            <w:r>
              <w:rPr>
                <w:noProof/>
                <w:webHidden/>
              </w:rPr>
              <w:tab/>
            </w:r>
            <w:r>
              <w:rPr>
                <w:noProof/>
                <w:webHidden/>
              </w:rPr>
              <w:fldChar w:fldCharType="begin"/>
            </w:r>
            <w:r>
              <w:rPr>
                <w:noProof/>
                <w:webHidden/>
              </w:rPr>
              <w:instrText xml:space="preserve"> PAGEREF _Toc198480720 \h </w:instrText>
            </w:r>
            <w:r>
              <w:rPr>
                <w:noProof/>
                <w:webHidden/>
              </w:rPr>
            </w:r>
            <w:r>
              <w:rPr>
                <w:noProof/>
                <w:webHidden/>
              </w:rPr>
              <w:fldChar w:fldCharType="separate"/>
            </w:r>
            <w:r>
              <w:rPr>
                <w:noProof/>
                <w:webHidden/>
              </w:rPr>
              <w:t>13</w:t>
            </w:r>
            <w:r>
              <w:rPr>
                <w:noProof/>
                <w:webHidden/>
              </w:rPr>
              <w:fldChar w:fldCharType="end"/>
            </w:r>
          </w:hyperlink>
        </w:p>
        <w:p w14:paraId="2A67633B" w14:textId="3AC9349C" w:rsidR="007F19FE" w:rsidRDefault="007F19FE">
          <w:pPr>
            <w:pStyle w:val="TOC3"/>
            <w:rPr>
              <w:rFonts w:asciiTheme="minorHAnsi" w:eastAsiaTheme="minorEastAsia" w:hAnsiTheme="minorHAnsi"/>
              <w:noProof/>
              <w:kern w:val="2"/>
              <w:sz w:val="24"/>
              <w:szCs w:val="24"/>
              <w14:ligatures w14:val="standardContextual"/>
            </w:rPr>
          </w:pPr>
          <w:hyperlink w:anchor="_Toc198480721" w:history="1">
            <w:r w:rsidRPr="00BA057C">
              <w:rPr>
                <w:rStyle w:val="Hyperlink"/>
                <w:noProof/>
              </w:rPr>
              <w:t>CATEGORY 3: State Tax Sourcing Rules - Generally</w:t>
            </w:r>
            <w:r>
              <w:rPr>
                <w:noProof/>
                <w:webHidden/>
              </w:rPr>
              <w:tab/>
            </w:r>
            <w:r>
              <w:rPr>
                <w:noProof/>
                <w:webHidden/>
              </w:rPr>
              <w:fldChar w:fldCharType="begin"/>
            </w:r>
            <w:r>
              <w:rPr>
                <w:noProof/>
                <w:webHidden/>
              </w:rPr>
              <w:instrText xml:space="preserve"> PAGEREF _Toc198480721 \h </w:instrText>
            </w:r>
            <w:r>
              <w:rPr>
                <w:noProof/>
                <w:webHidden/>
              </w:rPr>
            </w:r>
            <w:r>
              <w:rPr>
                <w:noProof/>
                <w:webHidden/>
              </w:rPr>
              <w:fldChar w:fldCharType="separate"/>
            </w:r>
            <w:r>
              <w:rPr>
                <w:noProof/>
                <w:webHidden/>
              </w:rPr>
              <w:t>13</w:t>
            </w:r>
            <w:r>
              <w:rPr>
                <w:noProof/>
                <w:webHidden/>
              </w:rPr>
              <w:fldChar w:fldCharType="end"/>
            </w:r>
          </w:hyperlink>
        </w:p>
        <w:p w14:paraId="5B56A8DF" w14:textId="41BF4ED0" w:rsidR="007F19FE" w:rsidRDefault="007F19FE">
          <w:pPr>
            <w:pStyle w:val="TOC3"/>
            <w:rPr>
              <w:rFonts w:asciiTheme="minorHAnsi" w:eastAsiaTheme="minorEastAsia" w:hAnsiTheme="minorHAnsi"/>
              <w:noProof/>
              <w:kern w:val="2"/>
              <w:sz w:val="24"/>
              <w:szCs w:val="24"/>
              <w14:ligatures w14:val="standardContextual"/>
            </w:rPr>
          </w:pPr>
          <w:hyperlink w:anchor="_Toc198480722" w:history="1">
            <w:r w:rsidRPr="00BA057C">
              <w:rPr>
                <w:rStyle w:val="Hyperlink"/>
                <w:noProof/>
              </w:rPr>
              <w:t>Interactions Between These Three Categories of Law</w:t>
            </w:r>
            <w:r>
              <w:rPr>
                <w:noProof/>
                <w:webHidden/>
              </w:rPr>
              <w:tab/>
            </w:r>
            <w:r>
              <w:rPr>
                <w:noProof/>
                <w:webHidden/>
              </w:rPr>
              <w:fldChar w:fldCharType="begin"/>
            </w:r>
            <w:r>
              <w:rPr>
                <w:noProof/>
                <w:webHidden/>
              </w:rPr>
              <w:instrText xml:space="preserve"> PAGEREF _Toc198480722 \h </w:instrText>
            </w:r>
            <w:r>
              <w:rPr>
                <w:noProof/>
                <w:webHidden/>
              </w:rPr>
            </w:r>
            <w:r>
              <w:rPr>
                <w:noProof/>
                <w:webHidden/>
              </w:rPr>
              <w:fldChar w:fldCharType="separate"/>
            </w:r>
            <w:r>
              <w:rPr>
                <w:noProof/>
                <w:webHidden/>
              </w:rPr>
              <w:t>13</w:t>
            </w:r>
            <w:r>
              <w:rPr>
                <w:noProof/>
                <w:webHidden/>
              </w:rPr>
              <w:fldChar w:fldCharType="end"/>
            </w:r>
          </w:hyperlink>
        </w:p>
        <w:p w14:paraId="26995612" w14:textId="3058E516" w:rsidR="007F19FE" w:rsidRDefault="007F19FE">
          <w:pPr>
            <w:pStyle w:val="TOC2"/>
            <w:tabs>
              <w:tab w:val="right" w:leader="dot" w:pos="8774"/>
            </w:tabs>
            <w:rPr>
              <w:rFonts w:asciiTheme="minorHAnsi" w:eastAsiaTheme="minorEastAsia" w:hAnsiTheme="minorHAnsi"/>
              <w:noProof/>
              <w:kern w:val="2"/>
              <w:sz w:val="24"/>
              <w:szCs w:val="24"/>
              <w14:ligatures w14:val="standardContextual"/>
            </w:rPr>
          </w:pPr>
          <w:hyperlink w:anchor="_Toc198480723" w:history="1">
            <w:r w:rsidRPr="00BA057C">
              <w:rPr>
                <w:rStyle w:val="Hyperlink"/>
                <w:noProof/>
              </w:rPr>
              <w:t>I. C. Common Terms Used in the White Paper</w:t>
            </w:r>
            <w:r>
              <w:rPr>
                <w:noProof/>
                <w:webHidden/>
              </w:rPr>
              <w:tab/>
            </w:r>
            <w:r>
              <w:rPr>
                <w:noProof/>
                <w:webHidden/>
              </w:rPr>
              <w:fldChar w:fldCharType="begin"/>
            </w:r>
            <w:r>
              <w:rPr>
                <w:noProof/>
                <w:webHidden/>
              </w:rPr>
              <w:instrText xml:space="preserve"> PAGEREF _Toc198480723 \h </w:instrText>
            </w:r>
            <w:r>
              <w:rPr>
                <w:noProof/>
                <w:webHidden/>
              </w:rPr>
            </w:r>
            <w:r>
              <w:rPr>
                <w:noProof/>
                <w:webHidden/>
              </w:rPr>
              <w:fldChar w:fldCharType="separate"/>
            </w:r>
            <w:r>
              <w:rPr>
                <w:noProof/>
                <w:webHidden/>
              </w:rPr>
              <w:t>14</w:t>
            </w:r>
            <w:r>
              <w:rPr>
                <w:noProof/>
                <w:webHidden/>
              </w:rPr>
              <w:fldChar w:fldCharType="end"/>
            </w:r>
          </w:hyperlink>
        </w:p>
        <w:p w14:paraId="6387A8F5" w14:textId="0C6954C7" w:rsidR="007F19FE" w:rsidRDefault="007F19FE">
          <w:pPr>
            <w:pStyle w:val="TOC3"/>
            <w:rPr>
              <w:rFonts w:asciiTheme="minorHAnsi" w:eastAsiaTheme="minorEastAsia" w:hAnsiTheme="minorHAnsi"/>
              <w:noProof/>
              <w:kern w:val="2"/>
              <w:sz w:val="24"/>
              <w:szCs w:val="24"/>
              <w14:ligatures w14:val="standardContextual"/>
            </w:rPr>
          </w:pPr>
          <w:hyperlink w:anchor="_Toc198480724" w:history="1">
            <w:r w:rsidRPr="00BA057C">
              <w:rPr>
                <w:rStyle w:val="Hyperlink"/>
                <w:noProof/>
              </w:rPr>
              <w:t>Terms Used Consistently with Subchapter K and Federal Tax</w:t>
            </w:r>
            <w:r>
              <w:rPr>
                <w:noProof/>
                <w:webHidden/>
              </w:rPr>
              <w:tab/>
            </w:r>
            <w:r>
              <w:rPr>
                <w:noProof/>
                <w:webHidden/>
              </w:rPr>
              <w:fldChar w:fldCharType="begin"/>
            </w:r>
            <w:r>
              <w:rPr>
                <w:noProof/>
                <w:webHidden/>
              </w:rPr>
              <w:instrText xml:space="preserve"> PAGEREF _Toc198480724 \h </w:instrText>
            </w:r>
            <w:r>
              <w:rPr>
                <w:noProof/>
                <w:webHidden/>
              </w:rPr>
            </w:r>
            <w:r>
              <w:rPr>
                <w:noProof/>
                <w:webHidden/>
              </w:rPr>
              <w:fldChar w:fldCharType="separate"/>
            </w:r>
            <w:r>
              <w:rPr>
                <w:noProof/>
                <w:webHidden/>
              </w:rPr>
              <w:t>14</w:t>
            </w:r>
            <w:r>
              <w:rPr>
                <w:noProof/>
                <w:webHidden/>
              </w:rPr>
              <w:fldChar w:fldCharType="end"/>
            </w:r>
          </w:hyperlink>
        </w:p>
        <w:p w14:paraId="6669B696" w14:textId="718BA4DD" w:rsidR="007F19FE" w:rsidRDefault="007F19FE">
          <w:pPr>
            <w:pStyle w:val="TOC3"/>
            <w:rPr>
              <w:rFonts w:asciiTheme="minorHAnsi" w:eastAsiaTheme="minorEastAsia" w:hAnsiTheme="minorHAnsi"/>
              <w:noProof/>
              <w:kern w:val="2"/>
              <w:sz w:val="24"/>
              <w:szCs w:val="24"/>
              <w14:ligatures w14:val="standardContextual"/>
            </w:rPr>
          </w:pPr>
          <w:hyperlink w:anchor="_Toc198480725" w:history="1">
            <w:r w:rsidRPr="00BA057C">
              <w:rPr>
                <w:rStyle w:val="Hyperlink"/>
                <w:noProof/>
              </w:rPr>
              <w:t>Terms Used Consistently with State Governing Laws (ULC References)</w:t>
            </w:r>
            <w:r>
              <w:rPr>
                <w:noProof/>
                <w:webHidden/>
              </w:rPr>
              <w:tab/>
            </w:r>
            <w:r>
              <w:rPr>
                <w:noProof/>
                <w:webHidden/>
              </w:rPr>
              <w:fldChar w:fldCharType="begin"/>
            </w:r>
            <w:r>
              <w:rPr>
                <w:noProof/>
                <w:webHidden/>
              </w:rPr>
              <w:instrText xml:space="preserve"> PAGEREF _Toc198480725 \h </w:instrText>
            </w:r>
            <w:r>
              <w:rPr>
                <w:noProof/>
                <w:webHidden/>
              </w:rPr>
            </w:r>
            <w:r>
              <w:rPr>
                <w:noProof/>
                <w:webHidden/>
              </w:rPr>
              <w:fldChar w:fldCharType="separate"/>
            </w:r>
            <w:r>
              <w:rPr>
                <w:noProof/>
                <w:webHidden/>
              </w:rPr>
              <w:t>16</w:t>
            </w:r>
            <w:r>
              <w:rPr>
                <w:noProof/>
                <w:webHidden/>
              </w:rPr>
              <w:fldChar w:fldCharType="end"/>
            </w:r>
          </w:hyperlink>
        </w:p>
        <w:p w14:paraId="008E94CD" w14:textId="5A05474A" w:rsidR="007F19FE" w:rsidRDefault="007F19FE">
          <w:pPr>
            <w:pStyle w:val="TOC3"/>
            <w:rPr>
              <w:rFonts w:asciiTheme="minorHAnsi" w:eastAsiaTheme="minorEastAsia" w:hAnsiTheme="minorHAnsi"/>
              <w:noProof/>
              <w:kern w:val="2"/>
              <w:sz w:val="24"/>
              <w:szCs w:val="24"/>
              <w14:ligatures w14:val="standardContextual"/>
            </w:rPr>
          </w:pPr>
          <w:hyperlink w:anchor="_Toc198480726" w:history="1">
            <w:r w:rsidRPr="00BA057C">
              <w:rPr>
                <w:rStyle w:val="Hyperlink"/>
                <w:noProof/>
              </w:rPr>
              <w:t>State Tax Sourcing Terms as Used in this White Paper</w:t>
            </w:r>
            <w:r>
              <w:rPr>
                <w:noProof/>
                <w:webHidden/>
              </w:rPr>
              <w:tab/>
            </w:r>
            <w:r>
              <w:rPr>
                <w:noProof/>
                <w:webHidden/>
              </w:rPr>
              <w:fldChar w:fldCharType="begin"/>
            </w:r>
            <w:r>
              <w:rPr>
                <w:noProof/>
                <w:webHidden/>
              </w:rPr>
              <w:instrText xml:space="preserve"> PAGEREF _Toc198480726 \h </w:instrText>
            </w:r>
            <w:r>
              <w:rPr>
                <w:noProof/>
                <w:webHidden/>
              </w:rPr>
            </w:r>
            <w:r>
              <w:rPr>
                <w:noProof/>
                <w:webHidden/>
              </w:rPr>
              <w:fldChar w:fldCharType="separate"/>
            </w:r>
            <w:r>
              <w:rPr>
                <w:noProof/>
                <w:webHidden/>
              </w:rPr>
              <w:t>16</w:t>
            </w:r>
            <w:r>
              <w:rPr>
                <w:noProof/>
                <w:webHidden/>
              </w:rPr>
              <w:fldChar w:fldCharType="end"/>
            </w:r>
          </w:hyperlink>
        </w:p>
        <w:p w14:paraId="78EF3D0F" w14:textId="4F915C24" w:rsidR="007F19FE" w:rsidRDefault="007F19FE">
          <w:pPr>
            <w:pStyle w:val="TOC2"/>
            <w:tabs>
              <w:tab w:val="right" w:leader="dot" w:pos="8774"/>
            </w:tabs>
            <w:rPr>
              <w:rFonts w:asciiTheme="minorHAnsi" w:eastAsiaTheme="minorEastAsia" w:hAnsiTheme="minorHAnsi"/>
              <w:noProof/>
              <w:kern w:val="2"/>
              <w:sz w:val="24"/>
              <w:szCs w:val="24"/>
              <w14:ligatures w14:val="standardContextual"/>
            </w:rPr>
          </w:pPr>
          <w:hyperlink w:anchor="_Toc198480727" w:history="1">
            <w:r w:rsidRPr="00BA057C">
              <w:rPr>
                <w:rStyle w:val="Hyperlink"/>
                <w:noProof/>
              </w:rPr>
              <w:t>I.D. Conformity to the Federal Pass-Through Tax System</w:t>
            </w:r>
            <w:r>
              <w:rPr>
                <w:noProof/>
                <w:webHidden/>
              </w:rPr>
              <w:tab/>
            </w:r>
            <w:r>
              <w:rPr>
                <w:noProof/>
                <w:webHidden/>
              </w:rPr>
              <w:fldChar w:fldCharType="begin"/>
            </w:r>
            <w:r>
              <w:rPr>
                <w:noProof/>
                <w:webHidden/>
              </w:rPr>
              <w:instrText xml:space="preserve"> PAGEREF _Toc198480727 \h </w:instrText>
            </w:r>
            <w:r>
              <w:rPr>
                <w:noProof/>
                <w:webHidden/>
              </w:rPr>
            </w:r>
            <w:r>
              <w:rPr>
                <w:noProof/>
                <w:webHidden/>
              </w:rPr>
              <w:fldChar w:fldCharType="separate"/>
            </w:r>
            <w:r>
              <w:rPr>
                <w:noProof/>
                <w:webHidden/>
              </w:rPr>
              <w:t>17</w:t>
            </w:r>
            <w:r>
              <w:rPr>
                <w:noProof/>
                <w:webHidden/>
              </w:rPr>
              <w:fldChar w:fldCharType="end"/>
            </w:r>
          </w:hyperlink>
        </w:p>
        <w:p w14:paraId="0D065852" w14:textId="2EA3F759" w:rsidR="007F19FE" w:rsidRDefault="007F19FE">
          <w:pPr>
            <w:pStyle w:val="TOC3"/>
            <w:rPr>
              <w:rFonts w:asciiTheme="minorHAnsi" w:eastAsiaTheme="minorEastAsia" w:hAnsiTheme="minorHAnsi"/>
              <w:noProof/>
              <w:kern w:val="2"/>
              <w:sz w:val="24"/>
              <w:szCs w:val="24"/>
              <w14:ligatures w14:val="standardContextual"/>
            </w:rPr>
          </w:pPr>
          <w:hyperlink w:anchor="_Toc198480728" w:history="1">
            <w:r w:rsidRPr="00BA057C">
              <w:rPr>
                <w:rStyle w:val="Hyperlink"/>
                <w:noProof/>
              </w:rPr>
              <w:t>Effects of State Conformity to Federal Tax Law - Assumptions</w:t>
            </w:r>
            <w:r>
              <w:rPr>
                <w:noProof/>
                <w:webHidden/>
              </w:rPr>
              <w:tab/>
            </w:r>
            <w:r>
              <w:rPr>
                <w:noProof/>
                <w:webHidden/>
              </w:rPr>
              <w:fldChar w:fldCharType="begin"/>
            </w:r>
            <w:r>
              <w:rPr>
                <w:noProof/>
                <w:webHidden/>
              </w:rPr>
              <w:instrText xml:space="preserve"> PAGEREF _Toc198480728 \h </w:instrText>
            </w:r>
            <w:r>
              <w:rPr>
                <w:noProof/>
                <w:webHidden/>
              </w:rPr>
            </w:r>
            <w:r>
              <w:rPr>
                <w:noProof/>
                <w:webHidden/>
              </w:rPr>
              <w:fldChar w:fldCharType="separate"/>
            </w:r>
            <w:r>
              <w:rPr>
                <w:noProof/>
                <w:webHidden/>
              </w:rPr>
              <w:t>17</w:t>
            </w:r>
            <w:r>
              <w:rPr>
                <w:noProof/>
                <w:webHidden/>
              </w:rPr>
              <w:fldChar w:fldCharType="end"/>
            </w:r>
          </w:hyperlink>
        </w:p>
        <w:p w14:paraId="47770826" w14:textId="319A9E24" w:rsidR="007F19FE" w:rsidRDefault="007F19FE">
          <w:pPr>
            <w:pStyle w:val="TOC3"/>
            <w:rPr>
              <w:rFonts w:asciiTheme="minorHAnsi" w:eastAsiaTheme="minorEastAsia" w:hAnsiTheme="minorHAnsi"/>
              <w:noProof/>
              <w:kern w:val="2"/>
              <w:sz w:val="24"/>
              <w:szCs w:val="24"/>
              <w14:ligatures w14:val="standardContextual"/>
            </w:rPr>
          </w:pPr>
          <w:hyperlink w:anchor="_Toc198480729" w:history="1">
            <w:r w:rsidRPr="00BA057C">
              <w:rPr>
                <w:rStyle w:val="Hyperlink"/>
                <w:noProof/>
              </w:rPr>
              <w:t>Elements of the Pass-Through System and Their State Tax Implications</w:t>
            </w:r>
            <w:r>
              <w:rPr>
                <w:noProof/>
                <w:webHidden/>
              </w:rPr>
              <w:tab/>
            </w:r>
            <w:r>
              <w:rPr>
                <w:noProof/>
                <w:webHidden/>
              </w:rPr>
              <w:fldChar w:fldCharType="begin"/>
            </w:r>
            <w:r>
              <w:rPr>
                <w:noProof/>
                <w:webHidden/>
              </w:rPr>
              <w:instrText xml:space="preserve"> PAGEREF _Toc198480729 \h </w:instrText>
            </w:r>
            <w:r>
              <w:rPr>
                <w:noProof/>
                <w:webHidden/>
              </w:rPr>
            </w:r>
            <w:r>
              <w:rPr>
                <w:noProof/>
                <w:webHidden/>
              </w:rPr>
              <w:fldChar w:fldCharType="separate"/>
            </w:r>
            <w:r>
              <w:rPr>
                <w:noProof/>
                <w:webHidden/>
              </w:rPr>
              <w:t>18</w:t>
            </w:r>
            <w:r>
              <w:rPr>
                <w:noProof/>
                <w:webHidden/>
              </w:rPr>
              <w:fldChar w:fldCharType="end"/>
            </w:r>
          </w:hyperlink>
        </w:p>
        <w:p w14:paraId="3C8062C9" w14:textId="160119EC" w:rsidR="007F19FE" w:rsidRDefault="007F19FE">
          <w:pPr>
            <w:pStyle w:val="TOC3"/>
            <w:rPr>
              <w:rFonts w:asciiTheme="minorHAnsi" w:eastAsiaTheme="minorEastAsia" w:hAnsiTheme="minorHAnsi"/>
              <w:noProof/>
              <w:kern w:val="2"/>
              <w:sz w:val="24"/>
              <w:szCs w:val="24"/>
              <w14:ligatures w14:val="standardContextual"/>
            </w:rPr>
          </w:pPr>
          <w:hyperlink w:anchor="_Toc198480730" w:history="1">
            <w:r w:rsidRPr="00BA057C">
              <w:rPr>
                <w:rStyle w:val="Hyperlink"/>
                <w:noProof/>
              </w:rPr>
              <w:t>Transactions Between Partners &amp; Partnership or Other Related Entities</w:t>
            </w:r>
            <w:r>
              <w:rPr>
                <w:noProof/>
                <w:webHidden/>
              </w:rPr>
              <w:tab/>
            </w:r>
            <w:r>
              <w:rPr>
                <w:noProof/>
                <w:webHidden/>
              </w:rPr>
              <w:fldChar w:fldCharType="begin"/>
            </w:r>
            <w:r>
              <w:rPr>
                <w:noProof/>
                <w:webHidden/>
              </w:rPr>
              <w:instrText xml:space="preserve"> PAGEREF _Toc198480730 \h </w:instrText>
            </w:r>
            <w:r>
              <w:rPr>
                <w:noProof/>
                <w:webHidden/>
              </w:rPr>
            </w:r>
            <w:r>
              <w:rPr>
                <w:noProof/>
                <w:webHidden/>
              </w:rPr>
              <w:fldChar w:fldCharType="separate"/>
            </w:r>
            <w:r>
              <w:rPr>
                <w:noProof/>
                <w:webHidden/>
              </w:rPr>
              <w:t>21</w:t>
            </w:r>
            <w:r>
              <w:rPr>
                <w:noProof/>
                <w:webHidden/>
              </w:rPr>
              <w:fldChar w:fldCharType="end"/>
            </w:r>
          </w:hyperlink>
        </w:p>
        <w:p w14:paraId="245A8FB7" w14:textId="66D545F8" w:rsidR="007F19FE" w:rsidRDefault="007F19FE">
          <w:pPr>
            <w:pStyle w:val="TOC3"/>
            <w:rPr>
              <w:rFonts w:asciiTheme="minorHAnsi" w:eastAsiaTheme="minorEastAsia" w:hAnsiTheme="minorHAnsi"/>
              <w:noProof/>
              <w:kern w:val="2"/>
              <w:sz w:val="24"/>
              <w:szCs w:val="24"/>
              <w14:ligatures w14:val="standardContextual"/>
            </w:rPr>
          </w:pPr>
          <w:hyperlink w:anchor="_Toc198480731" w:history="1">
            <w:r w:rsidRPr="00BA057C">
              <w:rPr>
                <w:rStyle w:val="Hyperlink"/>
                <w:noProof/>
                <w:highlight w:val="yellow"/>
              </w:rPr>
              <w:t>Conformity May Not Fully Incorporate Federal Anti-Abuse Provisions</w:t>
            </w:r>
            <w:r>
              <w:rPr>
                <w:noProof/>
                <w:webHidden/>
              </w:rPr>
              <w:tab/>
            </w:r>
            <w:r>
              <w:rPr>
                <w:noProof/>
                <w:webHidden/>
              </w:rPr>
              <w:fldChar w:fldCharType="begin"/>
            </w:r>
            <w:r>
              <w:rPr>
                <w:noProof/>
                <w:webHidden/>
              </w:rPr>
              <w:instrText xml:space="preserve"> PAGEREF _Toc198480731 \h </w:instrText>
            </w:r>
            <w:r>
              <w:rPr>
                <w:noProof/>
                <w:webHidden/>
              </w:rPr>
            </w:r>
            <w:r>
              <w:rPr>
                <w:noProof/>
                <w:webHidden/>
              </w:rPr>
              <w:fldChar w:fldCharType="separate"/>
            </w:r>
            <w:r>
              <w:rPr>
                <w:noProof/>
                <w:webHidden/>
              </w:rPr>
              <w:t>24</w:t>
            </w:r>
            <w:r>
              <w:rPr>
                <w:noProof/>
                <w:webHidden/>
              </w:rPr>
              <w:fldChar w:fldCharType="end"/>
            </w:r>
          </w:hyperlink>
        </w:p>
        <w:p w14:paraId="41481907" w14:textId="10AD07ED" w:rsidR="007F19FE" w:rsidRDefault="007F19FE">
          <w:pPr>
            <w:pStyle w:val="TOC2"/>
            <w:tabs>
              <w:tab w:val="right" w:leader="dot" w:pos="8774"/>
            </w:tabs>
            <w:rPr>
              <w:rFonts w:asciiTheme="minorHAnsi" w:eastAsiaTheme="minorEastAsia" w:hAnsiTheme="minorHAnsi"/>
              <w:noProof/>
              <w:kern w:val="2"/>
              <w:sz w:val="24"/>
              <w:szCs w:val="24"/>
              <w14:ligatures w14:val="standardContextual"/>
            </w:rPr>
          </w:pPr>
          <w:hyperlink w:anchor="_Toc198480732" w:history="1">
            <w:r w:rsidRPr="00BA057C">
              <w:rPr>
                <w:rStyle w:val="Hyperlink"/>
                <w:noProof/>
                <w:highlight w:val="yellow"/>
              </w:rPr>
              <w:t>I.E.  General State Sourcing Rules for Income of Businesses</w:t>
            </w:r>
            <w:r>
              <w:rPr>
                <w:noProof/>
                <w:webHidden/>
              </w:rPr>
              <w:tab/>
            </w:r>
            <w:r>
              <w:rPr>
                <w:noProof/>
                <w:webHidden/>
              </w:rPr>
              <w:fldChar w:fldCharType="begin"/>
            </w:r>
            <w:r>
              <w:rPr>
                <w:noProof/>
                <w:webHidden/>
              </w:rPr>
              <w:instrText xml:space="preserve"> PAGEREF _Toc198480732 \h </w:instrText>
            </w:r>
            <w:r>
              <w:rPr>
                <w:noProof/>
                <w:webHidden/>
              </w:rPr>
            </w:r>
            <w:r>
              <w:rPr>
                <w:noProof/>
                <w:webHidden/>
              </w:rPr>
              <w:fldChar w:fldCharType="separate"/>
            </w:r>
            <w:r>
              <w:rPr>
                <w:noProof/>
                <w:webHidden/>
              </w:rPr>
              <w:t>28</w:t>
            </w:r>
            <w:r>
              <w:rPr>
                <w:noProof/>
                <w:webHidden/>
              </w:rPr>
              <w:fldChar w:fldCharType="end"/>
            </w:r>
          </w:hyperlink>
        </w:p>
        <w:p w14:paraId="05F4E834" w14:textId="5532EE34" w:rsidR="007F19FE" w:rsidRDefault="007F19FE">
          <w:pPr>
            <w:pStyle w:val="TOC3"/>
            <w:rPr>
              <w:rFonts w:asciiTheme="minorHAnsi" w:eastAsiaTheme="minorEastAsia" w:hAnsiTheme="minorHAnsi"/>
              <w:noProof/>
              <w:kern w:val="2"/>
              <w:sz w:val="24"/>
              <w:szCs w:val="24"/>
              <w14:ligatures w14:val="standardContextual"/>
            </w:rPr>
          </w:pPr>
          <w:hyperlink w:anchor="_Toc198480733" w:history="1">
            <w:r w:rsidRPr="00BA057C">
              <w:rPr>
                <w:rStyle w:val="Hyperlink"/>
                <w:noProof/>
              </w:rPr>
              <w:t>State Sourcing Rules – Generally</w:t>
            </w:r>
            <w:r>
              <w:rPr>
                <w:noProof/>
                <w:webHidden/>
              </w:rPr>
              <w:tab/>
            </w:r>
            <w:r>
              <w:rPr>
                <w:noProof/>
                <w:webHidden/>
              </w:rPr>
              <w:fldChar w:fldCharType="begin"/>
            </w:r>
            <w:r>
              <w:rPr>
                <w:noProof/>
                <w:webHidden/>
              </w:rPr>
              <w:instrText xml:space="preserve"> PAGEREF _Toc198480733 \h </w:instrText>
            </w:r>
            <w:r>
              <w:rPr>
                <w:noProof/>
                <w:webHidden/>
              </w:rPr>
            </w:r>
            <w:r>
              <w:rPr>
                <w:noProof/>
                <w:webHidden/>
              </w:rPr>
              <w:fldChar w:fldCharType="separate"/>
            </w:r>
            <w:r>
              <w:rPr>
                <w:noProof/>
                <w:webHidden/>
              </w:rPr>
              <w:t>28</w:t>
            </w:r>
            <w:r>
              <w:rPr>
                <w:noProof/>
                <w:webHidden/>
              </w:rPr>
              <w:fldChar w:fldCharType="end"/>
            </w:r>
          </w:hyperlink>
        </w:p>
        <w:p w14:paraId="1F7CD162" w14:textId="6B6F1C2E" w:rsidR="007F19FE" w:rsidRDefault="007F19FE">
          <w:pPr>
            <w:pStyle w:val="TOC3"/>
            <w:rPr>
              <w:rFonts w:asciiTheme="minorHAnsi" w:eastAsiaTheme="minorEastAsia" w:hAnsiTheme="minorHAnsi"/>
              <w:noProof/>
              <w:kern w:val="2"/>
              <w:sz w:val="24"/>
              <w:szCs w:val="24"/>
              <w14:ligatures w14:val="standardContextual"/>
            </w:rPr>
          </w:pPr>
          <w:hyperlink w:anchor="_Toc198480734" w:history="1">
            <w:r w:rsidRPr="00BA057C">
              <w:rPr>
                <w:rStyle w:val="Hyperlink"/>
                <w:noProof/>
              </w:rPr>
              <w:t>Application of State Sourcing Methods – Corporations</w:t>
            </w:r>
            <w:r>
              <w:rPr>
                <w:noProof/>
                <w:webHidden/>
              </w:rPr>
              <w:tab/>
            </w:r>
            <w:r>
              <w:rPr>
                <w:noProof/>
                <w:webHidden/>
              </w:rPr>
              <w:fldChar w:fldCharType="begin"/>
            </w:r>
            <w:r>
              <w:rPr>
                <w:noProof/>
                <w:webHidden/>
              </w:rPr>
              <w:instrText xml:space="preserve"> PAGEREF _Toc198480734 \h </w:instrText>
            </w:r>
            <w:r>
              <w:rPr>
                <w:noProof/>
                <w:webHidden/>
              </w:rPr>
            </w:r>
            <w:r>
              <w:rPr>
                <w:noProof/>
                <w:webHidden/>
              </w:rPr>
              <w:fldChar w:fldCharType="separate"/>
            </w:r>
            <w:r>
              <w:rPr>
                <w:noProof/>
                <w:webHidden/>
              </w:rPr>
              <w:t>30</w:t>
            </w:r>
            <w:r>
              <w:rPr>
                <w:noProof/>
                <w:webHidden/>
              </w:rPr>
              <w:fldChar w:fldCharType="end"/>
            </w:r>
          </w:hyperlink>
        </w:p>
        <w:p w14:paraId="127962D0" w14:textId="6517EAD8" w:rsidR="007F19FE" w:rsidRDefault="007F19FE">
          <w:pPr>
            <w:pStyle w:val="TOC3"/>
            <w:rPr>
              <w:rFonts w:asciiTheme="minorHAnsi" w:eastAsiaTheme="minorEastAsia" w:hAnsiTheme="minorHAnsi"/>
              <w:noProof/>
              <w:kern w:val="2"/>
              <w:sz w:val="24"/>
              <w:szCs w:val="24"/>
              <w14:ligatures w14:val="standardContextual"/>
            </w:rPr>
          </w:pPr>
          <w:hyperlink w:anchor="_Toc198480735" w:history="1">
            <w:r w:rsidRPr="00BA057C">
              <w:rPr>
                <w:rStyle w:val="Hyperlink"/>
                <w:noProof/>
              </w:rPr>
              <w:t>Application of State Sourcing Methods – Proprietorships</w:t>
            </w:r>
            <w:r>
              <w:rPr>
                <w:noProof/>
                <w:webHidden/>
              </w:rPr>
              <w:tab/>
            </w:r>
            <w:r>
              <w:rPr>
                <w:noProof/>
                <w:webHidden/>
              </w:rPr>
              <w:fldChar w:fldCharType="begin"/>
            </w:r>
            <w:r>
              <w:rPr>
                <w:noProof/>
                <w:webHidden/>
              </w:rPr>
              <w:instrText xml:space="preserve"> PAGEREF _Toc198480735 \h </w:instrText>
            </w:r>
            <w:r>
              <w:rPr>
                <w:noProof/>
                <w:webHidden/>
              </w:rPr>
            </w:r>
            <w:r>
              <w:rPr>
                <w:noProof/>
                <w:webHidden/>
              </w:rPr>
              <w:fldChar w:fldCharType="separate"/>
            </w:r>
            <w:r>
              <w:rPr>
                <w:noProof/>
                <w:webHidden/>
              </w:rPr>
              <w:t>30</w:t>
            </w:r>
            <w:r>
              <w:rPr>
                <w:noProof/>
                <w:webHidden/>
              </w:rPr>
              <w:fldChar w:fldCharType="end"/>
            </w:r>
          </w:hyperlink>
        </w:p>
        <w:p w14:paraId="55D0809B" w14:textId="132ED8C0" w:rsidR="007F19FE" w:rsidRDefault="007F19FE">
          <w:pPr>
            <w:pStyle w:val="TOC3"/>
            <w:rPr>
              <w:rFonts w:asciiTheme="minorHAnsi" w:eastAsiaTheme="minorEastAsia" w:hAnsiTheme="minorHAnsi"/>
              <w:noProof/>
              <w:kern w:val="2"/>
              <w:sz w:val="24"/>
              <w:szCs w:val="24"/>
              <w14:ligatures w14:val="standardContextual"/>
            </w:rPr>
          </w:pPr>
          <w:hyperlink w:anchor="_Toc198480736" w:history="1">
            <w:r w:rsidRPr="00BA057C">
              <w:rPr>
                <w:rStyle w:val="Hyperlink"/>
                <w:noProof/>
              </w:rPr>
              <w:t>Application of State Sourcing Methods – Simple Partnerships</w:t>
            </w:r>
            <w:r>
              <w:rPr>
                <w:noProof/>
                <w:webHidden/>
              </w:rPr>
              <w:tab/>
            </w:r>
            <w:r>
              <w:rPr>
                <w:noProof/>
                <w:webHidden/>
              </w:rPr>
              <w:fldChar w:fldCharType="begin"/>
            </w:r>
            <w:r>
              <w:rPr>
                <w:noProof/>
                <w:webHidden/>
              </w:rPr>
              <w:instrText xml:space="preserve"> PAGEREF _Toc198480736 \h </w:instrText>
            </w:r>
            <w:r>
              <w:rPr>
                <w:noProof/>
                <w:webHidden/>
              </w:rPr>
            </w:r>
            <w:r>
              <w:rPr>
                <w:noProof/>
                <w:webHidden/>
              </w:rPr>
              <w:fldChar w:fldCharType="separate"/>
            </w:r>
            <w:r>
              <w:rPr>
                <w:noProof/>
                <w:webHidden/>
              </w:rPr>
              <w:t>30</w:t>
            </w:r>
            <w:r>
              <w:rPr>
                <w:noProof/>
                <w:webHidden/>
              </w:rPr>
              <w:fldChar w:fldCharType="end"/>
            </w:r>
          </w:hyperlink>
        </w:p>
        <w:p w14:paraId="3AE2993E" w14:textId="48799C99" w:rsidR="007F19FE" w:rsidRDefault="007F19FE">
          <w:pPr>
            <w:pStyle w:val="TOC2"/>
            <w:tabs>
              <w:tab w:val="right" w:leader="dot" w:pos="8774"/>
            </w:tabs>
            <w:rPr>
              <w:rFonts w:asciiTheme="minorHAnsi" w:eastAsiaTheme="minorEastAsia" w:hAnsiTheme="minorHAnsi"/>
              <w:noProof/>
              <w:kern w:val="2"/>
              <w:sz w:val="24"/>
              <w:szCs w:val="24"/>
              <w14:ligatures w14:val="standardContextual"/>
            </w:rPr>
          </w:pPr>
          <w:hyperlink w:anchor="_Toc198480737" w:history="1">
            <w:r w:rsidRPr="00BA057C">
              <w:rPr>
                <w:rStyle w:val="Hyperlink"/>
                <w:noProof/>
                <w:highlight w:val="yellow"/>
              </w:rPr>
              <w:t>I.F. Importance of the Attribution or “Conduit” Principle</w:t>
            </w:r>
            <w:r>
              <w:rPr>
                <w:noProof/>
                <w:webHidden/>
              </w:rPr>
              <w:tab/>
            </w:r>
            <w:r>
              <w:rPr>
                <w:noProof/>
                <w:webHidden/>
              </w:rPr>
              <w:fldChar w:fldCharType="begin"/>
            </w:r>
            <w:r>
              <w:rPr>
                <w:noProof/>
                <w:webHidden/>
              </w:rPr>
              <w:instrText xml:space="preserve"> PAGEREF _Toc198480737 \h </w:instrText>
            </w:r>
            <w:r>
              <w:rPr>
                <w:noProof/>
                <w:webHidden/>
              </w:rPr>
            </w:r>
            <w:r>
              <w:rPr>
                <w:noProof/>
                <w:webHidden/>
              </w:rPr>
              <w:fldChar w:fldCharType="separate"/>
            </w:r>
            <w:r>
              <w:rPr>
                <w:noProof/>
                <w:webHidden/>
              </w:rPr>
              <w:t>32</w:t>
            </w:r>
            <w:r>
              <w:rPr>
                <w:noProof/>
                <w:webHidden/>
              </w:rPr>
              <w:fldChar w:fldCharType="end"/>
            </w:r>
          </w:hyperlink>
        </w:p>
        <w:p w14:paraId="221DBEAF" w14:textId="2415A7A3" w:rsidR="007F19FE" w:rsidRDefault="007F19FE">
          <w:pPr>
            <w:pStyle w:val="TOC3"/>
            <w:rPr>
              <w:rFonts w:asciiTheme="minorHAnsi" w:eastAsiaTheme="minorEastAsia" w:hAnsiTheme="minorHAnsi"/>
              <w:noProof/>
              <w:kern w:val="2"/>
              <w:sz w:val="24"/>
              <w:szCs w:val="24"/>
              <w14:ligatures w14:val="standardContextual"/>
            </w:rPr>
          </w:pPr>
          <w:hyperlink w:anchor="_Toc198480738" w:history="1">
            <w:r w:rsidRPr="00BA057C">
              <w:rPr>
                <w:rStyle w:val="Hyperlink"/>
                <w:noProof/>
              </w:rPr>
              <w:t>Why the Attribution or “Conduit” Principle is Critical</w:t>
            </w:r>
            <w:r>
              <w:rPr>
                <w:noProof/>
                <w:webHidden/>
              </w:rPr>
              <w:tab/>
            </w:r>
            <w:r>
              <w:rPr>
                <w:noProof/>
                <w:webHidden/>
              </w:rPr>
              <w:fldChar w:fldCharType="begin"/>
            </w:r>
            <w:r>
              <w:rPr>
                <w:noProof/>
                <w:webHidden/>
              </w:rPr>
              <w:instrText xml:space="preserve"> PAGEREF _Toc198480738 \h </w:instrText>
            </w:r>
            <w:r>
              <w:rPr>
                <w:noProof/>
                <w:webHidden/>
              </w:rPr>
            </w:r>
            <w:r>
              <w:rPr>
                <w:noProof/>
                <w:webHidden/>
              </w:rPr>
              <w:fldChar w:fldCharType="separate"/>
            </w:r>
            <w:r>
              <w:rPr>
                <w:noProof/>
                <w:webHidden/>
              </w:rPr>
              <w:t>32</w:t>
            </w:r>
            <w:r>
              <w:rPr>
                <w:noProof/>
                <w:webHidden/>
              </w:rPr>
              <w:fldChar w:fldCharType="end"/>
            </w:r>
          </w:hyperlink>
        </w:p>
        <w:p w14:paraId="6A290D46" w14:textId="721DB49C" w:rsidR="007F19FE" w:rsidRDefault="007F19FE">
          <w:pPr>
            <w:pStyle w:val="TOC3"/>
            <w:rPr>
              <w:rFonts w:asciiTheme="minorHAnsi" w:eastAsiaTheme="minorEastAsia" w:hAnsiTheme="minorHAnsi"/>
              <w:noProof/>
              <w:kern w:val="2"/>
              <w:sz w:val="24"/>
              <w:szCs w:val="24"/>
              <w14:ligatures w14:val="standardContextual"/>
            </w:rPr>
          </w:pPr>
          <w:hyperlink w:anchor="_Toc198480739" w:history="1">
            <w:r w:rsidRPr="00BA057C">
              <w:rPr>
                <w:rStyle w:val="Hyperlink"/>
                <w:noProof/>
              </w:rPr>
              <w:t>How Attribution Works in Practice</w:t>
            </w:r>
            <w:r>
              <w:rPr>
                <w:noProof/>
                <w:webHidden/>
              </w:rPr>
              <w:tab/>
            </w:r>
            <w:r>
              <w:rPr>
                <w:noProof/>
                <w:webHidden/>
              </w:rPr>
              <w:fldChar w:fldCharType="begin"/>
            </w:r>
            <w:r>
              <w:rPr>
                <w:noProof/>
                <w:webHidden/>
              </w:rPr>
              <w:instrText xml:space="preserve"> PAGEREF _Toc198480739 \h </w:instrText>
            </w:r>
            <w:r>
              <w:rPr>
                <w:noProof/>
                <w:webHidden/>
              </w:rPr>
            </w:r>
            <w:r>
              <w:rPr>
                <w:noProof/>
                <w:webHidden/>
              </w:rPr>
              <w:fldChar w:fldCharType="separate"/>
            </w:r>
            <w:r>
              <w:rPr>
                <w:noProof/>
                <w:webHidden/>
              </w:rPr>
              <w:t>32</w:t>
            </w:r>
            <w:r>
              <w:rPr>
                <w:noProof/>
                <w:webHidden/>
              </w:rPr>
              <w:fldChar w:fldCharType="end"/>
            </w:r>
          </w:hyperlink>
        </w:p>
        <w:p w14:paraId="43EF1E21" w14:textId="5C4CB2F3" w:rsidR="007F19FE" w:rsidRDefault="007F19FE">
          <w:pPr>
            <w:pStyle w:val="TOC3"/>
            <w:rPr>
              <w:rFonts w:asciiTheme="minorHAnsi" w:eastAsiaTheme="minorEastAsia" w:hAnsiTheme="minorHAnsi"/>
              <w:noProof/>
              <w:kern w:val="2"/>
              <w:sz w:val="24"/>
              <w:szCs w:val="24"/>
              <w14:ligatures w14:val="standardContextual"/>
            </w:rPr>
          </w:pPr>
          <w:hyperlink w:anchor="_Toc198480740" w:history="1">
            <w:r w:rsidRPr="00BA057C">
              <w:rPr>
                <w:rStyle w:val="Hyperlink"/>
                <w:noProof/>
              </w:rPr>
              <w:t>Federal Recognition of the Attribution Principle</w:t>
            </w:r>
            <w:r>
              <w:rPr>
                <w:noProof/>
                <w:webHidden/>
              </w:rPr>
              <w:tab/>
            </w:r>
            <w:r>
              <w:rPr>
                <w:noProof/>
                <w:webHidden/>
              </w:rPr>
              <w:fldChar w:fldCharType="begin"/>
            </w:r>
            <w:r>
              <w:rPr>
                <w:noProof/>
                <w:webHidden/>
              </w:rPr>
              <w:instrText xml:space="preserve"> PAGEREF _Toc198480740 \h </w:instrText>
            </w:r>
            <w:r>
              <w:rPr>
                <w:noProof/>
                <w:webHidden/>
              </w:rPr>
            </w:r>
            <w:r>
              <w:rPr>
                <w:noProof/>
                <w:webHidden/>
              </w:rPr>
              <w:fldChar w:fldCharType="separate"/>
            </w:r>
            <w:r>
              <w:rPr>
                <w:noProof/>
                <w:webHidden/>
              </w:rPr>
              <w:t>33</w:t>
            </w:r>
            <w:r>
              <w:rPr>
                <w:noProof/>
                <w:webHidden/>
              </w:rPr>
              <w:fldChar w:fldCharType="end"/>
            </w:r>
          </w:hyperlink>
        </w:p>
        <w:p w14:paraId="4763C0D0" w14:textId="71471DEA" w:rsidR="007F19FE" w:rsidRDefault="007F19FE">
          <w:pPr>
            <w:pStyle w:val="TOC3"/>
            <w:rPr>
              <w:rFonts w:asciiTheme="minorHAnsi" w:eastAsiaTheme="minorEastAsia" w:hAnsiTheme="minorHAnsi"/>
              <w:noProof/>
              <w:kern w:val="2"/>
              <w:sz w:val="24"/>
              <w:szCs w:val="24"/>
              <w14:ligatures w14:val="standardContextual"/>
            </w:rPr>
          </w:pPr>
          <w:hyperlink w:anchor="_Toc198480741" w:history="1">
            <w:r w:rsidRPr="00BA057C">
              <w:rPr>
                <w:rStyle w:val="Hyperlink"/>
                <w:noProof/>
              </w:rPr>
              <w:t>Attribution of an Item’s Domestic or Foreign Source</w:t>
            </w:r>
            <w:r>
              <w:rPr>
                <w:noProof/>
                <w:webHidden/>
              </w:rPr>
              <w:tab/>
            </w:r>
            <w:r>
              <w:rPr>
                <w:noProof/>
                <w:webHidden/>
              </w:rPr>
              <w:fldChar w:fldCharType="begin"/>
            </w:r>
            <w:r>
              <w:rPr>
                <w:noProof/>
                <w:webHidden/>
              </w:rPr>
              <w:instrText xml:space="preserve"> PAGEREF _Toc198480741 \h </w:instrText>
            </w:r>
            <w:r>
              <w:rPr>
                <w:noProof/>
                <w:webHidden/>
              </w:rPr>
            </w:r>
            <w:r>
              <w:rPr>
                <w:noProof/>
                <w:webHidden/>
              </w:rPr>
              <w:fldChar w:fldCharType="separate"/>
            </w:r>
            <w:r>
              <w:rPr>
                <w:noProof/>
                <w:webHidden/>
              </w:rPr>
              <w:t>33</w:t>
            </w:r>
            <w:r>
              <w:rPr>
                <w:noProof/>
                <w:webHidden/>
              </w:rPr>
              <w:fldChar w:fldCharType="end"/>
            </w:r>
          </w:hyperlink>
        </w:p>
        <w:p w14:paraId="58E8C9D2" w14:textId="24D3C586" w:rsidR="007F19FE" w:rsidRDefault="007F19FE">
          <w:pPr>
            <w:pStyle w:val="TOC3"/>
            <w:rPr>
              <w:rFonts w:asciiTheme="minorHAnsi" w:eastAsiaTheme="minorEastAsia" w:hAnsiTheme="minorHAnsi"/>
              <w:noProof/>
              <w:kern w:val="2"/>
              <w:sz w:val="24"/>
              <w:szCs w:val="24"/>
              <w14:ligatures w14:val="standardContextual"/>
            </w:rPr>
          </w:pPr>
          <w:hyperlink w:anchor="_Toc198480742" w:history="1">
            <w:r w:rsidRPr="00BA057C">
              <w:rPr>
                <w:rStyle w:val="Hyperlink"/>
                <w:noProof/>
              </w:rPr>
              <w:t>Attribution Principle in the State Tax Context</w:t>
            </w:r>
            <w:r>
              <w:rPr>
                <w:noProof/>
                <w:webHidden/>
              </w:rPr>
              <w:tab/>
            </w:r>
            <w:r>
              <w:rPr>
                <w:noProof/>
                <w:webHidden/>
              </w:rPr>
              <w:fldChar w:fldCharType="begin"/>
            </w:r>
            <w:r>
              <w:rPr>
                <w:noProof/>
                <w:webHidden/>
              </w:rPr>
              <w:instrText xml:space="preserve"> PAGEREF _Toc198480742 \h </w:instrText>
            </w:r>
            <w:r>
              <w:rPr>
                <w:noProof/>
                <w:webHidden/>
              </w:rPr>
            </w:r>
            <w:r>
              <w:rPr>
                <w:noProof/>
                <w:webHidden/>
              </w:rPr>
              <w:fldChar w:fldCharType="separate"/>
            </w:r>
            <w:r>
              <w:rPr>
                <w:noProof/>
                <w:webHidden/>
              </w:rPr>
              <w:t>34</w:t>
            </w:r>
            <w:r>
              <w:rPr>
                <w:noProof/>
                <w:webHidden/>
              </w:rPr>
              <w:fldChar w:fldCharType="end"/>
            </w:r>
          </w:hyperlink>
        </w:p>
        <w:p w14:paraId="75936A75" w14:textId="107D3823" w:rsidR="007F19FE" w:rsidRDefault="007F19FE">
          <w:pPr>
            <w:pStyle w:val="TOC3"/>
            <w:rPr>
              <w:rFonts w:asciiTheme="minorHAnsi" w:eastAsiaTheme="minorEastAsia" w:hAnsiTheme="minorHAnsi"/>
              <w:noProof/>
              <w:kern w:val="2"/>
              <w:sz w:val="24"/>
              <w:szCs w:val="24"/>
              <w14:ligatures w14:val="standardContextual"/>
            </w:rPr>
          </w:pPr>
          <w:hyperlink w:anchor="_Toc198480743" w:history="1">
            <w:r w:rsidRPr="00BA057C">
              <w:rPr>
                <w:rStyle w:val="Hyperlink"/>
                <w:noProof/>
                <w:highlight w:val="yellow"/>
              </w:rPr>
              <w:t>Significance of the Attribution Principle to Sourcing of Income</w:t>
            </w:r>
            <w:r>
              <w:rPr>
                <w:noProof/>
                <w:webHidden/>
              </w:rPr>
              <w:tab/>
            </w:r>
            <w:r>
              <w:rPr>
                <w:noProof/>
                <w:webHidden/>
              </w:rPr>
              <w:fldChar w:fldCharType="begin"/>
            </w:r>
            <w:r>
              <w:rPr>
                <w:noProof/>
                <w:webHidden/>
              </w:rPr>
              <w:instrText xml:space="preserve"> PAGEREF _Toc198480743 \h </w:instrText>
            </w:r>
            <w:r>
              <w:rPr>
                <w:noProof/>
                <w:webHidden/>
              </w:rPr>
            </w:r>
            <w:r>
              <w:rPr>
                <w:noProof/>
                <w:webHidden/>
              </w:rPr>
              <w:fldChar w:fldCharType="separate"/>
            </w:r>
            <w:r>
              <w:rPr>
                <w:noProof/>
                <w:webHidden/>
              </w:rPr>
              <w:t>36</w:t>
            </w:r>
            <w:r>
              <w:rPr>
                <w:noProof/>
                <w:webHidden/>
              </w:rPr>
              <w:fldChar w:fldCharType="end"/>
            </w:r>
          </w:hyperlink>
        </w:p>
        <w:p w14:paraId="3367FD4C" w14:textId="4E80FB84" w:rsidR="007F19FE" w:rsidRDefault="007F19FE">
          <w:pPr>
            <w:pStyle w:val="TOC2"/>
            <w:tabs>
              <w:tab w:val="right" w:leader="dot" w:pos="8774"/>
            </w:tabs>
            <w:rPr>
              <w:rFonts w:asciiTheme="minorHAnsi" w:eastAsiaTheme="minorEastAsia" w:hAnsiTheme="minorHAnsi"/>
              <w:noProof/>
              <w:kern w:val="2"/>
              <w:sz w:val="24"/>
              <w:szCs w:val="24"/>
              <w14:ligatures w14:val="standardContextual"/>
            </w:rPr>
          </w:pPr>
          <w:hyperlink w:anchor="_Toc198480744" w:history="1">
            <w:r w:rsidRPr="00BA057C">
              <w:rPr>
                <w:rStyle w:val="Hyperlink"/>
                <w:noProof/>
              </w:rPr>
              <w:t>I.G. Summary – Issues &amp; Important Context - Lessons</w:t>
            </w:r>
            <w:r>
              <w:rPr>
                <w:noProof/>
                <w:webHidden/>
              </w:rPr>
              <w:tab/>
            </w:r>
            <w:r>
              <w:rPr>
                <w:noProof/>
                <w:webHidden/>
              </w:rPr>
              <w:fldChar w:fldCharType="begin"/>
            </w:r>
            <w:r>
              <w:rPr>
                <w:noProof/>
                <w:webHidden/>
              </w:rPr>
              <w:instrText xml:space="preserve"> PAGEREF _Toc198480744 \h </w:instrText>
            </w:r>
            <w:r>
              <w:rPr>
                <w:noProof/>
                <w:webHidden/>
              </w:rPr>
            </w:r>
            <w:r>
              <w:rPr>
                <w:noProof/>
                <w:webHidden/>
              </w:rPr>
              <w:fldChar w:fldCharType="separate"/>
            </w:r>
            <w:r>
              <w:rPr>
                <w:noProof/>
                <w:webHidden/>
              </w:rPr>
              <w:t>39</w:t>
            </w:r>
            <w:r>
              <w:rPr>
                <w:noProof/>
                <w:webHidden/>
              </w:rPr>
              <w:fldChar w:fldCharType="end"/>
            </w:r>
          </w:hyperlink>
        </w:p>
        <w:p w14:paraId="376D0A93" w14:textId="67480C14" w:rsidR="007F19FE" w:rsidRDefault="007F19FE">
          <w:pPr>
            <w:pStyle w:val="TOC3"/>
            <w:rPr>
              <w:rFonts w:asciiTheme="minorHAnsi" w:eastAsiaTheme="minorEastAsia" w:hAnsiTheme="minorHAnsi"/>
              <w:noProof/>
              <w:kern w:val="2"/>
              <w:sz w:val="24"/>
              <w:szCs w:val="24"/>
              <w14:ligatures w14:val="standardContextual"/>
            </w:rPr>
          </w:pPr>
          <w:hyperlink w:anchor="_Toc198480745" w:history="1">
            <w:r w:rsidRPr="00BA057C">
              <w:rPr>
                <w:rStyle w:val="Hyperlink"/>
                <w:noProof/>
                <w:highlight w:val="yellow"/>
              </w:rPr>
              <w:t>Lessons for Applying State Sourcing Rules to Partnership Income</w:t>
            </w:r>
            <w:r>
              <w:rPr>
                <w:noProof/>
                <w:webHidden/>
              </w:rPr>
              <w:tab/>
            </w:r>
            <w:r>
              <w:rPr>
                <w:noProof/>
                <w:webHidden/>
              </w:rPr>
              <w:fldChar w:fldCharType="begin"/>
            </w:r>
            <w:r>
              <w:rPr>
                <w:noProof/>
                <w:webHidden/>
              </w:rPr>
              <w:instrText xml:space="preserve"> PAGEREF _Toc198480745 \h </w:instrText>
            </w:r>
            <w:r>
              <w:rPr>
                <w:noProof/>
                <w:webHidden/>
              </w:rPr>
            </w:r>
            <w:r>
              <w:rPr>
                <w:noProof/>
                <w:webHidden/>
              </w:rPr>
              <w:fldChar w:fldCharType="separate"/>
            </w:r>
            <w:r>
              <w:rPr>
                <w:noProof/>
                <w:webHidden/>
              </w:rPr>
              <w:t>39</w:t>
            </w:r>
            <w:r>
              <w:rPr>
                <w:noProof/>
                <w:webHidden/>
              </w:rPr>
              <w:fldChar w:fldCharType="end"/>
            </w:r>
          </w:hyperlink>
        </w:p>
        <w:p w14:paraId="6D3B8B8E" w14:textId="34DB26FF" w:rsidR="007F19FE" w:rsidRDefault="007F19FE">
          <w:pPr>
            <w:pStyle w:val="TOC1"/>
            <w:rPr>
              <w:rFonts w:asciiTheme="minorHAnsi" w:eastAsiaTheme="minorEastAsia" w:hAnsiTheme="minorHAnsi"/>
              <w:b w:val="0"/>
              <w:bCs w:val="0"/>
              <w:noProof/>
              <w:color w:val="auto"/>
              <w:kern w:val="2"/>
              <w:sz w:val="24"/>
              <w:szCs w:val="24"/>
              <w14:ligatures w14:val="standardContextual"/>
            </w:rPr>
          </w:pPr>
          <w:hyperlink w:anchor="_Toc198480746" w:history="1">
            <w:r w:rsidRPr="00BA057C">
              <w:rPr>
                <w:rStyle w:val="Hyperlink"/>
                <w:noProof/>
              </w:rPr>
              <w:t>Section II: Sourcing Partnership Income –  Proposals for Addressing The Complex Issues</w:t>
            </w:r>
            <w:r>
              <w:rPr>
                <w:noProof/>
                <w:webHidden/>
              </w:rPr>
              <w:tab/>
            </w:r>
            <w:r>
              <w:rPr>
                <w:noProof/>
                <w:webHidden/>
              </w:rPr>
              <w:fldChar w:fldCharType="begin"/>
            </w:r>
            <w:r>
              <w:rPr>
                <w:noProof/>
                <w:webHidden/>
              </w:rPr>
              <w:instrText xml:space="preserve"> PAGEREF _Toc198480746 \h </w:instrText>
            </w:r>
            <w:r>
              <w:rPr>
                <w:noProof/>
                <w:webHidden/>
              </w:rPr>
            </w:r>
            <w:r>
              <w:rPr>
                <w:noProof/>
                <w:webHidden/>
              </w:rPr>
              <w:fldChar w:fldCharType="separate"/>
            </w:r>
            <w:r>
              <w:rPr>
                <w:noProof/>
                <w:webHidden/>
              </w:rPr>
              <w:t>40</w:t>
            </w:r>
            <w:r>
              <w:rPr>
                <w:noProof/>
                <w:webHidden/>
              </w:rPr>
              <w:fldChar w:fldCharType="end"/>
            </w:r>
          </w:hyperlink>
        </w:p>
        <w:p w14:paraId="2065C4D8" w14:textId="42FDEC23" w:rsidR="007F19FE" w:rsidRDefault="007F19FE">
          <w:pPr>
            <w:pStyle w:val="TOC2"/>
            <w:tabs>
              <w:tab w:val="right" w:leader="dot" w:pos="8774"/>
            </w:tabs>
            <w:rPr>
              <w:rFonts w:asciiTheme="minorHAnsi" w:eastAsiaTheme="minorEastAsia" w:hAnsiTheme="minorHAnsi"/>
              <w:noProof/>
              <w:kern w:val="2"/>
              <w:sz w:val="24"/>
              <w:szCs w:val="24"/>
              <w14:ligatures w14:val="standardContextual"/>
            </w:rPr>
          </w:pPr>
          <w:hyperlink w:anchor="_Toc198480747" w:history="1">
            <w:r w:rsidRPr="00BA057C">
              <w:rPr>
                <w:rStyle w:val="Hyperlink"/>
                <w:noProof/>
              </w:rPr>
              <w:t>II. A. General Framework for Sourcing Partnership Income</w:t>
            </w:r>
            <w:r>
              <w:rPr>
                <w:noProof/>
                <w:webHidden/>
              </w:rPr>
              <w:tab/>
            </w:r>
            <w:r>
              <w:rPr>
                <w:noProof/>
                <w:webHidden/>
              </w:rPr>
              <w:fldChar w:fldCharType="begin"/>
            </w:r>
            <w:r>
              <w:rPr>
                <w:noProof/>
                <w:webHidden/>
              </w:rPr>
              <w:instrText xml:space="preserve"> PAGEREF _Toc198480747 \h </w:instrText>
            </w:r>
            <w:r>
              <w:rPr>
                <w:noProof/>
                <w:webHidden/>
              </w:rPr>
            </w:r>
            <w:r>
              <w:rPr>
                <w:noProof/>
                <w:webHidden/>
              </w:rPr>
              <w:fldChar w:fldCharType="separate"/>
            </w:r>
            <w:r>
              <w:rPr>
                <w:noProof/>
                <w:webHidden/>
              </w:rPr>
              <w:t>42</w:t>
            </w:r>
            <w:r>
              <w:rPr>
                <w:noProof/>
                <w:webHidden/>
              </w:rPr>
              <w:fldChar w:fldCharType="end"/>
            </w:r>
          </w:hyperlink>
        </w:p>
        <w:p w14:paraId="7B3D487D" w14:textId="49DB9EC0" w:rsidR="007F19FE" w:rsidRDefault="007F19FE">
          <w:pPr>
            <w:pStyle w:val="TOC2"/>
            <w:tabs>
              <w:tab w:val="right" w:leader="dot" w:pos="8774"/>
            </w:tabs>
            <w:rPr>
              <w:rFonts w:asciiTheme="minorHAnsi" w:eastAsiaTheme="minorEastAsia" w:hAnsiTheme="minorHAnsi"/>
              <w:noProof/>
              <w:kern w:val="2"/>
              <w:sz w:val="24"/>
              <w:szCs w:val="24"/>
              <w14:ligatures w14:val="standardContextual"/>
            </w:rPr>
          </w:pPr>
          <w:hyperlink w:anchor="_Toc198480748" w:history="1">
            <w:r w:rsidRPr="00BA057C">
              <w:rPr>
                <w:rStyle w:val="Hyperlink"/>
                <w:noProof/>
              </w:rPr>
              <w:t>II.B. Use of Blended Apportionment</w:t>
            </w:r>
            <w:r>
              <w:rPr>
                <w:noProof/>
                <w:webHidden/>
              </w:rPr>
              <w:tab/>
            </w:r>
            <w:r>
              <w:rPr>
                <w:noProof/>
                <w:webHidden/>
              </w:rPr>
              <w:fldChar w:fldCharType="begin"/>
            </w:r>
            <w:r>
              <w:rPr>
                <w:noProof/>
                <w:webHidden/>
              </w:rPr>
              <w:instrText xml:space="preserve"> PAGEREF _Toc198480748 \h </w:instrText>
            </w:r>
            <w:r>
              <w:rPr>
                <w:noProof/>
                <w:webHidden/>
              </w:rPr>
            </w:r>
            <w:r>
              <w:rPr>
                <w:noProof/>
                <w:webHidden/>
              </w:rPr>
              <w:fldChar w:fldCharType="separate"/>
            </w:r>
            <w:r>
              <w:rPr>
                <w:noProof/>
                <w:webHidden/>
              </w:rPr>
              <w:t>43</w:t>
            </w:r>
            <w:r>
              <w:rPr>
                <w:noProof/>
                <w:webHidden/>
              </w:rPr>
              <w:fldChar w:fldCharType="end"/>
            </w:r>
          </w:hyperlink>
        </w:p>
        <w:p w14:paraId="7912E230" w14:textId="027D7843" w:rsidR="007F19FE" w:rsidRDefault="007F19FE">
          <w:pPr>
            <w:pStyle w:val="TOC3"/>
            <w:rPr>
              <w:rFonts w:asciiTheme="minorHAnsi" w:eastAsiaTheme="minorEastAsia" w:hAnsiTheme="minorHAnsi"/>
              <w:noProof/>
              <w:kern w:val="2"/>
              <w:sz w:val="24"/>
              <w:szCs w:val="24"/>
              <w14:ligatures w14:val="standardContextual"/>
            </w:rPr>
          </w:pPr>
          <w:hyperlink w:anchor="_Toc198480749" w:history="1">
            <w:r w:rsidRPr="00BA057C">
              <w:rPr>
                <w:rStyle w:val="Hyperlink"/>
                <w:noProof/>
              </w:rPr>
              <w:t>Effect of Blended Apportionment – Simple Example</w:t>
            </w:r>
            <w:r>
              <w:rPr>
                <w:noProof/>
                <w:webHidden/>
              </w:rPr>
              <w:tab/>
            </w:r>
            <w:r>
              <w:rPr>
                <w:noProof/>
                <w:webHidden/>
              </w:rPr>
              <w:fldChar w:fldCharType="begin"/>
            </w:r>
            <w:r>
              <w:rPr>
                <w:noProof/>
                <w:webHidden/>
              </w:rPr>
              <w:instrText xml:space="preserve"> PAGEREF _Toc198480749 \h </w:instrText>
            </w:r>
            <w:r>
              <w:rPr>
                <w:noProof/>
                <w:webHidden/>
              </w:rPr>
            </w:r>
            <w:r>
              <w:rPr>
                <w:noProof/>
                <w:webHidden/>
              </w:rPr>
              <w:fldChar w:fldCharType="separate"/>
            </w:r>
            <w:r>
              <w:rPr>
                <w:noProof/>
                <w:webHidden/>
              </w:rPr>
              <w:t>43</w:t>
            </w:r>
            <w:r>
              <w:rPr>
                <w:noProof/>
                <w:webHidden/>
              </w:rPr>
              <w:fldChar w:fldCharType="end"/>
            </w:r>
          </w:hyperlink>
        </w:p>
        <w:p w14:paraId="647C322A" w14:textId="21003D11" w:rsidR="007F19FE" w:rsidRDefault="007F19FE">
          <w:pPr>
            <w:pStyle w:val="TOC3"/>
            <w:rPr>
              <w:rFonts w:asciiTheme="minorHAnsi" w:eastAsiaTheme="minorEastAsia" w:hAnsiTheme="minorHAnsi"/>
              <w:noProof/>
              <w:kern w:val="2"/>
              <w:sz w:val="24"/>
              <w:szCs w:val="24"/>
              <w14:ligatures w14:val="standardContextual"/>
            </w:rPr>
          </w:pPr>
          <w:hyperlink w:anchor="_Toc198480750" w:history="1">
            <w:r w:rsidRPr="00BA057C">
              <w:rPr>
                <w:rStyle w:val="Hyperlink"/>
                <w:noProof/>
              </w:rPr>
              <w:t>Current State Use of Blended Apportionment</w:t>
            </w:r>
            <w:r>
              <w:rPr>
                <w:noProof/>
                <w:webHidden/>
              </w:rPr>
              <w:tab/>
            </w:r>
            <w:r>
              <w:rPr>
                <w:noProof/>
                <w:webHidden/>
              </w:rPr>
              <w:fldChar w:fldCharType="begin"/>
            </w:r>
            <w:r>
              <w:rPr>
                <w:noProof/>
                <w:webHidden/>
              </w:rPr>
              <w:instrText xml:space="preserve"> PAGEREF _Toc198480750 \h </w:instrText>
            </w:r>
            <w:r>
              <w:rPr>
                <w:noProof/>
                <w:webHidden/>
              </w:rPr>
            </w:r>
            <w:r>
              <w:rPr>
                <w:noProof/>
                <w:webHidden/>
              </w:rPr>
              <w:fldChar w:fldCharType="separate"/>
            </w:r>
            <w:r>
              <w:rPr>
                <w:noProof/>
                <w:webHidden/>
              </w:rPr>
              <w:t>44</w:t>
            </w:r>
            <w:r>
              <w:rPr>
                <w:noProof/>
                <w:webHidden/>
              </w:rPr>
              <w:fldChar w:fldCharType="end"/>
            </w:r>
          </w:hyperlink>
        </w:p>
        <w:p w14:paraId="0B9D504D" w14:textId="0B8ED470" w:rsidR="007F19FE" w:rsidRDefault="007F19FE">
          <w:pPr>
            <w:pStyle w:val="TOC3"/>
            <w:rPr>
              <w:rFonts w:asciiTheme="minorHAnsi" w:eastAsiaTheme="minorEastAsia" w:hAnsiTheme="minorHAnsi"/>
              <w:noProof/>
              <w:kern w:val="2"/>
              <w:sz w:val="24"/>
              <w:szCs w:val="24"/>
              <w14:ligatures w14:val="standardContextual"/>
            </w:rPr>
          </w:pPr>
          <w:hyperlink w:anchor="_Toc198480751" w:history="1">
            <w:r w:rsidRPr="00BA057C">
              <w:rPr>
                <w:rStyle w:val="Hyperlink"/>
                <w:noProof/>
              </w:rPr>
              <w:t>How does blended apportionment work generally?</w:t>
            </w:r>
            <w:r>
              <w:rPr>
                <w:noProof/>
                <w:webHidden/>
              </w:rPr>
              <w:tab/>
            </w:r>
            <w:r>
              <w:rPr>
                <w:noProof/>
                <w:webHidden/>
              </w:rPr>
              <w:fldChar w:fldCharType="begin"/>
            </w:r>
            <w:r>
              <w:rPr>
                <w:noProof/>
                <w:webHidden/>
              </w:rPr>
              <w:instrText xml:space="preserve"> PAGEREF _Toc198480751 \h </w:instrText>
            </w:r>
            <w:r>
              <w:rPr>
                <w:noProof/>
                <w:webHidden/>
              </w:rPr>
            </w:r>
            <w:r>
              <w:rPr>
                <w:noProof/>
                <w:webHidden/>
              </w:rPr>
              <w:fldChar w:fldCharType="separate"/>
            </w:r>
            <w:r>
              <w:rPr>
                <w:noProof/>
                <w:webHidden/>
              </w:rPr>
              <w:t>44</w:t>
            </w:r>
            <w:r>
              <w:rPr>
                <w:noProof/>
                <w:webHidden/>
              </w:rPr>
              <w:fldChar w:fldCharType="end"/>
            </w:r>
          </w:hyperlink>
        </w:p>
        <w:p w14:paraId="2D1E41B0" w14:textId="5B4829FF" w:rsidR="007F19FE" w:rsidRDefault="007F19FE">
          <w:pPr>
            <w:pStyle w:val="TOC3"/>
            <w:rPr>
              <w:rFonts w:asciiTheme="minorHAnsi" w:eastAsiaTheme="minorEastAsia" w:hAnsiTheme="minorHAnsi"/>
              <w:noProof/>
              <w:kern w:val="2"/>
              <w:sz w:val="24"/>
              <w:szCs w:val="24"/>
              <w14:ligatures w14:val="standardContextual"/>
            </w:rPr>
          </w:pPr>
          <w:hyperlink w:anchor="_Toc198480752" w:history="1">
            <w:r w:rsidRPr="00BA057C">
              <w:rPr>
                <w:rStyle w:val="Hyperlink"/>
                <w:noProof/>
              </w:rPr>
              <w:t>When should blended apportionment be used?</w:t>
            </w:r>
            <w:r>
              <w:rPr>
                <w:noProof/>
                <w:webHidden/>
              </w:rPr>
              <w:tab/>
            </w:r>
            <w:r>
              <w:rPr>
                <w:noProof/>
                <w:webHidden/>
              </w:rPr>
              <w:fldChar w:fldCharType="begin"/>
            </w:r>
            <w:r>
              <w:rPr>
                <w:noProof/>
                <w:webHidden/>
              </w:rPr>
              <w:instrText xml:space="preserve"> PAGEREF _Toc198480752 \h </w:instrText>
            </w:r>
            <w:r>
              <w:rPr>
                <w:noProof/>
                <w:webHidden/>
              </w:rPr>
            </w:r>
            <w:r>
              <w:rPr>
                <w:noProof/>
                <w:webHidden/>
              </w:rPr>
              <w:fldChar w:fldCharType="separate"/>
            </w:r>
            <w:r>
              <w:rPr>
                <w:noProof/>
                <w:webHidden/>
              </w:rPr>
              <w:t>49</w:t>
            </w:r>
            <w:r>
              <w:rPr>
                <w:noProof/>
                <w:webHidden/>
              </w:rPr>
              <w:fldChar w:fldCharType="end"/>
            </w:r>
          </w:hyperlink>
        </w:p>
        <w:p w14:paraId="7CCABAC0" w14:textId="1FBB477A" w:rsidR="007F19FE" w:rsidRDefault="007F19FE">
          <w:pPr>
            <w:pStyle w:val="TOC2"/>
            <w:tabs>
              <w:tab w:val="right" w:leader="dot" w:pos="8774"/>
            </w:tabs>
            <w:rPr>
              <w:rFonts w:asciiTheme="minorHAnsi" w:eastAsiaTheme="minorEastAsia" w:hAnsiTheme="minorHAnsi"/>
              <w:noProof/>
              <w:kern w:val="2"/>
              <w:sz w:val="24"/>
              <w:szCs w:val="24"/>
              <w14:ligatures w14:val="standardContextual"/>
            </w:rPr>
          </w:pPr>
          <w:hyperlink w:anchor="_Toc198480753" w:history="1">
            <w:r w:rsidRPr="00BA057C">
              <w:rPr>
                <w:rStyle w:val="Hyperlink"/>
                <w:noProof/>
              </w:rPr>
              <w:t>II.C. Sourcing Special or Mandatory Allocations</w:t>
            </w:r>
            <w:r>
              <w:rPr>
                <w:noProof/>
                <w:webHidden/>
              </w:rPr>
              <w:tab/>
            </w:r>
            <w:r>
              <w:rPr>
                <w:noProof/>
                <w:webHidden/>
              </w:rPr>
              <w:fldChar w:fldCharType="begin"/>
            </w:r>
            <w:r>
              <w:rPr>
                <w:noProof/>
                <w:webHidden/>
              </w:rPr>
              <w:instrText xml:space="preserve"> PAGEREF _Toc198480753 \h </w:instrText>
            </w:r>
            <w:r>
              <w:rPr>
                <w:noProof/>
                <w:webHidden/>
              </w:rPr>
            </w:r>
            <w:r>
              <w:rPr>
                <w:noProof/>
                <w:webHidden/>
              </w:rPr>
              <w:fldChar w:fldCharType="separate"/>
            </w:r>
            <w:r>
              <w:rPr>
                <w:noProof/>
                <w:webHidden/>
              </w:rPr>
              <w:t>52</w:t>
            </w:r>
            <w:r>
              <w:rPr>
                <w:noProof/>
                <w:webHidden/>
              </w:rPr>
              <w:fldChar w:fldCharType="end"/>
            </w:r>
          </w:hyperlink>
        </w:p>
        <w:p w14:paraId="086B5256" w14:textId="64D0816B" w:rsidR="007F19FE" w:rsidRDefault="007F19FE">
          <w:pPr>
            <w:pStyle w:val="TOC2"/>
            <w:tabs>
              <w:tab w:val="right" w:leader="dot" w:pos="8774"/>
            </w:tabs>
            <w:rPr>
              <w:rFonts w:asciiTheme="minorHAnsi" w:eastAsiaTheme="minorEastAsia" w:hAnsiTheme="minorHAnsi"/>
              <w:noProof/>
              <w:kern w:val="2"/>
              <w:sz w:val="24"/>
              <w:szCs w:val="24"/>
              <w14:ligatures w14:val="standardContextual"/>
            </w:rPr>
          </w:pPr>
          <w:hyperlink w:anchor="_Toc198480754" w:history="1">
            <w:r w:rsidRPr="00BA057C">
              <w:rPr>
                <w:rStyle w:val="Hyperlink"/>
                <w:noProof/>
                <w:highlight w:val="yellow"/>
              </w:rPr>
              <w:t>II.D. Other Related -Entity Transactions</w:t>
            </w:r>
            <w:r>
              <w:rPr>
                <w:noProof/>
                <w:webHidden/>
              </w:rPr>
              <w:tab/>
            </w:r>
            <w:r>
              <w:rPr>
                <w:noProof/>
                <w:webHidden/>
              </w:rPr>
              <w:fldChar w:fldCharType="begin"/>
            </w:r>
            <w:r>
              <w:rPr>
                <w:noProof/>
                <w:webHidden/>
              </w:rPr>
              <w:instrText xml:space="preserve"> PAGEREF _Toc198480754 \h </w:instrText>
            </w:r>
            <w:r>
              <w:rPr>
                <w:noProof/>
                <w:webHidden/>
              </w:rPr>
            </w:r>
            <w:r>
              <w:rPr>
                <w:noProof/>
                <w:webHidden/>
              </w:rPr>
              <w:fldChar w:fldCharType="separate"/>
            </w:r>
            <w:r>
              <w:rPr>
                <w:noProof/>
                <w:webHidden/>
              </w:rPr>
              <w:t>55</w:t>
            </w:r>
            <w:r>
              <w:rPr>
                <w:noProof/>
                <w:webHidden/>
              </w:rPr>
              <w:fldChar w:fldCharType="end"/>
            </w:r>
          </w:hyperlink>
        </w:p>
        <w:p w14:paraId="18426704" w14:textId="16A1170F" w:rsidR="007F19FE" w:rsidRDefault="007F19FE">
          <w:pPr>
            <w:pStyle w:val="TOC3"/>
            <w:rPr>
              <w:rFonts w:asciiTheme="minorHAnsi" w:eastAsiaTheme="minorEastAsia" w:hAnsiTheme="minorHAnsi"/>
              <w:noProof/>
              <w:kern w:val="2"/>
              <w:sz w:val="24"/>
              <w:szCs w:val="24"/>
              <w14:ligatures w14:val="standardContextual"/>
            </w:rPr>
          </w:pPr>
          <w:hyperlink w:anchor="_Toc198480755" w:history="1">
            <w:r w:rsidRPr="00BA057C">
              <w:rPr>
                <w:rStyle w:val="Hyperlink"/>
                <w:noProof/>
              </w:rPr>
              <w:t>Add-Back Statutes</w:t>
            </w:r>
            <w:r>
              <w:rPr>
                <w:noProof/>
                <w:webHidden/>
              </w:rPr>
              <w:tab/>
            </w:r>
            <w:r>
              <w:rPr>
                <w:noProof/>
                <w:webHidden/>
              </w:rPr>
              <w:fldChar w:fldCharType="begin"/>
            </w:r>
            <w:r>
              <w:rPr>
                <w:noProof/>
                <w:webHidden/>
              </w:rPr>
              <w:instrText xml:space="preserve"> PAGEREF _Toc198480755 \h </w:instrText>
            </w:r>
            <w:r>
              <w:rPr>
                <w:noProof/>
                <w:webHidden/>
              </w:rPr>
            </w:r>
            <w:r>
              <w:rPr>
                <w:noProof/>
                <w:webHidden/>
              </w:rPr>
              <w:fldChar w:fldCharType="separate"/>
            </w:r>
            <w:r>
              <w:rPr>
                <w:noProof/>
                <w:webHidden/>
              </w:rPr>
              <w:t>55</w:t>
            </w:r>
            <w:r>
              <w:rPr>
                <w:noProof/>
                <w:webHidden/>
              </w:rPr>
              <w:fldChar w:fldCharType="end"/>
            </w:r>
          </w:hyperlink>
        </w:p>
        <w:p w14:paraId="4676B9A7" w14:textId="0669B73F" w:rsidR="007F19FE" w:rsidRDefault="007F19FE">
          <w:pPr>
            <w:pStyle w:val="TOC3"/>
            <w:rPr>
              <w:rFonts w:asciiTheme="minorHAnsi" w:eastAsiaTheme="minorEastAsia" w:hAnsiTheme="minorHAnsi"/>
              <w:noProof/>
              <w:kern w:val="2"/>
              <w:sz w:val="24"/>
              <w:szCs w:val="24"/>
              <w14:ligatures w14:val="standardContextual"/>
            </w:rPr>
          </w:pPr>
          <w:hyperlink w:anchor="_Toc198480756" w:history="1">
            <w:r w:rsidRPr="00BA057C">
              <w:rPr>
                <w:rStyle w:val="Hyperlink"/>
                <w:noProof/>
              </w:rPr>
              <w:t>Transfer-Pricing Authority</w:t>
            </w:r>
            <w:r>
              <w:rPr>
                <w:noProof/>
                <w:webHidden/>
              </w:rPr>
              <w:tab/>
            </w:r>
            <w:r>
              <w:rPr>
                <w:noProof/>
                <w:webHidden/>
              </w:rPr>
              <w:fldChar w:fldCharType="begin"/>
            </w:r>
            <w:r>
              <w:rPr>
                <w:noProof/>
                <w:webHidden/>
              </w:rPr>
              <w:instrText xml:space="preserve"> PAGEREF _Toc198480756 \h </w:instrText>
            </w:r>
            <w:r>
              <w:rPr>
                <w:noProof/>
                <w:webHidden/>
              </w:rPr>
            </w:r>
            <w:r>
              <w:rPr>
                <w:noProof/>
                <w:webHidden/>
              </w:rPr>
              <w:fldChar w:fldCharType="separate"/>
            </w:r>
            <w:r>
              <w:rPr>
                <w:noProof/>
                <w:webHidden/>
              </w:rPr>
              <w:t>55</w:t>
            </w:r>
            <w:r>
              <w:rPr>
                <w:noProof/>
                <w:webHidden/>
              </w:rPr>
              <w:fldChar w:fldCharType="end"/>
            </w:r>
          </w:hyperlink>
        </w:p>
        <w:p w14:paraId="53BD1428" w14:textId="0AD07C43" w:rsidR="007F19FE" w:rsidRDefault="007F19FE">
          <w:pPr>
            <w:pStyle w:val="TOC2"/>
            <w:tabs>
              <w:tab w:val="right" w:leader="dot" w:pos="8774"/>
            </w:tabs>
            <w:rPr>
              <w:rFonts w:asciiTheme="minorHAnsi" w:eastAsiaTheme="minorEastAsia" w:hAnsiTheme="minorHAnsi"/>
              <w:noProof/>
              <w:kern w:val="2"/>
              <w:sz w:val="24"/>
              <w:szCs w:val="24"/>
              <w14:ligatures w14:val="standardContextual"/>
            </w:rPr>
          </w:pPr>
          <w:hyperlink w:anchor="_Toc198480757" w:history="1">
            <w:r w:rsidRPr="00BA057C">
              <w:rPr>
                <w:rStyle w:val="Hyperlink"/>
                <w:noProof/>
                <w:highlight w:val="yellow"/>
              </w:rPr>
              <w:t>II.E. Anti-Abuse Rules</w:t>
            </w:r>
            <w:r>
              <w:rPr>
                <w:noProof/>
                <w:webHidden/>
              </w:rPr>
              <w:tab/>
            </w:r>
            <w:r>
              <w:rPr>
                <w:noProof/>
                <w:webHidden/>
              </w:rPr>
              <w:fldChar w:fldCharType="begin"/>
            </w:r>
            <w:r>
              <w:rPr>
                <w:noProof/>
                <w:webHidden/>
              </w:rPr>
              <w:instrText xml:space="preserve"> PAGEREF _Toc198480757 \h </w:instrText>
            </w:r>
            <w:r>
              <w:rPr>
                <w:noProof/>
                <w:webHidden/>
              </w:rPr>
            </w:r>
            <w:r>
              <w:rPr>
                <w:noProof/>
                <w:webHidden/>
              </w:rPr>
              <w:fldChar w:fldCharType="separate"/>
            </w:r>
            <w:r>
              <w:rPr>
                <w:noProof/>
                <w:webHidden/>
              </w:rPr>
              <w:t>56</w:t>
            </w:r>
            <w:r>
              <w:rPr>
                <w:noProof/>
                <w:webHidden/>
              </w:rPr>
              <w:fldChar w:fldCharType="end"/>
            </w:r>
          </w:hyperlink>
        </w:p>
        <w:p w14:paraId="17BB303B" w14:textId="10E829E0" w:rsidR="007F19FE" w:rsidRDefault="007F19FE">
          <w:pPr>
            <w:pStyle w:val="TOC1"/>
            <w:rPr>
              <w:rFonts w:asciiTheme="minorHAnsi" w:eastAsiaTheme="minorEastAsia" w:hAnsiTheme="minorHAnsi"/>
              <w:b w:val="0"/>
              <w:bCs w:val="0"/>
              <w:noProof/>
              <w:color w:val="auto"/>
              <w:kern w:val="2"/>
              <w:sz w:val="24"/>
              <w:szCs w:val="24"/>
              <w14:ligatures w14:val="standardContextual"/>
            </w:rPr>
          </w:pPr>
          <w:hyperlink w:anchor="_Toc198480758" w:history="1">
            <w:r w:rsidRPr="00BA057C">
              <w:rPr>
                <w:rStyle w:val="Hyperlink"/>
                <w:rFonts w:asciiTheme="majorHAnsi" w:eastAsiaTheme="majorEastAsia" w:hAnsiTheme="majorHAnsi" w:cstheme="majorBidi"/>
                <w:b/>
                <w:smallCaps/>
                <w:noProof/>
              </w:rPr>
              <w:t>III. Summary of Multistate Research On State Tax</w:t>
            </w:r>
            <w:r>
              <w:rPr>
                <w:noProof/>
                <w:webHidden/>
              </w:rPr>
              <w:tab/>
            </w:r>
            <w:r>
              <w:rPr>
                <w:noProof/>
                <w:webHidden/>
              </w:rPr>
              <w:fldChar w:fldCharType="begin"/>
            </w:r>
            <w:r>
              <w:rPr>
                <w:noProof/>
                <w:webHidden/>
              </w:rPr>
              <w:instrText xml:space="preserve"> PAGEREF _Toc198480758 \h </w:instrText>
            </w:r>
            <w:r>
              <w:rPr>
                <w:noProof/>
                <w:webHidden/>
              </w:rPr>
            </w:r>
            <w:r>
              <w:rPr>
                <w:noProof/>
                <w:webHidden/>
              </w:rPr>
              <w:fldChar w:fldCharType="separate"/>
            </w:r>
            <w:r>
              <w:rPr>
                <w:noProof/>
                <w:webHidden/>
              </w:rPr>
              <w:t>58</w:t>
            </w:r>
            <w:r>
              <w:rPr>
                <w:noProof/>
                <w:webHidden/>
              </w:rPr>
              <w:fldChar w:fldCharType="end"/>
            </w:r>
          </w:hyperlink>
        </w:p>
        <w:p w14:paraId="0335F7EB" w14:textId="32BE7369" w:rsidR="007F19FE" w:rsidRDefault="007F19FE">
          <w:pPr>
            <w:pStyle w:val="TOC1"/>
            <w:rPr>
              <w:rFonts w:asciiTheme="minorHAnsi" w:eastAsiaTheme="minorEastAsia" w:hAnsiTheme="minorHAnsi"/>
              <w:b w:val="0"/>
              <w:bCs w:val="0"/>
              <w:noProof/>
              <w:color w:val="auto"/>
              <w:kern w:val="2"/>
              <w:sz w:val="24"/>
              <w:szCs w:val="24"/>
              <w14:ligatures w14:val="standardContextual"/>
            </w:rPr>
          </w:pPr>
          <w:hyperlink w:anchor="_Toc198480759" w:history="1">
            <w:r w:rsidRPr="00BA057C">
              <w:rPr>
                <w:rStyle w:val="Hyperlink"/>
                <w:rFonts w:asciiTheme="majorHAnsi" w:eastAsiaTheme="majorEastAsia" w:hAnsiTheme="majorHAnsi" w:cstheme="majorBidi"/>
                <w:b/>
                <w:smallCaps/>
                <w:noProof/>
              </w:rPr>
              <w:t>Sourcing for Complex Partnership Structures</w:t>
            </w:r>
            <w:r>
              <w:rPr>
                <w:noProof/>
                <w:webHidden/>
              </w:rPr>
              <w:tab/>
            </w:r>
            <w:r>
              <w:rPr>
                <w:noProof/>
                <w:webHidden/>
              </w:rPr>
              <w:fldChar w:fldCharType="begin"/>
            </w:r>
            <w:r>
              <w:rPr>
                <w:noProof/>
                <w:webHidden/>
              </w:rPr>
              <w:instrText xml:space="preserve"> PAGEREF _Toc198480759 \h </w:instrText>
            </w:r>
            <w:r>
              <w:rPr>
                <w:noProof/>
                <w:webHidden/>
              </w:rPr>
            </w:r>
            <w:r>
              <w:rPr>
                <w:noProof/>
                <w:webHidden/>
              </w:rPr>
              <w:fldChar w:fldCharType="separate"/>
            </w:r>
            <w:r>
              <w:rPr>
                <w:noProof/>
                <w:webHidden/>
              </w:rPr>
              <w:t>58</w:t>
            </w:r>
            <w:r>
              <w:rPr>
                <w:noProof/>
                <w:webHidden/>
              </w:rPr>
              <w:fldChar w:fldCharType="end"/>
            </w:r>
          </w:hyperlink>
        </w:p>
        <w:p w14:paraId="4874937D" w14:textId="612A9F78" w:rsidR="007F19FE" w:rsidRDefault="007F19FE">
          <w:pPr>
            <w:pStyle w:val="TOC2"/>
            <w:tabs>
              <w:tab w:val="right" w:leader="dot" w:pos="8774"/>
            </w:tabs>
            <w:rPr>
              <w:rFonts w:asciiTheme="minorHAnsi" w:eastAsiaTheme="minorEastAsia" w:hAnsiTheme="minorHAnsi"/>
              <w:noProof/>
              <w:kern w:val="2"/>
              <w:sz w:val="24"/>
              <w:szCs w:val="24"/>
              <w14:ligatures w14:val="standardContextual"/>
            </w:rPr>
          </w:pPr>
          <w:hyperlink w:anchor="_Toc198480760" w:history="1">
            <w:r w:rsidRPr="00BA057C">
              <w:rPr>
                <w:rStyle w:val="Hyperlink"/>
                <w:rFonts w:asciiTheme="majorHAnsi" w:eastAsiaTheme="majorEastAsia" w:hAnsiTheme="majorHAnsi" w:cstheme="majorBidi"/>
                <w:noProof/>
              </w:rPr>
              <w:t>III. A.  Summary of Complex Partnership Structure</w:t>
            </w:r>
            <w:r>
              <w:rPr>
                <w:noProof/>
                <w:webHidden/>
              </w:rPr>
              <w:tab/>
            </w:r>
            <w:r>
              <w:rPr>
                <w:noProof/>
                <w:webHidden/>
              </w:rPr>
              <w:fldChar w:fldCharType="begin"/>
            </w:r>
            <w:r>
              <w:rPr>
                <w:noProof/>
                <w:webHidden/>
              </w:rPr>
              <w:instrText xml:space="preserve"> PAGEREF _Toc198480760 \h </w:instrText>
            </w:r>
            <w:r>
              <w:rPr>
                <w:noProof/>
                <w:webHidden/>
              </w:rPr>
            </w:r>
            <w:r>
              <w:rPr>
                <w:noProof/>
                <w:webHidden/>
              </w:rPr>
              <w:fldChar w:fldCharType="separate"/>
            </w:r>
            <w:r>
              <w:rPr>
                <w:noProof/>
                <w:webHidden/>
              </w:rPr>
              <w:t>58</w:t>
            </w:r>
            <w:r>
              <w:rPr>
                <w:noProof/>
                <w:webHidden/>
              </w:rPr>
              <w:fldChar w:fldCharType="end"/>
            </w:r>
          </w:hyperlink>
        </w:p>
        <w:p w14:paraId="3B4B0731" w14:textId="3B57B3A1" w:rsidR="007F19FE" w:rsidRDefault="007F19FE">
          <w:pPr>
            <w:pStyle w:val="TOC2"/>
            <w:tabs>
              <w:tab w:val="right" w:leader="dot" w:pos="8774"/>
            </w:tabs>
            <w:rPr>
              <w:rFonts w:asciiTheme="minorHAnsi" w:eastAsiaTheme="minorEastAsia" w:hAnsiTheme="minorHAnsi"/>
              <w:noProof/>
              <w:kern w:val="2"/>
              <w:sz w:val="24"/>
              <w:szCs w:val="24"/>
              <w14:ligatures w14:val="standardContextual"/>
            </w:rPr>
          </w:pPr>
          <w:hyperlink w:anchor="_Toc198480761" w:history="1">
            <w:r w:rsidRPr="00BA057C">
              <w:rPr>
                <w:rStyle w:val="Hyperlink"/>
                <w:rFonts w:asciiTheme="majorHAnsi" w:eastAsiaTheme="majorEastAsia" w:hAnsiTheme="majorHAnsi" w:cstheme="majorBidi"/>
                <w:noProof/>
              </w:rPr>
              <w:t>Sourcing Issues Addressed by States</w:t>
            </w:r>
            <w:r>
              <w:rPr>
                <w:noProof/>
                <w:webHidden/>
              </w:rPr>
              <w:tab/>
            </w:r>
            <w:r>
              <w:rPr>
                <w:noProof/>
                <w:webHidden/>
              </w:rPr>
              <w:fldChar w:fldCharType="begin"/>
            </w:r>
            <w:r>
              <w:rPr>
                <w:noProof/>
                <w:webHidden/>
              </w:rPr>
              <w:instrText xml:space="preserve"> PAGEREF _Toc198480761 \h </w:instrText>
            </w:r>
            <w:r>
              <w:rPr>
                <w:noProof/>
                <w:webHidden/>
              </w:rPr>
            </w:r>
            <w:r>
              <w:rPr>
                <w:noProof/>
                <w:webHidden/>
              </w:rPr>
              <w:fldChar w:fldCharType="separate"/>
            </w:r>
            <w:r>
              <w:rPr>
                <w:noProof/>
                <w:webHidden/>
              </w:rPr>
              <w:t>58</w:t>
            </w:r>
            <w:r>
              <w:rPr>
                <w:noProof/>
                <w:webHidden/>
              </w:rPr>
              <w:fldChar w:fldCharType="end"/>
            </w:r>
          </w:hyperlink>
        </w:p>
        <w:p w14:paraId="485FB90B" w14:textId="0B32EFA4" w:rsidR="007F19FE" w:rsidRDefault="007F19FE">
          <w:pPr>
            <w:pStyle w:val="TOC2"/>
            <w:tabs>
              <w:tab w:val="right" w:leader="dot" w:pos="8774"/>
            </w:tabs>
            <w:rPr>
              <w:rFonts w:asciiTheme="minorHAnsi" w:eastAsiaTheme="minorEastAsia" w:hAnsiTheme="minorHAnsi"/>
              <w:noProof/>
              <w:kern w:val="2"/>
              <w:sz w:val="24"/>
              <w:szCs w:val="24"/>
              <w14:ligatures w14:val="standardContextual"/>
            </w:rPr>
          </w:pPr>
          <w:hyperlink w:anchor="_Toc198480762" w:history="1">
            <w:r w:rsidRPr="00BA057C">
              <w:rPr>
                <w:rStyle w:val="Hyperlink"/>
                <w:rFonts w:asciiTheme="majorHAnsi" w:eastAsiaTheme="majorEastAsia" w:hAnsiTheme="majorHAnsi" w:cstheme="majorBidi"/>
                <w:noProof/>
              </w:rPr>
              <w:t>III. B.  State Rules on Sourcing for Complex Partnership Sourcing</w:t>
            </w:r>
            <w:r>
              <w:rPr>
                <w:noProof/>
                <w:webHidden/>
              </w:rPr>
              <w:tab/>
            </w:r>
            <w:r>
              <w:rPr>
                <w:noProof/>
                <w:webHidden/>
              </w:rPr>
              <w:fldChar w:fldCharType="begin"/>
            </w:r>
            <w:r>
              <w:rPr>
                <w:noProof/>
                <w:webHidden/>
              </w:rPr>
              <w:instrText xml:space="preserve"> PAGEREF _Toc198480762 \h </w:instrText>
            </w:r>
            <w:r>
              <w:rPr>
                <w:noProof/>
                <w:webHidden/>
              </w:rPr>
            </w:r>
            <w:r>
              <w:rPr>
                <w:noProof/>
                <w:webHidden/>
              </w:rPr>
              <w:fldChar w:fldCharType="separate"/>
            </w:r>
            <w:r>
              <w:rPr>
                <w:noProof/>
                <w:webHidden/>
              </w:rPr>
              <w:t>60</w:t>
            </w:r>
            <w:r>
              <w:rPr>
                <w:noProof/>
                <w:webHidden/>
              </w:rPr>
              <w:fldChar w:fldCharType="end"/>
            </w:r>
          </w:hyperlink>
        </w:p>
        <w:p w14:paraId="1B4AB776" w14:textId="2061A5E0" w:rsidR="007F19FE" w:rsidRDefault="007F19FE">
          <w:pPr>
            <w:pStyle w:val="TOC3"/>
            <w:rPr>
              <w:rFonts w:asciiTheme="minorHAnsi" w:eastAsiaTheme="minorEastAsia" w:hAnsiTheme="minorHAnsi"/>
              <w:noProof/>
              <w:kern w:val="2"/>
              <w:sz w:val="24"/>
              <w:szCs w:val="24"/>
              <w14:ligatures w14:val="standardContextual"/>
            </w:rPr>
          </w:pPr>
          <w:hyperlink w:anchor="_Toc198480763" w:history="1">
            <w:r w:rsidRPr="00BA057C">
              <w:rPr>
                <w:rStyle w:val="Hyperlink"/>
                <w:rFonts w:ascii="Californian FB" w:eastAsia="Times New Roman" w:hAnsi="Californian FB" w:cs="Times New Roman"/>
                <w:noProof/>
              </w:rPr>
              <w:t>Alabama</w:t>
            </w:r>
            <w:r>
              <w:rPr>
                <w:noProof/>
                <w:webHidden/>
              </w:rPr>
              <w:tab/>
            </w:r>
            <w:r>
              <w:rPr>
                <w:noProof/>
                <w:webHidden/>
              </w:rPr>
              <w:fldChar w:fldCharType="begin"/>
            </w:r>
            <w:r>
              <w:rPr>
                <w:noProof/>
                <w:webHidden/>
              </w:rPr>
              <w:instrText xml:space="preserve"> PAGEREF _Toc198480763 \h </w:instrText>
            </w:r>
            <w:r>
              <w:rPr>
                <w:noProof/>
                <w:webHidden/>
              </w:rPr>
            </w:r>
            <w:r>
              <w:rPr>
                <w:noProof/>
                <w:webHidden/>
              </w:rPr>
              <w:fldChar w:fldCharType="separate"/>
            </w:r>
            <w:r>
              <w:rPr>
                <w:noProof/>
                <w:webHidden/>
              </w:rPr>
              <w:t>60</w:t>
            </w:r>
            <w:r>
              <w:rPr>
                <w:noProof/>
                <w:webHidden/>
              </w:rPr>
              <w:fldChar w:fldCharType="end"/>
            </w:r>
          </w:hyperlink>
        </w:p>
        <w:p w14:paraId="1C6CE2E4" w14:textId="1CA08817" w:rsidR="007F19FE" w:rsidRDefault="007F19FE">
          <w:pPr>
            <w:pStyle w:val="TOC3"/>
            <w:rPr>
              <w:rFonts w:asciiTheme="minorHAnsi" w:eastAsiaTheme="minorEastAsia" w:hAnsiTheme="minorHAnsi"/>
              <w:noProof/>
              <w:kern w:val="2"/>
              <w:sz w:val="24"/>
              <w:szCs w:val="24"/>
              <w14:ligatures w14:val="standardContextual"/>
            </w:rPr>
          </w:pPr>
          <w:hyperlink w:anchor="_Toc198480764" w:history="1">
            <w:r w:rsidRPr="00BA057C">
              <w:rPr>
                <w:rStyle w:val="Hyperlink"/>
                <w:rFonts w:ascii="Californian FB" w:eastAsia="Times New Roman" w:hAnsi="Californian FB" w:cs="Times New Roman"/>
                <w:noProof/>
              </w:rPr>
              <w:t>Alaska</w:t>
            </w:r>
            <w:r>
              <w:rPr>
                <w:noProof/>
                <w:webHidden/>
              </w:rPr>
              <w:tab/>
            </w:r>
            <w:r>
              <w:rPr>
                <w:noProof/>
                <w:webHidden/>
              </w:rPr>
              <w:fldChar w:fldCharType="begin"/>
            </w:r>
            <w:r>
              <w:rPr>
                <w:noProof/>
                <w:webHidden/>
              </w:rPr>
              <w:instrText xml:space="preserve"> PAGEREF _Toc198480764 \h </w:instrText>
            </w:r>
            <w:r>
              <w:rPr>
                <w:noProof/>
                <w:webHidden/>
              </w:rPr>
            </w:r>
            <w:r>
              <w:rPr>
                <w:noProof/>
                <w:webHidden/>
              </w:rPr>
              <w:fldChar w:fldCharType="separate"/>
            </w:r>
            <w:r>
              <w:rPr>
                <w:noProof/>
                <w:webHidden/>
              </w:rPr>
              <w:t>60</w:t>
            </w:r>
            <w:r>
              <w:rPr>
                <w:noProof/>
                <w:webHidden/>
              </w:rPr>
              <w:fldChar w:fldCharType="end"/>
            </w:r>
          </w:hyperlink>
        </w:p>
        <w:p w14:paraId="18490113" w14:textId="18F31C1F" w:rsidR="007F19FE" w:rsidRDefault="007F19FE">
          <w:pPr>
            <w:pStyle w:val="TOC3"/>
            <w:rPr>
              <w:rFonts w:asciiTheme="minorHAnsi" w:eastAsiaTheme="minorEastAsia" w:hAnsiTheme="minorHAnsi"/>
              <w:noProof/>
              <w:kern w:val="2"/>
              <w:sz w:val="24"/>
              <w:szCs w:val="24"/>
              <w14:ligatures w14:val="standardContextual"/>
            </w:rPr>
          </w:pPr>
          <w:hyperlink w:anchor="_Toc198480765" w:history="1">
            <w:r w:rsidRPr="00BA057C">
              <w:rPr>
                <w:rStyle w:val="Hyperlink"/>
                <w:rFonts w:ascii="Californian FB" w:eastAsia="Times New Roman" w:hAnsi="Californian FB" w:cs="Times New Roman"/>
                <w:noProof/>
              </w:rPr>
              <w:t>Arizona</w:t>
            </w:r>
            <w:r>
              <w:rPr>
                <w:noProof/>
                <w:webHidden/>
              </w:rPr>
              <w:tab/>
            </w:r>
            <w:r>
              <w:rPr>
                <w:noProof/>
                <w:webHidden/>
              </w:rPr>
              <w:fldChar w:fldCharType="begin"/>
            </w:r>
            <w:r>
              <w:rPr>
                <w:noProof/>
                <w:webHidden/>
              </w:rPr>
              <w:instrText xml:space="preserve"> PAGEREF _Toc198480765 \h </w:instrText>
            </w:r>
            <w:r>
              <w:rPr>
                <w:noProof/>
                <w:webHidden/>
              </w:rPr>
            </w:r>
            <w:r>
              <w:rPr>
                <w:noProof/>
                <w:webHidden/>
              </w:rPr>
              <w:fldChar w:fldCharType="separate"/>
            </w:r>
            <w:r>
              <w:rPr>
                <w:noProof/>
                <w:webHidden/>
              </w:rPr>
              <w:t>60</w:t>
            </w:r>
            <w:r>
              <w:rPr>
                <w:noProof/>
                <w:webHidden/>
              </w:rPr>
              <w:fldChar w:fldCharType="end"/>
            </w:r>
          </w:hyperlink>
        </w:p>
        <w:p w14:paraId="43BAEAE0" w14:textId="282C2339" w:rsidR="007F19FE" w:rsidRDefault="007F19FE">
          <w:pPr>
            <w:pStyle w:val="TOC3"/>
            <w:rPr>
              <w:rFonts w:asciiTheme="minorHAnsi" w:eastAsiaTheme="minorEastAsia" w:hAnsiTheme="minorHAnsi"/>
              <w:noProof/>
              <w:kern w:val="2"/>
              <w:sz w:val="24"/>
              <w:szCs w:val="24"/>
              <w14:ligatures w14:val="standardContextual"/>
            </w:rPr>
          </w:pPr>
          <w:hyperlink w:anchor="_Toc198480766" w:history="1">
            <w:r w:rsidRPr="00BA057C">
              <w:rPr>
                <w:rStyle w:val="Hyperlink"/>
                <w:rFonts w:ascii="Californian FB" w:eastAsia="Times New Roman" w:hAnsi="Californian FB" w:cs="Times New Roman"/>
                <w:noProof/>
              </w:rPr>
              <w:t>Arkansas</w:t>
            </w:r>
            <w:r>
              <w:rPr>
                <w:noProof/>
                <w:webHidden/>
              </w:rPr>
              <w:tab/>
            </w:r>
            <w:r>
              <w:rPr>
                <w:noProof/>
                <w:webHidden/>
              </w:rPr>
              <w:fldChar w:fldCharType="begin"/>
            </w:r>
            <w:r>
              <w:rPr>
                <w:noProof/>
                <w:webHidden/>
              </w:rPr>
              <w:instrText xml:space="preserve"> PAGEREF _Toc198480766 \h </w:instrText>
            </w:r>
            <w:r>
              <w:rPr>
                <w:noProof/>
                <w:webHidden/>
              </w:rPr>
            </w:r>
            <w:r>
              <w:rPr>
                <w:noProof/>
                <w:webHidden/>
              </w:rPr>
              <w:fldChar w:fldCharType="separate"/>
            </w:r>
            <w:r>
              <w:rPr>
                <w:noProof/>
                <w:webHidden/>
              </w:rPr>
              <w:t>62</w:t>
            </w:r>
            <w:r>
              <w:rPr>
                <w:noProof/>
                <w:webHidden/>
              </w:rPr>
              <w:fldChar w:fldCharType="end"/>
            </w:r>
          </w:hyperlink>
        </w:p>
        <w:p w14:paraId="74D17D52" w14:textId="334D6949" w:rsidR="007F19FE" w:rsidRDefault="007F19FE">
          <w:pPr>
            <w:pStyle w:val="TOC3"/>
            <w:rPr>
              <w:rFonts w:asciiTheme="minorHAnsi" w:eastAsiaTheme="minorEastAsia" w:hAnsiTheme="minorHAnsi"/>
              <w:noProof/>
              <w:kern w:val="2"/>
              <w:sz w:val="24"/>
              <w:szCs w:val="24"/>
              <w14:ligatures w14:val="standardContextual"/>
            </w:rPr>
          </w:pPr>
          <w:hyperlink w:anchor="_Toc198480767" w:history="1">
            <w:r w:rsidRPr="00BA057C">
              <w:rPr>
                <w:rStyle w:val="Hyperlink"/>
                <w:rFonts w:ascii="Californian FB" w:eastAsia="Times New Roman" w:hAnsi="Californian FB" w:cs="Times New Roman"/>
                <w:noProof/>
              </w:rPr>
              <w:t>California</w:t>
            </w:r>
            <w:r>
              <w:rPr>
                <w:noProof/>
                <w:webHidden/>
              </w:rPr>
              <w:tab/>
            </w:r>
            <w:r>
              <w:rPr>
                <w:noProof/>
                <w:webHidden/>
              </w:rPr>
              <w:fldChar w:fldCharType="begin"/>
            </w:r>
            <w:r>
              <w:rPr>
                <w:noProof/>
                <w:webHidden/>
              </w:rPr>
              <w:instrText xml:space="preserve"> PAGEREF _Toc198480767 \h </w:instrText>
            </w:r>
            <w:r>
              <w:rPr>
                <w:noProof/>
                <w:webHidden/>
              </w:rPr>
            </w:r>
            <w:r>
              <w:rPr>
                <w:noProof/>
                <w:webHidden/>
              </w:rPr>
              <w:fldChar w:fldCharType="separate"/>
            </w:r>
            <w:r>
              <w:rPr>
                <w:noProof/>
                <w:webHidden/>
              </w:rPr>
              <w:t>62</w:t>
            </w:r>
            <w:r>
              <w:rPr>
                <w:noProof/>
                <w:webHidden/>
              </w:rPr>
              <w:fldChar w:fldCharType="end"/>
            </w:r>
          </w:hyperlink>
        </w:p>
        <w:p w14:paraId="23C1ACD9" w14:textId="0DDD0090" w:rsidR="007F19FE" w:rsidRDefault="007F19FE">
          <w:pPr>
            <w:pStyle w:val="TOC3"/>
            <w:rPr>
              <w:rFonts w:asciiTheme="minorHAnsi" w:eastAsiaTheme="minorEastAsia" w:hAnsiTheme="minorHAnsi"/>
              <w:noProof/>
              <w:kern w:val="2"/>
              <w:sz w:val="24"/>
              <w:szCs w:val="24"/>
              <w14:ligatures w14:val="standardContextual"/>
            </w:rPr>
          </w:pPr>
          <w:hyperlink w:anchor="_Toc198480768" w:history="1">
            <w:r w:rsidRPr="00BA057C">
              <w:rPr>
                <w:rStyle w:val="Hyperlink"/>
                <w:rFonts w:ascii="Californian FB" w:eastAsia="Times New Roman" w:hAnsi="Californian FB" w:cs="Times New Roman"/>
                <w:noProof/>
              </w:rPr>
              <w:t>Colorado</w:t>
            </w:r>
            <w:r>
              <w:rPr>
                <w:noProof/>
                <w:webHidden/>
              </w:rPr>
              <w:tab/>
            </w:r>
            <w:r>
              <w:rPr>
                <w:noProof/>
                <w:webHidden/>
              </w:rPr>
              <w:fldChar w:fldCharType="begin"/>
            </w:r>
            <w:r>
              <w:rPr>
                <w:noProof/>
                <w:webHidden/>
              </w:rPr>
              <w:instrText xml:space="preserve"> PAGEREF _Toc198480768 \h </w:instrText>
            </w:r>
            <w:r>
              <w:rPr>
                <w:noProof/>
                <w:webHidden/>
              </w:rPr>
            </w:r>
            <w:r>
              <w:rPr>
                <w:noProof/>
                <w:webHidden/>
              </w:rPr>
              <w:fldChar w:fldCharType="separate"/>
            </w:r>
            <w:r>
              <w:rPr>
                <w:noProof/>
                <w:webHidden/>
              </w:rPr>
              <w:t>67</w:t>
            </w:r>
            <w:r>
              <w:rPr>
                <w:noProof/>
                <w:webHidden/>
              </w:rPr>
              <w:fldChar w:fldCharType="end"/>
            </w:r>
          </w:hyperlink>
        </w:p>
        <w:p w14:paraId="5810D6A0" w14:textId="16D3B1B3" w:rsidR="007F19FE" w:rsidRDefault="007F19FE">
          <w:pPr>
            <w:pStyle w:val="TOC3"/>
            <w:rPr>
              <w:rFonts w:asciiTheme="minorHAnsi" w:eastAsiaTheme="minorEastAsia" w:hAnsiTheme="minorHAnsi"/>
              <w:noProof/>
              <w:kern w:val="2"/>
              <w:sz w:val="24"/>
              <w:szCs w:val="24"/>
              <w14:ligatures w14:val="standardContextual"/>
            </w:rPr>
          </w:pPr>
          <w:hyperlink w:anchor="_Toc198480769" w:history="1">
            <w:r w:rsidRPr="00BA057C">
              <w:rPr>
                <w:rStyle w:val="Hyperlink"/>
                <w:rFonts w:ascii="Californian FB" w:eastAsia="Times New Roman" w:hAnsi="Californian FB" w:cs="Times New Roman"/>
                <w:noProof/>
              </w:rPr>
              <w:t>Connecticut</w:t>
            </w:r>
            <w:r>
              <w:rPr>
                <w:noProof/>
                <w:webHidden/>
              </w:rPr>
              <w:tab/>
            </w:r>
            <w:r>
              <w:rPr>
                <w:noProof/>
                <w:webHidden/>
              </w:rPr>
              <w:fldChar w:fldCharType="begin"/>
            </w:r>
            <w:r>
              <w:rPr>
                <w:noProof/>
                <w:webHidden/>
              </w:rPr>
              <w:instrText xml:space="preserve"> PAGEREF _Toc198480769 \h </w:instrText>
            </w:r>
            <w:r>
              <w:rPr>
                <w:noProof/>
                <w:webHidden/>
              </w:rPr>
            </w:r>
            <w:r>
              <w:rPr>
                <w:noProof/>
                <w:webHidden/>
              </w:rPr>
              <w:fldChar w:fldCharType="separate"/>
            </w:r>
            <w:r>
              <w:rPr>
                <w:noProof/>
                <w:webHidden/>
              </w:rPr>
              <w:t>69</w:t>
            </w:r>
            <w:r>
              <w:rPr>
                <w:noProof/>
                <w:webHidden/>
              </w:rPr>
              <w:fldChar w:fldCharType="end"/>
            </w:r>
          </w:hyperlink>
        </w:p>
        <w:p w14:paraId="19069124" w14:textId="3175F737" w:rsidR="007F19FE" w:rsidRDefault="007F19FE">
          <w:pPr>
            <w:pStyle w:val="TOC3"/>
            <w:rPr>
              <w:rFonts w:asciiTheme="minorHAnsi" w:eastAsiaTheme="minorEastAsia" w:hAnsiTheme="minorHAnsi"/>
              <w:noProof/>
              <w:kern w:val="2"/>
              <w:sz w:val="24"/>
              <w:szCs w:val="24"/>
              <w14:ligatures w14:val="standardContextual"/>
            </w:rPr>
          </w:pPr>
          <w:hyperlink w:anchor="_Toc198480770" w:history="1">
            <w:r w:rsidRPr="00BA057C">
              <w:rPr>
                <w:rStyle w:val="Hyperlink"/>
                <w:rFonts w:ascii="Californian FB" w:eastAsia="Times New Roman" w:hAnsi="Californian FB" w:cs="Times New Roman"/>
                <w:noProof/>
              </w:rPr>
              <w:t>Delaware</w:t>
            </w:r>
            <w:r>
              <w:rPr>
                <w:noProof/>
                <w:webHidden/>
              </w:rPr>
              <w:tab/>
            </w:r>
            <w:r>
              <w:rPr>
                <w:noProof/>
                <w:webHidden/>
              </w:rPr>
              <w:fldChar w:fldCharType="begin"/>
            </w:r>
            <w:r>
              <w:rPr>
                <w:noProof/>
                <w:webHidden/>
              </w:rPr>
              <w:instrText xml:space="preserve"> PAGEREF _Toc198480770 \h </w:instrText>
            </w:r>
            <w:r>
              <w:rPr>
                <w:noProof/>
                <w:webHidden/>
              </w:rPr>
            </w:r>
            <w:r>
              <w:rPr>
                <w:noProof/>
                <w:webHidden/>
              </w:rPr>
              <w:fldChar w:fldCharType="separate"/>
            </w:r>
            <w:r>
              <w:rPr>
                <w:noProof/>
                <w:webHidden/>
              </w:rPr>
              <w:t>72</w:t>
            </w:r>
            <w:r>
              <w:rPr>
                <w:noProof/>
                <w:webHidden/>
              </w:rPr>
              <w:fldChar w:fldCharType="end"/>
            </w:r>
          </w:hyperlink>
        </w:p>
        <w:p w14:paraId="2BFAE3D4" w14:textId="39CF01EE" w:rsidR="007F19FE" w:rsidRDefault="007F19FE">
          <w:pPr>
            <w:pStyle w:val="TOC3"/>
            <w:rPr>
              <w:rFonts w:asciiTheme="minorHAnsi" w:eastAsiaTheme="minorEastAsia" w:hAnsiTheme="minorHAnsi"/>
              <w:noProof/>
              <w:kern w:val="2"/>
              <w:sz w:val="24"/>
              <w:szCs w:val="24"/>
              <w14:ligatures w14:val="standardContextual"/>
            </w:rPr>
          </w:pPr>
          <w:hyperlink w:anchor="_Toc198480771" w:history="1">
            <w:r w:rsidRPr="00BA057C">
              <w:rPr>
                <w:rStyle w:val="Hyperlink"/>
                <w:rFonts w:ascii="Californian FB" w:eastAsia="Times New Roman" w:hAnsi="Californian FB" w:cs="Times New Roman"/>
                <w:noProof/>
              </w:rPr>
              <w:t>District of Columbia</w:t>
            </w:r>
            <w:r>
              <w:rPr>
                <w:noProof/>
                <w:webHidden/>
              </w:rPr>
              <w:tab/>
            </w:r>
            <w:r>
              <w:rPr>
                <w:noProof/>
                <w:webHidden/>
              </w:rPr>
              <w:fldChar w:fldCharType="begin"/>
            </w:r>
            <w:r>
              <w:rPr>
                <w:noProof/>
                <w:webHidden/>
              </w:rPr>
              <w:instrText xml:space="preserve"> PAGEREF _Toc198480771 \h </w:instrText>
            </w:r>
            <w:r>
              <w:rPr>
                <w:noProof/>
                <w:webHidden/>
              </w:rPr>
            </w:r>
            <w:r>
              <w:rPr>
                <w:noProof/>
                <w:webHidden/>
              </w:rPr>
              <w:fldChar w:fldCharType="separate"/>
            </w:r>
            <w:r>
              <w:rPr>
                <w:noProof/>
                <w:webHidden/>
              </w:rPr>
              <w:t>73</w:t>
            </w:r>
            <w:r>
              <w:rPr>
                <w:noProof/>
                <w:webHidden/>
              </w:rPr>
              <w:fldChar w:fldCharType="end"/>
            </w:r>
          </w:hyperlink>
        </w:p>
        <w:p w14:paraId="5302F602" w14:textId="2EF0C338" w:rsidR="007F19FE" w:rsidRDefault="007F19FE">
          <w:pPr>
            <w:pStyle w:val="TOC3"/>
            <w:rPr>
              <w:rFonts w:asciiTheme="minorHAnsi" w:eastAsiaTheme="minorEastAsia" w:hAnsiTheme="minorHAnsi"/>
              <w:noProof/>
              <w:kern w:val="2"/>
              <w:sz w:val="24"/>
              <w:szCs w:val="24"/>
              <w14:ligatures w14:val="standardContextual"/>
            </w:rPr>
          </w:pPr>
          <w:hyperlink w:anchor="_Toc198480772" w:history="1">
            <w:r w:rsidRPr="00BA057C">
              <w:rPr>
                <w:rStyle w:val="Hyperlink"/>
                <w:rFonts w:ascii="Californian FB" w:eastAsia="Times New Roman" w:hAnsi="Californian FB" w:cs="Times New Roman"/>
                <w:noProof/>
              </w:rPr>
              <w:t>Florida</w:t>
            </w:r>
            <w:r>
              <w:rPr>
                <w:noProof/>
                <w:webHidden/>
              </w:rPr>
              <w:tab/>
            </w:r>
            <w:r>
              <w:rPr>
                <w:noProof/>
                <w:webHidden/>
              </w:rPr>
              <w:fldChar w:fldCharType="begin"/>
            </w:r>
            <w:r>
              <w:rPr>
                <w:noProof/>
                <w:webHidden/>
              </w:rPr>
              <w:instrText xml:space="preserve"> PAGEREF _Toc198480772 \h </w:instrText>
            </w:r>
            <w:r>
              <w:rPr>
                <w:noProof/>
                <w:webHidden/>
              </w:rPr>
            </w:r>
            <w:r>
              <w:rPr>
                <w:noProof/>
                <w:webHidden/>
              </w:rPr>
              <w:fldChar w:fldCharType="separate"/>
            </w:r>
            <w:r>
              <w:rPr>
                <w:noProof/>
                <w:webHidden/>
              </w:rPr>
              <w:t>75</w:t>
            </w:r>
            <w:r>
              <w:rPr>
                <w:noProof/>
                <w:webHidden/>
              </w:rPr>
              <w:fldChar w:fldCharType="end"/>
            </w:r>
          </w:hyperlink>
        </w:p>
        <w:p w14:paraId="33A49B32" w14:textId="1410E42D" w:rsidR="007F19FE" w:rsidRDefault="007F19FE">
          <w:pPr>
            <w:pStyle w:val="TOC3"/>
            <w:rPr>
              <w:rFonts w:asciiTheme="minorHAnsi" w:eastAsiaTheme="minorEastAsia" w:hAnsiTheme="minorHAnsi"/>
              <w:noProof/>
              <w:kern w:val="2"/>
              <w:sz w:val="24"/>
              <w:szCs w:val="24"/>
              <w14:ligatures w14:val="standardContextual"/>
            </w:rPr>
          </w:pPr>
          <w:hyperlink w:anchor="_Toc198480773" w:history="1">
            <w:r w:rsidRPr="00BA057C">
              <w:rPr>
                <w:rStyle w:val="Hyperlink"/>
                <w:rFonts w:ascii="Californian FB" w:eastAsia="Times New Roman" w:hAnsi="Californian FB" w:cs="Times New Roman"/>
                <w:noProof/>
              </w:rPr>
              <w:t>Georgia</w:t>
            </w:r>
            <w:r>
              <w:rPr>
                <w:noProof/>
                <w:webHidden/>
              </w:rPr>
              <w:tab/>
            </w:r>
            <w:r>
              <w:rPr>
                <w:noProof/>
                <w:webHidden/>
              </w:rPr>
              <w:fldChar w:fldCharType="begin"/>
            </w:r>
            <w:r>
              <w:rPr>
                <w:noProof/>
                <w:webHidden/>
              </w:rPr>
              <w:instrText xml:space="preserve"> PAGEREF _Toc198480773 \h </w:instrText>
            </w:r>
            <w:r>
              <w:rPr>
                <w:noProof/>
                <w:webHidden/>
              </w:rPr>
            </w:r>
            <w:r>
              <w:rPr>
                <w:noProof/>
                <w:webHidden/>
              </w:rPr>
              <w:fldChar w:fldCharType="separate"/>
            </w:r>
            <w:r>
              <w:rPr>
                <w:noProof/>
                <w:webHidden/>
              </w:rPr>
              <w:t>76</w:t>
            </w:r>
            <w:r>
              <w:rPr>
                <w:noProof/>
                <w:webHidden/>
              </w:rPr>
              <w:fldChar w:fldCharType="end"/>
            </w:r>
          </w:hyperlink>
        </w:p>
        <w:p w14:paraId="4CE2994A" w14:textId="20896D87" w:rsidR="007F19FE" w:rsidRDefault="007F19FE">
          <w:pPr>
            <w:pStyle w:val="TOC3"/>
            <w:rPr>
              <w:rFonts w:asciiTheme="minorHAnsi" w:eastAsiaTheme="minorEastAsia" w:hAnsiTheme="minorHAnsi"/>
              <w:noProof/>
              <w:kern w:val="2"/>
              <w:sz w:val="24"/>
              <w:szCs w:val="24"/>
              <w14:ligatures w14:val="standardContextual"/>
            </w:rPr>
          </w:pPr>
          <w:hyperlink w:anchor="_Toc198480774" w:history="1">
            <w:r w:rsidRPr="00BA057C">
              <w:rPr>
                <w:rStyle w:val="Hyperlink"/>
                <w:rFonts w:ascii="Californian FB" w:eastAsia="Times New Roman" w:hAnsi="Californian FB" w:cs="Times New Roman"/>
                <w:noProof/>
              </w:rPr>
              <w:t>Hawaii</w:t>
            </w:r>
            <w:r>
              <w:rPr>
                <w:noProof/>
                <w:webHidden/>
              </w:rPr>
              <w:tab/>
            </w:r>
            <w:r>
              <w:rPr>
                <w:noProof/>
                <w:webHidden/>
              </w:rPr>
              <w:fldChar w:fldCharType="begin"/>
            </w:r>
            <w:r>
              <w:rPr>
                <w:noProof/>
                <w:webHidden/>
              </w:rPr>
              <w:instrText xml:space="preserve"> PAGEREF _Toc198480774 \h </w:instrText>
            </w:r>
            <w:r>
              <w:rPr>
                <w:noProof/>
                <w:webHidden/>
              </w:rPr>
            </w:r>
            <w:r>
              <w:rPr>
                <w:noProof/>
                <w:webHidden/>
              </w:rPr>
              <w:fldChar w:fldCharType="separate"/>
            </w:r>
            <w:r>
              <w:rPr>
                <w:noProof/>
                <w:webHidden/>
              </w:rPr>
              <w:t>77</w:t>
            </w:r>
            <w:r>
              <w:rPr>
                <w:noProof/>
                <w:webHidden/>
              </w:rPr>
              <w:fldChar w:fldCharType="end"/>
            </w:r>
          </w:hyperlink>
        </w:p>
        <w:p w14:paraId="2C1F9AB4" w14:textId="3DAB3330" w:rsidR="007F19FE" w:rsidRDefault="007F19FE">
          <w:pPr>
            <w:pStyle w:val="TOC3"/>
            <w:rPr>
              <w:rFonts w:asciiTheme="minorHAnsi" w:eastAsiaTheme="minorEastAsia" w:hAnsiTheme="minorHAnsi"/>
              <w:noProof/>
              <w:kern w:val="2"/>
              <w:sz w:val="24"/>
              <w:szCs w:val="24"/>
              <w14:ligatures w14:val="standardContextual"/>
            </w:rPr>
          </w:pPr>
          <w:hyperlink w:anchor="_Toc198480775" w:history="1">
            <w:r w:rsidRPr="00BA057C">
              <w:rPr>
                <w:rStyle w:val="Hyperlink"/>
                <w:rFonts w:ascii="Californian FB" w:eastAsia="Times New Roman" w:hAnsi="Californian FB" w:cs="Times New Roman"/>
                <w:noProof/>
              </w:rPr>
              <w:t>Idaho</w:t>
            </w:r>
            <w:r>
              <w:rPr>
                <w:noProof/>
                <w:webHidden/>
              </w:rPr>
              <w:tab/>
            </w:r>
            <w:r>
              <w:rPr>
                <w:noProof/>
                <w:webHidden/>
              </w:rPr>
              <w:fldChar w:fldCharType="begin"/>
            </w:r>
            <w:r>
              <w:rPr>
                <w:noProof/>
                <w:webHidden/>
              </w:rPr>
              <w:instrText xml:space="preserve"> PAGEREF _Toc198480775 \h </w:instrText>
            </w:r>
            <w:r>
              <w:rPr>
                <w:noProof/>
                <w:webHidden/>
              </w:rPr>
            </w:r>
            <w:r>
              <w:rPr>
                <w:noProof/>
                <w:webHidden/>
              </w:rPr>
              <w:fldChar w:fldCharType="separate"/>
            </w:r>
            <w:r>
              <w:rPr>
                <w:noProof/>
                <w:webHidden/>
              </w:rPr>
              <w:t>78</w:t>
            </w:r>
            <w:r>
              <w:rPr>
                <w:noProof/>
                <w:webHidden/>
              </w:rPr>
              <w:fldChar w:fldCharType="end"/>
            </w:r>
          </w:hyperlink>
        </w:p>
        <w:p w14:paraId="537EB7AB" w14:textId="4105A205" w:rsidR="007F19FE" w:rsidRDefault="007F19FE">
          <w:pPr>
            <w:pStyle w:val="TOC3"/>
            <w:rPr>
              <w:rFonts w:asciiTheme="minorHAnsi" w:eastAsiaTheme="minorEastAsia" w:hAnsiTheme="minorHAnsi"/>
              <w:noProof/>
              <w:kern w:val="2"/>
              <w:sz w:val="24"/>
              <w:szCs w:val="24"/>
              <w14:ligatures w14:val="standardContextual"/>
            </w:rPr>
          </w:pPr>
          <w:hyperlink w:anchor="_Toc198480776" w:history="1">
            <w:r w:rsidRPr="00BA057C">
              <w:rPr>
                <w:rStyle w:val="Hyperlink"/>
                <w:rFonts w:ascii="Californian FB" w:eastAsia="Times New Roman" w:hAnsi="Californian FB" w:cs="Times New Roman"/>
                <w:noProof/>
              </w:rPr>
              <w:t>Illinois</w:t>
            </w:r>
            <w:r>
              <w:rPr>
                <w:noProof/>
                <w:webHidden/>
              </w:rPr>
              <w:tab/>
            </w:r>
            <w:r>
              <w:rPr>
                <w:noProof/>
                <w:webHidden/>
              </w:rPr>
              <w:fldChar w:fldCharType="begin"/>
            </w:r>
            <w:r>
              <w:rPr>
                <w:noProof/>
                <w:webHidden/>
              </w:rPr>
              <w:instrText xml:space="preserve"> PAGEREF _Toc198480776 \h </w:instrText>
            </w:r>
            <w:r>
              <w:rPr>
                <w:noProof/>
                <w:webHidden/>
              </w:rPr>
            </w:r>
            <w:r>
              <w:rPr>
                <w:noProof/>
                <w:webHidden/>
              </w:rPr>
              <w:fldChar w:fldCharType="separate"/>
            </w:r>
            <w:r>
              <w:rPr>
                <w:noProof/>
                <w:webHidden/>
              </w:rPr>
              <w:t>79</w:t>
            </w:r>
            <w:r>
              <w:rPr>
                <w:noProof/>
                <w:webHidden/>
              </w:rPr>
              <w:fldChar w:fldCharType="end"/>
            </w:r>
          </w:hyperlink>
        </w:p>
        <w:p w14:paraId="3F58F184" w14:textId="6D949831" w:rsidR="007F19FE" w:rsidRDefault="007F19FE">
          <w:pPr>
            <w:pStyle w:val="TOC3"/>
            <w:rPr>
              <w:rFonts w:asciiTheme="minorHAnsi" w:eastAsiaTheme="minorEastAsia" w:hAnsiTheme="minorHAnsi"/>
              <w:noProof/>
              <w:kern w:val="2"/>
              <w:sz w:val="24"/>
              <w:szCs w:val="24"/>
              <w14:ligatures w14:val="standardContextual"/>
            </w:rPr>
          </w:pPr>
          <w:hyperlink w:anchor="_Toc198480777" w:history="1">
            <w:r w:rsidRPr="00BA057C">
              <w:rPr>
                <w:rStyle w:val="Hyperlink"/>
                <w:rFonts w:ascii="Californian FB" w:eastAsia="Times New Roman" w:hAnsi="Californian FB" w:cs="Times New Roman"/>
                <w:noProof/>
              </w:rPr>
              <w:t>Indiana</w:t>
            </w:r>
            <w:r>
              <w:rPr>
                <w:noProof/>
                <w:webHidden/>
              </w:rPr>
              <w:tab/>
            </w:r>
            <w:r>
              <w:rPr>
                <w:noProof/>
                <w:webHidden/>
              </w:rPr>
              <w:fldChar w:fldCharType="begin"/>
            </w:r>
            <w:r>
              <w:rPr>
                <w:noProof/>
                <w:webHidden/>
              </w:rPr>
              <w:instrText xml:space="preserve"> PAGEREF _Toc198480777 \h </w:instrText>
            </w:r>
            <w:r>
              <w:rPr>
                <w:noProof/>
                <w:webHidden/>
              </w:rPr>
            </w:r>
            <w:r>
              <w:rPr>
                <w:noProof/>
                <w:webHidden/>
              </w:rPr>
              <w:fldChar w:fldCharType="separate"/>
            </w:r>
            <w:r>
              <w:rPr>
                <w:noProof/>
                <w:webHidden/>
              </w:rPr>
              <w:t>85</w:t>
            </w:r>
            <w:r>
              <w:rPr>
                <w:noProof/>
                <w:webHidden/>
              </w:rPr>
              <w:fldChar w:fldCharType="end"/>
            </w:r>
          </w:hyperlink>
        </w:p>
        <w:p w14:paraId="523618FD" w14:textId="1B46B3AA" w:rsidR="007F19FE" w:rsidRDefault="007F19FE">
          <w:pPr>
            <w:pStyle w:val="TOC3"/>
            <w:rPr>
              <w:rFonts w:asciiTheme="minorHAnsi" w:eastAsiaTheme="minorEastAsia" w:hAnsiTheme="minorHAnsi"/>
              <w:noProof/>
              <w:kern w:val="2"/>
              <w:sz w:val="24"/>
              <w:szCs w:val="24"/>
              <w14:ligatures w14:val="standardContextual"/>
            </w:rPr>
          </w:pPr>
          <w:hyperlink w:anchor="_Toc198480778" w:history="1">
            <w:r w:rsidRPr="00BA057C">
              <w:rPr>
                <w:rStyle w:val="Hyperlink"/>
                <w:rFonts w:ascii="Californian FB" w:eastAsia="Times New Roman" w:hAnsi="Californian FB" w:cs="Times New Roman"/>
                <w:noProof/>
              </w:rPr>
              <w:t>Iowa</w:t>
            </w:r>
            <w:r>
              <w:rPr>
                <w:noProof/>
                <w:webHidden/>
              </w:rPr>
              <w:tab/>
            </w:r>
            <w:r>
              <w:rPr>
                <w:noProof/>
                <w:webHidden/>
              </w:rPr>
              <w:fldChar w:fldCharType="begin"/>
            </w:r>
            <w:r>
              <w:rPr>
                <w:noProof/>
                <w:webHidden/>
              </w:rPr>
              <w:instrText xml:space="preserve"> PAGEREF _Toc198480778 \h </w:instrText>
            </w:r>
            <w:r>
              <w:rPr>
                <w:noProof/>
                <w:webHidden/>
              </w:rPr>
            </w:r>
            <w:r>
              <w:rPr>
                <w:noProof/>
                <w:webHidden/>
              </w:rPr>
              <w:fldChar w:fldCharType="separate"/>
            </w:r>
            <w:r>
              <w:rPr>
                <w:noProof/>
                <w:webHidden/>
              </w:rPr>
              <w:t>88</w:t>
            </w:r>
            <w:r>
              <w:rPr>
                <w:noProof/>
                <w:webHidden/>
              </w:rPr>
              <w:fldChar w:fldCharType="end"/>
            </w:r>
          </w:hyperlink>
        </w:p>
        <w:p w14:paraId="0069790E" w14:textId="441F641A" w:rsidR="007F19FE" w:rsidRDefault="007F19FE">
          <w:pPr>
            <w:pStyle w:val="TOC3"/>
            <w:rPr>
              <w:rFonts w:asciiTheme="minorHAnsi" w:eastAsiaTheme="minorEastAsia" w:hAnsiTheme="minorHAnsi"/>
              <w:noProof/>
              <w:kern w:val="2"/>
              <w:sz w:val="24"/>
              <w:szCs w:val="24"/>
              <w14:ligatures w14:val="standardContextual"/>
            </w:rPr>
          </w:pPr>
          <w:hyperlink w:anchor="_Toc198480779" w:history="1">
            <w:r w:rsidRPr="00BA057C">
              <w:rPr>
                <w:rStyle w:val="Hyperlink"/>
                <w:rFonts w:ascii="Californian FB" w:eastAsia="Times New Roman" w:hAnsi="Californian FB" w:cs="Times New Roman"/>
                <w:noProof/>
              </w:rPr>
              <w:t>Kansas</w:t>
            </w:r>
            <w:r>
              <w:rPr>
                <w:noProof/>
                <w:webHidden/>
              </w:rPr>
              <w:tab/>
            </w:r>
            <w:r>
              <w:rPr>
                <w:noProof/>
                <w:webHidden/>
              </w:rPr>
              <w:fldChar w:fldCharType="begin"/>
            </w:r>
            <w:r>
              <w:rPr>
                <w:noProof/>
                <w:webHidden/>
              </w:rPr>
              <w:instrText xml:space="preserve"> PAGEREF _Toc198480779 \h </w:instrText>
            </w:r>
            <w:r>
              <w:rPr>
                <w:noProof/>
                <w:webHidden/>
              </w:rPr>
            </w:r>
            <w:r>
              <w:rPr>
                <w:noProof/>
                <w:webHidden/>
              </w:rPr>
              <w:fldChar w:fldCharType="separate"/>
            </w:r>
            <w:r>
              <w:rPr>
                <w:noProof/>
                <w:webHidden/>
              </w:rPr>
              <w:t>89</w:t>
            </w:r>
            <w:r>
              <w:rPr>
                <w:noProof/>
                <w:webHidden/>
              </w:rPr>
              <w:fldChar w:fldCharType="end"/>
            </w:r>
          </w:hyperlink>
        </w:p>
        <w:p w14:paraId="6955CB13" w14:textId="47378E1B" w:rsidR="007F19FE" w:rsidRDefault="007F19FE">
          <w:pPr>
            <w:pStyle w:val="TOC3"/>
            <w:rPr>
              <w:rFonts w:asciiTheme="minorHAnsi" w:eastAsiaTheme="minorEastAsia" w:hAnsiTheme="minorHAnsi"/>
              <w:noProof/>
              <w:kern w:val="2"/>
              <w:sz w:val="24"/>
              <w:szCs w:val="24"/>
              <w14:ligatures w14:val="standardContextual"/>
            </w:rPr>
          </w:pPr>
          <w:hyperlink w:anchor="_Toc198480780" w:history="1">
            <w:r w:rsidRPr="00BA057C">
              <w:rPr>
                <w:rStyle w:val="Hyperlink"/>
                <w:rFonts w:ascii="Californian FB" w:eastAsia="Times New Roman" w:hAnsi="Californian FB" w:cs="Times New Roman"/>
                <w:noProof/>
              </w:rPr>
              <w:t>Kentucky</w:t>
            </w:r>
            <w:r>
              <w:rPr>
                <w:noProof/>
                <w:webHidden/>
              </w:rPr>
              <w:tab/>
            </w:r>
            <w:r>
              <w:rPr>
                <w:noProof/>
                <w:webHidden/>
              </w:rPr>
              <w:fldChar w:fldCharType="begin"/>
            </w:r>
            <w:r>
              <w:rPr>
                <w:noProof/>
                <w:webHidden/>
              </w:rPr>
              <w:instrText xml:space="preserve"> PAGEREF _Toc198480780 \h </w:instrText>
            </w:r>
            <w:r>
              <w:rPr>
                <w:noProof/>
                <w:webHidden/>
              </w:rPr>
            </w:r>
            <w:r>
              <w:rPr>
                <w:noProof/>
                <w:webHidden/>
              </w:rPr>
              <w:fldChar w:fldCharType="separate"/>
            </w:r>
            <w:r>
              <w:rPr>
                <w:noProof/>
                <w:webHidden/>
              </w:rPr>
              <w:t>90</w:t>
            </w:r>
            <w:r>
              <w:rPr>
                <w:noProof/>
                <w:webHidden/>
              </w:rPr>
              <w:fldChar w:fldCharType="end"/>
            </w:r>
          </w:hyperlink>
        </w:p>
        <w:p w14:paraId="1B5C9290" w14:textId="190A7732" w:rsidR="007F19FE" w:rsidRDefault="007F19FE">
          <w:pPr>
            <w:pStyle w:val="TOC3"/>
            <w:rPr>
              <w:rFonts w:asciiTheme="minorHAnsi" w:eastAsiaTheme="minorEastAsia" w:hAnsiTheme="minorHAnsi"/>
              <w:noProof/>
              <w:kern w:val="2"/>
              <w:sz w:val="24"/>
              <w:szCs w:val="24"/>
              <w14:ligatures w14:val="standardContextual"/>
            </w:rPr>
          </w:pPr>
          <w:hyperlink w:anchor="_Toc198480781" w:history="1">
            <w:r w:rsidRPr="00BA057C">
              <w:rPr>
                <w:rStyle w:val="Hyperlink"/>
                <w:rFonts w:ascii="Californian FB" w:eastAsia="Times New Roman" w:hAnsi="Californian FB" w:cs="Times New Roman"/>
                <w:noProof/>
              </w:rPr>
              <w:t>Louisiana</w:t>
            </w:r>
            <w:r>
              <w:rPr>
                <w:noProof/>
                <w:webHidden/>
              </w:rPr>
              <w:tab/>
            </w:r>
            <w:r>
              <w:rPr>
                <w:noProof/>
                <w:webHidden/>
              </w:rPr>
              <w:fldChar w:fldCharType="begin"/>
            </w:r>
            <w:r>
              <w:rPr>
                <w:noProof/>
                <w:webHidden/>
              </w:rPr>
              <w:instrText xml:space="preserve"> PAGEREF _Toc198480781 \h </w:instrText>
            </w:r>
            <w:r>
              <w:rPr>
                <w:noProof/>
                <w:webHidden/>
              </w:rPr>
            </w:r>
            <w:r>
              <w:rPr>
                <w:noProof/>
                <w:webHidden/>
              </w:rPr>
              <w:fldChar w:fldCharType="separate"/>
            </w:r>
            <w:r>
              <w:rPr>
                <w:noProof/>
                <w:webHidden/>
              </w:rPr>
              <w:t>92</w:t>
            </w:r>
            <w:r>
              <w:rPr>
                <w:noProof/>
                <w:webHidden/>
              </w:rPr>
              <w:fldChar w:fldCharType="end"/>
            </w:r>
          </w:hyperlink>
        </w:p>
        <w:p w14:paraId="496F6D70" w14:textId="63AEFB86" w:rsidR="007F19FE" w:rsidRDefault="007F19FE">
          <w:pPr>
            <w:pStyle w:val="TOC3"/>
            <w:rPr>
              <w:rFonts w:asciiTheme="minorHAnsi" w:eastAsiaTheme="minorEastAsia" w:hAnsiTheme="minorHAnsi"/>
              <w:noProof/>
              <w:kern w:val="2"/>
              <w:sz w:val="24"/>
              <w:szCs w:val="24"/>
              <w14:ligatures w14:val="standardContextual"/>
            </w:rPr>
          </w:pPr>
          <w:hyperlink w:anchor="_Toc198480782" w:history="1">
            <w:r w:rsidRPr="00BA057C">
              <w:rPr>
                <w:rStyle w:val="Hyperlink"/>
                <w:rFonts w:ascii="Californian FB" w:eastAsia="Times New Roman" w:hAnsi="Californian FB" w:cs="Times New Roman"/>
                <w:noProof/>
              </w:rPr>
              <w:t>Maine</w:t>
            </w:r>
            <w:r>
              <w:rPr>
                <w:noProof/>
                <w:webHidden/>
              </w:rPr>
              <w:tab/>
            </w:r>
            <w:r>
              <w:rPr>
                <w:noProof/>
                <w:webHidden/>
              </w:rPr>
              <w:fldChar w:fldCharType="begin"/>
            </w:r>
            <w:r>
              <w:rPr>
                <w:noProof/>
                <w:webHidden/>
              </w:rPr>
              <w:instrText xml:space="preserve"> PAGEREF _Toc198480782 \h </w:instrText>
            </w:r>
            <w:r>
              <w:rPr>
                <w:noProof/>
                <w:webHidden/>
              </w:rPr>
            </w:r>
            <w:r>
              <w:rPr>
                <w:noProof/>
                <w:webHidden/>
              </w:rPr>
              <w:fldChar w:fldCharType="separate"/>
            </w:r>
            <w:r>
              <w:rPr>
                <w:noProof/>
                <w:webHidden/>
              </w:rPr>
              <w:t>93</w:t>
            </w:r>
            <w:r>
              <w:rPr>
                <w:noProof/>
                <w:webHidden/>
              </w:rPr>
              <w:fldChar w:fldCharType="end"/>
            </w:r>
          </w:hyperlink>
        </w:p>
        <w:p w14:paraId="52C63455" w14:textId="275183A5" w:rsidR="007F19FE" w:rsidRDefault="007F19FE">
          <w:pPr>
            <w:pStyle w:val="TOC3"/>
            <w:rPr>
              <w:rFonts w:asciiTheme="minorHAnsi" w:eastAsiaTheme="minorEastAsia" w:hAnsiTheme="minorHAnsi"/>
              <w:noProof/>
              <w:kern w:val="2"/>
              <w:sz w:val="24"/>
              <w:szCs w:val="24"/>
              <w14:ligatures w14:val="standardContextual"/>
            </w:rPr>
          </w:pPr>
          <w:hyperlink w:anchor="_Toc198480783" w:history="1">
            <w:r w:rsidRPr="00BA057C">
              <w:rPr>
                <w:rStyle w:val="Hyperlink"/>
                <w:rFonts w:ascii="Californian FB" w:eastAsia="Times New Roman" w:hAnsi="Californian FB" w:cs="Times New Roman"/>
                <w:noProof/>
              </w:rPr>
              <w:t>Maryland</w:t>
            </w:r>
            <w:r>
              <w:rPr>
                <w:noProof/>
                <w:webHidden/>
              </w:rPr>
              <w:tab/>
            </w:r>
            <w:r>
              <w:rPr>
                <w:noProof/>
                <w:webHidden/>
              </w:rPr>
              <w:fldChar w:fldCharType="begin"/>
            </w:r>
            <w:r>
              <w:rPr>
                <w:noProof/>
                <w:webHidden/>
              </w:rPr>
              <w:instrText xml:space="preserve"> PAGEREF _Toc198480783 \h </w:instrText>
            </w:r>
            <w:r>
              <w:rPr>
                <w:noProof/>
                <w:webHidden/>
              </w:rPr>
            </w:r>
            <w:r>
              <w:rPr>
                <w:noProof/>
                <w:webHidden/>
              </w:rPr>
              <w:fldChar w:fldCharType="separate"/>
            </w:r>
            <w:r>
              <w:rPr>
                <w:noProof/>
                <w:webHidden/>
              </w:rPr>
              <w:t>95</w:t>
            </w:r>
            <w:r>
              <w:rPr>
                <w:noProof/>
                <w:webHidden/>
              </w:rPr>
              <w:fldChar w:fldCharType="end"/>
            </w:r>
          </w:hyperlink>
        </w:p>
        <w:p w14:paraId="18D28822" w14:textId="1CA0887D" w:rsidR="007F19FE" w:rsidRDefault="007F19FE">
          <w:pPr>
            <w:pStyle w:val="TOC3"/>
            <w:rPr>
              <w:rFonts w:asciiTheme="minorHAnsi" w:eastAsiaTheme="minorEastAsia" w:hAnsiTheme="minorHAnsi"/>
              <w:noProof/>
              <w:kern w:val="2"/>
              <w:sz w:val="24"/>
              <w:szCs w:val="24"/>
              <w14:ligatures w14:val="standardContextual"/>
            </w:rPr>
          </w:pPr>
          <w:hyperlink w:anchor="_Toc198480784" w:history="1">
            <w:r w:rsidRPr="00BA057C">
              <w:rPr>
                <w:rStyle w:val="Hyperlink"/>
                <w:rFonts w:ascii="Californian FB" w:eastAsia="Times New Roman" w:hAnsi="Californian FB" w:cs="Times New Roman"/>
                <w:noProof/>
              </w:rPr>
              <w:t>Massachusetts</w:t>
            </w:r>
            <w:r>
              <w:rPr>
                <w:noProof/>
                <w:webHidden/>
              </w:rPr>
              <w:tab/>
            </w:r>
            <w:r>
              <w:rPr>
                <w:noProof/>
                <w:webHidden/>
              </w:rPr>
              <w:fldChar w:fldCharType="begin"/>
            </w:r>
            <w:r>
              <w:rPr>
                <w:noProof/>
                <w:webHidden/>
              </w:rPr>
              <w:instrText xml:space="preserve"> PAGEREF _Toc198480784 \h </w:instrText>
            </w:r>
            <w:r>
              <w:rPr>
                <w:noProof/>
                <w:webHidden/>
              </w:rPr>
            </w:r>
            <w:r>
              <w:rPr>
                <w:noProof/>
                <w:webHidden/>
              </w:rPr>
              <w:fldChar w:fldCharType="separate"/>
            </w:r>
            <w:r>
              <w:rPr>
                <w:noProof/>
                <w:webHidden/>
              </w:rPr>
              <w:t>96</w:t>
            </w:r>
            <w:r>
              <w:rPr>
                <w:noProof/>
                <w:webHidden/>
              </w:rPr>
              <w:fldChar w:fldCharType="end"/>
            </w:r>
          </w:hyperlink>
        </w:p>
        <w:p w14:paraId="5FBD3F5D" w14:textId="2AF88E0B" w:rsidR="007F19FE" w:rsidRDefault="007F19FE">
          <w:pPr>
            <w:pStyle w:val="TOC3"/>
            <w:rPr>
              <w:rFonts w:asciiTheme="minorHAnsi" w:eastAsiaTheme="minorEastAsia" w:hAnsiTheme="minorHAnsi"/>
              <w:noProof/>
              <w:kern w:val="2"/>
              <w:sz w:val="24"/>
              <w:szCs w:val="24"/>
              <w14:ligatures w14:val="standardContextual"/>
            </w:rPr>
          </w:pPr>
          <w:hyperlink w:anchor="_Toc198480785" w:history="1">
            <w:r w:rsidRPr="00BA057C">
              <w:rPr>
                <w:rStyle w:val="Hyperlink"/>
                <w:rFonts w:ascii="Californian FB" w:eastAsia="Times New Roman" w:hAnsi="Californian FB" w:cs="Times New Roman"/>
                <w:noProof/>
              </w:rPr>
              <w:t>Michigan</w:t>
            </w:r>
            <w:r>
              <w:rPr>
                <w:noProof/>
                <w:webHidden/>
              </w:rPr>
              <w:tab/>
            </w:r>
            <w:r>
              <w:rPr>
                <w:noProof/>
                <w:webHidden/>
              </w:rPr>
              <w:fldChar w:fldCharType="begin"/>
            </w:r>
            <w:r>
              <w:rPr>
                <w:noProof/>
                <w:webHidden/>
              </w:rPr>
              <w:instrText xml:space="preserve"> PAGEREF _Toc198480785 \h </w:instrText>
            </w:r>
            <w:r>
              <w:rPr>
                <w:noProof/>
                <w:webHidden/>
              </w:rPr>
            </w:r>
            <w:r>
              <w:rPr>
                <w:noProof/>
                <w:webHidden/>
              </w:rPr>
              <w:fldChar w:fldCharType="separate"/>
            </w:r>
            <w:r>
              <w:rPr>
                <w:noProof/>
                <w:webHidden/>
              </w:rPr>
              <w:t>107</w:t>
            </w:r>
            <w:r>
              <w:rPr>
                <w:noProof/>
                <w:webHidden/>
              </w:rPr>
              <w:fldChar w:fldCharType="end"/>
            </w:r>
          </w:hyperlink>
        </w:p>
        <w:p w14:paraId="7A34C9C5" w14:textId="6B56EC73" w:rsidR="007F19FE" w:rsidRDefault="007F19FE">
          <w:pPr>
            <w:pStyle w:val="TOC3"/>
            <w:rPr>
              <w:rFonts w:asciiTheme="minorHAnsi" w:eastAsiaTheme="minorEastAsia" w:hAnsiTheme="minorHAnsi"/>
              <w:noProof/>
              <w:kern w:val="2"/>
              <w:sz w:val="24"/>
              <w:szCs w:val="24"/>
              <w14:ligatures w14:val="standardContextual"/>
            </w:rPr>
          </w:pPr>
          <w:hyperlink w:anchor="_Toc198480786" w:history="1">
            <w:r w:rsidRPr="00BA057C">
              <w:rPr>
                <w:rStyle w:val="Hyperlink"/>
                <w:rFonts w:ascii="Californian FB" w:eastAsia="Times New Roman" w:hAnsi="Californian FB" w:cs="Times New Roman"/>
                <w:noProof/>
              </w:rPr>
              <w:t>Minnesota</w:t>
            </w:r>
            <w:r>
              <w:rPr>
                <w:noProof/>
                <w:webHidden/>
              </w:rPr>
              <w:tab/>
            </w:r>
            <w:r>
              <w:rPr>
                <w:noProof/>
                <w:webHidden/>
              </w:rPr>
              <w:fldChar w:fldCharType="begin"/>
            </w:r>
            <w:r>
              <w:rPr>
                <w:noProof/>
                <w:webHidden/>
              </w:rPr>
              <w:instrText xml:space="preserve"> PAGEREF _Toc198480786 \h </w:instrText>
            </w:r>
            <w:r>
              <w:rPr>
                <w:noProof/>
                <w:webHidden/>
              </w:rPr>
            </w:r>
            <w:r>
              <w:rPr>
                <w:noProof/>
                <w:webHidden/>
              </w:rPr>
              <w:fldChar w:fldCharType="separate"/>
            </w:r>
            <w:r>
              <w:rPr>
                <w:noProof/>
                <w:webHidden/>
              </w:rPr>
              <w:t>108</w:t>
            </w:r>
            <w:r>
              <w:rPr>
                <w:noProof/>
                <w:webHidden/>
              </w:rPr>
              <w:fldChar w:fldCharType="end"/>
            </w:r>
          </w:hyperlink>
        </w:p>
        <w:p w14:paraId="562D757D" w14:textId="09AA31B7" w:rsidR="007F19FE" w:rsidRDefault="007F19FE">
          <w:pPr>
            <w:pStyle w:val="TOC3"/>
            <w:rPr>
              <w:rFonts w:asciiTheme="minorHAnsi" w:eastAsiaTheme="minorEastAsia" w:hAnsiTheme="minorHAnsi"/>
              <w:noProof/>
              <w:kern w:val="2"/>
              <w:sz w:val="24"/>
              <w:szCs w:val="24"/>
              <w14:ligatures w14:val="standardContextual"/>
            </w:rPr>
          </w:pPr>
          <w:hyperlink w:anchor="_Toc198480787" w:history="1">
            <w:r w:rsidRPr="00BA057C">
              <w:rPr>
                <w:rStyle w:val="Hyperlink"/>
                <w:rFonts w:ascii="Californian FB" w:eastAsia="Times New Roman" w:hAnsi="Californian FB" w:cs="Times New Roman"/>
                <w:noProof/>
              </w:rPr>
              <w:t>Mississippi</w:t>
            </w:r>
            <w:r>
              <w:rPr>
                <w:noProof/>
                <w:webHidden/>
              </w:rPr>
              <w:tab/>
            </w:r>
            <w:r>
              <w:rPr>
                <w:noProof/>
                <w:webHidden/>
              </w:rPr>
              <w:fldChar w:fldCharType="begin"/>
            </w:r>
            <w:r>
              <w:rPr>
                <w:noProof/>
                <w:webHidden/>
              </w:rPr>
              <w:instrText xml:space="preserve"> PAGEREF _Toc198480787 \h </w:instrText>
            </w:r>
            <w:r>
              <w:rPr>
                <w:noProof/>
                <w:webHidden/>
              </w:rPr>
            </w:r>
            <w:r>
              <w:rPr>
                <w:noProof/>
                <w:webHidden/>
              </w:rPr>
              <w:fldChar w:fldCharType="separate"/>
            </w:r>
            <w:r>
              <w:rPr>
                <w:noProof/>
                <w:webHidden/>
              </w:rPr>
              <w:t>110</w:t>
            </w:r>
            <w:r>
              <w:rPr>
                <w:noProof/>
                <w:webHidden/>
              </w:rPr>
              <w:fldChar w:fldCharType="end"/>
            </w:r>
          </w:hyperlink>
        </w:p>
        <w:p w14:paraId="29011E0B" w14:textId="253C012F" w:rsidR="007F19FE" w:rsidRDefault="007F19FE">
          <w:pPr>
            <w:pStyle w:val="TOC3"/>
            <w:rPr>
              <w:rFonts w:asciiTheme="minorHAnsi" w:eastAsiaTheme="minorEastAsia" w:hAnsiTheme="minorHAnsi"/>
              <w:noProof/>
              <w:kern w:val="2"/>
              <w:sz w:val="24"/>
              <w:szCs w:val="24"/>
              <w14:ligatures w14:val="standardContextual"/>
            </w:rPr>
          </w:pPr>
          <w:hyperlink w:anchor="_Toc198480788" w:history="1">
            <w:r w:rsidRPr="00BA057C">
              <w:rPr>
                <w:rStyle w:val="Hyperlink"/>
                <w:rFonts w:ascii="Californian FB" w:eastAsia="Times New Roman" w:hAnsi="Californian FB" w:cs="Times New Roman"/>
                <w:noProof/>
              </w:rPr>
              <w:t>Missouri</w:t>
            </w:r>
            <w:r>
              <w:rPr>
                <w:noProof/>
                <w:webHidden/>
              </w:rPr>
              <w:tab/>
            </w:r>
            <w:r>
              <w:rPr>
                <w:noProof/>
                <w:webHidden/>
              </w:rPr>
              <w:fldChar w:fldCharType="begin"/>
            </w:r>
            <w:r>
              <w:rPr>
                <w:noProof/>
                <w:webHidden/>
              </w:rPr>
              <w:instrText xml:space="preserve"> PAGEREF _Toc198480788 \h </w:instrText>
            </w:r>
            <w:r>
              <w:rPr>
                <w:noProof/>
                <w:webHidden/>
              </w:rPr>
            </w:r>
            <w:r>
              <w:rPr>
                <w:noProof/>
                <w:webHidden/>
              </w:rPr>
              <w:fldChar w:fldCharType="separate"/>
            </w:r>
            <w:r>
              <w:rPr>
                <w:noProof/>
                <w:webHidden/>
              </w:rPr>
              <w:t>111</w:t>
            </w:r>
            <w:r>
              <w:rPr>
                <w:noProof/>
                <w:webHidden/>
              </w:rPr>
              <w:fldChar w:fldCharType="end"/>
            </w:r>
          </w:hyperlink>
        </w:p>
        <w:p w14:paraId="2AEA5979" w14:textId="333F053A" w:rsidR="007F19FE" w:rsidRDefault="007F19FE">
          <w:pPr>
            <w:pStyle w:val="TOC3"/>
            <w:rPr>
              <w:rFonts w:asciiTheme="minorHAnsi" w:eastAsiaTheme="minorEastAsia" w:hAnsiTheme="minorHAnsi"/>
              <w:noProof/>
              <w:kern w:val="2"/>
              <w:sz w:val="24"/>
              <w:szCs w:val="24"/>
              <w14:ligatures w14:val="standardContextual"/>
            </w:rPr>
          </w:pPr>
          <w:hyperlink w:anchor="_Toc198480789" w:history="1">
            <w:r w:rsidRPr="00BA057C">
              <w:rPr>
                <w:rStyle w:val="Hyperlink"/>
                <w:rFonts w:ascii="Californian FB" w:eastAsia="Times New Roman" w:hAnsi="Californian FB" w:cs="Times New Roman"/>
                <w:noProof/>
              </w:rPr>
              <w:t>Montana</w:t>
            </w:r>
            <w:r>
              <w:rPr>
                <w:noProof/>
                <w:webHidden/>
              </w:rPr>
              <w:tab/>
            </w:r>
            <w:r>
              <w:rPr>
                <w:noProof/>
                <w:webHidden/>
              </w:rPr>
              <w:fldChar w:fldCharType="begin"/>
            </w:r>
            <w:r>
              <w:rPr>
                <w:noProof/>
                <w:webHidden/>
              </w:rPr>
              <w:instrText xml:space="preserve"> PAGEREF _Toc198480789 \h </w:instrText>
            </w:r>
            <w:r>
              <w:rPr>
                <w:noProof/>
                <w:webHidden/>
              </w:rPr>
            </w:r>
            <w:r>
              <w:rPr>
                <w:noProof/>
                <w:webHidden/>
              </w:rPr>
              <w:fldChar w:fldCharType="separate"/>
            </w:r>
            <w:r>
              <w:rPr>
                <w:noProof/>
                <w:webHidden/>
              </w:rPr>
              <w:t>113</w:t>
            </w:r>
            <w:r>
              <w:rPr>
                <w:noProof/>
                <w:webHidden/>
              </w:rPr>
              <w:fldChar w:fldCharType="end"/>
            </w:r>
          </w:hyperlink>
        </w:p>
        <w:p w14:paraId="7B7749C0" w14:textId="1D388AF8" w:rsidR="007F19FE" w:rsidRDefault="007F19FE">
          <w:pPr>
            <w:pStyle w:val="TOC3"/>
            <w:rPr>
              <w:rFonts w:asciiTheme="minorHAnsi" w:eastAsiaTheme="minorEastAsia" w:hAnsiTheme="minorHAnsi"/>
              <w:noProof/>
              <w:kern w:val="2"/>
              <w:sz w:val="24"/>
              <w:szCs w:val="24"/>
              <w14:ligatures w14:val="standardContextual"/>
            </w:rPr>
          </w:pPr>
          <w:hyperlink w:anchor="_Toc198480790" w:history="1">
            <w:r w:rsidRPr="00BA057C">
              <w:rPr>
                <w:rStyle w:val="Hyperlink"/>
                <w:rFonts w:ascii="Californian FB" w:eastAsia="Times New Roman" w:hAnsi="Californian FB" w:cs="Times New Roman"/>
                <w:noProof/>
              </w:rPr>
              <w:t>Nebraska</w:t>
            </w:r>
            <w:r>
              <w:rPr>
                <w:noProof/>
                <w:webHidden/>
              </w:rPr>
              <w:tab/>
            </w:r>
            <w:r>
              <w:rPr>
                <w:noProof/>
                <w:webHidden/>
              </w:rPr>
              <w:fldChar w:fldCharType="begin"/>
            </w:r>
            <w:r>
              <w:rPr>
                <w:noProof/>
                <w:webHidden/>
              </w:rPr>
              <w:instrText xml:space="preserve"> PAGEREF _Toc198480790 \h </w:instrText>
            </w:r>
            <w:r>
              <w:rPr>
                <w:noProof/>
                <w:webHidden/>
              </w:rPr>
            </w:r>
            <w:r>
              <w:rPr>
                <w:noProof/>
                <w:webHidden/>
              </w:rPr>
              <w:fldChar w:fldCharType="separate"/>
            </w:r>
            <w:r>
              <w:rPr>
                <w:noProof/>
                <w:webHidden/>
              </w:rPr>
              <w:t>115</w:t>
            </w:r>
            <w:r>
              <w:rPr>
                <w:noProof/>
                <w:webHidden/>
              </w:rPr>
              <w:fldChar w:fldCharType="end"/>
            </w:r>
          </w:hyperlink>
        </w:p>
        <w:p w14:paraId="2A553FF1" w14:textId="4B277F41" w:rsidR="007F19FE" w:rsidRDefault="007F19FE">
          <w:pPr>
            <w:pStyle w:val="TOC3"/>
            <w:rPr>
              <w:rFonts w:asciiTheme="minorHAnsi" w:eastAsiaTheme="minorEastAsia" w:hAnsiTheme="minorHAnsi"/>
              <w:noProof/>
              <w:kern w:val="2"/>
              <w:sz w:val="24"/>
              <w:szCs w:val="24"/>
              <w14:ligatures w14:val="standardContextual"/>
            </w:rPr>
          </w:pPr>
          <w:hyperlink w:anchor="_Toc198480791" w:history="1">
            <w:r w:rsidRPr="00BA057C">
              <w:rPr>
                <w:rStyle w:val="Hyperlink"/>
                <w:rFonts w:ascii="Californian FB" w:eastAsia="Times New Roman" w:hAnsi="Californian FB" w:cs="Times New Roman"/>
                <w:noProof/>
              </w:rPr>
              <w:t>New Hampshire</w:t>
            </w:r>
            <w:r>
              <w:rPr>
                <w:noProof/>
                <w:webHidden/>
              </w:rPr>
              <w:tab/>
            </w:r>
            <w:r>
              <w:rPr>
                <w:noProof/>
                <w:webHidden/>
              </w:rPr>
              <w:fldChar w:fldCharType="begin"/>
            </w:r>
            <w:r>
              <w:rPr>
                <w:noProof/>
                <w:webHidden/>
              </w:rPr>
              <w:instrText xml:space="preserve"> PAGEREF _Toc198480791 \h </w:instrText>
            </w:r>
            <w:r>
              <w:rPr>
                <w:noProof/>
                <w:webHidden/>
              </w:rPr>
            </w:r>
            <w:r>
              <w:rPr>
                <w:noProof/>
                <w:webHidden/>
              </w:rPr>
              <w:fldChar w:fldCharType="separate"/>
            </w:r>
            <w:r>
              <w:rPr>
                <w:noProof/>
                <w:webHidden/>
              </w:rPr>
              <w:t>117</w:t>
            </w:r>
            <w:r>
              <w:rPr>
                <w:noProof/>
                <w:webHidden/>
              </w:rPr>
              <w:fldChar w:fldCharType="end"/>
            </w:r>
          </w:hyperlink>
        </w:p>
        <w:p w14:paraId="2382B753" w14:textId="58869A94" w:rsidR="007F19FE" w:rsidRDefault="007F19FE">
          <w:pPr>
            <w:pStyle w:val="TOC3"/>
            <w:rPr>
              <w:rFonts w:asciiTheme="minorHAnsi" w:eastAsiaTheme="minorEastAsia" w:hAnsiTheme="minorHAnsi"/>
              <w:noProof/>
              <w:kern w:val="2"/>
              <w:sz w:val="24"/>
              <w:szCs w:val="24"/>
              <w14:ligatures w14:val="standardContextual"/>
            </w:rPr>
          </w:pPr>
          <w:hyperlink w:anchor="_Toc198480792" w:history="1">
            <w:r w:rsidRPr="00BA057C">
              <w:rPr>
                <w:rStyle w:val="Hyperlink"/>
                <w:rFonts w:ascii="Californian FB" w:eastAsia="Times New Roman" w:hAnsi="Californian FB" w:cs="Times New Roman"/>
                <w:noProof/>
              </w:rPr>
              <w:t>New Jersey</w:t>
            </w:r>
            <w:r>
              <w:rPr>
                <w:noProof/>
                <w:webHidden/>
              </w:rPr>
              <w:tab/>
            </w:r>
            <w:r>
              <w:rPr>
                <w:noProof/>
                <w:webHidden/>
              </w:rPr>
              <w:fldChar w:fldCharType="begin"/>
            </w:r>
            <w:r>
              <w:rPr>
                <w:noProof/>
                <w:webHidden/>
              </w:rPr>
              <w:instrText xml:space="preserve"> PAGEREF _Toc198480792 \h </w:instrText>
            </w:r>
            <w:r>
              <w:rPr>
                <w:noProof/>
                <w:webHidden/>
              </w:rPr>
            </w:r>
            <w:r>
              <w:rPr>
                <w:noProof/>
                <w:webHidden/>
              </w:rPr>
              <w:fldChar w:fldCharType="separate"/>
            </w:r>
            <w:r>
              <w:rPr>
                <w:noProof/>
                <w:webHidden/>
              </w:rPr>
              <w:t>118</w:t>
            </w:r>
            <w:r>
              <w:rPr>
                <w:noProof/>
                <w:webHidden/>
              </w:rPr>
              <w:fldChar w:fldCharType="end"/>
            </w:r>
          </w:hyperlink>
        </w:p>
        <w:p w14:paraId="68BFBC86" w14:textId="3FEDF0AA" w:rsidR="007F19FE" w:rsidRDefault="007F19FE">
          <w:pPr>
            <w:pStyle w:val="TOC3"/>
            <w:rPr>
              <w:rFonts w:asciiTheme="minorHAnsi" w:eastAsiaTheme="minorEastAsia" w:hAnsiTheme="minorHAnsi"/>
              <w:noProof/>
              <w:kern w:val="2"/>
              <w:sz w:val="24"/>
              <w:szCs w:val="24"/>
              <w14:ligatures w14:val="standardContextual"/>
            </w:rPr>
          </w:pPr>
          <w:hyperlink w:anchor="_Toc198480793" w:history="1">
            <w:r w:rsidRPr="00BA057C">
              <w:rPr>
                <w:rStyle w:val="Hyperlink"/>
                <w:rFonts w:ascii="Californian FB" w:eastAsia="Times New Roman" w:hAnsi="Californian FB" w:cs="Times New Roman"/>
                <w:noProof/>
              </w:rPr>
              <w:t>New Mexico</w:t>
            </w:r>
            <w:r>
              <w:rPr>
                <w:noProof/>
                <w:webHidden/>
              </w:rPr>
              <w:tab/>
            </w:r>
            <w:r>
              <w:rPr>
                <w:noProof/>
                <w:webHidden/>
              </w:rPr>
              <w:fldChar w:fldCharType="begin"/>
            </w:r>
            <w:r>
              <w:rPr>
                <w:noProof/>
                <w:webHidden/>
              </w:rPr>
              <w:instrText xml:space="preserve"> PAGEREF _Toc198480793 \h </w:instrText>
            </w:r>
            <w:r>
              <w:rPr>
                <w:noProof/>
                <w:webHidden/>
              </w:rPr>
            </w:r>
            <w:r>
              <w:rPr>
                <w:noProof/>
                <w:webHidden/>
              </w:rPr>
              <w:fldChar w:fldCharType="separate"/>
            </w:r>
            <w:r>
              <w:rPr>
                <w:noProof/>
                <w:webHidden/>
              </w:rPr>
              <w:t>119</w:t>
            </w:r>
            <w:r>
              <w:rPr>
                <w:noProof/>
                <w:webHidden/>
              </w:rPr>
              <w:fldChar w:fldCharType="end"/>
            </w:r>
          </w:hyperlink>
        </w:p>
        <w:p w14:paraId="1EB04490" w14:textId="57591622" w:rsidR="007F19FE" w:rsidRDefault="007F19FE">
          <w:pPr>
            <w:pStyle w:val="TOC3"/>
            <w:rPr>
              <w:rFonts w:asciiTheme="minorHAnsi" w:eastAsiaTheme="minorEastAsia" w:hAnsiTheme="minorHAnsi"/>
              <w:noProof/>
              <w:kern w:val="2"/>
              <w:sz w:val="24"/>
              <w:szCs w:val="24"/>
              <w14:ligatures w14:val="standardContextual"/>
            </w:rPr>
          </w:pPr>
          <w:hyperlink w:anchor="_Toc198480794" w:history="1">
            <w:r w:rsidRPr="00BA057C">
              <w:rPr>
                <w:rStyle w:val="Hyperlink"/>
                <w:rFonts w:ascii="Californian FB" w:eastAsia="Times New Roman" w:hAnsi="Californian FB" w:cs="Times New Roman"/>
                <w:noProof/>
              </w:rPr>
              <w:t>New York</w:t>
            </w:r>
            <w:r>
              <w:rPr>
                <w:noProof/>
                <w:webHidden/>
              </w:rPr>
              <w:tab/>
            </w:r>
            <w:r>
              <w:rPr>
                <w:noProof/>
                <w:webHidden/>
              </w:rPr>
              <w:fldChar w:fldCharType="begin"/>
            </w:r>
            <w:r>
              <w:rPr>
                <w:noProof/>
                <w:webHidden/>
              </w:rPr>
              <w:instrText xml:space="preserve"> PAGEREF _Toc198480794 \h </w:instrText>
            </w:r>
            <w:r>
              <w:rPr>
                <w:noProof/>
                <w:webHidden/>
              </w:rPr>
            </w:r>
            <w:r>
              <w:rPr>
                <w:noProof/>
                <w:webHidden/>
              </w:rPr>
              <w:fldChar w:fldCharType="separate"/>
            </w:r>
            <w:r>
              <w:rPr>
                <w:noProof/>
                <w:webHidden/>
              </w:rPr>
              <w:t>120</w:t>
            </w:r>
            <w:r>
              <w:rPr>
                <w:noProof/>
                <w:webHidden/>
              </w:rPr>
              <w:fldChar w:fldCharType="end"/>
            </w:r>
          </w:hyperlink>
        </w:p>
        <w:p w14:paraId="6B4300A8" w14:textId="07C9B0EE" w:rsidR="007F19FE" w:rsidRDefault="007F19FE">
          <w:pPr>
            <w:pStyle w:val="TOC3"/>
            <w:rPr>
              <w:rFonts w:asciiTheme="minorHAnsi" w:eastAsiaTheme="minorEastAsia" w:hAnsiTheme="minorHAnsi"/>
              <w:noProof/>
              <w:kern w:val="2"/>
              <w:sz w:val="24"/>
              <w:szCs w:val="24"/>
              <w14:ligatures w14:val="standardContextual"/>
            </w:rPr>
          </w:pPr>
          <w:hyperlink w:anchor="_Toc198480795" w:history="1">
            <w:r w:rsidRPr="00BA057C">
              <w:rPr>
                <w:rStyle w:val="Hyperlink"/>
                <w:rFonts w:ascii="Californian FB" w:eastAsia="Times New Roman" w:hAnsi="Californian FB" w:cs="Times New Roman"/>
                <w:noProof/>
              </w:rPr>
              <w:t>North Carolina</w:t>
            </w:r>
            <w:r>
              <w:rPr>
                <w:noProof/>
                <w:webHidden/>
              </w:rPr>
              <w:tab/>
            </w:r>
            <w:r>
              <w:rPr>
                <w:noProof/>
                <w:webHidden/>
              </w:rPr>
              <w:fldChar w:fldCharType="begin"/>
            </w:r>
            <w:r>
              <w:rPr>
                <w:noProof/>
                <w:webHidden/>
              </w:rPr>
              <w:instrText xml:space="preserve"> PAGEREF _Toc198480795 \h </w:instrText>
            </w:r>
            <w:r>
              <w:rPr>
                <w:noProof/>
                <w:webHidden/>
              </w:rPr>
            </w:r>
            <w:r>
              <w:rPr>
                <w:noProof/>
                <w:webHidden/>
              </w:rPr>
              <w:fldChar w:fldCharType="separate"/>
            </w:r>
            <w:r>
              <w:rPr>
                <w:noProof/>
                <w:webHidden/>
              </w:rPr>
              <w:t>123</w:t>
            </w:r>
            <w:r>
              <w:rPr>
                <w:noProof/>
                <w:webHidden/>
              </w:rPr>
              <w:fldChar w:fldCharType="end"/>
            </w:r>
          </w:hyperlink>
        </w:p>
        <w:p w14:paraId="047D1DA7" w14:textId="2DE7B427" w:rsidR="007F19FE" w:rsidRDefault="007F19FE">
          <w:pPr>
            <w:pStyle w:val="TOC3"/>
            <w:rPr>
              <w:rFonts w:asciiTheme="minorHAnsi" w:eastAsiaTheme="minorEastAsia" w:hAnsiTheme="minorHAnsi"/>
              <w:noProof/>
              <w:kern w:val="2"/>
              <w:sz w:val="24"/>
              <w:szCs w:val="24"/>
              <w14:ligatures w14:val="standardContextual"/>
            </w:rPr>
          </w:pPr>
          <w:hyperlink w:anchor="_Toc198480796" w:history="1">
            <w:r w:rsidRPr="00BA057C">
              <w:rPr>
                <w:rStyle w:val="Hyperlink"/>
                <w:rFonts w:ascii="Californian FB" w:eastAsia="Times New Roman" w:hAnsi="Californian FB" w:cs="Times New Roman"/>
                <w:noProof/>
              </w:rPr>
              <w:t>North Dakota</w:t>
            </w:r>
            <w:r>
              <w:rPr>
                <w:noProof/>
                <w:webHidden/>
              </w:rPr>
              <w:tab/>
            </w:r>
            <w:r>
              <w:rPr>
                <w:noProof/>
                <w:webHidden/>
              </w:rPr>
              <w:fldChar w:fldCharType="begin"/>
            </w:r>
            <w:r>
              <w:rPr>
                <w:noProof/>
                <w:webHidden/>
              </w:rPr>
              <w:instrText xml:space="preserve"> PAGEREF _Toc198480796 \h </w:instrText>
            </w:r>
            <w:r>
              <w:rPr>
                <w:noProof/>
                <w:webHidden/>
              </w:rPr>
            </w:r>
            <w:r>
              <w:rPr>
                <w:noProof/>
                <w:webHidden/>
              </w:rPr>
              <w:fldChar w:fldCharType="separate"/>
            </w:r>
            <w:r>
              <w:rPr>
                <w:noProof/>
                <w:webHidden/>
              </w:rPr>
              <w:t>126</w:t>
            </w:r>
            <w:r>
              <w:rPr>
                <w:noProof/>
                <w:webHidden/>
              </w:rPr>
              <w:fldChar w:fldCharType="end"/>
            </w:r>
          </w:hyperlink>
        </w:p>
        <w:p w14:paraId="4EE74371" w14:textId="63444080" w:rsidR="007F19FE" w:rsidRDefault="007F19FE">
          <w:pPr>
            <w:pStyle w:val="TOC3"/>
            <w:rPr>
              <w:rFonts w:asciiTheme="minorHAnsi" w:eastAsiaTheme="minorEastAsia" w:hAnsiTheme="minorHAnsi"/>
              <w:noProof/>
              <w:kern w:val="2"/>
              <w:sz w:val="24"/>
              <w:szCs w:val="24"/>
              <w14:ligatures w14:val="standardContextual"/>
            </w:rPr>
          </w:pPr>
          <w:hyperlink w:anchor="_Toc198480797" w:history="1">
            <w:r w:rsidRPr="00BA057C">
              <w:rPr>
                <w:rStyle w:val="Hyperlink"/>
                <w:rFonts w:ascii="Californian FB" w:eastAsia="Times New Roman" w:hAnsi="Californian FB" w:cs="Times New Roman"/>
                <w:noProof/>
              </w:rPr>
              <w:t>Ohio</w:t>
            </w:r>
            <w:r>
              <w:rPr>
                <w:noProof/>
                <w:webHidden/>
              </w:rPr>
              <w:tab/>
            </w:r>
            <w:r>
              <w:rPr>
                <w:noProof/>
                <w:webHidden/>
              </w:rPr>
              <w:fldChar w:fldCharType="begin"/>
            </w:r>
            <w:r>
              <w:rPr>
                <w:noProof/>
                <w:webHidden/>
              </w:rPr>
              <w:instrText xml:space="preserve"> PAGEREF _Toc198480797 \h </w:instrText>
            </w:r>
            <w:r>
              <w:rPr>
                <w:noProof/>
                <w:webHidden/>
              </w:rPr>
            </w:r>
            <w:r>
              <w:rPr>
                <w:noProof/>
                <w:webHidden/>
              </w:rPr>
              <w:fldChar w:fldCharType="separate"/>
            </w:r>
            <w:r>
              <w:rPr>
                <w:noProof/>
                <w:webHidden/>
              </w:rPr>
              <w:t>128</w:t>
            </w:r>
            <w:r>
              <w:rPr>
                <w:noProof/>
                <w:webHidden/>
              </w:rPr>
              <w:fldChar w:fldCharType="end"/>
            </w:r>
          </w:hyperlink>
        </w:p>
        <w:p w14:paraId="19133399" w14:textId="64E0C176" w:rsidR="007F19FE" w:rsidRDefault="007F19FE">
          <w:pPr>
            <w:pStyle w:val="TOC3"/>
            <w:rPr>
              <w:rFonts w:asciiTheme="minorHAnsi" w:eastAsiaTheme="minorEastAsia" w:hAnsiTheme="minorHAnsi"/>
              <w:noProof/>
              <w:kern w:val="2"/>
              <w:sz w:val="24"/>
              <w:szCs w:val="24"/>
              <w14:ligatures w14:val="standardContextual"/>
            </w:rPr>
          </w:pPr>
          <w:hyperlink w:anchor="_Toc198480798" w:history="1">
            <w:r w:rsidRPr="00BA057C">
              <w:rPr>
                <w:rStyle w:val="Hyperlink"/>
                <w:rFonts w:ascii="Californian FB" w:eastAsia="Times New Roman" w:hAnsi="Californian FB" w:cs="Times New Roman"/>
                <w:noProof/>
              </w:rPr>
              <w:t>Oklahoma</w:t>
            </w:r>
            <w:r>
              <w:rPr>
                <w:noProof/>
                <w:webHidden/>
              </w:rPr>
              <w:tab/>
            </w:r>
            <w:r>
              <w:rPr>
                <w:noProof/>
                <w:webHidden/>
              </w:rPr>
              <w:fldChar w:fldCharType="begin"/>
            </w:r>
            <w:r>
              <w:rPr>
                <w:noProof/>
                <w:webHidden/>
              </w:rPr>
              <w:instrText xml:space="preserve"> PAGEREF _Toc198480798 \h </w:instrText>
            </w:r>
            <w:r>
              <w:rPr>
                <w:noProof/>
                <w:webHidden/>
              </w:rPr>
            </w:r>
            <w:r>
              <w:rPr>
                <w:noProof/>
                <w:webHidden/>
              </w:rPr>
              <w:fldChar w:fldCharType="separate"/>
            </w:r>
            <w:r>
              <w:rPr>
                <w:noProof/>
                <w:webHidden/>
              </w:rPr>
              <w:t>130</w:t>
            </w:r>
            <w:r>
              <w:rPr>
                <w:noProof/>
                <w:webHidden/>
              </w:rPr>
              <w:fldChar w:fldCharType="end"/>
            </w:r>
          </w:hyperlink>
        </w:p>
        <w:p w14:paraId="10AF3D7E" w14:textId="5350B648" w:rsidR="007F19FE" w:rsidRDefault="007F19FE">
          <w:pPr>
            <w:pStyle w:val="TOC3"/>
            <w:rPr>
              <w:rFonts w:asciiTheme="minorHAnsi" w:eastAsiaTheme="minorEastAsia" w:hAnsiTheme="minorHAnsi"/>
              <w:noProof/>
              <w:kern w:val="2"/>
              <w:sz w:val="24"/>
              <w:szCs w:val="24"/>
              <w14:ligatures w14:val="standardContextual"/>
            </w:rPr>
          </w:pPr>
          <w:hyperlink w:anchor="_Toc198480799" w:history="1">
            <w:r w:rsidRPr="00BA057C">
              <w:rPr>
                <w:rStyle w:val="Hyperlink"/>
                <w:rFonts w:ascii="Californian FB" w:eastAsia="Times New Roman" w:hAnsi="Californian FB" w:cs="Times New Roman"/>
                <w:noProof/>
              </w:rPr>
              <w:t>Oregon</w:t>
            </w:r>
            <w:r>
              <w:rPr>
                <w:noProof/>
                <w:webHidden/>
              </w:rPr>
              <w:tab/>
            </w:r>
            <w:r>
              <w:rPr>
                <w:noProof/>
                <w:webHidden/>
              </w:rPr>
              <w:fldChar w:fldCharType="begin"/>
            </w:r>
            <w:r>
              <w:rPr>
                <w:noProof/>
                <w:webHidden/>
              </w:rPr>
              <w:instrText xml:space="preserve"> PAGEREF _Toc198480799 \h </w:instrText>
            </w:r>
            <w:r>
              <w:rPr>
                <w:noProof/>
                <w:webHidden/>
              </w:rPr>
            </w:r>
            <w:r>
              <w:rPr>
                <w:noProof/>
                <w:webHidden/>
              </w:rPr>
              <w:fldChar w:fldCharType="separate"/>
            </w:r>
            <w:r>
              <w:rPr>
                <w:noProof/>
                <w:webHidden/>
              </w:rPr>
              <w:t>131</w:t>
            </w:r>
            <w:r>
              <w:rPr>
                <w:noProof/>
                <w:webHidden/>
              </w:rPr>
              <w:fldChar w:fldCharType="end"/>
            </w:r>
          </w:hyperlink>
        </w:p>
        <w:p w14:paraId="2DD6B423" w14:textId="1E36CE74" w:rsidR="007F19FE" w:rsidRDefault="007F19FE">
          <w:pPr>
            <w:pStyle w:val="TOC3"/>
            <w:rPr>
              <w:rFonts w:asciiTheme="minorHAnsi" w:eastAsiaTheme="minorEastAsia" w:hAnsiTheme="minorHAnsi"/>
              <w:noProof/>
              <w:kern w:val="2"/>
              <w:sz w:val="24"/>
              <w:szCs w:val="24"/>
              <w14:ligatures w14:val="standardContextual"/>
            </w:rPr>
          </w:pPr>
          <w:hyperlink w:anchor="_Toc198480800" w:history="1">
            <w:r w:rsidRPr="00BA057C">
              <w:rPr>
                <w:rStyle w:val="Hyperlink"/>
                <w:rFonts w:ascii="Californian FB" w:eastAsia="Times New Roman" w:hAnsi="Californian FB" w:cs="Times New Roman"/>
                <w:noProof/>
              </w:rPr>
              <w:t>Pennsylvania</w:t>
            </w:r>
            <w:r>
              <w:rPr>
                <w:noProof/>
                <w:webHidden/>
              </w:rPr>
              <w:tab/>
            </w:r>
            <w:r>
              <w:rPr>
                <w:noProof/>
                <w:webHidden/>
              </w:rPr>
              <w:fldChar w:fldCharType="begin"/>
            </w:r>
            <w:r>
              <w:rPr>
                <w:noProof/>
                <w:webHidden/>
              </w:rPr>
              <w:instrText xml:space="preserve"> PAGEREF _Toc198480800 \h </w:instrText>
            </w:r>
            <w:r>
              <w:rPr>
                <w:noProof/>
                <w:webHidden/>
              </w:rPr>
            </w:r>
            <w:r>
              <w:rPr>
                <w:noProof/>
                <w:webHidden/>
              </w:rPr>
              <w:fldChar w:fldCharType="separate"/>
            </w:r>
            <w:r>
              <w:rPr>
                <w:noProof/>
                <w:webHidden/>
              </w:rPr>
              <w:t>133</w:t>
            </w:r>
            <w:r>
              <w:rPr>
                <w:noProof/>
                <w:webHidden/>
              </w:rPr>
              <w:fldChar w:fldCharType="end"/>
            </w:r>
          </w:hyperlink>
        </w:p>
        <w:p w14:paraId="20C96062" w14:textId="215077B1" w:rsidR="007F19FE" w:rsidRDefault="007F19FE">
          <w:pPr>
            <w:pStyle w:val="TOC3"/>
            <w:rPr>
              <w:rFonts w:asciiTheme="minorHAnsi" w:eastAsiaTheme="minorEastAsia" w:hAnsiTheme="minorHAnsi"/>
              <w:noProof/>
              <w:kern w:val="2"/>
              <w:sz w:val="24"/>
              <w:szCs w:val="24"/>
              <w14:ligatures w14:val="standardContextual"/>
            </w:rPr>
          </w:pPr>
          <w:hyperlink w:anchor="_Toc198480801" w:history="1">
            <w:r w:rsidRPr="00BA057C">
              <w:rPr>
                <w:rStyle w:val="Hyperlink"/>
                <w:rFonts w:ascii="Californian FB" w:eastAsia="Times New Roman" w:hAnsi="Californian FB" w:cs="Times New Roman"/>
                <w:noProof/>
              </w:rPr>
              <w:t>Rhode Island</w:t>
            </w:r>
            <w:r>
              <w:rPr>
                <w:noProof/>
                <w:webHidden/>
              </w:rPr>
              <w:tab/>
            </w:r>
            <w:r>
              <w:rPr>
                <w:noProof/>
                <w:webHidden/>
              </w:rPr>
              <w:fldChar w:fldCharType="begin"/>
            </w:r>
            <w:r>
              <w:rPr>
                <w:noProof/>
                <w:webHidden/>
              </w:rPr>
              <w:instrText xml:space="preserve"> PAGEREF _Toc198480801 \h </w:instrText>
            </w:r>
            <w:r>
              <w:rPr>
                <w:noProof/>
                <w:webHidden/>
              </w:rPr>
            </w:r>
            <w:r>
              <w:rPr>
                <w:noProof/>
                <w:webHidden/>
              </w:rPr>
              <w:fldChar w:fldCharType="separate"/>
            </w:r>
            <w:r>
              <w:rPr>
                <w:noProof/>
                <w:webHidden/>
              </w:rPr>
              <w:t>136</w:t>
            </w:r>
            <w:r>
              <w:rPr>
                <w:noProof/>
                <w:webHidden/>
              </w:rPr>
              <w:fldChar w:fldCharType="end"/>
            </w:r>
          </w:hyperlink>
        </w:p>
        <w:p w14:paraId="688355E2" w14:textId="4012D7D3" w:rsidR="007F19FE" w:rsidRDefault="007F19FE">
          <w:pPr>
            <w:pStyle w:val="TOC3"/>
            <w:rPr>
              <w:rFonts w:asciiTheme="minorHAnsi" w:eastAsiaTheme="minorEastAsia" w:hAnsiTheme="minorHAnsi"/>
              <w:noProof/>
              <w:kern w:val="2"/>
              <w:sz w:val="24"/>
              <w:szCs w:val="24"/>
              <w14:ligatures w14:val="standardContextual"/>
            </w:rPr>
          </w:pPr>
          <w:hyperlink w:anchor="_Toc198480802" w:history="1">
            <w:r w:rsidRPr="00BA057C">
              <w:rPr>
                <w:rStyle w:val="Hyperlink"/>
                <w:rFonts w:ascii="Californian FB" w:eastAsia="Times New Roman" w:hAnsi="Californian FB" w:cs="Times New Roman"/>
                <w:noProof/>
              </w:rPr>
              <w:t>South Carolina</w:t>
            </w:r>
            <w:r>
              <w:rPr>
                <w:noProof/>
                <w:webHidden/>
              </w:rPr>
              <w:tab/>
            </w:r>
            <w:r>
              <w:rPr>
                <w:noProof/>
                <w:webHidden/>
              </w:rPr>
              <w:fldChar w:fldCharType="begin"/>
            </w:r>
            <w:r>
              <w:rPr>
                <w:noProof/>
                <w:webHidden/>
              </w:rPr>
              <w:instrText xml:space="preserve"> PAGEREF _Toc198480802 \h </w:instrText>
            </w:r>
            <w:r>
              <w:rPr>
                <w:noProof/>
                <w:webHidden/>
              </w:rPr>
            </w:r>
            <w:r>
              <w:rPr>
                <w:noProof/>
                <w:webHidden/>
              </w:rPr>
              <w:fldChar w:fldCharType="separate"/>
            </w:r>
            <w:r>
              <w:rPr>
                <w:noProof/>
                <w:webHidden/>
              </w:rPr>
              <w:t>138</w:t>
            </w:r>
            <w:r>
              <w:rPr>
                <w:noProof/>
                <w:webHidden/>
              </w:rPr>
              <w:fldChar w:fldCharType="end"/>
            </w:r>
          </w:hyperlink>
        </w:p>
        <w:p w14:paraId="1182A77B" w14:textId="004BB246" w:rsidR="007F19FE" w:rsidRDefault="007F19FE">
          <w:pPr>
            <w:pStyle w:val="TOC3"/>
            <w:rPr>
              <w:rFonts w:asciiTheme="minorHAnsi" w:eastAsiaTheme="minorEastAsia" w:hAnsiTheme="minorHAnsi"/>
              <w:noProof/>
              <w:kern w:val="2"/>
              <w:sz w:val="24"/>
              <w:szCs w:val="24"/>
              <w14:ligatures w14:val="standardContextual"/>
            </w:rPr>
          </w:pPr>
          <w:hyperlink w:anchor="_Toc198480803" w:history="1">
            <w:r w:rsidRPr="00BA057C">
              <w:rPr>
                <w:rStyle w:val="Hyperlink"/>
                <w:rFonts w:ascii="Californian FB" w:eastAsia="Times New Roman" w:hAnsi="Californian FB" w:cs="Times New Roman"/>
                <w:noProof/>
              </w:rPr>
              <w:t>Tennessee</w:t>
            </w:r>
            <w:r>
              <w:rPr>
                <w:noProof/>
                <w:webHidden/>
              </w:rPr>
              <w:tab/>
            </w:r>
            <w:r>
              <w:rPr>
                <w:noProof/>
                <w:webHidden/>
              </w:rPr>
              <w:fldChar w:fldCharType="begin"/>
            </w:r>
            <w:r>
              <w:rPr>
                <w:noProof/>
                <w:webHidden/>
              </w:rPr>
              <w:instrText xml:space="preserve"> PAGEREF _Toc198480803 \h </w:instrText>
            </w:r>
            <w:r>
              <w:rPr>
                <w:noProof/>
                <w:webHidden/>
              </w:rPr>
            </w:r>
            <w:r>
              <w:rPr>
                <w:noProof/>
                <w:webHidden/>
              </w:rPr>
              <w:fldChar w:fldCharType="separate"/>
            </w:r>
            <w:r>
              <w:rPr>
                <w:noProof/>
                <w:webHidden/>
              </w:rPr>
              <w:t>140</w:t>
            </w:r>
            <w:r>
              <w:rPr>
                <w:noProof/>
                <w:webHidden/>
              </w:rPr>
              <w:fldChar w:fldCharType="end"/>
            </w:r>
          </w:hyperlink>
        </w:p>
        <w:p w14:paraId="5C5FCE22" w14:textId="313605CB" w:rsidR="007F19FE" w:rsidRDefault="007F19FE">
          <w:pPr>
            <w:pStyle w:val="TOC3"/>
            <w:rPr>
              <w:rFonts w:asciiTheme="minorHAnsi" w:eastAsiaTheme="minorEastAsia" w:hAnsiTheme="minorHAnsi"/>
              <w:noProof/>
              <w:kern w:val="2"/>
              <w:sz w:val="24"/>
              <w:szCs w:val="24"/>
              <w14:ligatures w14:val="standardContextual"/>
            </w:rPr>
          </w:pPr>
          <w:hyperlink w:anchor="_Toc198480804" w:history="1">
            <w:r w:rsidRPr="00BA057C">
              <w:rPr>
                <w:rStyle w:val="Hyperlink"/>
                <w:rFonts w:ascii="Californian FB" w:eastAsia="Times New Roman" w:hAnsi="Californian FB" w:cs="Times New Roman"/>
                <w:noProof/>
              </w:rPr>
              <w:t>Texas</w:t>
            </w:r>
            <w:r>
              <w:rPr>
                <w:noProof/>
                <w:webHidden/>
              </w:rPr>
              <w:tab/>
            </w:r>
            <w:r>
              <w:rPr>
                <w:noProof/>
                <w:webHidden/>
              </w:rPr>
              <w:fldChar w:fldCharType="begin"/>
            </w:r>
            <w:r>
              <w:rPr>
                <w:noProof/>
                <w:webHidden/>
              </w:rPr>
              <w:instrText xml:space="preserve"> PAGEREF _Toc198480804 \h </w:instrText>
            </w:r>
            <w:r>
              <w:rPr>
                <w:noProof/>
                <w:webHidden/>
              </w:rPr>
            </w:r>
            <w:r>
              <w:rPr>
                <w:noProof/>
                <w:webHidden/>
              </w:rPr>
              <w:fldChar w:fldCharType="separate"/>
            </w:r>
            <w:r>
              <w:rPr>
                <w:noProof/>
                <w:webHidden/>
              </w:rPr>
              <w:t>142</w:t>
            </w:r>
            <w:r>
              <w:rPr>
                <w:noProof/>
                <w:webHidden/>
              </w:rPr>
              <w:fldChar w:fldCharType="end"/>
            </w:r>
          </w:hyperlink>
        </w:p>
        <w:p w14:paraId="6273CDE2" w14:textId="60B96BE9" w:rsidR="007F19FE" w:rsidRDefault="007F19FE">
          <w:pPr>
            <w:pStyle w:val="TOC3"/>
            <w:rPr>
              <w:rFonts w:asciiTheme="minorHAnsi" w:eastAsiaTheme="minorEastAsia" w:hAnsiTheme="minorHAnsi"/>
              <w:noProof/>
              <w:kern w:val="2"/>
              <w:sz w:val="24"/>
              <w:szCs w:val="24"/>
              <w14:ligatures w14:val="standardContextual"/>
            </w:rPr>
          </w:pPr>
          <w:hyperlink w:anchor="_Toc198480805" w:history="1">
            <w:r w:rsidRPr="00BA057C">
              <w:rPr>
                <w:rStyle w:val="Hyperlink"/>
                <w:rFonts w:ascii="Californian FB" w:eastAsia="Times New Roman" w:hAnsi="Californian FB" w:cs="Times New Roman"/>
                <w:noProof/>
              </w:rPr>
              <w:t>Utah</w:t>
            </w:r>
            <w:r>
              <w:rPr>
                <w:noProof/>
                <w:webHidden/>
              </w:rPr>
              <w:tab/>
            </w:r>
            <w:r>
              <w:rPr>
                <w:noProof/>
                <w:webHidden/>
              </w:rPr>
              <w:fldChar w:fldCharType="begin"/>
            </w:r>
            <w:r>
              <w:rPr>
                <w:noProof/>
                <w:webHidden/>
              </w:rPr>
              <w:instrText xml:space="preserve"> PAGEREF _Toc198480805 \h </w:instrText>
            </w:r>
            <w:r>
              <w:rPr>
                <w:noProof/>
                <w:webHidden/>
              </w:rPr>
            </w:r>
            <w:r>
              <w:rPr>
                <w:noProof/>
                <w:webHidden/>
              </w:rPr>
              <w:fldChar w:fldCharType="separate"/>
            </w:r>
            <w:r>
              <w:rPr>
                <w:noProof/>
                <w:webHidden/>
              </w:rPr>
              <w:t>145</w:t>
            </w:r>
            <w:r>
              <w:rPr>
                <w:noProof/>
                <w:webHidden/>
              </w:rPr>
              <w:fldChar w:fldCharType="end"/>
            </w:r>
          </w:hyperlink>
        </w:p>
        <w:p w14:paraId="0FAE47A6" w14:textId="76E508A8" w:rsidR="007F19FE" w:rsidRDefault="007F19FE">
          <w:pPr>
            <w:pStyle w:val="TOC3"/>
            <w:rPr>
              <w:rFonts w:asciiTheme="minorHAnsi" w:eastAsiaTheme="minorEastAsia" w:hAnsiTheme="minorHAnsi"/>
              <w:noProof/>
              <w:kern w:val="2"/>
              <w:sz w:val="24"/>
              <w:szCs w:val="24"/>
              <w14:ligatures w14:val="standardContextual"/>
            </w:rPr>
          </w:pPr>
          <w:hyperlink w:anchor="_Toc198480806" w:history="1">
            <w:r w:rsidRPr="00BA057C">
              <w:rPr>
                <w:rStyle w:val="Hyperlink"/>
                <w:rFonts w:ascii="Californian FB" w:eastAsia="Times New Roman" w:hAnsi="Californian FB" w:cs="Times New Roman"/>
                <w:noProof/>
              </w:rPr>
              <w:t>Vermont</w:t>
            </w:r>
            <w:r>
              <w:rPr>
                <w:noProof/>
                <w:webHidden/>
              </w:rPr>
              <w:tab/>
            </w:r>
            <w:r>
              <w:rPr>
                <w:noProof/>
                <w:webHidden/>
              </w:rPr>
              <w:fldChar w:fldCharType="begin"/>
            </w:r>
            <w:r>
              <w:rPr>
                <w:noProof/>
                <w:webHidden/>
              </w:rPr>
              <w:instrText xml:space="preserve"> PAGEREF _Toc198480806 \h </w:instrText>
            </w:r>
            <w:r>
              <w:rPr>
                <w:noProof/>
                <w:webHidden/>
              </w:rPr>
            </w:r>
            <w:r>
              <w:rPr>
                <w:noProof/>
                <w:webHidden/>
              </w:rPr>
              <w:fldChar w:fldCharType="separate"/>
            </w:r>
            <w:r>
              <w:rPr>
                <w:noProof/>
                <w:webHidden/>
              </w:rPr>
              <w:t>146</w:t>
            </w:r>
            <w:r>
              <w:rPr>
                <w:noProof/>
                <w:webHidden/>
              </w:rPr>
              <w:fldChar w:fldCharType="end"/>
            </w:r>
          </w:hyperlink>
        </w:p>
        <w:p w14:paraId="2BFF580A" w14:textId="12BD5D27" w:rsidR="007F19FE" w:rsidRDefault="007F19FE">
          <w:pPr>
            <w:pStyle w:val="TOC3"/>
            <w:rPr>
              <w:rFonts w:asciiTheme="minorHAnsi" w:eastAsiaTheme="minorEastAsia" w:hAnsiTheme="minorHAnsi"/>
              <w:noProof/>
              <w:kern w:val="2"/>
              <w:sz w:val="24"/>
              <w:szCs w:val="24"/>
              <w14:ligatures w14:val="standardContextual"/>
            </w:rPr>
          </w:pPr>
          <w:hyperlink w:anchor="_Toc198480807" w:history="1">
            <w:r w:rsidRPr="00BA057C">
              <w:rPr>
                <w:rStyle w:val="Hyperlink"/>
                <w:rFonts w:ascii="Californian FB" w:eastAsia="Times New Roman" w:hAnsi="Californian FB" w:cs="Times New Roman"/>
                <w:noProof/>
              </w:rPr>
              <w:t>Virginia</w:t>
            </w:r>
            <w:r>
              <w:rPr>
                <w:noProof/>
                <w:webHidden/>
              </w:rPr>
              <w:tab/>
            </w:r>
            <w:r>
              <w:rPr>
                <w:noProof/>
                <w:webHidden/>
              </w:rPr>
              <w:fldChar w:fldCharType="begin"/>
            </w:r>
            <w:r>
              <w:rPr>
                <w:noProof/>
                <w:webHidden/>
              </w:rPr>
              <w:instrText xml:space="preserve"> PAGEREF _Toc198480807 \h </w:instrText>
            </w:r>
            <w:r>
              <w:rPr>
                <w:noProof/>
                <w:webHidden/>
              </w:rPr>
            </w:r>
            <w:r>
              <w:rPr>
                <w:noProof/>
                <w:webHidden/>
              </w:rPr>
              <w:fldChar w:fldCharType="separate"/>
            </w:r>
            <w:r>
              <w:rPr>
                <w:noProof/>
                <w:webHidden/>
              </w:rPr>
              <w:t>150</w:t>
            </w:r>
            <w:r>
              <w:rPr>
                <w:noProof/>
                <w:webHidden/>
              </w:rPr>
              <w:fldChar w:fldCharType="end"/>
            </w:r>
          </w:hyperlink>
        </w:p>
        <w:p w14:paraId="7DE13BF7" w14:textId="5832B084" w:rsidR="007F19FE" w:rsidRDefault="007F19FE">
          <w:pPr>
            <w:pStyle w:val="TOC3"/>
            <w:rPr>
              <w:rFonts w:asciiTheme="minorHAnsi" w:eastAsiaTheme="minorEastAsia" w:hAnsiTheme="minorHAnsi"/>
              <w:noProof/>
              <w:kern w:val="2"/>
              <w:sz w:val="24"/>
              <w:szCs w:val="24"/>
              <w14:ligatures w14:val="standardContextual"/>
            </w:rPr>
          </w:pPr>
          <w:hyperlink w:anchor="_Toc198480808" w:history="1">
            <w:r w:rsidRPr="00BA057C">
              <w:rPr>
                <w:rStyle w:val="Hyperlink"/>
                <w:rFonts w:ascii="Californian FB" w:eastAsia="Times New Roman" w:hAnsi="Californian FB" w:cs="Times New Roman"/>
                <w:noProof/>
              </w:rPr>
              <w:t>West Virginia</w:t>
            </w:r>
            <w:r>
              <w:rPr>
                <w:noProof/>
                <w:webHidden/>
              </w:rPr>
              <w:tab/>
            </w:r>
            <w:r>
              <w:rPr>
                <w:noProof/>
                <w:webHidden/>
              </w:rPr>
              <w:fldChar w:fldCharType="begin"/>
            </w:r>
            <w:r>
              <w:rPr>
                <w:noProof/>
                <w:webHidden/>
              </w:rPr>
              <w:instrText xml:space="preserve"> PAGEREF _Toc198480808 \h </w:instrText>
            </w:r>
            <w:r>
              <w:rPr>
                <w:noProof/>
                <w:webHidden/>
              </w:rPr>
            </w:r>
            <w:r>
              <w:rPr>
                <w:noProof/>
                <w:webHidden/>
              </w:rPr>
              <w:fldChar w:fldCharType="separate"/>
            </w:r>
            <w:r>
              <w:rPr>
                <w:noProof/>
                <w:webHidden/>
              </w:rPr>
              <w:t>153</w:t>
            </w:r>
            <w:r>
              <w:rPr>
                <w:noProof/>
                <w:webHidden/>
              </w:rPr>
              <w:fldChar w:fldCharType="end"/>
            </w:r>
          </w:hyperlink>
        </w:p>
        <w:p w14:paraId="44C665BF" w14:textId="0849E0B3" w:rsidR="007F19FE" w:rsidRDefault="007F19FE">
          <w:pPr>
            <w:pStyle w:val="TOC3"/>
            <w:rPr>
              <w:rFonts w:asciiTheme="minorHAnsi" w:eastAsiaTheme="minorEastAsia" w:hAnsiTheme="minorHAnsi"/>
              <w:noProof/>
              <w:kern w:val="2"/>
              <w:sz w:val="24"/>
              <w:szCs w:val="24"/>
              <w14:ligatures w14:val="standardContextual"/>
            </w:rPr>
          </w:pPr>
          <w:hyperlink w:anchor="_Toc198480809" w:history="1">
            <w:r w:rsidRPr="00BA057C">
              <w:rPr>
                <w:rStyle w:val="Hyperlink"/>
                <w:rFonts w:ascii="Californian FB" w:eastAsia="Times New Roman" w:hAnsi="Californian FB" w:cs="Times New Roman"/>
                <w:noProof/>
              </w:rPr>
              <w:t>Wisconsin</w:t>
            </w:r>
            <w:r>
              <w:rPr>
                <w:noProof/>
                <w:webHidden/>
              </w:rPr>
              <w:tab/>
            </w:r>
            <w:r>
              <w:rPr>
                <w:noProof/>
                <w:webHidden/>
              </w:rPr>
              <w:fldChar w:fldCharType="begin"/>
            </w:r>
            <w:r>
              <w:rPr>
                <w:noProof/>
                <w:webHidden/>
              </w:rPr>
              <w:instrText xml:space="preserve"> PAGEREF _Toc198480809 \h </w:instrText>
            </w:r>
            <w:r>
              <w:rPr>
                <w:noProof/>
                <w:webHidden/>
              </w:rPr>
            </w:r>
            <w:r>
              <w:rPr>
                <w:noProof/>
                <w:webHidden/>
              </w:rPr>
              <w:fldChar w:fldCharType="separate"/>
            </w:r>
            <w:r>
              <w:rPr>
                <w:noProof/>
                <w:webHidden/>
              </w:rPr>
              <w:t>156</w:t>
            </w:r>
            <w:r>
              <w:rPr>
                <w:noProof/>
                <w:webHidden/>
              </w:rPr>
              <w:fldChar w:fldCharType="end"/>
            </w:r>
          </w:hyperlink>
        </w:p>
        <w:p w14:paraId="43FA234D" w14:textId="0A3A2356" w:rsidR="00F717F0" w:rsidRDefault="00F717F0">
          <w:r>
            <w:rPr>
              <w:b/>
              <w:bCs/>
              <w:noProof/>
            </w:rPr>
            <w:fldChar w:fldCharType="end"/>
          </w:r>
        </w:p>
      </w:sdtContent>
    </w:sdt>
    <w:p w14:paraId="179E1E9F" w14:textId="77777777" w:rsidR="00F717F0" w:rsidRPr="00F717F0" w:rsidRDefault="00F717F0" w:rsidP="00F717F0"/>
    <w:p w14:paraId="28DB96F8" w14:textId="6ECC5198" w:rsidR="009E7F86" w:rsidRDefault="009E7F86">
      <w:pPr>
        <w:spacing w:line="276" w:lineRule="auto"/>
        <w:jc w:val="left"/>
      </w:pPr>
      <w:r>
        <w:br w:type="page"/>
      </w:r>
    </w:p>
    <w:p w14:paraId="6D25DB46" w14:textId="25D34FA1" w:rsidR="00EE070D" w:rsidRDefault="00EE070D" w:rsidP="00B5459F">
      <w:pPr>
        <w:pStyle w:val="Heading1"/>
      </w:pPr>
      <w:bookmarkStart w:id="3" w:name="_Toc153291121"/>
      <w:bookmarkStart w:id="4" w:name="_Toc198480704"/>
      <w:r>
        <w:lastRenderedPageBreak/>
        <w:t>Introduction</w:t>
      </w:r>
      <w:bookmarkEnd w:id="3"/>
      <w:r w:rsidR="00DB2CB9">
        <w:t xml:space="preserve"> to the White Paper</w:t>
      </w:r>
      <w:bookmarkEnd w:id="4"/>
    </w:p>
    <w:p w14:paraId="60858FD7" w14:textId="122F7E5D" w:rsidR="004E378F" w:rsidRDefault="004E378F" w:rsidP="004E378F">
      <w:bookmarkStart w:id="5" w:name="_Toc153291122"/>
      <w:r w:rsidRPr="00FA3680">
        <w:rPr>
          <w:b/>
          <w:bCs/>
          <w:color w:val="851C00" w:themeColor="accent6" w:themeShade="BF"/>
          <w:sz w:val="24"/>
          <w:szCs w:val="28"/>
        </w:rPr>
        <w:t>NOTE:</w:t>
      </w:r>
      <w:r w:rsidRPr="004E378F">
        <w:rPr>
          <w:color w:val="B22600" w:themeColor="accent6"/>
        </w:rPr>
        <w:t xml:space="preserve"> </w:t>
      </w:r>
      <w:r>
        <w:t xml:space="preserve">Materials related </w:t>
      </w:r>
      <w:r w:rsidR="00D5381E">
        <w:t xml:space="preserve">to </w:t>
      </w:r>
      <w:r>
        <w:t xml:space="preserve">the MTC </w:t>
      </w:r>
      <w:r w:rsidR="00900D28">
        <w:t>State Taxation of Partnerships project</w:t>
      </w:r>
      <w:r>
        <w:t xml:space="preserve"> can be fou</w:t>
      </w:r>
      <w:r w:rsidR="002566FC">
        <w:softHyphen/>
      </w:r>
      <w:r>
        <w:t xml:space="preserve">nd </w:t>
      </w:r>
      <w:r w:rsidR="009E7F86">
        <w:t xml:space="preserve">on the </w:t>
      </w:r>
      <w:r>
        <w:t xml:space="preserve">MTC website, here:  </w:t>
      </w:r>
      <w:hyperlink r:id="rId11" w:history="1">
        <w:r w:rsidRPr="002E144A">
          <w:rPr>
            <w:rStyle w:val="Hyperlink"/>
          </w:rPr>
          <w:t>MTC Partnership Projec</w:t>
        </w:r>
        <w:r w:rsidR="00D5381E" w:rsidRPr="002E144A">
          <w:rPr>
            <w:rStyle w:val="Hyperlink"/>
          </w:rPr>
          <w:t>t Webpage</w:t>
        </w:r>
      </w:hyperlink>
      <w:r>
        <w:t>.</w:t>
      </w:r>
    </w:p>
    <w:p w14:paraId="4A7F06FB" w14:textId="15FDADF0" w:rsidR="00DB2CB9" w:rsidRPr="00EE070D" w:rsidRDefault="00DB2CB9" w:rsidP="00DB2CB9">
      <w:pPr>
        <w:pStyle w:val="Heading3"/>
        <w:spacing w:before="160"/>
      </w:pPr>
      <w:bookmarkStart w:id="6" w:name="_Toc198480705"/>
      <w:bookmarkStart w:id="7" w:name="_Toc153291124"/>
      <w:r>
        <w:t>Preparation</w:t>
      </w:r>
      <w:bookmarkEnd w:id="6"/>
    </w:p>
    <w:p w14:paraId="063BA1A8" w14:textId="192ADB1E" w:rsidR="00DB2CB9" w:rsidRPr="00EE070D" w:rsidRDefault="00DB2CB9" w:rsidP="00DB2CB9">
      <w:r w:rsidRPr="00EE070D">
        <w:t xml:space="preserve">This white paper was </w:t>
      </w:r>
      <w:r>
        <w:t>drafted</w:t>
      </w:r>
      <w:r w:rsidRPr="00EE070D">
        <w:t xml:space="preserve"> by the Multistate Tax Commission</w:t>
      </w:r>
      <w:r>
        <w:t xml:space="preserve"> </w:t>
      </w:r>
      <w:r w:rsidRPr="00EE070D">
        <w:t>with</w:t>
      </w:r>
      <w:r w:rsidR="000E5E4D">
        <w:t xml:space="preserve"> the</w:t>
      </w:r>
      <w:r w:rsidRPr="00EE070D">
        <w:t xml:space="preserve"> </w:t>
      </w:r>
      <w:r w:rsidR="00735D2C">
        <w:t xml:space="preserve">direction and </w:t>
      </w:r>
      <w:r w:rsidRPr="00EE070D">
        <w:t xml:space="preserve">advice of </w:t>
      </w:r>
      <w:r>
        <w:t xml:space="preserve">the </w:t>
      </w:r>
      <w:r w:rsidRPr="00EE070D">
        <w:t xml:space="preserve">work group established by the MTC </w:t>
      </w:r>
      <w:r>
        <w:t>U</w:t>
      </w:r>
      <w:r w:rsidRPr="00EE070D">
        <w:t xml:space="preserve">niformity </w:t>
      </w:r>
      <w:r>
        <w:t>C</w:t>
      </w:r>
      <w:r w:rsidRPr="00EE070D">
        <w:t>ommittee</w:t>
      </w:r>
      <w:r w:rsidR="000D50D2">
        <w:t xml:space="preserve"> to study state taxation of partnerships. </w:t>
      </w:r>
    </w:p>
    <w:p w14:paraId="59F0604A" w14:textId="23AE7527" w:rsidR="00543B8C" w:rsidRDefault="000D50D2" w:rsidP="00543B8C">
      <w:pPr>
        <w:pStyle w:val="Heading3"/>
        <w:spacing w:before="160"/>
      </w:pPr>
      <w:bookmarkStart w:id="8" w:name="_Toc198480706"/>
      <w:r w:rsidRPr="009D31E6">
        <w:rPr>
          <w:noProof/>
        </w:rPr>
        <w:drawing>
          <wp:anchor distT="0" distB="0" distL="114300" distR="114300" simplePos="0" relativeHeight="251649536" behindDoc="0" locked="0" layoutInCell="1" allowOverlap="1" wp14:anchorId="2C4DE768" wp14:editId="3A34C77B">
            <wp:simplePos x="0" y="0"/>
            <wp:positionH relativeFrom="margin">
              <wp:posOffset>2929890</wp:posOffset>
            </wp:positionH>
            <wp:positionV relativeFrom="paragraph">
              <wp:posOffset>207645</wp:posOffset>
            </wp:positionV>
            <wp:extent cx="2830830" cy="1990725"/>
            <wp:effectExtent l="0" t="0" r="7620" b="9525"/>
            <wp:wrapSquare wrapText="bothSides"/>
            <wp:docPr id="4461702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170291" name=""/>
                    <pic:cNvPicPr/>
                  </pic:nvPicPr>
                  <pic:blipFill>
                    <a:blip r:embed="rId12">
                      <a:extLst>
                        <a:ext uri="{28A0092B-C50C-407E-A947-70E740481C1C}">
                          <a14:useLocalDpi xmlns:a14="http://schemas.microsoft.com/office/drawing/2010/main" val="0"/>
                        </a:ext>
                      </a:extLst>
                    </a:blip>
                    <a:stretch>
                      <a:fillRect/>
                    </a:stretch>
                  </pic:blipFill>
                  <pic:spPr>
                    <a:xfrm>
                      <a:off x="0" y="0"/>
                      <a:ext cx="2830830" cy="1990725"/>
                    </a:xfrm>
                    <a:prstGeom prst="rect">
                      <a:avLst/>
                    </a:prstGeom>
                  </pic:spPr>
                </pic:pic>
              </a:graphicData>
            </a:graphic>
            <wp14:sizeRelH relativeFrom="margin">
              <wp14:pctWidth>0</wp14:pctWidth>
            </wp14:sizeRelH>
            <wp14:sizeRelV relativeFrom="margin">
              <wp14:pctHeight>0</wp14:pctHeight>
            </wp14:sizeRelV>
          </wp:anchor>
        </w:drawing>
      </w:r>
      <w:r w:rsidR="00543B8C" w:rsidRPr="00EE070D">
        <w:t>Reason</w:t>
      </w:r>
      <w:bookmarkEnd w:id="7"/>
      <w:r>
        <w:t>s</w:t>
      </w:r>
      <w:bookmarkEnd w:id="8"/>
    </w:p>
    <w:p w14:paraId="4D8BC6D9" w14:textId="6CDAAF33" w:rsidR="00964DD4" w:rsidRPr="00964DD4" w:rsidRDefault="00964DD4" w:rsidP="00EC62B2">
      <w:pPr>
        <w:spacing w:after="120"/>
      </w:pPr>
      <w:r>
        <w:t xml:space="preserve">The </w:t>
      </w:r>
      <w:r w:rsidR="00312FA8">
        <w:t>Uniformity Committee chose to focus on</w:t>
      </w:r>
      <w:r w:rsidR="00080B43">
        <w:t xml:space="preserve"> the</w:t>
      </w:r>
      <w:r w:rsidR="00312FA8">
        <w:t xml:space="preserve"> taxation of partnerships and on the issues of sourcing partnership income for a number of reasons:</w:t>
      </w:r>
    </w:p>
    <w:p w14:paraId="32183D54" w14:textId="18DFABB3" w:rsidR="000D50D2" w:rsidRDefault="000D50D2" w:rsidP="00366E17">
      <w:pPr>
        <w:pStyle w:val="ListParagraph"/>
        <w:numPr>
          <w:ilvl w:val="0"/>
          <w:numId w:val="11"/>
        </w:numPr>
        <w:spacing w:after="40"/>
        <w:contextualSpacing w:val="0"/>
      </w:pPr>
      <w:r>
        <w:t xml:space="preserve">The </w:t>
      </w:r>
      <w:r w:rsidR="00735D2C">
        <w:t xml:space="preserve">share of total </w:t>
      </w:r>
      <w:r w:rsidR="00E31512">
        <w:t>business net</w:t>
      </w:r>
      <w:r w:rsidR="00735D2C">
        <w:t xml:space="preserve"> income </w:t>
      </w:r>
      <w:r w:rsidR="00DF1800">
        <w:t xml:space="preserve">earned </w:t>
      </w:r>
      <w:r w:rsidR="00735D2C">
        <w:t xml:space="preserve">by partnerships </w:t>
      </w:r>
      <w:r w:rsidR="00E31512">
        <w:t xml:space="preserve">has </w:t>
      </w:r>
      <w:r w:rsidR="00545C7C">
        <w:t xml:space="preserve">grown. </w:t>
      </w:r>
      <w:r w:rsidR="009D31E6">
        <w:t>(</w:t>
      </w:r>
      <w:r w:rsidR="00735D2C">
        <w:t>See the</w:t>
      </w:r>
      <w:r w:rsidR="009D31E6">
        <w:t xml:space="preserve"> graphic to the right.</w:t>
      </w:r>
      <w:r w:rsidR="009D31E6">
        <w:rPr>
          <w:rStyle w:val="FootnoteReference"/>
        </w:rPr>
        <w:footnoteReference w:id="2"/>
      </w:r>
      <w:r w:rsidR="00052128">
        <w:t>)</w:t>
      </w:r>
      <w:r w:rsidR="00735D2C">
        <w:t xml:space="preserve"> </w:t>
      </w:r>
    </w:p>
    <w:p w14:paraId="7670B095" w14:textId="48521477" w:rsidR="000D50D2" w:rsidRDefault="009F74B3" w:rsidP="00366E17">
      <w:pPr>
        <w:pStyle w:val="ListParagraph"/>
        <w:numPr>
          <w:ilvl w:val="0"/>
          <w:numId w:val="11"/>
        </w:numPr>
        <w:spacing w:after="40"/>
        <w:contextualSpacing w:val="0"/>
      </w:pPr>
      <w:r>
        <w:t>Today, t</w:t>
      </w:r>
      <w:r w:rsidR="00545C7C">
        <w:t xml:space="preserve">here </w:t>
      </w:r>
      <w:r w:rsidR="000F78F5">
        <w:t xml:space="preserve">are </w:t>
      </w:r>
      <w:r w:rsidR="006E791A">
        <w:t xml:space="preserve">many </w:t>
      </w:r>
      <w:r w:rsidR="00545C7C">
        <w:t>more large, complex</w:t>
      </w:r>
      <w:r w:rsidR="00735D2C">
        <w:t xml:space="preserve"> p</w:t>
      </w:r>
      <w:r w:rsidR="00B75BB5">
        <w:t>artnership</w:t>
      </w:r>
      <w:r w:rsidR="000F3B39">
        <w:t xml:space="preserve"> structures</w:t>
      </w:r>
      <w:r w:rsidR="006E791A">
        <w:t xml:space="preserve"> than in prior years</w:t>
      </w:r>
      <w:r w:rsidR="00B75BB5">
        <w:t>.</w:t>
      </w:r>
      <w:r w:rsidR="00052128">
        <w:rPr>
          <w:rStyle w:val="FootnoteReference"/>
        </w:rPr>
        <w:footnoteReference w:id="3"/>
      </w:r>
      <w:r w:rsidR="00B75BB5">
        <w:t xml:space="preserve"> </w:t>
      </w:r>
    </w:p>
    <w:p w14:paraId="2EC353FD" w14:textId="329BE46E" w:rsidR="00DB2CB9" w:rsidRDefault="006E791A" w:rsidP="00366E17">
      <w:pPr>
        <w:pStyle w:val="ListParagraph"/>
        <w:numPr>
          <w:ilvl w:val="0"/>
          <w:numId w:val="11"/>
        </w:numPr>
        <w:spacing w:after="120"/>
        <w:contextualSpacing w:val="0"/>
      </w:pPr>
      <w:r>
        <w:t>States conform to the</w:t>
      </w:r>
      <w:r w:rsidR="00C92161">
        <w:t xml:space="preserve"> federal pass-through </w:t>
      </w:r>
      <w:r w:rsidR="00DF1800">
        <w:t xml:space="preserve">tax </w:t>
      </w:r>
      <w:r w:rsidR="00C92161">
        <w:t>system</w:t>
      </w:r>
      <w:r w:rsidR="00545C7C">
        <w:t xml:space="preserve"> </w:t>
      </w:r>
      <w:r>
        <w:t xml:space="preserve">which </w:t>
      </w:r>
      <w:r w:rsidR="000D356A">
        <w:t xml:space="preserve">adds </w:t>
      </w:r>
      <w:r w:rsidR="00545C7C">
        <w:t xml:space="preserve">a </w:t>
      </w:r>
      <w:r w:rsidR="000D356A">
        <w:t xml:space="preserve">layer of complexity to </w:t>
      </w:r>
      <w:r w:rsidR="000F3B39">
        <w:t xml:space="preserve">state </w:t>
      </w:r>
      <w:r w:rsidR="000D356A">
        <w:t xml:space="preserve">tax reporting and computation. </w:t>
      </w:r>
    </w:p>
    <w:p w14:paraId="75AAE6BF" w14:textId="61920899" w:rsidR="00543B8C" w:rsidRPr="00634DA2" w:rsidRDefault="00545C7C" w:rsidP="00543B8C">
      <w:r>
        <w:t xml:space="preserve">Most </w:t>
      </w:r>
      <w:r w:rsidR="00CA2D9B">
        <w:t>states</w:t>
      </w:r>
      <w:r>
        <w:t xml:space="preserve"> have not fully addressed how</w:t>
      </w:r>
      <w:r w:rsidR="000D356A">
        <w:t xml:space="preserve"> </w:t>
      </w:r>
      <w:r>
        <w:t>their</w:t>
      </w:r>
      <w:r w:rsidR="000D356A">
        <w:t xml:space="preserve"> </w:t>
      </w:r>
      <w:r w:rsidR="006B5C5F">
        <w:t xml:space="preserve">income </w:t>
      </w:r>
      <w:r w:rsidR="005650C1">
        <w:t xml:space="preserve">“sourcing” </w:t>
      </w:r>
      <w:r w:rsidR="000D356A">
        <w:t>rules</w:t>
      </w:r>
      <w:r w:rsidR="005650C1">
        <w:t>—that is</w:t>
      </w:r>
      <w:r w:rsidR="006B5C5F">
        <w:t>, the</w:t>
      </w:r>
      <w:r w:rsidR="005650C1">
        <w:t xml:space="preserve"> rules</w:t>
      </w:r>
      <w:r w:rsidR="000D356A">
        <w:t xml:space="preserve"> for determining </w:t>
      </w:r>
      <w:r w:rsidR="006B5C5F">
        <w:t>a state’s</w:t>
      </w:r>
      <w:r w:rsidR="000D356A">
        <w:t xml:space="preserve"> share of multistate income</w:t>
      </w:r>
      <w:r w:rsidR="005650C1">
        <w:t>—</w:t>
      </w:r>
      <w:r>
        <w:t xml:space="preserve">should apply to partnerships taxed under the </w:t>
      </w:r>
      <w:r w:rsidR="00B75BB5">
        <w:t>pass-through system</w:t>
      </w:r>
      <w:r>
        <w:t>,</w:t>
      </w:r>
      <w:r w:rsidR="005650C1">
        <w:t xml:space="preserve"> especially where there are complex partnership structures</w:t>
      </w:r>
      <w:r w:rsidR="000D356A">
        <w:t>.</w:t>
      </w:r>
      <w:r w:rsidR="00B75BB5">
        <w:t xml:space="preserve"> </w:t>
      </w:r>
      <w:r w:rsidR="006B5C5F">
        <w:t>Lack of clear rules means some income may not be taxed by any state. And d</w:t>
      </w:r>
      <w:r w:rsidR="00DB2CB9">
        <w:t xml:space="preserve">ifferences </w:t>
      </w:r>
      <w:r w:rsidR="00EC62B2">
        <w:t>between</w:t>
      </w:r>
      <w:r w:rsidR="00DB2CB9">
        <w:t xml:space="preserve"> </w:t>
      </w:r>
      <w:r w:rsidR="005650C1">
        <w:t xml:space="preserve">the </w:t>
      </w:r>
      <w:r w:rsidR="00DB2CB9">
        <w:t>state</w:t>
      </w:r>
      <w:r w:rsidR="005650C1">
        <w:t>s’</w:t>
      </w:r>
      <w:r w:rsidR="00DB2CB9">
        <w:t xml:space="preserve"> rules may </w:t>
      </w:r>
      <w:r>
        <w:t>subject partnership income to multiple taxation</w:t>
      </w:r>
      <w:r w:rsidR="00DB2CB9">
        <w:t xml:space="preserve">. </w:t>
      </w:r>
    </w:p>
    <w:p w14:paraId="4AA0A092" w14:textId="55DBD815" w:rsidR="004E378F" w:rsidRDefault="009E7F86" w:rsidP="003040B2">
      <w:pPr>
        <w:pStyle w:val="Heading3"/>
        <w:spacing w:before="160"/>
      </w:pPr>
      <w:bookmarkStart w:id="10" w:name="_Toc198480707"/>
      <w:bookmarkStart w:id="11" w:name="_Toc153291123"/>
      <w:bookmarkEnd w:id="5"/>
      <w:r>
        <w:t>Scope</w:t>
      </w:r>
      <w:bookmarkEnd w:id="10"/>
    </w:p>
    <w:p w14:paraId="6356E7F3" w14:textId="4EB092DD" w:rsidR="004E378F" w:rsidRPr="004E378F" w:rsidRDefault="00541610" w:rsidP="004E378F">
      <w:r w:rsidRPr="00541610">
        <w:t>This white paper addresses how complex partnership structures, special allocations, and related-party transactions affect the ability of states to tax partnership income and, in particular, how partnership income is sourced</w:t>
      </w:r>
      <w:r>
        <w:t xml:space="preserve">. </w:t>
      </w:r>
      <w:r w:rsidR="002B7692">
        <w:t>It</w:t>
      </w:r>
      <w:r w:rsidR="00F65298">
        <w:t xml:space="preserve"> addresses </w:t>
      </w:r>
      <w:r w:rsidR="000F3B39">
        <w:t xml:space="preserve">the application of </w:t>
      </w:r>
      <w:r w:rsidR="006B5C5F">
        <w:t xml:space="preserve">long-standing </w:t>
      </w:r>
      <w:r w:rsidR="00F65298">
        <w:t xml:space="preserve">state sourcing </w:t>
      </w:r>
      <w:r w:rsidR="00DB2CB9">
        <w:t xml:space="preserve">rules to </w:t>
      </w:r>
      <w:r w:rsidR="00545C7C">
        <w:t xml:space="preserve">the distributive share income of </w:t>
      </w:r>
      <w:r w:rsidR="00F65298">
        <w:t>multistate partnership</w:t>
      </w:r>
      <w:r w:rsidR="00F71F85">
        <w:t>s</w:t>
      </w:r>
      <w:r w:rsidR="00545C7C">
        <w:t>,</w:t>
      </w:r>
      <w:r w:rsidR="00F71F85">
        <w:t xml:space="preserve"> </w:t>
      </w:r>
      <w:r w:rsidR="00545C7C">
        <w:t>which</w:t>
      </w:r>
      <w:r w:rsidR="005650C1">
        <w:t xml:space="preserve"> is taxed to partners under the pass-through system</w:t>
      </w:r>
      <w:r w:rsidR="00D5381E">
        <w:t>.</w:t>
      </w:r>
      <w:r w:rsidR="00052128" w:rsidRPr="00052128">
        <w:rPr>
          <w:rStyle w:val="FootnoteReference"/>
        </w:rPr>
        <w:t xml:space="preserve"> </w:t>
      </w:r>
      <w:r w:rsidR="00052128">
        <w:rPr>
          <w:rStyle w:val="FootnoteReference"/>
        </w:rPr>
        <w:footnoteReference w:id="4"/>
      </w:r>
      <w:r w:rsidR="000F3B39">
        <w:t xml:space="preserve"> It focuses most on issues that have not been fully addressed by the states</w:t>
      </w:r>
      <w:r w:rsidR="00834FBD">
        <w:t xml:space="preserve"> </w:t>
      </w:r>
      <w:r w:rsidR="00052128">
        <w:t xml:space="preserve">including the application of sourcing rules </w:t>
      </w:r>
      <w:r w:rsidR="000C2CCD">
        <w:t xml:space="preserve">where there are </w:t>
      </w:r>
      <w:r w:rsidR="00052128">
        <w:t>corporate or tiered partners</w:t>
      </w:r>
      <w:r w:rsidR="000510F2">
        <w:t xml:space="preserve">, </w:t>
      </w:r>
      <w:r w:rsidR="00052128">
        <w:t>related partnerships</w:t>
      </w:r>
      <w:r w:rsidR="000510F2">
        <w:t>,</w:t>
      </w:r>
      <w:r w:rsidR="008B21EB">
        <w:t xml:space="preserve"> and</w:t>
      </w:r>
      <w:r w:rsidR="00052128">
        <w:t xml:space="preserve"> special </w:t>
      </w:r>
      <w:r w:rsidR="008B21EB">
        <w:t xml:space="preserve">or mandatory </w:t>
      </w:r>
      <w:r w:rsidR="00052128">
        <w:t>allocations</w:t>
      </w:r>
      <w:r w:rsidR="008B21EB">
        <w:t xml:space="preserve"> of income</w:t>
      </w:r>
      <w:r w:rsidR="00052128">
        <w:t>.</w:t>
      </w:r>
    </w:p>
    <w:p w14:paraId="6CAFCDF0" w14:textId="5FB861AC" w:rsidR="00EE070D" w:rsidRDefault="00EE070D" w:rsidP="003040B2">
      <w:pPr>
        <w:pStyle w:val="Heading3"/>
        <w:spacing w:before="160"/>
      </w:pPr>
      <w:bookmarkStart w:id="12" w:name="_Toc153291125"/>
      <w:bookmarkStart w:id="13" w:name="_Toc198480708"/>
      <w:bookmarkEnd w:id="11"/>
      <w:r w:rsidRPr="00EE070D">
        <w:t>Approach</w:t>
      </w:r>
      <w:bookmarkEnd w:id="12"/>
      <w:bookmarkEnd w:id="13"/>
    </w:p>
    <w:p w14:paraId="0BBC6BCC" w14:textId="4F211724" w:rsidR="004B118E" w:rsidRPr="004B118E" w:rsidRDefault="00F71F85" w:rsidP="004B118E">
      <w:r>
        <w:t>In order to help readers understand the issues</w:t>
      </w:r>
      <w:r w:rsidR="006B5C5F">
        <w:t xml:space="preserve"> and recommendations</w:t>
      </w:r>
      <w:r>
        <w:t>, this white paper provides</w:t>
      </w:r>
      <w:r w:rsidR="00DB2CB9">
        <w:t xml:space="preserve"> general summaries of important partnership laws and concepts</w:t>
      </w:r>
      <w:r>
        <w:t xml:space="preserve"> as well as </w:t>
      </w:r>
      <w:r w:rsidR="005650C1">
        <w:t xml:space="preserve">references to other resources readers may want to consider. In developing findings and recommendations, it </w:t>
      </w:r>
      <w:r w:rsidR="00DB2CB9">
        <w:t xml:space="preserve">draws on existing state rules and approaches to sourcing partnership </w:t>
      </w:r>
      <w:r w:rsidR="008B21EB">
        <w:t xml:space="preserve">income. </w:t>
      </w:r>
      <w:r w:rsidR="00DB2CB9">
        <w:t xml:space="preserve"> </w:t>
      </w:r>
    </w:p>
    <w:p w14:paraId="1A2960B8" w14:textId="54F4D35B" w:rsidR="00B5459F" w:rsidRDefault="00DD6753" w:rsidP="00B5459F">
      <w:pPr>
        <w:pStyle w:val="Heading1"/>
      </w:pPr>
      <w:bookmarkStart w:id="14" w:name="_Toc153291127"/>
      <w:bookmarkStart w:id="15" w:name="_Toc198480709"/>
      <w:r w:rsidRPr="00735D2C">
        <w:rPr>
          <w:b w:val="0"/>
          <w:smallCaps w:val="0"/>
          <w:noProof/>
          <w:sz w:val="32"/>
        </w:rPr>
        <w:lastRenderedPageBreak/>
        <w:drawing>
          <wp:anchor distT="0" distB="0" distL="114300" distR="114300" simplePos="0" relativeHeight="251684352" behindDoc="1" locked="0" layoutInCell="1" allowOverlap="1" wp14:anchorId="184E7D10" wp14:editId="09AA6B6C">
            <wp:simplePos x="0" y="0"/>
            <wp:positionH relativeFrom="margin">
              <wp:align>center</wp:align>
            </wp:positionH>
            <wp:positionV relativeFrom="paragraph">
              <wp:posOffset>359410</wp:posOffset>
            </wp:positionV>
            <wp:extent cx="2241550" cy="1905000"/>
            <wp:effectExtent l="0" t="0" r="6350" b="0"/>
            <wp:wrapTopAndBottom/>
            <wp:docPr id="1194855733" name="Picture 1" descr="Chart, radar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855733" name="Picture 1" descr="Chart, radar chart&#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41550" cy="1905000"/>
                    </a:xfrm>
                    <a:prstGeom prst="rect">
                      <a:avLst/>
                    </a:prstGeom>
                  </pic:spPr>
                </pic:pic>
              </a:graphicData>
            </a:graphic>
            <wp14:sizeRelH relativeFrom="margin">
              <wp14:pctWidth>0</wp14:pctWidth>
            </wp14:sizeRelH>
            <wp14:sizeRelV relativeFrom="margin">
              <wp14:pctHeight>0</wp14:pctHeight>
            </wp14:sizeRelV>
          </wp:anchor>
        </w:drawing>
      </w:r>
      <w:r w:rsidR="00B5459F" w:rsidRPr="00CD11CF">
        <w:t>Executive</w:t>
      </w:r>
      <w:r w:rsidR="00B5459F" w:rsidRPr="0019545B">
        <w:t xml:space="preserve"> Summary</w:t>
      </w:r>
      <w:bookmarkEnd w:id="14"/>
      <w:bookmarkEnd w:id="15"/>
    </w:p>
    <w:p w14:paraId="2F3DD992" w14:textId="5A219242" w:rsidR="00DD6753" w:rsidRDefault="00DD6753">
      <w:pPr>
        <w:spacing w:line="276" w:lineRule="auto"/>
        <w:jc w:val="left"/>
        <w:rPr>
          <w:rFonts w:asciiTheme="majorHAnsi" w:eastAsiaTheme="majorEastAsia" w:hAnsiTheme="majorHAnsi" w:cstheme="majorBidi"/>
          <w:b/>
          <w:smallCaps/>
          <w:color w:val="851C00" w:themeColor="accent6" w:themeShade="BF"/>
          <w:sz w:val="32"/>
          <w:szCs w:val="32"/>
        </w:rPr>
      </w:pPr>
    </w:p>
    <w:p w14:paraId="72D08C34" w14:textId="77777777" w:rsidR="00DD6753" w:rsidRDefault="00DD6753" w:rsidP="00DD6753">
      <w:pPr>
        <w:pStyle w:val="Heading2"/>
      </w:pPr>
      <w:bookmarkStart w:id="16" w:name="_Toc198480710"/>
      <w:r>
        <w:t>Findings</w:t>
      </w:r>
      <w:bookmarkEnd w:id="16"/>
    </w:p>
    <w:p w14:paraId="459FA2BF" w14:textId="77777777" w:rsidR="00DD6753" w:rsidRDefault="00DD6753" w:rsidP="00DD6753">
      <w:r>
        <w:t>[TBD]</w:t>
      </w:r>
    </w:p>
    <w:p w14:paraId="18335CF8" w14:textId="77777777" w:rsidR="00DD6753" w:rsidRDefault="00DD6753" w:rsidP="00DD6753"/>
    <w:p w14:paraId="058258EF" w14:textId="77777777" w:rsidR="00DD6753" w:rsidRPr="00F717F0" w:rsidRDefault="00DD6753" w:rsidP="00DD6753"/>
    <w:p w14:paraId="749A7D32" w14:textId="77777777" w:rsidR="00DD6753" w:rsidRDefault="00DD6753" w:rsidP="00DD6753">
      <w:pPr>
        <w:pStyle w:val="Heading2"/>
      </w:pPr>
      <w:bookmarkStart w:id="17" w:name="_Toc198480711"/>
      <w:r>
        <w:t>Recommendations</w:t>
      </w:r>
      <w:bookmarkEnd w:id="17"/>
    </w:p>
    <w:p w14:paraId="4960ADFE" w14:textId="14B20624" w:rsidR="00FA3680" w:rsidRDefault="00DD6753">
      <w:pPr>
        <w:spacing w:line="276" w:lineRule="auto"/>
        <w:jc w:val="left"/>
        <w:rPr>
          <w:rFonts w:asciiTheme="majorHAnsi" w:eastAsiaTheme="majorEastAsia" w:hAnsiTheme="majorHAnsi" w:cstheme="majorBidi"/>
          <w:b/>
          <w:smallCaps/>
          <w:color w:val="851C00" w:themeColor="accent6" w:themeShade="BF"/>
          <w:sz w:val="32"/>
          <w:szCs w:val="32"/>
        </w:rPr>
      </w:pPr>
      <w:r>
        <w:t>[TBD]</w:t>
      </w:r>
      <w:r>
        <w:br w:type="page"/>
      </w:r>
    </w:p>
    <w:p w14:paraId="482DF49D" w14:textId="31C735B0" w:rsidR="00B5459F" w:rsidRDefault="00F54CF3" w:rsidP="00364D04">
      <w:pPr>
        <w:pStyle w:val="Heading1"/>
        <w:spacing w:after="120"/>
      </w:pPr>
      <w:bookmarkStart w:id="18" w:name="_Toc153291128"/>
      <w:bookmarkStart w:id="19" w:name="_Toc198480712"/>
      <w:r>
        <w:lastRenderedPageBreak/>
        <w:t xml:space="preserve">Section </w:t>
      </w:r>
      <w:r w:rsidR="00B5459F">
        <w:t xml:space="preserve">I. </w:t>
      </w:r>
      <w:r w:rsidR="00A94288">
        <w:t xml:space="preserve">Important </w:t>
      </w:r>
      <w:r w:rsidR="00A85E6E">
        <w:t>Context</w:t>
      </w:r>
      <w:bookmarkEnd w:id="18"/>
      <w:r w:rsidR="0083452D">
        <w:t xml:space="preserve"> for Understanding the Issues</w:t>
      </w:r>
      <w:bookmarkEnd w:id="19"/>
    </w:p>
    <w:p w14:paraId="0BB72D4B" w14:textId="5E4C830B" w:rsidR="00FA3680" w:rsidRDefault="003D5D9B" w:rsidP="00FA3680">
      <w:pPr>
        <w:jc w:val="center"/>
        <w:rPr>
          <w:i/>
          <w:iCs/>
          <w:sz w:val="22"/>
          <w:szCs w:val="24"/>
        </w:rPr>
      </w:pPr>
      <w:r w:rsidRPr="00364D04">
        <w:rPr>
          <w:i/>
          <w:iCs/>
          <w:sz w:val="22"/>
          <w:szCs w:val="24"/>
        </w:rPr>
        <w:t xml:space="preserve">This Section I provides background information </w:t>
      </w:r>
      <w:r w:rsidR="00F50FE2" w:rsidRPr="00364D04">
        <w:rPr>
          <w:i/>
          <w:iCs/>
          <w:sz w:val="22"/>
          <w:szCs w:val="24"/>
        </w:rPr>
        <w:t xml:space="preserve">necessary </w:t>
      </w:r>
      <w:r w:rsidR="00DA5712">
        <w:rPr>
          <w:i/>
          <w:iCs/>
          <w:sz w:val="22"/>
          <w:szCs w:val="24"/>
        </w:rPr>
        <w:br/>
      </w:r>
      <w:r w:rsidR="00F50FE2" w:rsidRPr="00364D04">
        <w:rPr>
          <w:i/>
          <w:iCs/>
          <w:sz w:val="22"/>
          <w:szCs w:val="24"/>
        </w:rPr>
        <w:t>to understand</w:t>
      </w:r>
      <w:r w:rsidR="008B2114" w:rsidRPr="00364D04">
        <w:rPr>
          <w:i/>
          <w:iCs/>
          <w:sz w:val="22"/>
          <w:szCs w:val="24"/>
        </w:rPr>
        <w:t xml:space="preserve"> </w:t>
      </w:r>
      <w:r w:rsidR="0030450A" w:rsidRPr="00364D04">
        <w:rPr>
          <w:i/>
          <w:iCs/>
          <w:sz w:val="22"/>
          <w:szCs w:val="24"/>
        </w:rPr>
        <w:t xml:space="preserve">the </w:t>
      </w:r>
      <w:r w:rsidR="00DA5712">
        <w:rPr>
          <w:i/>
          <w:iCs/>
          <w:sz w:val="22"/>
          <w:szCs w:val="24"/>
        </w:rPr>
        <w:t xml:space="preserve">state sourcing </w:t>
      </w:r>
      <w:r w:rsidR="0030450A" w:rsidRPr="00364D04">
        <w:rPr>
          <w:i/>
          <w:iCs/>
          <w:sz w:val="22"/>
          <w:szCs w:val="24"/>
        </w:rPr>
        <w:t>issues discussed.</w:t>
      </w:r>
      <w:r w:rsidR="00984725">
        <w:rPr>
          <w:i/>
          <w:iCs/>
          <w:sz w:val="22"/>
          <w:szCs w:val="24"/>
        </w:rPr>
        <w:t xml:space="preserve"> </w:t>
      </w:r>
    </w:p>
    <w:p w14:paraId="2D98A94C" w14:textId="6DE7CCCD" w:rsidR="00984725" w:rsidRDefault="00984725" w:rsidP="002B7692">
      <w:pPr>
        <w:spacing w:after="120"/>
        <w:rPr>
          <w:sz w:val="22"/>
          <w:szCs w:val="24"/>
        </w:rPr>
      </w:pPr>
      <w:r>
        <w:rPr>
          <w:sz w:val="22"/>
          <w:szCs w:val="24"/>
        </w:rPr>
        <w:t>Section I</w:t>
      </w:r>
      <w:r w:rsidR="002B7692">
        <w:rPr>
          <w:sz w:val="22"/>
          <w:szCs w:val="24"/>
        </w:rPr>
        <w:t xml:space="preserve"> - </w:t>
      </w:r>
      <w:r w:rsidR="00D63895">
        <w:rPr>
          <w:sz w:val="22"/>
          <w:szCs w:val="24"/>
        </w:rPr>
        <w:t>Important Context for Understanding the Issues</w:t>
      </w:r>
      <w:r w:rsidR="006B5C5F">
        <w:rPr>
          <w:sz w:val="22"/>
          <w:szCs w:val="24"/>
        </w:rPr>
        <w:t xml:space="preserve"> </w:t>
      </w:r>
      <w:r w:rsidR="005C72A8">
        <w:rPr>
          <w:sz w:val="22"/>
          <w:szCs w:val="24"/>
        </w:rPr>
        <w:t>includes</w:t>
      </w:r>
      <w:r w:rsidR="002B7692">
        <w:rPr>
          <w:sz w:val="22"/>
          <w:szCs w:val="24"/>
        </w:rPr>
        <w:t xml:space="preserve"> the following subsections</w:t>
      </w:r>
      <w:r>
        <w:rPr>
          <w:sz w:val="22"/>
          <w:szCs w:val="24"/>
        </w:rPr>
        <w:t>:</w:t>
      </w:r>
    </w:p>
    <w:p w14:paraId="7CCC4859" w14:textId="27928CC3" w:rsidR="00984725" w:rsidRDefault="00984725" w:rsidP="002B7692">
      <w:pPr>
        <w:spacing w:after="60"/>
        <w:ind w:left="720"/>
      </w:pPr>
      <w:r>
        <w:t xml:space="preserve">I.A. </w:t>
      </w:r>
      <w:r w:rsidR="00080585">
        <w:t>Examples of</w:t>
      </w:r>
      <w:r>
        <w:t xml:space="preserve"> Issues</w:t>
      </w:r>
      <w:r w:rsidR="00080585">
        <w:t xml:space="preserve"> and Common Questions</w:t>
      </w:r>
    </w:p>
    <w:p w14:paraId="0C11CAB9" w14:textId="3AEC6BBD" w:rsidR="00984725" w:rsidRDefault="00984725" w:rsidP="002B7692">
      <w:pPr>
        <w:spacing w:after="60"/>
        <w:ind w:left="720"/>
      </w:pPr>
      <w:r>
        <w:t>I.B. Overview of Important Law</w:t>
      </w:r>
    </w:p>
    <w:p w14:paraId="5A288765" w14:textId="4CBA4042" w:rsidR="00984725" w:rsidRDefault="00984725" w:rsidP="002B7692">
      <w:pPr>
        <w:spacing w:after="60"/>
        <w:ind w:left="720"/>
      </w:pPr>
      <w:r>
        <w:t>I.C. Common Terms Used in th</w:t>
      </w:r>
      <w:r w:rsidR="005C72A8">
        <w:t>e</w:t>
      </w:r>
      <w:r>
        <w:t xml:space="preserve"> White Paper</w:t>
      </w:r>
    </w:p>
    <w:p w14:paraId="12669CFF" w14:textId="3AB1C24F" w:rsidR="00984725" w:rsidRDefault="00984725" w:rsidP="002B7692">
      <w:pPr>
        <w:spacing w:after="60"/>
        <w:ind w:left="720"/>
      </w:pPr>
      <w:r>
        <w:t xml:space="preserve">I.D. </w:t>
      </w:r>
      <w:r w:rsidR="004971CE" w:rsidRPr="004971CE">
        <w:t>Conformity to the Federal Pass-Through Tax System</w:t>
      </w:r>
    </w:p>
    <w:p w14:paraId="4F21B5C3" w14:textId="23DADE04" w:rsidR="00984725" w:rsidRDefault="00984725" w:rsidP="002B7692">
      <w:pPr>
        <w:spacing w:after="60"/>
        <w:ind w:left="720"/>
      </w:pPr>
      <w:r>
        <w:t xml:space="preserve">I.E. </w:t>
      </w:r>
      <w:r w:rsidR="008C0462" w:rsidRPr="008C0462">
        <w:t>Importance of the Attribution or the “Conduit” Principle</w:t>
      </w:r>
    </w:p>
    <w:p w14:paraId="5F7CB9A8" w14:textId="02F57FA8" w:rsidR="008C0462" w:rsidRDefault="008C0462" w:rsidP="002B7692">
      <w:pPr>
        <w:spacing w:after="60"/>
        <w:ind w:left="720"/>
      </w:pPr>
      <w:r>
        <w:t xml:space="preserve">I.F. </w:t>
      </w:r>
      <w:r w:rsidR="005B68F1" w:rsidRPr="005B68F1">
        <w:t>General State Sourcing Rules for Income of Businesses</w:t>
      </w:r>
    </w:p>
    <w:p w14:paraId="3BA2D728" w14:textId="740166C9" w:rsidR="008C0462" w:rsidRDefault="008C0462" w:rsidP="00642C08">
      <w:pPr>
        <w:spacing w:after="120"/>
        <w:ind w:left="720"/>
      </w:pPr>
      <w:r>
        <w:t>I.G. Summary</w:t>
      </w:r>
    </w:p>
    <w:p w14:paraId="627264DE" w14:textId="5780021F" w:rsidR="00F65298" w:rsidRDefault="00FA3680" w:rsidP="008718C5">
      <w:pPr>
        <w:pStyle w:val="Heading2"/>
      </w:pPr>
      <w:bookmarkStart w:id="20" w:name="_Toc198480713"/>
      <w:r>
        <w:softHyphen/>
      </w:r>
      <w:r w:rsidR="00F65298">
        <w:t xml:space="preserve">I.A. </w:t>
      </w:r>
      <w:r w:rsidR="00080585">
        <w:t>Examples of Issues and Common Questions</w:t>
      </w:r>
      <w:bookmarkEnd w:id="20"/>
    </w:p>
    <w:p w14:paraId="1228D815" w14:textId="74918496" w:rsidR="00F65298" w:rsidRDefault="00FD4E93" w:rsidP="00116381">
      <w:r>
        <w:t xml:space="preserve">To help users of this white paper </w:t>
      </w:r>
      <w:r w:rsidR="00116381">
        <w:t xml:space="preserve">understand </w:t>
      </w:r>
      <w:r w:rsidR="006B5C5F">
        <w:t>th</w:t>
      </w:r>
      <w:r w:rsidR="00F730A2">
        <w:t xml:space="preserve">e </w:t>
      </w:r>
      <w:r>
        <w:t xml:space="preserve">state sourcing </w:t>
      </w:r>
      <w:r w:rsidR="00F730A2">
        <w:t>issues</w:t>
      </w:r>
      <w:r>
        <w:t xml:space="preserve"> to be addressed</w:t>
      </w:r>
      <w:r w:rsidR="000B645B">
        <w:t xml:space="preserve"> in Section II</w:t>
      </w:r>
      <w:r>
        <w:t>, this Section I gives some important context</w:t>
      </w:r>
      <w:r w:rsidR="00116381">
        <w:t xml:space="preserve">. </w:t>
      </w:r>
      <w:r w:rsidR="000B645B">
        <w:t xml:space="preserve">First, this subsection I.A. </w:t>
      </w:r>
      <w:r w:rsidR="00D42CB9">
        <w:t>look</w:t>
      </w:r>
      <w:r w:rsidR="000B645B">
        <w:t>s</w:t>
      </w:r>
      <w:r w:rsidR="00D42CB9">
        <w:t xml:space="preserve"> at </w:t>
      </w:r>
      <w:r>
        <w:t>some</w:t>
      </w:r>
      <w:r w:rsidR="00A13E8A">
        <w:t xml:space="preserve"> </w:t>
      </w:r>
      <w:r w:rsidR="00642C08">
        <w:t xml:space="preserve">simple </w:t>
      </w:r>
      <w:r w:rsidR="008C0462">
        <w:t xml:space="preserve">examples </w:t>
      </w:r>
      <w:r w:rsidR="00116381">
        <w:t xml:space="preserve">of </w:t>
      </w:r>
      <w:r w:rsidR="000B645B">
        <w:t xml:space="preserve">how </w:t>
      </w:r>
      <w:r w:rsidR="006B5C5F">
        <w:t xml:space="preserve">the </w:t>
      </w:r>
      <w:r w:rsidR="00116381">
        <w:t xml:space="preserve">pass-through </w:t>
      </w:r>
      <w:r w:rsidR="006B5C5F">
        <w:t>system creates</w:t>
      </w:r>
      <w:r w:rsidR="000B645B">
        <w:t xml:space="preserve"> unique state sourcing issues and summarizes the</w:t>
      </w:r>
      <w:r w:rsidR="00E14CF5">
        <w:t xml:space="preserve"> </w:t>
      </w:r>
      <w:r w:rsidR="00080585">
        <w:t xml:space="preserve">common </w:t>
      </w:r>
      <w:r w:rsidR="000B645B">
        <w:t xml:space="preserve">sourcing </w:t>
      </w:r>
      <w:r w:rsidR="00E14CF5">
        <w:t xml:space="preserve">questions </w:t>
      </w:r>
      <w:r w:rsidR="006B5C5F">
        <w:t xml:space="preserve">that states </w:t>
      </w:r>
      <w:r w:rsidR="00D42CB9">
        <w:t>are facing</w:t>
      </w:r>
      <w:r w:rsidR="00116381">
        <w:t>.</w:t>
      </w:r>
      <w:r w:rsidR="00E14CF5">
        <w:t xml:space="preserve"> </w:t>
      </w:r>
      <w:r w:rsidR="00116381">
        <w:t xml:space="preserve"> </w:t>
      </w:r>
    </w:p>
    <w:p w14:paraId="4877D492" w14:textId="52BCA8CB" w:rsidR="00F65298" w:rsidRDefault="00F65298" w:rsidP="00356920">
      <w:pPr>
        <w:pStyle w:val="Heading3"/>
      </w:pPr>
      <w:bookmarkStart w:id="21" w:name="_Toc198480714"/>
      <w:r>
        <w:t xml:space="preserve">State </w:t>
      </w:r>
      <w:r w:rsidR="00D43660">
        <w:t xml:space="preserve">Rules for </w:t>
      </w:r>
      <w:r w:rsidR="00922451">
        <w:t>Sourcing</w:t>
      </w:r>
      <w:r w:rsidR="00D43660">
        <w:t xml:space="preserve"> </w:t>
      </w:r>
      <w:r>
        <w:t xml:space="preserve">Multistate </w:t>
      </w:r>
      <w:r w:rsidRPr="00356920">
        <w:t>Income</w:t>
      </w:r>
      <w:r w:rsidR="00895816">
        <w:t xml:space="preserve"> – </w:t>
      </w:r>
      <w:r w:rsidR="00ED6A96">
        <w:t>Generally</w:t>
      </w:r>
      <w:bookmarkEnd w:id="21"/>
    </w:p>
    <w:p w14:paraId="443EC3DE" w14:textId="65CF0E94" w:rsidR="00F71F85" w:rsidRDefault="003D1682" w:rsidP="00DA5E0A">
      <w:pPr>
        <w:spacing w:after="120"/>
      </w:pPr>
      <w:r>
        <w:t>S</w:t>
      </w:r>
      <w:r w:rsidR="00F65298">
        <w:t xml:space="preserve">tates </w:t>
      </w:r>
      <w:r w:rsidR="00FD4E93">
        <w:t xml:space="preserve">generally </w:t>
      </w:r>
      <w:r w:rsidR="00642C08">
        <w:t>apply the same</w:t>
      </w:r>
      <w:r w:rsidR="00FD4E93">
        <w:t xml:space="preserve"> appro</w:t>
      </w:r>
      <w:r>
        <w:t>aches to sourcing the multistate income of a</w:t>
      </w:r>
      <w:r w:rsidR="00642C08">
        <w:t xml:space="preserve"> business</w:t>
      </w:r>
      <w:r>
        <w:t xml:space="preserve">, regardless of the form of the business (e.g., corporation, proprietorship, partnership, etc.). </w:t>
      </w:r>
    </w:p>
    <w:p w14:paraId="63A55FFE" w14:textId="76831AD7" w:rsidR="003D1682" w:rsidRPr="003D1682" w:rsidRDefault="003D1682" w:rsidP="00366E17">
      <w:pPr>
        <w:pStyle w:val="ListParagraph"/>
        <w:numPr>
          <w:ilvl w:val="0"/>
          <w:numId w:val="43"/>
        </w:numPr>
        <w:spacing w:after="120"/>
        <w:contextualSpacing w:val="0"/>
        <w:rPr>
          <w:u w:val="single"/>
        </w:rPr>
      </w:pPr>
      <w:r w:rsidRPr="003D1682">
        <w:rPr>
          <w:u w:val="single"/>
        </w:rPr>
        <w:t>Nonbusiness Items – Rules of Assignment</w:t>
      </w:r>
    </w:p>
    <w:p w14:paraId="3FCB34E8" w14:textId="44F4043E" w:rsidR="003D1682" w:rsidRDefault="00B94DB3" w:rsidP="003D1682">
      <w:pPr>
        <w:pStyle w:val="ListParagraph"/>
        <w:spacing w:after="120"/>
        <w:ind w:left="1080"/>
        <w:contextualSpacing w:val="0"/>
      </w:pPr>
      <w:r>
        <w:t>States apply rules to i</w:t>
      </w:r>
      <w:r w:rsidR="00642C08">
        <w:t xml:space="preserve">dentify items of </w:t>
      </w:r>
      <w:r w:rsidR="00DA5E0A">
        <w:t xml:space="preserve">income </w:t>
      </w:r>
      <w:r w:rsidR="00642C08">
        <w:t xml:space="preserve">and related expense that are </w:t>
      </w:r>
      <w:r>
        <w:t>considered “</w:t>
      </w:r>
      <w:r w:rsidR="00DA5E0A">
        <w:t>nonbusiness</w:t>
      </w:r>
      <w:r>
        <w:t>”</w:t>
      </w:r>
      <w:r w:rsidR="0038672C">
        <w:t xml:space="preserve"> </w:t>
      </w:r>
      <w:r w:rsidR="00642C08">
        <w:t>(</w:t>
      </w:r>
      <w:r>
        <w:t>or “</w:t>
      </w:r>
      <w:r w:rsidR="00642C08">
        <w:t>non-apportionable</w:t>
      </w:r>
      <w:r>
        <w:t>”</w:t>
      </w:r>
      <w:r w:rsidR="00642C08">
        <w:t>)</w:t>
      </w:r>
      <w:r w:rsidR="003D1682">
        <w:t xml:space="preserve"> and source </w:t>
      </w:r>
      <w:r>
        <w:t xml:space="preserve">those items </w:t>
      </w:r>
      <w:r w:rsidR="003D1682">
        <w:t>using rules of assignment based on their character.</w:t>
      </w:r>
    </w:p>
    <w:p w14:paraId="6CC9E447" w14:textId="0171BFFA" w:rsidR="003D1682" w:rsidRPr="003D1682" w:rsidRDefault="003D1682" w:rsidP="00366E17">
      <w:pPr>
        <w:pStyle w:val="ListParagraph"/>
        <w:numPr>
          <w:ilvl w:val="0"/>
          <w:numId w:val="40"/>
        </w:numPr>
        <w:spacing w:after="120"/>
        <w:contextualSpacing w:val="0"/>
        <w:rPr>
          <w:u w:val="single"/>
        </w:rPr>
      </w:pPr>
      <w:r w:rsidRPr="003D1682">
        <w:rPr>
          <w:u w:val="single"/>
        </w:rPr>
        <w:t xml:space="preserve">Net Business Income – </w:t>
      </w:r>
      <w:r w:rsidR="00F71F85" w:rsidRPr="003D1682">
        <w:rPr>
          <w:u w:val="single"/>
        </w:rPr>
        <w:t xml:space="preserve">Formulary </w:t>
      </w:r>
      <w:r w:rsidR="00F47AA7">
        <w:rPr>
          <w:u w:val="single"/>
        </w:rPr>
        <w:t>A</w:t>
      </w:r>
      <w:r w:rsidR="00F71F85" w:rsidRPr="003D1682">
        <w:rPr>
          <w:u w:val="single"/>
        </w:rPr>
        <w:t xml:space="preserve">pportionment </w:t>
      </w:r>
    </w:p>
    <w:p w14:paraId="3066DCFB" w14:textId="6E3253E3" w:rsidR="00F71F85" w:rsidRDefault="00B94DB3" w:rsidP="003D1682">
      <w:pPr>
        <w:pStyle w:val="ListParagraph"/>
        <w:spacing w:after="120"/>
        <w:ind w:left="1080"/>
        <w:contextualSpacing w:val="0"/>
      </w:pPr>
      <w:r>
        <w:t>States source the</w:t>
      </w:r>
      <w:r w:rsidR="003D1682">
        <w:t xml:space="preserve"> </w:t>
      </w:r>
      <w:r w:rsidR="00BF3D83">
        <w:t>net</w:t>
      </w:r>
      <w:r w:rsidR="007525CB">
        <w:t xml:space="preserve"> </w:t>
      </w:r>
      <w:r>
        <w:t>“</w:t>
      </w:r>
      <w:r w:rsidR="007525CB">
        <w:t>business</w:t>
      </w:r>
      <w:r>
        <w:t>”</w:t>
      </w:r>
      <w:r w:rsidR="007525CB">
        <w:t xml:space="preserve"> (</w:t>
      </w:r>
      <w:r>
        <w:t>or “</w:t>
      </w:r>
      <w:r w:rsidR="00730D9C">
        <w:t>apportionable</w:t>
      </w:r>
      <w:r>
        <w:t>”</w:t>
      </w:r>
      <w:r w:rsidR="007525CB">
        <w:t>)</w:t>
      </w:r>
      <w:r w:rsidR="00730D9C">
        <w:t xml:space="preserve"> </w:t>
      </w:r>
      <w:r w:rsidR="00F71F85">
        <w:t>income</w:t>
      </w:r>
      <w:r w:rsidR="00BF3D83">
        <w:t xml:space="preserve"> of a business</w:t>
      </w:r>
      <w:r w:rsidR="00F71F85">
        <w:t xml:space="preserve"> </w:t>
      </w:r>
      <w:r w:rsidR="00A13E8A">
        <w:t xml:space="preserve">by applying a </w:t>
      </w:r>
      <w:r w:rsidR="00597F66">
        <w:t>ratio</w:t>
      </w:r>
      <w:r w:rsidR="00B661EF">
        <w:t xml:space="preserve"> </w:t>
      </w:r>
      <w:r w:rsidR="00C36CA0">
        <w:t>based on the</w:t>
      </w:r>
      <w:r w:rsidR="00597F66">
        <w:t xml:space="preserve"> business’s</w:t>
      </w:r>
      <w:r>
        <w:t xml:space="preserve"> total</w:t>
      </w:r>
      <w:r w:rsidR="00597F66">
        <w:t xml:space="preserve"> “</w:t>
      </w:r>
      <w:r w:rsidR="00B661EF">
        <w:t>factors</w:t>
      </w:r>
      <w:r w:rsidR="00597F66">
        <w:t>”</w:t>
      </w:r>
      <w:r w:rsidR="00F71F85">
        <w:t xml:space="preserve"> </w:t>
      </w:r>
      <w:r>
        <w:t>assigned to</w:t>
      </w:r>
      <w:r w:rsidR="00C36CA0">
        <w:t xml:space="preserve"> the state</w:t>
      </w:r>
      <w:r>
        <w:t>,</w:t>
      </w:r>
      <w:r w:rsidR="00C36CA0">
        <w:t xml:space="preserve"> </w:t>
      </w:r>
      <w:r w:rsidR="00F71F85">
        <w:t xml:space="preserve">including </w:t>
      </w:r>
      <w:r w:rsidR="00B661EF">
        <w:t>sales</w:t>
      </w:r>
      <w:r w:rsidR="00BE3C59">
        <w:t xml:space="preserve"> or receipts</w:t>
      </w:r>
      <w:r w:rsidR="00B661EF">
        <w:t xml:space="preserve">, property, and/or payroll. </w:t>
      </w:r>
    </w:p>
    <w:p w14:paraId="1A91970E" w14:textId="72AC888A" w:rsidR="007525CB" w:rsidRDefault="007525CB" w:rsidP="007525CB">
      <w:pPr>
        <w:pStyle w:val="Heading3"/>
      </w:pPr>
      <w:bookmarkStart w:id="22" w:name="_Toc198480715"/>
      <w:r>
        <w:t xml:space="preserve">Treatment of Related </w:t>
      </w:r>
      <w:r w:rsidR="000B645B">
        <w:t>Entities</w:t>
      </w:r>
      <w:r>
        <w:t xml:space="preserve"> - Generally</w:t>
      </w:r>
      <w:bookmarkEnd w:id="22"/>
    </w:p>
    <w:p w14:paraId="07E11DDE" w14:textId="77777777" w:rsidR="00B94DB3" w:rsidRDefault="007525CB" w:rsidP="00F65298">
      <w:r>
        <w:t xml:space="preserve">The </w:t>
      </w:r>
      <w:r w:rsidR="00B94DB3">
        <w:t xml:space="preserve">constitutional </w:t>
      </w:r>
      <w:r>
        <w:t>basis for formulary apportionment is the unitary business principle.</w:t>
      </w:r>
      <w:r>
        <w:rPr>
          <w:rStyle w:val="FootnoteReference"/>
        </w:rPr>
        <w:footnoteReference w:id="5"/>
      </w:r>
      <w:r>
        <w:t xml:space="preserve"> </w:t>
      </w:r>
      <w:r w:rsidR="00B94DB3">
        <w:t>Net i</w:t>
      </w:r>
      <w:r w:rsidR="000B645B">
        <w:t xml:space="preserve">ncome from a unitary business or source may be apportioned </w:t>
      </w:r>
      <w:r w:rsidR="00B94DB3">
        <w:t xml:space="preserve">by a state </w:t>
      </w:r>
      <w:r w:rsidR="000B645B">
        <w:t>using a common apportionment formula</w:t>
      </w:r>
      <w:r w:rsidR="00B94DB3">
        <w:t xml:space="preserve"> for that net amount—without the need to source items of income and expense individually</w:t>
      </w:r>
      <w:r w:rsidR="000B645B">
        <w:t xml:space="preserve">. </w:t>
      </w:r>
    </w:p>
    <w:p w14:paraId="2E7A5E1B" w14:textId="0240BCC0" w:rsidR="00ED6A96" w:rsidRDefault="000B645B" w:rsidP="00F65298">
      <w:r>
        <w:t xml:space="preserve">A single unitary business may be conducted by multiple related entities. And it may also be the case that a single entity conducts multiple unitary businesses. </w:t>
      </w:r>
      <w:r w:rsidR="00ED6A96">
        <w:t xml:space="preserve">Today, when </w:t>
      </w:r>
      <w:r w:rsidR="00CD76F1">
        <w:t xml:space="preserve">most </w:t>
      </w:r>
      <w:r w:rsidR="00315612">
        <w:t>states determine</w:t>
      </w:r>
      <w:r w:rsidR="00ED6A96">
        <w:t xml:space="preserve"> the</w:t>
      </w:r>
      <w:r w:rsidR="00D43660">
        <w:t>ir</w:t>
      </w:r>
      <w:r w:rsidR="00ED6A96">
        <w:t xml:space="preserve"> share of </w:t>
      </w:r>
      <w:r w:rsidR="00B94DB3">
        <w:t xml:space="preserve">multistate </w:t>
      </w:r>
      <w:r w:rsidR="00ED6A96">
        <w:t xml:space="preserve">income from </w:t>
      </w:r>
      <w:r w:rsidR="00B94DB3">
        <w:t xml:space="preserve">a unitary business conducted by </w:t>
      </w:r>
      <w:r w:rsidR="00ED6A96">
        <w:t>related corporations</w:t>
      </w:r>
      <w:r w:rsidR="00D43660">
        <w:t xml:space="preserve">, </w:t>
      </w:r>
      <w:r w:rsidR="00CD76F1">
        <w:t>they</w:t>
      </w:r>
      <w:r w:rsidR="00D43660">
        <w:t xml:space="preserve"> apply formulary apportionment to the combined</w:t>
      </w:r>
      <w:r w:rsidR="00B94DB3">
        <w:t xml:space="preserve"> net</w:t>
      </w:r>
      <w:r w:rsidR="00D43660">
        <w:t xml:space="preserve"> </w:t>
      </w:r>
      <w:r w:rsidR="00B94DB3">
        <w:t xml:space="preserve">business </w:t>
      </w:r>
      <w:r w:rsidR="00D43660">
        <w:t xml:space="preserve">income </w:t>
      </w:r>
      <w:r w:rsidR="00B22D31">
        <w:t xml:space="preserve">from that unitary business or source, and not on a separate entity-by-entity basis. </w:t>
      </w:r>
      <w:r w:rsidR="00D43660">
        <w:t xml:space="preserve">This </w:t>
      </w:r>
      <w:r w:rsidR="00315612">
        <w:t xml:space="preserve">helps </w:t>
      </w:r>
      <w:r w:rsidR="00D43660">
        <w:t>avoid</w:t>
      </w:r>
      <w:r w:rsidR="00597F66">
        <w:t xml:space="preserve"> the effects that </w:t>
      </w:r>
      <w:r w:rsidR="00895816">
        <w:t xml:space="preserve">related-entity structures </w:t>
      </w:r>
      <w:r w:rsidR="00A13E8A">
        <w:t xml:space="preserve">or </w:t>
      </w:r>
      <w:r w:rsidR="00597F66">
        <w:t xml:space="preserve">transactions might have on </w:t>
      </w:r>
      <w:r w:rsidR="00315612">
        <w:t>the ultimate source of the business’s income.</w:t>
      </w:r>
      <w:r w:rsidR="00B22D31">
        <w:rPr>
          <w:rStyle w:val="FootnoteReference"/>
        </w:rPr>
        <w:footnoteReference w:id="6"/>
      </w:r>
    </w:p>
    <w:p w14:paraId="19679495" w14:textId="0F90CD8D" w:rsidR="00F65298" w:rsidRPr="00F65298" w:rsidRDefault="00315612" w:rsidP="00D43660">
      <w:pPr>
        <w:pStyle w:val="Heading3"/>
      </w:pPr>
      <w:bookmarkStart w:id="23" w:name="_Toc198480716"/>
      <w:r>
        <w:lastRenderedPageBreak/>
        <w:t>Examples</w:t>
      </w:r>
      <w:r w:rsidR="00E14CF5">
        <w:t xml:space="preserve"> </w:t>
      </w:r>
      <w:r w:rsidR="00895816">
        <w:t>of Issues</w:t>
      </w:r>
      <w:r w:rsidR="00907459">
        <w:t xml:space="preserve"> Created by the Pass-Through System</w:t>
      </w:r>
      <w:bookmarkEnd w:id="23"/>
      <w:r w:rsidR="00E14CF5">
        <w:t xml:space="preserve"> </w:t>
      </w:r>
    </w:p>
    <w:p w14:paraId="0A77D495" w14:textId="567901E3" w:rsidR="00895816" w:rsidRDefault="00922451" w:rsidP="00F65298">
      <w:r>
        <w:t>Applying state</w:t>
      </w:r>
      <w:r w:rsidR="00DB54CD">
        <w:t xml:space="preserve"> sourcing rules to partnership income taxed on a pass-through basis can </w:t>
      </w:r>
      <w:r w:rsidR="00E14CF5">
        <w:t xml:space="preserve">raise </w:t>
      </w:r>
      <w:r w:rsidR="002E58A4">
        <w:t xml:space="preserve">some </w:t>
      </w:r>
      <w:r w:rsidR="00080585">
        <w:t>unique issues and</w:t>
      </w:r>
      <w:r w:rsidR="00E14CF5">
        <w:t xml:space="preserve"> </w:t>
      </w:r>
      <w:r w:rsidR="00DB54CD">
        <w:t>create</w:t>
      </w:r>
      <w:r>
        <w:t xml:space="preserve"> unexpected</w:t>
      </w:r>
      <w:r w:rsidR="00F571EB">
        <w:t xml:space="preserve"> </w:t>
      </w:r>
      <w:r w:rsidR="00F92C9C">
        <w:t xml:space="preserve">or unclear </w:t>
      </w:r>
      <w:r w:rsidR="00F571EB">
        <w:t>results</w:t>
      </w:r>
      <w:r w:rsidR="00DB54CD">
        <w:t xml:space="preserve">. </w:t>
      </w:r>
      <w:r w:rsidR="00130208">
        <w:t xml:space="preserve">Below are </w:t>
      </w:r>
      <w:r w:rsidR="00315612">
        <w:t xml:space="preserve">three very </w:t>
      </w:r>
      <w:r>
        <w:t xml:space="preserve">simple </w:t>
      </w:r>
      <w:r w:rsidR="003F514A">
        <w:t xml:space="preserve">examples </w:t>
      </w:r>
      <w:r w:rsidR="00DB54CD">
        <w:t>meant</w:t>
      </w:r>
      <w:r w:rsidR="003F514A">
        <w:t xml:space="preserve"> </w:t>
      </w:r>
      <w:r w:rsidR="00DB54CD">
        <w:t xml:space="preserve">to illustrate </w:t>
      </w:r>
      <w:r w:rsidR="00080585">
        <w:t xml:space="preserve">just </w:t>
      </w:r>
      <w:r w:rsidR="00E14CF5">
        <w:t xml:space="preserve">a few of the many </w:t>
      </w:r>
      <w:r w:rsidR="00315612">
        <w:t>ways in which</w:t>
      </w:r>
      <w:r w:rsidR="00DB54CD">
        <w:t xml:space="preserve"> </w:t>
      </w:r>
      <w:r w:rsidR="00895816">
        <w:t xml:space="preserve">these issues </w:t>
      </w:r>
      <w:r w:rsidR="00907459">
        <w:t xml:space="preserve">may </w:t>
      </w:r>
      <w:r w:rsidR="00895816">
        <w:t xml:space="preserve">come up. </w:t>
      </w:r>
      <w:r w:rsidR="006C4D2E">
        <w:t>(</w:t>
      </w:r>
      <w:r w:rsidR="00895816">
        <w:t>But their use should</w:t>
      </w:r>
      <w:r w:rsidR="00DB54CD">
        <w:t xml:space="preserve"> not be taken to imply that </w:t>
      </w:r>
      <w:r w:rsidR="00F92C9C">
        <w:t>any</w:t>
      </w:r>
      <w:r w:rsidR="00DB54CD">
        <w:t xml:space="preserve"> </w:t>
      </w:r>
      <w:r w:rsidR="002E58A4">
        <w:t xml:space="preserve">of the </w:t>
      </w:r>
      <w:r w:rsidR="00DB54CD">
        <w:t>results are “wrong”)</w:t>
      </w:r>
      <w:r w:rsidR="0005547E">
        <w:t>.</w:t>
      </w:r>
      <w:r w:rsidR="00315612">
        <w:t xml:space="preserve"> </w:t>
      </w:r>
    </w:p>
    <w:p w14:paraId="429BA319" w14:textId="689943A5" w:rsidR="003F514A" w:rsidRDefault="00315612" w:rsidP="00F65298">
      <w:r>
        <w:t xml:space="preserve">While the fact scenarios </w:t>
      </w:r>
      <w:r w:rsidR="002E58A4">
        <w:t xml:space="preserve">here </w:t>
      </w:r>
      <w:r>
        <w:t xml:space="preserve">are simple—the </w:t>
      </w:r>
      <w:r w:rsidR="00895816">
        <w:t xml:space="preserve">types of </w:t>
      </w:r>
      <w:r w:rsidR="00130208">
        <w:t xml:space="preserve">issues highlighted </w:t>
      </w:r>
      <w:r w:rsidR="00907459">
        <w:t xml:space="preserve">here </w:t>
      </w:r>
      <w:r w:rsidR="00895816">
        <w:t xml:space="preserve">have effects </w:t>
      </w:r>
      <w:r w:rsidR="00907459">
        <w:t>that range</w:t>
      </w:r>
      <w:r>
        <w:t xml:space="preserve"> </w:t>
      </w:r>
      <w:r w:rsidR="00895816">
        <w:t xml:space="preserve">far </w:t>
      </w:r>
      <w:r>
        <w:t xml:space="preserve">beyond these </w:t>
      </w:r>
      <w:r w:rsidR="00130208">
        <w:t xml:space="preserve">simple </w:t>
      </w:r>
      <w:r>
        <w:t>scenarios</w:t>
      </w:r>
      <w:r w:rsidR="00130208">
        <w:t>,</w:t>
      </w:r>
      <w:r>
        <w:t xml:space="preserve"> and there are </w:t>
      </w:r>
      <w:r w:rsidR="00130208">
        <w:t xml:space="preserve">many </w:t>
      </w:r>
      <w:r>
        <w:t>other similar issues that are not illustrated here.</w:t>
      </w:r>
    </w:p>
    <w:p w14:paraId="2280ACCB" w14:textId="77777777" w:rsidR="00B22D31" w:rsidRDefault="00B22D31" w:rsidP="00F65298"/>
    <w:p w14:paraId="6C68723A" w14:textId="7AB7C28A" w:rsidR="003F514A" w:rsidRDefault="003F514A" w:rsidP="00B22D31">
      <w:pPr>
        <w:pStyle w:val="Heading4"/>
        <w:ind w:left="720"/>
      </w:pPr>
      <w:r>
        <w:t>Example 1:</w:t>
      </w:r>
    </w:p>
    <w:p w14:paraId="6927902C" w14:textId="76AF348C" w:rsidR="00685924" w:rsidRPr="00685924" w:rsidRDefault="00685924" w:rsidP="00B22D31">
      <w:pPr>
        <w:ind w:left="720"/>
      </w:pPr>
      <w:r w:rsidRPr="00A92AAF">
        <w:rPr>
          <w:noProof/>
        </w:rPr>
        <mc:AlternateContent>
          <mc:Choice Requires="wpg">
            <w:drawing>
              <wp:anchor distT="0" distB="0" distL="114300" distR="114300" simplePos="0" relativeHeight="251637248" behindDoc="0" locked="0" layoutInCell="1" allowOverlap="1" wp14:anchorId="30A56507" wp14:editId="0876222A">
                <wp:simplePos x="0" y="0"/>
                <wp:positionH relativeFrom="margin">
                  <wp:posOffset>3119120</wp:posOffset>
                </wp:positionH>
                <wp:positionV relativeFrom="paragraph">
                  <wp:posOffset>17780</wp:posOffset>
                </wp:positionV>
                <wp:extent cx="2697480" cy="1879600"/>
                <wp:effectExtent l="0" t="0" r="7620" b="6350"/>
                <wp:wrapSquare wrapText="bothSides"/>
                <wp:docPr id="27" name="Group 26">
                  <a:extLst xmlns:a="http://schemas.openxmlformats.org/drawingml/2006/main">
                    <a:ext uri="{FF2B5EF4-FFF2-40B4-BE49-F238E27FC236}">
                      <a16:creationId xmlns:a16="http://schemas.microsoft.com/office/drawing/2014/main" id="{D6B1602A-541E-1252-F5EE-0CB5A01B1940}"/>
                    </a:ext>
                  </a:extLst>
                </wp:docPr>
                <wp:cNvGraphicFramePr/>
                <a:graphic xmlns:a="http://schemas.openxmlformats.org/drawingml/2006/main">
                  <a:graphicData uri="http://schemas.microsoft.com/office/word/2010/wordprocessingGroup">
                    <wpg:wgp>
                      <wpg:cNvGrpSpPr/>
                      <wpg:grpSpPr>
                        <a:xfrm>
                          <a:off x="0" y="0"/>
                          <a:ext cx="2697480" cy="1879600"/>
                          <a:chOff x="0" y="0"/>
                          <a:chExt cx="4224009" cy="2160556"/>
                        </a:xfrm>
                      </wpg:grpSpPr>
                      <wps:wsp>
                        <wps:cNvPr id="1455013217" name="Freeform: Shape 1455013217">
                          <a:extLst>
                            <a:ext uri="{FF2B5EF4-FFF2-40B4-BE49-F238E27FC236}">
                              <a16:creationId xmlns:a16="http://schemas.microsoft.com/office/drawing/2014/main" id="{7F201739-AAA1-B1B2-72E3-06AB0E5F62CA}"/>
                            </a:ext>
                          </a:extLst>
                        </wps:cNvPr>
                        <wps:cNvSpPr/>
                        <wps:spPr>
                          <a:xfrm>
                            <a:off x="1566332" y="0"/>
                            <a:ext cx="2657677" cy="2160556"/>
                          </a:xfrm>
                          <a:custGeom>
                            <a:avLst/>
                            <a:gdLst>
                              <a:gd name="connsiteX0" fmla="*/ 364067 w 2657677"/>
                              <a:gd name="connsiteY0" fmla="*/ 254000 h 2160556"/>
                              <a:gd name="connsiteX1" fmla="*/ 364067 w 2657677"/>
                              <a:gd name="connsiteY1" fmla="*/ 254000 h 2160556"/>
                              <a:gd name="connsiteX2" fmla="*/ 448733 w 2657677"/>
                              <a:gd name="connsiteY2" fmla="*/ 245533 h 2160556"/>
                              <a:gd name="connsiteX3" fmla="*/ 533400 w 2657677"/>
                              <a:gd name="connsiteY3" fmla="*/ 186266 h 2160556"/>
                              <a:gd name="connsiteX4" fmla="*/ 592667 w 2657677"/>
                              <a:gd name="connsiteY4" fmla="*/ 169333 h 2160556"/>
                              <a:gd name="connsiteX5" fmla="*/ 626533 w 2657677"/>
                              <a:gd name="connsiteY5" fmla="*/ 143933 h 2160556"/>
                              <a:gd name="connsiteX6" fmla="*/ 643467 w 2657677"/>
                              <a:gd name="connsiteY6" fmla="*/ 127000 h 2160556"/>
                              <a:gd name="connsiteX7" fmla="*/ 677333 w 2657677"/>
                              <a:gd name="connsiteY7" fmla="*/ 110066 h 2160556"/>
                              <a:gd name="connsiteX8" fmla="*/ 812800 w 2657677"/>
                              <a:gd name="connsiteY8" fmla="*/ 67733 h 2160556"/>
                              <a:gd name="connsiteX9" fmla="*/ 855133 w 2657677"/>
                              <a:gd name="connsiteY9" fmla="*/ 50800 h 2160556"/>
                              <a:gd name="connsiteX10" fmla="*/ 1109133 w 2657677"/>
                              <a:gd name="connsiteY10" fmla="*/ 25400 h 2160556"/>
                              <a:gd name="connsiteX11" fmla="*/ 1278467 w 2657677"/>
                              <a:gd name="connsiteY11" fmla="*/ 8466 h 2160556"/>
                              <a:gd name="connsiteX12" fmla="*/ 1354667 w 2657677"/>
                              <a:gd name="connsiteY12" fmla="*/ 0 h 2160556"/>
                              <a:gd name="connsiteX13" fmla="*/ 1921933 w 2657677"/>
                              <a:gd name="connsiteY13" fmla="*/ 16933 h 2160556"/>
                              <a:gd name="connsiteX14" fmla="*/ 2015067 w 2657677"/>
                              <a:gd name="connsiteY14" fmla="*/ 33866 h 2160556"/>
                              <a:gd name="connsiteX15" fmla="*/ 2032000 w 2657677"/>
                              <a:gd name="connsiteY15" fmla="*/ 76200 h 2160556"/>
                              <a:gd name="connsiteX16" fmla="*/ 2048933 w 2657677"/>
                              <a:gd name="connsiteY16" fmla="*/ 110066 h 2160556"/>
                              <a:gd name="connsiteX17" fmla="*/ 2116667 w 2657677"/>
                              <a:gd name="connsiteY17" fmla="*/ 254000 h 2160556"/>
                              <a:gd name="connsiteX18" fmla="*/ 2142067 w 2657677"/>
                              <a:gd name="connsiteY18" fmla="*/ 321733 h 2160556"/>
                              <a:gd name="connsiteX19" fmla="*/ 2150533 w 2657677"/>
                              <a:gd name="connsiteY19" fmla="*/ 364066 h 2160556"/>
                              <a:gd name="connsiteX20" fmla="*/ 2184400 w 2657677"/>
                              <a:gd name="connsiteY20" fmla="*/ 474133 h 2160556"/>
                              <a:gd name="connsiteX21" fmla="*/ 2192867 w 2657677"/>
                              <a:gd name="connsiteY21" fmla="*/ 516466 h 2160556"/>
                              <a:gd name="connsiteX22" fmla="*/ 2201333 w 2657677"/>
                              <a:gd name="connsiteY22" fmla="*/ 618066 h 2160556"/>
                              <a:gd name="connsiteX23" fmla="*/ 2218267 w 2657677"/>
                              <a:gd name="connsiteY23" fmla="*/ 694266 h 2160556"/>
                              <a:gd name="connsiteX24" fmla="*/ 2226733 w 2657677"/>
                              <a:gd name="connsiteY24" fmla="*/ 728133 h 2160556"/>
                              <a:gd name="connsiteX25" fmla="*/ 2235200 w 2657677"/>
                              <a:gd name="connsiteY25" fmla="*/ 795866 h 2160556"/>
                              <a:gd name="connsiteX26" fmla="*/ 2243667 w 2657677"/>
                              <a:gd name="connsiteY26" fmla="*/ 872066 h 2160556"/>
                              <a:gd name="connsiteX27" fmla="*/ 2252133 w 2657677"/>
                              <a:gd name="connsiteY27" fmla="*/ 914400 h 2160556"/>
                              <a:gd name="connsiteX28" fmla="*/ 2269067 w 2657677"/>
                              <a:gd name="connsiteY28" fmla="*/ 1058333 h 2160556"/>
                              <a:gd name="connsiteX29" fmla="*/ 2294467 w 2657677"/>
                              <a:gd name="connsiteY29" fmla="*/ 1126066 h 2160556"/>
                              <a:gd name="connsiteX30" fmla="*/ 2311400 w 2657677"/>
                              <a:gd name="connsiteY30" fmla="*/ 1193800 h 2160556"/>
                              <a:gd name="connsiteX31" fmla="*/ 2319867 w 2657677"/>
                              <a:gd name="connsiteY31" fmla="*/ 1244600 h 2160556"/>
                              <a:gd name="connsiteX32" fmla="*/ 2379133 w 2657677"/>
                              <a:gd name="connsiteY32" fmla="*/ 1303866 h 2160556"/>
                              <a:gd name="connsiteX33" fmla="*/ 2523067 w 2657677"/>
                              <a:gd name="connsiteY33" fmla="*/ 1380066 h 2160556"/>
                              <a:gd name="connsiteX34" fmla="*/ 2582333 w 2657677"/>
                              <a:gd name="connsiteY34" fmla="*/ 1447800 h 2160556"/>
                              <a:gd name="connsiteX35" fmla="*/ 2641600 w 2657677"/>
                              <a:gd name="connsiteY35" fmla="*/ 1532466 h 2160556"/>
                              <a:gd name="connsiteX36" fmla="*/ 2641600 w 2657677"/>
                              <a:gd name="connsiteY36" fmla="*/ 1718733 h 2160556"/>
                              <a:gd name="connsiteX37" fmla="*/ 2497667 w 2657677"/>
                              <a:gd name="connsiteY37" fmla="*/ 1752600 h 2160556"/>
                              <a:gd name="connsiteX38" fmla="*/ 2294467 w 2657677"/>
                              <a:gd name="connsiteY38" fmla="*/ 1761066 h 2160556"/>
                              <a:gd name="connsiteX39" fmla="*/ 2218267 w 2657677"/>
                              <a:gd name="connsiteY39" fmla="*/ 1769533 h 2160556"/>
                              <a:gd name="connsiteX40" fmla="*/ 2175933 w 2657677"/>
                              <a:gd name="connsiteY40" fmla="*/ 1778000 h 2160556"/>
                              <a:gd name="connsiteX41" fmla="*/ 1532467 w 2657677"/>
                              <a:gd name="connsiteY41" fmla="*/ 1769533 h 2160556"/>
                              <a:gd name="connsiteX42" fmla="*/ 1159933 w 2657677"/>
                              <a:gd name="connsiteY42" fmla="*/ 1786466 h 2160556"/>
                              <a:gd name="connsiteX43" fmla="*/ 1049867 w 2657677"/>
                              <a:gd name="connsiteY43" fmla="*/ 1794933 h 2160556"/>
                              <a:gd name="connsiteX44" fmla="*/ 982133 w 2657677"/>
                              <a:gd name="connsiteY44" fmla="*/ 1811866 h 2160556"/>
                              <a:gd name="connsiteX45" fmla="*/ 880533 w 2657677"/>
                              <a:gd name="connsiteY45" fmla="*/ 1828800 h 2160556"/>
                              <a:gd name="connsiteX46" fmla="*/ 846667 w 2657677"/>
                              <a:gd name="connsiteY46" fmla="*/ 1837266 h 2160556"/>
                              <a:gd name="connsiteX47" fmla="*/ 694267 w 2657677"/>
                              <a:gd name="connsiteY47" fmla="*/ 1871133 h 2160556"/>
                              <a:gd name="connsiteX48" fmla="*/ 601133 w 2657677"/>
                              <a:gd name="connsiteY48" fmla="*/ 1905000 h 2160556"/>
                              <a:gd name="connsiteX49" fmla="*/ 397933 w 2657677"/>
                              <a:gd name="connsiteY49" fmla="*/ 2023533 h 2160556"/>
                              <a:gd name="connsiteX50" fmla="*/ 321733 w 2657677"/>
                              <a:gd name="connsiteY50" fmla="*/ 2099733 h 2160556"/>
                              <a:gd name="connsiteX51" fmla="*/ 304800 w 2657677"/>
                              <a:gd name="connsiteY51" fmla="*/ 2125133 h 2160556"/>
                              <a:gd name="connsiteX52" fmla="*/ 279400 w 2657677"/>
                              <a:gd name="connsiteY52" fmla="*/ 2142066 h 2160556"/>
                              <a:gd name="connsiteX53" fmla="*/ 203200 w 2657677"/>
                              <a:gd name="connsiteY53" fmla="*/ 2159000 h 2160556"/>
                              <a:gd name="connsiteX54" fmla="*/ 135467 w 2657677"/>
                              <a:gd name="connsiteY54" fmla="*/ 2150533 h 2160556"/>
                              <a:gd name="connsiteX55" fmla="*/ 33867 w 2657677"/>
                              <a:gd name="connsiteY55" fmla="*/ 1938866 h 2160556"/>
                              <a:gd name="connsiteX56" fmla="*/ 0 w 2657677"/>
                              <a:gd name="connsiteY56" fmla="*/ 1888066 h 2160556"/>
                              <a:gd name="connsiteX57" fmla="*/ 16933 w 2657677"/>
                              <a:gd name="connsiteY57" fmla="*/ 1744133 h 2160556"/>
                              <a:gd name="connsiteX58" fmla="*/ 59267 w 2657677"/>
                              <a:gd name="connsiteY58" fmla="*/ 1684866 h 2160556"/>
                              <a:gd name="connsiteX59" fmla="*/ 67733 w 2657677"/>
                              <a:gd name="connsiteY59" fmla="*/ 1651000 h 2160556"/>
                              <a:gd name="connsiteX60" fmla="*/ 84667 w 2657677"/>
                              <a:gd name="connsiteY60" fmla="*/ 1634066 h 2160556"/>
                              <a:gd name="connsiteX61" fmla="*/ 101600 w 2657677"/>
                              <a:gd name="connsiteY61" fmla="*/ 1600200 h 2160556"/>
                              <a:gd name="connsiteX62" fmla="*/ 127000 w 2657677"/>
                              <a:gd name="connsiteY62" fmla="*/ 1549400 h 2160556"/>
                              <a:gd name="connsiteX63" fmla="*/ 177800 w 2657677"/>
                              <a:gd name="connsiteY63" fmla="*/ 1490133 h 2160556"/>
                              <a:gd name="connsiteX64" fmla="*/ 211667 w 2657677"/>
                              <a:gd name="connsiteY64" fmla="*/ 1439333 h 2160556"/>
                              <a:gd name="connsiteX65" fmla="*/ 228600 w 2657677"/>
                              <a:gd name="connsiteY65" fmla="*/ 1397000 h 2160556"/>
                              <a:gd name="connsiteX66" fmla="*/ 245533 w 2657677"/>
                              <a:gd name="connsiteY66" fmla="*/ 1380066 h 2160556"/>
                              <a:gd name="connsiteX67" fmla="*/ 262467 w 2657677"/>
                              <a:gd name="connsiteY67" fmla="*/ 1346200 h 2160556"/>
                              <a:gd name="connsiteX68" fmla="*/ 270933 w 2657677"/>
                              <a:gd name="connsiteY68" fmla="*/ 1295400 h 2160556"/>
                              <a:gd name="connsiteX69" fmla="*/ 304800 w 2657677"/>
                              <a:gd name="connsiteY69" fmla="*/ 1244600 h 2160556"/>
                              <a:gd name="connsiteX70" fmla="*/ 313267 w 2657677"/>
                              <a:gd name="connsiteY70" fmla="*/ 1219200 h 2160556"/>
                              <a:gd name="connsiteX71" fmla="*/ 296333 w 2657677"/>
                              <a:gd name="connsiteY71" fmla="*/ 956733 h 2160556"/>
                              <a:gd name="connsiteX72" fmla="*/ 287867 w 2657677"/>
                              <a:gd name="connsiteY72" fmla="*/ 922866 h 2160556"/>
                              <a:gd name="connsiteX73" fmla="*/ 279400 w 2657677"/>
                              <a:gd name="connsiteY73" fmla="*/ 838200 h 2160556"/>
                              <a:gd name="connsiteX74" fmla="*/ 270933 w 2657677"/>
                              <a:gd name="connsiteY74" fmla="*/ 787400 h 2160556"/>
                              <a:gd name="connsiteX75" fmla="*/ 287867 w 2657677"/>
                              <a:gd name="connsiteY75" fmla="*/ 457200 h 2160556"/>
                              <a:gd name="connsiteX76" fmla="*/ 313267 w 2657677"/>
                              <a:gd name="connsiteY76" fmla="*/ 389466 h 2160556"/>
                              <a:gd name="connsiteX77" fmla="*/ 330200 w 2657677"/>
                              <a:gd name="connsiteY77" fmla="*/ 347133 h 2160556"/>
                              <a:gd name="connsiteX78" fmla="*/ 347133 w 2657677"/>
                              <a:gd name="connsiteY78" fmla="*/ 313266 h 2160556"/>
                              <a:gd name="connsiteX79" fmla="*/ 364067 w 2657677"/>
                              <a:gd name="connsiteY79" fmla="*/ 254000 h 21605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Lst>
                            <a:rect l="l" t="t" r="r" b="b"/>
                            <a:pathLst>
                              <a:path w="2657677" h="2160556">
                                <a:moveTo>
                                  <a:pt x="364067" y="254000"/>
                                </a:moveTo>
                                <a:lnTo>
                                  <a:pt x="364067" y="254000"/>
                                </a:lnTo>
                                <a:cubicBezTo>
                                  <a:pt x="392289" y="251178"/>
                                  <a:pt x="421661" y="253993"/>
                                  <a:pt x="448733" y="245533"/>
                                </a:cubicBezTo>
                                <a:cubicBezTo>
                                  <a:pt x="505772" y="227708"/>
                                  <a:pt x="487067" y="207326"/>
                                  <a:pt x="533400" y="186266"/>
                                </a:cubicBezTo>
                                <a:cubicBezTo>
                                  <a:pt x="552105" y="177764"/>
                                  <a:pt x="572911" y="174977"/>
                                  <a:pt x="592667" y="169333"/>
                                </a:cubicBezTo>
                                <a:cubicBezTo>
                                  <a:pt x="603956" y="160866"/>
                                  <a:pt x="615693" y="152967"/>
                                  <a:pt x="626533" y="143933"/>
                                </a:cubicBezTo>
                                <a:cubicBezTo>
                                  <a:pt x="632665" y="138823"/>
                                  <a:pt x="636825" y="131428"/>
                                  <a:pt x="643467" y="127000"/>
                                </a:cubicBezTo>
                                <a:cubicBezTo>
                                  <a:pt x="653968" y="119999"/>
                                  <a:pt x="665732" y="115038"/>
                                  <a:pt x="677333" y="110066"/>
                                </a:cubicBezTo>
                                <a:cubicBezTo>
                                  <a:pt x="766960" y="71654"/>
                                  <a:pt x="738218" y="80164"/>
                                  <a:pt x="812800" y="67733"/>
                                </a:cubicBezTo>
                                <a:cubicBezTo>
                                  <a:pt x="826911" y="62089"/>
                                  <a:pt x="840339" y="54281"/>
                                  <a:pt x="855133" y="50800"/>
                                </a:cubicBezTo>
                                <a:cubicBezTo>
                                  <a:pt x="948970" y="28720"/>
                                  <a:pt x="1008325" y="31000"/>
                                  <a:pt x="1109133" y="25400"/>
                                </a:cubicBezTo>
                                <a:cubicBezTo>
                                  <a:pt x="1210454" y="8512"/>
                                  <a:pt x="1116393" y="22559"/>
                                  <a:pt x="1278467" y="8466"/>
                                </a:cubicBezTo>
                                <a:cubicBezTo>
                                  <a:pt x="1303927" y="6252"/>
                                  <a:pt x="1329267" y="2822"/>
                                  <a:pt x="1354667" y="0"/>
                                </a:cubicBezTo>
                                <a:cubicBezTo>
                                  <a:pt x="1543756" y="5644"/>
                                  <a:pt x="1733008" y="7245"/>
                                  <a:pt x="1921933" y="16933"/>
                                </a:cubicBezTo>
                                <a:cubicBezTo>
                                  <a:pt x="1953445" y="18549"/>
                                  <a:pt x="1987285" y="18906"/>
                                  <a:pt x="2015067" y="33866"/>
                                </a:cubicBezTo>
                                <a:cubicBezTo>
                                  <a:pt x="2028449" y="41072"/>
                                  <a:pt x="2025827" y="62312"/>
                                  <a:pt x="2032000" y="76200"/>
                                </a:cubicBezTo>
                                <a:cubicBezTo>
                                  <a:pt x="2037126" y="87733"/>
                                  <a:pt x="2043874" y="98503"/>
                                  <a:pt x="2048933" y="110066"/>
                                </a:cubicBezTo>
                                <a:cubicBezTo>
                                  <a:pt x="2106580" y="241830"/>
                                  <a:pt x="2068361" y="173489"/>
                                  <a:pt x="2116667" y="254000"/>
                                </a:cubicBezTo>
                                <a:cubicBezTo>
                                  <a:pt x="2148600" y="381739"/>
                                  <a:pt x="2097795" y="188917"/>
                                  <a:pt x="2142067" y="321733"/>
                                </a:cubicBezTo>
                                <a:cubicBezTo>
                                  <a:pt x="2146618" y="335385"/>
                                  <a:pt x="2147043" y="350105"/>
                                  <a:pt x="2150533" y="364066"/>
                                </a:cubicBezTo>
                                <a:cubicBezTo>
                                  <a:pt x="2193541" y="536096"/>
                                  <a:pt x="2142579" y="320789"/>
                                  <a:pt x="2184400" y="474133"/>
                                </a:cubicBezTo>
                                <a:cubicBezTo>
                                  <a:pt x="2188186" y="488016"/>
                                  <a:pt x="2190045" y="502355"/>
                                  <a:pt x="2192867" y="516466"/>
                                </a:cubicBezTo>
                                <a:cubicBezTo>
                                  <a:pt x="2195689" y="550333"/>
                                  <a:pt x="2196527" y="584424"/>
                                  <a:pt x="2201333" y="618066"/>
                                </a:cubicBezTo>
                                <a:cubicBezTo>
                                  <a:pt x="2205013" y="643824"/>
                                  <a:pt x="2212416" y="668913"/>
                                  <a:pt x="2218267" y="694266"/>
                                </a:cubicBezTo>
                                <a:cubicBezTo>
                                  <a:pt x="2220884" y="705604"/>
                                  <a:pt x="2224820" y="716655"/>
                                  <a:pt x="2226733" y="728133"/>
                                </a:cubicBezTo>
                                <a:cubicBezTo>
                                  <a:pt x="2230474" y="750577"/>
                                  <a:pt x="2232541" y="773268"/>
                                  <a:pt x="2235200" y="795866"/>
                                </a:cubicBezTo>
                                <a:cubicBezTo>
                                  <a:pt x="2238186" y="821247"/>
                                  <a:pt x="2240053" y="846767"/>
                                  <a:pt x="2243667" y="872066"/>
                                </a:cubicBezTo>
                                <a:cubicBezTo>
                                  <a:pt x="2245702" y="886312"/>
                                  <a:pt x="2250231" y="900135"/>
                                  <a:pt x="2252133" y="914400"/>
                                </a:cubicBezTo>
                                <a:cubicBezTo>
                                  <a:pt x="2254184" y="929782"/>
                                  <a:pt x="2262500" y="1033708"/>
                                  <a:pt x="2269067" y="1058333"/>
                                </a:cubicBezTo>
                                <a:cubicBezTo>
                                  <a:pt x="2275280" y="1081632"/>
                                  <a:pt x="2286227" y="1103405"/>
                                  <a:pt x="2294467" y="1126066"/>
                                </a:cubicBezTo>
                                <a:cubicBezTo>
                                  <a:pt x="2305147" y="1155437"/>
                                  <a:pt x="2304950" y="1158326"/>
                                  <a:pt x="2311400" y="1193800"/>
                                </a:cubicBezTo>
                                <a:cubicBezTo>
                                  <a:pt x="2314471" y="1210690"/>
                                  <a:pt x="2310870" y="1229980"/>
                                  <a:pt x="2319867" y="1244600"/>
                                </a:cubicBezTo>
                                <a:cubicBezTo>
                                  <a:pt x="2334509" y="1268394"/>
                                  <a:pt x="2354876" y="1290005"/>
                                  <a:pt x="2379133" y="1303866"/>
                                </a:cubicBezTo>
                                <a:cubicBezTo>
                                  <a:pt x="2505416" y="1376028"/>
                                  <a:pt x="2454495" y="1357210"/>
                                  <a:pt x="2523067" y="1380066"/>
                                </a:cubicBezTo>
                                <a:cubicBezTo>
                                  <a:pt x="2542822" y="1402644"/>
                                  <a:pt x="2563914" y="1424119"/>
                                  <a:pt x="2582333" y="1447800"/>
                                </a:cubicBezTo>
                                <a:cubicBezTo>
                                  <a:pt x="2603483" y="1474993"/>
                                  <a:pt x="2641600" y="1532466"/>
                                  <a:pt x="2641600" y="1532466"/>
                                </a:cubicBezTo>
                                <a:cubicBezTo>
                                  <a:pt x="2653518" y="1592054"/>
                                  <a:pt x="2670866" y="1660201"/>
                                  <a:pt x="2641600" y="1718733"/>
                                </a:cubicBezTo>
                                <a:cubicBezTo>
                                  <a:pt x="2631511" y="1738911"/>
                                  <a:pt x="2517440" y="1751364"/>
                                  <a:pt x="2497667" y="1752600"/>
                                </a:cubicBezTo>
                                <a:cubicBezTo>
                                  <a:pt x="2430007" y="1756829"/>
                                  <a:pt x="2362200" y="1758244"/>
                                  <a:pt x="2294467" y="1761066"/>
                                </a:cubicBezTo>
                                <a:cubicBezTo>
                                  <a:pt x="2269067" y="1763888"/>
                                  <a:pt x="2243566" y="1765919"/>
                                  <a:pt x="2218267" y="1769533"/>
                                </a:cubicBezTo>
                                <a:cubicBezTo>
                                  <a:pt x="2204021" y="1771568"/>
                                  <a:pt x="2190324" y="1778000"/>
                                  <a:pt x="2175933" y="1778000"/>
                                </a:cubicBezTo>
                                <a:cubicBezTo>
                                  <a:pt x="1961426" y="1778000"/>
                                  <a:pt x="1746956" y="1772355"/>
                                  <a:pt x="1532467" y="1769533"/>
                                </a:cubicBezTo>
                                <a:lnTo>
                                  <a:pt x="1159933" y="1786466"/>
                                </a:lnTo>
                                <a:cubicBezTo>
                                  <a:pt x="1123187" y="1788400"/>
                                  <a:pt x="1086294" y="1789729"/>
                                  <a:pt x="1049867" y="1794933"/>
                                </a:cubicBezTo>
                                <a:cubicBezTo>
                                  <a:pt x="1026828" y="1798224"/>
                                  <a:pt x="1004954" y="1807302"/>
                                  <a:pt x="982133" y="1811866"/>
                                </a:cubicBezTo>
                                <a:cubicBezTo>
                                  <a:pt x="948466" y="1818599"/>
                                  <a:pt x="913842" y="1820473"/>
                                  <a:pt x="880533" y="1828800"/>
                                </a:cubicBezTo>
                                <a:cubicBezTo>
                                  <a:pt x="869244" y="1831622"/>
                                  <a:pt x="858026" y="1834742"/>
                                  <a:pt x="846667" y="1837266"/>
                                </a:cubicBezTo>
                                <a:cubicBezTo>
                                  <a:pt x="783648" y="1851270"/>
                                  <a:pt x="775874" y="1847331"/>
                                  <a:pt x="694267" y="1871133"/>
                                </a:cubicBezTo>
                                <a:cubicBezTo>
                                  <a:pt x="662555" y="1880382"/>
                                  <a:pt x="631319" y="1891584"/>
                                  <a:pt x="601133" y="1905000"/>
                                </a:cubicBezTo>
                                <a:cubicBezTo>
                                  <a:pt x="543533" y="1930600"/>
                                  <a:pt x="448415" y="1973051"/>
                                  <a:pt x="397933" y="2023533"/>
                                </a:cubicBezTo>
                                <a:cubicBezTo>
                                  <a:pt x="372533" y="2048933"/>
                                  <a:pt x="341658" y="2069845"/>
                                  <a:pt x="321733" y="2099733"/>
                                </a:cubicBezTo>
                                <a:cubicBezTo>
                                  <a:pt x="316089" y="2108200"/>
                                  <a:pt x="311995" y="2117938"/>
                                  <a:pt x="304800" y="2125133"/>
                                </a:cubicBezTo>
                                <a:cubicBezTo>
                                  <a:pt x="297605" y="2132328"/>
                                  <a:pt x="288501" y="2137515"/>
                                  <a:pt x="279400" y="2142066"/>
                                </a:cubicBezTo>
                                <a:cubicBezTo>
                                  <a:pt x="258556" y="2152488"/>
                                  <a:pt x="222714" y="2155748"/>
                                  <a:pt x="203200" y="2159000"/>
                                </a:cubicBezTo>
                                <a:cubicBezTo>
                                  <a:pt x="180622" y="2156178"/>
                                  <a:pt x="149340" y="2168568"/>
                                  <a:pt x="135467" y="2150533"/>
                                </a:cubicBezTo>
                                <a:cubicBezTo>
                                  <a:pt x="87750" y="2088500"/>
                                  <a:pt x="77280" y="2003984"/>
                                  <a:pt x="33867" y="1938866"/>
                                </a:cubicBezTo>
                                <a:lnTo>
                                  <a:pt x="0" y="1888066"/>
                                </a:lnTo>
                                <a:cubicBezTo>
                                  <a:pt x="727" y="1879338"/>
                                  <a:pt x="5586" y="1774392"/>
                                  <a:pt x="16933" y="1744133"/>
                                </a:cubicBezTo>
                                <a:cubicBezTo>
                                  <a:pt x="20027" y="1735883"/>
                                  <a:pt x="57809" y="1686810"/>
                                  <a:pt x="59267" y="1684866"/>
                                </a:cubicBezTo>
                                <a:cubicBezTo>
                                  <a:pt x="62089" y="1673577"/>
                                  <a:pt x="62529" y="1661408"/>
                                  <a:pt x="67733" y="1651000"/>
                                </a:cubicBezTo>
                                <a:cubicBezTo>
                                  <a:pt x="71303" y="1643860"/>
                                  <a:pt x="80239" y="1640708"/>
                                  <a:pt x="84667" y="1634066"/>
                                </a:cubicBezTo>
                                <a:cubicBezTo>
                                  <a:pt x="91668" y="1623565"/>
                                  <a:pt x="96628" y="1611801"/>
                                  <a:pt x="101600" y="1600200"/>
                                </a:cubicBezTo>
                                <a:cubicBezTo>
                                  <a:pt x="114477" y="1570154"/>
                                  <a:pt x="103757" y="1576517"/>
                                  <a:pt x="127000" y="1549400"/>
                                </a:cubicBezTo>
                                <a:cubicBezTo>
                                  <a:pt x="188593" y="1477541"/>
                                  <a:pt x="138926" y="1548445"/>
                                  <a:pt x="177800" y="1490133"/>
                                </a:cubicBezTo>
                                <a:cubicBezTo>
                                  <a:pt x="200051" y="1401131"/>
                                  <a:pt x="166689" y="1502302"/>
                                  <a:pt x="211667" y="1439333"/>
                                </a:cubicBezTo>
                                <a:cubicBezTo>
                                  <a:pt x="220501" y="1426966"/>
                                  <a:pt x="221060" y="1410196"/>
                                  <a:pt x="228600" y="1397000"/>
                                </a:cubicBezTo>
                                <a:cubicBezTo>
                                  <a:pt x="232560" y="1390069"/>
                                  <a:pt x="241105" y="1386708"/>
                                  <a:pt x="245533" y="1380066"/>
                                </a:cubicBezTo>
                                <a:cubicBezTo>
                                  <a:pt x="252534" y="1369565"/>
                                  <a:pt x="256822" y="1357489"/>
                                  <a:pt x="262467" y="1346200"/>
                                </a:cubicBezTo>
                                <a:cubicBezTo>
                                  <a:pt x="265289" y="1329267"/>
                                  <a:pt x="264330" y="1311246"/>
                                  <a:pt x="270933" y="1295400"/>
                                </a:cubicBezTo>
                                <a:cubicBezTo>
                                  <a:pt x="278760" y="1276614"/>
                                  <a:pt x="298364" y="1263907"/>
                                  <a:pt x="304800" y="1244600"/>
                                </a:cubicBezTo>
                                <a:lnTo>
                                  <a:pt x="313267" y="1219200"/>
                                </a:lnTo>
                                <a:cubicBezTo>
                                  <a:pt x="309652" y="1139681"/>
                                  <a:pt x="309192" y="1040315"/>
                                  <a:pt x="296333" y="956733"/>
                                </a:cubicBezTo>
                                <a:cubicBezTo>
                                  <a:pt x="294564" y="945232"/>
                                  <a:pt x="290689" y="934155"/>
                                  <a:pt x="287867" y="922866"/>
                                </a:cubicBezTo>
                                <a:cubicBezTo>
                                  <a:pt x="285045" y="894644"/>
                                  <a:pt x="282918" y="866344"/>
                                  <a:pt x="279400" y="838200"/>
                                </a:cubicBezTo>
                                <a:cubicBezTo>
                                  <a:pt x="277271" y="821166"/>
                                  <a:pt x="270552" y="804563"/>
                                  <a:pt x="270933" y="787400"/>
                                </a:cubicBezTo>
                                <a:cubicBezTo>
                                  <a:pt x="273382" y="677216"/>
                                  <a:pt x="280196" y="567144"/>
                                  <a:pt x="287867" y="457200"/>
                                </a:cubicBezTo>
                                <a:cubicBezTo>
                                  <a:pt x="289959" y="427213"/>
                                  <a:pt x="301363" y="416251"/>
                                  <a:pt x="313267" y="389466"/>
                                </a:cubicBezTo>
                                <a:cubicBezTo>
                                  <a:pt x="319440" y="375578"/>
                                  <a:pt x="324028" y="361021"/>
                                  <a:pt x="330200" y="347133"/>
                                </a:cubicBezTo>
                                <a:cubicBezTo>
                                  <a:pt x="335326" y="335599"/>
                                  <a:pt x="343666" y="325402"/>
                                  <a:pt x="347133" y="313266"/>
                                </a:cubicBezTo>
                                <a:lnTo>
                                  <a:pt x="364067" y="254000"/>
                                </a:lnTo>
                                <a:close/>
                              </a:path>
                            </a:pathLst>
                          </a:custGeom>
                          <a:solidFill>
                            <a:schemeClr val="bg1">
                              <a:lumMod val="6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98700124" name="Freeform: Shape 198700124">
                          <a:extLst>
                            <a:ext uri="{FF2B5EF4-FFF2-40B4-BE49-F238E27FC236}">
                              <a16:creationId xmlns:a16="http://schemas.microsoft.com/office/drawing/2014/main" id="{8858C84E-1043-FA32-58E3-87DF4BC709C6}"/>
                            </a:ext>
                          </a:extLst>
                        </wps:cNvPr>
                        <wps:cNvSpPr/>
                        <wps:spPr>
                          <a:xfrm>
                            <a:off x="0" y="8466"/>
                            <a:ext cx="1972733" cy="1669059"/>
                          </a:xfrm>
                          <a:custGeom>
                            <a:avLst/>
                            <a:gdLst>
                              <a:gd name="connsiteX0" fmla="*/ 135467 w 1972733"/>
                              <a:gd name="connsiteY0" fmla="*/ 143934 h 1669059"/>
                              <a:gd name="connsiteX1" fmla="*/ 135467 w 1972733"/>
                              <a:gd name="connsiteY1" fmla="*/ 143934 h 1669059"/>
                              <a:gd name="connsiteX2" fmla="*/ 194733 w 1972733"/>
                              <a:gd name="connsiteY2" fmla="*/ 448734 h 1669059"/>
                              <a:gd name="connsiteX3" fmla="*/ 203200 w 1972733"/>
                              <a:gd name="connsiteY3" fmla="*/ 533400 h 1669059"/>
                              <a:gd name="connsiteX4" fmla="*/ 211667 w 1972733"/>
                              <a:gd name="connsiteY4" fmla="*/ 601134 h 1669059"/>
                              <a:gd name="connsiteX5" fmla="*/ 169333 w 1972733"/>
                              <a:gd name="connsiteY5" fmla="*/ 804334 h 1669059"/>
                              <a:gd name="connsiteX6" fmla="*/ 143933 w 1972733"/>
                              <a:gd name="connsiteY6" fmla="*/ 838200 h 1669059"/>
                              <a:gd name="connsiteX7" fmla="*/ 84667 w 1972733"/>
                              <a:gd name="connsiteY7" fmla="*/ 939800 h 1669059"/>
                              <a:gd name="connsiteX8" fmla="*/ 50800 w 1972733"/>
                              <a:gd name="connsiteY8" fmla="*/ 965200 h 1669059"/>
                              <a:gd name="connsiteX9" fmla="*/ 25400 w 1972733"/>
                              <a:gd name="connsiteY9" fmla="*/ 1007534 h 1669059"/>
                              <a:gd name="connsiteX10" fmla="*/ 16933 w 1972733"/>
                              <a:gd name="connsiteY10" fmla="*/ 1058334 h 1669059"/>
                              <a:gd name="connsiteX11" fmla="*/ 0 w 1972733"/>
                              <a:gd name="connsiteY11" fmla="*/ 1151467 h 1669059"/>
                              <a:gd name="connsiteX12" fmla="*/ 8467 w 1972733"/>
                              <a:gd name="connsiteY12" fmla="*/ 1405467 h 1669059"/>
                              <a:gd name="connsiteX13" fmla="*/ 25400 w 1972733"/>
                              <a:gd name="connsiteY13" fmla="*/ 1439334 h 1669059"/>
                              <a:gd name="connsiteX14" fmla="*/ 33867 w 1972733"/>
                              <a:gd name="connsiteY14" fmla="*/ 1464734 h 1669059"/>
                              <a:gd name="connsiteX15" fmla="*/ 135467 w 1972733"/>
                              <a:gd name="connsiteY15" fmla="*/ 1515534 h 1669059"/>
                              <a:gd name="connsiteX16" fmla="*/ 397933 w 1972733"/>
                              <a:gd name="connsiteY16" fmla="*/ 1617134 h 1669059"/>
                              <a:gd name="connsiteX17" fmla="*/ 448733 w 1972733"/>
                              <a:gd name="connsiteY17" fmla="*/ 1634067 h 1669059"/>
                              <a:gd name="connsiteX18" fmla="*/ 508000 w 1972733"/>
                              <a:gd name="connsiteY18" fmla="*/ 1642534 h 1669059"/>
                              <a:gd name="connsiteX19" fmla="*/ 601133 w 1972733"/>
                              <a:gd name="connsiteY19" fmla="*/ 1659467 h 1669059"/>
                              <a:gd name="connsiteX20" fmla="*/ 1524000 w 1972733"/>
                              <a:gd name="connsiteY20" fmla="*/ 1667934 h 1669059"/>
                              <a:gd name="connsiteX21" fmla="*/ 1684867 w 1972733"/>
                              <a:gd name="connsiteY21" fmla="*/ 1659467 h 1669059"/>
                              <a:gd name="connsiteX22" fmla="*/ 1727200 w 1972733"/>
                              <a:gd name="connsiteY22" fmla="*/ 1600200 h 1669059"/>
                              <a:gd name="connsiteX23" fmla="*/ 1778000 w 1972733"/>
                              <a:gd name="connsiteY23" fmla="*/ 1549400 h 1669059"/>
                              <a:gd name="connsiteX24" fmla="*/ 1811867 w 1972733"/>
                              <a:gd name="connsiteY24" fmla="*/ 1507067 h 1669059"/>
                              <a:gd name="connsiteX25" fmla="*/ 1828800 w 1972733"/>
                              <a:gd name="connsiteY25" fmla="*/ 1456267 h 1669059"/>
                              <a:gd name="connsiteX26" fmla="*/ 1837267 w 1972733"/>
                              <a:gd name="connsiteY26" fmla="*/ 1405467 h 1669059"/>
                              <a:gd name="connsiteX27" fmla="*/ 1854200 w 1972733"/>
                              <a:gd name="connsiteY27" fmla="*/ 1278467 h 1669059"/>
                              <a:gd name="connsiteX28" fmla="*/ 1879600 w 1972733"/>
                              <a:gd name="connsiteY28" fmla="*/ 1041400 h 1669059"/>
                              <a:gd name="connsiteX29" fmla="*/ 1888067 w 1972733"/>
                              <a:gd name="connsiteY29" fmla="*/ 922867 h 1669059"/>
                              <a:gd name="connsiteX30" fmla="*/ 1896533 w 1972733"/>
                              <a:gd name="connsiteY30" fmla="*/ 609600 h 1669059"/>
                              <a:gd name="connsiteX31" fmla="*/ 1955800 w 1972733"/>
                              <a:gd name="connsiteY31" fmla="*/ 304800 h 1669059"/>
                              <a:gd name="connsiteX32" fmla="*/ 1972733 w 1972733"/>
                              <a:gd name="connsiteY32" fmla="*/ 237067 h 1669059"/>
                              <a:gd name="connsiteX33" fmla="*/ 1811867 w 1972733"/>
                              <a:gd name="connsiteY33" fmla="*/ 76200 h 1669059"/>
                              <a:gd name="connsiteX34" fmla="*/ 1371600 w 1972733"/>
                              <a:gd name="connsiteY34" fmla="*/ 0 h 1669059"/>
                              <a:gd name="connsiteX35" fmla="*/ 905933 w 1972733"/>
                              <a:gd name="connsiteY35" fmla="*/ 16934 h 1669059"/>
                              <a:gd name="connsiteX36" fmla="*/ 863600 w 1972733"/>
                              <a:gd name="connsiteY36" fmla="*/ 25400 h 1669059"/>
                              <a:gd name="connsiteX37" fmla="*/ 440267 w 1972733"/>
                              <a:gd name="connsiteY37" fmla="*/ 33867 h 1669059"/>
                              <a:gd name="connsiteX38" fmla="*/ 347133 w 1972733"/>
                              <a:gd name="connsiteY38" fmla="*/ 50800 h 1669059"/>
                              <a:gd name="connsiteX39" fmla="*/ 279400 w 1972733"/>
                              <a:gd name="connsiteY39" fmla="*/ 67734 h 1669059"/>
                              <a:gd name="connsiteX40" fmla="*/ 186267 w 1972733"/>
                              <a:gd name="connsiteY40" fmla="*/ 101600 h 1669059"/>
                              <a:gd name="connsiteX41" fmla="*/ 135467 w 1972733"/>
                              <a:gd name="connsiteY41" fmla="*/ 143934 h 16690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Lst>
                            <a:rect l="l" t="t" r="r" b="b"/>
                            <a:pathLst>
                              <a:path w="1972733" h="1669059">
                                <a:moveTo>
                                  <a:pt x="135467" y="143934"/>
                                </a:moveTo>
                                <a:lnTo>
                                  <a:pt x="135467" y="143934"/>
                                </a:lnTo>
                                <a:cubicBezTo>
                                  <a:pt x="181891" y="403910"/>
                                  <a:pt x="158332" y="303125"/>
                                  <a:pt x="194733" y="448734"/>
                                </a:cubicBezTo>
                                <a:cubicBezTo>
                                  <a:pt x="197555" y="476956"/>
                                  <a:pt x="200068" y="505211"/>
                                  <a:pt x="203200" y="533400"/>
                                </a:cubicBezTo>
                                <a:cubicBezTo>
                                  <a:pt x="205713" y="556015"/>
                                  <a:pt x="214489" y="578556"/>
                                  <a:pt x="211667" y="601134"/>
                                </a:cubicBezTo>
                                <a:cubicBezTo>
                                  <a:pt x="203085" y="669787"/>
                                  <a:pt x="188341" y="737808"/>
                                  <a:pt x="169333" y="804334"/>
                                </a:cubicBezTo>
                                <a:cubicBezTo>
                                  <a:pt x="165456" y="817902"/>
                                  <a:pt x="151412" y="826234"/>
                                  <a:pt x="143933" y="838200"/>
                                </a:cubicBezTo>
                                <a:cubicBezTo>
                                  <a:pt x="124759" y="868878"/>
                                  <a:pt x="113299" y="918326"/>
                                  <a:pt x="84667" y="939800"/>
                                </a:cubicBezTo>
                                <a:lnTo>
                                  <a:pt x="50800" y="965200"/>
                                </a:lnTo>
                                <a:cubicBezTo>
                                  <a:pt x="42333" y="979311"/>
                                  <a:pt x="31024" y="992068"/>
                                  <a:pt x="25400" y="1007534"/>
                                </a:cubicBezTo>
                                <a:cubicBezTo>
                                  <a:pt x="19533" y="1023667"/>
                                  <a:pt x="19543" y="1041367"/>
                                  <a:pt x="16933" y="1058334"/>
                                </a:cubicBezTo>
                                <a:cubicBezTo>
                                  <a:pt x="4798" y="1137214"/>
                                  <a:pt x="14487" y="1093520"/>
                                  <a:pt x="0" y="1151467"/>
                                </a:cubicBezTo>
                                <a:cubicBezTo>
                                  <a:pt x="2822" y="1236134"/>
                                  <a:pt x="1021" y="1321081"/>
                                  <a:pt x="8467" y="1405467"/>
                                </a:cubicBezTo>
                                <a:cubicBezTo>
                                  <a:pt x="9576" y="1418040"/>
                                  <a:pt x="20428" y="1427733"/>
                                  <a:pt x="25400" y="1439334"/>
                                </a:cubicBezTo>
                                <a:cubicBezTo>
                                  <a:pt x="28916" y="1447537"/>
                                  <a:pt x="26529" y="1459654"/>
                                  <a:pt x="33867" y="1464734"/>
                                </a:cubicBezTo>
                                <a:cubicBezTo>
                                  <a:pt x="64999" y="1486287"/>
                                  <a:pt x="100540" y="1500913"/>
                                  <a:pt x="135467" y="1515534"/>
                                </a:cubicBezTo>
                                <a:cubicBezTo>
                                  <a:pt x="222006" y="1551760"/>
                                  <a:pt x="310189" y="1583934"/>
                                  <a:pt x="397933" y="1617134"/>
                                </a:cubicBezTo>
                                <a:cubicBezTo>
                                  <a:pt x="414627" y="1623451"/>
                                  <a:pt x="431063" y="1631543"/>
                                  <a:pt x="448733" y="1634067"/>
                                </a:cubicBezTo>
                                <a:cubicBezTo>
                                  <a:pt x="468489" y="1636889"/>
                                  <a:pt x="488315" y="1639253"/>
                                  <a:pt x="508000" y="1642534"/>
                                </a:cubicBezTo>
                                <a:cubicBezTo>
                                  <a:pt x="539124" y="1647721"/>
                                  <a:pt x="569590" y="1658678"/>
                                  <a:pt x="601133" y="1659467"/>
                                </a:cubicBezTo>
                                <a:cubicBezTo>
                                  <a:pt x="908672" y="1667155"/>
                                  <a:pt x="1216378" y="1665112"/>
                                  <a:pt x="1524000" y="1667934"/>
                                </a:cubicBezTo>
                                <a:cubicBezTo>
                                  <a:pt x="1577622" y="1665112"/>
                                  <a:pt x="1633926" y="1676447"/>
                                  <a:pt x="1684867" y="1659467"/>
                                </a:cubicBezTo>
                                <a:cubicBezTo>
                                  <a:pt x="1707899" y="1651790"/>
                                  <a:pt x="1711518" y="1618733"/>
                                  <a:pt x="1727200" y="1600200"/>
                                </a:cubicBezTo>
                                <a:cubicBezTo>
                                  <a:pt x="1742669" y="1581919"/>
                                  <a:pt x="1762090" y="1567299"/>
                                  <a:pt x="1778000" y="1549400"/>
                                </a:cubicBezTo>
                                <a:cubicBezTo>
                                  <a:pt x="1863414" y="1453308"/>
                                  <a:pt x="1737489" y="1581441"/>
                                  <a:pt x="1811867" y="1507067"/>
                                </a:cubicBezTo>
                                <a:cubicBezTo>
                                  <a:pt x="1817511" y="1490134"/>
                                  <a:pt x="1824471" y="1473583"/>
                                  <a:pt x="1828800" y="1456267"/>
                                </a:cubicBezTo>
                                <a:cubicBezTo>
                                  <a:pt x="1832964" y="1439613"/>
                                  <a:pt x="1834196" y="1422357"/>
                                  <a:pt x="1837267" y="1405467"/>
                                </a:cubicBezTo>
                                <a:cubicBezTo>
                                  <a:pt x="1854733" y="1309400"/>
                                  <a:pt x="1837524" y="1428544"/>
                                  <a:pt x="1854200" y="1278467"/>
                                </a:cubicBezTo>
                                <a:cubicBezTo>
                                  <a:pt x="1866645" y="1166466"/>
                                  <a:pt x="1868028" y="1203407"/>
                                  <a:pt x="1879600" y="1041400"/>
                                </a:cubicBezTo>
                                <a:lnTo>
                                  <a:pt x="1888067" y="922867"/>
                                </a:lnTo>
                                <a:cubicBezTo>
                                  <a:pt x="1890889" y="818445"/>
                                  <a:pt x="1892092" y="713966"/>
                                  <a:pt x="1896533" y="609600"/>
                                </a:cubicBezTo>
                                <a:cubicBezTo>
                                  <a:pt x="1901622" y="490005"/>
                                  <a:pt x="1927488" y="446355"/>
                                  <a:pt x="1955800" y="304800"/>
                                </a:cubicBezTo>
                                <a:cubicBezTo>
                                  <a:pt x="1966017" y="253716"/>
                                  <a:pt x="1959717" y="276119"/>
                                  <a:pt x="1972733" y="237067"/>
                                </a:cubicBezTo>
                                <a:cubicBezTo>
                                  <a:pt x="1946156" y="205174"/>
                                  <a:pt x="1865428" y="93607"/>
                                  <a:pt x="1811867" y="76200"/>
                                </a:cubicBezTo>
                                <a:cubicBezTo>
                                  <a:pt x="1722464" y="47144"/>
                                  <a:pt x="1481859" y="15751"/>
                                  <a:pt x="1371600" y="0"/>
                                </a:cubicBezTo>
                                <a:cubicBezTo>
                                  <a:pt x="1292140" y="2270"/>
                                  <a:pt x="1017621" y="7999"/>
                                  <a:pt x="905933" y="16934"/>
                                </a:cubicBezTo>
                                <a:cubicBezTo>
                                  <a:pt x="891588" y="18082"/>
                                  <a:pt x="877981" y="24877"/>
                                  <a:pt x="863600" y="25400"/>
                                </a:cubicBezTo>
                                <a:cubicBezTo>
                                  <a:pt x="722554" y="30529"/>
                                  <a:pt x="581378" y="31045"/>
                                  <a:pt x="440267" y="33867"/>
                                </a:cubicBezTo>
                                <a:lnTo>
                                  <a:pt x="347133" y="50800"/>
                                </a:lnTo>
                                <a:cubicBezTo>
                                  <a:pt x="318807" y="56111"/>
                                  <a:pt x="304337" y="57759"/>
                                  <a:pt x="279400" y="67734"/>
                                </a:cubicBezTo>
                                <a:cubicBezTo>
                                  <a:pt x="160356" y="115352"/>
                                  <a:pt x="267556" y="78375"/>
                                  <a:pt x="186267" y="101600"/>
                                </a:cubicBezTo>
                                <a:cubicBezTo>
                                  <a:pt x="153508" y="110960"/>
                                  <a:pt x="143934" y="136878"/>
                                  <a:pt x="135467" y="143934"/>
                                </a:cubicBezTo>
                                <a:close/>
                              </a:path>
                            </a:pathLst>
                          </a:custGeom>
                          <a:solidFill>
                            <a:srgbClr val="BDD9E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355737028" name="Isosceles Triangle 355737028">
                          <a:extLst>
                            <a:ext uri="{FF2B5EF4-FFF2-40B4-BE49-F238E27FC236}">
                              <a16:creationId xmlns:a16="http://schemas.microsoft.com/office/drawing/2014/main" id="{92535D50-E1F8-D77D-54A7-2E44B8258F49}"/>
                            </a:ext>
                          </a:extLst>
                        </wps:cNvPr>
                        <wps:cNvSpPr/>
                        <wps:spPr>
                          <a:xfrm>
                            <a:off x="558795" y="1032933"/>
                            <a:ext cx="753534" cy="508000"/>
                          </a:xfrm>
                          <a:prstGeom prst="triangle">
                            <a:avLst/>
                          </a:prstGeom>
                          <a:solidFill>
                            <a:schemeClr val="accent1">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302446348" name="Isosceles Triangle 302446348">
                          <a:extLst>
                            <a:ext uri="{FF2B5EF4-FFF2-40B4-BE49-F238E27FC236}">
                              <a16:creationId xmlns:a16="http://schemas.microsoft.com/office/drawing/2014/main" id="{616D819C-6ECA-1A6E-F4F2-65580EDD4450}"/>
                            </a:ext>
                          </a:extLst>
                        </wps:cNvPr>
                        <wps:cNvSpPr/>
                        <wps:spPr>
                          <a:xfrm>
                            <a:off x="2946400" y="982133"/>
                            <a:ext cx="706114" cy="558800"/>
                          </a:xfrm>
                          <a:prstGeom prst="triangle">
                            <a:avLst/>
                          </a:prstGeom>
                          <a:solidFill>
                            <a:schemeClr val="accent1">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560978048" name="Graphic 8" descr="Confused person with solid fill">
                            <a:extLst>
                              <a:ext uri="{FF2B5EF4-FFF2-40B4-BE49-F238E27FC236}">
                                <a16:creationId xmlns:a16="http://schemas.microsoft.com/office/drawing/2014/main" id="{FBC2714F-C8EE-2309-82A4-B8BD28756D6D}"/>
                              </a:ext>
                            </a:extLst>
                          </pic:cNvPr>
                          <pic:cNvPicPr>
                            <a:picLocks noChangeAspect="1"/>
                          </pic:cNvPicPr>
                        </pic:nvPicPr>
                        <pic:blipFill>
                          <a:blip r:embed="rId14">
                            <a:biLevel thresh="25000"/>
                            <a:extLst>
                              <a:ext uri="{96DAC541-7B7A-43D3-8B79-37D633B846F1}">
                                <asvg:svgBlip xmlns:asvg="http://schemas.microsoft.com/office/drawing/2016/SVG/main" r:embed="rId15"/>
                              </a:ext>
                            </a:extLst>
                          </a:blip>
                          <a:stretch>
                            <a:fillRect/>
                          </a:stretch>
                        </pic:blipFill>
                        <pic:spPr>
                          <a:xfrm>
                            <a:off x="973661" y="13479"/>
                            <a:ext cx="753535" cy="753535"/>
                          </a:xfrm>
                          <a:prstGeom prst="rect">
                            <a:avLst/>
                          </a:prstGeom>
                        </pic:spPr>
                      </pic:pic>
                      <pic:pic xmlns:pic="http://schemas.openxmlformats.org/drawingml/2006/picture">
                        <pic:nvPicPr>
                          <pic:cNvPr id="602860144" name="Graphic 9" descr="Confused person with solid fill">
                            <a:extLst>
                              <a:ext uri="{FF2B5EF4-FFF2-40B4-BE49-F238E27FC236}">
                                <a16:creationId xmlns:a16="http://schemas.microsoft.com/office/drawing/2014/main" id="{63185302-C69C-F4DE-57E1-F9E4E7A48251}"/>
                              </a:ext>
                            </a:extLst>
                          </pic:cNvPr>
                          <pic:cNvPicPr>
                            <a:picLocks noChangeAspect="1"/>
                          </pic:cNvPicPr>
                        </pic:nvPicPr>
                        <pic:blipFill>
                          <a:blip r:embed="rId14">
                            <a:biLevel thresh="25000"/>
                            <a:extLst>
                              <a:ext uri="{96DAC541-7B7A-43D3-8B79-37D633B846F1}">
                                <asvg:svgBlip xmlns:asvg="http://schemas.microsoft.com/office/drawing/2016/SVG/main" r:embed="rId15"/>
                              </a:ext>
                            </a:extLst>
                          </a:blip>
                          <a:stretch>
                            <a:fillRect/>
                          </a:stretch>
                        </pic:blipFill>
                        <pic:spPr>
                          <a:xfrm>
                            <a:off x="2523064" y="13476"/>
                            <a:ext cx="753535" cy="753535"/>
                          </a:xfrm>
                          <a:prstGeom prst="rect">
                            <a:avLst/>
                          </a:prstGeom>
                        </pic:spPr>
                      </pic:pic>
                      <wps:wsp>
                        <wps:cNvPr id="1221444560" name="Straight Connector 1221444560">
                          <a:extLst>
                            <a:ext uri="{FF2B5EF4-FFF2-40B4-BE49-F238E27FC236}">
                              <a16:creationId xmlns:a16="http://schemas.microsoft.com/office/drawing/2014/main" id="{5F391022-D63D-BE6B-BD00-BF3DC737294A}"/>
                            </a:ext>
                          </a:extLst>
                        </wps:cNvPr>
                        <wps:cNvCnPr>
                          <a:cxnSpLocks/>
                          <a:endCxn id="302446348" idx="0"/>
                        </wps:cNvCnPr>
                        <wps:spPr>
                          <a:xfrm>
                            <a:off x="1514368" y="272953"/>
                            <a:ext cx="1785089" cy="709180"/>
                          </a:xfrm>
                          <a:prstGeom prst="line">
                            <a:avLst/>
                          </a:prstGeom>
                          <a:ln w="15875">
                            <a:solidFill>
                              <a:schemeClr val="accent5">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884800480" name="Straight Connector 1884800480">
                          <a:extLst>
                            <a:ext uri="{FF2B5EF4-FFF2-40B4-BE49-F238E27FC236}">
                              <a16:creationId xmlns:a16="http://schemas.microsoft.com/office/drawing/2014/main" id="{881B2120-267F-F26C-BC39-D4EE688866D9}"/>
                            </a:ext>
                          </a:extLst>
                        </wps:cNvPr>
                        <wps:cNvCnPr>
                          <a:cxnSpLocks/>
                        </wps:cNvCnPr>
                        <wps:spPr>
                          <a:xfrm>
                            <a:off x="2946394" y="272953"/>
                            <a:ext cx="330205" cy="697063"/>
                          </a:xfrm>
                          <a:prstGeom prst="line">
                            <a:avLst/>
                          </a:prstGeom>
                          <a:ln w="15875">
                            <a:solidFill>
                              <a:schemeClr val="accent5">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097726461" name="Straight Connector 1097726461">
                          <a:extLst>
                            <a:ext uri="{FF2B5EF4-FFF2-40B4-BE49-F238E27FC236}">
                              <a16:creationId xmlns:a16="http://schemas.microsoft.com/office/drawing/2014/main" id="{B05B3355-8C39-6B50-A3C0-848FCCAD144C}"/>
                            </a:ext>
                          </a:extLst>
                        </wps:cNvPr>
                        <wps:cNvCnPr>
                          <a:cxnSpLocks/>
                          <a:endCxn id="355737028" idx="0"/>
                        </wps:cNvCnPr>
                        <wps:spPr>
                          <a:xfrm flipH="1">
                            <a:off x="935562" y="390243"/>
                            <a:ext cx="1924261" cy="642690"/>
                          </a:xfrm>
                          <a:prstGeom prst="line">
                            <a:avLst/>
                          </a:prstGeom>
                          <a:ln w="15875">
                            <a:solidFill>
                              <a:schemeClr val="accent5">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855308123" name="Straight Connector 855308123">
                          <a:extLst>
                            <a:ext uri="{FF2B5EF4-FFF2-40B4-BE49-F238E27FC236}">
                              <a16:creationId xmlns:a16="http://schemas.microsoft.com/office/drawing/2014/main" id="{8FC602FD-EBC9-1C7D-43A1-0AF3D1EE93D1}"/>
                            </a:ext>
                          </a:extLst>
                        </wps:cNvPr>
                        <wps:cNvCnPr>
                          <a:cxnSpLocks/>
                          <a:endCxn id="355737028" idx="0"/>
                        </wps:cNvCnPr>
                        <wps:spPr>
                          <a:xfrm flipH="1">
                            <a:off x="935562" y="272953"/>
                            <a:ext cx="346074" cy="759980"/>
                          </a:xfrm>
                          <a:prstGeom prst="line">
                            <a:avLst/>
                          </a:prstGeom>
                          <a:ln w="15875">
                            <a:solidFill>
                              <a:schemeClr val="accent5">
                                <a:lumMod val="50000"/>
                              </a:schemeClr>
                            </a:solidFill>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196DD1F" id="Group 26" o:spid="_x0000_s1026" style="position:absolute;margin-left:245.6pt;margin-top:1.4pt;width:212.4pt;height:148pt;z-index:251637248;mso-position-horizontal-relative:margin;mso-width-relative:margin;mso-height-relative:margin" coordsize="42240,2160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">
                <v:shape id="Freeform: Shape 1455013217" o:spid="_x0000_s1027" style="position:absolute;left:15663;width:26577;height:21605;visibility:visible;mso-wrap-style:square;v-text-anchor:middle" coordsize="2657677,21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" path="m364067,254000r,c392289,251178,421661,253993,448733,245533v57039,-17825,38334,-38207,84667,-59267c552105,177764,572911,174977,592667,169333v11289,-8467,23026,-16366,33866,-25400c632665,138823,636825,131428,643467,127000v10501,-7001,22265,-11962,33866,-16934c766960,71654,738218,80164,812800,67733v14111,-5644,27539,-13452,42333,-16933c948970,28720,1008325,31000,1109133,25400v101321,-16888,7260,-2841,169334,-16934c1303927,6252,1329267,2822,1354667,v189089,5644,378341,7245,567266,16933c1953445,18549,1987285,18906,2015067,33866v13382,7206,10760,28446,16933,42334c2037126,87733,2043874,98503,2048933,110066v57647,131764,19428,63423,67734,143934c2148600,381739,2097795,188917,2142067,321733v4551,13652,4976,28372,8466,42333c2193541,536096,2142579,320789,2184400,474133v3786,13883,5645,28222,8467,42333c2195689,550333,2196527,584424,2201333,618066v3680,25758,11083,50847,16934,76200c2220884,705604,2224820,716655,2226733,728133v3741,22444,5808,45135,8467,67733c2238186,821247,2240053,846767,2243667,872066v2035,14246,6564,28069,8466,42334c2254184,929782,2262500,1033708,2269067,1058333v6213,23299,17160,45072,25400,67733c2305147,1155437,2304950,1158326,2311400,1193800v3071,16890,-530,36180,8467,50800c2334509,1268394,2354876,1290005,2379133,1303866v126283,72162,75362,53344,143934,76200c2542822,1402644,2563914,1424119,2582333,1447800v21150,27193,59267,84666,59267,84666c2653518,1592054,2670866,1660201,2641600,1718733v-10089,20178,-124160,32631,-143933,33867c2430007,1756829,2362200,1758244,2294467,1761066v-25400,2822,-50901,4853,-76200,8467c2204021,1771568,2190324,1778000,2175933,1778000v-214507,,-428977,-5645,-643466,-8467l1159933,1786466v-36746,1934,-73639,3263,-110066,8467c1026828,1798224,1004954,1807302,982133,1811866v-33667,6733,-68291,8607,-101600,16934c869244,1831622,858026,1834742,846667,1837266v-63019,14004,-70793,10065,-152400,33867c662555,1880382,631319,1891584,601133,1905000v-57600,25600,-152718,68051,-203200,118533c372533,2048933,341658,2069845,321733,2099733v-5644,8467,-9738,18205,-16933,25400c297605,2132328,288501,2137515,279400,2142066v-20844,10422,-56686,13682,-76200,16934c180622,2156178,149340,2168568,135467,2150533,87750,2088500,77280,2003984,33867,1938866l,1888066v727,-8728,5586,-113674,16933,-143933c20027,1735883,57809,1686810,59267,1684866v2822,-11289,3262,-23458,8466,-33866c71303,1643860,80239,1640708,84667,1634066v7001,-10501,11961,-22265,16933,-33866c114477,1570154,103757,1576517,127000,1549400v61593,-71859,11926,-955,50800,-59267c200051,1401131,166689,1502302,211667,1439333v8834,-12367,9393,-29137,16933,-42333c232560,1390069,241105,1386708,245533,1380066v7001,-10501,11289,-22577,16934,-33866c265289,1329267,264330,1311246,270933,1295400v7827,-18786,27431,-31493,33867,-50800l313267,1219200v-3615,-79519,-4075,-178885,-16934,-262467c294564,945232,290689,934155,287867,922866v-2822,-28222,-4949,-56522,-8467,-84666c277271,821166,270552,804563,270933,787400v2449,-110184,9263,-220256,16934,-330200c289959,427213,301363,416251,313267,389466v6173,-13888,10761,-28445,16933,-42333c335326,335599,343666,325402,347133,313266r16934,-59266xe" fillcolor="#a5a5a5 [2092]" stroked="f" strokeweight="2pt">
                  <v:path arrowok="t" o:connecttype="custom" o:connectlocs="364067,254000;364067,254000;448733,245533;533400,186266;592667,169333;626533,143933;643467,127000;677333,110066;812800,67733;855133,50800;1109133,25400;1278467,8466;1354667,0;1921933,16933;2015067,33866;2032000,76200;2048933,110066;2116667,254000;2142067,321733;2150533,364066;2184400,474133;2192867,516466;2201333,618066;2218267,694266;2226733,728133;2235200,795866;2243667,872066;2252133,914400;2269067,1058333;2294467,1126066;2311400,1193800;2319867,1244600;2379133,1303866;2523067,1380066;2582333,1447800;2641600,1532466;2641600,1718733;2497667,1752600;2294467,1761066;2218267,1769533;2175933,1778000;1532467,1769533;1159933,1786466;1049867,1794933;982133,1811866;880533,1828800;846667,1837266;694267,1871133;601133,1905000;397933,2023533;321733,2099733;304800,2125133;279400,2142066;203200,2159000;135467,2150533;33867,1938866;0,1888066;16933,1744133;59267,1684866;67733,1651000;84667,1634066;101600,1600200;127000,1549400;177800,1490133;211667,1439333;228600,1397000;245533,1380066;262467,1346200;270933,1295400;304800,1244600;313267,1219200;296333,956733;287867,922866;279400,838200;270933,787400;287867,457200;313267,389466;330200,347133;347133,313266;364067,254000" o:connectangles="0,0,0,0,0,0,0,0,0,0,0,0,0,0,0,0,0,0,0,0,0,0,0,0,0,0,0,0,0,0,0,0,0,0,0,0,0,0,0,0,0,0,0,0,0,0,0,0,0,0,0,0,0,0,0,0,0,0,0,0,0,0,0,0,0,0,0,0,0,0,0,0,0,0,0,0,0,0,0,0"/>
                </v:shape>
                <v:shape id="Freeform: Shape 198700124" o:spid="_x0000_s1028" style="position:absolute;top:84;width:19727;height:16691;visibility:visible;mso-wrap-style:square;v-text-anchor:middle" coordsize="1972733,1669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" path="m135467,143934r,c181891,403910,158332,303125,194733,448734v2822,28222,5335,56477,8467,84666c205713,556015,214489,578556,211667,601134v-8582,68653,-23326,136674,-42334,203200c165456,817902,151412,826234,143933,838200v-19174,30678,-30634,80126,-59266,101600l50800,965200v-8467,14111,-19776,26868,-25400,42334c19533,1023667,19543,1041367,16933,1058334,4798,1137214,14487,1093520,,1151467v2822,84667,1021,169614,8467,254000c9576,1418040,20428,1427733,25400,1439334v3516,8203,1129,20320,8467,25400c64999,1486287,100540,1500913,135467,1515534v86539,36226,174722,68400,262466,101600c414627,1623451,431063,1631543,448733,1634067v19756,2822,39582,5186,59267,8467c539124,1647721,569590,1658678,601133,1659467v307539,7688,615245,5645,922867,8467c1577622,1665112,1633926,1676447,1684867,1659467v23032,-7677,26651,-40734,42333,-59267c1742669,1581919,1762090,1567299,1778000,1549400v85414,-96092,-40511,32041,33867,-42333c1817511,1490134,1824471,1473583,1828800,1456267v4164,-16654,5396,-33910,8467,-50800c1854733,1309400,1837524,1428544,1854200,1278467v12445,-112001,13828,-75060,25400,-237067l1888067,922867v2822,-104422,4025,-208901,8466,-313267c1901622,490005,1927488,446355,1955800,304800v10217,-51084,3917,-28681,16933,-67733c1946156,205174,1865428,93607,1811867,76200,1722464,47144,1481859,15751,1371600,,1292140,2270,1017621,7999,905933,16934v-14345,1148,-27952,7943,-42333,8466c722554,30529,581378,31045,440267,33867l347133,50800v-28326,5311,-42796,6959,-67733,16934c160356,115352,267556,78375,186267,101600v-32759,9360,-42333,35278,-50800,42334xe" fillcolor="#bdd9e3" stroked="f" strokeweight="2pt">
                  <v:path arrowok="t" o:connecttype="custom" o:connectlocs="135467,143934;135467,143934;194733,448734;203200,533400;211667,601134;169333,804334;143933,838200;84667,939800;50800,965200;25400,1007534;16933,1058334;0,1151467;8467,1405467;25400,1439334;33867,1464734;135467,1515534;397933,1617134;448733,1634067;508000,1642534;601133,1659467;1524000,1667934;1684867,1659467;1727200,1600200;1778000,1549400;1811867,1507067;1828800,1456267;1837267,1405467;1854200,1278467;1879600,1041400;1888067,922867;1896533,609600;1955800,304800;1972733,237067;1811867,76200;1371600,0;905933,16934;863600,25400;440267,33867;347133,50800;279400,67734;186267,101600;135467,143934" o:connectangles="0,0,0,0,0,0,0,0,0,0,0,0,0,0,0,0,0,0,0,0,0,0,0,0,0,0,0,0,0,0,0,0,0,0,0,0,0,0,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55737028" o:spid="_x0000_s1029" type="#_x0000_t5" style="position:absolute;left:5587;top:10329;width:7536;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" fillcolor="#77230c [1604]" stroked="f" strokeweight="2pt"/>
                <v:shape id="Isosceles Triangle 302446348" o:spid="_x0000_s1030" type="#_x0000_t5" style="position:absolute;left:29464;top:9821;width:7061;height:5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" fillcolor="#77230c [160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8" o:spid="_x0000_s1031" type="#_x0000_t75" alt="Confused person with solid fill" style="position:absolute;left:9736;top:134;width:7535;height:75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">
                  <v:imagedata r:id="rId16" o:title="Confused person with solid fill" grayscale="t" bilevel="t"/>
                </v:shape>
                <v:shape id="Graphic 9" o:spid="_x0000_s1032" type="#_x0000_t75" alt="Confused person with solid fill" style="position:absolute;left:25230;top:134;width:7535;height:75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">
                  <v:imagedata r:id="rId16" o:title="Confused person with solid fill" grayscale="t" bilevel="t"/>
                </v:shape>
                <v:line id="Straight Connector 1221444560" o:spid="_x0000_s1033" style="position:absolute;visibility:visible;mso-wrap-style:square" from="15143,2729" to="32994,9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" strokecolor="#654b00 [1608]" strokeweight="1.25pt">
                  <v:shadow on="t" color="black" opacity="24903f" origin=",.5" offset="0,.55556mm"/>
                  <o:lock v:ext="edit" shapetype="f"/>
                </v:line>
                <v:line id="Straight Connector 1884800480" o:spid="_x0000_s1034" style="position:absolute;visibility:visible;mso-wrap-style:square" from="29463,2729" to="32765,9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" strokecolor="#654b00 [1608]" strokeweight="1.25pt">
                  <v:shadow on="t" color="black" opacity="24903f" origin=",.5" offset="0,.55556mm"/>
                  <o:lock v:ext="edit" shapetype="f"/>
                </v:line>
                <v:line id="Straight Connector 1097726461" o:spid="_x0000_s1035" style="position:absolute;flip:x;visibility:visible;mso-wrap-style:square" from="9355,3902" to="28598,10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" strokecolor="#654b00 [1608]" strokeweight="1.25pt">
                  <v:shadow on="t" color="black" opacity="24903f" origin=",.5" offset="0,.55556mm"/>
                  <o:lock v:ext="edit" shapetype="f"/>
                </v:line>
                <v:line id="Straight Connector 855308123" o:spid="_x0000_s1036" style="position:absolute;flip:x;visibility:visible;mso-wrap-style:square" from="9355,2729" to="12816,10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" strokecolor="#654b00 [1608]" strokeweight="1.25pt">
                  <v:shadow on="t" color="black" opacity="24903f" origin=",.5" offset="0,.55556mm"/>
                  <o:lock v:ext="edit" shapetype="f"/>
                </v:line>
                <w10:wrap type="square" anchorx="margin"/>
              </v:group>
            </w:pict>
          </mc:Fallback>
        </mc:AlternateContent>
      </w:r>
      <w:r>
        <w:t>This example shows the unexpected result for individual partners with income and loss from different partnerships in different states.</w:t>
      </w:r>
    </w:p>
    <w:p w14:paraId="10548A7D" w14:textId="556BAEBE" w:rsidR="008A550B" w:rsidRDefault="003F514A" w:rsidP="00366E17">
      <w:pPr>
        <w:pStyle w:val="ListParagraph"/>
        <w:numPr>
          <w:ilvl w:val="0"/>
          <w:numId w:val="13"/>
        </w:numPr>
        <w:spacing w:after="120"/>
        <w:ind w:left="1080"/>
        <w:contextualSpacing w:val="0"/>
      </w:pPr>
      <w:r>
        <w:t xml:space="preserve">Smith, </w:t>
      </w:r>
      <w:r w:rsidR="00597F66">
        <w:t xml:space="preserve">a </w:t>
      </w:r>
      <w:r>
        <w:t xml:space="preserve">resident </w:t>
      </w:r>
      <w:r w:rsidR="00923AAF">
        <w:t>of</w:t>
      </w:r>
      <w:r>
        <w:t xml:space="preserve"> State A, and Jones, </w:t>
      </w:r>
      <w:r w:rsidR="00597F66">
        <w:t xml:space="preserve">a </w:t>
      </w:r>
      <w:r>
        <w:t xml:space="preserve">resident </w:t>
      </w:r>
      <w:r w:rsidR="00923AAF">
        <w:t>of</w:t>
      </w:r>
      <w:r>
        <w:t xml:space="preserve"> State B, are separately engaged in similar businesses. </w:t>
      </w:r>
    </w:p>
    <w:p w14:paraId="60662D1F" w14:textId="77777777" w:rsidR="00FB4185" w:rsidRDefault="008A550B" w:rsidP="00366E17">
      <w:pPr>
        <w:pStyle w:val="ListParagraph"/>
        <w:numPr>
          <w:ilvl w:val="0"/>
          <w:numId w:val="13"/>
        </w:numPr>
        <w:spacing w:after="120"/>
        <w:ind w:left="1080"/>
        <w:contextualSpacing w:val="0"/>
      </w:pPr>
      <w:r>
        <w:t>Smith and Jones</w:t>
      </w:r>
      <w:r w:rsidR="003F514A">
        <w:t xml:space="preserve"> </w:t>
      </w:r>
      <w:r w:rsidR="006C4D2E">
        <w:t xml:space="preserve">combine </w:t>
      </w:r>
      <w:r w:rsidR="003F514A">
        <w:t>their businesses</w:t>
      </w:r>
      <w:r w:rsidR="009142E7">
        <w:t>—in which they will have equal ownership and shares of income</w:t>
      </w:r>
      <w:r w:rsidR="00E14CF5">
        <w:t xml:space="preserve">. </w:t>
      </w:r>
      <w:r w:rsidR="0001715E">
        <w:t xml:space="preserve"> </w:t>
      </w:r>
      <w:r w:rsidR="00E14CF5">
        <w:t>B</w:t>
      </w:r>
      <w:r w:rsidR="00923AAF">
        <w:t xml:space="preserve">ut </w:t>
      </w:r>
      <w:r w:rsidR="0001715E">
        <w:t xml:space="preserve">for </w:t>
      </w:r>
      <w:r w:rsidR="00E14CF5">
        <w:t xml:space="preserve">state </w:t>
      </w:r>
      <w:r w:rsidR="0001715E">
        <w:t>regulatory reasons</w:t>
      </w:r>
      <w:r w:rsidR="00E14CF5">
        <w:t>, they</w:t>
      </w:r>
      <w:r w:rsidR="0001715E">
        <w:t xml:space="preserve"> </w:t>
      </w:r>
      <w:r w:rsidR="003F514A">
        <w:t>creat</w:t>
      </w:r>
      <w:r w:rsidR="0001715E">
        <w:t>e</w:t>
      </w:r>
      <w:r w:rsidR="003F514A">
        <w:t xml:space="preserve"> two</w:t>
      </w:r>
      <w:r w:rsidR="00080585">
        <w:t xml:space="preserve"> separate</w:t>
      </w:r>
      <w:r w:rsidR="003F514A">
        <w:t xml:space="preserve"> partnerships</w:t>
      </w:r>
      <w:r w:rsidR="009142E7">
        <w:t xml:space="preserve">: </w:t>
      </w:r>
    </w:p>
    <w:p w14:paraId="566623AE" w14:textId="77777777" w:rsidR="00FB4185" w:rsidRDefault="00922451" w:rsidP="00366E17">
      <w:pPr>
        <w:pStyle w:val="ListParagraph"/>
        <w:numPr>
          <w:ilvl w:val="1"/>
          <w:numId w:val="13"/>
        </w:numPr>
        <w:spacing w:after="40"/>
        <w:ind w:left="1800"/>
        <w:contextualSpacing w:val="0"/>
      </w:pPr>
      <w:r>
        <w:t>P</w:t>
      </w:r>
      <w:r w:rsidR="003F514A">
        <w:t xml:space="preserve">1 operating </w:t>
      </w:r>
      <w:r w:rsidR="009142E7">
        <w:t xml:space="preserve">entirely </w:t>
      </w:r>
      <w:r w:rsidR="003F514A">
        <w:t>in State A</w:t>
      </w:r>
    </w:p>
    <w:p w14:paraId="7CDFCD1F" w14:textId="01954434" w:rsidR="00FB4185" w:rsidRDefault="003F514A" w:rsidP="00366E17">
      <w:pPr>
        <w:pStyle w:val="ListParagraph"/>
        <w:numPr>
          <w:ilvl w:val="1"/>
          <w:numId w:val="13"/>
        </w:numPr>
        <w:spacing w:after="120"/>
        <w:ind w:left="1800"/>
        <w:contextualSpacing w:val="0"/>
      </w:pPr>
      <w:r>
        <w:t xml:space="preserve">P2 operating in </w:t>
      </w:r>
      <w:r w:rsidR="009142E7">
        <w:t xml:space="preserve">entirely </w:t>
      </w:r>
      <w:r>
        <w:t>State B</w:t>
      </w:r>
      <w:r w:rsidR="009142E7">
        <w:t>.</w:t>
      </w:r>
    </w:p>
    <w:p w14:paraId="0B1AD80A" w14:textId="77777777" w:rsidR="00FB4185" w:rsidRDefault="009142E7" w:rsidP="00366E17">
      <w:pPr>
        <w:pStyle w:val="ListParagraph"/>
        <w:numPr>
          <w:ilvl w:val="0"/>
          <w:numId w:val="13"/>
        </w:numPr>
        <w:spacing w:after="120"/>
        <w:ind w:left="1080"/>
        <w:contextualSpacing w:val="0"/>
      </w:pPr>
      <w:r>
        <w:t xml:space="preserve">States A and B </w:t>
      </w:r>
      <w:r w:rsidR="00895816">
        <w:t>apply the following sourcing rules:</w:t>
      </w:r>
    </w:p>
    <w:p w14:paraId="3B61316D" w14:textId="1396612E" w:rsidR="00FB4185" w:rsidRDefault="00895816" w:rsidP="00366E17">
      <w:pPr>
        <w:pStyle w:val="ListParagraph"/>
        <w:numPr>
          <w:ilvl w:val="1"/>
          <w:numId w:val="13"/>
        </w:numPr>
        <w:spacing w:after="40"/>
        <w:ind w:left="1800"/>
        <w:contextualSpacing w:val="0"/>
      </w:pPr>
      <w:r>
        <w:t xml:space="preserve">Residents </w:t>
      </w:r>
      <w:r w:rsidR="00685924">
        <w:t xml:space="preserve">- </w:t>
      </w:r>
      <w:r>
        <w:t xml:space="preserve">source </w:t>
      </w:r>
      <w:r w:rsidR="00080585">
        <w:t xml:space="preserve">100% of </w:t>
      </w:r>
      <w:r>
        <w:t>their income</w:t>
      </w:r>
      <w:r w:rsidR="00080585">
        <w:t xml:space="preserve"> </w:t>
      </w:r>
      <w:r>
        <w:t xml:space="preserve">to the state and receive </w:t>
      </w:r>
      <w:r w:rsidR="00080585">
        <w:t>a credit for taxes paid</w:t>
      </w:r>
      <w:r w:rsidR="00685924">
        <w:t>.</w:t>
      </w:r>
    </w:p>
    <w:p w14:paraId="787548FC" w14:textId="77777777" w:rsidR="00FB4185" w:rsidRDefault="00685924" w:rsidP="00366E17">
      <w:pPr>
        <w:pStyle w:val="ListParagraph"/>
        <w:numPr>
          <w:ilvl w:val="1"/>
          <w:numId w:val="13"/>
        </w:numPr>
        <w:spacing w:after="120"/>
        <w:ind w:left="1800"/>
        <w:contextualSpacing w:val="0"/>
      </w:pPr>
      <w:r>
        <w:t>N</w:t>
      </w:r>
      <w:r w:rsidR="00895816">
        <w:t xml:space="preserve">onresidents </w:t>
      </w:r>
      <w:r>
        <w:t xml:space="preserve">- </w:t>
      </w:r>
      <w:r w:rsidR="009142E7">
        <w:t xml:space="preserve">partnership business income </w:t>
      </w:r>
      <w:bookmarkStart w:id="24" w:name="_Hlk193817844"/>
      <w:r w:rsidR="009142E7">
        <w:t xml:space="preserve">(loss) </w:t>
      </w:r>
      <w:r>
        <w:t xml:space="preserve">is apportioned </w:t>
      </w:r>
      <w:r w:rsidR="009142E7">
        <w:t>at the entity level</w:t>
      </w:r>
      <w:r>
        <w:t xml:space="preserve"> and this source is attributed to direct and indirect</w:t>
      </w:r>
      <w:r w:rsidR="00080585">
        <w:t xml:space="preserve"> </w:t>
      </w:r>
      <w:r w:rsidR="009142E7">
        <w:t>partners’ share</w:t>
      </w:r>
      <w:r w:rsidR="0005547E">
        <w:t>s</w:t>
      </w:r>
      <w:bookmarkEnd w:id="24"/>
      <w:r w:rsidR="009142E7">
        <w:t xml:space="preserve">. </w:t>
      </w:r>
    </w:p>
    <w:p w14:paraId="07309A8C" w14:textId="77777777" w:rsidR="00FB4185" w:rsidRDefault="00685924" w:rsidP="00366E17">
      <w:pPr>
        <w:pStyle w:val="ListParagraph"/>
        <w:numPr>
          <w:ilvl w:val="0"/>
          <w:numId w:val="13"/>
        </w:numPr>
        <w:spacing w:after="120"/>
        <w:ind w:left="1080"/>
        <w:contextualSpacing w:val="0"/>
      </w:pPr>
      <w:r>
        <w:t xml:space="preserve">Apportioned at the partnership level: </w:t>
      </w:r>
    </w:p>
    <w:p w14:paraId="19AAD882" w14:textId="77777777" w:rsidR="00FB4185" w:rsidRDefault="00922451" w:rsidP="00366E17">
      <w:pPr>
        <w:pStyle w:val="ListParagraph"/>
        <w:numPr>
          <w:ilvl w:val="1"/>
          <w:numId w:val="13"/>
        </w:numPr>
        <w:spacing w:after="40"/>
        <w:ind w:left="1800"/>
        <w:contextualSpacing w:val="0"/>
      </w:pPr>
      <w:r>
        <w:t>P</w:t>
      </w:r>
      <w:r w:rsidR="0001715E">
        <w:t>1</w:t>
      </w:r>
      <w:r w:rsidR="008A550B">
        <w:t xml:space="preserve"> has</w:t>
      </w:r>
      <w:r w:rsidR="0001715E">
        <w:t xml:space="preserve"> $100,000 of net income </w:t>
      </w:r>
      <w:r w:rsidR="009142E7">
        <w:t xml:space="preserve">apportioned entirely to State A </w:t>
      </w:r>
    </w:p>
    <w:p w14:paraId="53C75317" w14:textId="77777777" w:rsidR="00FB4185" w:rsidRDefault="00922451" w:rsidP="00366E17">
      <w:pPr>
        <w:pStyle w:val="ListParagraph"/>
        <w:numPr>
          <w:ilvl w:val="1"/>
          <w:numId w:val="13"/>
        </w:numPr>
        <w:spacing w:after="120"/>
        <w:ind w:left="1800"/>
        <w:contextualSpacing w:val="0"/>
      </w:pPr>
      <w:r>
        <w:t>P</w:t>
      </w:r>
      <w:r w:rsidR="0001715E">
        <w:t>2 has $100,000 of net loss</w:t>
      </w:r>
      <w:r w:rsidR="009142E7">
        <w:t xml:space="preserve"> apportioned entirely to State B.</w:t>
      </w:r>
    </w:p>
    <w:p w14:paraId="2A0E51E5" w14:textId="77777777" w:rsidR="00FB4185" w:rsidRDefault="00685924" w:rsidP="00366E17">
      <w:pPr>
        <w:pStyle w:val="ListParagraph"/>
        <w:numPr>
          <w:ilvl w:val="0"/>
          <w:numId w:val="13"/>
        </w:numPr>
        <w:spacing w:after="120"/>
        <w:ind w:left="1080"/>
        <w:contextualSpacing w:val="0"/>
      </w:pPr>
      <w:r>
        <w:t>S</w:t>
      </w:r>
      <w:r w:rsidR="00E14CF5">
        <w:t>ourcing</w:t>
      </w:r>
      <w:r w:rsidR="009142E7">
        <w:t xml:space="preserve"> </w:t>
      </w:r>
      <w:r>
        <w:t>r</w:t>
      </w:r>
      <w:r w:rsidR="009142E7">
        <w:t>esult</w:t>
      </w:r>
      <w:r>
        <w:t xml:space="preserve"> for partners</w:t>
      </w:r>
      <w:r w:rsidR="00922451">
        <w:t xml:space="preserve">: </w:t>
      </w:r>
    </w:p>
    <w:p w14:paraId="12FCAE0E" w14:textId="77777777" w:rsidR="00FB4185" w:rsidRDefault="00405FD1" w:rsidP="00366E17">
      <w:pPr>
        <w:pStyle w:val="ListParagraph"/>
        <w:numPr>
          <w:ilvl w:val="1"/>
          <w:numId w:val="13"/>
        </w:numPr>
        <w:spacing w:after="120"/>
        <w:ind w:left="1800"/>
        <w:contextualSpacing w:val="0"/>
      </w:pPr>
      <w:r>
        <w:t xml:space="preserve">Federal </w:t>
      </w:r>
      <w:r w:rsidR="00685924">
        <w:t xml:space="preserve">tax </w:t>
      </w:r>
      <w:r>
        <w:t xml:space="preserve">and </w:t>
      </w:r>
      <w:r w:rsidR="009142E7">
        <w:t xml:space="preserve">resident </w:t>
      </w:r>
      <w:r>
        <w:t>state</w:t>
      </w:r>
      <w:r w:rsidR="00F571EB">
        <w:t>s</w:t>
      </w:r>
      <w:r w:rsidR="00685924">
        <w:t xml:space="preserve"> returns</w:t>
      </w:r>
      <w:r>
        <w:t xml:space="preserve"> – </w:t>
      </w:r>
    </w:p>
    <w:p w14:paraId="2DA845B4" w14:textId="77777777" w:rsidR="00FB4185" w:rsidRDefault="00405FD1" w:rsidP="00366E17">
      <w:pPr>
        <w:pStyle w:val="ListParagraph"/>
        <w:numPr>
          <w:ilvl w:val="1"/>
          <w:numId w:val="42"/>
        </w:numPr>
        <w:spacing w:after="120"/>
        <w:ind w:left="2520"/>
        <w:contextualSpacing w:val="0"/>
      </w:pPr>
      <w:r>
        <w:t xml:space="preserve">Smith and Jones will </w:t>
      </w:r>
      <w:r w:rsidR="00F571EB">
        <w:t xml:space="preserve">both </w:t>
      </w:r>
      <w:r w:rsidR="00E14CF5">
        <w:t xml:space="preserve">report their shares of both P1 income and P2 loss, offsetting those amounts for </w:t>
      </w:r>
      <w:r w:rsidR="009142E7">
        <w:t>$0 net partnership income.</w:t>
      </w:r>
    </w:p>
    <w:p w14:paraId="070CD629" w14:textId="77777777" w:rsidR="00FB4185" w:rsidRDefault="00405FD1" w:rsidP="00366E17">
      <w:pPr>
        <w:pStyle w:val="ListParagraph"/>
        <w:numPr>
          <w:ilvl w:val="0"/>
          <w:numId w:val="42"/>
        </w:numPr>
        <w:spacing w:after="120"/>
        <w:ind w:left="1800"/>
        <w:contextualSpacing w:val="0"/>
      </w:pPr>
      <w:r>
        <w:t>Nonreside</w:t>
      </w:r>
      <w:r w:rsidR="009142E7">
        <w:t>nt state</w:t>
      </w:r>
      <w:r w:rsidR="00F571EB">
        <w:t>s</w:t>
      </w:r>
      <w:r w:rsidR="00685924">
        <w:t xml:space="preserve"> returns</w:t>
      </w:r>
      <w:r w:rsidR="00F571EB">
        <w:t xml:space="preserve"> –</w:t>
      </w:r>
    </w:p>
    <w:p w14:paraId="15531D11" w14:textId="77777777" w:rsidR="00FB4185" w:rsidRDefault="00405FD1" w:rsidP="00366E17">
      <w:pPr>
        <w:pStyle w:val="ListParagraph"/>
        <w:numPr>
          <w:ilvl w:val="2"/>
          <w:numId w:val="42"/>
        </w:numPr>
        <w:spacing w:after="40"/>
        <w:contextualSpacing w:val="0"/>
      </w:pPr>
      <w:r>
        <w:t>Smith</w:t>
      </w:r>
      <w:r w:rsidR="009142E7">
        <w:t>, as a nonresident,</w:t>
      </w:r>
      <w:r>
        <w:t xml:space="preserve"> will report $50,000 of loss </w:t>
      </w:r>
      <w:r w:rsidR="009142E7">
        <w:t>to</w:t>
      </w:r>
      <w:r>
        <w:t xml:space="preserve"> State B</w:t>
      </w:r>
      <w:r w:rsidR="009142E7">
        <w:t>.</w:t>
      </w:r>
      <w:r>
        <w:t xml:space="preserve"> </w:t>
      </w:r>
    </w:p>
    <w:p w14:paraId="0F8DC0A9" w14:textId="3681A44D" w:rsidR="00315612" w:rsidRDefault="00405FD1" w:rsidP="00366E17">
      <w:pPr>
        <w:pStyle w:val="ListParagraph"/>
        <w:numPr>
          <w:ilvl w:val="1"/>
          <w:numId w:val="42"/>
        </w:numPr>
        <w:spacing w:after="120"/>
        <w:ind w:left="2520"/>
        <w:contextualSpacing w:val="0"/>
      </w:pPr>
      <w:r>
        <w:t>Jones</w:t>
      </w:r>
      <w:r w:rsidR="009142E7">
        <w:t>, as a nonresident,</w:t>
      </w:r>
      <w:r>
        <w:t xml:space="preserve"> will report $50,000 of income in State A</w:t>
      </w:r>
      <w:r w:rsidR="009142E7">
        <w:t xml:space="preserve">. </w:t>
      </w:r>
    </w:p>
    <w:p w14:paraId="6BD4C38E" w14:textId="2D9BC249" w:rsidR="00907459" w:rsidRDefault="00907459">
      <w:pPr>
        <w:spacing w:line="276" w:lineRule="auto"/>
        <w:jc w:val="left"/>
      </w:pPr>
      <w:r>
        <w:br w:type="page"/>
      </w:r>
    </w:p>
    <w:p w14:paraId="396255B9" w14:textId="4305835C" w:rsidR="008A550B" w:rsidRDefault="00907459" w:rsidP="00B22D31">
      <w:pPr>
        <w:pStyle w:val="Heading4"/>
        <w:ind w:left="720"/>
      </w:pPr>
      <w:r>
        <w:rPr>
          <w:noProof/>
        </w:rPr>
        <w:lastRenderedPageBreak/>
        <mc:AlternateContent>
          <mc:Choice Requires="wpg">
            <w:drawing>
              <wp:anchor distT="0" distB="0" distL="114300" distR="114300" simplePos="0" relativeHeight="251643392" behindDoc="0" locked="0" layoutInCell="1" allowOverlap="1" wp14:anchorId="66D9644B" wp14:editId="57B22A01">
                <wp:simplePos x="0" y="0"/>
                <wp:positionH relativeFrom="margin">
                  <wp:posOffset>3501390</wp:posOffset>
                </wp:positionH>
                <wp:positionV relativeFrom="paragraph">
                  <wp:posOffset>67310</wp:posOffset>
                </wp:positionV>
                <wp:extent cx="2076450" cy="1498600"/>
                <wp:effectExtent l="0" t="0" r="0" b="6350"/>
                <wp:wrapSquare wrapText="bothSides"/>
                <wp:docPr id="32" name="Group 31">
                  <a:extLst xmlns:a="http://schemas.openxmlformats.org/drawingml/2006/main">
                    <a:ext uri="{FF2B5EF4-FFF2-40B4-BE49-F238E27FC236}">
                      <a16:creationId xmlns:a16="http://schemas.microsoft.com/office/drawing/2014/main" id="{D4832D28-700E-1933-D989-E41E454A4A4A}"/>
                    </a:ext>
                  </a:extLst>
                </wp:docPr>
                <wp:cNvGraphicFramePr/>
                <a:graphic xmlns:a="http://schemas.openxmlformats.org/drawingml/2006/main">
                  <a:graphicData uri="http://schemas.microsoft.com/office/word/2010/wordprocessingGroup">
                    <wpg:wgp>
                      <wpg:cNvGrpSpPr/>
                      <wpg:grpSpPr>
                        <a:xfrm>
                          <a:off x="0" y="0"/>
                          <a:ext cx="2076450" cy="1498600"/>
                          <a:chOff x="0" y="0"/>
                          <a:chExt cx="2831247" cy="1735667"/>
                        </a:xfrm>
                      </wpg:grpSpPr>
                      <wpg:grpSp>
                        <wpg:cNvPr id="853439978" name="Group 853439978">
                          <a:extLst>
                            <a:ext uri="{FF2B5EF4-FFF2-40B4-BE49-F238E27FC236}">
                              <a16:creationId xmlns:a16="http://schemas.microsoft.com/office/drawing/2014/main" id="{D6B1602A-541E-1252-F5EE-0CB5A01B1940}"/>
                            </a:ext>
                          </a:extLst>
                        </wpg:cNvPr>
                        <wpg:cNvGrpSpPr/>
                        <wpg:grpSpPr>
                          <a:xfrm>
                            <a:off x="0" y="0"/>
                            <a:ext cx="2831247" cy="1735667"/>
                            <a:chOff x="0" y="0"/>
                            <a:chExt cx="2831247" cy="1735667"/>
                          </a:xfrm>
                        </wpg:grpSpPr>
                        <wps:wsp>
                          <wps:cNvPr id="1013487654" name="Freeform: Shape 1013487654">
                            <a:extLst>
                              <a:ext uri="{FF2B5EF4-FFF2-40B4-BE49-F238E27FC236}">
                                <a16:creationId xmlns:a16="http://schemas.microsoft.com/office/drawing/2014/main" id="{8858C84E-1043-FA32-58E3-87DF4BC709C6}"/>
                              </a:ext>
                            </a:extLst>
                          </wps:cNvPr>
                          <wps:cNvSpPr/>
                          <wps:spPr>
                            <a:xfrm>
                              <a:off x="0" y="0"/>
                              <a:ext cx="1972733" cy="1669059"/>
                            </a:xfrm>
                            <a:custGeom>
                              <a:avLst/>
                              <a:gdLst>
                                <a:gd name="connsiteX0" fmla="*/ 135467 w 1972733"/>
                                <a:gd name="connsiteY0" fmla="*/ 143934 h 1669059"/>
                                <a:gd name="connsiteX1" fmla="*/ 135467 w 1972733"/>
                                <a:gd name="connsiteY1" fmla="*/ 143934 h 1669059"/>
                                <a:gd name="connsiteX2" fmla="*/ 194733 w 1972733"/>
                                <a:gd name="connsiteY2" fmla="*/ 448734 h 1669059"/>
                                <a:gd name="connsiteX3" fmla="*/ 203200 w 1972733"/>
                                <a:gd name="connsiteY3" fmla="*/ 533400 h 1669059"/>
                                <a:gd name="connsiteX4" fmla="*/ 211667 w 1972733"/>
                                <a:gd name="connsiteY4" fmla="*/ 601134 h 1669059"/>
                                <a:gd name="connsiteX5" fmla="*/ 169333 w 1972733"/>
                                <a:gd name="connsiteY5" fmla="*/ 804334 h 1669059"/>
                                <a:gd name="connsiteX6" fmla="*/ 143933 w 1972733"/>
                                <a:gd name="connsiteY6" fmla="*/ 838200 h 1669059"/>
                                <a:gd name="connsiteX7" fmla="*/ 84667 w 1972733"/>
                                <a:gd name="connsiteY7" fmla="*/ 939800 h 1669059"/>
                                <a:gd name="connsiteX8" fmla="*/ 50800 w 1972733"/>
                                <a:gd name="connsiteY8" fmla="*/ 965200 h 1669059"/>
                                <a:gd name="connsiteX9" fmla="*/ 25400 w 1972733"/>
                                <a:gd name="connsiteY9" fmla="*/ 1007534 h 1669059"/>
                                <a:gd name="connsiteX10" fmla="*/ 16933 w 1972733"/>
                                <a:gd name="connsiteY10" fmla="*/ 1058334 h 1669059"/>
                                <a:gd name="connsiteX11" fmla="*/ 0 w 1972733"/>
                                <a:gd name="connsiteY11" fmla="*/ 1151467 h 1669059"/>
                                <a:gd name="connsiteX12" fmla="*/ 8467 w 1972733"/>
                                <a:gd name="connsiteY12" fmla="*/ 1405467 h 1669059"/>
                                <a:gd name="connsiteX13" fmla="*/ 25400 w 1972733"/>
                                <a:gd name="connsiteY13" fmla="*/ 1439334 h 1669059"/>
                                <a:gd name="connsiteX14" fmla="*/ 33867 w 1972733"/>
                                <a:gd name="connsiteY14" fmla="*/ 1464734 h 1669059"/>
                                <a:gd name="connsiteX15" fmla="*/ 135467 w 1972733"/>
                                <a:gd name="connsiteY15" fmla="*/ 1515534 h 1669059"/>
                                <a:gd name="connsiteX16" fmla="*/ 397933 w 1972733"/>
                                <a:gd name="connsiteY16" fmla="*/ 1617134 h 1669059"/>
                                <a:gd name="connsiteX17" fmla="*/ 448733 w 1972733"/>
                                <a:gd name="connsiteY17" fmla="*/ 1634067 h 1669059"/>
                                <a:gd name="connsiteX18" fmla="*/ 508000 w 1972733"/>
                                <a:gd name="connsiteY18" fmla="*/ 1642534 h 1669059"/>
                                <a:gd name="connsiteX19" fmla="*/ 601133 w 1972733"/>
                                <a:gd name="connsiteY19" fmla="*/ 1659467 h 1669059"/>
                                <a:gd name="connsiteX20" fmla="*/ 1524000 w 1972733"/>
                                <a:gd name="connsiteY20" fmla="*/ 1667934 h 1669059"/>
                                <a:gd name="connsiteX21" fmla="*/ 1684867 w 1972733"/>
                                <a:gd name="connsiteY21" fmla="*/ 1659467 h 1669059"/>
                                <a:gd name="connsiteX22" fmla="*/ 1727200 w 1972733"/>
                                <a:gd name="connsiteY22" fmla="*/ 1600200 h 1669059"/>
                                <a:gd name="connsiteX23" fmla="*/ 1778000 w 1972733"/>
                                <a:gd name="connsiteY23" fmla="*/ 1549400 h 1669059"/>
                                <a:gd name="connsiteX24" fmla="*/ 1811867 w 1972733"/>
                                <a:gd name="connsiteY24" fmla="*/ 1507067 h 1669059"/>
                                <a:gd name="connsiteX25" fmla="*/ 1828800 w 1972733"/>
                                <a:gd name="connsiteY25" fmla="*/ 1456267 h 1669059"/>
                                <a:gd name="connsiteX26" fmla="*/ 1837267 w 1972733"/>
                                <a:gd name="connsiteY26" fmla="*/ 1405467 h 1669059"/>
                                <a:gd name="connsiteX27" fmla="*/ 1854200 w 1972733"/>
                                <a:gd name="connsiteY27" fmla="*/ 1278467 h 1669059"/>
                                <a:gd name="connsiteX28" fmla="*/ 1879600 w 1972733"/>
                                <a:gd name="connsiteY28" fmla="*/ 1041400 h 1669059"/>
                                <a:gd name="connsiteX29" fmla="*/ 1888067 w 1972733"/>
                                <a:gd name="connsiteY29" fmla="*/ 922867 h 1669059"/>
                                <a:gd name="connsiteX30" fmla="*/ 1896533 w 1972733"/>
                                <a:gd name="connsiteY30" fmla="*/ 609600 h 1669059"/>
                                <a:gd name="connsiteX31" fmla="*/ 1955800 w 1972733"/>
                                <a:gd name="connsiteY31" fmla="*/ 304800 h 1669059"/>
                                <a:gd name="connsiteX32" fmla="*/ 1972733 w 1972733"/>
                                <a:gd name="connsiteY32" fmla="*/ 237067 h 1669059"/>
                                <a:gd name="connsiteX33" fmla="*/ 1811867 w 1972733"/>
                                <a:gd name="connsiteY33" fmla="*/ 76200 h 1669059"/>
                                <a:gd name="connsiteX34" fmla="*/ 1371600 w 1972733"/>
                                <a:gd name="connsiteY34" fmla="*/ 0 h 1669059"/>
                                <a:gd name="connsiteX35" fmla="*/ 905933 w 1972733"/>
                                <a:gd name="connsiteY35" fmla="*/ 16934 h 1669059"/>
                                <a:gd name="connsiteX36" fmla="*/ 863600 w 1972733"/>
                                <a:gd name="connsiteY36" fmla="*/ 25400 h 1669059"/>
                                <a:gd name="connsiteX37" fmla="*/ 440267 w 1972733"/>
                                <a:gd name="connsiteY37" fmla="*/ 33867 h 1669059"/>
                                <a:gd name="connsiteX38" fmla="*/ 347133 w 1972733"/>
                                <a:gd name="connsiteY38" fmla="*/ 50800 h 1669059"/>
                                <a:gd name="connsiteX39" fmla="*/ 279400 w 1972733"/>
                                <a:gd name="connsiteY39" fmla="*/ 67734 h 1669059"/>
                                <a:gd name="connsiteX40" fmla="*/ 186267 w 1972733"/>
                                <a:gd name="connsiteY40" fmla="*/ 101600 h 1669059"/>
                                <a:gd name="connsiteX41" fmla="*/ 135467 w 1972733"/>
                                <a:gd name="connsiteY41" fmla="*/ 143934 h 16690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Lst>
                              <a:rect l="l" t="t" r="r" b="b"/>
                              <a:pathLst>
                                <a:path w="1972733" h="1669059">
                                  <a:moveTo>
                                    <a:pt x="135467" y="143934"/>
                                  </a:moveTo>
                                  <a:lnTo>
                                    <a:pt x="135467" y="143934"/>
                                  </a:lnTo>
                                  <a:cubicBezTo>
                                    <a:pt x="181891" y="403910"/>
                                    <a:pt x="158332" y="303125"/>
                                    <a:pt x="194733" y="448734"/>
                                  </a:cubicBezTo>
                                  <a:cubicBezTo>
                                    <a:pt x="197555" y="476956"/>
                                    <a:pt x="200068" y="505211"/>
                                    <a:pt x="203200" y="533400"/>
                                  </a:cubicBezTo>
                                  <a:cubicBezTo>
                                    <a:pt x="205713" y="556015"/>
                                    <a:pt x="214489" y="578556"/>
                                    <a:pt x="211667" y="601134"/>
                                  </a:cubicBezTo>
                                  <a:cubicBezTo>
                                    <a:pt x="203085" y="669787"/>
                                    <a:pt x="188341" y="737808"/>
                                    <a:pt x="169333" y="804334"/>
                                  </a:cubicBezTo>
                                  <a:cubicBezTo>
                                    <a:pt x="165456" y="817902"/>
                                    <a:pt x="151412" y="826234"/>
                                    <a:pt x="143933" y="838200"/>
                                  </a:cubicBezTo>
                                  <a:cubicBezTo>
                                    <a:pt x="124759" y="868878"/>
                                    <a:pt x="113299" y="918326"/>
                                    <a:pt x="84667" y="939800"/>
                                  </a:cubicBezTo>
                                  <a:lnTo>
                                    <a:pt x="50800" y="965200"/>
                                  </a:lnTo>
                                  <a:cubicBezTo>
                                    <a:pt x="42333" y="979311"/>
                                    <a:pt x="31024" y="992068"/>
                                    <a:pt x="25400" y="1007534"/>
                                  </a:cubicBezTo>
                                  <a:cubicBezTo>
                                    <a:pt x="19533" y="1023667"/>
                                    <a:pt x="19543" y="1041367"/>
                                    <a:pt x="16933" y="1058334"/>
                                  </a:cubicBezTo>
                                  <a:cubicBezTo>
                                    <a:pt x="4798" y="1137214"/>
                                    <a:pt x="14487" y="1093520"/>
                                    <a:pt x="0" y="1151467"/>
                                  </a:cubicBezTo>
                                  <a:cubicBezTo>
                                    <a:pt x="2822" y="1236134"/>
                                    <a:pt x="1021" y="1321081"/>
                                    <a:pt x="8467" y="1405467"/>
                                  </a:cubicBezTo>
                                  <a:cubicBezTo>
                                    <a:pt x="9576" y="1418040"/>
                                    <a:pt x="20428" y="1427733"/>
                                    <a:pt x="25400" y="1439334"/>
                                  </a:cubicBezTo>
                                  <a:cubicBezTo>
                                    <a:pt x="28916" y="1447537"/>
                                    <a:pt x="26529" y="1459654"/>
                                    <a:pt x="33867" y="1464734"/>
                                  </a:cubicBezTo>
                                  <a:cubicBezTo>
                                    <a:pt x="64999" y="1486287"/>
                                    <a:pt x="100540" y="1500913"/>
                                    <a:pt x="135467" y="1515534"/>
                                  </a:cubicBezTo>
                                  <a:cubicBezTo>
                                    <a:pt x="222006" y="1551760"/>
                                    <a:pt x="310189" y="1583934"/>
                                    <a:pt x="397933" y="1617134"/>
                                  </a:cubicBezTo>
                                  <a:cubicBezTo>
                                    <a:pt x="414627" y="1623451"/>
                                    <a:pt x="431063" y="1631543"/>
                                    <a:pt x="448733" y="1634067"/>
                                  </a:cubicBezTo>
                                  <a:cubicBezTo>
                                    <a:pt x="468489" y="1636889"/>
                                    <a:pt x="488315" y="1639253"/>
                                    <a:pt x="508000" y="1642534"/>
                                  </a:cubicBezTo>
                                  <a:cubicBezTo>
                                    <a:pt x="539124" y="1647721"/>
                                    <a:pt x="569590" y="1658678"/>
                                    <a:pt x="601133" y="1659467"/>
                                  </a:cubicBezTo>
                                  <a:cubicBezTo>
                                    <a:pt x="908672" y="1667155"/>
                                    <a:pt x="1216378" y="1665112"/>
                                    <a:pt x="1524000" y="1667934"/>
                                  </a:cubicBezTo>
                                  <a:cubicBezTo>
                                    <a:pt x="1577622" y="1665112"/>
                                    <a:pt x="1633926" y="1676447"/>
                                    <a:pt x="1684867" y="1659467"/>
                                  </a:cubicBezTo>
                                  <a:cubicBezTo>
                                    <a:pt x="1707899" y="1651790"/>
                                    <a:pt x="1711518" y="1618733"/>
                                    <a:pt x="1727200" y="1600200"/>
                                  </a:cubicBezTo>
                                  <a:cubicBezTo>
                                    <a:pt x="1742669" y="1581919"/>
                                    <a:pt x="1762090" y="1567299"/>
                                    <a:pt x="1778000" y="1549400"/>
                                  </a:cubicBezTo>
                                  <a:cubicBezTo>
                                    <a:pt x="1863414" y="1453308"/>
                                    <a:pt x="1737489" y="1581441"/>
                                    <a:pt x="1811867" y="1507067"/>
                                  </a:cubicBezTo>
                                  <a:cubicBezTo>
                                    <a:pt x="1817511" y="1490134"/>
                                    <a:pt x="1824471" y="1473583"/>
                                    <a:pt x="1828800" y="1456267"/>
                                  </a:cubicBezTo>
                                  <a:cubicBezTo>
                                    <a:pt x="1832964" y="1439613"/>
                                    <a:pt x="1834196" y="1422357"/>
                                    <a:pt x="1837267" y="1405467"/>
                                  </a:cubicBezTo>
                                  <a:cubicBezTo>
                                    <a:pt x="1854733" y="1309400"/>
                                    <a:pt x="1837524" y="1428544"/>
                                    <a:pt x="1854200" y="1278467"/>
                                  </a:cubicBezTo>
                                  <a:cubicBezTo>
                                    <a:pt x="1866645" y="1166466"/>
                                    <a:pt x="1868028" y="1203407"/>
                                    <a:pt x="1879600" y="1041400"/>
                                  </a:cubicBezTo>
                                  <a:lnTo>
                                    <a:pt x="1888067" y="922867"/>
                                  </a:lnTo>
                                  <a:cubicBezTo>
                                    <a:pt x="1890889" y="818445"/>
                                    <a:pt x="1892092" y="713966"/>
                                    <a:pt x="1896533" y="609600"/>
                                  </a:cubicBezTo>
                                  <a:cubicBezTo>
                                    <a:pt x="1901622" y="490005"/>
                                    <a:pt x="1927488" y="446355"/>
                                    <a:pt x="1955800" y="304800"/>
                                  </a:cubicBezTo>
                                  <a:cubicBezTo>
                                    <a:pt x="1966017" y="253716"/>
                                    <a:pt x="1959717" y="276119"/>
                                    <a:pt x="1972733" y="237067"/>
                                  </a:cubicBezTo>
                                  <a:cubicBezTo>
                                    <a:pt x="1946156" y="205174"/>
                                    <a:pt x="1865428" y="93607"/>
                                    <a:pt x="1811867" y="76200"/>
                                  </a:cubicBezTo>
                                  <a:cubicBezTo>
                                    <a:pt x="1722464" y="47144"/>
                                    <a:pt x="1481859" y="15751"/>
                                    <a:pt x="1371600" y="0"/>
                                  </a:cubicBezTo>
                                  <a:cubicBezTo>
                                    <a:pt x="1292140" y="2270"/>
                                    <a:pt x="1017621" y="7999"/>
                                    <a:pt x="905933" y="16934"/>
                                  </a:cubicBezTo>
                                  <a:cubicBezTo>
                                    <a:pt x="891588" y="18082"/>
                                    <a:pt x="877981" y="24877"/>
                                    <a:pt x="863600" y="25400"/>
                                  </a:cubicBezTo>
                                  <a:cubicBezTo>
                                    <a:pt x="722554" y="30529"/>
                                    <a:pt x="581378" y="31045"/>
                                    <a:pt x="440267" y="33867"/>
                                  </a:cubicBezTo>
                                  <a:lnTo>
                                    <a:pt x="347133" y="50800"/>
                                  </a:lnTo>
                                  <a:cubicBezTo>
                                    <a:pt x="318807" y="56111"/>
                                    <a:pt x="304337" y="57759"/>
                                    <a:pt x="279400" y="67734"/>
                                  </a:cubicBezTo>
                                  <a:cubicBezTo>
                                    <a:pt x="160356" y="115352"/>
                                    <a:pt x="267556" y="78375"/>
                                    <a:pt x="186267" y="101600"/>
                                  </a:cubicBezTo>
                                  <a:cubicBezTo>
                                    <a:pt x="153508" y="110960"/>
                                    <a:pt x="143934" y="136878"/>
                                    <a:pt x="135467" y="143934"/>
                                  </a:cubicBezTo>
                                  <a:close/>
                                </a:path>
                              </a:pathLst>
                            </a:custGeom>
                            <a:solidFill>
                              <a:schemeClr val="bg1">
                                <a:lumMod val="6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274140480" name="Isosceles Triangle 1274140480">
                            <a:extLst>
                              <a:ext uri="{FF2B5EF4-FFF2-40B4-BE49-F238E27FC236}">
                                <a16:creationId xmlns:a16="http://schemas.microsoft.com/office/drawing/2014/main" id="{616D819C-6ECA-1A6E-F4F2-65580EDD4450}"/>
                              </a:ext>
                            </a:extLst>
                          </wps:cNvPr>
                          <wps:cNvSpPr/>
                          <wps:spPr>
                            <a:xfrm>
                              <a:off x="2125133" y="1176867"/>
                              <a:ext cx="706114" cy="558800"/>
                            </a:xfrm>
                            <a:prstGeom prst="triangle">
                              <a:avLst/>
                            </a:prstGeom>
                            <a:solidFill>
                              <a:schemeClr val="accent1">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s:wsp>
                        <wps:cNvPr id="1198708137" name="Rectangle 1198708137">
                          <a:extLst>
                            <a:ext uri="{FF2B5EF4-FFF2-40B4-BE49-F238E27FC236}">
                              <a16:creationId xmlns:a16="http://schemas.microsoft.com/office/drawing/2014/main" id="{38FCB56A-F583-141C-C4FA-288353EB3C5E}"/>
                            </a:ext>
                          </a:extLst>
                        </wps:cNvPr>
                        <wps:cNvSpPr/>
                        <wps:spPr>
                          <a:xfrm>
                            <a:off x="649283" y="296333"/>
                            <a:ext cx="945619" cy="347134"/>
                          </a:xfrm>
                          <a:prstGeom prst="rect">
                            <a:avLst/>
                          </a:prstGeom>
                          <a:solidFill>
                            <a:schemeClr val="tx1">
                              <a:lumMod val="95000"/>
                              <a:lumOff val="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550536215" name="Straight Connector 1550536215">
                          <a:extLst>
                            <a:ext uri="{FF2B5EF4-FFF2-40B4-BE49-F238E27FC236}">
                              <a16:creationId xmlns:a16="http://schemas.microsoft.com/office/drawing/2014/main" id="{37A17CC1-D99E-734A-E8EB-A1C40E04210C}"/>
                            </a:ext>
                          </a:extLst>
                        </wps:cNvPr>
                        <wps:cNvCnPr>
                          <a:cxnSpLocks/>
                          <a:stCxn id="1198708137" idx="2"/>
                          <a:endCxn id="1274140480" idx="0"/>
                        </wps:cNvCnPr>
                        <wps:spPr>
                          <a:xfrm>
                            <a:off x="1122093" y="643467"/>
                            <a:ext cx="1356097" cy="533400"/>
                          </a:xfrm>
                          <a:prstGeom prst="line">
                            <a:avLst/>
                          </a:prstGeom>
                          <a:ln w="19050">
                            <a:solidFill>
                              <a:schemeClr val="accent5">
                                <a:lumMod val="50000"/>
                              </a:schemeClr>
                            </a:solidFill>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E61F9E3" id="Group 31" o:spid="_x0000_s1026" style="position:absolute;margin-left:275.7pt;margin-top:5.3pt;width:163.5pt;height:118pt;z-index:251643392;mso-position-horizontal-relative:margin;mso-width-relative:margin;mso-height-relative:margin" coordsize="28312,17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">
                <v:group id="Group 853439978" o:spid="_x0000_s1027" style="position:absolute;width:28312;height:17356" coordsize="28312,17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">
                  <v:shape id="Freeform: Shape 1013487654" o:spid="_x0000_s1028" style="position:absolute;width:19727;height:16690;visibility:visible;mso-wrap-style:square;v-text-anchor:middle" coordsize="1972733,1669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" path="m135467,143934r,c181891,403910,158332,303125,194733,448734v2822,28222,5335,56477,8467,84666c205713,556015,214489,578556,211667,601134v-8582,68653,-23326,136674,-42334,203200c165456,817902,151412,826234,143933,838200v-19174,30678,-30634,80126,-59266,101600l50800,965200v-8467,14111,-19776,26868,-25400,42334c19533,1023667,19543,1041367,16933,1058334,4798,1137214,14487,1093520,,1151467v2822,84667,1021,169614,8467,254000c9576,1418040,20428,1427733,25400,1439334v3516,8203,1129,20320,8467,25400c64999,1486287,100540,1500913,135467,1515534v86539,36226,174722,68400,262466,101600c414627,1623451,431063,1631543,448733,1634067v19756,2822,39582,5186,59267,8467c539124,1647721,569590,1658678,601133,1659467v307539,7688,615245,5645,922867,8467c1577622,1665112,1633926,1676447,1684867,1659467v23032,-7677,26651,-40734,42333,-59267c1742669,1581919,1762090,1567299,1778000,1549400v85414,-96092,-40511,32041,33867,-42333c1817511,1490134,1824471,1473583,1828800,1456267v4164,-16654,5396,-33910,8467,-50800c1854733,1309400,1837524,1428544,1854200,1278467v12445,-112001,13828,-75060,25400,-237067l1888067,922867v2822,-104422,4025,-208901,8466,-313267c1901622,490005,1927488,446355,1955800,304800v10217,-51084,3917,-28681,16933,-67733c1946156,205174,1865428,93607,1811867,76200,1722464,47144,1481859,15751,1371600,,1292140,2270,1017621,7999,905933,16934v-14345,1148,-27952,7943,-42333,8466c722554,30529,581378,31045,440267,33867l347133,50800v-28326,5311,-42796,6959,-67733,16934c160356,115352,267556,78375,186267,101600v-32759,9360,-42333,35278,-50800,42334xe" fillcolor="#a5a5a5 [2092]" stroked="f" strokeweight="2pt">
                    <v:path arrowok="t" o:connecttype="custom" o:connectlocs="135467,143934;135467,143934;194733,448734;203200,533400;211667,601134;169333,804334;143933,838200;84667,939800;50800,965200;25400,1007534;16933,1058334;0,1151467;8467,1405467;25400,1439334;33867,1464734;135467,1515534;397933,1617134;448733,1634067;508000,1642534;601133,1659467;1524000,1667934;1684867,1659467;1727200,1600200;1778000,1549400;1811867,1507067;1828800,1456267;1837267,1405467;1854200,1278467;1879600,1041400;1888067,922867;1896533,609600;1955800,304800;1972733,237067;1811867,76200;1371600,0;905933,16934;863600,25400;440267,33867;347133,50800;279400,67734;186267,101600;135467,143934" o:connectangles="0,0,0,0,0,0,0,0,0,0,0,0,0,0,0,0,0,0,0,0,0,0,0,0,0,0,0,0,0,0,0,0,0,0,0,0,0,0,0,0,0,0"/>
                  </v:shape>
                  <v:shape id="Isosceles Triangle 1274140480" o:spid="_x0000_s1029" type="#_x0000_t5" style="position:absolute;left:21251;top:11768;width:7061;height:5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" fillcolor="#77230c [1604]" stroked="f" strokeweight="2pt"/>
                </v:group>
                <v:rect id="Rectangle 1198708137" o:spid="_x0000_s1030" style="position:absolute;left:6492;top:2963;width:9457;height:3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" fillcolor="#0d0d0d [3069]" strokecolor="black [3213]" strokeweight="2pt"/>
                <v:line id="Straight Connector 1550536215" o:spid="_x0000_s1031" style="position:absolute;visibility:visible;mso-wrap-style:square" from="11220,6434" to="24781,11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" strokecolor="#654b00 [1608]" strokeweight="1.5pt">
                  <v:shadow on="t" color="black" opacity="24903f" origin=",.5" offset="0,.55556mm"/>
                  <o:lock v:ext="edit" shapetype="f"/>
                </v:line>
                <w10:wrap type="square" anchorx="margin"/>
              </v:group>
            </w:pict>
          </mc:Fallback>
        </mc:AlternateContent>
      </w:r>
      <w:r w:rsidR="008A550B">
        <w:t>Example 2:</w:t>
      </w:r>
    </w:p>
    <w:p w14:paraId="3C7CDDB8" w14:textId="4E44DE00" w:rsidR="00685924" w:rsidRPr="00685924" w:rsidRDefault="00685924" w:rsidP="00B22D31">
      <w:pPr>
        <w:spacing w:after="120"/>
        <w:ind w:left="720"/>
      </w:pPr>
      <w:r>
        <w:t>This example shows how apportionment applied at the entity level and apportionment applied using a “blended” approach can have very different results:</w:t>
      </w:r>
    </w:p>
    <w:p w14:paraId="3C6CCEE6" w14:textId="65328E00" w:rsidR="00B661EF" w:rsidRDefault="00F92C9C" w:rsidP="00366E17">
      <w:pPr>
        <w:pStyle w:val="ListParagraph"/>
        <w:numPr>
          <w:ilvl w:val="0"/>
          <w:numId w:val="6"/>
        </w:numPr>
        <w:spacing w:after="120"/>
        <w:ind w:left="1080"/>
        <w:contextualSpacing w:val="0"/>
      </w:pPr>
      <w:r>
        <w:t xml:space="preserve">Corporation </w:t>
      </w:r>
      <w:r w:rsidR="00B661EF">
        <w:t xml:space="preserve">X </w:t>
      </w:r>
      <w:r w:rsidR="00C77F81">
        <w:t>is</w:t>
      </w:r>
      <w:r w:rsidR="00F81E08">
        <w:t xml:space="preserve"> </w:t>
      </w:r>
      <w:r>
        <w:t xml:space="preserve">the </w:t>
      </w:r>
      <w:r w:rsidR="0078570C">
        <w:t>managing member</w:t>
      </w:r>
      <w:r w:rsidR="007C03B1">
        <w:t xml:space="preserve"> in </w:t>
      </w:r>
      <w:r w:rsidR="00B661EF">
        <w:t>LLC</w:t>
      </w:r>
      <w:r w:rsidR="00A40D8F">
        <w:t xml:space="preserve"> – </w:t>
      </w:r>
      <w:r w:rsidR="00F81E08">
        <w:t>receiving a 50% distributive share</w:t>
      </w:r>
      <w:r w:rsidR="00B661EF">
        <w:t>.</w:t>
      </w:r>
    </w:p>
    <w:p w14:paraId="1845D958" w14:textId="0ED5E849" w:rsidR="00FB38F3" w:rsidRDefault="00E72018" w:rsidP="00366E17">
      <w:pPr>
        <w:pStyle w:val="ListParagraph"/>
        <w:numPr>
          <w:ilvl w:val="0"/>
          <w:numId w:val="6"/>
        </w:numPr>
        <w:spacing w:after="120"/>
        <w:ind w:left="1080"/>
        <w:contextualSpacing w:val="0"/>
      </w:pPr>
      <w:r>
        <w:t xml:space="preserve">X and the LLC have income and </w:t>
      </w:r>
      <w:r w:rsidR="00F571EB">
        <w:t xml:space="preserve">State A </w:t>
      </w:r>
      <w:r w:rsidR="00A40D8F">
        <w:t xml:space="preserve">apportionment </w:t>
      </w:r>
      <w:r>
        <w:t>factors as follows:</w:t>
      </w:r>
    </w:p>
    <w:p w14:paraId="08E332A3" w14:textId="3BE6F41D" w:rsidR="00E72018" w:rsidRDefault="00F92C9C" w:rsidP="00B22D31">
      <w:pPr>
        <w:pStyle w:val="ListParagraph"/>
        <w:spacing w:after="0"/>
        <w:ind w:left="2160"/>
        <w:contextualSpacing w:val="0"/>
      </w:pPr>
      <w:r>
        <w:t xml:space="preserve">X </w:t>
      </w:r>
      <w:r w:rsidR="00E72018">
        <w:t xml:space="preserve">net income </w:t>
      </w:r>
      <w:r w:rsidR="00942D90">
        <w:t>-</w:t>
      </w:r>
      <w:r w:rsidR="00E72018">
        <w:tab/>
      </w:r>
      <w:r w:rsidR="00E72018">
        <w:tab/>
        <w:t>$</w:t>
      </w:r>
      <w:r w:rsidR="00F81E08">
        <w:t>2</w:t>
      </w:r>
      <w:r w:rsidR="00E72018">
        <w:t xml:space="preserve"> million</w:t>
      </w:r>
    </w:p>
    <w:p w14:paraId="79B366DA" w14:textId="3D1453AE" w:rsidR="00E72018" w:rsidRDefault="00E72018" w:rsidP="00B22D31">
      <w:pPr>
        <w:pStyle w:val="ListParagraph"/>
        <w:spacing w:after="0"/>
        <w:ind w:left="2160"/>
        <w:contextualSpacing w:val="0"/>
      </w:pPr>
      <w:r>
        <w:t xml:space="preserve">X </w:t>
      </w:r>
      <w:r w:rsidR="00D26105">
        <w:t>receipts</w:t>
      </w:r>
      <w:r>
        <w:t xml:space="preserve"> factor </w:t>
      </w:r>
      <w:r w:rsidR="00942D90">
        <w:t>-</w:t>
      </w:r>
      <w:r>
        <w:t xml:space="preserve"> </w:t>
      </w:r>
      <w:r w:rsidR="00F571EB">
        <w:tab/>
      </w:r>
      <w:r>
        <w:t>$</w:t>
      </w:r>
      <w:r w:rsidR="00F81E08">
        <w:t xml:space="preserve">10 million </w:t>
      </w:r>
      <w:r>
        <w:t xml:space="preserve">/ $10 million </w:t>
      </w:r>
    </w:p>
    <w:p w14:paraId="1636FBEB" w14:textId="77777777" w:rsidR="00F92C9C" w:rsidRDefault="00F92C9C" w:rsidP="00B22D31">
      <w:pPr>
        <w:pStyle w:val="ListParagraph"/>
        <w:spacing w:after="0"/>
        <w:ind w:left="2160"/>
        <w:contextualSpacing w:val="0"/>
      </w:pPr>
    </w:p>
    <w:p w14:paraId="686DC866" w14:textId="262FE37D" w:rsidR="00E72018" w:rsidRDefault="00E72018" w:rsidP="00B22D31">
      <w:pPr>
        <w:pStyle w:val="ListParagraph"/>
        <w:spacing w:after="0"/>
        <w:ind w:left="2160"/>
        <w:contextualSpacing w:val="0"/>
      </w:pPr>
      <w:r>
        <w:t>LLC net income</w:t>
      </w:r>
      <w:r w:rsidR="00942D90">
        <w:t xml:space="preserve"> -</w:t>
      </w:r>
      <w:r>
        <w:tab/>
      </w:r>
      <w:r w:rsidR="003D5AFE">
        <w:tab/>
      </w:r>
      <w:r>
        <w:t>$1</w:t>
      </w:r>
      <w:r w:rsidR="00F81E08">
        <w:t>2</w:t>
      </w:r>
      <w:r>
        <w:t xml:space="preserve"> million</w:t>
      </w:r>
    </w:p>
    <w:p w14:paraId="389D6CB4" w14:textId="281F1549" w:rsidR="00E72018" w:rsidRDefault="00E72018" w:rsidP="00B22D31">
      <w:pPr>
        <w:pStyle w:val="ListParagraph"/>
        <w:spacing w:after="120"/>
        <w:ind w:left="2160"/>
        <w:contextualSpacing w:val="0"/>
      </w:pPr>
      <w:r>
        <w:t xml:space="preserve">LLC </w:t>
      </w:r>
      <w:r w:rsidR="00D26105">
        <w:t>receipts</w:t>
      </w:r>
      <w:r>
        <w:t xml:space="preserve"> factor </w:t>
      </w:r>
      <w:r w:rsidR="00942D90">
        <w:t>-</w:t>
      </w:r>
      <w:r w:rsidR="00F571EB">
        <w:tab/>
      </w:r>
      <w:r>
        <w:t>$</w:t>
      </w:r>
      <w:r w:rsidR="00F81E08">
        <w:t>0</w:t>
      </w:r>
      <w:r>
        <w:t xml:space="preserve"> million </w:t>
      </w:r>
      <w:r w:rsidR="00F81E08">
        <w:t xml:space="preserve">/ </w:t>
      </w:r>
      <w:r>
        <w:t>$</w:t>
      </w:r>
      <w:r w:rsidR="00F81E08">
        <w:t>20</w:t>
      </w:r>
      <w:r>
        <w:t xml:space="preserve"> million</w:t>
      </w:r>
      <w:r w:rsidR="003D5AFE">
        <w:t xml:space="preserve"> </w:t>
      </w:r>
    </w:p>
    <w:p w14:paraId="711C1EE3" w14:textId="77777777" w:rsidR="00FB4185" w:rsidRDefault="00CD775F" w:rsidP="00366E17">
      <w:pPr>
        <w:pStyle w:val="ListParagraph"/>
        <w:numPr>
          <w:ilvl w:val="0"/>
          <w:numId w:val="12"/>
        </w:numPr>
        <w:spacing w:after="120"/>
        <w:ind w:left="1080"/>
        <w:contextualSpacing w:val="0"/>
      </w:pPr>
      <w:r>
        <w:t>Two possible results – entity level versus blended apportionment</w:t>
      </w:r>
      <w:r w:rsidR="00A40D8F">
        <w:t>:</w:t>
      </w:r>
    </w:p>
    <w:p w14:paraId="71B06EAC" w14:textId="39118B5C" w:rsidR="00BA72C1" w:rsidRDefault="00BC1193" w:rsidP="00366E17">
      <w:pPr>
        <w:pStyle w:val="ListParagraph"/>
        <w:numPr>
          <w:ilvl w:val="0"/>
          <w:numId w:val="12"/>
        </w:numPr>
        <w:spacing w:after="120"/>
        <w:ind w:left="2160"/>
        <w:contextualSpacing w:val="0"/>
      </w:pPr>
      <w:r>
        <w:t xml:space="preserve">Assume </w:t>
      </w:r>
      <w:r w:rsidR="00E72018">
        <w:t xml:space="preserve">State A apportions </w:t>
      </w:r>
      <w:r w:rsidR="00C77F81">
        <w:t xml:space="preserve">LLC </w:t>
      </w:r>
      <w:r w:rsidR="00E72018">
        <w:t>income at the entity level</w:t>
      </w:r>
      <w:r w:rsidR="00CD775F">
        <w:t>, attributing</w:t>
      </w:r>
      <w:r w:rsidR="00E72018">
        <w:t xml:space="preserve"> that source to X</w:t>
      </w:r>
      <w:r>
        <w:t xml:space="preserve">. </w:t>
      </w:r>
    </w:p>
    <w:p w14:paraId="606105B6" w14:textId="7ED453AA" w:rsidR="00A40D8F" w:rsidRDefault="00CE250E" w:rsidP="00B22D31">
      <w:pPr>
        <w:pStyle w:val="ListParagraph"/>
        <w:spacing w:after="120"/>
        <w:ind w:left="2880"/>
        <w:contextualSpacing w:val="0"/>
        <w:jc w:val="left"/>
      </w:pPr>
      <w:r>
        <w:t xml:space="preserve">X’s income sourced to </w:t>
      </w:r>
      <w:r w:rsidR="00BC1193">
        <w:t>State A</w:t>
      </w:r>
      <w:r w:rsidR="003D5AFE">
        <w:t xml:space="preserve"> </w:t>
      </w:r>
      <w:r w:rsidR="00BC1193">
        <w:t xml:space="preserve">will </w:t>
      </w:r>
      <w:r w:rsidR="003D5AFE">
        <w:t>be</w:t>
      </w:r>
      <w:r w:rsidR="00BC1193">
        <w:t xml:space="preserve"> </w:t>
      </w:r>
      <w:r w:rsidR="00E72018">
        <w:t>$</w:t>
      </w:r>
      <w:r w:rsidR="00F81E08">
        <w:t>2</w:t>
      </w:r>
      <w:r w:rsidR="00E72018">
        <w:t xml:space="preserve"> million</w:t>
      </w:r>
      <w:r w:rsidR="003D5AFE">
        <w:t xml:space="preserve"> </w:t>
      </w:r>
      <w:r w:rsidR="00BA72C1">
        <w:br/>
      </w:r>
      <w:r w:rsidR="003D5AFE">
        <w:t>(</w:t>
      </w:r>
      <w:r w:rsidR="00BC1193">
        <w:t xml:space="preserve">none of which is </w:t>
      </w:r>
      <w:r w:rsidR="003D5AFE">
        <w:t xml:space="preserve">from </w:t>
      </w:r>
      <w:r>
        <w:t xml:space="preserve">the </w:t>
      </w:r>
      <w:r w:rsidR="00BC1193">
        <w:t>LLC</w:t>
      </w:r>
      <w:r w:rsidR="003D5AFE">
        <w:t>)</w:t>
      </w:r>
      <w:r w:rsidR="00E72018">
        <w:t xml:space="preserve">. </w:t>
      </w:r>
    </w:p>
    <w:p w14:paraId="1CC15A65" w14:textId="1DD9D448" w:rsidR="00BA72C1" w:rsidRDefault="00CE250E" w:rsidP="00366E17">
      <w:pPr>
        <w:pStyle w:val="ListParagraph"/>
        <w:numPr>
          <w:ilvl w:val="0"/>
          <w:numId w:val="8"/>
        </w:numPr>
        <w:spacing w:after="120"/>
        <w:ind w:left="2160"/>
        <w:contextualSpacing w:val="0"/>
      </w:pPr>
      <w:r>
        <w:t>Alternatively, a</w:t>
      </w:r>
      <w:r w:rsidR="00BC1193">
        <w:t xml:space="preserve">ssume </w:t>
      </w:r>
      <w:r w:rsidR="00E72018">
        <w:t xml:space="preserve">State A apportions income </w:t>
      </w:r>
      <w:r w:rsidR="00BC1193">
        <w:t>using “blended” apportionment</w:t>
      </w:r>
      <w:r>
        <w:t xml:space="preserve"> </w:t>
      </w:r>
      <w:r w:rsidR="00F92C9C">
        <w:t xml:space="preserve">so that X will include </w:t>
      </w:r>
      <w:r w:rsidR="00BA72C1">
        <w:t>its</w:t>
      </w:r>
      <w:r w:rsidR="00F92C9C">
        <w:t xml:space="preserve"> </w:t>
      </w:r>
      <w:r w:rsidR="00E72018">
        <w:t xml:space="preserve">share of </w:t>
      </w:r>
      <w:r w:rsidR="00BC1193">
        <w:t>the LLC’s</w:t>
      </w:r>
      <w:r w:rsidR="00E72018">
        <w:t xml:space="preserve"> sales in </w:t>
      </w:r>
      <w:r w:rsidR="00F92C9C">
        <w:t>its</w:t>
      </w:r>
      <w:r w:rsidR="00E72018">
        <w:t xml:space="preserve"> own </w:t>
      </w:r>
      <w:r w:rsidR="00D26105">
        <w:t>receipts</w:t>
      </w:r>
      <w:r w:rsidR="00F92C9C">
        <w:t xml:space="preserve"> </w:t>
      </w:r>
      <w:r w:rsidR="00E72018">
        <w:t>factor</w:t>
      </w:r>
      <w:r>
        <w:t xml:space="preserve"> </w:t>
      </w:r>
      <w:r w:rsidR="00BC1193">
        <w:t xml:space="preserve">and </w:t>
      </w:r>
      <w:r w:rsidR="00BA72C1">
        <w:t xml:space="preserve">then </w:t>
      </w:r>
      <w:r>
        <w:t>us</w:t>
      </w:r>
      <w:r w:rsidR="00F92C9C">
        <w:t>e</w:t>
      </w:r>
      <w:r w:rsidR="00942D90">
        <w:t xml:space="preserve"> this “blended” factor to </w:t>
      </w:r>
      <w:r w:rsidR="00BC1193">
        <w:t>source X’s</w:t>
      </w:r>
      <w:r w:rsidR="00942D90">
        <w:t xml:space="preserve"> </w:t>
      </w:r>
      <w:r w:rsidR="00F92C9C">
        <w:t xml:space="preserve">total </w:t>
      </w:r>
      <w:r w:rsidR="00942D90">
        <w:t xml:space="preserve">income, including </w:t>
      </w:r>
      <w:r w:rsidR="00BC1193">
        <w:t>its share of LLC</w:t>
      </w:r>
      <w:r w:rsidR="00942D90">
        <w:t xml:space="preserve"> income</w:t>
      </w:r>
      <w:r w:rsidR="00BC1193">
        <w:t>.</w:t>
      </w:r>
      <w:r w:rsidR="00942D90">
        <w:t xml:space="preserve"> </w:t>
      </w:r>
    </w:p>
    <w:p w14:paraId="5C4DBCB5" w14:textId="59C9D9AB" w:rsidR="00B661EF" w:rsidRDefault="003D5AFE" w:rsidP="00B22D31">
      <w:pPr>
        <w:pStyle w:val="ListParagraph"/>
        <w:spacing w:after="120"/>
        <w:ind w:left="2880"/>
      </w:pPr>
      <w:r>
        <w:t xml:space="preserve">X’s income </w:t>
      </w:r>
      <w:r w:rsidR="00CE250E">
        <w:t xml:space="preserve">sourced to State A will be: </w:t>
      </w:r>
    </w:p>
    <w:p w14:paraId="766F10F7" w14:textId="0F703AB7" w:rsidR="00F81E08" w:rsidRDefault="00F81E08" w:rsidP="00B22D31">
      <w:pPr>
        <w:spacing w:after="120"/>
        <w:ind w:left="3024"/>
      </w:pPr>
      <w:r>
        <w:t>X</w:t>
      </w:r>
      <w:r w:rsidR="00BA72C1">
        <w:t>’s total income</w:t>
      </w:r>
      <w:r>
        <w:t xml:space="preserve"> = </w:t>
      </w:r>
      <w:r w:rsidR="009D36AA">
        <w:tab/>
      </w:r>
      <w:r>
        <w:t xml:space="preserve">$2 </w:t>
      </w:r>
      <w:r w:rsidR="00BA72C1">
        <w:t>M</w:t>
      </w:r>
      <w:r>
        <w:t xml:space="preserve"> + 50% of $12 </w:t>
      </w:r>
      <w:r w:rsidR="00BA72C1">
        <w:t>M</w:t>
      </w:r>
      <w:r>
        <w:t xml:space="preserve"> = $8 </w:t>
      </w:r>
      <w:r w:rsidR="00BA72C1">
        <w:t>M</w:t>
      </w:r>
    </w:p>
    <w:p w14:paraId="5DEF5025" w14:textId="5F8945A9" w:rsidR="009D36AA" w:rsidRDefault="00942D90" w:rsidP="00B22D31">
      <w:pPr>
        <w:spacing w:after="0"/>
        <w:ind w:left="3024"/>
      </w:pPr>
      <w:r>
        <w:t xml:space="preserve">Blended </w:t>
      </w:r>
      <w:r w:rsidR="00F81E08">
        <w:t>factor</w:t>
      </w:r>
      <w:r>
        <w:t xml:space="preserve"> </w:t>
      </w:r>
      <w:r w:rsidR="00F81E08">
        <w:t xml:space="preserve"> = </w:t>
      </w:r>
      <w:r w:rsidR="009D36AA">
        <w:tab/>
      </w:r>
      <w:r w:rsidR="00BA72C1">
        <w:tab/>
      </w:r>
      <w:r w:rsidR="00F81E08" w:rsidRPr="009D36AA">
        <w:rPr>
          <w:u w:val="single"/>
        </w:rPr>
        <w:t xml:space="preserve">$10 </w:t>
      </w:r>
      <w:r w:rsidR="00BA72C1">
        <w:rPr>
          <w:u w:val="single"/>
        </w:rPr>
        <w:t>M</w:t>
      </w:r>
      <w:r w:rsidR="00F81E08" w:rsidRPr="009D36AA">
        <w:rPr>
          <w:u w:val="single"/>
        </w:rPr>
        <w:t xml:space="preserve"> in State A</w:t>
      </w:r>
      <w:r w:rsidR="00F81E08">
        <w:t xml:space="preserve"> </w:t>
      </w:r>
    </w:p>
    <w:p w14:paraId="57A9BC8D" w14:textId="7D03AAB0" w:rsidR="009D36AA" w:rsidRDefault="00F81E08" w:rsidP="00B22D31">
      <w:pPr>
        <w:spacing w:after="0"/>
        <w:ind w:left="4320" w:firstLine="720"/>
      </w:pPr>
      <w:r>
        <w:t xml:space="preserve">$10 </w:t>
      </w:r>
      <w:r w:rsidR="00BA72C1">
        <w:t>M</w:t>
      </w:r>
      <w:r>
        <w:t xml:space="preserve"> + 50%</w:t>
      </w:r>
      <w:r w:rsidR="009D36AA">
        <w:t xml:space="preserve"> of $20 </w:t>
      </w:r>
      <w:r w:rsidR="00BA72C1">
        <w:t>M</w:t>
      </w:r>
      <w:r w:rsidR="009D36AA">
        <w:t xml:space="preserve"> = $20 </w:t>
      </w:r>
      <w:r w:rsidR="00BA72C1">
        <w:t>M</w:t>
      </w:r>
    </w:p>
    <w:p w14:paraId="78B34E43" w14:textId="5C1F65DA" w:rsidR="009D36AA" w:rsidRDefault="009D36AA" w:rsidP="00B22D31">
      <w:pPr>
        <w:spacing w:after="120"/>
        <w:ind w:left="5760"/>
      </w:pPr>
      <w:r>
        <w:t>= 50%</w:t>
      </w:r>
    </w:p>
    <w:p w14:paraId="1B2AB652" w14:textId="02F1519B" w:rsidR="009D36AA" w:rsidRDefault="009D36AA" w:rsidP="00B22D31">
      <w:pPr>
        <w:spacing w:after="120"/>
        <w:ind w:left="3024"/>
      </w:pPr>
      <w:r>
        <w:t>Net income sourced to State A =</w:t>
      </w:r>
      <w:r>
        <w:tab/>
        <w:t xml:space="preserve">$8 </w:t>
      </w:r>
      <w:r w:rsidR="00BA72C1">
        <w:t>M</w:t>
      </w:r>
      <w:r>
        <w:t xml:space="preserve"> x 50% = $4 million</w:t>
      </w:r>
    </w:p>
    <w:p w14:paraId="150DC2D5" w14:textId="77777777" w:rsidR="00CD775F" w:rsidRDefault="00CD775F" w:rsidP="00BA72C1">
      <w:pPr>
        <w:spacing w:after="120"/>
        <w:ind w:left="2304"/>
      </w:pPr>
    </w:p>
    <w:p w14:paraId="369D201A" w14:textId="1A4F27DE" w:rsidR="00942D90" w:rsidRDefault="00942D90" w:rsidP="00FB4185">
      <w:pPr>
        <w:pStyle w:val="Heading4"/>
      </w:pPr>
      <w:r>
        <w:t>Example 3:</w:t>
      </w:r>
    </w:p>
    <w:p w14:paraId="7AD92D8A" w14:textId="6FF5530C" w:rsidR="00CD775F" w:rsidRPr="00CD775F" w:rsidRDefault="00CD775F" w:rsidP="00FB4185">
      <w:r>
        <w:t xml:space="preserve">This example shows how results may differ depending on whether certain sourcing rules are applied at the partnership or partner level. </w:t>
      </w:r>
    </w:p>
    <w:p w14:paraId="50FDE5E1" w14:textId="77777777" w:rsidR="00F92C9C" w:rsidRDefault="003D5AFE" w:rsidP="00366E17">
      <w:pPr>
        <w:pStyle w:val="ListParagraph"/>
        <w:numPr>
          <w:ilvl w:val="0"/>
          <w:numId w:val="9"/>
        </w:numPr>
        <w:spacing w:after="60"/>
        <w:contextualSpacing w:val="0"/>
      </w:pPr>
      <w:r>
        <w:t>Assume the s</w:t>
      </w:r>
      <w:r w:rsidR="0078570C">
        <w:t>ame facts as Example 2</w:t>
      </w:r>
      <w:r>
        <w:t xml:space="preserve"> </w:t>
      </w:r>
      <w:r w:rsidR="0078570C">
        <w:t xml:space="preserve">and </w:t>
      </w:r>
      <w:r>
        <w:t xml:space="preserve">that </w:t>
      </w:r>
      <w:r w:rsidR="0078570C">
        <w:t>State A uses blended apportionment</w:t>
      </w:r>
      <w:r>
        <w:t xml:space="preserve">. </w:t>
      </w:r>
    </w:p>
    <w:p w14:paraId="1A741BD7" w14:textId="31891B8B" w:rsidR="00F92C9C" w:rsidRDefault="00942D90" w:rsidP="00366E17">
      <w:pPr>
        <w:pStyle w:val="ListParagraph"/>
        <w:numPr>
          <w:ilvl w:val="0"/>
          <w:numId w:val="9"/>
        </w:numPr>
        <w:spacing w:after="60"/>
        <w:contextualSpacing w:val="0"/>
      </w:pPr>
      <w:r>
        <w:t>LLC</w:t>
      </w:r>
      <w:r w:rsidR="003D5AFE">
        <w:t xml:space="preserve">’s income is </w:t>
      </w:r>
      <w:r w:rsidR="00F92C9C">
        <w:t xml:space="preserve">entirely </w:t>
      </w:r>
      <w:r w:rsidR="00CE250E">
        <w:t xml:space="preserve">a </w:t>
      </w:r>
      <w:r w:rsidR="0078570C">
        <w:t xml:space="preserve">gain </w:t>
      </w:r>
      <w:r>
        <w:t>from the sale of property</w:t>
      </w:r>
      <w:r w:rsidR="00BA72C1">
        <w:t xml:space="preserve"> outside State A.</w:t>
      </w:r>
    </w:p>
    <w:p w14:paraId="0E7DF936" w14:textId="11B8D301" w:rsidR="00FB4185" w:rsidRDefault="00F92C9C" w:rsidP="00366E17">
      <w:pPr>
        <w:pStyle w:val="ListParagraph"/>
        <w:numPr>
          <w:ilvl w:val="0"/>
          <w:numId w:val="9"/>
        </w:numPr>
        <w:spacing w:after="120"/>
      </w:pPr>
      <w:r>
        <w:t>State A</w:t>
      </w:r>
      <w:r w:rsidR="00BA72C1">
        <w:t>’s rules would</w:t>
      </w:r>
      <w:r w:rsidR="00541610">
        <w:t xml:space="preserve"> generally</w:t>
      </w:r>
      <w:r w:rsidR="00BA72C1">
        <w:t xml:space="preserve"> </w:t>
      </w:r>
      <w:r w:rsidR="003D5AFE">
        <w:t>treat</w:t>
      </w:r>
      <w:r>
        <w:t xml:space="preserve"> </w:t>
      </w:r>
      <w:r w:rsidR="00080585">
        <w:t xml:space="preserve">this type of </w:t>
      </w:r>
      <w:r>
        <w:t xml:space="preserve"> gain</w:t>
      </w:r>
      <w:r w:rsidR="003D5AFE">
        <w:t xml:space="preserve"> as</w:t>
      </w:r>
      <w:r w:rsidR="00FC1B40">
        <w:t xml:space="preserve"> nonbusiness </w:t>
      </w:r>
      <w:r w:rsidR="003805EC">
        <w:t>(</w:t>
      </w:r>
      <w:r w:rsidR="00DD6753">
        <w:t>non-apportionable</w:t>
      </w:r>
      <w:r w:rsidR="003805EC">
        <w:t xml:space="preserve">) </w:t>
      </w:r>
      <w:r w:rsidR="00942D90">
        <w:t>income</w:t>
      </w:r>
      <w:r w:rsidR="00541610">
        <w:t xml:space="preserve"> under the circumstances</w:t>
      </w:r>
      <w:r>
        <w:t>.</w:t>
      </w:r>
      <w:r w:rsidR="00942D90">
        <w:t xml:space="preserve"> </w:t>
      </w:r>
    </w:p>
    <w:p w14:paraId="26D17CBB" w14:textId="77777777" w:rsidR="008E2113" w:rsidRDefault="008E2113" w:rsidP="008E2113">
      <w:pPr>
        <w:pStyle w:val="ListParagraph"/>
        <w:spacing w:after="120"/>
        <w:ind w:left="360"/>
      </w:pPr>
    </w:p>
    <w:p w14:paraId="68780C6F" w14:textId="77777777" w:rsidR="008E2113" w:rsidRDefault="00F92C9C" w:rsidP="00366E17">
      <w:pPr>
        <w:pStyle w:val="ListParagraph"/>
        <w:numPr>
          <w:ilvl w:val="0"/>
          <w:numId w:val="9"/>
        </w:numPr>
        <w:spacing w:after="120"/>
      </w:pPr>
      <w:r>
        <w:t>Two</w:t>
      </w:r>
      <w:r w:rsidR="0078570C">
        <w:t xml:space="preserve"> possible results</w:t>
      </w:r>
      <w:r w:rsidR="00FC1B40">
        <w:t xml:space="preserve">: </w:t>
      </w:r>
    </w:p>
    <w:p w14:paraId="6081FA1B" w14:textId="77777777" w:rsidR="008E2113" w:rsidRDefault="008E2113" w:rsidP="008E2113">
      <w:pPr>
        <w:pStyle w:val="ListParagraph"/>
      </w:pPr>
    </w:p>
    <w:p w14:paraId="7766DE83" w14:textId="3270C305" w:rsidR="008E2113" w:rsidRDefault="00BA72C1" w:rsidP="00366E17">
      <w:pPr>
        <w:pStyle w:val="ListParagraph"/>
        <w:numPr>
          <w:ilvl w:val="0"/>
          <w:numId w:val="9"/>
        </w:numPr>
        <w:spacing w:after="120"/>
        <w:ind w:left="720"/>
        <w:contextualSpacing w:val="0"/>
      </w:pPr>
      <w:r>
        <w:t xml:space="preserve">None of the gain is taxable - </w:t>
      </w:r>
      <w:r w:rsidR="00F92C9C">
        <w:t xml:space="preserve">State A’s </w:t>
      </w:r>
      <w:r w:rsidR="00CE250E">
        <w:t xml:space="preserve">rule for nonbusiness income </w:t>
      </w:r>
      <w:r>
        <w:t xml:space="preserve">is applied </w:t>
      </w:r>
      <w:r w:rsidR="00CE250E">
        <w:t>at the entity (LLC) level</w:t>
      </w:r>
      <w:r w:rsidR="00CD775F">
        <w:t>, the</w:t>
      </w:r>
      <w:r w:rsidR="00CE250E">
        <w:t xml:space="preserve"> gain</w:t>
      </w:r>
      <w:r w:rsidR="0078570C">
        <w:t xml:space="preserve"> </w:t>
      </w:r>
      <w:r>
        <w:t xml:space="preserve">is </w:t>
      </w:r>
      <w:r w:rsidR="009041C9">
        <w:t xml:space="preserve">sourced </w:t>
      </w:r>
      <w:r w:rsidR="0078570C">
        <w:t>outside State A</w:t>
      </w:r>
      <w:r w:rsidR="001B7E4F">
        <w:t>, and</w:t>
      </w:r>
      <w:r w:rsidR="00CE250E">
        <w:t xml:space="preserve"> </w:t>
      </w:r>
      <w:r w:rsidR="00CD775F">
        <w:t xml:space="preserve">this </w:t>
      </w:r>
      <w:r w:rsidR="0045160D">
        <w:t xml:space="preserve">source </w:t>
      </w:r>
      <w:r w:rsidR="001A64CC">
        <w:t xml:space="preserve">is </w:t>
      </w:r>
      <w:r>
        <w:t>attribute</w:t>
      </w:r>
      <w:r w:rsidR="00CD775F">
        <w:t>d</w:t>
      </w:r>
      <w:r>
        <w:t xml:space="preserve"> </w:t>
      </w:r>
      <w:r w:rsidR="00CE250E">
        <w:t xml:space="preserve">to </w:t>
      </w:r>
      <w:r w:rsidR="009041C9">
        <w:t>X</w:t>
      </w:r>
      <w:r w:rsidR="00CE250E">
        <w:t>’s share</w:t>
      </w:r>
      <w:r w:rsidR="0078570C">
        <w:t>.</w:t>
      </w:r>
      <w:r w:rsidR="009041C9">
        <w:t xml:space="preserve"> </w:t>
      </w:r>
    </w:p>
    <w:p w14:paraId="671E4494" w14:textId="62BAC6AB" w:rsidR="00F81E08" w:rsidRDefault="00CD775F" w:rsidP="00366E17">
      <w:pPr>
        <w:pStyle w:val="ListParagraph"/>
        <w:numPr>
          <w:ilvl w:val="0"/>
          <w:numId w:val="9"/>
        </w:numPr>
        <w:spacing w:after="120"/>
        <w:ind w:left="720"/>
      </w:pPr>
      <w:r>
        <w:t xml:space="preserve">A portion of the gain is taxable - </w:t>
      </w:r>
      <w:r w:rsidR="00A13E8A">
        <w:t xml:space="preserve">State A’s rule for nonbusiness income </w:t>
      </w:r>
      <w:r>
        <w:t xml:space="preserve">is applied </w:t>
      </w:r>
      <w:r w:rsidR="00BA72C1">
        <w:t xml:space="preserve">at the </w:t>
      </w:r>
      <w:r w:rsidR="00541610">
        <w:t>partner</w:t>
      </w:r>
      <w:r w:rsidR="00BA72C1">
        <w:t xml:space="preserve"> level</w:t>
      </w:r>
      <w:r>
        <w:t xml:space="preserve"> and X’s share of</w:t>
      </w:r>
      <w:r w:rsidR="00F92C9C">
        <w:t xml:space="preserve"> gain</w:t>
      </w:r>
      <w:r w:rsidR="00BC3E05">
        <w:t xml:space="preserve"> is </w:t>
      </w:r>
      <w:r w:rsidR="0078570C">
        <w:t>characterized</w:t>
      </w:r>
      <w:r w:rsidR="003D5AFE">
        <w:t xml:space="preserve"> </w:t>
      </w:r>
      <w:r w:rsidR="00FC1B40">
        <w:t xml:space="preserve">as </w:t>
      </w:r>
      <w:r w:rsidR="00BC3E05">
        <w:t>business (</w:t>
      </w:r>
      <w:r w:rsidR="009041C9">
        <w:t>apportionable</w:t>
      </w:r>
      <w:r w:rsidR="00BC3E05">
        <w:t>)</w:t>
      </w:r>
      <w:r w:rsidR="009041C9">
        <w:t xml:space="preserve"> income</w:t>
      </w:r>
      <w:r w:rsidR="00FC1B40">
        <w:t xml:space="preserve"> </w:t>
      </w:r>
      <w:r w:rsidR="00BC3E05">
        <w:t xml:space="preserve">to </w:t>
      </w:r>
      <w:r w:rsidR="00130208">
        <w:t>X</w:t>
      </w:r>
      <w:r w:rsidR="00BA72C1">
        <w:t xml:space="preserve"> </w:t>
      </w:r>
      <w:r>
        <w:t xml:space="preserve">so that part is </w:t>
      </w:r>
      <w:r w:rsidR="00BA72C1">
        <w:t xml:space="preserve">apportioned </w:t>
      </w:r>
      <w:r w:rsidR="00CE250E">
        <w:t>to</w:t>
      </w:r>
      <w:r w:rsidR="003D5AFE">
        <w:t xml:space="preserve"> </w:t>
      </w:r>
      <w:r w:rsidR="00FC1B40">
        <w:t>State A</w:t>
      </w:r>
      <w:r w:rsidR="00130208">
        <w:t xml:space="preserve"> using the blended formula</w:t>
      </w:r>
      <w:r w:rsidR="003D5AFE">
        <w:t>.</w:t>
      </w:r>
      <w:r w:rsidR="009041C9">
        <w:t xml:space="preserve">  </w:t>
      </w:r>
      <w:r w:rsidR="009D36AA">
        <w:t xml:space="preserve"> </w:t>
      </w:r>
    </w:p>
    <w:p w14:paraId="4505E5B5" w14:textId="016A684C" w:rsidR="009041C9" w:rsidRDefault="00501699" w:rsidP="008E2113">
      <w:pPr>
        <w:pStyle w:val="Heading3"/>
      </w:pPr>
      <w:bookmarkStart w:id="25" w:name="_Toc198480717"/>
      <w:r>
        <w:lastRenderedPageBreak/>
        <w:t xml:space="preserve">Summary of Some Common </w:t>
      </w:r>
      <w:r w:rsidR="00080585">
        <w:t>Questions</w:t>
      </w:r>
      <w:bookmarkEnd w:id="25"/>
    </w:p>
    <w:p w14:paraId="01463EE4" w14:textId="541550F8" w:rsidR="00F81E08" w:rsidRDefault="00501699" w:rsidP="00942D90">
      <w:pPr>
        <w:spacing w:after="120"/>
      </w:pPr>
      <w:r>
        <w:t xml:space="preserve">States today </w:t>
      </w:r>
      <w:r w:rsidR="00714379">
        <w:t>face</w:t>
      </w:r>
      <w:r>
        <w:t xml:space="preserve"> common</w:t>
      </w:r>
      <w:r w:rsidR="00CA1146">
        <w:t xml:space="preserve"> questions</w:t>
      </w:r>
      <w:r w:rsidR="00714379">
        <w:t xml:space="preserve"> about sourcing of partnership income</w:t>
      </w:r>
      <w:r w:rsidR="00907459">
        <w:t xml:space="preserve"> taxed under the pass-through system</w:t>
      </w:r>
      <w:r w:rsidR="00714379">
        <w:t>:</w:t>
      </w:r>
      <w:r>
        <w:t xml:space="preserve"> </w:t>
      </w:r>
    </w:p>
    <w:p w14:paraId="1410C567" w14:textId="11CD1B29" w:rsidR="002242CE" w:rsidRDefault="008E2113" w:rsidP="00366E17">
      <w:pPr>
        <w:pStyle w:val="ListParagraph"/>
        <w:numPr>
          <w:ilvl w:val="0"/>
          <w:numId w:val="7"/>
        </w:numPr>
        <w:spacing w:after="40"/>
        <w:ind w:left="360"/>
        <w:contextualSpacing w:val="0"/>
      </w:pPr>
      <w:r>
        <w:t xml:space="preserve">When sourcing partnership income, do </w:t>
      </w:r>
      <w:r w:rsidR="006861C6">
        <w:t xml:space="preserve">sourcing rules apply </w:t>
      </w:r>
      <w:r w:rsidR="002242CE">
        <w:t xml:space="preserve">at the </w:t>
      </w:r>
      <w:r w:rsidR="001A64CC">
        <w:t>partnership or</w:t>
      </w:r>
      <w:r>
        <w:t xml:space="preserve"> the </w:t>
      </w:r>
      <w:r w:rsidR="001A64CC">
        <w:t>partner level</w:t>
      </w:r>
      <w:r w:rsidR="0045160D">
        <w:t xml:space="preserve"> and if both, in what order</w:t>
      </w:r>
      <w:r w:rsidR="002242CE">
        <w:t xml:space="preserve">? </w:t>
      </w:r>
      <w:r w:rsidR="006861C6">
        <w:t xml:space="preserve"> </w:t>
      </w:r>
    </w:p>
    <w:p w14:paraId="408106EA" w14:textId="3A83DC3E" w:rsidR="001A64CC" w:rsidRDefault="002242CE" w:rsidP="00366E17">
      <w:pPr>
        <w:pStyle w:val="ListParagraph"/>
        <w:numPr>
          <w:ilvl w:val="1"/>
          <w:numId w:val="14"/>
        </w:numPr>
        <w:spacing w:after="40"/>
        <w:ind w:left="792"/>
        <w:contextualSpacing w:val="0"/>
      </w:pPr>
      <w:r>
        <w:t xml:space="preserve">Does </w:t>
      </w:r>
      <w:r w:rsidR="001A64CC">
        <w:t xml:space="preserve">this vary based on type of partner </w:t>
      </w:r>
      <w:r w:rsidR="006861C6">
        <w:t xml:space="preserve">(e.g., individual, corporation, </w:t>
      </w:r>
      <w:r w:rsidR="001A64CC">
        <w:t>tiered partner,</w:t>
      </w:r>
      <w:r w:rsidR="006861C6">
        <w:t xml:space="preserve"> etc.)?</w:t>
      </w:r>
    </w:p>
    <w:p w14:paraId="004857C0" w14:textId="6FA4F9BB" w:rsidR="006861C6" w:rsidRDefault="001A64CC" w:rsidP="00366E17">
      <w:pPr>
        <w:pStyle w:val="ListParagraph"/>
        <w:numPr>
          <w:ilvl w:val="1"/>
          <w:numId w:val="14"/>
        </w:numPr>
        <w:spacing w:after="120"/>
        <w:ind w:left="792"/>
        <w:contextualSpacing w:val="0"/>
      </w:pPr>
      <w:r>
        <w:t>Does this vary based on partner’s role (active, passive, direct, indirect, etc.)?</w:t>
      </w:r>
      <w:r w:rsidR="006861C6">
        <w:t xml:space="preserve"> </w:t>
      </w:r>
    </w:p>
    <w:p w14:paraId="6911D918" w14:textId="3E7EA37E" w:rsidR="00CA1146" w:rsidRDefault="006861C6" w:rsidP="00366E17">
      <w:pPr>
        <w:pStyle w:val="ListParagraph"/>
        <w:numPr>
          <w:ilvl w:val="0"/>
          <w:numId w:val="7"/>
        </w:numPr>
        <w:spacing w:after="40"/>
        <w:ind w:left="360"/>
        <w:contextualSpacing w:val="0"/>
      </w:pPr>
      <w:r>
        <w:t>If blended apportionment is used</w:t>
      </w:r>
      <w:r w:rsidR="002242CE">
        <w:t>—</w:t>
      </w:r>
      <w:r>
        <w:t xml:space="preserve">how is </w:t>
      </w:r>
      <w:r w:rsidR="001A64CC">
        <w:t xml:space="preserve">it </w:t>
      </w:r>
      <w:r>
        <w:t xml:space="preserve">done? </w:t>
      </w:r>
    </w:p>
    <w:p w14:paraId="5676C936" w14:textId="37A265E1" w:rsidR="00CA1146" w:rsidRDefault="00714379" w:rsidP="00366E17">
      <w:pPr>
        <w:pStyle w:val="ListParagraph"/>
        <w:numPr>
          <w:ilvl w:val="1"/>
          <w:numId w:val="15"/>
        </w:numPr>
        <w:spacing w:after="40"/>
        <w:ind w:left="792"/>
        <w:contextualSpacing w:val="0"/>
      </w:pPr>
      <w:r>
        <w:t>What share of</w:t>
      </w:r>
      <w:r w:rsidR="00CA1146">
        <w:t xml:space="preserve"> </w:t>
      </w:r>
      <w:r w:rsidR="00CD775F">
        <w:t xml:space="preserve">partnership </w:t>
      </w:r>
      <w:r w:rsidR="00CA1146">
        <w:t xml:space="preserve">factors </w:t>
      </w:r>
      <w:r>
        <w:t>should be included in a blended apportionment factor</w:t>
      </w:r>
      <w:r w:rsidR="00CA1146">
        <w:t>?</w:t>
      </w:r>
    </w:p>
    <w:p w14:paraId="0E6A313A" w14:textId="373E113E" w:rsidR="00F81E08" w:rsidRDefault="00CA1146" w:rsidP="00366E17">
      <w:pPr>
        <w:pStyle w:val="ListParagraph"/>
        <w:numPr>
          <w:ilvl w:val="1"/>
          <w:numId w:val="15"/>
        </w:numPr>
        <w:spacing w:after="60"/>
        <w:ind w:left="792"/>
        <w:contextualSpacing w:val="0"/>
      </w:pPr>
      <w:r>
        <w:t xml:space="preserve">How </w:t>
      </w:r>
      <w:r w:rsidR="001A64CC">
        <w:t xml:space="preserve">should </w:t>
      </w:r>
      <w:r>
        <w:t>partner</w:t>
      </w:r>
      <w:r w:rsidR="001A64CC">
        <w:t>-</w:t>
      </w:r>
      <w:r>
        <w:t>partnership</w:t>
      </w:r>
      <w:r w:rsidR="001A64CC">
        <w:t xml:space="preserve"> or related-entity transactions be treated in computing</w:t>
      </w:r>
      <w:r w:rsidR="006861C6">
        <w:t xml:space="preserve"> </w:t>
      </w:r>
      <w:r w:rsidR="006B27F5">
        <w:t xml:space="preserve">the </w:t>
      </w:r>
      <w:r w:rsidR="006861C6">
        <w:t>apportionable income or apportionment factors</w:t>
      </w:r>
      <w:r>
        <w:t xml:space="preserve">? </w:t>
      </w:r>
    </w:p>
    <w:p w14:paraId="499BB667" w14:textId="24801514" w:rsidR="006861C6" w:rsidRDefault="006861C6" w:rsidP="00366E17">
      <w:pPr>
        <w:pStyle w:val="ListParagraph"/>
        <w:numPr>
          <w:ilvl w:val="0"/>
          <w:numId w:val="7"/>
        </w:numPr>
        <w:spacing w:after="40"/>
        <w:ind w:left="360"/>
        <w:contextualSpacing w:val="0"/>
      </w:pPr>
      <w:r>
        <w:t>If blended apportionment is used</w:t>
      </w:r>
      <w:r w:rsidR="001A64CC">
        <w:t>—</w:t>
      </w:r>
      <w:r>
        <w:t xml:space="preserve">are there any limitations on </w:t>
      </w:r>
      <w:r w:rsidR="002242CE">
        <w:t xml:space="preserve">when it is </w:t>
      </w:r>
      <w:r>
        <w:t>use</w:t>
      </w:r>
      <w:r w:rsidR="002242CE">
        <w:t>d</w:t>
      </w:r>
      <w:r>
        <w:t>?</w:t>
      </w:r>
    </w:p>
    <w:p w14:paraId="22D76464" w14:textId="46306F87" w:rsidR="006861C6" w:rsidRDefault="006861C6" w:rsidP="00366E17">
      <w:pPr>
        <w:pStyle w:val="ListParagraph"/>
        <w:numPr>
          <w:ilvl w:val="1"/>
          <w:numId w:val="16"/>
        </w:numPr>
        <w:spacing w:after="40"/>
        <w:ind w:left="792"/>
        <w:contextualSpacing w:val="0"/>
      </w:pPr>
      <w:r>
        <w:t xml:space="preserve">Should the use be limited </w:t>
      </w:r>
      <w:r w:rsidR="00541610">
        <w:t>based on the unitary business principle</w:t>
      </w:r>
      <w:r>
        <w:t>?</w:t>
      </w:r>
    </w:p>
    <w:p w14:paraId="50D721C7" w14:textId="4D78F44D" w:rsidR="006861C6" w:rsidRDefault="006861C6" w:rsidP="00366E17">
      <w:pPr>
        <w:pStyle w:val="ListParagraph"/>
        <w:numPr>
          <w:ilvl w:val="1"/>
          <w:numId w:val="16"/>
        </w:numPr>
        <w:spacing w:after="120"/>
        <w:ind w:left="792"/>
        <w:contextualSpacing w:val="0"/>
      </w:pPr>
      <w:r>
        <w:t xml:space="preserve">Should the use be limited </w:t>
      </w:r>
      <w:r w:rsidR="00714379">
        <w:t>based on the</w:t>
      </w:r>
      <w:r>
        <w:t xml:space="preserve"> type of partner?</w:t>
      </w:r>
    </w:p>
    <w:p w14:paraId="7D884D78" w14:textId="4A59F0F0" w:rsidR="00792E74" w:rsidRDefault="00792E74" w:rsidP="00366E17">
      <w:pPr>
        <w:pStyle w:val="ListParagraph"/>
        <w:numPr>
          <w:ilvl w:val="0"/>
          <w:numId w:val="16"/>
        </w:numPr>
        <w:spacing w:after="120"/>
        <w:ind w:left="360"/>
        <w:contextualSpacing w:val="0"/>
      </w:pPr>
      <w:r>
        <w:t xml:space="preserve">Do special or mandatory allocations of partnership income call for different sourcing rules? </w:t>
      </w:r>
    </w:p>
    <w:p w14:paraId="750BE1BA" w14:textId="13AA0B83" w:rsidR="00FC1B40" w:rsidRDefault="00FC1B40" w:rsidP="00366E17">
      <w:pPr>
        <w:pStyle w:val="ListParagraph"/>
        <w:numPr>
          <w:ilvl w:val="0"/>
          <w:numId w:val="7"/>
        </w:numPr>
        <w:spacing w:after="240"/>
        <w:ind w:left="360"/>
        <w:contextualSpacing w:val="0"/>
      </w:pPr>
      <w:r>
        <w:t>Are there any anti-abuse rules needed to avoid unintended sourcing results?</w:t>
      </w:r>
    </w:p>
    <w:p w14:paraId="76221C78" w14:textId="5C2CBA2E" w:rsidR="00130208" w:rsidRDefault="00130208" w:rsidP="00130208">
      <w:r>
        <w:t>To better understand the reason</w:t>
      </w:r>
      <w:r w:rsidR="007709D7">
        <w:t xml:space="preserve">s why </w:t>
      </w:r>
      <w:r>
        <w:t xml:space="preserve">partnerships and the pass-through </w:t>
      </w:r>
      <w:r w:rsidR="007709D7">
        <w:t xml:space="preserve">tax </w:t>
      </w:r>
      <w:r>
        <w:t xml:space="preserve">system raise </w:t>
      </w:r>
      <w:r w:rsidR="001A3F1E">
        <w:t xml:space="preserve">difficult </w:t>
      </w:r>
      <w:r w:rsidR="007977D5">
        <w:t>sourcing</w:t>
      </w:r>
      <w:r>
        <w:t xml:space="preserve"> </w:t>
      </w:r>
      <w:r w:rsidR="001A3F1E">
        <w:t>issues</w:t>
      </w:r>
      <w:r>
        <w:t xml:space="preserve">, </w:t>
      </w:r>
      <w:r w:rsidR="007977D5">
        <w:t xml:space="preserve">the </w:t>
      </w:r>
      <w:r>
        <w:t xml:space="preserve">following subsections discuss </w:t>
      </w:r>
      <w:r w:rsidR="001A3F1E">
        <w:t xml:space="preserve">the </w:t>
      </w:r>
      <w:r>
        <w:t>important context</w:t>
      </w:r>
      <w:r w:rsidR="001A3F1E">
        <w:t xml:space="preserve"> in which partnership income is taxed,</w:t>
      </w:r>
      <w:r>
        <w:t xml:space="preserve"> including</w:t>
      </w:r>
      <w:r w:rsidR="00907459">
        <w:t>:</w:t>
      </w:r>
      <w:r>
        <w:t xml:space="preserve"> laws governing partnerships generally, common terms necessary for discussing the issues, what it means </w:t>
      </w:r>
      <w:r w:rsidR="001A64CC">
        <w:t>for</w:t>
      </w:r>
      <w:r>
        <w:t xml:space="preserve"> states to conform to the federal pass-through system, the importance of the attribution principle, and </w:t>
      </w:r>
      <w:r w:rsidR="007709D7">
        <w:t xml:space="preserve">a </w:t>
      </w:r>
      <w:r>
        <w:t xml:space="preserve">further </w:t>
      </w:r>
      <w:r w:rsidR="001A64CC">
        <w:t>analysis</w:t>
      </w:r>
      <w:r>
        <w:t xml:space="preserve"> of the states’ general sourcing rules.</w:t>
      </w:r>
    </w:p>
    <w:p w14:paraId="5D4E1ED1" w14:textId="77777777" w:rsidR="00907459" w:rsidRDefault="00907459" w:rsidP="00130208"/>
    <w:p w14:paraId="162D7F1F" w14:textId="74D8C437" w:rsidR="00BE3C6D" w:rsidRPr="00BE3C6D" w:rsidRDefault="004A6944" w:rsidP="008718C5">
      <w:pPr>
        <w:pStyle w:val="Heading2"/>
      </w:pPr>
      <w:bookmarkStart w:id="26" w:name="_Toc198480718"/>
      <w:r>
        <w:t xml:space="preserve">I. </w:t>
      </w:r>
      <w:r w:rsidR="00F65298">
        <w:t>B</w:t>
      </w:r>
      <w:r>
        <w:t xml:space="preserve">. </w:t>
      </w:r>
      <w:r w:rsidR="004E7A20">
        <w:t xml:space="preserve">Overview of </w:t>
      </w:r>
      <w:r w:rsidR="00543B8C">
        <w:t xml:space="preserve">Important </w:t>
      </w:r>
      <w:r>
        <w:t>Law</w:t>
      </w:r>
      <w:bookmarkEnd w:id="26"/>
    </w:p>
    <w:p w14:paraId="5D51E84A" w14:textId="3FE92020" w:rsidR="004A6944" w:rsidRDefault="00C7708A" w:rsidP="004A6944">
      <w:r w:rsidRPr="00816484">
        <w:rPr>
          <w:noProof/>
        </w:rPr>
        <w:drawing>
          <wp:anchor distT="0" distB="0" distL="114300" distR="114300" simplePos="0" relativeHeight="251640320" behindDoc="0" locked="0" layoutInCell="1" allowOverlap="1" wp14:anchorId="3842CC21" wp14:editId="233D2058">
            <wp:simplePos x="0" y="0"/>
            <wp:positionH relativeFrom="margin">
              <wp:posOffset>572770</wp:posOffset>
            </wp:positionH>
            <wp:positionV relativeFrom="paragraph">
              <wp:posOffset>535305</wp:posOffset>
            </wp:positionV>
            <wp:extent cx="4514850" cy="3003550"/>
            <wp:effectExtent l="0" t="0" r="0" b="158750"/>
            <wp:wrapTopAndBottom/>
            <wp:docPr id="50708939" name="Diagram 1">
              <a:extLst xmlns:a="http://schemas.openxmlformats.org/drawingml/2006/main">
                <a:ext uri="{FF2B5EF4-FFF2-40B4-BE49-F238E27FC236}">
                  <a16:creationId xmlns:a16="http://schemas.microsoft.com/office/drawing/2014/main" id="{4108E833-F227-3C7B-674A-FEE1381CA353}"/>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margin">
              <wp14:pctWidth>0</wp14:pctWidth>
            </wp14:sizeRelH>
            <wp14:sizeRelV relativeFrom="margin">
              <wp14:pctHeight>0</wp14:pctHeight>
            </wp14:sizeRelV>
          </wp:anchor>
        </w:drawing>
      </w:r>
      <w:r w:rsidR="00900D28">
        <w:t xml:space="preserve">State taxation of partnership income is </w:t>
      </w:r>
      <w:r w:rsidR="001A64CC">
        <w:t xml:space="preserve">directly </w:t>
      </w:r>
      <w:r w:rsidR="00900D28">
        <w:t>affected by t</w:t>
      </w:r>
      <w:r w:rsidR="00160A0E">
        <w:t xml:space="preserve">hree </w:t>
      </w:r>
      <w:r w:rsidR="00F97A02">
        <w:t>categories of law</w:t>
      </w:r>
      <w:r w:rsidR="000A6650">
        <w:t>s</w:t>
      </w:r>
      <w:r w:rsidR="00C03F56">
        <w:t>. The first—</w:t>
      </w:r>
      <w:r w:rsidR="0062473E">
        <w:t>state laws governing formation</w:t>
      </w:r>
      <w:r w:rsidR="001669CF">
        <w:t>—</w:t>
      </w:r>
      <w:r w:rsidR="00C03F56">
        <w:t xml:space="preserve">will be discussed in this subsection I.B. The </w:t>
      </w:r>
      <w:r w:rsidR="00130C41">
        <w:t>other two—federal tax law and state tax sourcing rules</w:t>
      </w:r>
      <w:r w:rsidR="0062473E">
        <w:t>—</w:t>
      </w:r>
      <w:r w:rsidR="00130C41">
        <w:t>are</w:t>
      </w:r>
      <w:r w:rsidR="00695012">
        <w:t xml:space="preserve"> summarized </w:t>
      </w:r>
      <w:r w:rsidR="00130C41">
        <w:t xml:space="preserve">briefly </w:t>
      </w:r>
      <w:r w:rsidR="0062473E">
        <w:t xml:space="preserve">below </w:t>
      </w:r>
      <w:r w:rsidR="007709D7">
        <w:t>and</w:t>
      </w:r>
      <w:r w:rsidR="004D6CD1">
        <w:t xml:space="preserve"> discussed in greater detail </w:t>
      </w:r>
      <w:r w:rsidR="00130C41">
        <w:t>in this</w:t>
      </w:r>
      <w:r w:rsidR="004D6CD1">
        <w:t xml:space="preserve"> white paper.</w:t>
      </w:r>
      <w:r w:rsidR="00160A0E">
        <w:t xml:space="preserve"> </w:t>
      </w:r>
    </w:p>
    <w:p w14:paraId="0BE62C65" w14:textId="6D6467A5" w:rsidR="00907459" w:rsidRDefault="00907459" w:rsidP="004A6944"/>
    <w:p w14:paraId="4C47F716" w14:textId="014C3635" w:rsidR="00A876DA" w:rsidRDefault="0095334E" w:rsidP="00A876DA">
      <w:pPr>
        <w:pStyle w:val="Heading3"/>
      </w:pPr>
      <w:bookmarkStart w:id="27" w:name="_Toc198480719"/>
      <w:r>
        <w:lastRenderedPageBreak/>
        <w:t xml:space="preserve">CATEGORY 1: </w:t>
      </w:r>
      <w:r w:rsidR="00D86C97">
        <w:t xml:space="preserve">State </w:t>
      </w:r>
      <w:r w:rsidR="008236EB">
        <w:t xml:space="preserve">Laws </w:t>
      </w:r>
      <w:r w:rsidR="0062473E">
        <w:t>Governing</w:t>
      </w:r>
      <w:r w:rsidR="00D86C97">
        <w:t xml:space="preserve"> </w:t>
      </w:r>
      <w:r w:rsidR="008236EB">
        <w:t>Formation</w:t>
      </w:r>
      <w:bookmarkEnd w:id="27"/>
    </w:p>
    <w:p w14:paraId="5521144B" w14:textId="71CF09A4" w:rsidR="00B71521" w:rsidRDefault="00A876DA" w:rsidP="00364D04">
      <w:pPr>
        <w:spacing w:after="120"/>
      </w:pPr>
      <w:r>
        <w:t xml:space="preserve">Partnerships, like corporations, are </w:t>
      </w:r>
      <w:r w:rsidR="008718C5">
        <w:t xml:space="preserve">the </w:t>
      </w:r>
      <w:r>
        <w:t xml:space="preserve">creatures of state statutory law. </w:t>
      </w:r>
      <w:r w:rsidR="000A6650">
        <w:t>These</w:t>
      </w:r>
      <w:r w:rsidR="00B71521">
        <w:t xml:space="preserve"> </w:t>
      </w:r>
      <w:r w:rsidR="007709D7">
        <w:t>statutes</w:t>
      </w:r>
      <w:r>
        <w:t xml:space="preserve"> </w:t>
      </w:r>
      <w:r w:rsidR="00866DAD">
        <w:t xml:space="preserve">govern </w:t>
      </w:r>
      <w:r w:rsidR="005E0A55">
        <w:t xml:space="preserve">formation of partnerships </w:t>
      </w:r>
      <w:r w:rsidR="0062473E">
        <w:t xml:space="preserve">and </w:t>
      </w:r>
      <w:r>
        <w:t>prescrib</w:t>
      </w:r>
      <w:r w:rsidR="008718C5">
        <w:t>e</w:t>
      </w:r>
      <w:r>
        <w:t xml:space="preserve">, in </w:t>
      </w:r>
      <w:r w:rsidR="007709D7">
        <w:t xml:space="preserve">some </w:t>
      </w:r>
      <w:r>
        <w:t xml:space="preserve">detail, </w:t>
      </w:r>
      <w:r w:rsidR="00900D28">
        <w:t xml:space="preserve">the </w:t>
      </w:r>
      <w:r w:rsidR="00B5622F">
        <w:t xml:space="preserve">legal </w:t>
      </w:r>
      <w:r w:rsidR="008236EB">
        <w:t>rights and duties</w:t>
      </w:r>
      <w:r w:rsidR="00900D28">
        <w:t xml:space="preserve"> </w:t>
      </w:r>
      <w:r w:rsidR="000A6650">
        <w:t xml:space="preserve">of </w:t>
      </w:r>
      <w:r>
        <w:t>partners</w:t>
      </w:r>
      <w:r w:rsidR="000A6650">
        <w:t xml:space="preserve"> and </w:t>
      </w:r>
      <w:r>
        <w:t>partnerships</w:t>
      </w:r>
      <w:r w:rsidR="00900D28">
        <w:t xml:space="preserve"> </w:t>
      </w:r>
      <w:r w:rsidR="000A6650">
        <w:t xml:space="preserve">in relationship to each other and with </w:t>
      </w:r>
      <w:r w:rsidR="00900D28">
        <w:t xml:space="preserve">third parties. </w:t>
      </w:r>
      <w:r w:rsidR="000A6650">
        <w:t>S</w:t>
      </w:r>
      <w:r w:rsidR="007977D5">
        <w:t xml:space="preserve">tate </w:t>
      </w:r>
      <w:r w:rsidR="00B71521">
        <w:t>laws also</w:t>
      </w:r>
      <w:r w:rsidR="00900D28">
        <w:t xml:space="preserve"> </w:t>
      </w:r>
      <w:r w:rsidR="000A6650">
        <w:t xml:space="preserve">allow for the creation of </w:t>
      </w:r>
      <w:r w:rsidR="00D053C0">
        <w:t xml:space="preserve">different </w:t>
      </w:r>
      <w:r w:rsidR="00B5622F">
        <w:t xml:space="preserve">forms of </w:t>
      </w:r>
      <w:r w:rsidR="00D053C0">
        <w:t>partnership</w:t>
      </w:r>
      <w:r w:rsidR="00B5622F">
        <w:t>s</w:t>
      </w:r>
      <w:r w:rsidR="0062473E">
        <w:t xml:space="preserve">. </w:t>
      </w:r>
      <w:r w:rsidR="00907459">
        <w:t>M</w:t>
      </w:r>
      <w:r w:rsidR="0062473E">
        <w:t xml:space="preserve">ost importantly, </w:t>
      </w:r>
      <w:r w:rsidR="00907459">
        <w:t xml:space="preserve">when </w:t>
      </w:r>
      <w:r w:rsidR="0062473E">
        <w:t xml:space="preserve">compared </w:t>
      </w:r>
      <w:r w:rsidR="000A6650">
        <w:t xml:space="preserve">with </w:t>
      </w:r>
      <w:r w:rsidR="0062473E">
        <w:t>corporat</w:t>
      </w:r>
      <w:r w:rsidR="00907459">
        <w:t>ions,</w:t>
      </w:r>
      <w:r w:rsidR="000A6650">
        <w:t xml:space="preserve"> </w:t>
      </w:r>
      <w:r w:rsidR="0062473E">
        <w:t>partners</w:t>
      </w:r>
      <w:r w:rsidR="00907459">
        <w:t>hips</w:t>
      </w:r>
      <w:r w:rsidR="0062473E">
        <w:t xml:space="preserve"> have much greater flexibility in</w:t>
      </w:r>
      <w:r w:rsidR="00907459">
        <w:t xml:space="preserve"> terms of their </w:t>
      </w:r>
      <w:r w:rsidR="0062473E">
        <w:t>structur</w:t>
      </w:r>
      <w:r w:rsidR="00907459">
        <w:t>e</w:t>
      </w:r>
      <w:r w:rsidR="0062473E">
        <w:t xml:space="preserve"> and </w:t>
      </w:r>
      <w:r w:rsidR="00907459">
        <w:t>operations</w:t>
      </w:r>
      <w:r w:rsidR="0062473E">
        <w:t xml:space="preserve"> as well as in </w:t>
      </w:r>
      <w:r w:rsidR="00907459">
        <w:t>the roles of partners</w:t>
      </w:r>
      <w:r w:rsidR="0062473E">
        <w:t>.</w:t>
      </w:r>
    </w:p>
    <w:p w14:paraId="228348AE" w14:textId="6436DBA2" w:rsidR="00405772" w:rsidRDefault="00405772" w:rsidP="00405772">
      <w:pPr>
        <w:pStyle w:val="Heading4"/>
        <w:ind w:left="720"/>
      </w:pPr>
      <w:r>
        <w:t xml:space="preserve">Uniform </w:t>
      </w:r>
      <w:r w:rsidR="0062473E">
        <w:t>Governing</w:t>
      </w:r>
      <w:r>
        <w:t xml:space="preserve"> Laws</w:t>
      </w:r>
    </w:p>
    <w:p w14:paraId="7FDEF62F" w14:textId="1984DB66" w:rsidR="00A876DA" w:rsidRPr="00C7708A" w:rsidRDefault="00866DAD" w:rsidP="00405772">
      <w:pPr>
        <w:spacing w:after="120"/>
        <w:ind w:left="720"/>
        <w:rPr>
          <w:color w:val="0070C0"/>
        </w:rPr>
      </w:pPr>
      <w:r>
        <w:t>Most</w:t>
      </w:r>
      <w:r w:rsidR="007977D5">
        <w:t xml:space="preserve"> state</w:t>
      </w:r>
      <w:r>
        <w:t xml:space="preserve"> governing statutes</w:t>
      </w:r>
      <w:r w:rsidR="00D053C0">
        <w:t xml:space="preserve"> are </w:t>
      </w:r>
      <w:r w:rsidR="00BE40F5">
        <w:t xml:space="preserve">largely </w:t>
      </w:r>
      <w:r w:rsidR="00D053C0">
        <w:t>consistent with t</w:t>
      </w:r>
      <w:r w:rsidR="00A876DA">
        <w:t xml:space="preserve">he Uniform Law Commission (ULC) </w:t>
      </w:r>
      <w:r w:rsidR="00D053C0">
        <w:t>model acts</w:t>
      </w:r>
      <w:r>
        <w:t>. This</w:t>
      </w:r>
      <w:r w:rsidR="00A876DA">
        <w:t xml:space="preserve"> </w:t>
      </w:r>
      <w:r w:rsidR="00B71521">
        <w:t xml:space="preserve">white paper may reference these acts </w:t>
      </w:r>
      <w:r w:rsidR="00BE40F5">
        <w:t>when discussing partnership</w:t>
      </w:r>
      <w:r>
        <w:t xml:space="preserve">s </w:t>
      </w:r>
      <w:r w:rsidR="00A876DA">
        <w:t>– see links here:</w:t>
      </w:r>
    </w:p>
    <w:p w14:paraId="27975832" w14:textId="6561D96A" w:rsidR="00A876DA" w:rsidRPr="00634DA2" w:rsidRDefault="00D053C0" w:rsidP="00C7708A">
      <w:pPr>
        <w:pStyle w:val="ListParagraph"/>
        <w:ind w:left="1440"/>
        <w:rPr>
          <w:color w:val="851C00" w:themeColor="accent6" w:themeShade="BF"/>
        </w:rPr>
      </w:pPr>
      <w:hyperlink r:id="rId22" w:history="1">
        <w:r w:rsidRPr="00C7708A">
          <w:rPr>
            <w:rStyle w:val="Hyperlink"/>
          </w:rPr>
          <w:t>ULC P</w:t>
        </w:r>
        <w:r w:rsidR="00A876DA" w:rsidRPr="00C7708A">
          <w:rPr>
            <w:rStyle w:val="Hyperlink"/>
          </w:rPr>
          <w:t>artnership Act</w:t>
        </w:r>
      </w:hyperlink>
      <w:r w:rsidR="00900D28">
        <w:rPr>
          <w:color w:val="851C00" w:themeColor="accent6" w:themeShade="BF"/>
        </w:rPr>
        <w:t xml:space="preserve"> </w:t>
      </w:r>
      <w:r w:rsidR="00900D28">
        <w:rPr>
          <w:color w:val="000000" w:themeColor="text1"/>
        </w:rPr>
        <w:t xml:space="preserve">(which </w:t>
      </w:r>
      <w:r w:rsidR="0062473E">
        <w:rPr>
          <w:color w:val="000000" w:themeColor="text1"/>
        </w:rPr>
        <w:t xml:space="preserve">includes </w:t>
      </w:r>
      <w:r w:rsidR="00900D28">
        <w:rPr>
          <w:color w:val="000000" w:themeColor="text1"/>
        </w:rPr>
        <w:t>general and limited liability partnerships)</w:t>
      </w:r>
    </w:p>
    <w:bookmarkStart w:id="28" w:name="_Hlk193992006"/>
    <w:p w14:paraId="3B1F91C4" w14:textId="77777777" w:rsidR="0062473E" w:rsidRPr="00C7708A" w:rsidRDefault="0062473E" w:rsidP="00C7708A">
      <w:pPr>
        <w:pStyle w:val="ListParagraph"/>
        <w:ind w:left="1440"/>
        <w:rPr>
          <w:rStyle w:val="Hyperlink"/>
        </w:rPr>
      </w:pPr>
      <w:r w:rsidRPr="00C7708A">
        <w:rPr>
          <w:rStyle w:val="Hyperlink"/>
        </w:rPr>
        <w:fldChar w:fldCharType="begin"/>
      </w:r>
      <w:r w:rsidRPr="00C7708A">
        <w:rPr>
          <w:rStyle w:val="Hyperlink"/>
        </w:rPr>
        <w:instrText>HYPERLINK "https://www.uniformlaws.org/viewdocument/final-act-84?CommunityKey=d9036976-6c90-4951-ba81-1046c90da035&amp;tab=librarydocuments"</w:instrText>
      </w:r>
      <w:r w:rsidRPr="00C7708A">
        <w:rPr>
          <w:rStyle w:val="Hyperlink"/>
        </w:rPr>
      </w:r>
      <w:r w:rsidRPr="00C7708A">
        <w:rPr>
          <w:rStyle w:val="Hyperlink"/>
        </w:rPr>
        <w:fldChar w:fldCharType="separate"/>
      </w:r>
      <w:r w:rsidRPr="00C7708A">
        <w:rPr>
          <w:rStyle w:val="Hyperlink"/>
        </w:rPr>
        <w:t>ULC Limited Partnership Act</w:t>
      </w:r>
      <w:r w:rsidRPr="00C7708A">
        <w:rPr>
          <w:rStyle w:val="Hyperlink"/>
        </w:rPr>
        <w:fldChar w:fldCharType="end"/>
      </w:r>
    </w:p>
    <w:p w14:paraId="741F3806" w14:textId="1A476324" w:rsidR="00A876DA" w:rsidRPr="00C7708A" w:rsidRDefault="00D053C0" w:rsidP="00C7708A">
      <w:pPr>
        <w:pStyle w:val="ListParagraph"/>
        <w:ind w:left="1440"/>
        <w:rPr>
          <w:rStyle w:val="Hyperlink"/>
        </w:rPr>
      </w:pPr>
      <w:hyperlink r:id="rId23" w:history="1">
        <w:r w:rsidRPr="00C7708A">
          <w:rPr>
            <w:rStyle w:val="Hyperlink"/>
          </w:rPr>
          <w:t>ULC L</w:t>
        </w:r>
        <w:r w:rsidR="00A876DA" w:rsidRPr="00C7708A">
          <w:rPr>
            <w:rStyle w:val="Hyperlink"/>
          </w:rPr>
          <w:t>imited Liability Company Act</w:t>
        </w:r>
      </w:hyperlink>
      <w:r w:rsidR="00A876DA" w:rsidRPr="00C7708A">
        <w:rPr>
          <w:rStyle w:val="Hyperlink"/>
        </w:rPr>
        <w:t xml:space="preserve"> </w:t>
      </w:r>
    </w:p>
    <w:bookmarkEnd w:id="28"/>
    <w:p w14:paraId="42BD097F" w14:textId="57C4C38A" w:rsidR="00405772" w:rsidRDefault="00555503" w:rsidP="00405772">
      <w:pPr>
        <w:pStyle w:val="Heading4"/>
        <w:ind w:left="720"/>
      </w:pPr>
      <w:r>
        <w:t>Partnership Laws are Influence</w:t>
      </w:r>
      <w:r w:rsidR="006A7AED">
        <w:t>d by</w:t>
      </w:r>
      <w:r>
        <w:t xml:space="preserve"> Two Theories – Aggregate and Entity </w:t>
      </w:r>
    </w:p>
    <w:p w14:paraId="0144C9D1" w14:textId="519283EE" w:rsidR="00F626D3" w:rsidRDefault="00866DAD" w:rsidP="00405772">
      <w:pPr>
        <w:ind w:left="720"/>
      </w:pPr>
      <w:r>
        <w:t>T</w:t>
      </w:r>
      <w:r w:rsidR="007709D7">
        <w:t xml:space="preserve">wo </w:t>
      </w:r>
      <w:r w:rsidR="00E46576">
        <w:t xml:space="preserve">legal </w:t>
      </w:r>
      <w:r w:rsidR="007709D7">
        <w:t xml:space="preserve">theories </w:t>
      </w:r>
      <w:r>
        <w:t>of partnerships have influenced the development of state governing laws</w:t>
      </w:r>
      <w:r w:rsidR="00E46576">
        <w:t>. These theories</w:t>
      </w:r>
      <w:r>
        <w:t xml:space="preserve"> </w:t>
      </w:r>
      <w:r w:rsidR="00F626D3">
        <w:t xml:space="preserve">sometimes </w:t>
      </w:r>
      <w:r w:rsidR="000A6650">
        <w:t xml:space="preserve">also </w:t>
      </w:r>
      <w:r w:rsidR="00F626D3">
        <w:t xml:space="preserve">come up in the context of state sourcing debates. </w:t>
      </w:r>
      <w:r w:rsidR="000A6650">
        <w:t>The a</w:t>
      </w:r>
      <w:r w:rsidR="00F626D3">
        <w:t xml:space="preserve">ggregate theory </w:t>
      </w:r>
      <w:r>
        <w:t>views</w:t>
      </w:r>
      <w:r w:rsidR="00F626D3">
        <w:t xml:space="preserve"> partnerships as simply joint endeavors </w:t>
      </w:r>
      <w:r>
        <w:t xml:space="preserve">undertaken </w:t>
      </w:r>
      <w:r w:rsidR="00F626D3">
        <w:t>by separate persons—</w:t>
      </w:r>
      <w:r>
        <w:t xml:space="preserve">whether </w:t>
      </w:r>
      <w:r w:rsidR="00F626D3">
        <w:t xml:space="preserve">owning property collectively </w:t>
      </w:r>
      <w:r>
        <w:t xml:space="preserve">or </w:t>
      </w:r>
      <w:r w:rsidR="00F626D3">
        <w:t xml:space="preserve">taking certain collective actions. </w:t>
      </w:r>
      <w:r w:rsidR="000A6650">
        <w:t>I</w:t>
      </w:r>
      <w:r w:rsidR="00F626D3">
        <w:t xml:space="preserve">n contrast, </w:t>
      </w:r>
      <w:r w:rsidR="000A6650">
        <w:t xml:space="preserve">the entity theory </w:t>
      </w:r>
      <w:r>
        <w:t>views</w:t>
      </w:r>
      <w:r w:rsidR="00F626D3">
        <w:t xml:space="preserve"> partnerships as separate persons under the law (similar to corporations). </w:t>
      </w:r>
    </w:p>
    <w:p w14:paraId="58EBB4D3" w14:textId="0233AB53" w:rsidR="00F626D3" w:rsidRDefault="00904ECB" w:rsidP="00405772">
      <w:pPr>
        <w:ind w:left="720"/>
      </w:pPr>
      <w:r>
        <w:t>I</w:t>
      </w:r>
      <w:r w:rsidR="00F626D3">
        <w:t xml:space="preserve">ntroductory comments to the </w:t>
      </w:r>
      <w:r>
        <w:t xml:space="preserve">current </w:t>
      </w:r>
      <w:r w:rsidR="00F626D3">
        <w:t xml:space="preserve">ULC Partnership Act (as amended in 2013) </w:t>
      </w:r>
      <w:r w:rsidR="00866DAD">
        <w:t>address how these theories have influenced the governing rules</w:t>
      </w:r>
      <w:r>
        <w:t xml:space="preserve"> as the following excerpts show</w:t>
      </w:r>
      <w:r w:rsidR="00F626D3">
        <w:t>:</w:t>
      </w:r>
    </w:p>
    <w:p w14:paraId="26757D1E" w14:textId="41E47C3C" w:rsidR="00F626D3" w:rsidRDefault="00F626D3" w:rsidP="00405772">
      <w:pPr>
        <w:ind w:left="1440"/>
      </w:pPr>
      <w:r>
        <w:t>“</w:t>
      </w:r>
      <w:r w:rsidRPr="00F626D3">
        <w:t xml:space="preserve">The National Conference of Commissioners on Uniform State Laws first considered a uniform law of partnership in 1902. Although early drafts had proceeded along the mercantile or "entity" theory of partnerships, later drafts were based on the common-law "aggregate" theory. The resulting Uniform Partnership Act ("UPA"), which embodied certain aspects of each theory, was finally approved by the Conference in 1914. </w:t>
      </w:r>
      <w:r>
        <w:t xml:space="preserve">. . . </w:t>
      </w:r>
    </w:p>
    <w:p w14:paraId="32F4E507" w14:textId="49C36F76" w:rsidR="00F626D3" w:rsidRDefault="00F626D3" w:rsidP="00405772">
      <w:pPr>
        <w:ind w:left="1440"/>
      </w:pPr>
      <w:r w:rsidRPr="00F626D3">
        <w:t xml:space="preserve">In January of 1986, an American Bar Association subcommittee issued a detailed report that recommended extensive revisions to the UPA. </w:t>
      </w:r>
      <w:r>
        <w:t>. . .</w:t>
      </w:r>
      <w:r w:rsidRPr="00F626D3">
        <w:t xml:space="preserve"> The ABA Report recommended that the entity theory "should be incorporated into any revision of the UPA whenever possible." </w:t>
      </w:r>
      <w:r>
        <w:t xml:space="preserve">. . . </w:t>
      </w:r>
      <w:r w:rsidRPr="00F626D3">
        <w:t>The Revised Uniform Partnership Act (1992) was adopted unanimously by a vote of the States on August 6, 1992.  The following year, in response to suggestions from various groups</w:t>
      </w:r>
      <w:r w:rsidR="00866DAD">
        <w:t xml:space="preserve"> . . .</w:t>
      </w:r>
      <w:r w:rsidRPr="00F626D3">
        <w:t xml:space="preserve"> the Drafting Committee recommended numerous revisions </w:t>
      </w:r>
      <w:r>
        <w:t>. . .</w:t>
      </w:r>
      <w:r w:rsidRPr="00F626D3">
        <w:t xml:space="preserve"> </w:t>
      </w:r>
    </w:p>
    <w:p w14:paraId="53C330B2" w14:textId="53DB9711" w:rsidR="00F626D3" w:rsidRDefault="00F626D3" w:rsidP="00405772">
      <w:pPr>
        <w:ind w:left="1440"/>
      </w:pPr>
      <w:r w:rsidRPr="00F626D3">
        <w:t xml:space="preserve">The </w:t>
      </w:r>
      <w:r>
        <w:t xml:space="preserve">[current] </w:t>
      </w:r>
      <w:r w:rsidRPr="00F626D3">
        <w:t>Act enhances the entity treatment of partnerships to achieve simplicity for state law purposes, particularly in matters concerning title to partnership property. RUPA does not, however, relentlessly apply the entity approach. The aggregate approach is retained for some purposes, such as partners' joint and several liability.</w:t>
      </w:r>
      <w:r>
        <w:t>”</w:t>
      </w:r>
    </w:p>
    <w:p w14:paraId="1C8F490B" w14:textId="12336830" w:rsidR="00387289" w:rsidRDefault="00F626D3" w:rsidP="00405772">
      <w:pPr>
        <w:ind w:left="720"/>
      </w:pPr>
      <w:r>
        <w:t>Th</w:t>
      </w:r>
      <w:r w:rsidR="00904ECB">
        <w:t>is</w:t>
      </w:r>
      <w:r>
        <w:t xml:space="preserve"> ULC Partnership Act is </w:t>
      </w:r>
      <w:r w:rsidR="00866DAD">
        <w:t xml:space="preserve">designed to govern </w:t>
      </w:r>
      <w:r w:rsidR="00AD1EEB">
        <w:t xml:space="preserve">the most </w:t>
      </w:r>
      <w:r>
        <w:t>traditional partnerships</w:t>
      </w:r>
      <w:r w:rsidR="00866DAD">
        <w:t>.</w:t>
      </w:r>
      <w:r w:rsidR="00405772">
        <w:t xml:space="preserve"> </w:t>
      </w:r>
      <w:r w:rsidR="00866DAD">
        <w:t>B</w:t>
      </w:r>
      <w:r w:rsidR="00405772">
        <w:t xml:space="preserve">ut as these comments </w:t>
      </w:r>
      <w:r w:rsidR="00904ECB">
        <w:t>reflect</w:t>
      </w:r>
      <w:r w:rsidR="00405772">
        <w:t xml:space="preserve">, </w:t>
      </w:r>
      <w:r w:rsidR="00866DAD">
        <w:t xml:space="preserve">even </w:t>
      </w:r>
      <w:r w:rsidR="00297662">
        <w:t xml:space="preserve">these </w:t>
      </w:r>
      <w:r w:rsidR="00904ECB">
        <w:t xml:space="preserve">traditional </w:t>
      </w:r>
      <w:r w:rsidR="00297662">
        <w:t xml:space="preserve">partnerships </w:t>
      </w:r>
      <w:r w:rsidR="00904ECB">
        <w:t>have been influenced by the entity theory</w:t>
      </w:r>
      <w:r w:rsidR="00AD1EEB">
        <w:t xml:space="preserve"> over time</w:t>
      </w:r>
      <w:r w:rsidR="00405772">
        <w:t xml:space="preserve">. </w:t>
      </w:r>
      <w:r>
        <w:t>The ULC Limited Liability Company Act and ULC Limited Partnership Act</w:t>
      </w:r>
      <w:r w:rsidR="00866DAD">
        <w:t xml:space="preserve"> </w:t>
      </w:r>
      <w:r w:rsidR="00405772">
        <w:t>incorporate even more of the entity theory into their provision</w:t>
      </w:r>
      <w:r w:rsidR="00BF7620">
        <w:t>s</w:t>
      </w:r>
      <w:r w:rsidR="00866DAD">
        <w:t xml:space="preserve">, including </w:t>
      </w:r>
      <w:r w:rsidR="00490A87">
        <w:t>providing limited</w:t>
      </w:r>
      <w:r w:rsidR="00866DAD">
        <w:t xml:space="preserve"> liability for partners </w:t>
      </w:r>
      <w:r w:rsidR="00490A87">
        <w:t xml:space="preserve">despite their </w:t>
      </w:r>
      <w:r w:rsidR="00866DAD">
        <w:t>role in the entity’s business</w:t>
      </w:r>
      <w:r w:rsidR="00405772">
        <w:t xml:space="preserve">. </w:t>
      </w:r>
    </w:p>
    <w:p w14:paraId="06A8BDA4" w14:textId="4E4C674C" w:rsidR="00F626D3" w:rsidRPr="00AD1EEB" w:rsidRDefault="00387289" w:rsidP="00904ECB">
      <w:pPr>
        <w:pBdr>
          <w:top w:val="single" w:sz="4" w:space="1" w:color="auto" w:shadow="1"/>
          <w:left w:val="single" w:sz="4" w:space="4" w:color="auto" w:shadow="1"/>
          <w:bottom w:val="single" w:sz="4" w:space="1" w:color="auto" w:shadow="1"/>
          <w:right w:val="single" w:sz="4" w:space="4" w:color="auto" w:shadow="1"/>
        </w:pBdr>
        <w:ind w:left="1440" w:right="720"/>
        <w:rPr>
          <w:b/>
          <w:bCs/>
          <w:sz w:val="18"/>
          <w:szCs w:val="20"/>
        </w:rPr>
      </w:pPr>
      <w:r w:rsidRPr="00AD1EEB">
        <w:rPr>
          <w:b/>
          <w:bCs/>
          <w:sz w:val="18"/>
          <w:szCs w:val="20"/>
        </w:rPr>
        <w:t xml:space="preserve">STATE TAX IMPLICATION: Traditionally, state tax rules may have treated partnerships primarily as aggregates of persons and not as separate entities. For example, state rules may effectively assume that partners share ownership in partnership assets in a way that is similar to joint ownership. These assumptions </w:t>
      </w:r>
      <w:r w:rsidR="002437A2" w:rsidRPr="00AD1EEB">
        <w:rPr>
          <w:b/>
          <w:bCs/>
          <w:sz w:val="18"/>
          <w:szCs w:val="20"/>
        </w:rPr>
        <w:t xml:space="preserve">about partnerships </w:t>
      </w:r>
      <w:r w:rsidRPr="00AD1EEB">
        <w:rPr>
          <w:b/>
          <w:bCs/>
          <w:sz w:val="18"/>
          <w:szCs w:val="20"/>
        </w:rPr>
        <w:t>may no longer b</w:t>
      </w:r>
      <w:r w:rsidR="00146CAE" w:rsidRPr="00AD1EEB">
        <w:rPr>
          <w:b/>
          <w:bCs/>
          <w:sz w:val="18"/>
          <w:szCs w:val="20"/>
        </w:rPr>
        <w:t>e</w:t>
      </w:r>
      <w:r w:rsidRPr="00AD1EEB">
        <w:rPr>
          <w:b/>
          <w:bCs/>
          <w:sz w:val="18"/>
          <w:szCs w:val="20"/>
        </w:rPr>
        <w:t xml:space="preserve"> sound. </w:t>
      </w:r>
      <w:r w:rsidR="00DC1962" w:rsidRPr="00AD1EEB">
        <w:rPr>
          <w:b/>
          <w:bCs/>
          <w:sz w:val="18"/>
          <w:szCs w:val="20"/>
        </w:rPr>
        <w:t xml:space="preserve">But see </w:t>
      </w:r>
      <w:r w:rsidR="00904ECB">
        <w:rPr>
          <w:b/>
          <w:bCs/>
          <w:sz w:val="18"/>
          <w:szCs w:val="20"/>
        </w:rPr>
        <w:t xml:space="preserve">also </w:t>
      </w:r>
      <w:r w:rsidR="00DC1962" w:rsidRPr="00AD1EEB">
        <w:rPr>
          <w:b/>
          <w:bCs/>
          <w:sz w:val="18"/>
          <w:szCs w:val="20"/>
        </w:rPr>
        <w:t>the discussion of the attribution or “conduit” principle in subsection I.</w:t>
      </w:r>
      <w:r w:rsidR="00874597" w:rsidRPr="00AD1EEB">
        <w:rPr>
          <w:b/>
          <w:bCs/>
          <w:sz w:val="18"/>
          <w:szCs w:val="20"/>
        </w:rPr>
        <w:t>E. below.</w:t>
      </w:r>
    </w:p>
    <w:p w14:paraId="16683D0A" w14:textId="6B4CD462" w:rsidR="004A626C" w:rsidRDefault="00904ECB" w:rsidP="004A626C">
      <w:pPr>
        <w:pStyle w:val="Heading4"/>
        <w:ind w:left="720"/>
      </w:pPr>
      <w:r>
        <w:lastRenderedPageBreak/>
        <w:t>Governing</w:t>
      </w:r>
      <w:r w:rsidR="00AD1EEB">
        <w:t xml:space="preserve"> Laws Impose Few Limits on </w:t>
      </w:r>
      <w:r>
        <w:t xml:space="preserve">Partnership </w:t>
      </w:r>
      <w:r w:rsidR="00AD1EEB">
        <w:t>Size or Structural Complexity</w:t>
      </w:r>
    </w:p>
    <w:p w14:paraId="0AC0D0C1" w14:textId="4AD63154" w:rsidR="00904ECB" w:rsidRDefault="00904ECB" w:rsidP="004A626C">
      <w:pPr>
        <w:ind w:left="720"/>
      </w:pPr>
      <w:bookmarkStart w:id="29" w:name="_Hlk193995026"/>
      <w:r>
        <w:rPr>
          <w:noProof/>
        </w:rPr>
        <w:drawing>
          <wp:anchor distT="0" distB="0" distL="114300" distR="114300" simplePos="0" relativeHeight="251646464" behindDoc="1" locked="0" layoutInCell="1" allowOverlap="1" wp14:anchorId="0391B06E" wp14:editId="5FEB66D6">
            <wp:simplePos x="0" y="0"/>
            <wp:positionH relativeFrom="margin">
              <wp:posOffset>1144270</wp:posOffset>
            </wp:positionH>
            <wp:positionV relativeFrom="paragraph">
              <wp:posOffset>1311275</wp:posOffset>
            </wp:positionV>
            <wp:extent cx="3670300" cy="1853565"/>
            <wp:effectExtent l="0" t="0" r="6350" b="0"/>
            <wp:wrapTopAndBottom/>
            <wp:docPr id="1966878107" name="Picture 2" descr="Shape, arr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878107" name="Picture 2" descr="Shape, arrow&#10;&#10;AI-generated content may be incorrect."/>
                    <pic:cNvPicPr>
                      <a:picLocks noChangeAspect="1" noChangeArrowheads="1"/>
                    </pic:cNvPicPr>
                  </pic:nvPicPr>
                  <pic:blipFill>
                    <a:blip r:embed="rId24"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670300" cy="1853565"/>
                    </a:xfrm>
                    <a:prstGeom prst="rect">
                      <a:avLst/>
                    </a:prstGeom>
                    <a:noFill/>
                  </pic:spPr>
                </pic:pic>
              </a:graphicData>
            </a:graphic>
            <wp14:sizeRelH relativeFrom="margin">
              <wp14:pctWidth>0</wp14:pctWidth>
            </wp14:sizeRelH>
            <wp14:sizeRelV relativeFrom="margin">
              <wp14:pctHeight>0</wp14:pctHeight>
            </wp14:sizeRelV>
          </wp:anchor>
        </w:drawing>
      </w:r>
      <w:bookmarkEnd w:id="29"/>
      <w:r w:rsidR="006127B4">
        <w:t>Because</w:t>
      </w:r>
      <w:r w:rsidR="002437A2">
        <w:t xml:space="preserve"> state governing laws</w:t>
      </w:r>
      <w:r w:rsidR="004A626C">
        <w:t xml:space="preserve"> provide much greater structural and operational flexibility for </w:t>
      </w:r>
      <w:r w:rsidR="002437A2">
        <w:t xml:space="preserve">partnerships </w:t>
      </w:r>
      <w:r w:rsidR="004A626C">
        <w:t>than corporations</w:t>
      </w:r>
      <w:r w:rsidR="006127B4">
        <w:t xml:space="preserve">, </w:t>
      </w:r>
      <w:r w:rsidR="004A626C">
        <w:t xml:space="preserve">partnerships are often used for unique or complex business arrangements or where those arrangements may change over time. </w:t>
      </w:r>
      <w:r w:rsidR="00640953">
        <w:t xml:space="preserve">Nor </w:t>
      </w:r>
      <w:r w:rsidR="00EF5893">
        <w:t xml:space="preserve">do federal tax rules apply </w:t>
      </w:r>
      <w:r w:rsidR="0056700A">
        <w:t>the</w:t>
      </w:r>
      <w:r w:rsidR="004A626C">
        <w:t xml:space="preserve"> kind of ownership </w:t>
      </w:r>
      <w:r w:rsidR="00EF5893">
        <w:t xml:space="preserve">limits on partnerships </w:t>
      </w:r>
      <w:r w:rsidR="0056700A">
        <w:t xml:space="preserve">that they </w:t>
      </w:r>
      <w:r w:rsidR="00EF5893">
        <w:t>apply to</w:t>
      </w:r>
      <w:r w:rsidR="0056700A">
        <w:t xml:space="preserve"> </w:t>
      </w:r>
      <w:r w:rsidR="004A626C">
        <w:t>S corporations</w:t>
      </w:r>
      <w:r w:rsidR="00D573CB">
        <w:t>. So</w:t>
      </w:r>
      <w:r w:rsidR="004A626C">
        <w:t xml:space="preserve"> partnerships can have thousands of partners and complex multi-tiered structures.</w:t>
      </w:r>
      <w:r w:rsidR="002437A2">
        <w:t xml:space="preserve"> </w:t>
      </w:r>
      <w:r w:rsidR="004A626C">
        <w:t>Partners and partnerships can also engage in transactions with each other and with related partnerships.</w:t>
      </w:r>
      <w:r w:rsidR="00A56EBD">
        <w:t xml:space="preserve"> </w:t>
      </w:r>
      <w:r w:rsidR="002C2019">
        <w:t xml:space="preserve">And federal tax data has long shown a </w:t>
      </w:r>
      <w:r>
        <w:t xml:space="preserve">rapid </w:t>
      </w:r>
      <w:r w:rsidR="002C2019">
        <w:t>growth in</w:t>
      </w:r>
      <w:r w:rsidR="00A56EBD">
        <w:t xml:space="preserve"> large</w:t>
      </w:r>
      <w:r w:rsidR="002C2019">
        <w:t>, complex</w:t>
      </w:r>
      <w:r w:rsidR="00A56EBD">
        <w:t xml:space="preserve"> partnerships.</w:t>
      </w:r>
      <w:r w:rsidR="004A626C">
        <w:rPr>
          <w:rStyle w:val="FootnoteReference"/>
        </w:rPr>
        <w:footnoteReference w:id="7"/>
      </w:r>
      <w:r w:rsidR="004A626C">
        <w:t xml:space="preserve"> </w:t>
      </w:r>
    </w:p>
    <w:p w14:paraId="20D290E9" w14:textId="77777777" w:rsidR="00904ECB" w:rsidRDefault="00904ECB" w:rsidP="004A626C">
      <w:pPr>
        <w:ind w:left="720"/>
      </w:pPr>
    </w:p>
    <w:p w14:paraId="00C169B3" w14:textId="667EC91E" w:rsidR="00C03F56" w:rsidRPr="00AD1EEB" w:rsidRDefault="00130C41" w:rsidP="0045160D">
      <w:pPr>
        <w:pBdr>
          <w:top w:val="single" w:sz="4" w:space="1" w:color="auto" w:shadow="1"/>
          <w:left w:val="single" w:sz="4" w:space="4" w:color="auto" w:shadow="1"/>
          <w:bottom w:val="single" w:sz="4" w:space="1" w:color="auto" w:shadow="1"/>
          <w:right w:val="single" w:sz="4" w:space="6" w:color="auto" w:shadow="1"/>
        </w:pBdr>
        <w:ind w:left="1296" w:right="720"/>
        <w:jc w:val="left"/>
        <w:rPr>
          <w:b/>
          <w:bCs/>
          <w:sz w:val="18"/>
          <w:szCs w:val="20"/>
        </w:rPr>
      </w:pPr>
      <w:r w:rsidRPr="00AD1EEB">
        <w:rPr>
          <w:b/>
          <w:bCs/>
          <w:sz w:val="18"/>
          <w:szCs w:val="20"/>
        </w:rPr>
        <w:t xml:space="preserve">STATE TAX IMPLICATION: Given the flexibility in partnership structures allowed by general state </w:t>
      </w:r>
      <w:r w:rsidR="0062473E" w:rsidRPr="00AD1EEB">
        <w:rPr>
          <w:b/>
          <w:bCs/>
          <w:sz w:val="18"/>
          <w:szCs w:val="20"/>
        </w:rPr>
        <w:t>governing</w:t>
      </w:r>
      <w:r w:rsidRPr="00AD1EEB">
        <w:rPr>
          <w:b/>
          <w:bCs/>
          <w:sz w:val="18"/>
          <w:szCs w:val="20"/>
        </w:rPr>
        <w:t xml:space="preserve"> laws and the </w:t>
      </w:r>
      <w:r w:rsidR="00C03F56" w:rsidRPr="00AD1EEB">
        <w:rPr>
          <w:b/>
          <w:bCs/>
          <w:sz w:val="18"/>
          <w:szCs w:val="20"/>
        </w:rPr>
        <w:t xml:space="preserve">growing complexity of </w:t>
      </w:r>
      <w:r w:rsidRPr="00AD1EEB">
        <w:rPr>
          <w:b/>
          <w:bCs/>
          <w:sz w:val="18"/>
          <w:szCs w:val="20"/>
        </w:rPr>
        <w:t>partnerships that has been observed in recent years,</w:t>
      </w:r>
      <w:r w:rsidR="00C03F56" w:rsidRPr="00AD1EEB">
        <w:rPr>
          <w:b/>
          <w:bCs/>
          <w:sz w:val="18"/>
          <w:szCs w:val="20"/>
        </w:rPr>
        <w:t xml:space="preserve"> </w:t>
      </w:r>
      <w:r w:rsidRPr="00AD1EEB">
        <w:rPr>
          <w:b/>
          <w:bCs/>
          <w:sz w:val="18"/>
          <w:szCs w:val="20"/>
        </w:rPr>
        <w:t xml:space="preserve">state tax </w:t>
      </w:r>
      <w:r w:rsidR="0056700A" w:rsidRPr="00AD1EEB">
        <w:rPr>
          <w:b/>
          <w:bCs/>
          <w:sz w:val="18"/>
          <w:szCs w:val="20"/>
        </w:rPr>
        <w:t xml:space="preserve">and sourcing </w:t>
      </w:r>
      <w:r w:rsidRPr="00AD1EEB">
        <w:rPr>
          <w:b/>
          <w:bCs/>
          <w:sz w:val="18"/>
          <w:szCs w:val="20"/>
        </w:rPr>
        <w:t xml:space="preserve">rules should not assume that </w:t>
      </w:r>
      <w:r w:rsidR="00AD1EEB">
        <w:rPr>
          <w:b/>
          <w:bCs/>
          <w:sz w:val="18"/>
          <w:szCs w:val="20"/>
        </w:rPr>
        <w:t xml:space="preserve">all </w:t>
      </w:r>
      <w:r w:rsidR="00C03F56" w:rsidRPr="00AD1EEB">
        <w:rPr>
          <w:b/>
          <w:bCs/>
          <w:sz w:val="18"/>
          <w:szCs w:val="20"/>
        </w:rPr>
        <w:t>partnerships a</w:t>
      </w:r>
      <w:r w:rsidR="00387289" w:rsidRPr="00AD1EEB">
        <w:rPr>
          <w:b/>
          <w:bCs/>
          <w:sz w:val="18"/>
          <w:szCs w:val="20"/>
        </w:rPr>
        <w:t>re</w:t>
      </w:r>
      <w:r w:rsidR="00C03F56" w:rsidRPr="00AD1EEB">
        <w:rPr>
          <w:b/>
          <w:bCs/>
          <w:sz w:val="18"/>
          <w:szCs w:val="20"/>
        </w:rPr>
        <w:t xml:space="preserve"> small, simple, uniform entities.</w:t>
      </w:r>
      <w:r w:rsidR="001F45F2" w:rsidRPr="00AD1EEB">
        <w:rPr>
          <w:b/>
          <w:bCs/>
          <w:sz w:val="18"/>
          <w:szCs w:val="20"/>
        </w:rPr>
        <w:t xml:space="preserve"> Moreover, it is these large complex partnerships that give rise to the most multistate income. </w:t>
      </w:r>
    </w:p>
    <w:p w14:paraId="5E4F1F09" w14:textId="77777777" w:rsidR="00555503" w:rsidRDefault="00555503" w:rsidP="00555503"/>
    <w:p w14:paraId="44181504" w14:textId="31567EE7" w:rsidR="009E50ED" w:rsidRDefault="009E50ED" w:rsidP="009E50ED">
      <w:pPr>
        <w:pStyle w:val="Heading4"/>
        <w:ind w:left="720"/>
      </w:pPr>
      <w:r>
        <w:t>Partner Roles and Control Vary and are Not Dictated by Ownership Share</w:t>
      </w:r>
    </w:p>
    <w:p w14:paraId="6AEB0EF8" w14:textId="2420378F" w:rsidR="009E50ED" w:rsidRDefault="00E5778A" w:rsidP="0045160D">
      <w:pPr>
        <w:spacing w:after="360"/>
        <w:ind w:left="720"/>
      </w:pPr>
      <w:r>
        <w:t xml:space="preserve">Partners can agree to share income and control however they choose with very few limitations. </w:t>
      </w:r>
      <w:r w:rsidR="002824CA">
        <w:t>A partner’s role in or control of the partnership is not necessarily tied to that partner’s ownership share or whether the partner has limited liability. And u</w:t>
      </w:r>
      <w:r w:rsidR="002437A2">
        <w:t>nlike corporate shareholders, partners</w:t>
      </w:r>
      <w:r w:rsidR="00F309AA">
        <w:t>’</w:t>
      </w:r>
      <w:r w:rsidR="00E8797C">
        <w:t xml:space="preserve"> role</w:t>
      </w:r>
      <w:r w:rsidR="00F309AA">
        <w:t>s</w:t>
      </w:r>
      <w:r w:rsidR="00E8797C">
        <w:t xml:space="preserve"> can </w:t>
      </w:r>
      <w:r w:rsidR="00753C71">
        <w:t>vary widely—</w:t>
      </w:r>
      <w:r w:rsidR="00E8797C">
        <w:t xml:space="preserve">from </w:t>
      </w:r>
      <w:r w:rsidR="004B6D12">
        <w:t xml:space="preserve">a purely </w:t>
      </w:r>
      <w:r w:rsidR="002A2C09">
        <w:t xml:space="preserve">passive </w:t>
      </w:r>
      <w:r w:rsidR="00753C71">
        <w:t>investor</w:t>
      </w:r>
      <w:r w:rsidR="002A2C09">
        <w:t xml:space="preserve"> to </w:t>
      </w:r>
      <w:r w:rsidR="004B6D12">
        <w:t xml:space="preserve">an </w:t>
      </w:r>
      <w:r w:rsidR="002437A2">
        <w:t xml:space="preserve">active </w:t>
      </w:r>
      <w:r w:rsidR="00753C71">
        <w:t>participant or manager</w:t>
      </w:r>
      <w:r w:rsidR="002437A2">
        <w:t xml:space="preserve">. </w:t>
      </w:r>
      <w:r w:rsidR="00387289">
        <w:t>For example, all members of an LLC have limited liability but any member may, nevertheless, participate in the company’s activities or may engage in managing the company, alone or with others</w:t>
      </w:r>
      <w:r w:rsidR="001D66D0">
        <w:t>, regardless of ownership share</w:t>
      </w:r>
      <w:r w:rsidR="00387289">
        <w:t>. And it is not uncommon for partnerships of all sorts to be controlled by a partner that has only a minority ownership share as measured by capital.</w:t>
      </w:r>
    </w:p>
    <w:p w14:paraId="06C48B49" w14:textId="70C487DB" w:rsidR="00387289" w:rsidRPr="003E16FB" w:rsidRDefault="00387289" w:rsidP="004B6D12">
      <w:pPr>
        <w:pBdr>
          <w:top w:val="single" w:sz="4" w:space="1" w:color="auto" w:shadow="1"/>
          <w:left w:val="single" w:sz="4" w:space="4" w:color="auto" w:shadow="1"/>
          <w:bottom w:val="single" w:sz="4" w:space="1" w:color="auto" w:shadow="1"/>
          <w:right w:val="single" w:sz="4" w:space="4" w:color="auto" w:shadow="1"/>
        </w:pBdr>
        <w:ind w:left="1440" w:right="720"/>
        <w:rPr>
          <w:b/>
          <w:bCs/>
        </w:rPr>
      </w:pPr>
      <w:r w:rsidRPr="003E16FB">
        <w:rPr>
          <w:b/>
          <w:bCs/>
        </w:rPr>
        <w:t>STATE TAX IMPLICATION: Some state tax rules appear to assume that</w:t>
      </w:r>
      <w:r w:rsidR="004B6D12">
        <w:rPr>
          <w:b/>
          <w:bCs/>
        </w:rPr>
        <w:t xml:space="preserve"> a partner’s</w:t>
      </w:r>
      <w:r w:rsidRPr="003E16FB">
        <w:rPr>
          <w:b/>
          <w:bCs/>
        </w:rPr>
        <w:t xml:space="preserve"> ownership </w:t>
      </w:r>
      <w:r w:rsidR="00C46DE0" w:rsidRPr="003E16FB">
        <w:rPr>
          <w:b/>
          <w:bCs/>
        </w:rPr>
        <w:t xml:space="preserve">share </w:t>
      </w:r>
      <w:r w:rsidR="001D66D0" w:rsidRPr="003E16FB">
        <w:rPr>
          <w:b/>
          <w:bCs/>
        </w:rPr>
        <w:t xml:space="preserve">or </w:t>
      </w:r>
      <w:r w:rsidR="00553DB8" w:rsidRPr="003E16FB">
        <w:rPr>
          <w:b/>
          <w:bCs/>
        </w:rPr>
        <w:t xml:space="preserve">limited liability </w:t>
      </w:r>
      <w:r w:rsidR="0056700A" w:rsidRPr="003E16FB">
        <w:rPr>
          <w:b/>
          <w:bCs/>
        </w:rPr>
        <w:t xml:space="preserve">will </w:t>
      </w:r>
      <w:r w:rsidRPr="003E16FB">
        <w:rPr>
          <w:b/>
          <w:bCs/>
        </w:rPr>
        <w:t>determine</w:t>
      </w:r>
      <w:r w:rsidR="00F31EAD" w:rsidRPr="003E16FB">
        <w:rPr>
          <w:b/>
          <w:bCs/>
        </w:rPr>
        <w:t xml:space="preserve"> </w:t>
      </w:r>
      <w:r w:rsidR="004B6D12">
        <w:rPr>
          <w:b/>
          <w:bCs/>
        </w:rPr>
        <w:t>their</w:t>
      </w:r>
      <w:r w:rsidR="00F31EAD" w:rsidRPr="003E16FB">
        <w:rPr>
          <w:b/>
          <w:bCs/>
        </w:rPr>
        <w:t xml:space="preserve"> role—</w:t>
      </w:r>
      <w:r w:rsidR="002A1235" w:rsidRPr="003E16FB">
        <w:rPr>
          <w:b/>
          <w:bCs/>
        </w:rPr>
        <w:t>that is, their</w:t>
      </w:r>
      <w:r w:rsidR="00F31EAD" w:rsidRPr="003E16FB">
        <w:rPr>
          <w:b/>
          <w:bCs/>
        </w:rPr>
        <w:t xml:space="preserve"> </w:t>
      </w:r>
      <w:r w:rsidRPr="003E16FB">
        <w:rPr>
          <w:b/>
          <w:bCs/>
        </w:rPr>
        <w:t>control</w:t>
      </w:r>
      <w:r w:rsidR="00F31EAD" w:rsidRPr="003E16FB">
        <w:rPr>
          <w:b/>
          <w:bCs/>
        </w:rPr>
        <w:t xml:space="preserve"> of or </w:t>
      </w:r>
      <w:r w:rsidR="002A1235" w:rsidRPr="003E16FB">
        <w:rPr>
          <w:b/>
          <w:bCs/>
        </w:rPr>
        <w:t xml:space="preserve">active </w:t>
      </w:r>
      <w:r w:rsidR="00F31EAD" w:rsidRPr="003E16FB">
        <w:rPr>
          <w:b/>
          <w:bCs/>
        </w:rPr>
        <w:t>participation</w:t>
      </w:r>
      <w:r w:rsidRPr="003E16FB">
        <w:rPr>
          <w:b/>
          <w:bCs/>
        </w:rPr>
        <w:t xml:space="preserve"> </w:t>
      </w:r>
      <w:r w:rsidR="00F31EAD" w:rsidRPr="003E16FB">
        <w:rPr>
          <w:b/>
          <w:bCs/>
        </w:rPr>
        <w:t xml:space="preserve">in </w:t>
      </w:r>
      <w:r w:rsidRPr="003E16FB">
        <w:rPr>
          <w:b/>
          <w:bCs/>
        </w:rPr>
        <w:t>partnership</w:t>
      </w:r>
      <w:r w:rsidR="00F31EAD" w:rsidRPr="003E16FB">
        <w:rPr>
          <w:b/>
          <w:bCs/>
        </w:rPr>
        <w:t xml:space="preserve"> activities</w:t>
      </w:r>
      <w:r w:rsidRPr="003E16FB">
        <w:rPr>
          <w:b/>
          <w:bCs/>
        </w:rPr>
        <w:t xml:space="preserve">. </w:t>
      </w:r>
      <w:r w:rsidR="00EE61CE" w:rsidRPr="003E16FB">
        <w:rPr>
          <w:b/>
          <w:bCs/>
        </w:rPr>
        <w:t xml:space="preserve">These </w:t>
      </w:r>
      <w:r w:rsidR="004B6D12">
        <w:rPr>
          <w:b/>
          <w:bCs/>
        </w:rPr>
        <w:t xml:space="preserve">mistaken </w:t>
      </w:r>
      <w:r w:rsidR="00541610">
        <w:rPr>
          <w:b/>
          <w:bCs/>
        </w:rPr>
        <w:t>a</w:t>
      </w:r>
      <w:r w:rsidR="00EE61CE" w:rsidRPr="003E16FB">
        <w:rPr>
          <w:b/>
          <w:bCs/>
        </w:rPr>
        <w:t xml:space="preserve">ssumptions can lead to misapplication of </w:t>
      </w:r>
      <w:r w:rsidR="001E09DF" w:rsidRPr="003E16FB">
        <w:rPr>
          <w:b/>
          <w:bCs/>
        </w:rPr>
        <w:t xml:space="preserve">general </w:t>
      </w:r>
      <w:r w:rsidR="00EE61CE" w:rsidRPr="003E16FB">
        <w:rPr>
          <w:b/>
          <w:bCs/>
        </w:rPr>
        <w:t xml:space="preserve">state </w:t>
      </w:r>
      <w:r w:rsidR="001E09DF" w:rsidRPr="003E16FB">
        <w:rPr>
          <w:b/>
          <w:bCs/>
        </w:rPr>
        <w:t xml:space="preserve">sourcing </w:t>
      </w:r>
      <w:r w:rsidR="00EE61CE" w:rsidRPr="003E16FB">
        <w:rPr>
          <w:b/>
          <w:bCs/>
        </w:rPr>
        <w:t>rules</w:t>
      </w:r>
      <w:r w:rsidR="001E09DF" w:rsidRPr="003E16FB">
        <w:rPr>
          <w:b/>
          <w:bCs/>
        </w:rPr>
        <w:t xml:space="preserve"> and the underlying principles on which they are based</w:t>
      </w:r>
      <w:r w:rsidR="00EE61CE" w:rsidRPr="003E16FB">
        <w:rPr>
          <w:b/>
          <w:bCs/>
        </w:rPr>
        <w:t xml:space="preserve">. </w:t>
      </w:r>
    </w:p>
    <w:p w14:paraId="032D63C5" w14:textId="77777777" w:rsidR="0045160D" w:rsidRDefault="0045160D">
      <w:pPr>
        <w:spacing w:line="276" w:lineRule="auto"/>
        <w:jc w:val="left"/>
        <w:rPr>
          <w:rFonts w:asciiTheme="majorHAnsi" w:eastAsiaTheme="majorEastAsia" w:hAnsiTheme="majorHAnsi" w:cstheme="majorBidi"/>
          <w:b/>
          <w:color w:val="851C00" w:themeColor="accent6" w:themeShade="BF"/>
          <w:sz w:val="26"/>
          <w:szCs w:val="24"/>
          <w:u w:val="single"/>
        </w:rPr>
      </w:pPr>
      <w:r>
        <w:br w:type="page"/>
      </w:r>
    </w:p>
    <w:p w14:paraId="29DEB269" w14:textId="16728777" w:rsidR="00A876DA" w:rsidRDefault="0095334E" w:rsidP="00A876DA">
      <w:pPr>
        <w:pStyle w:val="Heading3"/>
      </w:pPr>
      <w:bookmarkStart w:id="30" w:name="_Toc198480720"/>
      <w:r>
        <w:lastRenderedPageBreak/>
        <w:t xml:space="preserve">CATEGORY 2: </w:t>
      </w:r>
      <w:r w:rsidR="00D053C0">
        <w:t xml:space="preserve">Federal </w:t>
      </w:r>
      <w:r w:rsidR="00130C41">
        <w:t>Tax Law</w:t>
      </w:r>
      <w:r w:rsidR="00555503">
        <w:t xml:space="preserve"> - Generally</w:t>
      </w:r>
      <w:bookmarkEnd w:id="30"/>
    </w:p>
    <w:p w14:paraId="205C0908" w14:textId="77777777" w:rsidR="00555503" w:rsidRDefault="00555503" w:rsidP="00A876DA">
      <w:r>
        <w:t>In general, s</w:t>
      </w:r>
      <w:r w:rsidR="00A142FF">
        <w:t>tate</w:t>
      </w:r>
      <w:r w:rsidR="00B71521">
        <w:t xml:space="preserve">s </w:t>
      </w:r>
      <w:r w:rsidR="00A142FF">
        <w:t>are</w:t>
      </w:r>
      <w:r w:rsidR="00B71521">
        <w:t xml:space="preserve"> </w:t>
      </w:r>
      <w:r w:rsidR="00A142FF">
        <w:t xml:space="preserve">said to “conform” to the </w:t>
      </w:r>
      <w:r w:rsidR="00A876DA">
        <w:t>federal Internal Revenue Code (IRC)</w:t>
      </w:r>
      <w:r w:rsidR="00B71521">
        <w:t xml:space="preserve"> when taxing income</w:t>
      </w:r>
      <w:r w:rsidR="00A876DA">
        <w:t xml:space="preserve">. </w:t>
      </w:r>
      <w:r w:rsidR="00FB19AD">
        <w:t>And m</w:t>
      </w:r>
      <w:r w:rsidR="00A142FF">
        <w:t>ost s</w:t>
      </w:r>
      <w:r w:rsidR="00A876DA">
        <w:t xml:space="preserve">tates </w:t>
      </w:r>
      <w:r w:rsidR="004971CE">
        <w:t xml:space="preserve">also </w:t>
      </w:r>
      <w:r w:rsidR="00A876DA">
        <w:t xml:space="preserve">conform to IRC Subchapter K which creates </w:t>
      </w:r>
      <w:r w:rsidR="00D053C0">
        <w:t>a</w:t>
      </w:r>
      <w:r w:rsidR="00A876DA">
        <w:t xml:space="preserve"> pass-through system for </w:t>
      </w:r>
      <w:r w:rsidR="004E7A20">
        <w:t xml:space="preserve">taxing </w:t>
      </w:r>
      <w:r w:rsidR="00A876DA">
        <w:t>partnership income.</w:t>
      </w:r>
      <w:r w:rsidR="00B71521">
        <w:t xml:space="preserve"> </w:t>
      </w:r>
      <w:r w:rsidR="004971CE">
        <w:t>The substantive tax laws and the specific partnership rules interact in a number of ways—especially when it comes to how partnership income is tracked, reported, and treated for tax purposes. See for example IRC §§ 702 and 703.</w:t>
      </w:r>
      <w:r w:rsidR="007623AE">
        <w:t xml:space="preserve"> </w:t>
      </w:r>
    </w:p>
    <w:p w14:paraId="691C0913" w14:textId="77777777" w:rsidR="00555503" w:rsidRDefault="007623AE" w:rsidP="00A876DA">
      <w:r>
        <w:t xml:space="preserve">The </w:t>
      </w:r>
      <w:r w:rsidR="00246D0C">
        <w:t xml:space="preserve">implications of conforming to the </w:t>
      </w:r>
      <w:r>
        <w:t xml:space="preserve">federal partnership tax system will be discussed further in subsection I.D </w:t>
      </w:r>
      <w:r w:rsidR="00246D0C">
        <w:t>below.</w:t>
      </w:r>
      <w:r w:rsidR="00555503">
        <w:t xml:space="preserve"> Here, it is enough to note what a leading text says about this system:</w:t>
      </w:r>
    </w:p>
    <w:p w14:paraId="40631DFD" w14:textId="37C5A350" w:rsidR="004971CE" w:rsidRDefault="00555503" w:rsidP="00356E56">
      <w:pPr>
        <w:ind w:left="720"/>
      </w:pPr>
      <w:r>
        <w:t>“Subchapter K has a well-earned reputation as one of the most complex areas of the tax law, while a flow-through regime sounds simple enough in concept, implementing that regime is another matter.”</w:t>
      </w:r>
      <w:r>
        <w:rPr>
          <w:rStyle w:val="FootnoteReference"/>
        </w:rPr>
        <w:footnoteReference w:id="8"/>
      </w:r>
      <w:r w:rsidR="00246D0C">
        <w:t xml:space="preserve"> </w:t>
      </w:r>
    </w:p>
    <w:p w14:paraId="5F6F3199" w14:textId="16ADA17D" w:rsidR="00A876DA" w:rsidRPr="003E16FB" w:rsidRDefault="00C569AB" w:rsidP="00356E56">
      <w:pPr>
        <w:pBdr>
          <w:top w:val="single" w:sz="4" w:space="1" w:color="auto" w:shadow="1"/>
          <w:left w:val="single" w:sz="4" w:space="4" w:color="auto" w:shadow="1"/>
          <w:bottom w:val="single" w:sz="4" w:space="1" w:color="auto" w:shadow="1"/>
          <w:right w:val="single" w:sz="4" w:space="4" w:color="auto" w:shadow="1"/>
        </w:pBdr>
        <w:ind w:left="1440" w:right="720"/>
        <w:rPr>
          <w:b/>
          <w:bCs/>
        </w:rPr>
      </w:pPr>
      <w:r w:rsidRPr="003E16FB">
        <w:rPr>
          <w:b/>
          <w:bCs/>
        </w:rPr>
        <w:t xml:space="preserve">STATE TAX IMPLICATION: Understanding the </w:t>
      </w:r>
      <w:r w:rsidR="00356E56">
        <w:rPr>
          <w:b/>
          <w:bCs/>
        </w:rPr>
        <w:t xml:space="preserve">basics of the </w:t>
      </w:r>
      <w:r w:rsidR="003052FC" w:rsidRPr="003E16FB">
        <w:rPr>
          <w:b/>
          <w:bCs/>
        </w:rPr>
        <w:t>federal pass-through system is essential to understanding how state sourcing rules may apply to partnership income.</w:t>
      </w:r>
    </w:p>
    <w:p w14:paraId="4039FA69" w14:textId="15B24BAF" w:rsidR="00160A0E" w:rsidRDefault="0095334E" w:rsidP="00160A0E">
      <w:pPr>
        <w:pStyle w:val="Heading3"/>
        <w:rPr>
          <w:highlight w:val="yellow"/>
        </w:rPr>
      </w:pPr>
      <w:bookmarkStart w:id="31" w:name="_Toc198480721"/>
      <w:r>
        <w:t xml:space="preserve">CATEGORY 3: </w:t>
      </w:r>
      <w:r w:rsidR="00D86C97">
        <w:t xml:space="preserve">State Tax </w:t>
      </w:r>
      <w:r w:rsidR="004A626C">
        <w:t>Sourcing Rules</w:t>
      </w:r>
      <w:r w:rsidR="00356E56">
        <w:t xml:space="preserve"> - Generally</w:t>
      </w:r>
      <w:bookmarkEnd w:id="31"/>
    </w:p>
    <w:p w14:paraId="256D733E" w14:textId="6F78B3AC" w:rsidR="00356E56" w:rsidRDefault="00356E56" w:rsidP="00742DE6">
      <w:r>
        <w:t>While s</w:t>
      </w:r>
      <w:r w:rsidR="005527FE">
        <w:t xml:space="preserve">tates generally conform to the federal rules for determining domestic versus foreign income, </w:t>
      </w:r>
      <w:r>
        <w:t>they have their own approaches for determining</w:t>
      </w:r>
      <w:r w:rsidR="005527FE">
        <w:t xml:space="preserve"> their share of multistate domestic business income</w:t>
      </w:r>
      <w:r>
        <w:t xml:space="preserve">. </w:t>
      </w:r>
      <w:r w:rsidR="0062564C">
        <w:t>State</w:t>
      </w:r>
      <w:r w:rsidR="00B9413D">
        <w:t xml:space="preserve"> </w:t>
      </w:r>
      <w:r w:rsidR="0062564C">
        <w:t xml:space="preserve">tax </w:t>
      </w:r>
      <w:r w:rsidR="00A825AE">
        <w:t xml:space="preserve">sourcing </w:t>
      </w:r>
      <w:r w:rsidR="00E66C3B">
        <w:t xml:space="preserve">rules </w:t>
      </w:r>
      <w:r w:rsidR="0062564C">
        <w:t xml:space="preserve">have been developed in the </w:t>
      </w:r>
      <w:r w:rsidR="00E66C3B">
        <w:t xml:space="preserve">context of </w:t>
      </w:r>
      <w:r w:rsidR="002C6E09">
        <w:t>tax</w:t>
      </w:r>
      <w:r w:rsidR="00A825AE">
        <w:t>es</w:t>
      </w:r>
      <w:r w:rsidR="002C6E09">
        <w:t xml:space="preserve"> </w:t>
      </w:r>
      <w:r w:rsidR="00A825AE">
        <w:t xml:space="preserve">imposed </w:t>
      </w:r>
      <w:r w:rsidR="002C6E09">
        <w:t xml:space="preserve">on </w:t>
      </w:r>
      <w:r w:rsidR="001218DC">
        <w:t>in</w:t>
      </w:r>
      <w:r w:rsidR="00B9413D">
        <w:t>dividual</w:t>
      </w:r>
      <w:r w:rsidR="002C6E09">
        <w:t>s</w:t>
      </w:r>
      <w:r w:rsidR="00B9413D">
        <w:t xml:space="preserve"> and </w:t>
      </w:r>
      <w:r w:rsidR="0062564C">
        <w:t>corporat</w:t>
      </w:r>
      <w:r w:rsidR="002C6E09">
        <w:t>ions.</w:t>
      </w:r>
      <w:r w:rsidR="0062564C">
        <w:t xml:space="preserve"> </w:t>
      </w:r>
      <w:r w:rsidR="00B71521">
        <w:t xml:space="preserve">So </w:t>
      </w:r>
      <w:r w:rsidR="007977D5">
        <w:t>any</w:t>
      </w:r>
      <w:r w:rsidR="00B71521">
        <w:t xml:space="preserve"> </w:t>
      </w:r>
      <w:r w:rsidR="0062564C">
        <w:t>rules specifically addressing partnership income are often found embedded in those sections of state tax law. This</w:t>
      </w:r>
      <w:r w:rsidR="00F64FDE">
        <w:t xml:space="preserve"> approach is generally </w:t>
      </w:r>
      <w:r w:rsidR="00B71521">
        <w:t>consistent with the federal</w:t>
      </w:r>
      <w:r w:rsidR="0062564C">
        <w:t xml:space="preserve"> </w:t>
      </w:r>
      <w:r w:rsidR="00B71521">
        <w:t xml:space="preserve">pass-through tax </w:t>
      </w:r>
      <w:r w:rsidR="0062564C">
        <w:t>system</w:t>
      </w:r>
      <w:r w:rsidR="00B71521">
        <w:t>,</w:t>
      </w:r>
      <w:r w:rsidR="0062564C">
        <w:t xml:space="preserve"> which seeks to apply the same substantive tax rules </w:t>
      </w:r>
      <w:r w:rsidR="00B71521">
        <w:t>to partnership income</w:t>
      </w:r>
      <w:r w:rsidR="007D4DE9">
        <w:t xml:space="preserve"> that apply to other businesses</w:t>
      </w:r>
      <w:r w:rsidR="00F64FDE">
        <w:t>,</w:t>
      </w:r>
      <w:r w:rsidR="00B71521">
        <w:t xml:space="preserve"> </w:t>
      </w:r>
      <w:r w:rsidR="0062564C">
        <w:t xml:space="preserve">while imposing tax on </w:t>
      </w:r>
      <w:r w:rsidR="00B71521">
        <w:t>the owners rather than the entity</w:t>
      </w:r>
      <w:r w:rsidR="0062564C">
        <w:t xml:space="preserve">. </w:t>
      </w:r>
      <w:bookmarkStart w:id="32" w:name="_Toc153291129"/>
      <w:r w:rsidR="00F64FDE">
        <w:t xml:space="preserve">But </w:t>
      </w:r>
      <w:r w:rsidR="0009081B">
        <w:t>sometimes the application of</w:t>
      </w:r>
      <w:r w:rsidR="0095334E">
        <w:t xml:space="preserve"> state</w:t>
      </w:r>
      <w:r w:rsidR="0009081B">
        <w:t xml:space="preserve"> rules in the pass-through context is unclear. </w:t>
      </w:r>
    </w:p>
    <w:p w14:paraId="740D3409" w14:textId="4E70CA22" w:rsidR="00692143" w:rsidRDefault="00811A00" w:rsidP="00742DE6">
      <w:r>
        <w:t>Important aspects of these state sourcing rules are discussed in subsection I.F. below</w:t>
      </w:r>
      <w:r w:rsidR="005527FE">
        <w:t>.</w:t>
      </w:r>
      <w:r w:rsidR="00356E56">
        <w:t xml:space="preserve"> Here it is important to note that many states face some challenges in updating their sourcing rules for partnership income that stem from the history of how sourcing rules were developed over time and ensuring that any rules specific to partnerships are consistent and based in sound principles.</w:t>
      </w:r>
    </w:p>
    <w:p w14:paraId="49BC6A9B" w14:textId="5C5B106B" w:rsidR="00E25A7C" w:rsidRPr="003E16FB" w:rsidRDefault="00E25A7C" w:rsidP="00356E56">
      <w:pPr>
        <w:pBdr>
          <w:top w:val="single" w:sz="4" w:space="1" w:color="auto" w:shadow="1"/>
          <w:left w:val="single" w:sz="4" w:space="4" w:color="auto" w:shadow="1"/>
          <w:bottom w:val="single" w:sz="4" w:space="1" w:color="auto" w:shadow="1"/>
          <w:right w:val="single" w:sz="4" w:space="4" w:color="auto" w:shadow="1"/>
        </w:pBdr>
        <w:ind w:left="1440" w:right="720"/>
        <w:rPr>
          <w:b/>
          <w:bCs/>
        </w:rPr>
      </w:pPr>
      <w:r w:rsidRPr="003E16FB">
        <w:rPr>
          <w:b/>
          <w:bCs/>
        </w:rPr>
        <w:t xml:space="preserve">STATE TAX IMPLICATION: Application of state sourcing rules to partnership income </w:t>
      </w:r>
      <w:r w:rsidR="00C725D6" w:rsidRPr="003E16FB">
        <w:rPr>
          <w:b/>
          <w:bCs/>
        </w:rPr>
        <w:t>has often been overlooked in the focus on individuals and corporations</w:t>
      </w:r>
      <w:r w:rsidR="0009081B" w:rsidRPr="003E16FB">
        <w:rPr>
          <w:b/>
          <w:bCs/>
        </w:rPr>
        <w:t xml:space="preserve"> and applying those rules in the pass-through context raises </w:t>
      </w:r>
      <w:r w:rsidR="0051222A" w:rsidRPr="003E16FB">
        <w:rPr>
          <w:b/>
          <w:bCs/>
        </w:rPr>
        <w:t>issues not addressed</w:t>
      </w:r>
      <w:r w:rsidR="00356E56">
        <w:rPr>
          <w:b/>
          <w:bCs/>
        </w:rPr>
        <w:t xml:space="preserve">, or </w:t>
      </w:r>
      <w:r w:rsidR="00661956">
        <w:rPr>
          <w:b/>
          <w:bCs/>
        </w:rPr>
        <w:t xml:space="preserve">are </w:t>
      </w:r>
      <w:r w:rsidR="00356E56">
        <w:rPr>
          <w:b/>
          <w:bCs/>
        </w:rPr>
        <w:t>addressed in ways that may not be consistent</w:t>
      </w:r>
      <w:r w:rsidR="0051222A" w:rsidRPr="003E16FB">
        <w:rPr>
          <w:b/>
          <w:bCs/>
        </w:rPr>
        <w:t>.</w:t>
      </w:r>
    </w:p>
    <w:p w14:paraId="1FDD49B4" w14:textId="360E3759" w:rsidR="00C352EA" w:rsidRDefault="00C352EA" w:rsidP="00C352EA">
      <w:pPr>
        <w:pStyle w:val="Heading3"/>
      </w:pPr>
      <w:bookmarkStart w:id="33" w:name="_Toc198480722"/>
      <w:r>
        <w:t xml:space="preserve">Interactions Between </w:t>
      </w:r>
      <w:r w:rsidR="00A37618">
        <w:t>These</w:t>
      </w:r>
      <w:r>
        <w:t xml:space="preserve"> Three</w:t>
      </w:r>
      <w:r w:rsidR="00A37618">
        <w:t xml:space="preserve"> Categories of Law</w:t>
      </w:r>
      <w:bookmarkEnd w:id="33"/>
      <w:r>
        <w:t xml:space="preserve"> </w:t>
      </w:r>
    </w:p>
    <w:p w14:paraId="2F5A16D9" w14:textId="2180ED4E" w:rsidR="00A37618" w:rsidRDefault="00811A00">
      <w:pPr>
        <w:spacing w:line="276" w:lineRule="auto"/>
        <w:jc w:val="left"/>
      </w:pPr>
      <w:r>
        <w:t xml:space="preserve">While </w:t>
      </w:r>
      <w:r w:rsidR="00C352EA">
        <w:t xml:space="preserve">the general laws discussed in this subsection </w:t>
      </w:r>
      <w:r w:rsidR="0051222A">
        <w:t>are separate and</w:t>
      </w:r>
      <w:r>
        <w:t xml:space="preserve"> distinct, there are </w:t>
      </w:r>
      <w:r w:rsidR="00A37618">
        <w:t xml:space="preserve">many </w:t>
      </w:r>
      <w:r>
        <w:t>ways in which th</w:t>
      </w:r>
      <w:r w:rsidR="0051222A">
        <w:t xml:space="preserve">ey </w:t>
      </w:r>
      <w:r>
        <w:t xml:space="preserve">interact or influence each other. For example, </w:t>
      </w:r>
      <w:r w:rsidR="00A37618">
        <w:t>the relationship between a partner and</w:t>
      </w:r>
      <w:r>
        <w:t xml:space="preserve"> </w:t>
      </w:r>
      <w:r w:rsidR="00A37618">
        <w:t xml:space="preserve">the </w:t>
      </w:r>
      <w:r>
        <w:t>partnership</w:t>
      </w:r>
      <w:r w:rsidR="00A37618">
        <w:t xml:space="preserve"> may be determined, in the first instance, by state governing laws. This relationship </w:t>
      </w:r>
      <w:r>
        <w:t>may</w:t>
      </w:r>
      <w:r w:rsidR="00A37618">
        <w:t xml:space="preserve"> affect how federal tax rules would apply to the computation of that partner’s income. And this, in turn, may affect how state sourcing rules would then apply to that income</w:t>
      </w:r>
      <w:r>
        <w:t xml:space="preserve">. </w:t>
      </w:r>
    </w:p>
    <w:p w14:paraId="75ED82B5" w14:textId="1EFE0BF6" w:rsidR="00811A00" w:rsidRDefault="00A37618">
      <w:pPr>
        <w:spacing w:line="276" w:lineRule="auto"/>
        <w:jc w:val="left"/>
        <w:rPr>
          <w:rFonts w:asciiTheme="majorHAnsi" w:eastAsiaTheme="majorEastAsia" w:hAnsiTheme="majorHAnsi" w:cstheme="majorBidi"/>
          <w:b/>
          <w:color w:val="851C00" w:themeColor="accent6" w:themeShade="BF"/>
          <w:sz w:val="28"/>
          <w:szCs w:val="26"/>
          <w:u w:val="single"/>
        </w:rPr>
      </w:pPr>
      <w:r>
        <w:t xml:space="preserve">One important aspect of this dynamic is the use of terminology. </w:t>
      </w:r>
      <w:r w:rsidR="00811A00">
        <w:t xml:space="preserve">The following subsection I.C., </w:t>
      </w:r>
      <w:r w:rsidR="004A626C">
        <w:t xml:space="preserve">lists important </w:t>
      </w:r>
      <w:r w:rsidR="00811A00">
        <w:t xml:space="preserve">terms </w:t>
      </w:r>
      <w:r w:rsidR="004A626C">
        <w:t xml:space="preserve">and concepts </w:t>
      </w:r>
      <w:r w:rsidR="00811A00">
        <w:t>that are derived from these three sources and how they will be used in this white paper</w:t>
      </w:r>
      <w:r w:rsidR="004A626C">
        <w:t>.</w:t>
      </w:r>
      <w:r w:rsidR="00811A00">
        <w:t xml:space="preserve"> </w:t>
      </w:r>
    </w:p>
    <w:p w14:paraId="512B2AE2" w14:textId="2F182C49" w:rsidR="00491330" w:rsidRDefault="00F54CF3" w:rsidP="00964BF6">
      <w:pPr>
        <w:pStyle w:val="Heading2"/>
      </w:pPr>
      <w:bookmarkStart w:id="34" w:name="_Toc198480723"/>
      <w:r>
        <w:lastRenderedPageBreak/>
        <w:t xml:space="preserve">I. </w:t>
      </w:r>
      <w:r w:rsidR="00F65298">
        <w:t>C</w:t>
      </w:r>
      <w:r w:rsidR="00B5459F">
        <w:t xml:space="preserve">. </w:t>
      </w:r>
      <w:r w:rsidR="001B4E38">
        <w:t xml:space="preserve">Common </w:t>
      </w:r>
      <w:r w:rsidR="00491330">
        <w:t>Terms</w:t>
      </w:r>
      <w:r w:rsidR="00A3333C">
        <w:t xml:space="preserve"> Used in th</w:t>
      </w:r>
      <w:r w:rsidR="005C72A8">
        <w:t>e</w:t>
      </w:r>
      <w:r w:rsidR="00A3333C">
        <w:t xml:space="preserve"> White Paper</w:t>
      </w:r>
      <w:bookmarkEnd w:id="32"/>
      <w:bookmarkEnd w:id="34"/>
    </w:p>
    <w:p w14:paraId="5C63F2A2" w14:textId="28CB895B" w:rsidR="004971CE" w:rsidRDefault="00760DC5" w:rsidP="00436972">
      <w:r>
        <w:t>Terminology is critical f</w:t>
      </w:r>
      <w:r w:rsidR="00742DE6">
        <w:t xml:space="preserve">or any possible discussion of this subject. </w:t>
      </w:r>
      <w:r w:rsidR="0027691F">
        <w:t xml:space="preserve">And, as Section I.B. </w:t>
      </w:r>
      <w:r w:rsidR="00BA036E">
        <w:t xml:space="preserve">above </w:t>
      </w:r>
      <w:r w:rsidR="0027691F">
        <w:t xml:space="preserve">notes, there are three separate bodies of law that </w:t>
      </w:r>
      <w:r>
        <w:t xml:space="preserve">can </w:t>
      </w:r>
      <w:r w:rsidR="0027691F">
        <w:t xml:space="preserve">affect </w:t>
      </w:r>
      <w:r w:rsidR="00BA036E">
        <w:t>definitions and usage of important terms</w:t>
      </w:r>
      <w:r w:rsidR="0027691F">
        <w:t xml:space="preserve">—general state governing laws, the federal IRC, and state tax laws. </w:t>
      </w:r>
      <w:r w:rsidR="009D19D1">
        <w:t>As a result, s</w:t>
      </w:r>
      <w:r>
        <w:t xml:space="preserve">ome </w:t>
      </w:r>
      <w:r w:rsidR="004971CE">
        <w:t>important terms and concepts may be defined and used</w:t>
      </w:r>
      <w:r w:rsidR="0095334E">
        <w:t xml:space="preserve"> somewhat</w:t>
      </w:r>
      <w:r w:rsidR="004971CE">
        <w:t xml:space="preserve"> differently in each context.</w:t>
      </w:r>
      <w:r w:rsidR="0027691F">
        <w:t xml:space="preserve"> </w:t>
      </w:r>
      <w:r w:rsidR="00205BAD">
        <w:t>Nor is it</w:t>
      </w:r>
      <w:r w:rsidR="0027691F">
        <w:t xml:space="preserve"> uncommon for the terms to be used inconsistently</w:t>
      </w:r>
      <w:r w:rsidR="00205BAD">
        <w:t>, even in the same context.</w:t>
      </w:r>
    </w:p>
    <w:p w14:paraId="2ACC6541" w14:textId="08566EE6" w:rsidR="003C0426" w:rsidRDefault="00205BAD" w:rsidP="00436972">
      <w:r>
        <w:t>This</w:t>
      </w:r>
      <w:r w:rsidR="0027691F">
        <w:t xml:space="preserve"> subsection I.C. lists</w:t>
      </w:r>
      <w:r w:rsidR="00405772">
        <w:t xml:space="preserve"> </w:t>
      </w:r>
      <w:r w:rsidR="009D19D1">
        <w:t xml:space="preserve">the most </w:t>
      </w:r>
      <w:r w:rsidR="00617AAA">
        <w:t xml:space="preserve">important terms </w:t>
      </w:r>
      <w:r w:rsidR="00405772">
        <w:t>and how they will be used in this white paper</w:t>
      </w:r>
      <w:r w:rsidR="00617AAA">
        <w:t xml:space="preserve">. </w:t>
      </w:r>
      <w:r w:rsidR="004971CE">
        <w:t xml:space="preserve">In general, when choosing how to use a term, </w:t>
      </w:r>
      <w:r>
        <w:t>these definitions</w:t>
      </w:r>
      <w:r w:rsidR="004971CE">
        <w:t xml:space="preserve"> will defer first to the IRC</w:t>
      </w:r>
      <w:r w:rsidR="0027691F">
        <w:t xml:space="preserve"> Subchapter K or general federal tax usage</w:t>
      </w:r>
      <w:r w:rsidR="004971CE">
        <w:t xml:space="preserve"> and then to general state </w:t>
      </w:r>
      <w:r w:rsidR="0062473E">
        <w:t>governing</w:t>
      </w:r>
      <w:r w:rsidR="004971CE">
        <w:t xml:space="preserve"> law</w:t>
      </w:r>
      <w:r w:rsidR="000672D1">
        <w:t>.</w:t>
      </w:r>
      <w:r w:rsidR="008C55D5">
        <w:t xml:space="preserve"> </w:t>
      </w:r>
    </w:p>
    <w:p w14:paraId="3D35209E" w14:textId="43CF08D6" w:rsidR="00AE2D78" w:rsidRDefault="0027691F" w:rsidP="00436972">
      <w:r>
        <w:t>As for</w:t>
      </w:r>
      <w:r w:rsidR="005B1363">
        <w:t xml:space="preserve"> </w:t>
      </w:r>
      <w:r w:rsidR="0062751F">
        <w:t xml:space="preserve">state </w:t>
      </w:r>
      <w:r w:rsidR="005B1363">
        <w:t xml:space="preserve">tax </w:t>
      </w:r>
      <w:r w:rsidR="007977D5">
        <w:t xml:space="preserve">sourcing </w:t>
      </w:r>
      <w:r w:rsidR="00614C10">
        <w:t>methods</w:t>
      </w:r>
      <w:r w:rsidR="00E70441">
        <w:t xml:space="preserve"> </w:t>
      </w:r>
      <w:r w:rsidR="00614C10">
        <w:t xml:space="preserve">or </w:t>
      </w:r>
      <w:r w:rsidR="0062751F">
        <w:t>concepts</w:t>
      </w:r>
      <w:r>
        <w:t xml:space="preserve">—the terms used to refer to them </w:t>
      </w:r>
      <w:r w:rsidR="00614C10">
        <w:t xml:space="preserve">may </w:t>
      </w:r>
      <w:r>
        <w:t xml:space="preserve">also </w:t>
      </w:r>
      <w:r w:rsidR="0062751F">
        <w:t>vary among the states</w:t>
      </w:r>
      <w:r w:rsidR="00614C10">
        <w:t>.</w:t>
      </w:r>
      <w:r w:rsidR="0062751F">
        <w:t xml:space="preserve"> </w:t>
      </w:r>
      <w:r w:rsidR="00614C10">
        <w:t xml:space="preserve">Therefore, this </w:t>
      </w:r>
      <w:r>
        <w:t>sub</w:t>
      </w:r>
      <w:r w:rsidR="00614C10">
        <w:t xml:space="preserve">section also </w:t>
      </w:r>
      <w:r w:rsidR="00205BAD">
        <w:t xml:space="preserve">contains a summary of </w:t>
      </w:r>
      <w:r w:rsidR="007977D5">
        <w:t>how certain</w:t>
      </w:r>
      <w:r w:rsidR="00614C10">
        <w:t xml:space="preserve"> state tax terms will be used. </w:t>
      </w:r>
    </w:p>
    <w:p w14:paraId="3FF9F0E1" w14:textId="714F45B3" w:rsidR="00D96C7F" w:rsidRDefault="00816484" w:rsidP="00FC1B40">
      <w:pPr>
        <w:pStyle w:val="Heading3"/>
      </w:pPr>
      <w:bookmarkStart w:id="35" w:name="_Toc198480724"/>
      <w:r>
        <w:t xml:space="preserve">Terms Used Consistently with </w:t>
      </w:r>
      <w:r w:rsidR="00D96C7F">
        <w:t>Subchapter K</w:t>
      </w:r>
      <w:r w:rsidR="0027691F">
        <w:t xml:space="preserve"> and Federal Tax</w:t>
      </w:r>
      <w:bookmarkEnd w:id="35"/>
      <w:r>
        <w:t xml:space="preserve"> </w:t>
      </w:r>
    </w:p>
    <w:tbl>
      <w:tblPr>
        <w:tblStyle w:val="TableGrid"/>
        <w:tblW w:w="0" w:type="auto"/>
        <w:tblCellMar>
          <w:top w:w="36" w:type="dxa"/>
          <w:bottom w:w="36" w:type="dxa"/>
        </w:tblCellMar>
        <w:tblLook w:val="04A0" w:firstRow="1" w:lastRow="0" w:firstColumn="1" w:lastColumn="0" w:noHBand="0" w:noVBand="1"/>
      </w:tblPr>
      <w:tblGrid>
        <w:gridCol w:w="2245"/>
        <w:gridCol w:w="6529"/>
      </w:tblGrid>
      <w:tr w:rsidR="00FC1B40" w14:paraId="1E026A0D" w14:textId="77777777" w:rsidTr="008E2113">
        <w:tc>
          <w:tcPr>
            <w:tcW w:w="2245" w:type="dxa"/>
            <w:vAlign w:val="center"/>
          </w:tcPr>
          <w:p w14:paraId="42D0751C" w14:textId="15F02EFA" w:rsidR="00FC1B40" w:rsidRPr="000C421E" w:rsidRDefault="000C421E" w:rsidP="000C421E">
            <w:pPr>
              <w:jc w:val="left"/>
            </w:pPr>
            <w:r w:rsidRPr="000C421E">
              <w:t>Partnership</w:t>
            </w:r>
          </w:p>
        </w:tc>
        <w:tc>
          <w:tcPr>
            <w:tcW w:w="6529" w:type="dxa"/>
            <w:vAlign w:val="center"/>
          </w:tcPr>
          <w:p w14:paraId="522985E4" w14:textId="694DEF4C" w:rsidR="00FC1B40" w:rsidRDefault="000C421E" w:rsidP="000C421E">
            <w:pPr>
              <w:jc w:val="left"/>
            </w:pPr>
            <w:r>
              <w:t>Entities taxed as partnerships under federal law (e.g., general partnerships, limited partnerships, LLCs, etc.). See IRC §§ 761(a) and 7701 and related regulations.</w:t>
            </w:r>
          </w:p>
        </w:tc>
      </w:tr>
      <w:tr w:rsidR="00FC1B40" w14:paraId="602CB717" w14:textId="77777777" w:rsidTr="008E2113">
        <w:tc>
          <w:tcPr>
            <w:tcW w:w="2245" w:type="dxa"/>
            <w:vAlign w:val="center"/>
          </w:tcPr>
          <w:p w14:paraId="5DAB2F9D" w14:textId="185744F7" w:rsidR="00FC1B40" w:rsidRPr="000C421E" w:rsidRDefault="000C421E" w:rsidP="000C421E">
            <w:pPr>
              <w:jc w:val="left"/>
            </w:pPr>
            <w:r w:rsidRPr="000C421E">
              <w:t>Partner</w:t>
            </w:r>
          </w:p>
        </w:tc>
        <w:tc>
          <w:tcPr>
            <w:tcW w:w="6529" w:type="dxa"/>
            <w:vAlign w:val="center"/>
          </w:tcPr>
          <w:p w14:paraId="0B4E9166" w14:textId="7106D369" w:rsidR="00FC1B40" w:rsidRDefault="000C421E" w:rsidP="000C421E">
            <w:pPr>
              <w:jc w:val="left"/>
            </w:pPr>
            <w:r>
              <w:t>Persons taxed as partners under federal law. See IRC §§ 761(b) and 7701 and related regulations</w:t>
            </w:r>
            <w:r w:rsidR="00830639">
              <w:t>, including direct and indirect partners. (See below.)</w:t>
            </w:r>
          </w:p>
        </w:tc>
      </w:tr>
      <w:tr w:rsidR="000C421E" w14:paraId="15634A9A" w14:textId="77777777" w:rsidTr="008E2113">
        <w:tc>
          <w:tcPr>
            <w:tcW w:w="2245" w:type="dxa"/>
            <w:vAlign w:val="center"/>
          </w:tcPr>
          <w:p w14:paraId="1AB4EF12" w14:textId="589A2911" w:rsidR="000C421E" w:rsidRPr="000C421E" w:rsidRDefault="000C421E" w:rsidP="000C421E">
            <w:pPr>
              <w:jc w:val="left"/>
            </w:pPr>
            <w:r w:rsidRPr="000C421E">
              <w:t>Partnership agreement</w:t>
            </w:r>
          </w:p>
        </w:tc>
        <w:tc>
          <w:tcPr>
            <w:tcW w:w="6529" w:type="dxa"/>
            <w:vAlign w:val="center"/>
          </w:tcPr>
          <w:p w14:paraId="2A4432F2" w14:textId="04A0F829" w:rsidR="000C421E" w:rsidRDefault="000C421E" w:rsidP="000C421E">
            <w:pPr>
              <w:jc w:val="left"/>
            </w:pPr>
            <w:r>
              <w:t>As the term is used for tax purposes (consistent with state law) to describe the agreement of the partners generally, or on particular partnership matters. See IRC §761(c).</w:t>
            </w:r>
          </w:p>
        </w:tc>
      </w:tr>
      <w:tr w:rsidR="000C421E" w14:paraId="18530D34" w14:textId="77777777" w:rsidTr="008E2113">
        <w:tc>
          <w:tcPr>
            <w:tcW w:w="2245" w:type="dxa"/>
            <w:vAlign w:val="center"/>
          </w:tcPr>
          <w:p w14:paraId="7E935212" w14:textId="233C59B7" w:rsidR="000C421E" w:rsidRPr="000C421E" w:rsidRDefault="000C421E" w:rsidP="000C421E">
            <w:pPr>
              <w:jc w:val="left"/>
            </w:pPr>
            <w:r w:rsidRPr="000C421E">
              <w:t>Partnership ownership interest or partnership interest</w:t>
            </w:r>
          </w:p>
        </w:tc>
        <w:tc>
          <w:tcPr>
            <w:tcW w:w="6529" w:type="dxa"/>
            <w:vAlign w:val="center"/>
          </w:tcPr>
          <w:p w14:paraId="74C08248" w14:textId="4A01576B" w:rsidR="000C421E" w:rsidRDefault="000C421E" w:rsidP="000C421E">
            <w:pPr>
              <w:jc w:val="left"/>
            </w:pPr>
            <w:r>
              <w:t>A general description of a partner’s ownership in a partnership or to the value of the partner’s partnership capital. See IRC §§ 704(e) and 864(c)(8) (among others). (Contrast this with the term “partner’s interest in the partnership” below.)</w:t>
            </w:r>
          </w:p>
        </w:tc>
      </w:tr>
      <w:tr w:rsidR="000C421E" w14:paraId="11B63C82" w14:textId="77777777" w:rsidTr="008E2113">
        <w:tc>
          <w:tcPr>
            <w:tcW w:w="2245" w:type="dxa"/>
            <w:vAlign w:val="center"/>
          </w:tcPr>
          <w:p w14:paraId="067B9338" w14:textId="7E175989" w:rsidR="000C421E" w:rsidRPr="000C421E" w:rsidRDefault="000C421E" w:rsidP="000C421E">
            <w:pPr>
              <w:jc w:val="left"/>
            </w:pPr>
            <w:r w:rsidRPr="000C421E">
              <w:t>Contribution</w:t>
            </w:r>
          </w:p>
        </w:tc>
        <w:tc>
          <w:tcPr>
            <w:tcW w:w="6529" w:type="dxa"/>
            <w:vAlign w:val="center"/>
          </w:tcPr>
          <w:p w14:paraId="4DCB778D" w14:textId="78A6744A" w:rsidR="000C421E" w:rsidRDefault="000C421E" w:rsidP="000C421E">
            <w:pPr>
              <w:jc w:val="left"/>
            </w:pPr>
            <w:r>
              <w:t>Items including cash and property transferred by a partner to a partnership in exchange for a partnership interest. See IRC § 721.</w:t>
            </w:r>
          </w:p>
        </w:tc>
      </w:tr>
      <w:tr w:rsidR="000C421E" w14:paraId="33FFFB97" w14:textId="77777777" w:rsidTr="008E2113">
        <w:tc>
          <w:tcPr>
            <w:tcW w:w="2245" w:type="dxa"/>
            <w:vAlign w:val="center"/>
          </w:tcPr>
          <w:p w14:paraId="73CBBB59" w14:textId="4BE55B3E" w:rsidR="000C421E" w:rsidRPr="000C421E" w:rsidRDefault="000C421E" w:rsidP="000C421E">
            <w:pPr>
              <w:jc w:val="left"/>
            </w:pPr>
            <w:r w:rsidRPr="000C421E">
              <w:t>Distribution</w:t>
            </w:r>
          </w:p>
        </w:tc>
        <w:tc>
          <w:tcPr>
            <w:tcW w:w="6529" w:type="dxa"/>
            <w:vAlign w:val="center"/>
          </w:tcPr>
          <w:p w14:paraId="69DF3BA4" w14:textId="28D61B63" w:rsidR="000C421E" w:rsidRDefault="000C421E" w:rsidP="000C421E">
            <w:pPr>
              <w:jc w:val="left"/>
            </w:pPr>
            <w:r>
              <w:t>Items including cash and property transferred by a partnership to partners that represent a return of the partner’s capital or partnership interest. See IRC § 731.</w:t>
            </w:r>
          </w:p>
        </w:tc>
      </w:tr>
      <w:tr w:rsidR="000C421E" w14:paraId="7746BB08" w14:textId="77777777" w:rsidTr="008E2113">
        <w:tc>
          <w:tcPr>
            <w:tcW w:w="2245" w:type="dxa"/>
            <w:vAlign w:val="center"/>
          </w:tcPr>
          <w:p w14:paraId="4A93761E" w14:textId="5A3B564A" w:rsidR="000C421E" w:rsidRPr="000C421E" w:rsidRDefault="000C421E" w:rsidP="000C421E">
            <w:pPr>
              <w:jc w:val="left"/>
            </w:pPr>
            <w:r w:rsidRPr="000C421E">
              <w:t>Partnership item</w:t>
            </w:r>
          </w:p>
        </w:tc>
        <w:tc>
          <w:tcPr>
            <w:tcW w:w="6529" w:type="dxa"/>
            <w:vAlign w:val="center"/>
          </w:tcPr>
          <w:p w14:paraId="1627286E" w14:textId="692BBE4B" w:rsidR="000C421E" w:rsidRDefault="008E2113" w:rsidP="000C421E">
            <w:pPr>
              <w:jc w:val="left"/>
            </w:pPr>
            <w:r>
              <w:t>In general, any tax-significant result generated from a transaction or event</w:t>
            </w:r>
            <w:r w:rsidR="000C421E">
              <w:t xml:space="preserve"> (including income, expense, gain, loss, etc.) that </w:t>
            </w:r>
            <w:r>
              <w:t>is</w:t>
            </w:r>
            <w:r w:rsidR="000C421E">
              <w:t xml:space="preserve"> recognized and treated under the general substantive tax rules. See IRC §§ 702 &amp; 704 (and IRS Form 1065, Schedule K-1). Note that this white paper uses the term “item” broadly.</w:t>
            </w:r>
          </w:p>
        </w:tc>
      </w:tr>
      <w:tr w:rsidR="000C421E" w14:paraId="6E85C615" w14:textId="77777777" w:rsidTr="008E2113">
        <w:tc>
          <w:tcPr>
            <w:tcW w:w="2245" w:type="dxa"/>
            <w:vAlign w:val="center"/>
          </w:tcPr>
          <w:p w14:paraId="0CD32A24" w14:textId="5A1F6399" w:rsidR="000C421E" w:rsidRPr="000C421E" w:rsidRDefault="000C421E" w:rsidP="000C421E">
            <w:pPr>
              <w:jc w:val="left"/>
            </w:pPr>
            <w:r w:rsidRPr="000C421E">
              <w:t>Character</w:t>
            </w:r>
          </w:p>
        </w:tc>
        <w:tc>
          <w:tcPr>
            <w:tcW w:w="6529" w:type="dxa"/>
            <w:vAlign w:val="center"/>
          </w:tcPr>
          <w:p w14:paraId="1C045D8E" w14:textId="183612AA" w:rsidR="000C421E" w:rsidRDefault="000C421E" w:rsidP="000C421E">
            <w:pPr>
              <w:jc w:val="left"/>
            </w:pPr>
            <w:r>
              <w:t>Tax treatment of partnership items as determined by the nature of the item under general substantive tax rules. See IRC §§ 702(b) and 703(a).</w:t>
            </w:r>
          </w:p>
        </w:tc>
      </w:tr>
      <w:tr w:rsidR="000C421E" w14:paraId="4A1FDE4B" w14:textId="77777777" w:rsidTr="008E2113">
        <w:tc>
          <w:tcPr>
            <w:tcW w:w="2245" w:type="dxa"/>
            <w:vAlign w:val="center"/>
          </w:tcPr>
          <w:p w14:paraId="475B09B2" w14:textId="70661486" w:rsidR="000C421E" w:rsidRPr="000C421E" w:rsidRDefault="000C421E" w:rsidP="004971CE">
            <w:r w:rsidRPr="000C421E">
              <w:t>Attribute (noun)</w:t>
            </w:r>
          </w:p>
        </w:tc>
        <w:tc>
          <w:tcPr>
            <w:tcW w:w="6529" w:type="dxa"/>
            <w:vAlign w:val="center"/>
          </w:tcPr>
          <w:p w14:paraId="0A8FCFB4" w14:textId="1CC8EF62" w:rsidR="000C421E" w:rsidRDefault="000C421E" w:rsidP="004971CE">
            <w:r>
              <w:t>An aspect of a particular taxpayer that may affect the ultimate tax result (e.g., individual or corporation, filing separately or jointly, marginal tax rate, etc.)</w:t>
            </w:r>
          </w:p>
        </w:tc>
      </w:tr>
      <w:tr w:rsidR="000C421E" w14:paraId="4392635E" w14:textId="77777777" w:rsidTr="008E2113">
        <w:tc>
          <w:tcPr>
            <w:tcW w:w="2245" w:type="dxa"/>
            <w:vAlign w:val="center"/>
          </w:tcPr>
          <w:p w14:paraId="3F97F5B3" w14:textId="77F6D552" w:rsidR="000C421E" w:rsidRPr="0095334E" w:rsidRDefault="000C421E" w:rsidP="004971CE">
            <w:pPr>
              <w:jc w:val="left"/>
              <w:rPr>
                <w:szCs w:val="20"/>
              </w:rPr>
            </w:pPr>
            <w:r w:rsidRPr="0095334E">
              <w:rPr>
                <w:rStyle w:val="Heading4Char"/>
                <w:rFonts w:ascii="Cambria" w:hAnsi="Cambria"/>
                <w:color w:val="auto"/>
                <w:szCs w:val="20"/>
                <w:u w:val="none"/>
              </w:rPr>
              <w:t>Partnership income (loss)</w:t>
            </w:r>
          </w:p>
        </w:tc>
        <w:tc>
          <w:tcPr>
            <w:tcW w:w="6529" w:type="dxa"/>
            <w:vAlign w:val="center"/>
          </w:tcPr>
          <w:p w14:paraId="43B9A241" w14:textId="6DF59E8D" w:rsidR="000C421E" w:rsidRPr="0095334E" w:rsidRDefault="000C421E" w:rsidP="004971CE">
            <w:pPr>
              <w:rPr>
                <w:szCs w:val="20"/>
              </w:rPr>
            </w:pPr>
            <w:r w:rsidRPr="0095334E">
              <w:rPr>
                <w:rStyle w:val="Heading4Char"/>
                <w:rFonts w:ascii="Cambria" w:hAnsi="Cambria"/>
                <w:bCs/>
                <w:color w:val="auto"/>
                <w:szCs w:val="20"/>
                <w:u w:val="none"/>
              </w:rPr>
              <w:t>A general reference to income (loss) determined and reported by the partnership. See Treas. Reg. 1.6031-(a)1 and IRS Form 1065.</w:t>
            </w:r>
          </w:p>
        </w:tc>
      </w:tr>
      <w:tr w:rsidR="000C421E" w14:paraId="56CF4478" w14:textId="77777777" w:rsidTr="008E2113">
        <w:tc>
          <w:tcPr>
            <w:tcW w:w="2245" w:type="dxa"/>
            <w:vAlign w:val="center"/>
          </w:tcPr>
          <w:p w14:paraId="23E920D7" w14:textId="214DB604" w:rsidR="000C421E" w:rsidRPr="000C421E" w:rsidRDefault="000C421E" w:rsidP="000C421E">
            <w:pPr>
              <w:jc w:val="left"/>
              <w:rPr>
                <w:rStyle w:val="Heading4Char"/>
                <w:color w:val="auto"/>
              </w:rPr>
            </w:pPr>
            <w:r w:rsidRPr="000C421E">
              <w:t>Distributive share</w:t>
            </w:r>
          </w:p>
        </w:tc>
        <w:tc>
          <w:tcPr>
            <w:tcW w:w="6529" w:type="dxa"/>
            <w:vAlign w:val="center"/>
          </w:tcPr>
          <w:p w14:paraId="419D9E50" w14:textId="7F5B36B1" w:rsidR="000C421E" w:rsidRDefault="000C421E" w:rsidP="000C421E">
            <w:pPr>
              <w:jc w:val="left"/>
              <w:rPr>
                <w:rStyle w:val="Heading4Char"/>
                <w:bCs/>
                <w:color w:val="auto"/>
              </w:rPr>
            </w:pPr>
            <w:r>
              <w:t>The percentage or amount of a partnership’s income (loss) or the percentage or amount of partnership items allocated to a partner in a given tax period. See IRC § 704.</w:t>
            </w:r>
          </w:p>
        </w:tc>
      </w:tr>
    </w:tbl>
    <w:p w14:paraId="066D93ED" w14:textId="77777777" w:rsidR="00760DC5" w:rsidRDefault="00760DC5">
      <w:r>
        <w:br w:type="page"/>
      </w:r>
    </w:p>
    <w:tbl>
      <w:tblPr>
        <w:tblStyle w:val="TableGrid"/>
        <w:tblW w:w="0" w:type="auto"/>
        <w:tblCellMar>
          <w:top w:w="58" w:type="dxa"/>
          <w:bottom w:w="58" w:type="dxa"/>
        </w:tblCellMar>
        <w:tblLook w:val="04A0" w:firstRow="1" w:lastRow="0" w:firstColumn="1" w:lastColumn="0" w:noHBand="0" w:noVBand="1"/>
      </w:tblPr>
      <w:tblGrid>
        <w:gridCol w:w="2245"/>
        <w:gridCol w:w="6529"/>
      </w:tblGrid>
      <w:tr w:rsidR="000C421E" w14:paraId="084E4049" w14:textId="77777777" w:rsidTr="00760DC5">
        <w:tc>
          <w:tcPr>
            <w:tcW w:w="2245" w:type="dxa"/>
            <w:vAlign w:val="center"/>
          </w:tcPr>
          <w:p w14:paraId="434E8897" w14:textId="6CF4CD1C" w:rsidR="000C421E" w:rsidRPr="000C421E" w:rsidRDefault="00760DC5" w:rsidP="000C421E">
            <w:pPr>
              <w:jc w:val="left"/>
              <w:rPr>
                <w:rStyle w:val="Heading4Char"/>
                <w:color w:val="auto"/>
              </w:rPr>
            </w:pPr>
            <w:r>
              <w:lastRenderedPageBreak/>
              <w:t>Allocate or a</w:t>
            </w:r>
            <w:r w:rsidR="000C421E" w:rsidRPr="000C421E">
              <w:t>llocation</w:t>
            </w:r>
          </w:p>
        </w:tc>
        <w:tc>
          <w:tcPr>
            <w:tcW w:w="6529" w:type="dxa"/>
            <w:vAlign w:val="center"/>
          </w:tcPr>
          <w:p w14:paraId="36DAF0A2" w14:textId="1D19418F" w:rsidR="000C421E" w:rsidRDefault="00760DC5" w:rsidP="000C421E">
            <w:pPr>
              <w:jc w:val="left"/>
              <w:rPr>
                <w:rStyle w:val="Heading4Char"/>
                <w:bCs/>
                <w:color w:val="auto"/>
              </w:rPr>
            </w:pPr>
            <w:r>
              <w:t xml:space="preserve">Because Subchapter K uses the term allocate to refer to </w:t>
            </w:r>
            <w:r w:rsidR="000C421E">
              <w:t xml:space="preserve">the dividing up and attributing of partnership </w:t>
            </w:r>
            <w:r>
              <w:t xml:space="preserve">distributive share </w:t>
            </w:r>
            <w:r w:rsidR="000C421E">
              <w:t>income (loss) or items to the partners</w:t>
            </w:r>
            <w:r>
              <w:t>,</w:t>
            </w:r>
            <w:r w:rsidR="000C421E">
              <w:t xml:space="preserve"> </w:t>
            </w:r>
            <w:r>
              <w:t>s</w:t>
            </w:r>
            <w:r w:rsidR="000C421E">
              <w:t>ee IRC § 704(b) and related regulations</w:t>
            </w:r>
            <w:r>
              <w:t>, this white paper will use that term similarly—and not to refer to state sourcing of certain items</w:t>
            </w:r>
            <w:r w:rsidR="000C421E">
              <w:t>.</w:t>
            </w:r>
          </w:p>
        </w:tc>
      </w:tr>
      <w:tr w:rsidR="000C421E" w14:paraId="6AF4483A" w14:textId="77777777" w:rsidTr="00760DC5">
        <w:tc>
          <w:tcPr>
            <w:tcW w:w="2245" w:type="dxa"/>
            <w:vAlign w:val="center"/>
          </w:tcPr>
          <w:p w14:paraId="22760097" w14:textId="77777777" w:rsidR="000C421E" w:rsidRDefault="000C421E" w:rsidP="000C421E">
            <w:pPr>
              <w:jc w:val="left"/>
            </w:pPr>
            <w:r w:rsidRPr="000C421E">
              <w:t xml:space="preserve">Attribute (verb) or </w:t>
            </w:r>
          </w:p>
          <w:p w14:paraId="2A597AA7" w14:textId="28DC31FA" w:rsidR="000C421E" w:rsidRPr="000C421E" w:rsidRDefault="000C421E" w:rsidP="000C421E">
            <w:pPr>
              <w:jc w:val="left"/>
              <w:rPr>
                <w:rStyle w:val="Heading4Char"/>
                <w:color w:val="auto"/>
              </w:rPr>
            </w:pPr>
            <w:r w:rsidRPr="000C421E">
              <w:t>attribution</w:t>
            </w:r>
          </w:p>
        </w:tc>
        <w:tc>
          <w:tcPr>
            <w:tcW w:w="6529" w:type="dxa"/>
            <w:vAlign w:val="center"/>
          </w:tcPr>
          <w:p w14:paraId="45C32877" w14:textId="28102B67" w:rsidR="000C421E" w:rsidRDefault="00760DC5" w:rsidP="000C421E">
            <w:pPr>
              <w:jc w:val="left"/>
              <w:rPr>
                <w:rStyle w:val="Heading4Char"/>
                <w:bCs/>
                <w:color w:val="auto"/>
              </w:rPr>
            </w:pPr>
            <w:r>
              <w:t xml:space="preserve">Assignment to the partners of </w:t>
            </w:r>
            <w:r w:rsidR="000C421E">
              <w:t>important tax characteristics of partnership items</w:t>
            </w:r>
            <w:r>
              <w:t xml:space="preserve">, </w:t>
            </w:r>
            <w:r w:rsidR="000C421E">
              <w:t xml:space="preserve">including sourcing, </w:t>
            </w:r>
            <w:r>
              <w:t>that are determined at the partnership level</w:t>
            </w:r>
            <w:r w:rsidR="000C421E">
              <w:t>. See §§ 702(b), 875, 897(c)(4)(B),  and 958(a)(2).</w:t>
            </w:r>
          </w:p>
        </w:tc>
      </w:tr>
      <w:tr w:rsidR="000C421E" w14:paraId="00E65273" w14:textId="77777777" w:rsidTr="00760DC5">
        <w:tc>
          <w:tcPr>
            <w:tcW w:w="2245" w:type="dxa"/>
            <w:vAlign w:val="center"/>
          </w:tcPr>
          <w:p w14:paraId="6714FD41" w14:textId="081D2CD4" w:rsidR="000C421E" w:rsidRPr="000C421E" w:rsidRDefault="000C421E" w:rsidP="000C421E">
            <w:pPr>
              <w:jc w:val="left"/>
              <w:rPr>
                <w:rStyle w:val="Heading4Char"/>
                <w:color w:val="auto"/>
              </w:rPr>
            </w:pPr>
            <w:r w:rsidRPr="000C421E">
              <w:t>Partner’s interest in the partnership</w:t>
            </w:r>
          </w:p>
        </w:tc>
        <w:tc>
          <w:tcPr>
            <w:tcW w:w="6529" w:type="dxa"/>
            <w:vAlign w:val="center"/>
          </w:tcPr>
          <w:p w14:paraId="2B4493C9" w14:textId="2DB09344" w:rsidR="000C421E" w:rsidRDefault="000C421E" w:rsidP="000C421E">
            <w:pPr>
              <w:jc w:val="left"/>
              <w:rPr>
                <w:rStyle w:val="Heading4Char"/>
                <w:bCs/>
                <w:color w:val="auto"/>
              </w:rPr>
            </w:pPr>
            <w:r>
              <w:t>The basis for allocating partnership income (loss) or a partnership item absent any agreement by the partners or where that agreement lacks substantial economic effect. See IRC § 704(b) and related regulations.</w:t>
            </w:r>
          </w:p>
        </w:tc>
      </w:tr>
      <w:tr w:rsidR="000C421E" w14:paraId="0B9B9BEF" w14:textId="77777777" w:rsidTr="00760DC5">
        <w:tc>
          <w:tcPr>
            <w:tcW w:w="2245" w:type="dxa"/>
            <w:vAlign w:val="center"/>
          </w:tcPr>
          <w:p w14:paraId="01F0E959" w14:textId="4F534403" w:rsidR="000C421E" w:rsidRPr="000C421E" w:rsidRDefault="000C421E" w:rsidP="000C421E">
            <w:pPr>
              <w:jc w:val="left"/>
            </w:pPr>
            <w:r w:rsidRPr="000C421E">
              <w:t>Inside basis</w:t>
            </w:r>
          </w:p>
        </w:tc>
        <w:tc>
          <w:tcPr>
            <w:tcW w:w="6529" w:type="dxa"/>
            <w:vAlign w:val="center"/>
          </w:tcPr>
          <w:p w14:paraId="1234B8A0" w14:textId="1077591F" w:rsidR="000C421E" w:rsidRDefault="000C421E" w:rsidP="000C421E">
            <w:pPr>
              <w:jc w:val="left"/>
            </w:pPr>
            <w:r>
              <w:t>The tax basis in partnership assets or property which may also be attributed to particular partners. See IRC § 723.</w:t>
            </w:r>
          </w:p>
        </w:tc>
      </w:tr>
      <w:tr w:rsidR="000C421E" w14:paraId="5198B8E8" w14:textId="77777777" w:rsidTr="00760DC5">
        <w:tc>
          <w:tcPr>
            <w:tcW w:w="2245" w:type="dxa"/>
            <w:vAlign w:val="center"/>
          </w:tcPr>
          <w:p w14:paraId="7BCB809D" w14:textId="3B70B694" w:rsidR="000C421E" w:rsidRPr="000C421E" w:rsidRDefault="000C421E" w:rsidP="000C421E">
            <w:pPr>
              <w:jc w:val="left"/>
            </w:pPr>
            <w:r w:rsidRPr="000C421E">
              <w:t>Outside basis</w:t>
            </w:r>
          </w:p>
        </w:tc>
        <w:tc>
          <w:tcPr>
            <w:tcW w:w="6529" w:type="dxa"/>
            <w:vAlign w:val="center"/>
          </w:tcPr>
          <w:p w14:paraId="4911F960" w14:textId="3EF99B16" w:rsidR="000C421E" w:rsidRDefault="000C421E" w:rsidP="000C421E">
            <w:pPr>
              <w:jc w:val="left"/>
            </w:pPr>
            <w:r>
              <w:t>The tax basis in a partner’s partnership interest. See IRC § 722.</w:t>
            </w:r>
          </w:p>
        </w:tc>
      </w:tr>
      <w:tr w:rsidR="000C421E" w14:paraId="603C6054" w14:textId="77777777" w:rsidTr="00760DC5">
        <w:tc>
          <w:tcPr>
            <w:tcW w:w="2245" w:type="dxa"/>
            <w:vAlign w:val="center"/>
          </w:tcPr>
          <w:p w14:paraId="0372BFB8" w14:textId="67F6C35E" w:rsidR="000C421E" w:rsidRPr="000C421E" w:rsidRDefault="000C421E" w:rsidP="000C421E">
            <w:pPr>
              <w:jc w:val="left"/>
            </w:pPr>
            <w:r w:rsidRPr="000C421E">
              <w:t>Partner capital account</w:t>
            </w:r>
          </w:p>
        </w:tc>
        <w:tc>
          <w:tcPr>
            <w:tcW w:w="6529" w:type="dxa"/>
            <w:vAlign w:val="center"/>
          </w:tcPr>
          <w:p w14:paraId="6431A964" w14:textId="4BB7039F" w:rsidR="000C421E" w:rsidRDefault="000C421E" w:rsidP="000C421E">
            <w:pPr>
              <w:jc w:val="left"/>
            </w:pPr>
            <w:r>
              <w:t>Generally refers to the partnership’s capital attributed to a particular partner. See Treas. Reg. § 1.704-1(b)(2)(iv).</w:t>
            </w:r>
          </w:p>
        </w:tc>
      </w:tr>
      <w:tr w:rsidR="000C421E" w14:paraId="18EDFD06" w14:textId="77777777" w:rsidTr="00760DC5">
        <w:tc>
          <w:tcPr>
            <w:tcW w:w="2245" w:type="dxa"/>
            <w:vAlign w:val="center"/>
          </w:tcPr>
          <w:p w14:paraId="71E06002" w14:textId="253A4300" w:rsidR="000C421E" w:rsidRPr="000C421E" w:rsidRDefault="000C421E" w:rsidP="000C421E">
            <w:pPr>
              <w:jc w:val="left"/>
            </w:pPr>
            <w:r w:rsidRPr="000C421E">
              <w:t>Built-in gain (loss)</w:t>
            </w:r>
          </w:p>
        </w:tc>
        <w:tc>
          <w:tcPr>
            <w:tcW w:w="6529" w:type="dxa"/>
            <w:vAlign w:val="center"/>
          </w:tcPr>
          <w:p w14:paraId="47D030D3" w14:textId="1B73F966" w:rsidR="000C421E" w:rsidRDefault="000C421E" w:rsidP="000C421E">
            <w:pPr>
              <w:jc w:val="left"/>
            </w:pPr>
            <w:r>
              <w:t>The amount of the fair market value of an item as compared to that item’s tax basis at a particular point in time—often the point at which the item is contributed to or distributed from a partnership. See IRC § 704(c).</w:t>
            </w:r>
          </w:p>
        </w:tc>
      </w:tr>
      <w:tr w:rsidR="000C421E" w14:paraId="17B6CB60" w14:textId="77777777" w:rsidTr="00760DC5">
        <w:tc>
          <w:tcPr>
            <w:tcW w:w="2245" w:type="dxa"/>
            <w:vAlign w:val="center"/>
          </w:tcPr>
          <w:p w14:paraId="3FFD0DB2" w14:textId="55016573" w:rsidR="000C421E" w:rsidRPr="000C421E" w:rsidRDefault="000C421E" w:rsidP="000C421E">
            <w:pPr>
              <w:jc w:val="left"/>
            </w:pPr>
            <w:r w:rsidRPr="000C421E">
              <w:t>Guaranteed payment</w:t>
            </w:r>
          </w:p>
        </w:tc>
        <w:tc>
          <w:tcPr>
            <w:tcW w:w="6529" w:type="dxa"/>
            <w:vAlign w:val="center"/>
          </w:tcPr>
          <w:p w14:paraId="6A03328A" w14:textId="4846302A" w:rsidR="000C421E" w:rsidRDefault="000C421E" w:rsidP="000C421E">
            <w:pPr>
              <w:jc w:val="left"/>
            </w:pPr>
            <w:r>
              <w:t>Amounts of cash or assets transferred from a partnership to a partner not dependent upon the partnership’s income. (Contrast this with distributive share above.) See IRC § 707(c).</w:t>
            </w:r>
          </w:p>
        </w:tc>
      </w:tr>
      <w:tr w:rsidR="000C421E" w14:paraId="0BDA44D0" w14:textId="77777777" w:rsidTr="00760DC5">
        <w:tc>
          <w:tcPr>
            <w:tcW w:w="2245" w:type="dxa"/>
            <w:vAlign w:val="center"/>
          </w:tcPr>
          <w:p w14:paraId="42127234" w14:textId="0E48347C" w:rsidR="000C421E" w:rsidRPr="000C421E" w:rsidRDefault="000C421E" w:rsidP="000C421E">
            <w:pPr>
              <w:jc w:val="left"/>
            </w:pPr>
            <w:r w:rsidRPr="000C421E">
              <w:t>Upper-tier partnership or tiered partner</w:t>
            </w:r>
          </w:p>
        </w:tc>
        <w:tc>
          <w:tcPr>
            <w:tcW w:w="6529" w:type="dxa"/>
            <w:vAlign w:val="center"/>
          </w:tcPr>
          <w:p w14:paraId="58B3FC13" w14:textId="037E9E0E" w:rsidR="000C421E" w:rsidRDefault="000C421E" w:rsidP="000C421E">
            <w:pPr>
              <w:jc w:val="left"/>
            </w:pPr>
            <w:r>
              <w:t>A partnership that holds an interest in another partnership. See IRC § 706(d)(3) (among others).</w:t>
            </w:r>
          </w:p>
        </w:tc>
      </w:tr>
      <w:tr w:rsidR="000C421E" w14:paraId="393C7290" w14:textId="77777777" w:rsidTr="00760DC5">
        <w:tc>
          <w:tcPr>
            <w:tcW w:w="2245" w:type="dxa"/>
            <w:vAlign w:val="center"/>
          </w:tcPr>
          <w:p w14:paraId="3747EAA9" w14:textId="175FFA92" w:rsidR="000C421E" w:rsidRPr="000C421E" w:rsidRDefault="000C421E" w:rsidP="000C421E">
            <w:pPr>
              <w:jc w:val="left"/>
            </w:pPr>
            <w:r w:rsidRPr="000C421E">
              <w:t>Lower-tier partnership</w:t>
            </w:r>
          </w:p>
        </w:tc>
        <w:tc>
          <w:tcPr>
            <w:tcW w:w="6529" w:type="dxa"/>
            <w:vAlign w:val="center"/>
          </w:tcPr>
          <w:p w14:paraId="5D023873" w14:textId="16BE1E0D" w:rsidR="000C421E" w:rsidRDefault="000C421E" w:rsidP="000C421E">
            <w:pPr>
              <w:jc w:val="left"/>
            </w:pPr>
            <w:r>
              <w:t>A partnership in which another partnership holds an interest. See IRC § 706(d)(3) (among others).</w:t>
            </w:r>
          </w:p>
        </w:tc>
      </w:tr>
      <w:tr w:rsidR="000C421E" w14:paraId="048EB81B" w14:textId="77777777" w:rsidTr="00760DC5">
        <w:tc>
          <w:tcPr>
            <w:tcW w:w="2245" w:type="dxa"/>
            <w:vAlign w:val="center"/>
          </w:tcPr>
          <w:p w14:paraId="44E57D12" w14:textId="7CDA50D8" w:rsidR="000C421E" w:rsidRPr="000C421E" w:rsidRDefault="000C421E" w:rsidP="000C421E">
            <w:pPr>
              <w:jc w:val="left"/>
            </w:pPr>
            <w:r w:rsidRPr="000C421E">
              <w:t>Direct partner</w:t>
            </w:r>
          </w:p>
        </w:tc>
        <w:tc>
          <w:tcPr>
            <w:tcW w:w="6529" w:type="dxa"/>
            <w:vAlign w:val="center"/>
          </w:tcPr>
          <w:p w14:paraId="32FBE50B" w14:textId="4F5F49C7" w:rsidR="000C421E" w:rsidRDefault="000C421E" w:rsidP="000C421E">
            <w:pPr>
              <w:jc w:val="left"/>
            </w:pPr>
            <w:r>
              <w:t>A partner that owns an interest in a partnership.</w:t>
            </w:r>
          </w:p>
        </w:tc>
      </w:tr>
      <w:tr w:rsidR="000C421E" w14:paraId="321300FB" w14:textId="77777777" w:rsidTr="00760DC5">
        <w:tc>
          <w:tcPr>
            <w:tcW w:w="2245" w:type="dxa"/>
            <w:vAlign w:val="center"/>
          </w:tcPr>
          <w:p w14:paraId="6F6A4398" w14:textId="48614D80" w:rsidR="000C421E" w:rsidRPr="000C421E" w:rsidRDefault="000C421E" w:rsidP="000C421E">
            <w:pPr>
              <w:jc w:val="left"/>
            </w:pPr>
            <w:r w:rsidRPr="000C421E">
              <w:t>Indirect partner</w:t>
            </w:r>
          </w:p>
        </w:tc>
        <w:tc>
          <w:tcPr>
            <w:tcW w:w="6529" w:type="dxa"/>
            <w:vAlign w:val="center"/>
          </w:tcPr>
          <w:p w14:paraId="5AB021F1" w14:textId="621A0E99" w:rsidR="000C421E" w:rsidRDefault="000C421E" w:rsidP="000C421E">
            <w:pPr>
              <w:jc w:val="left"/>
            </w:pPr>
            <w:r>
              <w:t>A partner or owner of a partnership or passthrough entity that, itself, owns an interest in another partnership.</w:t>
            </w:r>
          </w:p>
        </w:tc>
      </w:tr>
      <w:tr w:rsidR="000C421E" w14:paraId="27758DDE" w14:textId="77777777" w:rsidTr="00760DC5">
        <w:tc>
          <w:tcPr>
            <w:tcW w:w="2245" w:type="dxa"/>
            <w:vAlign w:val="center"/>
          </w:tcPr>
          <w:p w14:paraId="67FAC39E" w14:textId="21F7AA1A" w:rsidR="000C421E" w:rsidRPr="000C421E" w:rsidRDefault="000C421E" w:rsidP="000C421E">
            <w:pPr>
              <w:jc w:val="left"/>
            </w:pPr>
            <w:r w:rsidRPr="000C421E">
              <w:t>Trade or business</w:t>
            </w:r>
          </w:p>
        </w:tc>
        <w:tc>
          <w:tcPr>
            <w:tcW w:w="6529" w:type="dxa"/>
            <w:vAlign w:val="center"/>
          </w:tcPr>
          <w:p w14:paraId="1A2F6655" w14:textId="78827C1A" w:rsidR="000C421E" w:rsidRDefault="000C421E" w:rsidP="000C421E">
            <w:pPr>
              <w:jc w:val="left"/>
            </w:pPr>
            <w:r>
              <w:t xml:space="preserve">The particular character of items, including those recognized by partnerships, that may determine their treatment for tax purposes. See IRC § 162 and related </w:t>
            </w:r>
            <w:r w:rsidRPr="007A32D0">
              <w:t>regulations (among others).</w:t>
            </w:r>
          </w:p>
        </w:tc>
      </w:tr>
      <w:tr w:rsidR="000C421E" w14:paraId="3576DD09" w14:textId="77777777" w:rsidTr="00760DC5">
        <w:tc>
          <w:tcPr>
            <w:tcW w:w="2245" w:type="dxa"/>
            <w:vAlign w:val="center"/>
          </w:tcPr>
          <w:p w14:paraId="79E5A559" w14:textId="2E156956" w:rsidR="000C421E" w:rsidRPr="000C421E" w:rsidRDefault="000C421E" w:rsidP="000C421E">
            <w:pPr>
              <w:jc w:val="left"/>
            </w:pPr>
            <w:r w:rsidRPr="000C421E">
              <w:t>Active or passive</w:t>
            </w:r>
          </w:p>
        </w:tc>
        <w:tc>
          <w:tcPr>
            <w:tcW w:w="6529" w:type="dxa"/>
            <w:vAlign w:val="center"/>
          </w:tcPr>
          <w:p w14:paraId="7A05395F" w14:textId="789BBC04" w:rsidR="000C421E" w:rsidRDefault="000C421E" w:rsidP="000C421E">
            <w:pPr>
              <w:jc w:val="left"/>
            </w:pPr>
            <w:r>
              <w:t>A characterization of a relationship between a taxpayer and an item or its source that, under the federal substantive tax provisions, may determine the treatment of items, especially losses. See IRC § 469 and related regulations.</w:t>
            </w:r>
          </w:p>
        </w:tc>
      </w:tr>
    </w:tbl>
    <w:p w14:paraId="13239737" w14:textId="77777777" w:rsidR="00760DC5" w:rsidRDefault="00760DC5" w:rsidP="00760DC5"/>
    <w:p w14:paraId="042BB356" w14:textId="77777777" w:rsidR="00760DC5" w:rsidRDefault="00760DC5" w:rsidP="00760DC5">
      <w:pPr>
        <w:rPr>
          <w:rFonts w:asciiTheme="majorHAnsi" w:eastAsiaTheme="majorEastAsia" w:hAnsiTheme="majorHAnsi" w:cstheme="majorBidi"/>
          <w:b/>
          <w:color w:val="851C00" w:themeColor="accent6" w:themeShade="BF"/>
          <w:sz w:val="26"/>
          <w:szCs w:val="24"/>
          <w:u w:val="single"/>
        </w:rPr>
      </w:pPr>
      <w:r>
        <w:br w:type="page"/>
      </w:r>
    </w:p>
    <w:p w14:paraId="77432B16" w14:textId="576CCE1B" w:rsidR="00B73FC4" w:rsidRPr="000672D1" w:rsidRDefault="00B73FC4" w:rsidP="00FC1B40">
      <w:pPr>
        <w:pStyle w:val="Heading3"/>
      </w:pPr>
      <w:bookmarkStart w:id="36" w:name="_Toc198480725"/>
      <w:r w:rsidRPr="000672D1">
        <w:lastRenderedPageBreak/>
        <w:t xml:space="preserve">Terms </w:t>
      </w:r>
      <w:r w:rsidR="00816484">
        <w:t xml:space="preserve">Used Consistently </w:t>
      </w:r>
      <w:r w:rsidR="0027691F">
        <w:t xml:space="preserve">with </w:t>
      </w:r>
      <w:r w:rsidR="00816484">
        <w:t xml:space="preserve">State </w:t>
      </w:r>
      <w:r w:rsidR="0062473E">
        <w:t xml:space="preserve">Governing </w:t>
      </w:r>
      <w:r w:rsidR="00816484">
        <w:t>Laws (ULC References)</w:t>
      </w:r>
      <w:bookmarkEnd w:id="36"/>
    </w:p>
    <w:tbl>
      <w:tblPr>
        <w:tblStyle w:val="TableGrid"/>
        <w:tblW w:w="0" w:type="auto"/>
        <w:tblCellMar>
          <w:top w:w="58" w:type="dxa"/>
          <w:bottom w:w="58" w:type="dxa"/>
        </w:tblCellMar>
        <w:tblLook w:val="04A0" w:firstRow="1" w:lastRow="0" w:firstColumn="1" w:lastColumn="0" w:noHBand="0" w:noVBand="1"/>
      </w:tblPr>
      <w:tblGrid>
        <w:gridCol w:w="3325"/>
        <w:gridCol w:w="5449"/>
      </w:tblGrid>
      <w:tr w:rsidR="00851D4E" w14:paraId="0D8FFED4" w14:textId="77777777" w:rsidTr="00760DC5">
        <w:tc>
          <w:tcPr>
            <w:tcW w:w="8774" w:type="dxa"/>
            <w:gridSpan w:val="2"/>
            <w:vAlign w:val="center"/>
          </w:tcPr>
          <w:p w14:paraId="6BB15829" w14:textId="283FEC82" w:rsidR="00851D4E" w:rsidRPr="00851D4E" w:rsidRDefault="00851D4E" w:rsidP="00851D4E">
            <w:pPr>
              <w:jc w:val="center"/>
              <w:rPr>
                <w:b/>
                <w:bCs/>
              </w:rPr>
            </w:pPr>
            <w:r w:rsidRPr="00851D4E">
              <w:rPr>
                <w:b/>
                <w:bCs/>
              </w:rPr>
              <w:t>Types of Partnerships</w:t>
            </w:r>
          </w:p>
        </w:tc>
      </w:tr>
      <w:tr w:rsidR="00851D4E" w14:paraId="2CBB5B40" w14:textId="77777777" w:rsidTr="00760DC5">
        <w:tc>
          <w:tcPr>
            <w:tcW w:w="3325" w:type="dxa"/>
            <w:vAlign w:val="center"/>
          </w:tcPr>
          <w:p w14:paraId="077B98D7" w14:textId="0B35FAC6" w:rsidR="00851D4E" w:rsidRPr="00851D4E" w:rsidRDefault="00851D4E" w:rsidP="00627DCA">
            <w:pPr>
              <w:jc w:val="left"/>
            </w:pPr>
            <w:r w:rsidRPr="00851D4E">
              <w:t>General partnership</w:t>
            </w:r>
          </w:p>
        </w:tc>
        <w:tc>
          <w:tcPr>
            <w:tcW w:w="5449" w:type="dxa"/>
            <w:vAlign w:val="center"/>
          </w:tcPr>
          <w:p w14:paraId="2BA3247B" w14:textId="5C0DD199" w:rsidR="00851D4E" w:rsidRDefault="00851D4E" w:rsidP="00627DCA">
            <w:pPr>
              <w:jc w:val="left"/>
            </w:pPr>
            <w:r>
              <w:t>See the ULC Partnership Act.</w:t>
            </w:r>
          </w:p>
        </w:tc>
      </w:tr>
      <w:tr w:rsidR="00851D4E" w14:paraId="687F66C5" w14:textId="77777777" w:rsidTr="00760DC5">
        <w:tc>
          <w:tcPr>
            <w:tcW w:w="3325" w:type="dxa"/>
            <w:vAlign w:val="center"/>
          </w:tcPr>
          <w:p w14:paraId="2AA8748D" w14:textId="65D53398" w:rsidR="00851D4E" w:rsidRPr="00851D4E" w:rsidRDefault="00851D4E" w:rsidP="00627DCA">
            <w:pPr>
              <w:jc w:val="left"/>
            </w:pPr>
            <w:r w:rsidRPr="00851D4E">
              <w:t>Limited liability partnership (LLP)</w:t>
            </w:r>
          </w:p>
        </w:tc>
        <w:tc>
          <w:tcPr>
            <w:tcW w:w="5449" w:type="dxa"/>
            <w:vAlign w:val="center"/>
          </w:tcPr>
          <w:p w14:paraId="1B8C17F2" w14:textId="30968BB1" w:rsidR="00851D4E" w:rsidRDefault="00851D4E" w:rsidP="00627DCA">
            <w:pPr>
              <w:jc w:val="left"/>
            </w:pPr>
            <w:r>
              <w:t>See the ULC Partnership Act, Art. 9.</w:t>
            </w:r>
          </w:p>
        </w:tc>
      </w:tr>
      <w:tr w:rsidR="00851D4E" w14:paraId="3B4D9124" w14:textId="77777777" w:rsidTr="00760DC5">
        <w:tc>
          <w:tcPr>
            <w:tcW w:w="3325" w:type="dxa"/>
            <w:vAlign w:val="center"/>
          </w:tcPr>
          <w:p w14:paraId="27D04633" w14:textId="1CAB7CED" w:rsidR="00851D4E" w:rsidRPr="00851D4E" w:rsidRDefault="00851D4E" w:rsidP="00627DCA">
            <w:pPr>
              <w:jc w:val="left"/>
            </w:pPr>
            <w:r w:rsidRPr="00851D4E">
              <w:t>Limited partnership (LP)</w:t>
            </w:r>
          </w:p>
        </w:tc>
        <w:tc>
          <w:tcPr>
            <w:tcW w:w="5449" w:type="dxa"/>
            <w:vAlign w:val="center"/>
          </w:tcPr>
          <w:p w14:paraId="7C21E4A5" w14:textId="3F04D3FF" w:rsidR="00851D4E" w:rsidRDefault="00851D4E" w:rsidP="00627DCA">
            <w:pPr>
              <w:jc w:val="left"/>
            </w:pPr>
            <w:r>
              <w:t>See the ULC Limited Partnership Act.</w:t>
            </w:r>
          </w:p>
        </w:tc>
      </w:tr>
      <w:tr w:rsidR="00851D4E" w14:paraId="3589508E" w14:textId="77777777" w:rsidTr="00760DC5">
        <w:tc>
          <w:tcPr>
            <w:tcW w:w="3325" w:type="dxa"/>
            <w:vAlign w:val="center"/>
          </w:tcPr>
          <w:p w14:paraId="20C814B2" w14:textId="77777777" w:rsidR="00851D4E" w:rsidRPr="00851D4E" w:rsidRDefault="00851D4E" w:rsidP="0098763F">
            <w:pPr>
              <w:jc w:val="left"/>
            </w:pPr>
            <w:r w:rsidRPr="00851D4E">
              <w:t>Limited liability company (LLC)</w:t>
            </w:r>
          </w:p>
        </w:tc>
        <w:tc>
          <w:tcPr>
            <w:tcW w:w="5449" w:type="dxa"/>
            <w:vAlign w:val="center"/>
          </w:tcPr>
          <w:p w14:paraId="36CEC5DC" w14:textId="77777777" w:rsidR="00851D4E" w:rsidRDefault="00851D4E" w:rsidP="0098763F">
            <w:pPr>
              <w:jc w:val="left"/>
            </w:pPr>
            <w:r>
              <w:t>See the ULC Limited Liability Company Act.</w:t>
            </w:r>
          </w:p>
        </w:tc>
      </w:tr>
      <w:tr w:rsidR="00851D4E" w14:paraId="408EE63B" w14:textId="77777777" w:rsidTr="00760DC5">
        <w:tc>
          <w:tcPr>
            <w:tcW w:w="8774" w:type="dxa"/>
            <w:gridSpan w:val="2"/>
            <w:vAlign w:val="center"/>
          </w:tcPr>
          <w:p w14:paraId="30EAF392" w14:textId="2B176748" w:rsidR="00851D4E" w:rsidRPr="00851D4E" w:rsidRDefault="00851D4E" w:rsidP="00851D4E">
            <w:pPr>
              <w:jc w:val="center"/>
              <w:rPr>
                <w:b/>
                <w:bCs/>
              </w:rPr>
            </w:pPr>
            <w:r w:rsidRPr="00851D4E">
              <w:rPr>
                <w:b/>
                <w:bCs/>
              </w:rPr>
              <w:t>Types of Partners</w:t>
            </w:r>
          </w:p>
        </w:tc>
      </w:tr>
      <w:tr w:rsidR="00851D4E" w14:paraId="114D04E3" w14:textId="77777777" w:rsidTr="00760DC5">
        <w:tc>
          <w:tcPr>
            <w:tcW w:w="3325" w:type="dxa"/>
            <w:vAlign w:val="center"/>
          </w:tcPr>
          <w:p w14:paraId="6C6FDC52" w14:textId="5EBCB41C" w:rsidR="00851D4E" w:rsidRPr="00851D4E" w:rsidRDefault="00851D4E" w:rsidP="00627DCA">
            <w:pPr>
              <w:jc w:val="left"/>
            </w:pPr>
            <w:r w:rsidRPr="00851D4E">
              <w:t xml:space="preserve">General partner  </w:t>
            </w:r>
          </w:p>
        </w:tc>
        <w:tc>
          <w:tcPr>
            <w:tcW w:w="5449" w:type="dxa"/>
            <w:vAlign w:val="center"/>
          </w:tcPr>
          <w:p w14:paraId="1A6434DF" w14:textId="62C84441" w:rsidR="00851D4E" w:rsidRDefault="00851D4E" w:rsidP="00627DCA">
            <w:pPr>
              <w:jc w:val="left"/>
            </w:pPr>
            <w:r>
              <w:t>See ULC Partnership Act (including any partner in a general partnership) and the ULC Limited Partnership Act, Art. 4.</w:t>
            </w:r>
          </w:p>
        </w:tc>
      </w:tr>
      <w:tr w:rsidR="00851D4E" w14:paraId="6A396BBB" w14:textId="77777777" w:rsidTr="00760DC5">
        <w:tc>
          <w:tcPr>
            <w:tcW w:w="3325" w:type="dxa"/>
            <w:vAlign w:val="center"/>
          </w:tcPr>
          <w:p w14:paraId="2930F688" w14:textId="415C506C" w:rsidR="00851D4E" w:rsidRPr="00851D4E" w:rsidRDefault="00851D4E" w:rsidP="00627DCA">
            <w:pPr>
              <w:jc w:val="left"/>
            </w:pPr>
            <w:r w:rsidRPr="00851D4E">
              <w:t xml:space="preserve">Limited partner  </w:t>
            </w:r>
          </w:p>
        </w:tc>
        <w:tc>
          <w:tcPr>
            <w:tcW w:w="5449" w:type="dxa"/>
            <w:vAlign w:val="center"/>
          </w:tcPr>
          <w:p w14:paraId="566E8D8E" w14:textId="62B00A4D" w:rsidR="00851D4E" w:rsidRDefault="00851D4E" w:rsidP="00627DCA">
            <w:pPr>
              <w:jc w:val="left"/>
            </w:pPr>
            <w:r>
              <w:t>See ULC Limited Partnership Act, Art. 3.</w:t>
            </w:r>
          </w:p>
        </w:tc>
      </w:tr>
      <w:tr w:rsidR="00851D4E" w14:paraId="4815BD4E" w14:textId="77777777" w:rsidTr="00760DC5">
        <w:tc>
          <w:tcPr>
            <w:tcW w:w="3325" w:type="dxa"/>
            <w:vAlign w:val="center"/>
          </w:tcPr>
          <w:p w14:paraId="07F62196" w14:textId="58D1F49A" w:rsidR="00851D4E" w:rsidRPr="00851D4E" w:rsidRDefault="00851D4E" w:rsidP="00627DCA">
            <w:pPr>
              <w:jc w:val="left"/>
            </w:pPr>
            <w:r w:rsidRPr="00851D4E">
              <w:t>Member</w:t>
            </w:r>
          </w:p>
        </w:tc>
        <w:tc>
          <w:tcPr>
            <w:tcW w:w="5449" w:type="dxa"/>
            <w:vAlign w:val="center"/>
          </w:tcPr>
          <w:p w14:paraId="08733DC7" w14:textId="536DA0B7" w:rsidR="00851D4E" w:rsidRDefault="00851D4E" w:rsidP="00627DCA">
            <w:pPr>
              <w:jc w:val="left"/>
            </w:pPr>
            <w:r>
              <w:t>See ULC Limited Liability Company Act, Art. 1, Sec. 102(11) and Arts</w:t>
            </w:r>
            <w:r w:rsidR="0031303D">
              <w:t>.</w:t>
            </w:r>
            <w:r>
              <w:t xml:space="preserve"> 3 and 4.</w:t>
            </w:r>
          </w:p>
        </w:tc>
      </w:tr>
    </w:tbl>
    <w:p w14:paraId="6CEDAA00" w14:textId="72786320" w:rsidR="00B73FC4" w:rsidRDefault="00B47E12" w:rsidP="00851D4E">
      <w:pPr>
        <w:pStyle w:val="Heading3"/>
      </w:pPr>
      <w:bookmarkStart w:id="37" w:name="_Toc198480726"/>
      <w:r>
        <w:t xml:space="preserve">State </w:t>
      </w:r>
      <w:r w:rsidR="008C55D5">
        <w:t xml:space="preserve">Tax </w:t>
      </w:r>
      <w:r>
        <w:t>Sourcing Terms</w:t>
      </w:r>
      <w:r w:rsidR="00C202F4">
        <w:t xml:space="preserve"> </w:t>
      </w:r>
      <w:r w:rsidR="0027691F">
        <w:t>as Used in this White Paper</w:t>
      </w:r>
      <w:bookmarkEnd w:id="37"/>
    </w:p>
    <w:tbl>
      <w:tblPr>
        <w:tblStyle w:val="TableGrid"/>
        <w:tblW w:w="0" w:type="auto"/>
        <w:tblCellMar>
          <w:top w:w="58" w:type="dxa"/>
          <w:bottom w:w="58" w:type="dxa"/>
        </w:tblCellMar>
        <w:tblLook w:val="04A0" w:firstRow="1" w:lastRow="0" w:firstColumn="1" w:lastColumn="0" w:noHBand="0" w:noVBand="1"/>
      </w:tblPr>
      <w:tblGrid>
        <w:gridCol w:w="2245"/>
        <w:gridCol w:w="6529"/>
      </w:tblGrid>
      <w:tr w:rsidR="00851D4E" w14:paraId="78ABFB75" w14:textId="77777777" w:rsidTr="00760DC5">
        <w:tc>
          <w:tcPr>
            <w:tcW w:w="2245" w:type="dxa"/>
            <w:vAlign w:val="center"/>
          </w:tcPr>
          <w:p w14:paraId="02747679" w14:textId="1CD0BFA4" w:rsidR="00851D4E" w:rsidRPr="00851D4E" w:rsidRDefault="00851D4E" w:rsidP="00627DCA">
            <w:pPr>
              <w:jc w:val="left"/>
            </w:pPr>
            <w:r w:rsidRPr="00851D4E">
              <w:t>Jurisdiction</w:t>
            </w:r>
          </w:p>
        </w:tc>
        <w:tc>
          <w:tcPr>
            <w:tcW w:w="6529" w:type="dxa"/>
            <w:vAlign w:val="center"/>
          </w:tcPr>
          <w:p w14:paraId="48F1A0A0" w14:textId="3C3E6B6C" w:rsidR="00851D4E" w:rsidRDefault="00851D4E" w:rsidP="00627DCA">
            <w:pPr>
              <w:jc w:val="left"/>
            </w:pPr>
            <w:r>
              <w:t>The general authority of a state to impose requirements on a person.</w:t>
            </w:r>
          </w:p>
        </w:tc>
      </w:tr>
      <w:tr w:rsidR="00851D4E" w14:paraId="38FA2815" w14:textId="77777777" w:rsidTr="00760DC5">
        <w:tc>
          <w:tcPr>
            <w:tcW w:w="2245" w:type="dxa"/>
            <w:vAlign w:val="center"/>
          </w:tcPr>
          <w:p w14:paraId="78DAA678" w14:textId="2CCE88E1" w:rsidR="00851D4E" w:rsidRPr="00851D4E" w:rsidRDefault="00851D4E" w:rsidP="00627DCA">
            <w:pPr>
              <w:jc w:val="left"/>
            </w:pPr>
            <w:r w:rsidRPr="00851D4E">
              <w:t>Nexus</w:t>
            </w:r>
          </w:p>
        </w:tc>
        <w:tc>
          <w:tcPr>
            <w:tcW w:w="6529" w:type="dxa"/>
            <w:vAlign w:val="center"/>
          </w:tcPr>
          <w:p w14:paraId="77314A3E" w14:textId="17BC15D2" w:rsidR="00851D4E" w:rsidRDefault="00851D4E" w:rsidP="00627DCA">
            <w:pPr>
              <w:jc w:val="left"/>
            </w:pPr>
            <w:r>
              <w:t>The general standard for state authority to impose tax on a person.</w:t>
            </w:r>
          </w:p>
        </w:tc>
      </w:tr>
      <w:tr w:rsidR="00851D4E" w14:paraId="28530FF7" w14:textId="77777777" w:rsidTr="00760DC5">
        <w:tc>
          <w:tcPr>
            <w:tcW w:w="2245" w:type="dxa"/>
            <w:vAlign w:val="center"/>
          </w:tcPr>
          <w:p w14:paraId="3C2668CF" w14:textId="7170C3D2" w:rsidR="00851D4E" w:rsidRPr="00851D4E" w:rsidRDefault="00851D4E" w:rsidP="00627DCA">
            <w:pPr>
              <w:jc w:val="left"/>
            </w:pPr>
            <w:r w:rsidRPr="00851D4E">
              <w:t>Doing business</w:t>
            </w:r>
          </w:p>
        </w:tc>
        <w:tc>
          <w:tcPr>
            <w:tcW w:w="6529" w:type="dxa"/>
            <w:vAlign w:val="center"/>
          </w:tcPr>
          <w:p w14:paraId="288F9BA7" w14:textId="793E61D3" w:rsidR="00851D4E" w:rsidRDefault="00851D4E" w:rsidP="00627DCA">
            <w:pPr>
              <w:jc w:val="left"/>
            </w:pPr>
            <w:r>
              <w:t>Used in state tax imposition statutes to refer to a person’s activities directed at the state that will subject that person to tax.</w:t>
            </w:r>
          </w:p>
        </w:tc>
      </w:tr>
      <w:tr w:rsidR="00851D4E" w14:paraId="057260E6" w14:textId="77777777" w:rsidTr="00760DC5">
        <w:tc>
          <w:tcPr>
            <w:tcW w:w="2245" w:type="dxa"/>
            <w:vAlign w:val="center"/>
          </w:tcPr>
          <w:p w14:paraId="7090D3C6" w14:textId="17C37ECA" w:rsidR="00851D4E" w:rsidRPr="00851D4E" w:rsidRDefault="00851D4E" w:rsidP="00627DCA">
            <w:pPr>
              <w:jc w:val="left"/>
            </w:pPr>
            <w:r w:rsidRPr="00851D4E">
              <w:t>Source (noun and verb)</w:t>
            </w:r>
          </w:p>
        </w:tc>
        <w:tc>
          <w:tcPr>
            <w:tcW w:w="6529" w:type="dxa"/>
            <w:vAlign w:val="center"/>
          </w:tcPr>
          <w:p w14:paraId="7F19377B" w14:textId="7C8D5F7B" w:rsidR="00851D4E" w:rsidRDefault="00851D4E" w:rsidP="00627DCA">
            <w:pPr>
              <w:jc w:val="left"/>
            </w:pPr>
            <w:r>
              <w:t>Refers generally to the state or states to which items of income or a share of net income from multistate activities will be attributed or to the attribution of those items under different approaches.</w:t>
            </w:r>
          </w:p>
        </w:tc>
      </w:tr>
      <w:tr w:rsidR="00851D4E" w14:paraId="20062AC1" w14:textId="77777777" w:rsidTr="00760DC5">
        <w:tc>
          <w:tcPr>
            <w:tcW w:w="2245" w:type="dxa"/>
            <w:vAlign w:val="center"/>
          </w:tcPr>
          <w:p w14:paraId="7A239B3E" w14:textId="77777777" w:rsidR="00851D4E" w:rsidRPr="00851D4E" w:rsidRDefault="00851D4E" w:rsidP="00627DCA">
            <w:pPr>
              <w:jc w:val="left"/>
            </w:pPr>
            <w:r w:rsidRPr="00851D4E">
              <w:t xml:space="preserve">Apportion and </w:t>
            </w:r>
          </w:p>
          <w:p w14:paraId="20BC7698" w14:textId="5A3D3B95" w:rsidR="00851D4E" w:rsidRPr="00851D4E" w:rsidRDefault="00851D4E" w:rsidP="00627DCA">
            <w:pPr>
              <w:jc w:val="left"/>
            </w:pPr>
            <w:r w:rsidRPr="00851D4E">
              <w:t>apportionment</w:t>
            </w:r>
          </w:p>
        </w:tc>
        <w:tc>
          <w:tcPr>
            <w:tcW w:w="6529" w:type="dxa"/>
            <w:vAlign w:val="center"/>
          </w:tcPr>
          <w:p w14:paraId="791E71F1" w14:textId="32F6D4D3" w:rsidR="00851D4E" w:rsidRDefault="00851D4E" w:rsidP="00627DCA">
            <w:pPr>
              <w:jc w:val="left"/>
            </w:pPr>
            <w:r>
              <w:t>A method used to source multistate income that applies a single formula or ratio based on certain instate activities of the taxpayer to determine the percentage of that taxpayer’s net income (and of all the items making up that income) that will be taxed in that state</w:t>
            </w:r>
          </w:p>
        </w:tc>
      </w:tr>
      <w:tr w:rsidR="00851D4E" w14:paraId="0CA6D435" w14:textId="77777777" w:rsidTr="00760DC5">
        <w:tc>
          <w:tcPr>
            <w:tcW w:w="2245" w:type="dxa"/>
            <w:vAlign w:val="center"/>
          </w:tcPr>
          <w:p w14:paraId="49F35FCC" w14:textId="7D0A864B" w:rsidR="00851D4E" w:rsidRPr="00851D4E" w:rsidRDefault="00851D4E" w:rsidP="00627DCA">
            <w:pPr>
              <w:jc w:val="left"/>
            </w:pPr>
            <w:r w:rsidRPr="00851D4E">
              <w:t>Apportionment factors</w:t>
            </w:r>
          </w:p>
        </w:tc>
        <w:tc>
          <w:tcPr>
            <w:tcW w:w="6529" w:type="dxa"/>
            <w:vAlign w:val="center"/>
          </w:tcPr>
          <w:p w14:paraId="18AF002F" w14:textId="0FE0C3BB" w:rsidR="00851D4E" w:rsidRDefault="00851D4E" w:rsidP="00627DCA">
            <w:pPr>
              <w:jc w:val="left"/>
            </w:pPr>
            <w:r>
              <w:t>The types of activities counted as part of the apportionment formula used to apportion income, including, primarily, the percentage of sales or receipts in the state, but sometimes also the percentage of property and payroll in the state.</w:t>
            </w:r>
          </w:p>
        </w:tc>
      </w:tr>
      <w:tr w:rsidR="00D26105" w14:paraId="35F71110" w14:textId="77777777" w:rsidTr="00760DC5">
        <w:tc>
          <w:tcPr>
            <w:tcW w:w="2245" w:type="dxa"/>
            <w:vAlign w:val="center"/>
          </w:tcPr>
          <w:p w14:paraId="4E459FC3" w14:textId="0A4FF172" w:rsidR="00D26105" w:rsidRPr="00851D4E" w:rsidRDefault="00D26105" w:rsidP="00627DCA">
            <w:pPr>
              <w:jc w:val="left"/>
            </w:pPr>
            <w:r>
              <w:t>Receipts factor</w:t>
            </w:r>
          </w:p>
        </w:tc>
        <w:tc>
          <w:tcPr>
            <w:tcW w:w="6529" w:type="dxa"/>
            <w:vAlign w:val="center"/>
          </w:tcPr>
          <w:p w14:paraId="600EE1BE" w14:textId="115656C4" w:rsidR="00D26105" w:rsidRDefault="00D26105" w:rsidP="00627DCA">
            <w:pPr>
              <w:jc w:val="left"/>
            </w:pPr>
            <w:r>
              <w:t xml:space="preserve">The apportionment factor that represents the ratio of sales or receipts in a state. </w:t>
            </w:r>
          </w:p>
        </w:tc>
      </w:tr>
      <w:tr w:rsidR="00851D4E" w14:paraId="707E4548" w14:textId="77777777" w:rsidTr="00760DC5">
        <w:tc>
          <w:tcPr>
            <w:tcW w:w="2245" w:type="dxa"/>
            <w:vAlign w:val="center"/>
          </w:tcPr>
          <w:p w14:paraId="3DAAA71B" w14:textId="1B7FAE14" w:rsidR="00851D4E" w:rsidRPr="00851D4E" w:rsidRDefault="00851D4E" w:rsidP="00627DCA">
            <w:pPr>
              <w:jc w:val="left"/>
            </w:pPr>
            <w:r w:rsidRPr="00851D4E">
              <w:t>Assign</w:t>
            </w:r>
          </w:p>
        </w:tc>
        <w:tc>
          <w:tcPr>
            <w:tcW w:w="6529" w:type="dxa"/>
            <w:vAlign w:val="center"/>
          </w:tcPr>
          <w:p w14:paraId="56D97C31" w14:textId="39B4F714" w:rsidR="00851D4E" w:rsidRDefault="00851D4E" w:rsidP="00627DCA">
            <w:pPr>
              <w:jc w:val="left"/>
            </w:pPr>
            <w:r>
              <w:t>Determining the items or the amounts of those items located in a state for tax purposes—which may be applied to items making up the apportionment factors or to items of non-apportionable income.</w:t>
            </w:r>
          </w:p>
        </w:tc>
      </w:tr>
      <w:tr w:rsidR="00851D4E" w14:paraId="19BBDE1C" w14:textId="77777777" w:rsidTr="00760DC5">
        <w:tc>
          <w:tcPr>
            <w:tcW w:w="2245" w:type="dxa"/>
            <w:vAlign w:val="center"/>
          </w:tcPr>
          <w:p w14:paraId="7760847B" w14:textId="56703751" w:rsidR="00851D4E" w:rsidRPr="00851D4E" w:rsidRDefault="00851D4E" w:rsidP="00627DCA">
            <w:pPr>
              <w:jc w:val="left"/>
            </w:pPr>
            <w:r w:rsidRPr="00851D4E">
              <w:t>Specifically assign and rules of assignment</w:t>
            </w:r>
          </w:p>
        </w:tc>
        <w:tc>
          <w:tcPr>
            <w:tcW w:w="6529" w:type="dxa"/>
            <w:vAlign w:val="center"/>
          </w:tcPr>
          <w:p w14:paraId="4CC76D60" w14:textId="62BF60AE" w:rsidR="00851D4E" w:rsidRDefault="00851D4E" w:rsidP="00627DCA">
            <w:pPr>
              <w:jc w:val="left"/>
            </w:pPr>
            <w:r>
              <w:t xml:space="preserve">A sourcing method and the specific rules which source particular items of income or expense to a state.  </w:t>
            </w:r>
          </w:p>
        </w:tc>
      </w:tr>
      <w:tr w:rsidR="00851D4E" w14:paraId="4E72E38E" w14:textId="77777777" w:rsidTr="00865C2C">
        <w:tc>
          <w:tcPr>
            <w:tcW w:w="2245" w:type="dxa"/>
            <w:shd w:val="clear" w:color="auto" w:fill="auto"/>
            <w:vAlign w:val="center"/>
          </w:tcPr>
          <w:p w14:paraId="0631C93F" w14:textId="4FEFD0CD" w:rsidR="00851D4E" w:rsidRPr="00865C2C" w:rsidRDefault="00851D4E" w:rsidP="00627DCA">
            <w:pPr>
              <w:jc w:val="left"/>
            </w:pPr>
            <w:r w:rsidRPr="00865C2C">
              <w:t>Apportionable income</w:t>
            </w:r>
          </w:p>
        </w:tc>
        <w:tc>
          <w:tcPr>
            <w:tcW w:w="6529" w:type="dxa"/>
            <w:vAlign w:val="center"/>
          </w:tcPr>
          <w:p w14:paraId="3F021881" w14:textId="4E136190" w:rsidR="00851D4E" w:rsidRDefault="00851D4E" w:rsidP="00627DCA">
            <w:pPr>
              <w:jc w:val="left"/>
            </w:pPr>
            <w:r>
              <w:t>Income or items that may be constitutionally included in net taxable income sourced using an apportionment formula</w:t>
            </w:r>
            <w:r w:rsidR="00865C2C">
              <w:t>—sometimes referred to as “business income.”</w:t>
            </w:r>
          </w:p>
        </w:tc>
      </w:tr>
      <w:tr w:rsidR="00851D4E" w14:paraId="00B8BF94" w14:textId="77777777" w:rsidTr="00760DC5">
        <w:tc>
          <w:tcPr>
            <w:tcW w:w="2245" w:type="dxa"/>
            <w:vAlign w:val="center"/>
          </w:tcPr>
          <w:p w14:paraId="1362602F" w14:textId="77777777" w:rsidR="00851D4E" w:rsidRPr="00865C2C" w:rsidRDefault="00851D4E" w:rsidP="00627DCA">
            <w:pPr>
              <w:jc w:val="left"/>
            </w:pPr>
            <w:r w:rsidRPr="00865C2C">
              <w:t xml:space="preserve">Non-apportionable </w:t>
            </w:r>
          </w:p>
          <w:p w14:paraId="2E7F349A" w14:textId="43078ABD" w:rsidR="00851D4E" w:rsidRPr="00865C2C" w:rsidRDefault="00851D4E" w:rsidP="00627DCA">
            <w:pPr>
              <w:jc w:val="left"/>
            </w:pPr>
            <w:r w:rsidRPr="00865C2C">
              <w:t>income</w:t>
            </w:r>
          </w:p>
        </w:tc>
        <w:tc>
          <w:tcPr>
            <w:tcW w:w="6529" w:type="dxa"/>
            <w:vAlign w:val="center"/>
          </w:tcPr>
          <w:p w14:paraId="6111BE27" w14:textId="67362CD4" w:rsidR="00851D4E" w:rsidRDefault="00851D4E" w:rsidP="00627DCA">
            <w:pPr>
              <w:jc w:val="left"/>
            </w:pPr>
            <w:r>
              <w:t>Income or items that may not be constitutionally included in net income sourced using an apportionment formula</w:t>
            </w:r>
            <w:r w:rsidR="00865C2C">
              <w:t>—sometimes referred to as “non-business income.”</w:t>
            </w:r>
          </w:p>
        </w:tc>
      </w:tr>
    </w:tbl>
    <w:p w14:paraId="16459551" w14:textId="78166F94" w:rsidR="005E573B" w:rsidRPr="00851D4E" w:rsidRDefault="00CF3B69" w:rsidP="00851D4E">
      <w:pPr>
        <w:spacing w:after="80" w:line="276" w:lineRule="auto"/>
        <w:rPr>
          <w:b/>
          <w:bCs/>
        </w:rPr>
      </w:pPr>
      <w:r w:rsidRPr="00851D4E">
        <w:rPr>
          <w:b/>
          <w:bCs/>
        </w:rPr>
        <w:t xml:space="preserve">Note: Other terms or concepts may be defined throughout this white paper as necessary. </w:t>
      </w:r>
      <w:r w:rsidR="005E573B" w:rsidRPr="00851D4E">
        <w:rPr>
          <w:b/>
          <w:bCs/>
        </w:rPr>
        <w:br w:type="page"/>
      </w:r>
    </w:p>
    <w:p w14:paraId="1BBDD416" w14:textId="0A380657" w:rsidR="00125B20" w:rsidRDefault="00F54CF3" w:rsidP="00753372">
      <w:pPr>
        <w:pStyle w:val="Heading2"/>
      </w:pPr>
      <w:bookmarkStart w:id="38" w:name="_Toc153291130"/>
      <w:bookmarkStart w:id="39" w:name="_Toc198480727"/>
      <w:r>
        <w:lastRenderedPageBreak/>
        <w:t>I.</w:t>
      </w:r>
      <w:r w:rsidR="00F65298">
        <w:t>D</w:t>
      </w:r>
      <w:r w:rsidR="00B5459F">
        <w:t xml:space="preserve">. </w:t>
      </w:r>
      <w:bookmarkEnd w:id="38"/>
      <w:r w:rsidR="00125B20">
        <w:t xml:space="preserve">Conformity to the </w:t>
      </w:r>
      <w:r w:rsidR="004971CE">
        <w:t xml:space="preserve">Federal </w:t>
      </w:r>
      <w:r w:rsidR="00125B20">
        <w:t>Pass-Through Tax System</w:t>
      </w:r>
      <w:bookmarkEnd w:id="39"/>
    </w:p>
    <w:p w14:paraId="7EB7B980" w14:textId="00CD6451" w:rsidR="003430DC" w:rsidRDefault="004B4296" w:rsidP="003430DC">
      <w:r>
        <w:t>C</w:t>
      </w:r>
      <w:r w:rsidR="00032477">
        <w:t xml:space="preserve">onforming to the </w:t>
      </w:r>
      <w:r w:rsidR="003430DC" w:rsidRPr="003430DC">
        <w:t>federal pass-through tax system</w:t>
      </w:r>
      <w:r>
        <w:t xml:space="preserve"> has</w:t>
      </w:r>
      <w:r w:rsidR="000C2CCD">
        <w:t xml:space="preserve"> a number of</w:t>
      </w:r>
      <w:r>
        <w:t xml:space="preserve"> important implications</w:t>
      </w:r>
      <w:r w:rsidR="0027691F">
        <w:t xml:space="preserve"> for states</w:t>
      </w:r>
      <w:r w:rsidR="00032477">
        <w:t xml:space="preserve">—especially for </w:t>
      </w:r>
      <w:r w:rsidR="0095334E">
        <w:t>the state tax</w:t>
      </w:r>
      <w:r w:rsidR="0027691F">
        <w:t xml:space="preserve"> </w:t>
      </w:r>
      <w:r w:rsidR="00032477">
        <w:t xml:space="preserve">sourcing </w:t>
      </w:r>
      <w:r w:rsidR="003430DC" w:rsidRPr="003430DC">
        <w:t>rules</w:t>
      </w:r>
      <w:r w:rsidR="00032477">
        <w:t xml:space="preserve"> which, it is fair to say, were not developed with partnerships in mind. </w:t>
      </w:r>
      <w:r w:rsidR="00851D4E">
        <w:t>This section focus</w:t>
      </w:r>
      <w:r w:rsidR="00751C65">
        <w:t>es</w:t>
      </w:r>
      <w:r w:rsidR="00851D4E">
        <w:t xml:space="preserve"> on </w:t>
      </w:r>
      <w:r w:rsidR="00032477">
        <w:t>th</w:t>
      </w:r>
      <w:r w:rsidR="00A37618">
        <w:t xml:space="preserve">e most critical of these </w:t>
      </w:r>
      <w:r w:rsidR="00032477">
        <w:t>implications</w:t>
      </w:r>
      <w:r w:rsidR="00A37618">
        <w:t>. It</w:t>
      </w:r>
      <w:r w:rsidR="00032477">
        <w:t xml:space="preserve"> </w:t>
      </w:r>
      <w:r w:rsidR="00A37618">
        <w:t>starts</w:t>
      </w:r>
      <w:r w:rsidR="00032477">
        <w:t xml:space="preserve"> </w:t>
      </w:r>
      <w:r w:rsidR="00A9372D">
        <w:t xml:space="preserve">with </w:t>
      </w:r>
      <w:r w:rsidR="00205BAD">
        <w:t xml:space="preserve">three important </w:t>
      </w:r>
      <w:r w:rsidR="00331735">
        <w:t xml:space="preserve">assumptions as to the </w:t>
      </w:r>
      <w:r w:rsidR="00D03B06">
        <w:t xml:space="preserve">general </w:t>
      </w:r>
      <w:r w:rsidR="00331735">
        <w:t xml:space="preserve">effects of </w:t>
      </w:r>
      <w:r w:rsidR="009E1A8D">
        <w:t xml:space="preserve">federal </w:t>
      </w:r>
      <w:r w:rsidR="00331735">
        <w:t>conformity</w:t>
      </w:r>
      <w:r w:rsidR="0027691F">
        <w:t xml:space="preserve">. It then provides a list of the key </w:t>
      </w:r>
      <w:r w:rsidR="00D85753">
        <w:t>elements</w:t>
      </w:r>
      <w:r w:rsidR="0027691F">
        <w:t xml:space="preserve"> of </w:t>
      </w:r>
      <w:r w:rsidR="00032477">
        <w:t>Subchapter K</w:t>
      </w:r>
      <w:r w:rsidR="00A66114">
        <w:t>’s pass-through sys</w:t>
      </w:r>
      <w:r w:rsidR="00205BAD">
        <w:t>t</w:t>
      </w:r>
      <w:r w:rsidR="00A66114">
        <w:t>em</w:t>
      </w:r>
      <w:r w:rsidR="0027691F">
        <w:t xml:space="preserve"> </w:t>
      </w:r>
      <w:r w:rsidR="00205BAD">
        <w:t>that have the greatest state tax sourcing</w:t>
      </w:r>
      <w:r w:rsidR="0027691F">
        <w:t xml:space="preserve"> </w:t>
      </w:r>
      <w:r w:rsidR="00331735">
        <w:t>implications</w:t>
      </w:r>
      <w:r w:rsidR="0027691F">
        <w:t>.</w:t>
      </w:r>
      <w:r w:rsidR="00032477">
        <w:t xml:space="preserve"> </w:t>
      </w:r>
      <w:r w:rsidR="0027691F">
        <w:t>F</w:t>
      </w:r>
      <w:r w:rsidR="00A9372D">
        <w:t>inally</w:t>
      </w:r>
      <w:r w:rsidR="0027691F">
        <w:t>, it looks at how</w:t>
      </w:r>
      <w:r w:rsidR="00032477">
        <w:t xml:space="preserve"> </w:t>
      </w:r>
      <w:r w:rsidR="00943DA0">
        <w:t xml:space="preserve">transfers or </w:t>
      </w:r>
      <w:r w:rsidR="00C62A50">
        <w:t>transactions among related partners/partnerships</w:t>
      </w:r>
      <w:r w:rsidR="0027691F">
        <w:t xml:space="preserve"> </w:t>
      </w:r>
      <w:r w:rsidR="00205BAD">
        <w:t xml:space="preserve">are treated and how they </w:t>
      </w:r>
      <w:r w:rsidR="0027691F">
        <w:t>may affect state sourcing</w:t>
      </w:r>
      <w:r w:rsidR="00C62A50">
        <w:t xml:space="preserve">. </w:t>
      </w:r>
    </w:p>
    <w:p w14:paraId="2C191970" w14:textId="1437677F" w:rsidR="00853A76" w:rsidRDefault="00331735" w:rsidP="00853A76">
      <w:pPr>
        <w:pStyle w:val="Heading3"/>
      </w:pPr>
      <w:bookmarkStart w:id="40" w:name="_Toc198480728"/>
      <w:r>
        <w:t xml:space="preserve">Effects of </w:t>
      </w:r>
      <w:r w:rsidR="006576F6">
        <w:t xml:space="preserve">State </w:t>
      </w:r>
      <w:r w:rsidR="0027691F">
        <w:t xml:space="preserve">Conformity to </w:t>
      </w:r>
      <w:r w:rsidR="00D03B06">
        <w:t xml:space="preserve">Federal Tax Law </w:t>
      </w:r>
      <w:r w:rsidR="0027691F">
        <w:t>- Assumptions</w:t>
      </w:r>
      <w:bookmarkEnd w:id="40"/>
    </w:p>
    <w:p w14:paraId="26776FD9" w14:textId="395F62B7" w:rsidR="0027691F" w:rsidRDefault="000C2CCD" w:rsidP="0095334E">
      <w:pPr>
        <w:spacing w:after="100"/>
      </w:pPr>
      <w:r>
        <w:t>S</w:t>
      </w:r>
      <w:r w:rsidR="00853A76">
        <w:t>tates generally conform to the IRC</w:t>
      </w:r>
      <w:r>
        <w:t xml:space="preserve"> when taxing income</w:t>
      </w:r>
      <w:r w:rsidR="00853A76">
        <w:t xml:space="preserve">. </w:t>
      </w:r>
      <w:r w:rsidR="00865F98">
        <w:t xml:space="preserve">This “conformity” may be </w:t>
      </w:r>
      <w:r>
        <w:t>accomplished</w:t>
      </w:r>
      <w:r w:rsidR="00865F98">
        <w:t xml:space="preserve"> in </w:t>
      </w:r>
      <w:r>
        <w:t xml:space="preserve">many </w:t>
      </w:r>
      <w:r w:rsidR="00865F98">
        <w:t>different ways</w:t>
      </w:r>
      <w:r w:rsidR="008B4918">
        <w:t>. For example, state statutes may:</w:t>
      </w:r>
      <w:r w:rsidR="00865F98">
        <w:t xml:space="preserve"> </w:t>
      </w:r>
    </w:p>
    <w:p w14:paraId="314C5E19" w14:textId="49080813" w:rsidR="0027691F" w:rsidRDefault="006243DB" w:rsidP="00366E17">
      <w:pPr>
        <w:pStyle w:val="ListParagraph"/>
        <w:numPr>
          <w:ilvl w:val="0"/>
          <w:numId w:val="17"/>
        </w:numPr>
        <w:spacing w:after="100"/>
        <w:contextualSpacing w:val="0"/>
      </w:pPr>
      <w:r>
        <w:t>Calculate</w:t>
      </w:r>
      <w:r w:rsidR="0027691F">
        <w:t xml:space="preserve"> state </w:t>
      </w:r>
      <w:r w:rsidR="000C2CCD">
        <w:t>tax</w:t>
      </w:r>
      <w:r w:rsidR="004B4296">
        <w:t xml:space="preserve"> </w:t>
      </w:r>
      <w:r>
        <w:t xml:space="preserve">starting </w:t>
      </w:r>
      <w:r w:rsidR="004B4296">
        <w:t>with a</w:t>
      </w:r>
      <w:r>
        <w:t xml:space="preserve"> federal </w:t>
      </w:r>
      <w:r w:rsidR="00C4195F">
        <w:t>amount (</w:t>
      </w:r>
      <w:r w:rsidR="004B4296">
        <w:t xml:space="preserve">e.g., </w:t>
      </w:r>
      <w:r w:rsidR="00C4195F">
        <w:t>taxable or adjusted gross income)</w:t>
      </w:r>
      <w:r w:rsidR="00B50843">
        <w:t>;</w:t>
      </w:r>
      <w:r w:rsidR="004B4296">
        <w:t xml:space="preserve"> </w:t>
      </w:r>
    </w:p>
    <w:p w14:paraId="10A85DD1" w14:textId="63230EC5" w:rsidR="008B4918" w:rsidRDefault="008B4918" w:rsidP="00366E17">
      <w:pPr>
        <w:pStyle w:val="ListParagraph"/>
        <w:numPr>
          <w:ilvl w:val="0"/>
          <w:numId w:val="17"/>
        </w:numPr>
        <w:spacing w:after="100"/>
        <w:contextualSpacing w:val="0"/>
      </w:pPr>
      <w:r>
        <w:t>I</w:t>
      </w:r>
      <w:r w:rsidR="004B4296">
        <w:t xml:space="preserve">ncorporate </w:t>
      </w:r>
      <w:r w:rsidR="006243DB">
        <w:t xml:space="preserve">IRC </w:t>
      </w:r>
      <w:r w:rsidR="00865F98">
        <w:t xml:space="preserve">provisions </w:t>
      </w:r>
      <w:r w:rsidR="00943DA0">
        <w:t>by reference</w:t>
      </w:r>
      <w:r w:rsidR="0076370D">
        <w:t xml:space="preserve">, </w:t>
      </w:r>
      <w:r w:rsidR="004B4296">
        <w:t xml:space="preserve">whether </w:t>
      </w:r>
      <w:r w:rsidR="00865F98">
        <w:t xml:space="preserve">generally </w:t>
      </w:r>
      <w:r w:rsidR="00331735">
        <w:t xml:space="preserve">(with exceptions) </w:t>
      </w:r>
      <w:r w:rsidR="00865F98">
        <w:t>or specifically</w:t>
      </w:r>
      <w:r w:rsidR="00B50843">
        <w:t>; or</w:t>
      </w:r>
      <w:r w:rsidR="00865F98">
        <w:t xml:space="preserve"> </w:t>
      </w:r>
    </w:p>
    <w:p w14:paraId="5BFE7B06" w14:textId="3E2CE871" w:rsidR="008B4918" w:rsidRDefault="00943DA0" w:rsidP="00366E17">
      <w:pPr>
        <w:pStyle w:val="ListParagraph"/>
        <w:numPr>
          <w:ilvl w:val="0"/>
          <w:numId w:val="17"/>
        </w:numPr>
      </w:pPr>
      <w:r>
        <w:t>Enact</w:t>
      </w:r>
      <w:r w:rsidR="008B4918">
        <w:t xml:space="preserve"> </w:t>
      </w:r>
      <w:r w:rsidR="00865F98">
        <w:t xml:space="preserve">the </w:t>
      </w:r>
      <w:r w:rsidR="009E1A8D">
        <w:t xml:space="preserve">actual </w:t>
      </w:r>
      <w:r w:rsidR="00865F98">
        <w:t xml:space="preserve">language of </w:t>
      </w:r>
      <w:r w:rsidR="000C2CCD">
        <w:t>particular</w:t>
      </w:r>
      <w:r w:rsidR="00865F98">
        <w:t xml:space="preserve"> </w:t>
      </w:r>
      <w:r w:rsidR="00331735">
        <w:t xml:space="preserve">IRC </w:t>
      </w:r>
      <w:r w:rsidR="00865F98">
        <w:t>provisions</w:t>
      </w:r>
      <w:r w:rsidR="004B4296">
        <w:t>—with or without modifications</w:t>
      </w:r>
      <w:r w:rsidR="00865F98">
        <w:t xml:space="preserve">. </w:t>
      </w:r>
    </w:p>
    <w:p w14:paraId="25EF1EB2" w14:textId="48B46ABB" w:rsidR="00853A76" w:rsidRDefault="008B4918" w:rsidP="008B4918">
      <w:r>
        <w:t>S</w:t>
      </w:r>
      <w:r w:rsidR="000C2CCD">
        <w:t xml:space="preserve">tates may </w:t>
      </w:r>
      <w:r>
        <w:t xml:space="preserve">also </w:t>
      </w:r>
      <w:r w:rsidR="000C2CCD">
        <w:t xml:space="preserve">conform to </w:t>
      </w:r>
      <w:r w:rsidR="00E66582">
        <w:t>the IRC</w:t>
      </w:r>
      <w:r w:rsidR="000C2CCD">
        <w:t xml:space="preserve"> at a particular point in time (“static conformity”) or to the current </w:t>
      </w:r>
      <w:r w:rsidR="00E66582">
        <w:t>version</w:t>
      </w:r>
      <w:r w:rsidR="000C2CCD">
        <w:t xml:space="preserve"> as amended (“rolling conformity”).</w:t>
      </w:r>
      <w:r w:rsidR="0009601A">
        <w:rPr>
          <w:rStyle w:val="FootnoteReference"/>
        </w:rPr>
        <w:footnoteReference w:id="9"/>
      </w:r>
      <w:r w:rsidR="00853A76">
        <w:t xml:space="preserve"> </w:t>
      </w:r>
    </w:p>
    <w:p w14:paraId="7873D9DC" w14:textId="0C8A5582" w:rsidR="008B4918" w:rsidRDefault="008B4918" w:rsidP="00853A76">
      <w:r>
        <w:t>In addition to conforming in various ways, s</w:t>
      </w:r>
      <w:r w:rsidR="00853A76">
        <w:t>tate</w:t>
      </w:r>
      <w:r w:rsidR="00C62A50">
        <w:t>s can</w:t>
      </w:r>
      <w:r w:rsidR="004B4296">
        <w:t>, but often do not,</w:t>
      </w:r>
      <w:r w:rsidR="00C62A50">
        <w:t xml:space="preserve"> </w:t>
      </w:r>
      <w:r w:rsidR="00853A76">
        <w:t xml:space="preserve">explicitly </w:t>
      </w:r>
      <w:r w:rsidR="00391FBF">
        <w:t xml:space="preserve">provide </w:t>
      </w:r>
      <w:r w:rsidR="00853A76">
        <w:t xml:space="preserve">for how </w:t>
      </w:r>
      <w:r w:rsidR="00B50843">
        <w:t>any</w:t>
      </w:r>
      <w:r w:rsidR="00391FBF">
        <w:t xml:space="preserve"> </w:t>
      </w:r>
      <w:r w:rsidR="000C2CCD">
        <w:t xml:space="preserve">federal law “embedded” in their state </w:t>
      </w:r>
      <w:r w:rsidR="00391FBF">
        <w:t xml:space="preserve">tax </w:t>
      </w:r>
      <w:r w:rsidR="000C2CCD">
        <w:t>law</w:t>
      </w:r>
      <w:r w:rsidR="00391FBF">
        <w:t xml:space="preserve"> will be interpreted and applied when computing state taxes</w:t>
      </w:r>
      <w:r>
        <w:t xml:space="preserve">. </w:t>
      </w:r>
      <w:r w:rsidR="00B50843">
        <w:t xml:space="preserve">For example, states may provide for </w:t>
      </w:r>
      <w:r w:rsidR="00853A76">
        <w:t xml:space="preserve">whether federal regulations are controlling, how much state </w:t>
      </w:r>
      <w:r w:rsidR="00B50843">
        <w:t>application may</w:t>
      </w:r>
      <w:r w:rsidR="00853A76">
        <w:t xml:space="preserve"> deviate from </w:t>
      </w:r>
      <w:r w:rsidR="00391FBF">
        <w:t xml:space="preserve">certain </w:t>
      </w:r>
      <w:r w:rsidR="00853A76">
        <w:t xml:space="preserve">federal treatment, </w:t>
      </w:r>
      <w:r w:rsidR="00B50843">
        <w:t xml:space="preserve">or </w:t>
      </w:r>
      <w:r w:rsidR="00391FBF">
        <w:t xml:space="preserve">how potential conflicts will be resolved, </w:t>
      </w:r>
      <w:r w:rsidR="00853A76">
        <w:t xml:space="preserve">etc. </w:t>
      </w:r>
    </w:p>
    <w:p w14:paraId="2B0E24C2" w14:textId="4F949750" w:rsidR="00331735" w:rsidRDefault="00331735" w:rsidP="00853A76">
      <w:r>
        <w:t xml:space="preserve">Also, since 2024 when the U.S. Supreme Court overturned </w:t>
      </w:r>
      <w:r w:rsidR="00943DA0">
        <w:t xml:space="preserve">the </w:t>
      </w:r>
      <w:r>
        <w:t xml:space="preserve">so-called </w:t>
      </w:r>
      <w:r w:rsidRPr="00BE61B6">
        <w:rPr>
          <w:i/>
          <w:iCs/>
        </w:rPr>
        <w:t xml:space="preserve">Chevron </w:t>
      </w:r>
      <w:r>
        <w:t xml:space="preserve">deference </w:t>
      </w:r>
      <w:r w:rsidR="00391FBF">
        <w:t xml:space="preserve">approach to </w:t>
      </w:r>
      <w:r w:rsidR="00B50843">
        <w:t>applying</w:t>
      </w:r>
      <w:r w:rsidR="00391FBF">
        <w:t xml:space="preserve"> </w:t>
      </w:r>
      <w:r w:rsidR="004B4296">
        <w:t>federal regulations</w:t>
      </w:r>
      <w:r>
        <w:t>,</w:t>
      </w:r>
      <w:r>
        <w:rPr>
          <w:rStyle w:val="FootnoteReference"/>
        </w:rPr>
        <w:footnoteReference w:id="10"/>
      </w:r>
      <w:r>
        <w:t xml:space="preserve"> there have been questions about the extent to which federal courts will follow federal tax regulations. </w:t>
      </w:r>
      <w:r w:rsidR="008B4918">
        <w:t xml:space="preserve">While state courts are not bound by this ruling, nevertheless, they may follow </w:t>
      </w:r>
      <w:r w:rsidR="00F93F3D">
        <w:t xml:space="preserve">a </w:t>
      </w:r>
      <w:r w:rsidR="008B4918">
        <w:t>federal court</w:t>
      </w:r>
      <w:r w:rsidR="00F93F3D">
        <w:t>’s</w:t>
      </w:r>
      <w:r w:rsidR="008B4918">
        <w:t xml:space="preserve"> treatment of federal tax laws—even when </w:t>
      </w:r>
      <w:r w:rsidR="00943DA0">
        <w:t>it</w:t>
      </w:r>
      <w:r w:rsidR="008B4918">
        <w:t xml:space="preserve"> conflicts with federal regulations.</w:t>
      </w:r>
    </w:p>
    <w:p w14:paraId="6D8A80D0" w14:textId="55D1A86D" w:rsidR="00853A76" w:rsidRDefault="00391FBF" w:rsidP="00853A76">
      <w:r>
        <w:t>For simplicity sake, t</w:t>
      </w:r>
      <w:r w:rsidR="00853A76">
        <w:t xml:space="preserve">his white paper adopts the following general </w:t>
      </w:r>
      <w:r w:rsidR="00331735">
        <w:t xml:space="preserve">assumptions as to the effects of </w:t>
      </w:r>
      <w:r w:rsidR="00853A76">
        <w:t xml:space="preserve">state conformity </w:t>
      </w:r>
      <w:r w:rsidR="009E1A8D">
        <w:t xml:space="preserve">to </w:t>
      </w:r>
      <w:r w:rsidR="00331735">
        <w:t>Subchapter K</w:t>
      </w:r>
      <w:r w:rsidR="00853A76">
        <w:t>.</w:t>
      </w:r>
    </w:p>
    <w:p w14:paraId="10B58FC5" w14:textId="39DB386E" w:rsidR="007F6999" w:rsidRDefault="008B4918" w:rsidP="007F6999">
      <w:pPr>
        <w:pStyle w:val="Heading4"/>
        <w:ind w:left="720"/>
      </w:pPr>
      <w:r>
        <w:t xml:space="preserve">Assumption </w:t>
      </w:r>
      <w:r w:rsidR="00943DA0">
        <w:t xml:space="preserve">No. 1 </w:t>
      </w:r>
      <w:r>
        <w:t xml:space="preserve">- </w:t>
      </w:r>
      <w:r w:rsidR="007F6999">
        <w:t xml:space="preserve">Federal </w:t>
      </w:r>
      <w:r w:rsidR="00132C16">
        <w:t xml:space="preserve">rules control </w:t>
      </w:r>
      <w:r w:rsidR="00943DA0">
        <w:t xml:space="preserve">the </w:t>
      </w:r>
      <w:r w:rsidR="00132C16">
        <w:t>meaning of common tax terms.</w:t>
      </w:r>
    </w:p>
    <w:p w14:paraId="20593F9A" w14:textId="42E1D3F8" w:rsidR="007F6999" w:rsidRDefault="007F6999" w:rsidP="007F6999">
      <w:pPr>
        <w:ind w:left="720"/>
      </w:pPr>
      <w:r>
        <w:t xml:space="preserve">As noted in subsection I.C. above, Subchapter K may define or use terms in a certain way and this white paper </w:t>
      </w:r>
      <w:r w:rsidR="00ED1F2A">
        <w:t xml:space="preserve">will </w:t>
      </w:r>
      <w:r>
        <w:t>defer first to th</w:t>
      </w:r>
      <w:r w:rsidR="008B4918">
        <w:t>e</w:t>
      </w:r>
      <w:r>
        <w:t xml:space="preserve"> federal tax definition or usage. </w:t>
      </w:r>
      <w:r w:rsidR="00943DA0">
        <w:t>But t</w:t>
      </w:r>
      <w:r w:rsidR="00ED1F2A">
        <w:t xml:space="preserve">his assumption </w:t>
      </w:r>
      <w:r w:rsidR="00132C16">
        <w:t xml:space="preserve">also </w:t>
      </w:r>
      <w:r w:rsidR="00ED1F2A">
        <w:t xml:space="preserve">has a bigger implication for states. To </w:t>
      </w:r>
      <w:r>
        <w:t xml:space="preserve">the extent states </w:t>
      </w:r>
      <w:r w:rsidR="00132C16">
        <w:t xml:space="preserve">conform to the federal tax law but </w:t>
      </w:r>
      <w:r>
        <w:t xml:space="preserve">wish to use </w:t>
      </w:r>
      <w:r w:rsidR="00ED1F2A">
        <w:t>common</w:t>
      </w:r>
      <w:r w:rsidR="008B4918">
        <w:t xml:space="preserve"> </w:t>
      </w:r>
      <w:r>
        <w:t xml:space="preserve">terms in a different way, they </w:t>
      </w:r>
      <w:r w:rsidR="008B4918">
        <w:t>may need to</w:t>
      </w:r>
      <w:r>
        <w:t xml:space="preserve"> specifically define them or indicate that they are being used </w:t>
      </w:r>
      <w:r w:rsidR="008B4918">
        <w:t xml:space="preserve">in </w:t>
      </w:r>
      <w:r>
        <w:t>a particular way to help avoid confusion or unintended effects.</w:t>
      </w:r>
    </w:p>
    <w:p w14:paraId="118EE2C4" w14:textId="72564B24" w:rsidR="00BE61B6" w:rsidRDefault="008B4918" w:rsidP="00DF6ED0">
      <w:pPr>
        <w:pStyle w:val="Heading4"/>
        <w:spacing w:before="240"/>
        <w:ind w:left="720"/>
      </w:pPr>
      <w:r>
        <w:t xml:space="preserve">Assumption </w:t>
      </w:r>
      <w:r w:rsidR="00943DA0">
        <w:t xml:space="preserve">No. 2 </w:t>
      </w:r>
      <w:r>
        <w:t xml:space="preserve">- </w:t>
      </w:r>
      <w:r w:rsidR="00132C16">
        <w:t xml:space="preserve">Federal regulations control statutory interpretation.  </w:t>
      </w:r>
    </w:p>
    <w:p w14:paraId="28A63B73" w14:textId="77777777" w:rsidR="00D8106A" w:rsidRDefault="00331735" w:rsidP="00BE61B6">
      <w:pPr>
        <w:ind w:left="720"/>
      </w:pPr>
      <w:r>
        <w:t>E</w:t>
      </w:r>
      <w:r w:rsidR="00BE61B6">
        <w:t xml:space="preserve">ven more than other sections of the tax law, Subchapter K </w:t>
      </w:r>
      <w:r w:rsidR="00391FBF">
        <w:t xml:space="preserve">lacks detail and </w:t>
      </w:r>
      <w:r w:rsidR="00BE61B6">
        <w:t>is</w:t>
      </w:r>
      <w:r w:rsidR="009E1A8D">
        <w:t xml:space="preserve"> written</w:t>
      </w:r>
      <w:r w:rsidR="00BE61B6">
        <w:t xml:space="preserve"> in very general, sometimes vague terms.</w:t>
      </w:r>
      <w:r w:rsidR="00BE61B6">
        <w:rPr>
          <w:rStyle w:val="FootnoteReference"/>
        </w:rPr>
        <w:footnoteReference w:id="11"/>
      </w:r>
      <w:r w:rsidR="00BE61B6">
        <w:t xml:space="preserve"> </w:t>
      </w:r>
      <w:r w:rsidR="00391FBF">
        <w:t xml:space="preserve">As a result, consistent interpretation and application of the statutory provisions is </w:t>
      </w:r>
      <w:r w:rsidR="00BE61B6">
        <w:t>highly dependent upon federal regulations and other IRS guidance</w:t>
      </w:r>
      <w:r w:rsidR="00A916A7">
        <w:t>.</w:t>
      </w:r>
      <w:r>
        <w:t xml:space="preserve"> Therefore, this white paper assumes </w:t>
      </w:r>
      <w:r w:rsidR="00391FBF">
        <w:t xml:space="preserve">the </w:t>
      </w:r>
      <w:r>
        <w:t xml:space="preserve">federal regulations are </w:t>
      </w:r>
      <w:r w:rsidR="007F6999">
        <w:t xml:space="preserve">generally </w:t>
      </w:r>
      <w:r>
        <w:t>controlling</w:t>
      </w:r>
      <w:r w:rsidR="004968B5">
        <w:t xml:space="preserve"> for state tax purposes as well</w:t>
      </w:r>
      <w:r>
        <w:t xml:space="preserve">. </w:t>
      </w:r>
    </w:p>
    <w:p w14:paraId="0F386FC9" w14:textId="79F0D187" w:rsidR="00853A76" w:rsidRDefault="00D8106A" w:rsidP="00D8106A">
      <w:r>
        <w:t xml:space="preserve">Note that anti-abuse provisions raise additional questions for state conformity that are addressed in a later subsection. </w:t>
      </w:r>
    </w:p>
    <w:p w14:paraId="601E774C" w14:textId="7086B006" w:rsidR="00032477" w:rsidRDefault="003272AC" w:rsidP="002E72B5">
      <w:pPr>
        <w:pStyle w:val="Heading3"/>
      </w:pPr>
      <w:bookmarkStart w:id="41" w:name="_Toc198480729"/>
      <w:r>
        <w:lastRenderedPageBreak/>
        <w:t>Elements of the</w:t>
      </w:r>
      <w:r w:rsidR="00A66114">
        <w:t xml:space="preserve"> </w:t>
      </w:r>
      <w:r w:rsidR="002E72B5">
        <w:t xml:space="preserve">Pass-Through </w:t>
      </w:r>
      <w:r w:rsidR="00A66114">
        <w:t xml:space="preserve">System </w:t>
      </w:r>
      <w:r w:rsidR="002E72B5">
        <w:t xml:space="preserve">and </w:t>
      </w:r>
      <w:r>
        <w:t>Their</w:t>
      </w:r>
      <w:r w:rsidR="00A66114">
        <w:t xml:space="preserve"> </w:t>
      </w:r>
      <w:r w:rsidR="002E72B5">
        <w:t>State Tax Implications</w:t>
      </w:r>
      <w:bookmarkEnd w:id="41"/>
    </w:p>
    <w:p w14:paraId="426556F5" w14:textId="78A778F6" w:rsidR="00853A76" w:rsidRDefault="00853A76" w:rsidP="001C3756">
      <w:pPr>
        <w:spacing w:after="120"/>
      </w:pPr>
      <w:r>
        <w:rPr>
          <w:b/>
          <w:bCs/>
        </w:rPr>
        <w:t xml:space="preserve">IMPORTANT </w:t>
      </w:r>
      <w:r w:rsidRPr="00A1670B">
        <w:rPr>
          <w:b/>
          <w:bCs/>
        </w:rPr>
        <w:t>NOTE:</w:t>
      </w:r>
      <w:r>
        <w:rPr>
          <w:b/>
          <w:bCs/>
        </w:rPr>
        <w:t xml:space="preserve"> </w:t>
      </w:r>
      <w:r>
        <w:t>As discussed in subsection I.</w:t>
      </w:r>
      <w:r w:rsidR="005E0A55">
        <w:t>B</w:t>
      </w:r>
      <w:r>
        <w:t>.</w:t>
      </w:r>
      <w:r w:rsidR="00CF0E52">
        <w:t xml:space="preserve"> above</w:t>
      </w:r>
      <w:r>
        <w:t xml:space="preserve">, state </w:t>
      </w:r>
      <w:r w:rsidR="001C3756">
        <w:t xml:space="preserve">governing </w:t>
      </w:r>
      <w:r>
        <w:t>law</w:t>
      </w:r>
      <w:r w:rsidR="005E0A55">
        <w:t>s</w:t>
      </w:r>
      <w:r>
        <w:t xml:space="preserve"> </w:t>
      </w:r>
      <w:r w:rsidR="00471E04">
        <w:t>allow</w:t>
      </w:r>
      <w:r w:rsidR="005E0A55">
        <w:t xml:space="preserve"> </w:t>
      </w:r>
      <w:r w:rsidR="001C3756">
        <w:t xml:space="preserve">partnerships </w:t>
      </w:r>
      <w:r>
        <w:t xml:space="preserve">much more structural and operational flexibility </w:t>
      </w:r>
      <w:r w:rsidR="001C3756">
        <w:t xml:space="preserve">than </w:t>
      </w:r>
      <w:r>
        <w:t xml:space="preserve">corporations. </w:t>
      </w:r>
      <w:r w:rsidR="001C3756">
        <w:t xml:space="preserve">While the </w:t>
      </w:r>
      <w:r>
        <w:t xml:space="preserve">federal pass-through tax system imposes few </w:t>
      </w:r>
      <w:r w:rsidR="005F3EE6">
        <w:t xml:space="preserve">strict </w:t>
      </w:r>
      <w:r>
        <w:t>limits on this flexibility</w:t>
      </w:r>
      <w:r w:rsidR="001C3756">
        <w:t xml:space="preserve">, it has </w:t>
      </w:r>
      <w:r>
        <w:t xml:space="preserve">evolved to include numerous requirements aimed at ensuring </w:t>
      </w:r>
      <w:r w:rsidR="005F3EE6">
        <w:t>it</w:t>
      </w:r>
      <w:r>
        <w:t xml:space="preserve"> is not </w:t>
      </w:r>
      <w:r w:rsidR="00471E04">
        <w:t>abused</w:t>
      </w:r>
      <w:r>
        <w:t>.</w:t>
      </w:r>
      <w:r>
        <w:rPr>
          <w:rStyle w:val="FootnoteReference"/>
        </w:rPr>
        <w:footnoteReference w:id="12"/>
      </w:r>
      <w:r>
        <w:t xml:space="preserve"> </w:t>
      </w:r>
      <w:r w:rsidR="005F3EE6">
        <w:t>Specific application of these requirements, even in the federal tax context ,</w:t>
      </w:r>
      <w:r>
        <w:t xml:space="preserve"> is sometimes unclear.</w:t>
      </w:r>
      <w:r>
        <w:rPr>
          <w:rStyle w:val="FootnoteReference"/>
        </w:rPr>
        <w:footnoteReference w:id="13"/>
      </w:r>
      <w:r w:rsidR="001C3756">
        <w:t xml:space="preserve"> </w:t>
      </w:r>
      <w:r>
        <w:t xml:space="preserve">This white paper does not attempt address </w:t>
      </w:r>
      <w:r w:rsidR="005F3EE6">
        <w:t xml:space="preserve">these requirements in detail. </w:t>
      </w:r>
      <w:r>
        <w:t xml:space="preserve">Rather, it focuses </w:t>
      </w:r>
      <w:r w:rsidR="005F3EE6">
        <w:t xml:space="preserve">generally </w:t>
      </w:r>
      <w:r>
        <w:t>on</w:t>
      </w:r>
      <w:r w:rsidR="001C3756">
        <w:t xml:space="preserve"> a</w:t>
      </w:r>
      <w:r>
        <w:t xml:space="preserve">spects of the pass-through system that have direct implications for </w:t>
      </w:r>
      <w:r w:rsidR="00501947">
        <w:t xml:space="preserve">state sourcing of </w:t>
      </w:r>
      <w:r>
        <w:t xml:space="preserve">partnership income. </w:t>
      </w:r>
    </w:p>
    <w:p w14:paraId="7669F67C" w14:textId="53CF485E" w:rsidR="00F23F9D" w:rsidRDefault="00F23F9D" w:rsidP="00366E17">
      <w:pPr>
        <w:pStyle w:val="Heading4"/>
        <w:numPr>
          <w:ilvl w:val="0"/>
          <w:numId w:val="10"/>
        </w:numPr>
      </w:pPr>
      <w:r>
        <w:t xml:space="preserve">Partnerships are not subject to Subchapter S-type </w:t>
      </w:r>
      <w:r w:rsidR="003272AC">
        <w:t>ownership limitations</w:t>
      </w:r>
      <w:r>
        <w:t>.</w:t>
      </w:r>
    </w:p>
    <w:p w14:paraId="44B19F7D" w14:textId="410471DD" w:rsidR="00F23F9D" w:rsidRDefault="007F7FA1" w:rsidP="00F23F9D">
      <w:pPr>
        <w:ind w:left="720"/>
      </w:pPr>
      <w:r>
        <w:t>U</w:t>
      </w:r>
      <w:r w:rsidR="00F23F9D">
        <w:t xml:space="preserve">nlike the limitations imposed </w:t>
      </w:r>
      <w:r w:rsidR="002E72B5">
        <w:t>on</w:t>
      </w:r>
      <w:r w:rsidR="00F23F9D">
        <w:t xml:space="preserve"> Subchapter S</w:t>
      </w:r>
      <w:r w:rsidR="002E72B5">
        <w:t xml:space="preserve"> corporations</w:t>
      </w:r>
      <w:r w:rsidR="00F23F9D">
        <w:t>,</w:t>
      </w:r>
      <w:r w:rsidR="00935410">
        <w:rPr>
          <w:rStyle w:val="FootnoteReference"/>
        </w:rPr>
        <w:footnoteReference w:id="14"/>
      </w:r>
      <w:r w:rsidR="00F23F9D">
        <w:t xml:space="preserve"> Subchapter K imposes no limits on the size or structure of partnerships that may be taxed on a pass-through basis. Partners</w:t>
      </w:r>
      <w:r w:rsidR="002E72B5">
        <w:t xml:space="preserve">hips may have partners that are </w:t>
      </w:r>
      <w:r w:rsidR="00F23F9D">
        <w:t xml:space="preserve">individuals, corporations, </w:t>
      </w:r>
      <w:r w:rsidR="00F93F3D">
        <w:t xml:space="preserve">taxable </w:t>
      </w:r>
      <w:r w:rsidR="00F23F9D">
        <w:t>trusts, charitable or governmental organizations, foreign persons, and other pass-through entities including other partnerships</w:t>
      </w:r>
      <w:r w:rsidR="005F3EE6">
        <w:t>, trusts,</w:t>
      </w:r>
      <w:r w:rsidR="00F23F9D">
        <w:t xml:space="preserve"> and S corporations. Nor is there any limit on the number of partners or</w:t>
      </w:r>
      <w:r w:rsidR="002E72B5">
        <w:t xml:space="preserve"> on</w:t>
      </w:r>
      <w:r w:rsidR="00F23F9D">
        <w:t xml:space="preserve"> the number of tiers in a partnership structure. </w:t>
      </w:r>
      <w:r w:rsidR="005E0A55">
        <w:t>This means shares of partnership income and items may pass through multiple entities before reaching the ultimate</w:t>
      </w:r>
      <w:r w:rsidR="002E72B5">
        <w:t xml:space="preserve"> taxpaying partners. </w:t>
      </w:r>
    </w:p>
    <w:p w14:paraId="4D4DE2C5" w14:textId="7EEC5E6F" w:rsidR="007F7FA1" w:rsidRPr="00935410" w:rsidRDefault="007F7FA1" w:rsidP="005F3EE6">
      <w:pPr>
        <w:pBdr>
          <w:top w:val="single" w:sz="4" w:space="1" w:color="auto" w:shadow="1"/>
          <w:left w:val="single" w:sz="4" w:space="4" w:color="auto" w:shadow="1"/>
          <w:bottom w:val="single" w:sz="4" w:space="1" w:color="auto" w:shadow="1"/>
          <w:right w:val="single" w:sz="4" w:space="4" w:color="auto" w:shadow="1"/>
        </w:pBdr>
        <w:ind w:left="1080" w:right="720"/>
        <w:rPr>
          <w:b/>
          <w:bCs/>
        </w:rPr>
      </w:pPr>
      <w:r w:rsidRPr="00935410">
        <w:rPr>
          <w:b/>
          <w:bCs/>
        </w:rPr>
        <w:t xml:space="preserve">STATE TAX IMPLICATIONS: </w:t>
      </w:r>
      <w:r w:rsidR="007C3124" w:rsidRPr="00935410">
        <w:rPr>
          <w:b/>
          <w:bCs/>
        </w:rPr>
        <w:t xml:space="preserve">When states have rules that explicitly address the sourcing of partnership income, they often assume that partnerships are </w:t>
      </w:r>
      <w:r w:rsidRPr="00935410">
        <w:rPr>
          <w:b/>
          <w:bCs/>
        </w:rPr>
        <w:t>small</w:t>
      </w:r>
      <w:r w:rsidR="007C3124" w:rsidRPr="00935410">
        <w:rPr>
          <w:b/>
          <w:bCs/>
        </w:rPr>
        <w:t>,</w:t>
      </w:r>
      <w:r w:rsidRPr="00935410">
        <w:rPr>
          <w:b/>
          <w:bCs/>
        </w:rPr>
        <w:t xml:space="preserve"> simple structures with </w:t>
      </w:r>
      <w:r w:rsidR="007C3124" w:rsidRPr="00935410">
        <w:rPr>
          <w:b/>
          <w:bCs/>
        </w:rPr>
        <w:t xml:space="preserve">a few </w:t>
      </w:r>
      <w:r w:rsidRPr="00935410">
        <w:rPr>
          <w:b/>
          <w:bCs/>
        </w:rPr>
        <w:t xml:space="preserve">individual partners </w:t>
      </w:r>
      <w:r w:rsidR="007C3124" w:rsidRPr="00935410">
        <w:rPr>
          <w:b/>
          <w:bCs/>
        </w:rPr>
        <w:t>and no tiers</w:t>
      </w:r>
      <w:r w:rsidR="005E0A55" w:rsidRPr="00935410">
        <w:rPr>
          <w:b/>
          <w:bCs/>
        </w:rPr>
        <w:t xml:space="preserve">. As a result, </w:t>
      </w:r>
      <w:r w:rsidR="007C3124" w:rsidRPr="00935410">
        <w:rPr>
          <w:b/>
          <w:bCs/>
        </w:rPr>
        <w:t>the application of the sourcing rules to more complex structures is left unaddressed</w:t>
      </w:r>
      <w:r w:rsidR="00935410" w:rsidRPr="00935410">
        <w:rPr>
          <w:b/>
          <w:bCs/>
        </w:rPr>
        <w:t xml:space="preserve"> and this may create uncertainty or non-compliance. </w:t>
      </w:r>
    </w:p>
    <w:p w14:paraId="43D43E04" w14:textId="3821F31B" w:rsidR="00D95485" w:rsidRDefault="00D95485" w:rsidP="00366E17">
      <w:pPr>
        <w:pStyle w:val="Heading4"/>
        <w:numPr>
          <w:ilvl w:val="0"/>
          <w:numId w:val="10"/>
        </w:numPr>
      </w:pPr>
      <w:r>
        <w:t xml:space="preserve">Partners pay tax on partnership items </w:t>
      </w:r>
      <w:r w:rsidR="00CF0E52">
        <w:t>in the year</w:t>
      </w:r>
      <w:r>
        <w:t xml:space="preserve"> recognized by the partnership. </w:t>
      </w:r>
    </w:p>
    <w:p w14:paraId="405C050E" w14:textId="03152166" w:rsidR="00D95485" w:rsidRDefault="00D95485" w:rsidP="00D95485">
      <w:pPr>
        <w:ind w:left="720"/>
      </w:pPr>
      <w:r>
        <w:t xml:space="preserve">Tax on partnership income </w:t>
      </w:r>
      <w:r w:rsidR="007C3124">
        <w:t>is paid by</w:t>
      </w:r>
      <w:r>
        <w:t xml:space="preserve"> the partners</w:t>
      </w:r>
      <w:r w:rsidR="00A96C72">
        <w:t xml:space="preserve"> </w:t>
      </w:r>
      <w:r w:rsidR="007C3124">
        <w:t>in the year the income is recognized by the partnership,</w:t>
      </w:r>
      <w:r>
        <w:t xml:space="preserve"> </w:t>
      </w:r>
      <w:r w:rsidR="007C3124">
        <w:t>s</w:t>
      </w:r>
      <w:r>
        <w:t>ee IRC §</w:t>
      </w:r>
      <w:r w:rsidR="00A96C72">
        <w:t>§</w:t>
      </w:r>
      <w:r>
        <w:t xml:space="preserve"> 701</w:t>
      </w:r>
      <w:r w:rsidR="00A96C72">
        <w:t>-704</w:t>
      </w:r>
      <w:r w:rsidR="007C3124">
        <w:t xml:space="preserve">, and not </w:t>
      </w:r>
      <w:r w:rsidR="00A96C72">
        <w:t>when partners receive distributions from the partnership</w:t>
      </w:r>
      <w:r w:rsidR="00A9372D">
        <w:t>.</w:t>
      </w:r>
      <w:r w:rsidR="00BF7593">
        <w:t xml:space="preserve"> (</w:t>
      </w:r>
      <w:r w:rsidR="00A9372D">
        <w:t>S</w:t>
      </w:r>
      <w:r w:rsidR="007C3124">
        <w:t>ee the treatment of distributions below</w:t>
      </w:r>
      <w:r w:rsidR="00A9372D">
        <w:t>.</w:t>
      </w:r>
      <w:r w:rsidR="00BF7593">
        <w:t>)</w:t>
      </w:r>
      <w:r>
        <w:t xml:space="preserve"> </w:t>
      </w:r>
      <w:r w:rsidR="00A9372D">
        <w:t xml:space="preserve">This is </w:t>
      </w:r>
      <w:r w:rsidR="005E0A55">
        <w:t>the foundation</w:t>
      </w:r>
      <w:r w:rsidR="00A9372D">
        <w:t xml:space="preserve"> of the pass-through system on which everything else is based.</w:t>
      </w:r>
    </w:p>
    <w:p w14:paraId="3CE4DDD3" w14:textId="3DF7FA0A" w:rsidR="00A96C72" w:rsidRPr="00935410" w:rsidRDefault="00A96C72" w:rsidP="005F3EE6">
      <w:pPr>
        <w:pBdr>
          <w:top w:val="single" w:sz="4" w:space="1" w:color="auto" w:shadow="1"/>
          <w:left w:val="single" w:sz="4" w:space="4" w:color="auto" w:shadow="1"/>
          <w:bottom w:val="single" w:sz="4" w:space="1" w:color="auto" w:shadow="1"/>
          <w:right w:val="single" w:sz="4" w:space="4" w:color="auto" w:shadow="1"/>
        </w:pBdr>
        <w:ind w:left="1080" w:right="720"/>
        <w:rPr>
          <w:b/>
          <w:bCs/>
        </w:rPr>
      </w:pPr>
      <w:r w:rsidRPr="00935410">
        <w:rPr>
          <w:b/>
          <w:bCs/>
        </w:rPr>
        <w:t>STATE TAX IMPLICATION</w:t>
      </w:r>
      <w:r w:rsidR="006653B9" w:rsidRPr="00935410">
        <w:rPr>
          <w:b/>
          <w:bCs/>
        </w:rPr>
        <w:t>S</w:t>
      </w:r>
      <w:r w:rsidRPr="00935410">
        <w:rPr>
          <w:b/>
          <w:bCs/>
        </w:rPr>
        <w:t xml:space="preserve">: States </w:t>
      </w:r>
      <w:r w:rsidR="00A9372D" w:rsidRPr="00935410">
        <w:rPr>
          <w:b/>
          <w:bCs/>
        </w:rPr>
        <w:t xml:space="preserve">should </w:t>
      </w:r>
      <w:r w:rsidR="005E0A55" w:rsidRPr="00935410">
        <w:rPr>
          <w:b/>
          <w:bCs/>
        </w:rPr>
        <w:t xml:space="preserve">be careful in the use of </w:t>
      </w:r>
      <w:r w:rsidR="00A9372D" w:rsidRPr="00935410">
        <w:rPr>
          <w:b/>
          <w:bCs/>
        </w:rPr>
        <w:t>the term</w:t>
      </w:r>
      <w:r w:rsidR="005E0A55" w:rsidRPr="00935410">
        <w:rPr>
          <w:b/>
          <w:bCs/>
        </w:rPr>
        <w:t xml:space="preserve">s </w:t>
      </w:r>
      <w:r w:rsidR="00935410" w:rsidRPr="00935410">
        <w:rPr>
          <w:b/>
          <w:bCs/>
        </w:rPr>
        <w:t>“</w:t>
      </w:r>
      <w:r w:rsidR="005E0A55" w:rsidRPr="00935410">
        <w:rPr>
          <w:b/>
          <w:bCs/>
        </w:rPr>
        <w:t>distribution</w:t>
      </w:r>
      <w:r w:rsidR="00935410" w:rsidRPr="00935410">
        <w:rPr>
          <w:b/>
          <w:bCs/>
        </w:rPr>
        <w:t>”</w:t>
      </w:r>
      <w:r w:rsidR="005E0A55" w:rsidRPr="00935410">
        <w:rPr>
          <w:b/>
          <w:bCs/>
        </w:rPr>
        <w:t xml:space="preserve"> versus</w:t>
      </w:r>
      <w:r w:rsidRPr="00935410">
        <w:rPr>
          <w:b/>
          <w:bCs/>
        </w:rPr>
        <w:t xml:space="preserve"> </w:t>
      </w:r>
      <w:r w:rsidR="00935410" w:rsidRPr="00935410">
        <w:rPr>
          <w:b/>
          <w:bCs/>
        </w:rPr>
        <w:t>“</w:t>
      </w:r>
      <w:r w:rsidRPr="00935410">
        <w:rPr>
          <w:b/>
          <w:bCs/>
        </w:rPr>
        <w:t>distributive share</w:t>
      </w:r>
      <w:r w:rsidR="00935410" w:rsidRPr="00935410">
        <w:rPr>
          <w:b/>
          <w:bCs/>
        </w:rPr>
        <w:t>”</w:t>
      </w:r>
      <w:r w:rsidRPr="00935410">
        <w:rPr>
          <w:b/>
          <w:bCs/>
        </w:rPr>
        <w:t xml:space="preserve"> </w:t>
      </w:r>
      <w:r w:rsidR="005E0A55" w:rsidRPr="00935410">
        <w:rPr>
          <w:b/>
          <w:bCs/>
        </w:rPr>
        <w:t>and should not</w:t>
      </w:r>
      <w:r w:rsidR="006653B9" w:rsidRPr="00935410">
        <w:rPr>
          <w:b/>
          <w:bCs/>
        </w:rPr>
        <w:t xml:space="preserve"> assume that just because partners receive an allocation of distributive share income they will necessarily receive similar </w:t>
      </w:r>
      <w:r w:rsidR="006653B9" w:rsidRPr="00F93F3D">
        <w:rPr>
          <w:b/>
          <w:bCs/>
          <w:i/>
          <w:iCs/>
        </w:rPr>
        <w:t>distributions</w:t>
      </w:r>
      <w:r w:rsidR="005E0A55" w:rsidRPr="00935410">
        <w:rPr>
          <w:b/>
          <w:bCs/>
        </w:rPr>
        <w:t xml:space="preserve"> in the tax year</w:t>
      </w:r>
      <w:r w:rsidRPr="00935410">
        <w:rPr>
          <w:b/>
          <w:bCs/>
        </w:rPr>
        <w:t xml:space="preserve">. </w:t>
      </w:r>
    </w:p>
    <w:p w14:paraId="70211E07" w14:textId="74050FA6" w:rsidR="00602A83" w:rsidRDefault="00EF0BDD" w:rsidP="00366E17">
      <w:pPr>
        <w:pStyle w:val="Heading4"/>
        <w:numPr>
          <w:ilvl w:val="0"/>
          <w:numId w:val="10"/>
        </w:numPr>
        <w:rPr>
          <w:b/>
        </w:rPr>
      </w:pPr>
      <w:r>
        <w:t xml:space="preserve">Partnerships </w:t>
      </w:r>
      <w:r w:rsidR="0014317D">
        <w:t>d</w:t>
      </w:r>
      <w:r>
        <w:t xml:space="preserve">etermine </w:t>
      </w:r>
      <w:r w:rsidR="0014317D">
        <w:t>the t</w:t>
      </w:r>
      <w:r w:rsidR="00A17D85">
        <w:t xml:space="preserve">ax </w:t>
      </w:r>
      <w:r w:rsidR="0014317D">
        <w:t>t</w:t>
      </w:r>
      <w:r w:rsidR="00A17D85">
        <w:t>reatment</w:t>
      </w:r>
      <w:r w:rsidR="002129DA">
        <w:t xml:space="preserve"> (“</w:t>
      </w:r>
      <w:r w:rsidR="0014317D">
        <w:t>c</w:t>
      </w:r>
      <w:r w:rsidR="002129DA">
        <w:t>haracter”)</w:t>
      </w:r>
      <w:r w:rsidR="00A17D85">
        <w:t xml:space="preserve"> of </w:t>
      </w:r>
      <w:r w:rsidR="0014317D">
        <w:t>i</w:t>
      </w:r>
      <w:r w:rsidR="00A17D85">
        <w:t xml:space="preserve">tems </w:t>
      </w:r>
      <w:r w:rsidR="0014317D">
        <w:t>recognized.</w:t>
      </w:r>
    </w:p>
    <w:p w14:paraId="4189E496" w14:textId="6290FCF5" w:rsidR="00602A83" w:rsidRDefault="00935410" w:rsidP="00F93F3D">
      <w:pPr>
        <w:spacing w:after="240"/>
        <w:ind w:left="720"/>
        <w:rPr>
          <w:rFonts w:asciiTheme="majorHAnsi" w:hAnsiTheme="majorHAnsi" w:cstheme="majorBidi"/>
          <w:bCs/>
          <w:iCs/>
        </w:rPr>
      </w:pPr>
      <w:r>
        <w:rPr>
          <w:rFonts w:asciiTheme="majorHAnsi" w:hAnsiTheme="majorHAnsi" w:cstheme="majorBidi"/>
          <w:bCs/>
          <w:iCs/>
        </w:rPr>
        <w:t xml:space="preserve">When a </w:t>
      </w:r>
      <w:r w:rsidR="00AD6434">
        <w:rPr>
          <w:rFonts w:asciiTheme="majorHAnsi" w:hAnsiTheme="majorHAnsi" w:cstheme="majorBidi"/>
          <w:bCs/>
          <w:iCs/>
        </w:rPr>
        <w:t>partnership recogniz</w:t>
      </w:r>
      <w:r>
        <w:rPr>
          <w:rFonts w:asciiTheme="majorHAnsi" w:hAnsiTheme="majorHAnsi" w:cstheme="majorBidi"/>
          <w:bCs/>
          <w:iCs/>
        </w:rPr>
        <w:t>es</w:t>
      </w:r>
      <w:r w:rsidR="00AD6434">
        <w:rPr>
          <w:rFonts w:asciiTheme="majorHAnsi" w:hAnsiTheme="majorHAnsi" w:cstheme="majorBidi"/>
          <w:bCs/>
          <w:iCs/>
        </w:rPr>
        <w:t xml:space="preserve"> any item </w:t>
      </w:r>
      <w:r w:rsidR="00AD6434" w:rsidRPr="008F0B56">
        <w:rPr>
          <w:rFonts w:asciiTheme="majorHAnsi" w:hAnsiTheme="majorHAnsi" w:cstheme="majorBidi"/>
          <w:bCs/>
          <w:iCs/>
        </w:rPr>
        <w:t>of income, expense, gain, or loss</w:t>
      </w:r>
      <w:r w:rsidR="00AD6434">
        <w:rPr>
          <w:rFonts w:asciiTheme="majorHAnsi" w:hAnsiTheme="majorHAnsi" w:cstheme="majorBidi"/>
          <w:bCs/>
          <w:iCs/>
        </w:rPr>
        <w:t xml:space="preserve"> </w:t>
      </w:r>
      <w:r>
        <w:rPr>
          <w:rFonts w:asciiTheme="majorHAnsi" w:hAnsiTheme="majorHAnsi" w:cstheme="majorBidi"/>
          <w:bCs/>
          <w:iCs/>
        </w:rPr>
        <w:t xml:space="preserve">that has a specific treatment under the federal tax rules, the partnership will determine </w:t>
      </w:r>
      <w:r w:rsidR="00602A83">
        <w:rPr>
          <w:rFonts w:asciiTheme="majorHAnsi" w:hAnsiTheme="majorHAnsi" w:cstheme="majorBidi"/>
          <w:bCs/>
          <w:iCs/>
        </w:rPr>
        <w:t>th</w:t>
      </w:r>
      <w:r>
        <w:rPr>
          <w:rFonts w:asciiTheme="majorHAnsi" w:hAnsiTheme="majorHAnsi" w:cstheme="majorBidi"/>
          <w:bCs/>
          <w:iCs/>
        </w:rPr>
        <w:t>at</w:t>
      </w:r>
      <w:r w:rsidR="00602A83">
        <w:rPr>
          <w:rFonts w:asciiTheme="majorHAnsi" w:hAnsiTheme="majorHAnsi" w:cstheme="majorBidi"/>
          <w:bCs/>
          <w:iCs/>
        </w:rPr>
        <w:t xml:space="preserve"> tax treatment</w:t>
      </w:r>
      <w:r w:rsidR="002258E6">
        <w:rPr>
          <w:rFonts w:asciiTheme="majorHAnsi" w:hAnsiTheme="majorHAnsi" w:cstheme="majorBidi"/>
          <w:bCs/>
          <w:iCs/>
        </w:rPr>
        <w:t xml:space="preserve"> or “character”</w:t>
      </w:r>
      <w:r w:rsidR="00602A83">
        <w:rPr>
          <w:rFonts w:asciiTheme="majorHAnsi" w:hAnsiTheme="majorHAnsi" w:cstheme="majorBidi"/>
          <w:bCs/>
          <w:iCs/>
        </w:rPr>
        <w:t xml:space="preserve"> of </w:t>
      </w:r>
      <w:r w:rsidR="00723E3C">
        <w:rPr>
          <w:rFonts w:asciiTheme="majorHAnsi" w:hAnsiTheme="majorHAnsi" w:cstheme="majorBidi"/>
          <w:bCs/>
          <w:iCs/>
        </w:rPr>
        <w:t xml:space="preserve">the </w:t>
      </w:r>
      <w:r w:rsidR="00602A83" w:rsidRPr="008F0B56">
        <w:rPr>
          <w:rFonts w:asciiTheme="majorHAnsi" w:hAnsiTheme="majorHAnsi" w:cstheme="majorBidi"/>
          <w:bCs/>
          <w:iCs/>
        </w:rPr>
        <w:t xml:space="preserve">item </w:t>
      </w:r>
      <w:r w:rsidR="00602A83">
        <w:rPr>
          <w:rFonts w:asciiTheme="majorHAnsi" w:hAnsiTheme="majorHAnsi" w:cstheme="majorBidi"/>
          <w:bCs/>
          <w:iCs/>
        </w:rPr>
        <w:t xml:space="preserve">by applying </w:t>
      </w:r>
      <w:r w:rsidR="00602A83" w:rsidRPr="008F0B56">
        <w:rPr>
          <w:rFonts w:asciiTheme="majorHAnsi" w:hAnsiTheme="majorHAnsi" w:cstheme="majorBidi"/>
          <w:bCs/>
          <w:iCs/>
        </w:rPr>
        <w:t>the</w:t>
      </w:r>
      <w:r w:rsidR="00602A83">
        <w:rPr>
          <w:rFonts w:asciiTheme="majorHAnsi" w:hAnsiTheme="majorHAnsi" w:cstheme="majorBidi"/>
          <w:bCs/>
          <w:iCs/>
        </w:rPr>
        <w:t xml:space="preserve"> </w:t>
      </w:r>
      <w:r w:rsidR="00F425BA">
        <w:rPr>
          <w:rFonts w:asciiTheme="majorHAnsi" w:hAnsiTheme="majorHAnsi" w:cstheme="majorBidi"/>
          <w:bCs/>
          <w:iCs/>
        </w:rPr>
        <w:t xml:space="preserve">same </w:t>
      </w:r>
      <w:r w:rsidR="00602A83">
        <w:rPr>
          <w:rFonts w:asciiTheme="majorHAnsi" w:hAnsiTheme="majorHAnsi" w:cstheme="majorBidi"/>
          <w:bCs/>
          <w:iCs/>
        </w:rPr>
        <w:t>substantive tax rules</w:t>
      </w:r>
      <w:r w:rsidR="00F425BA">
        <w:rPr>
          <w:rFonts w:asciiTheme="majorHAnsi" w:hAnsiTheme="majorHAnsi" w:cstheme="majorBidi"/>
          <w:bCs/>
          <w:iCs/>
        </w:rPr>
        <w:t xml:space="preserve"> applicable to individual taxpayers</w:t>
      </w:r>
      <w:r>
        <w:rPr>
          <w:rFonts w:asciiTheme="majorHAnsi" w:hAnsiTheme="majorHAnsi" w:cstheme="majorBidi"/>
          <w:bCs/>
          <w:iCs/>
        </w:rPr>
        <w:t>. This characterization of items is done based on the</w:t>
      </w:r>
      <w:r w:rsidR="00C83527">
        <w:rPr>
          <w:rFonts w:asciiTheme="majorHAnsi" w:hAnsiTheme="majorHAnsi" w:cstheme="majorBidi"/>
          <w:bCs/>
          <w:iCs/>
        </w:rPr>
        <w:t xml:space="preserve"> nature of the</w:t>
      </w:r>
      <w:r>
        <w:rPr>
          <w:rFonts w:asciiTheme="majorHAnsi" w:hAnsiTheme="majorHAnsi" w:cstheme="majorBidi"/>
          <w:bCs/>
          <w:iCs/>
        </w:rPr>
        <w:t xml:space="preserve"> partnership</w:t>
      </w:r>
      <w:r w:rsidR="00C83527">
        <w:rPr>
          <w:rFonts w:asciiTheme="majorHAnsi" w:hAnsiTheme="majorHAnsi" w:cstheme="majorBidi"/>
          <w:bCs/>
          <w:iCs/>
        </w:rPr>
        <w:t>’</w:t>
      </w:r>
      <w:r>
        <w:rPr>
          <w:rFonts w:asciiTheme="majorHAnsi" w:hAnsiTheme="majorHAnsi" w:cstheme="majorBidi"/>
          <w:bCs/>
          <w:iCs/>
        </w:rPr>
        <w:t xml:space="preserve">s activities </w:t>
      </w:r>
      <w:r w:rsidR="00C83527">
        <w:rPr>
          <w:rFonts w:asciiTheme="majorHAnsi" w:hAnsiTheme="majorHAnsi" w:cstheme="majorBidi"/>
          <w:bCs/>
          <w:iCs/>
        </w:rPr>
        <w:t xml:space="preserve">giving rise to the items. </w:t>
      </w:r>
      <w:r w:rsidR="00F425BA">
        <w:rPr>
          <w:rFonts w:asciiTheme="majorHAnsi" w:hAnsiTheme="majorHAnsi" w:cstheme="majorBidi"/>
          <w:bCs/>
          <w:iCs/>
        </w:rPr>
        <w:t>See IRC § 703(a)</w:t>
      </w:r>
      <w:r w:rsidR="00D95485">
        <w:rPr>
          <w:rFonts w:asciiTheme="majorHAnsi" w:hAnsiTheme="majorHAnsi" w:cstheme="majorBidi"/>
          <w:bCs/>
          <w:iCs/>
        </w:rPr>
        <w:t xml:space="preserve"> and IRS Form 1065</w:t>
      </w:r>
      <w:r w:rsidR="00F425BA">
        <w:rPr>
          <w:rFonts w:asciiTheme="majorHAnsi" w:hAnsiTheme="majorHAnsi" w:cstheme="majorBidi"/>
          <w:bCs/>
          <w:iCs/>
        </w:rPr>
        <w:t xml:space="preserve">. </w:t>
      </w:r>
    </w:p>
    <w:p w14:paraId="1CF7037A" w14:textId="0EE7D43B" w:rsidR="00A96C72" w:rsidRPr="00935410" w:rsidRDefault="00A96C72" w:rsidP="005F3EE6">
      <w:pPr>
        <w:pBdr>
          <w:top w:val="single" w:sz="4" w:space="1" w:color="auto" w:shadow="1"/>
          <w:left w:val="single" w:sz="4" w:space="4" w:color="auto" w:shadow="1"/>
          <w:bottom w:val="single" w:sz="4" w:space="1" w:color="auto" w:shadow="1"/>
          <w:right w:val="single" w:sz="4" w:space="4" w:color="auto" w:shadow="1"/>
        </w:pBdr>
        <w:spacing w:after="80"/>
        <w:ind w:left="1080" w:right="720"/>
        <w:rPr>
          <w:rFonts w:asciiTheme="majorHAnsi" w:hAnsiTheme="majorHAnsi" w:cstheme="majorBidi"/>
          <w:b/>
          <w:iCs/>
        </w:rPr>
      </w:pPr>
      <w:r w:rsidRPr="00935410">
        <w:rPr>
          <w:rFonts w:asciiTheme="majorHAnsi" w:hAnsiTheme="majorHAnsi" w:cstheme="majorBidi"/>
          <w:b/>
          <w:iCs/>
        </w:rPr>
        <w:t>STATE TAX IMPLICATION</w:t>
      </w:r>
      <w:r w:rsidR="006653B9" w:rsidRPr="00935410">
        <w:rPr>
          <w:rFonts w:asciiTheme="majorHAnsi" w:hAnsiTheme="majorHAnsi" w:cstheme="majorBidi"/>
          <w:b/>
          <w:iCs/>
        </w:rPr>
        <w:t>S</w:t>
      </w:r>
      <w:r w:rsidR="00EA7E2F" w:rsidRPr="00935410">
        <w:rPr>
          <w:rFonts w:asciiTheme="majorHAnsi" w:hAnsiTheme="majorHAnsi" w:cstheme="majorBidi"/>
          <w:b/>
          <w:iCs/>
        </w:rPr>
        <w:t xml:space="preserve">: </w:t>
      </w:r>
      <w:r w:rsidR="00E05ECE" w:rsidRPr="00935410">
        <w:rPr>
          <w:rFonts w:asciiTheme="majorHAnsi" w:hAnsiTheme="majorHAnsi" w:cstheme="majorBidi"/>
          <w:b/>
          <w:iCs/>
        </w:rPr>
        <w:t xml:space="preserve">To the extent the federally determined character of </w:t>
      </w:r>
      <w:r w:rsidR="00492603" w:rsidRPr="00935410">
        <w:rPr>
          <w:rFonts w:asciiTheme="majorHAnsi" w:hAnsiTheme="majorHAnsi" w:cstheme="majorBidi"/>
          <w:b/>
          <w:iCs/>
        </w:rPr>
        <w:t xml:space="preserve">any </w:t>
      </w:r>
      <w:r w:rsidR="00E05ECE" w:rsidRPr="00935410">
        <w:rPr>
          <w:rFonts w:asciiTheme="majorHAnsi" w:hAnsiTheme="majorHAnsi" w:cstheme="majorBidi"/>
          <w:b/>
          <w:iCs/>
        </w:rPr>
        <w:t xml:space="preserve">items </w:t>
      </w:r>
      <w:r w:rsidR="00492603" w:rsidRPr="00935410">
        <w:rPr>
          <w:rFonts w:asciiTheme="majorHAnsi" w:hAnsiTheme="majorHAnsi" w:cstheme="majorBidi"/>
          <w:b/>
          <w:iCs/>
        </w:rPr>
        <w:t xml:space="preserve">also </w:t>
      </w:r>
      <w:r w:rsidR="00E05ECE" w:rsidRPr="00935410">
        <w:rPr>
          <w:rFonts w:asciiTheme="majorHAnsi" w:hAnsiTheme="majorHAnsi" w:cstheme="majorBidi"/>
          <w:b/>
          <w:iCs/>
        </w:rPr>
        <w:t xml:space="preserve">affects their state tax treatment, that character </w:t>
      </w:r>
      <w:r w:rsidR="00C83527">
        <w:rPr>
          <w:rFonts w:asciiTheme="majorHAnsi" w:hAnsiTheme="majorHAnsi" w:cstheme="majorBidi"/>
          <w:b/>
          <w:iCs/>
        </w:rPr>
        <w:t>is</w:t>
      </w:r>
      <w:r w:rsidR="00E05ECE" w:rsidRPr="00935410">
        <w:rPr>
          <w:rFonts w:asciiTheme="majorHAnsi" w:hAnsiTheme="majorHAnsi" w:cstheme="majorBidi"/>
          <w:b/>
          <w:iCs/>
        </w:rPr>
        <w:t xml:space="preserve"> determined at the partnership level</w:t>
      </w:r>
      <w:r w:rsidR="00492603" w:rsidRPr="00935410">
        <w:rPr>
          <w:rFonts w:asciiTheme="majorHAnsi" w:hAnsiTheme="majorHAnsi" w:cstheme="majorBidi"/>
          <w:b/>
          <w:iCs/>
        </w:rPr>
        <w:t xml:space="preserve"> </w:t>
      </w:r>
      <w:r w:rsidR="00C83527">
        <w:rPr>
          <w:rFonts w:asciiTheme="majorHAnsi" w:hAnsiTheme="majorHAnsi" w:cstheme="majorBidi"/>
          <w:b/>
          <w:iCs/>
        </w:rPr>
        <w:t>based on its activities</w:t>
      </w:r>
      <w:r w:rsidR="00492603" w:rsidRPr="00935410">
        <w:rPr>
          <w:rFonts w:asciiTheme="majorHAnsi" w:hAnsiTheme="majorHAnsi" w:cstheme="majorBidi"/>
          <w:b/>
          <w:iCs/>
        </w:rPr>
        <w:t xml:space="preserve">. </w:t>
      </w:r>
      <w:r w:rsidR="00C83527">
        <w:rPr>
          <w:rFonts w:asciiTheme="majorHAnsi" w:hAnsiTheme="majorHAnsi" w:cstheme="majorBidi"/>
          <w:b/>
          <w:iCs/>
        </w:rPr>
        <w:t>Similarly, state tax character</w:t>
      </w:r>
      <w:r w:rsidR="00E966E1">
        <w:rPr>
          <w:rFonts w:asciiTheme="majorHAnsi" w:hAnsiTheme="majorHAnsi" w:cstheme="majorBidi"/>
          <w:b/>
          <w:iCs/>
        </w:rPr>
        <w:t>ization</w:t>
      </w:r>
      <w:r w:rsidR="00C83527">
        <w:rPr>
          <w:rFonts w:asciiTheme="majorHAnsi" w:hAnsiTheme="majorHAnsi" w:cstheme="majorBidi"/>
          <w:b/>
          <w:iCs/>
        </w:rPr>
        <w:t xml:space="preserve"> of items is presumed to be done at the partnership level.</w:t>
      </w:r>
    </w:p>
    <w:p w14:paraId="178ABE0E" w14:textId="7FA51697" w:rsidR="00723E3C" w:rsidRDefault="00AD6434" w:rsidP="00366E17">
      <w:pPr>
        <w:pStyle w:val="Heading4"/>
        <w:numPr>
          <w:ilvl w:val="0"/>
          <w:numId w:val="10"/>
        </w:numPr>
      </w:pPr>
      <w:r>
        <w:lastRenderedPageBreak/>
        <w:t>F</w:t>
      </w:r>
      <w:r w:rsidR="00723E3C">
        <w:t xml:space="preserve">ederal sourcing </w:t>
      </w:r>
      <w:r>
        <w:t xml:space="preserve">is part of the character </w:t>
      </w:r>
      <w:r w:rsidR="00723E3C">
        <w:t>of items</w:t>
      </w:r>
      <w:r w:rsidR="003272AC">
        <w:t xml:space="preserve"> </w:t>
      </w:r>
      <w:r>
        <w:t>determined at the partnership level</w:t>
      </w:r>
      <w:r w:rsidR="00723E3C">
        <w:t>.</w:t>
      </w:r>
    </w:p>
    <w:p w14:paraId="0E54FCDB" w14:textId="7AFE722F" w:rsidR="00723E3C" w:rsidRPr="00723E3C" w:rsidRDefault="00492603" w:rsidP="00F93F3D">
      <w:pPr>
        <w:spacing w:after="120"/>
        <w:ind w:left="720"/>
        <w:rPr>
          <w:rFonts w:asciiTheme="majorHAnsi" w:hAnsiTheme="majorHAnsi" w:cstheme="majorBidi"/>
          <w:bCs/>
          <w:iCs/>
        </w:rPr>
      </w:pPr>
      <w:r>
        <w:rPr>
          <w:rFonts w:asciiTheme="majorHAnsi" w:hAnsiTheme="majorHAnsi" w:cstheme="majorBidi"/>
          <w:bCs/>
          <w:iCs/>
        </w:rPr>
        <w:t xml:space="preserve">Whether partnership income or items are treated as domestic or foreign under federal sourcing rules is generally part of </w:t>
      </w:r>
      <w:r w:rsidR="00E05ECE">
        <w:rPr>
          <w:rFonts w:asciiTheme="majorHAnsi" w:hAnsiTheme="majorHAnsi" w:cstheme="majorBidi"/>
          <w:bCs/>
          <w:iCs/>
        </w:rPr>
        <w:t>the c</w:t>
      </w:r>
      <w:r w:rsidR="00723E3C" w:rsidRPr="00723E3C">
        <w:rPr>
          <w:rFonts w:asciiTheme="majorHAnsi" w:hAnsiTheme="majorHAnsi" w:cstheme="majorBidi"/>
          <w:bCs/>
          <w:iCs/>
        </w:rPr>
        <w:t xml:space="preserve">haracter of </w:t>
      </w:r>
      <w:r>
        <w:rPr>
          <w:rFonts w:asciiTheme="majorHAnsi" w:hAnsiTheme="majorHAnsi" w:cstheme="majorBidi"/>
          <w:bCs/>
          <w:iCs/>
        </w:rPr>
        <w:t xml:space="preserve">those </w:t>
      </w:r>
      <w:r w:rsidR="00723E3C" w:rsidRPr="00723E3C">
        <w:rPr>
          <w:rFonts w:asciiTheme="majorHAnsi" w:hAnsiTheme="majorHAnsi" w:cstheme="majorBidi"/>
          <w:bCs/>
          <w:iCs/>
        </w:rPr>
        <w:t xml:space="preserve">items </w:t>
      </w:r>
      <w:r w:rsidR="00E05ECE">
        <w:rPr>
          <w:rFonts w:asciiTheme="majorHAnsi" w:hAnsiTheme="majorHAnsi" w:cstheme="majorBidi"/>
          <w:bCs/>
          <w:iCs/>
        </w:rPr>
        <w:t>which is</w:t>
      </w:r>
      <w:r w:rsidR="00D218F1">
        <w:rPr>
          <w:rFonts w:asciiTheme="majorHAnsi" w:hAnsiTheme="majorHAnsi" w:cstheme="majorBidi"/>
          <w:bCs/>
          <w:iCs/>
        </w:rPr>
        <w:t>, to a large extent,</w:t>
      </w:r>
      <w:r w:rsidR="00E05ECE">
        <w:rPr>
          <w:rFonts w:asciiTheme="majorHAnsi" w:hAnsiTheme="majorHAnsi" w:cstheme="majorBidi"/>
          <w:bCs/>
          <w:iCs/>
        </w:rPr>
        <w:t xml:space="preserve"> determined at the partnership level</w:t>
      </w:r>
      <w:r w:rsidR="00723E3C" w:rsidRPr="00723E3C">
        <w:rPr>
          <w:rFonts w:asciiTheme="majorHAnsi" w:hAnsiTheme="majorHAnsi" w:cstheme="majorBidi"/>
          <w:bCs/>
          <w:iCs/>
        </w:rPr>
        <w:t>. See IRC § 875</w:t>
      </w:r>
      <w:r w:rsidR="005953F8">
        <w:rPr>
          <w:rFonts w:asciiTheme="majorHAnsi" w:hAnsiTheme="majorHAnsi" w:cstheme="majorBidi"/>
          <w:bCs/>
          <w:iCs/>
        </w:rPr>
        <w:t xml:space="preserve"> and IRS Reg. § </w:t>
      </w:r>
      <w:r w:rsidR="005953F8" w:rsidRPr="005953F8">
        <w:rPr>
          <w:rFonts w:asciiTheme="majorHAnsi" w:hAnsiTheme="majorHAnsi" w:cstheme="majorBidi"/>
          <w:bCs/>
          <w:iCs/>
        </w:rPr>
        <w:t>1.702-1(a)(8)(ii)</w:t>
      </w:r>
      <w:r w:rsidR="005953F8">
        <w:rPr>
          <w:rFonts w:asciiTheme="majorHAnsi" w:hAnsiTheme="majorHAnsi" w:cstheme="majorBidi"/>
          <w:bCs/>
          <w:iCs/>
        </w:rPr>
        <w:t>.</w:t>
      </w:r>
      <w:r>
        <w:rPr>
          <w:rFonts w:asciiTheme="majorHAnsi" w:hAnsiTheme="majorHAnsi" w:cstheme="majorBidi"/>
          <w:bCs/>
          <w:iCs/>
        </w:rPr>
        <w:t xml:space="preserve"> Note that there are also instances in which the partner’s attributes may affect how the income is sourced</w:t>
      </w:r>
      <w:r w:rsidR="003272AC">
        <w:rPr>
          <w:rFonts w:asciiTheme="majorHAnsi" w:hAnsiTheme="majorHAnsi" w:cstheme="majorBidi"/>
          <w:bCs/>
          <w:iCs/>
        </w:rPr>
        <w:t xml:space="preserve"> federally</w:t>
      </w:r>
      <w:r>
        <w:rPr>
          <w:rFonts w:asciiTheme="majorHAnsi" w:hAnsiTheme="majorHAnsi" w:cstheme="majorBidi"/>
          <w:bCs/>
          <w:iCs/>
        </w:rPr>
        <w:t>.</w:t>
      </w:r>
    </w:p>
    <w:p w14:paraId="52EDF821" w14:textId="18AB0923" w:rsidR="00723E3C" w:rsidRPr="00C83527" w:rsidRDefault="00723E3C" w:rsidP="00894CC2">
      <w:pPr>
        <w:pBdr>
          <w:top w:val="single" w:sz="4" w:space="1" w:color="auto" w:shadow="1"/>
          <w:left w:val="single" w:sz="4" w:space="4" w:color="auto" w:shadow="1"/>
          <w:bottom w:val="single" w:sz="4" w:space="1" w:color="auto" w:shadow="1"/>
          <w:right w:val="single" w:sz="4" w:space="4" w:color="auto" w:shadow="1"/>
        </w:pBdr>
        <w:ind w:left="1080" w:right="720"/>
        <w:rPr>
          <w:b/>
        </w:rPr>
      </w:pPr>
      <w:r w:rsidRPr="00C83527">
        <w:rPr>
          <w:rFonts w:asciiTheme="majorHAnsi" w:hAnsiTheme="majorHAnsi" w:cstheme="majorBidi"/>
          <w:b/>
          <w:iCs/>
        </w:rPr>
        <w:t>STATE TAX IMPLICATIONS:</w:t>
      </w:r>
      <w:r w:rsidR="00E05ECE" w:rsidRPr="00C83527">
        <w:rPr>
          <w:rFonts w:asciiTheme="majorHAnsi" w:hAnsiTheme="majorHAnsi" w:cstheme="majorBidi"/>
          <w:b/>
          <w:iCs/>
        </w:rPr>
        <w:t xml:space="preserve"> States generally conform to the federal sourcing rules when determining whether income is domestic or foreign and will</w:t>
      </w:r>
      <w:r w:rsidR="00492603" w:rsidRPr="00C83527">
        <w:rPr>
          <w:rFonts w:asciiTheme="majorHAnsi" w:hAnsiTheme="majorHAnsi" w:cstheme="majorBidi"/>
          <w:b/>
          <w:iCs/>
        </w:rPr>
        <w:t>, therefore,</w:t>
      </w:r>
      <w:r w:rsidR="00E05ECE" w:rsidRPr="00C83527">
        <w:rPr>
          <w:rFonts w:asciiTheme="majorHAnsi" w:hAnsiTheme="majorHAnsi" w:cstheme="majorBidi"/>
          <w:b/>
          <w:iCs/>
        </w:rPr>
        <w:t xml:space="preserve"> generally conform to this </w:t>
      </w:r>
      <w:r w:rsidR="00492603" w:rsidRPr="00C83527">
        <w:rPr>
          <w:rFonts w:asciiTheme="majorHAnsi" w:hAnsiTheme="majorHAnsi" w:cstheme="majorBidi"/>
          <w:b/>
          <w:iCs/>
        </w:rPr>
        <w:t xml:space="preserve">partnership </w:t>
      </w:r>
      <w:r w:rsidR="00E05ECE" w:rsidRPr="00C83527">
        <w:rPr>
          <w:rFonts w:asciiTheme="majorHAnsi" w:hAnsiTheme="majorHAnsi" w:cstheme="majorBidi"/>
          <w:b/>
          <w:iCs/>
        </w:rPr>
        <w:t xml:space="preserve">treatment as well. </w:t>
      </w:r>
      <w:r w:rsidR="00C83527">
        <w:rPr>
          <w:rFonts w:asciiTheme="majorHAnsi" w:hAnsiTheme="majorHAnsi" w:cstheme="majorBidi"/>
          <w:b/>
          <w:iCs/>
        </w:rPr>
        <w:t>But t</w:t>
      </w:r>
      <w:r w:rsidR="00492603" w:rsidRPr="00C83527">
        <w:rPr>
          <w:rFonts w:asciiTheme="majorHAnsi" w:hAnsiTheme="majorHAnsi" w:cstheme="majorBidi"/>
          <w:b/>
          <w:iCs/>
        </w:rPr>
        <w:t xml:space="preserve">his raises the question of whether </w:t>
      </w:r>
      <w:r w:rsidR="00492603" w:rsidRPr="00F93F3D">
        <w:rPr>
          <w:rFonts w:asciiTheme="majorHAnsi" w:hAnsiTheme="majorHAnsi" w:cstheme="majorBidi"/>
          <w:b/>
          <w:i/>
        </w:rPr>
        <w:t xml:space="preserve">state </w:t>
      </w:r>
      <w:r w:rsidR="00492603" w:rsidRPr="00C83527">
        <w:rPr>
          <w:rFonts w:asciiTheme="majorHAnsi" w:hAnsiTheme="majorHAnsi" w:cstheme="majorBidi"/>
          <w:b/>
          <w:iCs/>
        </w:rPr>
        <w:t xml:space="preserve">sourcing of multistate partnership income should be determined at the partnership level, at least in some cases. </w:t>
      </w:r>
    </w:p>
    <w:p w14:paraId="550B0FAF" w14:textId="29E0DCD0" w:rsidR="002129DA" w:rsidRDefault="00D95485" w:rsidP="00366E17">
      <w:pPr>
        <w:pStyle w:val="Heading4"/>
        <w:numPr>
          <w:ilvl w:val="0"/>
          <w:numId w:val="10"/>
        </w:numPr>
      </w:pPr>
      <w:r>
        <w:t xml:space="preserve">The tax character of partnership items is attributed to </w:t>
      </w:r>
      <w:r w:rsidR="00DF073E">
        <w:t xml:space="preserve">direct and indirect </w:t>
      </w:r>
      <w:r>
        <w:t>partners</w:t>
      </w:r>
      <w:r w:rsidR="00A96C72">
        <w:t xml:space="preserve">. </w:t>
      </w:r>
    </w:p>
    <w:p w14:paraId="75678D83" w14:textId="01067CA5" w:rsidR="00EA7E2F" w:rsidRDefault="00C83527" w:rsidP="002129DA">
      <w:pPr>
        <w:ind w:left="720"/>
        <w:rPr>
          <w:rFonts w:asciiTheme="majorHAnsi" w:hAnsiTheme="majorHAnsi" w:cstheme="majorBidi"/>
          <w:bCs/>
          <w:iCs/>
        </w:rPr>
      </w:pPr>
      <w:r>
        <w:t>C</w:t>
      </w:r>
      <w:r w:rsidR="002129DA">
        <w:t>haracter of partnership items of income, expense, gain, or loss</w:t>
      </w:r>
      <w:r w:rsidR="009E50ED">
        <w:t xml:space="preserve"> as </w:t>
      </w:r>
      <w:r w:rsidR="002129DA">
        <w:t xml:space="preserve">determined by the partnership </w:t>
      </w:r>
      <w:r w:rsidR="00EF0BDD">
        <w:t xml:space="preserve">is attributed to the </w:t>
      </w:r>
      <w:r w:rsidR="002129DA">
        <w:t>ultimate taxpaying partners</w:t>
      </w:r>
      <w:r w:rsidR="00EF0BDD">
        <w:t xml:space="preserve"> along with their distributive share of those items</w:t>
      </w:r>
      <w:r w:rsidR="002129DA">
        <w:t xml:space="preserve">. See IRC § 702 and </w:t>
      </w:r>
      <w:r w:rsidR="002129DA">
        <w:rPr>
          <w:rFonts w:asciiTheme="majorHAnsi" w:hAnsiTheme="majorHAnsi" w:cstheme="majorBidi"/>
          <w:bCs/>
          <w:iCs/>
        </w:rPr>
        <w:t xml:space="preserve">IRS Form 1065 – Schedule K-1. </w:t>
      </w:r>
      <w:r w:rsidR="009E50ED">
        <w:rPr>
          <w:rFonts w:asciiTheme="majorHAnsi" w:hAnsiTheme="majorHAnsi" w:cstheme="majorBidi"/>
          <w:bCs/>
          <w:iCs/>
        </w:rPr>
        <w:t xml:space="preserve">It does not matter how many tiered entities the items may pass through—their character does not change. </w:t>
      </w:r>
      <w:r w:rsidR="002129DA">
        <w:rPr>
          <w:rFonts w:asciiTheme="majorHAnsi" w:hAnsiTheme="majorHAnsi" w:cstheme="majorBidi"/>
          <w:bCs/>
          <w:iCs/>
        </w:rPr>
        <w:t xml:space="preserve">This general attribution (or </w:t>
      </w:r>
      <w:r w:rsidR="00E80F3E">
        <w:rPr>
          <w:rFonts w:asciiTheme="majorHAnsi" w:hAnsiTheme="majorHAnsi" w:cstheme="majorBidi"/>
          <w:bCs/>
          <w:iCs/>
        </w:rPr>
        <w:t xml:space="preserve">“conduit”) </w:t>
      </w:r>
      <w:r w:rsidR="002129DA">
        <w:rPr>
          <w:rFonts w:asciiTheme="majorHAnsi" w:hAnsiTheme="majorHAnsi" w:cstheme="majorBidi"/>
          <w:bCs/>
          <w:iCs/>
        </w:rPr>
        <w:t xml:space="preserve">principle, discussed further in the next section, prevents </w:t>
      </w:r>
      <w:r w:rsidR="00EF0BDD">
        <w:rPr>
          <w:rFonts w:asciiTheme="majorHAnsi" w:hAnsiTheme="majorHAnsi" w:cstheme="majorBidi"/>
          <w:bCs/>
          <w:iCs/>
        </w:rPr>
        <w:t>the use of</w:t>
      </w:r>
      <w:r w:rsidR="002129DA">
        <w:rPr>
          <w:rFonts w:asciiTheme="majorHAnsi" w:hAnsiTheme="majorHAnsi" w:cstheme="majorBidi"/>
          <w:bCs/>
          <w:iCs/>
        </w:rPr>
        <w:t xml:space="preserve"> partnerships to effectively strip the tax character from items or change their tax treatment. </w:t>
      </w:r>
    </w:p>
    <w:p w14:paraId="27CE09CE" w14:textId="03E5D8D5" w:rsidR="002129DA" w:rsidRPr="00C83527" w:rsidRDefault="00EA7E2F" w:rsidP="00894CC2">
      <w:pPr>
        <w:pBdr>
          <w:top w:val="single" w:sz="4" w:space="1" w:color="auto" w:shadow="1"/>
          <w:left w:val="single" w:sz="4" w:space="4" w:color="auto" w:shadow="1"/>
          <w:bottom w:val="single" w:sz="4" w:space="1" w:color="auto" w:shadow="1"/>
          <w:right w:val="single" w:sz="4" w:space="4" w:color="auto" w:shadow="1"/>
        </w:pBdr>
        <w:ind w:left="1080" w:right="720"/>
        <w:rPr>
          <w:b/>
          <w:bCs/>
        </w:rPr>
      </w:pPr>
      <w:r w:rsidRPr="00C83527">
        <w:rPr>
          <w:b/>
          <w:bCs/>
        </w:rPr>
        <w:t xml:space="preserve">STATE TAX IMPLICATION: </w:t>
      </w:r>
      <w:r w:rsidR="00DF073E" w:rsidRPr="00C83527">
        <w:rPr>
          <w:b/>
          <w:bCs/>
        </w:rPr>
        <w:t>At least t</w:t>
      </w:r>
      <w:r w:rsidRPr="00C83527">
        <w:rPr>
          <w:b/>
          <w:bCs/>
        </w:rPr>
        <w:t xml:space="preserve">o the extent state tax treatment of items is based on or related to their federal treatment, this determination </w:t>
      </w:r>
      <w:r w:rsidR="00DF073E" w:rsidRPr="00C83527">
        <w:rPr>
          <w:b/>
          <w:bCs/>
        </w:rPr>
        <w:t xml:space="preserve">of their state tax character </w:t>
      </w:r>
      <w:r w:rsidRPr="00C83527">
        <w:rPr>
          <w:b/>
          <w:bCs/>
        </w:rPr>
        <w:t xml:space="preserve">would </w:t>
      </w:r>
      <w:r w:rsidR="009E50ED" w:rsidRPr="00C83527">
        <w:rPr>
          <w:b/>
          <w:bCs/>
        </w:rPr>
        <w:t xml:space="preserve">also </w:t>
      </w:r>
      <w:r w:rsidRPr="00C83527">
        <w:rPr>
          <w:b/>
          <w:bCs/>
        </w:rPr>
        <w:t>presumably be made at the partnership level</w:t>
      </w:r>
      <w:r w:rsidR="009E50ED" w:rsidRPr="00C83527">
        <w:rPr>
          <w:b/>
          <w:bCs/>
        </w:rPr>
        <w:t xml:space="preserve"> and attributed to the partners. </w:t>
      </w:r>
    </w:p>
    <w:p w14:paraId="29DE0C8D" w14:textId="33965B6D" w:rsidR="00A1670B" w:rsidRDefault="00CF0E52" w:rsidP="00366E17">
      <w:pPr>
        <w:pStyle w:val="Heading4"/>
        <w:numPr>
          <w:ilvl w:val="0"/>
          <w:numId w:val="10"/>
        </w:numPr>
      </w:pPr>
      <w:r>
        <w:t xml:space="preserve"> A p</w:t>
      </w:r>
      <w:r w:rsidR="00A1670B">
        <w:t>artner’</w:t>
      </w:r>
      <w:r>
        <w:t>s</w:t>
      </w:r>
      <w:r w:rsidR="00A1670B">
        <w:t xml:space="preserve"> </w:t>
      </w:r>
      <w:r w:rsidR="00A96C72">
        <w:t>tax attributes also effect the amount of tax paid on partnership income.</w:t>
      </w:r>
    </w:p>
    <w:p w14:paraId="4694477A" w14:textId="28D3B1A6" w:rsidR="00A1670B" w:rsidRDefault="00A1670B" w:rsidP="00A1670B">
      <w:pPr>
        <w:ind w:left="720"/>
      </w:pPr>
      <w:r>
        <w:t>Because each partner reports their share of partnership items as part of their own tax return, the partner</w:t>
      </w:r>
      <w:r w:rsidR="00A50563">
        <w:t>s’</w:t>
      </w:r>
      <w:r w:rsidR="00DF073E">
        <w:t xml:space="preserve"> attributes</w:t>
      </w:r>
      <w:r>
        <w:t xml:space="preserve"> are </w:t>
      </w:r>
      <w:r w:rsidR="00DF073E">
        <w:t xml:space="preserve">also </w:t>
      </w:r>
      <w:r>
        <w:t xml:space="preserve">taken into account in computing that tax—including the partners’ effective or marginal </w:t>
      </w:r>
      <w:r w:rsidR="00D95485">
        <w:t xml:space="preserve">federal </w:t>
      </w:r>
      <w:r>
        <w:t xml:space="preserve">tax rates, which may vary considerably.  </w:t>
      </w:r>
    </w:p>
    <w:p w14:paraId="5A1D78BF" w14:textId="61026EE0" w:rsidR="00EA7E2F" w:rsidRPr="00C83527" w:rsidRDefault="00EA7E2F" w:rsidP="00894CC2">
      <w:pPr>
        <w:pBdr>
          <w:top w:val="single" w:sz="4" w:space="1" w:color="auto" w:shadow="1"/>
          <w:left w:val="single" w:sz="4" w:space="4" w:color="auto" w:shadow="1"/>
          <w:bottom w:val="single" w:sz="4" w:space="1" w:color="auto" w:shadow="1"/>
          <w:right w:val="single" w:sz="4" w:space="4" w:color="auto" w:shadow="1"/>
        </w:pBdr>
        <w:ind w:left="1080" w:right="720"/>
        <w:rPr>
          <w:b/>
          <w:bCs/>
        </w:rPr>
      </w:pPr>
      <w:r w:rsidRPr="00C83527">
        <w:rPr>
          <w:b/>
          <w:bCs/>
        </w:rPr>
        <w:t xml:space="preserve">STATE TAX IMPLICATIONS: </w:t>
      </w:r>
      <w:r w:rsidR="00C83527">
        <w:rPr>
          <w:b/>
          <w:bCs/>
        </w:rPr>
        <w:t>T</w:t>
      </w:r>
      <w:r w:rsidRPr="00C83527">
        <w:rPr>
          <w:b/>
          <w:bCs/>
        </w:rPr>
        <w:t xml:space="preserve">he effect of partner attributes on state taxation of partnership income may be </w:t>
      </w:r>
      <w:r w:rsidR="00DF073E" w:rsidRPr="00C83527">
        <w:rPr>
          <w:b/>
          <w:bCs/>
        </w:rPr>
        <w:t xml:space="preserve">somewhat </w:t>
      </w:r>
      <w:r w:rsidRPr="00C83527">
        <w:rPr>
          <w:b/>
          <w:bCs/>
        </w:rPr>
        <w:t>less pronounced tha</w:t>
      </w:r>
      <w:r w:rsidR="00DF073E" w:rsidRPr="00C83527">
        <w:rPr>
          <w:b/>
          <w:bCs/>
        </w:rPr>
        <w:t>n</w:t>
      </w:r>
      <w:r w:rsidRPr="00C83527">
        <w:rPr>
          <w:b/>
          <w:bCs/>
        </w:rPr>
        <w:t xml:space="preserve"> it is at the federal level—in part because state</w:t>
      </w:r>
      <w:r w:rsidR="00C83527">
        <w:rPr>
          <w:b/>
          <w:bCs/>
        </w:rPr>
        <w:t xml:space="preserve"> tax</w:t>
      </w:r>
      <w:r w:rsidRPr="00C83527">
        <w:rPr>
          <w:b/>
          <w:bCs/>
        </w:rPr>
        <w:t xml:space="preserve"> rates vary much less.</w:t>
      </w:r>
      <w:r w:rsidR="00DF073E" w:rsidRPr="00C83527">
        <w:rPr>
          <w:b/>
          <w:bCs/>
        </w:rPr>
        <w:t xml:space="preserve"> But other partner attributes, such as income or loss from other sources, may still have a substantial effect on the ultimate state tax paid on partnership income. </w:t>
      </w:r>
    </w:p>
    <w:p w14:paraId="597CC1ED" w14:textId="5A65FB02" w:rsidR="00B00249" w:rsidRDefault="00CF0E52" w:rsidP="00366E17">
      <w:pPr>
        <w:pStyle w:val="Heading4"/>
        <w:numPr>
          <w:ilvl w:val="0"/>
          <w:numId w:val="10"/>
        </w:numPr>
      </w:pPr>
      <w:r>
        <w:t>Partners can share partnership</w:t>
      </w:r>
      <w:r w:rsidR="00A96C72">
        <w:t xml:space="preserve"> items </w:t>
      </w:r>
      <w:r>
        <w:t>in various ways</w:t>
      </w:r>
      <w:r w:rsidR="009E50ED">
        <w:t xml:space="preserve">, </w:t>
      </w:r>
      <w:r w:rsidR="00A96C72">
        <w:t>with few limitations.</w:t>
      </w:r>
    </w:p>
    <w:p w14:paraId="222894A4" w14:textId="5E743017" w:rsidR="00B00249" w:rsidRDefault="00B00249" w:rsidP="00A96C72">
      <w:pPr>
        <w:ind w:left="720"/>
      </w:pPr>
      <w:r>
        <w:t xml:space="preserve">Subchapter K does not require partnership income or items </w:t>
      </w:r>
      <w:r w:rsidR="009E50ED">
        <w:t xml:space="preserve">to </w:t>
      </w:r>
      <w:r>
        <w:t xml:space="preserve">be shared </w:t>
      </w:r>
      <w:r w:rsidR="00CF0E52">
        <w:t xml:space="preserve">or allocated </w:t>
      </w:r>
      <w:r w:rsidR="00D95485">
        <w:t xml:space="preserve">pro rata </w:t>
      </w:r>
      <w:r w:rsidRPr="00300C00">
        <w:t xml:space="preserve">according to </w:t>
      </w:r>
      <w:r w:rsidR="00CF0E52">
        <w:t xml:space="preserve">the </w:t>
      </w:r>
      <w:r w:rsidRPr="00300C00">
        <w:t>capital or ownership interests</w:t>
      </w:r>
      <w:r w:rsidR="00CF0E52">
        <w:t xml:space="preserve"> of the partners</w:t>
      </w:r>
      <w:r w:rsidRPr="00300C00">
        <w:t xml:space="preserve">. </w:t>
      </w:r>
      <w:r w:rsidR="00D95485">
        <w:t xml:space="preserve">Nor </w:t>
      </w:r>
      <w:r w:rsidR="00CF0E52">
        <w:t>are</w:t>
      </w:r>
      <w:r w:rsidR="00D95485">
        <w:t xml:space="preserve"> </w:t>
      </w:r>
      <w:r w:rsidR="005F3EE6">
        <w:t xml:space="preserve">different </w:t>
      </w:r>
      <w:r w:rsidR="00D95485">
        <w:t xml:space="preserve">items </w:t>
      </w:r>
      <w:r w:rsidR="00CF0E52">
        <w:t xml:space="preserve">required to </w:t>
      </w:r>
      <w:r w:rsidR="00D95485">
        <w:t>be shared in the same proportion</w:t>
      </w:r>
      <w:r w:rsidR="00CF0E52">
        <w:t>s</w:t>
      </w:r>
      <w:r w:rsidR="00D95485">
        <w:t xml:space="preserve">. Rather, partners’ shares of partnership items are generally determined by </w:t>
      </w:r>
      <w:r w:rsidR="00CF0E52">
        <w:t xml:space="preserve">their </w:t>
      </w:r>
      <w:r w:rsidR="00D95485">
        <w:t xml:space="preserve">agreement. See IRC § 704(a). </w:t>
      </w:r>
      <w:r w:rsidR="00A96C72">
        <w:t xml:space="preserve">These </w:t>
      </w:r>
      <w:r w:rsidRPr="00300C00">
        <w:t xml:space="preserve">sharing </w:t>
      </w:r>
      <w:r>
        <w:t>arrangements</w:t>
      </w:r>
      <w:r w:rsidRPr="00300C00">
        <w:t xml:space="preserve"> may </w:t>
      </w:r>
      <w:r w:rsidR="00A96C72">
        <w:t xml:space="preserve">also </w:t>
      </w:r>
      <w:r w:rsidRPr="00300C00">
        <w:t>change over time.</w:t>
      </w:r>
      <w:r>
        <w:t xml:space="preserve"> The primary limitation </w:t>
      </w:r>
      <w:r w:rsidR="009E50ED">
        <w:t xml:space="preserve">on this flexibility </w:t>
      </w:r>
      <w:r>
        <w:t xml:space="preserve">is the requirement that </w:t>
      </w:r>
      <w:r w:rsidR="00CF0E52">
        <w:t>these</w:t>
      </w:r>
      <w:r w:rsidR="009E50ED">
        <w:t xml:space="preserve"> </w:t>
      </w:r>
      <w:r>
        <w:t xml:space="preserve">so-called “special allocations” </w:t>
      </w:r>
      <w:r w:rsidR="009E50ED">
        <w:t xml:space="preserve">must </w:t>
      </w:r>
      <w:r>
        <w:t>have</w:t>
      </w:r>
      <w:r w:rsidRPr="00300C00">
        <w:t xml:space="preserve"> substantial economic effect under IRC § 704(b) and related regulations. </w:t>
      </w:r>
      <w:r w:rsidR="00915846">
        <w:t>But as will be discussed further in this white paper</w:t>
      </w:r>
      <w:r w:rsidR="009E50ED">
        <w:t xml:space="preserve">, </w:t>
      </w:r>
      <w:r w:rsidRPr="00300C00">
        <w:t xml:space="preserve">the test for substantial economic effect </w:t>
      </w:r>
      <w:r>
        <w:t>focuses on</w:t>
      </w:r>
      <w:r w:rsidRPr="00300C00">
        <w:t xml:space="preserve"> whether the </w:t>
      </w:r>
      <w:r>
        <w:rPr>
          <w:i/>
          <w:iCs/>
        </w:rPr>
        <w:t xml:space="preserve">federal </w:t>
      </w:r>
      <w:r w:rsidRPr="00300C00">
        <w:t xml:space="preserve">tax </w:t>
      </w:r>
      <w:r>
        <w:t>result reflects the economic substance of the allocations</w:t>
      </w:r>
      <w:r w:rsidRPr="00300C00">
        <w:t xml:space="preserve">—not on whether </w:t>
      </w:r>
      <w:r>
        <w:t xml:space="preserve">this </w:t>
      </w:r>
      <w:r w:rsidRPr="00300C00">
        <w:t xml:space="preserve">is true for </w:t>
      </w:r>
      <w:r w:rsidRPr="00115EA7">
        <w:rPr>
          <w:i/>
          <w:iCs/>
        </w:rPr>
        <w:t>state</w:t>
      </w:r>
      <w:r w:rsidRPr="00300C00">
        <w:t xml:space="preserve"> tax </w:t>
      </w:r>
      <w:r>
        <w:t>results.</w:t>
      </w:r>
    </w:p>
    <w:p w14:paraId="33C823CF" w14:textId="44ECB21A" w:rsidR="00B00249" w:rsidRPr="00C83527" w:rsidRDefault="00C92161" w:rsidP="00894CC2">
      <w:pPr>
        <w:pBdr>
          <w:top w:val="single" w:sz="4" w:space="1" w:color="auto" w:shadow="1"/>
          <w:left w:val="single" w:sz="4" w:space="4" w:color="auto" w:shadow="1"/>
          <w:bottom w:val="single" w:sz="4" w:space="1" w:color="auto" w:shadow="1"/>
          <w:right w:val="single" w:sz="4" w:space="4" w:color="auto" w:shadow="1"/>
        </w:pBdr>
        <w:ind w:left="1440" w:right="720"/>
        <w:rPr>
          <w:b/>
          <w:bCs/>
        </w:rPr>
      </w:pPr>
      <w:r w:rsidRPr="00C83527">
        <w:rPr>
          <w:b/>
          <w:bCs/>
        </w:rPr>
        <w:t>STATE TAX IMPLICATIONS:</w:t>
      </w:r>
      <w:r w:rsidR="00B00249" w:rsidRPr="00C83527">
        <w:rPr>
          <w:b/>
          <w:bCs/>
        </w:rPr>
        <w:t xml:space="preserve"> </w:t>
      </w:r>
      <w:r w:rsidR="00C83527">
        <w:rPr>
          <w:b/>
          <w:bCs/>
        </w:rPr>
        <w:t>Some s</w:t>
      </w:r>
      <w:r w:rsidR="0069335C" w:rsidRPr="00C83527">
        <w:rPr>
          <w:b/>
          <w:bCs/>
        </w:rPr>
        <w:t xml:space="preserve">tate rules appear to assume a partner’s ownership interest determines distributive share—or that all partnership items will be allocated to partners using the same ratio or share. This may limit the application of these rules or leave situations involving special allocations unaddressed. </w:t>
      </w:r>
      <w:r w:rsidR="00C83527">
        <w:rPr>
          <w:b/>
          <w:bCs/>
        </w:rPr>
        <w:t>S</w:t>
      </w:r>
      <w:r w:rsidR="0069335C" w:rsidRPr="00C83527">
        <w:rPr>
          <w:b/>
          <w:bCs/>
        </w:rPr>
        <w:t xml:space="preserve">ome states have adopted a </w:t>
      </w:r>
      <w:r w:rsidR="00CF0E52" w:rsidRPr="00C83527">
        <w:rPr>
          <w:b/>
          <w:bCs/>
        </w:rPr>
        <w:t xml:space="preserve">form of the </w:t>
      </w:r>
      <w:r w:rsidR="0069335C" w:rsidRPr="00C83527">
        <w:rPr>
          <w:b/>
          <w:bCs/>
        </w:rPr>
        <w:t xml:space="preserve">substantial economic effect rule making clear that the same standard applicable for federal tax purposes </w:t>
      </w:r>
      <w:r w:rsidR="00C83527">
        <w:rPr>
          <w:b/>
          <w:bCs/>
        </w:rPr>
        <w:t xml:space="preserve">also </w:t>
      </w:r>
      <w:r w:rsidR="0069335C" w:rsidRPr="00C83527">
        <w:rPr>
          <w:b/>
          <w:bCs/>
        </w:rPr>
        <w:t xml:space="preserve">applies for state tax purposes. </w:t>
      </w:r>
      <w:r w:rsidR="00B00249" w:rsidRPr="00C83527">
        <w:rPr>
          <w:b/>
          <w:bCs/>
        </w:rPr>
        <w:t xml:space="preserve"> </w:t>
      </w:r>
    </w:p>
    <w:p w14:paraId="6B604E60" w14:textId="12A6EF4D" w:rsidR="00B00249" w:rsidRDefault="00B00249" w:rsidP="00366E17">
      <w:pPr>
        <w:pStyle w:val="Heading4"/>
        <w:numPr>
          <w:ilvl w:val="0"/>
          <w:numId w:val="10"/>
        </w:numPr>
      </w:pPr>
      <w:r>
        <w:lastRenderedPageBreak/>
        <w:t xml:space="preserve">Partnerships </w:t>
      </w:r>
      <w:r w:rsidR="00CF0E52">
        <w:t>must follow complex tracking and information reporting rules.</w:t>
      </w:r>
    </w:p>
    <w:p w14:paraId="50D2EFA0" w14:textId="77777777" w:rsidR="005E69FD" w:rsidRDefault="00B00249" w:rsidP="00B00249">
      <w:pPr>
        <w:ind w:left="720"/>
      </w:pPr>
      <w:r>
        <w:t xml:space="preserve">Partners cannot properly compute their tax without essential information tracked and reported by the partnership. Therefore, in addition to requiring partnerships to properly follow </w:t>
      </w:r>
      <w:r w:rsidR="00CF0E52">
        <w:t xml:space="preserve">the </w:t>
      </w:r>
      <w:r>
        <w:t>substantive tax rules</w:t>
      </w:r>
      <w:r w:rsidR="00CF0E52">
        <w:t xml:space="preserve"> in characterizing items</w:t>
      </w:r>
      <w:r>
        <w:t xml:space="preserve">, Subchapter K also </w:t>
      </w:r>
      <w:r w:rsidR="00CF0E52">
        <w:t>imposes</w:t>
      </w:r>
      <w:r>
        <w:t xml:space="preserve"> detailed requirements for tracking and reporting the effects of various events on the partners’ own partnership capital and inside basis. See for example: IRC §§ 721-737 and 752-754. </w:t>
      </w:r>
    </w:p>
    <w:p w14:paraId="1BD97112" w14:textId="77777777" w:rsidR="00894CC2" w:rsidRDefault="005E69FD" w:rsidP="00B00249">
      <w:pPr>
        <w:ind w:left="720"/>
      </w:pPr>
      <w:r>
        <w:t xml:space="preserve">In addition, </w:t>
      </w:r>
      <w:r w:rsidR="00894CC2">
        <w:t xml:space="preserve">as discussed above, </w:t>
      </w:r>
      <w:r>
        <w:t>the rules of Subchapter K attempt to match the tax effects with the actual economic effects</w:t>
      </w:r>
      <w:r w:rsidR="00894CC2">
        <w:t>. But these rules</w:t>
      </w:r>
      <w:r>
        <w:t xml:space="preserve"> face a critical challenge—taxes are reported annually while the actual economic effects may not be known for years. This is because partners are not required to take distributions from the partnership each year—equivalent to their distributive share income</w:t>
      </w:r>
      <w:r w:rsidR="00894CC2">
        <w:t>—and partnership agreements may change over the course of time.</w:t>
      </w:r>
      <w:r>
        <w:t xml:space="preserve"> </w:t>
      </w:r>
    </w:p>
    <w:p w14:paraId="6FF24387" w14:textId="18EA1905" w:rsidR="005E69FD" w:rsidRDefault="006652C6" w:rsidP="00B00249">
      <w:pPr>
        <w:ind w:left="720"/>
      </w:pPr>
      <w:r>
        <w:t>To address this fundamental problem, Subchapter K requires the partnership to engage in</w:t>
      </w:r>
      <w:r w:rsidR="00894CC2">
        <w:t xml:space="preserve"> complex</w:t>
      </w:r>
      <w:r>
        <w:t xml:space="preserve"> tracking, record-keeping, and reporting of information over time and that the partners agree that they will </w:t>
      </w:r>
      <w:r w:rsidR="00894CC2">
        <w:t xml:space="preserve">(ultimately) </w:t>
      </w:r>
      <w:r>
        <w:t xml:space="preserve">share in the economic results of the partnership according to these partnerships accounts. </w:t>
      </w:r>
    </w:p>
    <w:p w14:paraId="68ABAC6A" w14:textId="72258824" w:rsidR="00B00249" w:rsidRDefault="00894CC2" w:rsidP="00B00249">
      <w:pPr>
        <w:ind w:left="720"/>
      </w:pPr>
      <w:r>
        <w:t>This, in turn, creates a related challenge. When i</w:t>
      </w:r>
      <w:r w:rsidR="00B00249">
        <w:t xml:space="preserve">tems of partnership income flow through complex multi-tiered structures, these </w:t>
      </w:r>
      <w:r w:rsidR="00CF0E52">
        <w:t xml:space="preserve">same </w:t>
      </w:r>
      <w:r w:rsidR="00B00249">
        <w:t>requirements must be followed by each entity through which the income or items flow. So it is impossible to know if the proper tax has been reported without knowing if each partnership has complied</w:t>
      </w:r>
      <w:r>
        <w:t xml:space="preserve"> with the tracking and reporting requirements</w:t>
      </w:r>
      <w:r w:rsidR="00B00249">
        <w:t>. And this has made it exceedingly difficult for the IRS to perform audits of large, complex partnerships.</w:t>
      </w:r>
      <w:r w:rsidR="00B00249">
        <w:rPr>
          <w:rStyle w:val="FootnoteReference"/>
        </w:rPr>
        <w:footnoteReference w:id="15"/>
      </w:r>
      <w:r w:rsidR="00B00249">
        <w:t xml:space="preserve"> </w:t>
      </w:r>
    </w:p>
    <w:p w14:paraId="2DB668AB" w14:textId="46AD47B2" w:rsidR="0027376A" w:rsidRPr="00C83527" w:rsidRDefault="0027376A" w:rsidP="00894CC2">
      <w:pPr>
        <w:pBdr>
          <w:top w:val="single" w:sz="4" w:space="1" w:color="auto" w:shadow="1"/>
          <w:left w:val="single" w:sz="4" w:space="4" w:color="auto" w:shadow="1"/>
          <w:bottom w:val="single" w:sz="4" w:space="1" w:color="auto" w:shadow="1"/>
          <w:right w:val="single" w:sz="4" w:space="4" w:color="auto" w:shadow="1"/>
        </w:pBdr>
        <w:ind w:left="1440" w:right="720"/>
        <w:rPr>
          <w:b/>
          <w:bCs/>
        </w:rPr>
      </w:pPr>
      <w:r w:rsidRPr="00C83527">
        <w:rPr>
          <w:b/>
          <w:bCs/>
        </w:rPr>
        <w:t xml:space="preserve">STATE TAX IMPLICATIONS: States may need to consider whether to make allowances for the inherent complexity of the pass-through system and create rules that take this complexity into account—rather than assuming that rules which can be applied in simple structures can necessarily be applied in more complex structures.  </w:t>
      </w:r>
    </w:p>
    <w:p w14:paraId="2BC25D89" w14:textId="7BD3FFF8" w:rsidR="00226217" w:rsidRDefault="00970DF2" w:rsidP="00366E17">
      <w:pPr>
        <w:pStyle w:val="Heading4"/>
        <w:numPr>
          <w:ilvl w:val="0"/>
          <w:numId w:val="10"/>
        </w:numPr>
      </w:pPr>
      <w:r>
        <w:t xml:space="preserve">Each </w:t>
      </w:r>
      <w:r w:rsidR="00CF0E52">
        <w:t xml:space="preserve">partnership is unique and the partnership agreement is critical. </w:t>
      </w:r>
    </w:p>
    <w:p w14:paraId="6E23D720" w14:textId="2E0627F2" w:rsidR="00226217" w:rsidRDefault="00226217" w:rsidP="00567102">
      <w:pPr>
        <w:ind w:left="720"/>
      </w:pPr>
      <w:r>
        <w:t xml:space="preserve">Because partnerships can vary in size, structure, and </w:t>
      </w:r>
      <w:r w:rsidR="00CF0E52">
        <w:t xml:space="preserve">the </w:t>
      </w:r>
      <w:r>
        <w:t xml:space="preserve">sharing of income and control, as well as the other roles partners </w:t>
      </w:r>
      <w:r w:rsidR="00CF0E52">
        <w:t xml:space="preserve">may have </w:t>
      </w:r>
      <w:r>
        <w:t xml:space="preserve">in the partnership, the main source of </w:t>
      </w:r>
      <w:r w:rsidR="00EA1D83">
        <w:t xml:space="preserve">critical </w:t>
      </w:r>
      <w:r>
        <w:t xml:space="preserve">information about the partnership will be the partnership agreement. Small general partnerships </w:t>
      </w:r>
      <w:r w:rsidR="00906996">
        <w:t xml:space="preserve">are not </w:t>
      </w:r>
      <w:r w:rsidR="002A2D7B">
        <w:t>required to have a</w:t>
      </w:r>
      <w:r>
        <w:t xml:space="preserve"> written agreement</w:t>
      </w:r>
      <w:r w:rsidR="00894CC2">
        <w:t>, b</w:t>
      </w:r>
      <w:r>
        <w:t xml:space="preserve">ut other forms of partnership </w:t>
      </w:r>
      <w:r w:rsidR="00894CC2">
        <w:t xml:space="preserve">must have a </w:t>
      </w:r>
      <w:r w:rsidR="00EA1D83">
        <w:t>written</w:t>
      </w:r>
      <w:r>
        <w:t xml:space="preserve"> agreement</w:t>
      </w:r>
      <w:r w:rsidR="00F52919">
        <w:t>, in some form,</w:t>
      </w:r>
      <w:r>
        <w:t xml:space="preserve"> in order to comply with general state statutes</w:t>
      </w:r>
      <w:r w:rsidR="00CD408D">
        <w:t xml:space="preserve"> governing their formation</w:t>
      </w:r>
      <w:r>
        <w:t>.</w:t>
      </w:r>
      <w:r w:rsidR="00F52919">
        <w:t xml:space="preserve"> In addition, governing statutes may provide default rules or presumptions that apply if the agreement is silent.</w:t>
      </w:r>
      <w:r w:rsidR="00EA1D83">
        <w:rPr>
          <w:rStyle w:val="FootnoteReference"/>
        </w:rPr>
        <w:footnoteReference w:id="16"/>
      </w:r>
      <w:r>
        <w:t xml:space="preserve"> </w:t>
      </w:r>
    </w:p>
    <w:p w14:paraId="1EEAD244" w14:textId="427E35E5" w:rsidR="0027376A" w:rsidRDefault="0027376A" w:rsidP="00894CC2">
      <w:pPr>
        <w:pBdr>
          <w:top w:val="single" w:sz="4" w:space="1" w:color="auto" w:shadow="1"/>
          <w:left w:val="single" w:sz="4" w:space="4" w:color="auto" w:shadow="1"/>
          <w:bottom w:val="single" w:sz="4" w:space="1" w:color="auto" w:shadow="1"/>
          <w:right w:val="single" w:sz="4" w:space="4" w:color="auto" w:shadow="1"/>
        </w:pBdr>
        <w:ind w:left="1440" w:right="720"/>
        <w:rPr>
          <w:b/>
          <w:bCs/>
        </w:rPr>
      </w:pPr>
      <w:r w:rsidRPr="00C83527">
        <w:rPr>
          <w:b/>
          <w:bCs/>
        </w:rPr>
        <w:t xml:space="preserve">STATE TAX IMPLICATIONS: State rules should be careful not to assume that all partnerships have similar or common attributes. In drafting rules, states should consider how they will apply not only in more simple scenarios but also where there are complex structures or partner-partnership or other related party transactions. </w:t>
      </w:r>
      <w:r w:rsidR="00F102A8">
        <w:rPr>
          <w:b/>
          <w:bCs/>
        </w:rPr>
        <w:t>In addition, states may consider creating requirements or safe-harbors based on certain provisions included in partnership agreements.</w:t>
      </w:r>
    </w:p>
    <w:p w14:paraId="4B024C01" w14:textId="0AB0E093" w:rsidR="00C73591" w:rsidRDefault="00F102A8" w:rsidP="00CC7FF2">
      <w:pPr>
        <w:pStyle w:val="Heading3"/>
      </w:pPr>
      <w:bookmarkStart w:id="42" w:name="_Toc198480730"/>
      <w:r>
        <w:lastRenderedPageBreak/>
        <w:t xml:space="preserve">Transactions Between </w:t>
      </w:r>
      <w:r w:rsidR="00512665">
        <w:t>Partner</w:t>
      </w:r>
      <w:r>
        <w:t xml:space="preserve">s &amp; </w:t>
      </w:r>
      <w:r w:rsidR="0021708F">
        <w:t>P</w:t>
      </w:r>
      <w:r w:rsidR="00F52919">
        <w:t xml:space="preserve">artnership </w:t>
      </w:r>
      <w:r>
        <w:t>or</w:t>
      </w:r>
      <w:r w:rsidR="00F52919">
        <w:t xml:space="preserve"> </w:t>
      </w:r>
      <w:r>
        <w:t xml:space="preserve">Other </w:t>
      </w:r>
      <w:r w:rsidR="0021708F">
        <w:t>R</w:t>
      </w:r>
      <w:r w:rsidR="00F52919">
        <w:t>elated</w:t>
      </w:r>
      <w:r>
        <w:t xml:space="preserve"> Entities</w:t>
      </w:r>
      <w:bookmarkEnd w:id="42"/>
      <w:r w:rsidR="00F52919">
        <w:t xml:space="preserve"> </w:t>
      </w:r>
    </w:p>
    <w:p w14:paraId="40AF3ACF" w14:textId="708435D9" w:rsidR="00896414" w:rsidRDefault="00897907" w:rsidP="0027376A">
      <w:r>
        <w:t xml:space="preserve">Transfers of property or </w:t>
      </w:r>
      <w:r w:rsidR="00F102A8">
        <w:t xml:space="preserve">other </w:t>
      </w:r>
      <w:r>
        <w:t xml:space="preserve">transactions between partners and partnerships can affect both federal and state taxes, including </w:t>
      </w:r>
      <w:r w:rsidR="00BE5713">
        <w:t xml:space="preserve">the </w:t>
      </w:r>
      <w:r>
        <w:t xml:space="preserve">application of state sourcing rules. </w:t>
      </w:r>
      <w:r w:rsidR="00C83527">
        <w:t xml:space="preserve">As discussed further in subsection </w:t>
      </w:r>
      <w:r w:rsidR="00896414">
        <w:t xml:space="preserve">I.F. below, state tax sourcing rules </w:t>
      </w:r>
      <w:r w:rsidR="000850C4">
        <w:t xml:space="preserve">for business income </w:t>
      </w:r>
      <w:r w:rsidR="00896414">
        <w:t>were developed in the context of taxable corporations. Most states have come to apply these rules to combined corporate groups that are engaged in one or more unitary businesses. By doing this, states avoid having to prescribe and ensure compliance with standards for pricing transactions between related entities</w:t>
      </w:r>
      <w:r>
        <w:t xml:space="preserve">, which can </w:t>
      </w:r>
      <w:r w:rsidR="00595C2F">
        <w:t>a</w:t>
      </w:r>
      <w:r>
        <w:t>ffect the income ultimately sourced to particular states.</w:t>
      </w:r>
    </w:p>
    <w:p w14:paraId="55C13D56" w14:textId="6AAD6266" w:rsidR="0027376A" w:rsidRDefault="00F102A8" w:rsidP="0027376A">
      <w:r>
        <w:t>But b</w:t>
      </w:r>
      <w:r w:rsidR="00897907">
        <w:t xml:space="preserve">ecause the pass-through system imposes tax on the partners and because of the flexibility of partnership structures, it is not possible to simply require related partnerships to file combined returns. Therefore, the rules for </w:t>
      </w:r>
      <w:r w:rsidR="004446A9">
        <w:t xml:space="preserve">these related-party transactions are given some </w:t>
      </w:r>
      <w:r w:rsidR="0021708F">
        <w:t xml:space="preserve">additional attention here. </w:t>
      </w:r>
    </w:p>
    <w:p w14:paraId="4C87A39C" w14:textId="344E1179" w:rsidR="007E03DD" w:rsidRDefault="00376C53" w:rsidP="00366E17">
      <w:pPr>
        <w:pStyle w:val="Heading4"/>
        <w:numPr>
          <w:ilvl w:val="0"/>
          <w:numId w:val="3"/>
        </w:numPr>
      </w:pPr>
      <w:r>
        <w:t>Recognition of built-in gain (loss) on c</w:t>
      </w:r>
      <w:r w:rsidR="004446A9">
        <w:t xml:space="preserve">ontributed property </w:t>
      </w:r>
      <w:r>
        <w:t>is deferred</w:t>
      </w:r>
      <w:r w:rsidR="007F4B88">
        <w:t xml:space="preserve">. </w:t>
      </w:r>
    </w:p>
    <w:p w14:paraId="010953E6" w14:textId="70F23278" w:rsidR="004446A9" w:rsidRDefault="007E03DD" w:rsidP="00044D5A">
      <w:pPr>
        <w:ind w:left="720"/>
      </w:pPr>
      <w:r>
        <w:t xml:space="preserve">Contributions to a partnership </w:t>
      </w:r>
      <w:r w:rsidR="00512665">
        <w:t>are generally non-recognition events—that is</w:t>
      </w:r>
      <w:r w:rsidR="004446A9">
        <w:t>,</w:t>
      </w:r>
      <w:r w:rsidR="00512665">
        <w:t xml:space="preserve"> they do not result in </w:t>
      </w:r>
      <w:r w:rsidR="00534324">
        <w:t xml:space="preserve">taxable </w:t>
      </w:r>
      <w:r w:rsidR="00512665">
        <w:t>income or loss</w:t>
      </w:r>
      <w:r w:rsidR="00A224B0">
        <w:t xml:space="preserve"> at the time of contribution</w:t>
      </w:r>
      <w:r>
        <w:t xml:space="preserve">. </w:t>
      </w:r>
      <w:r w:rsidR="00596C81">
        <w:t xml:space="preserve">This means that partners can </w:t>
      </w:r>
      <w:r w:rsidR="00534324">
        <w:t xml:space="preserve">generally </w:t>
      </w:r>
      <w:r w:rsidR="00596C81">
        <w:t>contribute property with a “built-in” gain or loss</w:t>
      </w:r>
      <w:r w:rsidR="00534324">
        <w:t xml:space="preserve">—the difference between the </w:t>
      </w:r>
      <w:r w:rsidR="004446A9">
        <w:t xml:space="preserve">property’s </w:t>
      </w:r>
      <w:r w:rsidR="00534324">
        <w:t xml:space="preserve">tax basis and </w:t>
      </w:r>
      <w:r w:rsidR="004446A9">
        <w:t xml:space="preserve">its </w:t>
      </w:r>
      <w:r w:rsidR="00534324">
        <w:t>fair market value</w:t>
      </w:r>
      <w:r w:rsidR="004446A9">
        <w:t xml:space="preserve"> at the time of contribution</w:t>
      </w:r>
      <w:r w:rsidR="00534324">
        <w:t>—</w:t>
      </w:r>
      <w:r w:rsidR="00596C81">
        <w:t xml:space="preserve">without </w:t>
      </w:r>
      <w:r w:rsidR="00534324">
        <w:t>recognizing and being taxed on that gain or loss</w:t>
      </w:r>
      <w:r w:rsidR="00376C53">
        <w:t xml:space="preserve"> until the partnership transfers t</w:t>
      </w:r>
      <w:r w:rsidR="00F102A8">
        <w:t>he</w:t>
      </w:r>
      <w:r w:rsidR="00376C53">
        <w:t xml:space="preserve"> property.</w:t>
      </w:r>
      <w:r w:rsidR="00596C81">
        <w:t xml:space="preserve"> </w:t>
      </w:r>
    </w:p>
    <w:p w14:paraId="18CB9409" w14:textId="4D4F8D81" w:rsidR="00A224B0" w:rsidRDefault="00534324" w:rsidP="00044D5A">
      <w:pPr>
        <w:ind w:left="720"/>
      </w:pPr>
      <w:r>
        <w:t>T</w:t>
      </w:r>
      <w:r w:rsidR="00162609">
        <w:t xml:space="preserve">o prevent </w:t>
      </w:r>
      <w:r w:rsidR="004446A9">
        <w:t xml:space="preserve">partnerships from being used to </w:t>
      </w:r>
      <w:r w:rsidR="00376C53">
        <w:t xml:space="preserve">effectively </w:t>
      </w:r>
      <w:r w:rsidR="004446A9">
        <w:t>sell or transfer property without recognizing gain or loss or the shifting of that gain or loss to other taxpayers</w:t>
      </w:r>
      <w:r w:rsidR="007F4B88">
        <w:t>, Subchapter K</w:t>
      </w:r>
      <w:r w:rsidR="00376C53">
        <w:t>’s rules</w:t>
      </w:r>
      <w:r w:rsidR="007F4B88">
        <w:t xml:space="preserve"> require built-in gain</w:t>
      </w:r>
      <w:r>
        <w:t>s</w:t>
      </w:r>
      <w:r w:rsidR="007F4B88">
        <w:t xml:space="preserve"> or loss</w:t>
      </w:r>
      <w:r>
        <w:t>es</w:t>
      </w:r>
      <w:r w:rsidR="007F4B88">
        <w:t xml:space="preserve"> to be recognized</w:t>
      </w:r>
      <w:r>
        <w:t xml:space="preserve"> and/or</w:t>
      </w:r>
      <w:r w:rsidR="007F4B88">
        <w:t xml:space="preserve"> allocated back to the contributing partner </w:t>
      </w:r>
      <w:r>
        <w:t>in certain circumstances</w:t>
      </w:r>
      <w:r w:rsidR="007F4B88">
        <w:t xml:space="preserve">. See IRC § 704(c) and IRS Reg. § 1.707-3(b)(1). </w:t>
      </w:r>
    </w:p>
    <w:p w14:paraId="2D6181A1" w14:textId="232CFAD6" w:rsidR="00044D5A" w:rsidRDefault="00F459D2" w:rsidP="00F102A8">
      <w:pPr>
        <w:spacing w:after="120"/>
        <w:ind w:left="720"/>
      </w:pPr>
      <w:r>
        <w:t>Th</w:t>
      </w:r>
      <w:r w:rsidR="00534324">
        <w:t xml:space="preserve">e </w:t>
      </w:r>
      <w:r w:rsidR="004446A9">
        <w:t xml:space="preserve">general </w:t>
      </w:r>
      <w:r w:rsidR="00534324">
        <w:t xml:space="preserve">deferral of </w:t>
      </w:r>
      <w:r w:rsidR="00376C53">
        <w:t>the</w:t>
      </w:r>
      <w:r w:rsidR="004446A9">
        <w:t xml:space="preserve"> built-in gain (loss) </w:t>
      </w:r>
      <w:r>
        <w:t xml:space="preserve">may have implications for state tax sourcing. </w:t>
      </w:r>
      <w:r w:rsidR="00044D5A">
        <w:t>For example, assume</w:t>
      </w:r>
      <w:r w:rsidR="00E3031D">
        <w:t xml:space="preserve"> State A has an income tax and State B does not. </w:t>
      </w:r>
    </w:p>
    <w:p w14:paraId="693AF7DC" w14:textId="77777777" w:rsidR="00E3031D" w:rsidRDefault="00A224B0" w:rsidP="00366E17">
      <w:pPr>
        <w:pStyle w:val="ListParagraph"/>
        <w:numPr>
          <w:ilvl w:val="0"/>
          <w:numId w:val="18"/>
        </w:numPr>
        <w:spacing w:after="60"/>
        <w:ind w:right="720"/>
        <w:contextualSpacing w:val="0"/>
      </w:pPr>
      <w:r>
        <w:t>Smith</w:t>
      </w:r>
      <w:r w:rsidR="00E3031D">
        <w:t xml:space="preserve"> is a resident of State B</w:t>
      </w:r>
    </w:p>
    <w:p w14:paraId="4A6ECB78" w14:textId="22F3C5CD" w:rsidR="00534324" w:rsidRDefault="00E3031D" w:rsidP="00366E17">
      <w:pPr>
        <w:pStyle w:val="ListParagraph"/>
        <w:numPr>
          <w:ilvl w:val="0"/>
          <w:numId w:val="18"/>
        </w:numPr>
        <w:spacing w:after="60"/>
        <w:ind w:right="720"/>
        <w:contextualSpacing w:val="0"/>
      </w:pPr>
      <w:r>
        <w:t xml:space="preserve">Smith </w:t>
      </w:r>
      <w:r w:rsidR="00A224B0">
        <w:t>owns property located in State A</w:t>
      </w:r>
      <w:r>
        <w:t xml:space="preserve"> that</w:t>
      </w:r>
      <w:r w:rsidR="00534324">
        <w:t xml:space="preserve"> has a tax basis of $0 and a fair market value (FMV) of $100,000. </w:t>
      </w:r>
    </w:p>
    <w:p w14:paraId="7FB0F9B4" w14:textId="42A14E1D" w:rsidR="00044D5A" w:rsidRDefault="00F102A8" w:rsidP="00366E17">
      <w:pPr>
        <w:pStyle w:val="ListParagraph"/>
        <w:numPr>
          <w:ilvl w:val="0"/>
          <w:numId w:val="18"/>
        </w:numPr>
        <w:spacing w:after="60"/>
        <w:ind w:right="720"/>
        <w:contextualSpacing w:val="0"/>
      </w:pPr>
      <w:r>
        <w:t xml:space="preserve">Year 1 – </w:t>
      </w:r>
      <w:r w:rsidR="008039D3">
        <w:t xml:space="preserve"> </w:t>
      </w:r>
      <w:r w:rsidR="00044D5A">
        <w:t>Smith contributes and delivers the property to Partnership, operating in State B.</w:t>
      </w:r>
    </w:p>
    <w:p w14:paraId="0A0AE6A6" w14:textId="6090C98E" w:rsidR="00534324" w:rsidRDefault="008039D3" w:rsidP="00366E17">
      <w:pPr>
        <w:pStyle w:val="ListParagraph"/>
        <w:numPr>
          <w:ilvl w:val="0"/>
          <w:numId w:val="18"/>
        </w:numPr>
        <w:ind w:right="720"/>
      </w:pPr>
      <w:r>
        <w:t>Year 3</w:t>
      </w:r>
      <w:r w:rsidR="00F102A8">
        <w:t xml:space="preserve"> – </w:t>
      </w:r>
      <w:r w:rsidR="00534324">
        <w:t xml:space="preserve">Partnership </w:t>
      </w:r>
      <w:r w:rsidR="00E3031D">
        <w:t>sells</w:t>
      </w:r>
      <w:r w:rsidR="00534324">
        <w:t xml:space="preserve"> the property recognizing a </w:t>
      </w:r>
      <w:r w:rsidR="004446A9">
        <w:t xml:space="preserve">total </w:t>
      </w:r>
      <w:r w:rsidR="00534324">
        <w:t>$120,000 gain.</w:t>
      </w:r>
    </w:p>
    <w:p w14:paraId="34C5EEDB" w14:textId="705921F0" w:rsidR="008039D3" w:rsidRDefault="00F102A8" w:rsidP="00044D5A">
      <w:pPr>
        <w:ind w:left="720" w:right="720"/>
      </w:pPr>
      <w:r>
        <w:t xml:space="preserve">In Year 1, </w:t>
      </w:r>
      <w:r w:rsidR="00A224B0">
        <w:t>Smith is not required to recognize any gain. However,</w:t>
      </w:r>
      <w:r w:rsidR="008039D3">
        <w:t xml:space="preserve"> </w:t>
      </w:r>
      <w:r>
        <w:t xml:space="preserve">in Year 3, </w:t>
      </w:r>
      <w:r w:rsidR="008039D3">
        <w:t xml:space="preserve">Smith will be allocated the </w:t>
      </w:r>
      <w:r>
        <w:t xml:space="preserve">$100,000 </w:t>
      </w:r>
      <w:r w:rsidR="008039D3">
        <w:t xml:space="preserve">built-in gain as part of his distributive share (regardless of any agreement between the partners </w:t>
      </w:r>
      <w:r>
        <w:t>to the contrary</w:t>
      </w:r>
      <w:r w:rsidR="004446A9">
        <w:t>).</w:t>
      </w:r>
      <w:r>
        <w:t xml:space="preserve"> </w:t>
      </w:r>
      <w:r w:rsidR="008039D3">
        <w:t xml:space="preserve">See IRC </w:t>
      </w:r>
      <w:r w:rsidR="004446A9">
        <w:t xml:space="preserve">§ </w:t>
      </w:r>
      <w:r w:rsidR="008039D3">
        <w:t>704(c)(1)(B).</w:t>
      </w:r>
      <w:r w:rsidR="00A224B0">
        <w:t xml:space="preserve"> </w:t>
      </w:r>
    </w:p>
    <w:p w14:paraId="3E875F3B" w14:textId="5D33C4EF" w:rsidR="009004A8" w:rsidRDefault="00E3031D" w:rsidP="00044D5A">
      <w:pPr>
        <w:ind w:left="720" w:right="720"/>
      </w:pPr>
      <w:r>
        <w:t>But note—i</w:t>
      </w:r>
      <w:r w:rsidR="008039D3">
        <w:t xml:space="preserve">f Partnership sources this gain as part of its income and then attributes that source to the </w:t>
      </w:r>
      <w:r>
        <w:t xml:space="preserve">its </w:t>
      </w:r>
      <w:r w:rsidR="008039D3">
        <w:t>partners, along with their shares, Smith’s built-in gain, will be sourced to State B. But assume,</w:t>
      </w:r>
      <w:r w:rsidR="00A224B0">
        <w:t xml:space="preserve"> </w:t>
      </w:r>
      <w:r w:rsidR="008039D3">
        <w:t xml:space="preserve">instead, that </w:t>
      </w:r>
      <w:r w:rsidR="00A224B0">
        <w:t xml:space="preserve">Smith </w:t>
      </w:r>
      <w:r w:rsidR="008039D3">
        <w:t xml:space="preserve">had simply </w:t>
      </w:r>
      <w:r w:rsidR="00A224B0">
        <w:t>sold the property and contributed the proceeds</w:t>
      </w:r>
      <w:r w:rsidR="008039D3">
        <w:t>.</w:t>
      </w:r>
      <w:r w:rsidR="00A224B0">
        <w:t xml:space="preserve"> </w:t>
      </w:r>
      <w:r w:rsidR="008039D3">
        <w:t>N</w:t>
      </w:r>
      <w:r w:rsidR="00A224B0">
        <w:t xml:space="preserve">ot only would the gain have been recognized </w:t>
      </w:r>
      <w:r w:rsidR="008039D3">
        <w:t xml:space="preserve">at the time of contribution, </w:t>
      </w:r>
      <w:r w:rsidR="00A224B0">
        <w:t xml:space="preserve">but it would </w:t>
      </w:r>
      <w:r>
        <w:t>presumably</w:t>
      </w:r>
      <w:r w:rsidR="008039D3">
        <w:t xml:space="preserve"> </w:t>
      </w:r>
      <w:r w:rsidR="00A224B0">
        <w:t xml:space="preserve">have been sourced to State A. </w:t>
      </w:r>
    </w:p>
    <w:p w14:paraId="26FCC35A" w14:textId="611E3E5B" w:rsidR="00044D5A" w:rsidRPr="004446A9" w:rsidRDefault="00044D5A" w:rsidP="00F102A8">
      <w:pPr>
        <w:pBdr>
          <w:top w:val="single" w:sz="4" w:space="1" w:color="auto" w:shadow="1"/>
          <w:left w:val="single" w:sz="4" w:space="4" w:color="auto" w:shadow="1"/>
          <w:bottom w:val="single" w:sz="4" w:space="1" w:color="auto" w:shadow="1"/>
          <w:right w:val="single" w:sz="4" w:space="4" w:color="auto" w:shadow="1"/>
        </w:pBdr>
        <w:ind w:left="1080" w:right="720"/>
        <w:rPr>
          <w:b/>
          <w:bCs/>
        </w:rPr>
      </w:pPr>
      <w:bookmarkStart w:id="43" w:name="_Hlk194153869"/>
      <w:r w:rsidRPr="004446A9">
        <w:rPr>
          <w:b/>
          <w:bCs/>
        </w:rPr>
        <w:t xml:space="preserve">STATE TAX IMPLICATIONS: States should consider whether the treatment of built-in gain (loss) under Subchapter K will </w:t>
      </w:r>
      <w:r w:rsidR="004446A9">
        <w:rPr>
          <w:b/>
          <w:bCs/>
        </w:rPr>
        <w:t xml:space="preserve">necessarily </w:t>
      </w:r>
      <w:r w:rsidRPr="004446A9">
        <w:rPr>
          <w:b/>
          <w:bCs/>
        </w:rPr>
        <w:t xml:space="preserve">dictate the sourcing of that gain (loss) once recognized or whether that gain (loss) </w:t>
      </w:r>
      <w:r w:rsidR="008039D3" w:rsidRPr="004446A9">
        <w:rPr>
          <w:b/>
          <w:bCs/>
        </w:rPr>
        <w:t>may, instead,</w:t>
      </w:r>
      <w:r w:rsidRPr="004446A9">
        <w:rPr>
          <w:b/>
          <w:bCs/>
        </w:rPr>
        <w:t xml:space="preserve"> be sourced to where it would have been sourced at the time of the contribution—had it been recognized at that time. </w:t>
      </w:r>
      <w:r w:rsidR="00B96BD3" w:rsidRPr="004446A9">
        <w:rPr>
          <w:b/>
          <w:bCs/>
        </w:rPr>
        <w:t>States</w:t>
      </w:r>
      <w:r w:rsidR="004446A9">
        <w:rPr>
          <w:b/>
          <w:bCs/>
        </w:rPr>
        <w:t xml:space="preserve"> may </w:t>
      </w:r>
      <w:r w:rsidR="00B96BD3" w:rsidRPr="004446A9">
        <w:rPr>
          <w:b/>
          <w:bCs/>
        </w:rPr>
        <w:t xml:space="preserve">also consider whether to address this </w:t>
      </w:r>
      <w:r w:rsidR="004446A9">
        <w:rPr>
          <w:b/>
          <w:bCs/>
        </w:rPr>
        <w:t xml:space="preserve">issue </w:t>
      </w:r>
      <w:r w:rsidR="00B96BD3" w:rsidRPr="004446A9">
        <w:rPr>
          <w:b/>
          <w:bCs/>
        </w:rPr>
        <w:t>with a definitive rule or with some type of anti-abuse rule applicable only when there are indications that the contribution was done to avoid tax.</w:t>
      </w:r>
    </w:p>
    <w:bookmarkEnd w:id="43"/>
    <w:p w14:paraId="0A9BCE37" w14:textId="06A78581" w:rsidR="009004A8" w:rsidRDefault="00E3031D" w:rsidP="00366E17">
      <w:pPr>
        <w:pStyle w:val="Heading4"/>
        <w:numPr>
          <w:ilvl w:val="0"/>
          <w:numId w:val="3"/>
        </w:numPr>
      </w:pPr>
      <w:r>
        <w:lastRenderedPageBreak/>
        <w:t>Recognition</w:t>
      </w:r>
      <w:r w:rsidR="00376C53">
        <w:t xml:space="preserve"> of built-in gain (loss) on </w:t>
      </w:r>
      <w:r>
        <w:t>distributed</w:t>
      </w:r>
      <w:r w:rsidR="00044D5A">
        <w:t xml:space="preserve"> property </w:t>
      </w:r>
      <w:r w:rsidR="00376C53">
        <w:t>is generally deferred</w:t>
      </w:r>
      <w:r w:rsidR="002320E0">
        <w:t xml:space="preserve">.  </w:t>
      </w:r>
      <w:r w:rsidR="00044D5A">
        <w:t xml:space="preserve"> </w:t>
      </w:r>
    </w:p>
    <w:p w14:paraId="026DA86A" w14:textId="4E0E4DE7" w:rsidR="00C8690B" w:rsidRDefault="00F459D2" w:rsidP="00567102">
      <w:pPr>
        <w:ind w:left="720"/>
      </w:pPr>
      <w:r>
        <w:t xml:space="preserve">Partnerships do not recognize gain (loss) on distributions. IRC § 731. A partner may recognize gains and, sometimes, losses (in the case of liquidating distributions)—but only in limited circumstances. </w:t>
      </w:r>
      <w:r w:rsidR="00376C53">
        <w:t>So, with some exceptions</w:t>
      </w:r>
      <w:r w:rsidR="000952DC">
        <w:t>,</w:t>
      </w:r>
      <w:r>
        <w:t xml:space="preserve"> </w:t>
      </w:r>
      <w:r w:rsidR="00C8690B">
        <w:t>if a partnership distributes property with a built-in gain (loss)—where the partnership’s basis in the property is different from the property’s fair market value—</w:t>
      </w:r>
      <w:r w:rsidR="000952DC">
        <w:t xml:space="preserve">the </w:t>
      </w:r>
      <w:r>
        <w:t>partner</w:t>
      </w:r>
      <w:r w:rsidR="00B96BD3">
        <w:t xml:space="preserve"> simply</w:t>
      </w:r>
      <w:r>
        <w:t xml:space="preserve"> take</w:t>
      </w:r>
      <w:r w:rsidR="000952DC">
        <w:t>s</w:t>
      </w:r>
      <w:r>
        <w:t xml:space="preserve"> </w:t>
      </w:r>
      <w:r w:rsidR="00C8690B">
        <w:t>the partnership’s</w:t>
      </w:r>
      <w:r>
        <w:t xml:space="preserve"> carryover basis</w:t>
      </w:r>
      <w:r w:rsidR="00C8690B">
        <w:t xml:space="preserve">, deferring any recognition </w:t>
      </w:r>
      <w:r w:rsidR="000952DC">
        <w:t xml:space="preserve">of gain or loss </w:t>
      </w:r>
      <w:r w:rsidR="00C8690B">
        <w:t xml:space="preserve">until the partner later transfers the property. </w:t>
      </w:r>
      <w:r>
        <w:t xml:space="preserve">IRC § 732. </w:t>
      </w:r>
    </w:p>
    <w:p w14:paraId="0D8610B0" w14:textId="08D4AEF5" w:rsidR="00C8690B" w:rsidRDefault="00C8690B" w:rsidP="00567102">
      <w:pPr>
        <w:ind w:left="720"/>
      </w:pPr>
      <w:r>
        <w:t>As with the treatment of built-in gain (loss) on contributed property</w:t>
      </w:r>
      <w:r w:rsidR="00B96BD3">
        <w:t xml:space="preserve"> (above)</w:t>
      </w:r>
      <w:r>
        <w:t>, the</w:t>
      </w:r>
      <w:r w:rsidR="00376C53">
        <w:t xml:space="preserve"> deferral of recognition of </w:t>
      </w:r>
      <w:r>
        <w:t xml:space="preserve"> built-in gain (loss) on distributed property can raise state sourcing issues—</w:t>
      </w:r>
      <w:r w:rsidR="00B96BD3">
        <w:t>for example,</w:t>
      </w:r>
      <w:r>
        <w:t xml:space="preserve"> where the gain or loss accrued while the partnership used the property in one state, but the distributee-partner receives and then sells the property in another state.</w:t>
      </w:r>
    </w:p>
    <w:p w14:paraId="6F41BCB0" w14:textId="3D99903A" w:rsidR="00C8690B" w:rsidRPr="00376C53" w:rsidRDefault="00C8690B" w:rsidP="00F102A8">
      <w:pPr>
        <w:pBdr>
          <w:top w:val="single" w:sz="4" w:space="1" w:color="auto" w:shadow="1"/>
          <w:left w:val="single" w:sz="4" w:space="4" w:color="auto" w:shadow="1"/>
          <w:bottom w:val="single" w:sz="4" w:space="1" w:color="auto" w:shadow="1"/>
          <w:right w:val="single" w:sz="4" w:space="4" w:color="auto" w:shadow="1"/>
        </w:pBdr>
        <w:ind w:left="1080" w:right="720"/>
        <w:rPr>
          <w:b/>
          <w:bCs/>
        </w:rPr>
      </w:pPr>
      <w:r>
        <w:t xml:space="preserve"> </w:t>
      </w:r>
      <w:r w:rsidRPr="00376C53">
        <w:rPr>
          <w:b/>
          <w:bCs/>
        </w:rPr>
        <w:t xml:space="preserve">STATE TAX IMPLICATIONS: As with built-in gain (loss) on contributed property, states should consider whether the treatment of built-in gain (loss) on distributed property should dictate the sourcing of that gain (loss) once recognized or whether that gain (loss) </w:t>
      </w:r>
      <w:r w:rsidR="00B96BD3" w:rsidRPr="00376C53">
        <w:rPr>
          <w:b/>
          <w:bCs/>
        </w:rPr>
        <w:t>may, instead,</w:t>
      </w:r>
      <w:r w:rsidRPr="00376C53">
        <w:rPr>
          <w:b/>
          <w:bCs/>
        </w:rPr>
        <w:t xml:space="preserve"> be sourced to where it would have been sourced at the time of the distribution—had it been recognized at that time. </w:t>
      </w:r>
      <w:r w:rsidR="002320E0" w:rsidRPr="00376C53">
        <w:rPr>
          <w:b/>
          <w:bCs/>
        </w:rPr>
        <w:t>States should also consider whether to address this with a definitive rule for all such situations or with some type of anti-abuse rule applicable only when there are indications that the contribution was done to avoid tax.</w:t>
      </w:r>
    </w:p>
    <w:p w14:paraId="5EECC9F3" w14:textId="3D3B04B1" w:rsidR="00E51C1F" w:rsidRDefault="00596C81" w:rsidP="00366E17">
      <w:pPr>
        <w:pStyle w:val="Heading4"/>
        <w:numPr>
          <w:ilvl w:val="0"/>
          <w:numId w:val="3"/>
        </w:numPr>
      </w:pPr>
      <w:r>
        <w:t xml:space="preserve">Partners </w:t>
      </w:r>
      <w:r w:rsidR="00C8690B">
        <w:t>may receive guaranteed payments when acting in the capacity of partners.</w:t>
      </w:r>
    </w:p>
    <w:p w14:paraId="5BD325D3" w14:textId="1995ED35" w:rsidR="00B96BD3" w:rsidRDefault="00830EF0" w:rsidP="00567102">
      <w:pPr>
        <w:ind w:left="720"/>
      </w:pPr>
      <w:r>
        <w:t xml:space="preserve">Under </w:t>
      </w:r>
      <w:r w:rsidR="00254070">
        <w:t>IRC § 707(c), partners may receive so-called “guaranteed payments” for services or for the use of capital</w:t>
      </w:r>
      <w:r w:rsidR="001A787B">
        <w:t xml:space="preserve"> where the partner is acting in the capacity of a partner</w:t>
      </w:r>
      <w:r w:rsidR="00254070">
        <w:t xml:space="preserve">. </w:t>
      </w:r>
      <w:r w:rsidR="001A787B">
        <w:t xml:space="preserve">Guaranteed payments are those payments that </w:t>
      </w:r>
      <w:r w:rsidR="00376C53">
        <w:t xml:space="preserve">are </w:t>
      </w:r>
      <w:r w:rsidR="001A787B">
        <w:t xml:space="preserve">determined without regard to the income of the partnership—that is—they do not represent a </w:t>
      </w:r>
      <w:r w:rsidR="00376C53">
        <w:t xml:space="preserve">distributive </w:t>
      </w:r>
      <w:r w:rsidR="001A787B">
        <w:t>share of that partnership income or items.</w:t>
      </w:r>
      <w:r w:rsidR="00512665">
        <w:t xml:space="preserve"> </w:t>
      </w:r>
    </w:p>
    <w:p w14:paraId="3F3E97A5" w14:textId="77777777" w:rsidR="003B0B95" w:rsidRDefault="003B0B95" w:rsidP="00567102">
      <w:pPr>
        <w:ind w:left="720"/>
      </w:pPr>
      <w:r>
        <w:t>Guaranteed</w:t>
      </w:r>
      <w:r w:rsidR="00254070">
        <w:t xml:space="preserve"> payments are subject to a type of “hybrid” treatment. They are treated as payments to unrelated parties for purposes of computing partnership income and the distributive shares of that income</w:t>
      </w:r>
      <w:r w:rsidR="001A787B">
        <w:t xml:space="preserve"> to the partners</w:t>
      </w:r>
      <w:r w:rsidR="00254070">
        <w:t xml:space="preserve">. </w:t>
      </w:r>
      <w:r w:rsidR="001A787B">
        <w:t xml:space="preserve">For the partner receiving the guaranteed payment, they are treated as ordinary income. </w:t>
      </w:r>
      <w:r w:rsidR="00A13CBD">
        <w:t>But in other respects, they are treated as distributive share and t</w:t>
      </w:r>
      <w:r w:rsidR="001A787B">
        <w:t>hese payments are reported separately on the IRS Form 1065, Schedule K-1.</w:t>
      </w:r>
      <w:r w:rsidR="00D26105" w:rsidRPr="00D26105">
        <w:t xml:space="preserve"> </w:t>
      </w:r>
    </w:p>
    <w:p w14:paraId="5735801D" w14:textId="0DA44AD4" w:rsidR="00764C40" w:rsidRDefault="003B0B95" w:rsidP="00567102">
      <w:pPr>
        <w:ind w:left="720"/>
      </w:pPr>
      <w:r>
        <w:t xml:space="preserve">Guaranteed payments may raise state sourcing questions. </w:t>
      </w:r>
      <w:r w:rsidR="00D26105">
        <w:t xml:space="preserve">The sourcing of guaranteed payments to individual partners for services is addressed in a separate white paper that can be found on the MTC project webpage – </w:t>
      </w:r>
      <w:hyperlink r:id="rId25" w:history="1">
        <w:r w:rsidR="00D26105" w:rsidRPr="00D26105">
          <w:rPr>
            <w:rStyle w:val="Hyperlink"/>
          </w:rPr>
          <w:t>HERE</w:t>
        </w:r>
      </w:hyperlink>
      <w:r w:rsidR="00D26105" w:rsidRPr="00D26105">
        <w:t>.</w:t>
      </w:r>
      <w:r w:rsidR="00D26105">
        <w:t xml:space="preserve"> </w:t>
      </w:r>
      <w:r>
        <w:t>But w</w:t>
      </w:r>
      <w:r w:rsidR="00D26105">
        <w:t>he</w:t>
      </w:r>
      <w:r>
        <w:t>n</w:t>
      </w:r>
      <w:r w:rsidR="00764C40">
        <w:t xml:space="preserve"> these payments are made to corporate </w:t>
      </w:r>
      <w:r w:rsidR="003029E5">
        <w:t xml:space="preserve">or tiered </w:t>
      </w:r>
      <w:r w:rsidR="00764C40">
        <w:t xml:space="preserve">partners, the question is whether </w:t>
      </w:r>
      <w:r w:rsidR="00B96BD3">
        <w:t>they should be</w:t>
      </w:r>
      <w:r w:rsidR="00764C40">
        <w:t xml:space="preserve"> included, in whole or in part, in the </w:t>
      </w:r>
      <w:r w:rsidR="00D26105">
        <w:t>receipts</w:t>
      </w:r>
      <w:r w:rsidR="00764C40">
        <w:t xml:space="preserve"> factor</w:t>
      </w:r>
      <w:r w:rsidR="00D26105">
        <w:t xml:space="preserve"> for the partnership or the partner</w:t>
      </w:r>
      <w:r w:rsidR="00121870">
        <w:t xml:space="preserve"> (separately or </w:t>
      </w:r>
      <w:r w:rsidR="00D26105">
        <w:t xml:space="preserve">on a </w:t>
      </w:r>
      <w:r w:rsidR="00764C40">
        <w:t xml:space="preserve">blended basis). </w:t>
      </w:r>
      <w:r w:rsidR="00D26105">
        <w:t xml:space="preserve">In the corporate tax context, when income is combined, intercompany transactions are effectively eliminated from both the apportionable income and from the </w:t>
      </w:r>
      <w:r w:rsidR="006171B3">
        <w:t xml:space="preserve">combined </w:t>
      </w:r>
      <w:r w:rsidR="00D26105">
        <w:t>factor.</w:t>
      </w:r>
      <w:r w:rsidR="00121870">
        <w:t xml:space="preserve"> </w:t>
      </w:r>
      <w:r>
        <w:t>But where the payments are between the partner and the partnership—there is no way to effectively eliminate them</w:t>
      </w:r>
      <w:r w:rsidR="00DC70E0">
        <w:t xml:space="preserve"> simply</w:t>
      </w:r>
      <w:r>
        <w:t xml:space="preserve"> through some type of </w:t>
      </w:r>
      <w:r w:rsidR="006171B3">
        <w:t xml:space="preserve">entity level </w:t>
      </w:r>
      <w:r>
        <w:t>combined filing.</w:t>
      </w:r>
    </w:p>
    <w:p w14:paraId="6BC37AF8" w14:textId="47A21782" w:rsidR="00764C40" w:rsidRPr="00376C53" w:rsidRDefault="00764C40" w:rsidP="00F102A8">
      <w:pPr>
        <w:pBdr>
          <w:top w:val="single" w:sz="4" w:space="1" w:color="auto" w:shadow="1"/>
          <w:left w:val="single" w:sz="4" w:space="4" w:color="auto" w:shadow="1"/>
          <w:bottom w:val="single" w:sz="4" w:space="1" w:color="auto" w:shadow="1"/>
          <w:right w:val="single" w:sz="4" w:space="4" w:color="auto" w:shadow="1"/>
        </w:pBdr>
        <w:ind w:left="1080" w:right="720"/>
        <w:rPr>
          <w:b/>
          <w:bCs/>
        </w:rPr>
      </w:pPr>
      <w:r w:rsidRPr="00376C53">
        <w:rPr>
          <w:b/>
          <w:bCs/>
        </w:rPr>
        <w:t xml:space="preserve">STATE TAX IMPLICATIONS: </w:t>
      </w:r>
      <w:bookmarkStart w:id="44" w:name="_Hlk194315331"/>
      <w:r w:rsidRPr="00376C53">
        <w:rPr>
          <w:b/>
          <w:bCs/>
        </w:rPr>
        <w:t xml:space="preserve">Because states typically use </w:t>
      </w:r>
      <w:r w:rsidR="00AD2B28">
        <w:rPr>
          <w:b/>
          <w:bCs/>
        </w:rPr>
        <w:t xml:space="preserve">formulary </w:t>
      </w:r>
      <w:r w:rsidRPr="00376C53">
        <w:rPr>
          <w:b/>
          <w:bCs/>
        </w:rPr>
        <w:t xml:space="preserve">apportionment to source business income and </w:t>
      </w:r>
      <w:r w:rsidR="00AD2B28">
        <w:rPr>
          <w:b/>
          <w:bCs/>
        </w:rPr>
        <w:t xml:space="preserve">since </w:t>
      </w:r>
      <w:r w:rsidRPr="00376C53">
        <w:rPr>
          <w:b/>
          <w:bCs/>
        </w:rPr>
        <w:t>the apportionment formula includes receipts from services</w:t>
      </w:r>
      <w:r w:rsidR="00121870">
        <w:rPr>
          <w:b/>
          <w:bCs/>
        </w:rPr>
        <w:t xml:space="preserve"> in the receipts factor</w:t>
      </w:r>
      <w:r w:rsidRPr="00376C53">
        <w:rPr>
          <w:b/>
          <w:bCs/>
        </w:rPr>
        <w:t xml:space="preserve">, this raises the question of how guaranteed payments </w:t>
      </w:r>
      <w:r w:rsidR="003B0B95">
        <w:rPr>
          <w:b/>
          <w:bCs/>
        </w:rPr>
        <w:t xml:space="preserve">made to corporate </w:t>
      </w:r>
      <w:r w:rsidR="003029E5">
        <w:rPr>
          <w:b/>
          <w:bCs/>
        </w:rPr>
        <w:t xml:space="preserve">or tiered </w:t>
      </w:r>
      <w:r w:rsidR="003B0B95">
        <w:rPr>
          <w:b/>
          <w:bCs/>
        </w:rPr>
        <w:t xml:space="preserve">partners </w:t>
      </w:r>
      <w:r w:rsidRPr="00376C53">
        <w:rPr>
          <w:b/>
          <w:bCs/>
        </w:rPr>
        <w:t>should be treated</w:t>
      </w:r>
      <w:r w:rsidR="000952DC" w:rsidRPr="00376C53">
        <w:rPr>
          <w:b/>
          <w:bCs/>
        </w:rPr>
        <w:t xml:space="preserve"> when computing </w:t>
      </w:r>
      <w:r w:rsidR="00121870">
        <w:rPr>
          <w:b/>
          <w:bCs/>
        </w:rPr>
        <w:t>that factor—including when the blended apportionment method is used</w:t>
      </w:r>
      <w:r w:rsidR="003B0B95">
        <w:rPr>
          <w:b/>
          <w:bCs/>
        </w:rPr>
        <w:t>, and whether these payments might, in some cases, distort the receipts factor.</w:t>
      </w:r>
      <w:r w:rsidR="00121870">
        <w:rPr>
          <w:b/>
          <w:bCs/>
        </w:rPr>
        <w:t xml:space="preserve"> </w:t>
      </w:r>
    </w:p>
    <w:bookmarkEnd w:id="44"/>
    <w:p w14:paraId="58E10DA5" w14:textId="1B970FD6" w:rsidR="00830EF0" w:rsidRDefault="00830EF0" w:rsidP="00366E17">
      <w:pPr>
        <w:pStyle w:val="Heading4"/>
        <w:numPr>
          <w:ilvl w:val="0"/>
          <w:numId w:val="3"/>
        </w:numPr>
      </w:pPr>
      <w:r>
        <w:lastRenderedPageBreak/>
        <w:t xml:space="preserve">Partners </w:t>
      </w:r>
      <w:r w:rsidR="00764C40">
        <w:t xml:space="preserve">may </w:t>
      </w:r>
      <w:r w:rsidR="000952DC">
        <w:t>engage in</w:t>
      </w:r>
      <w:r w:rsidR="00764C40">
        <w:t xml:space="preserve"> transactions with partnerships as unrelated parties. </w:t>
      </w:r>
    </w:p>
    <w:p w14:paraId="4C250C99" w14:textId="5E20C70F" w:rsidR="00830EF0" w:rsidRDefault="00830EF0" w:rsidP="00567102">
      <w:pPr>
        <w:ind w:left="720"/>
      </w:pPr>
      <w:r>
        <w:t>Under</w:t>
      </w:r>
      <w:r w:rsidR="001A787B">
        <w:t xml:space="preserve"> IRC §707(a), partners may also receive payments from transactions with partnerships where the partner is not acting in the capacity of a partner. For example, a partner might be a engaged in </w:t>
      </w:r>
      <w:r w:rsidR="000952DC">
        <w:t xml:space="preserve">a business </w:t>
      </w:r>
      <w:r w:rsidR="00121870">
        <w:t>that sells</w:t>
      </w:r>
      <w:r w:rsidR="001A787B">
        <w:t xml:space="preserve"> </w:t>
      </w:r>
      <w:r w:rsidR="00512665">
        <w:t xml:space="preserve">goods or services. That partner may </w:t>
      </w:r>
      <w:r w:rsidR="001A787B">
        <w:t xml:space="preserve">provide </w:t>
      </w:r>
      <w:r w:rsidR="00F90E31">
        <w:t xml:space="preserve">those </w:t>
      </w:r>
      <w:r w:rsidR="001A787B">
        <w:t xml:space="preserve">goods or services to the partnership in exchange for payment in the same way </w:t>
      </w:r>
      <w:r w:rsidR="000952DC">
        <w:t>as to</w:t>
      </w:r>
      <w:r w:rsidR="001A787B">
        <w:t xml:space="preserve"> an unrelated person. In this case, the transaction</w:t>
      </w:r>
      <w:r w:rsidR="000952DC">
        <w:t>s</w:t>
      </w:r>
      <w:r w:rsidR="001A787B">
        <w:t xml:space="preserve"> </w:t>
      </w:r>
      <w:r w:rsidR="000952DC">
        <w:t>would be</w:t>
      </w:r>
      <w:r w:rsidR="001A787B">
        <w:t xml:space="preserve"> treated as transaction</w:t>
      </w:r>
      <w:r w:rsidR="000952DC">
        <w:t>s</w:t>
      </w:r>
      <w:r w:rsidR="001A787B">
        <w:t xml:space="preserve"> between unrelated parties</w:t>
      </w:r>
      <w:r w:rsidR="009D0412">
        <w:t>.</w:t>
      </w:r>
    </w:p>
    <w:p w14:paraId="616BF759" w14:textId="6192C746" w:rsidR="00121870" w:rsidRDefault="00121870" w:rsidP="00121870">
      <w:pPr>
        <w:ind w:left="720"/>
      </w:pPr>
      <w:r>
        <w:t>As with guaranteed payments, when these kinds of transactions and payments are made between partnerships and corporate</w:t>
      </w:r>
      <w:r w:rsidR="003029E5">
        <w:t xml:space="preserve"> or tiered</w:t>
      </w:r>
      <w:r>
        <w:t xml:space="preserve"> partners, the question is whether they should be included, in whole or in part, in the receipts factor for the partnership or the partner (separately or on a blended basis). </w:t>
      </w:r>
    </w:p>
    <w:p w14:paraId="20DE2A1A" w14:textId="6BB8656B" w:rsidR="000952DC" w:rsidRPr="00121870" w:rsidRDefault="000952DC" w:rsidP="00F102A8">
      <w:pPr>
        <w:pBdr>
          <w:top w:val="single" w:sz="4" w:space="1" w:color="auto" w:shadow="1"/>
          <w:left w:val="single" w:sz="4" w:space="4" w:color="auto" w:shadow="1"/>
          <w:bottom w:val="single" w:sz="4" w:space="1" w:color="auto" w:shadow="1"/>
          <w:right w:val="single" w:sz="4" w:space="4" w:color="auto" w:shadow="1"/>
        </w:pBdr>
        <w:ind w:left="1080" w:right="720"/>
        <w:rPr>
          <w:b/>
          <w:bCs/>
        </w:rPr>
      </w:pPr>
      <w:r w:rsidRPr="00121870">
        <w:rPr>
          <w:b/>
          <w:bCs/>
        </w:rPr>
        <w:t xml:space="preserve">STATE TAX IMPLICATIONS: As with guaranteed payments (above), since states typically use </w:t>
      </w:r>
      <w:r w:rsidR="00AD2B28">
        <w:rPr>
          <w:b/>
          <w:bCs/>
        </w:rPr>
        <w:t xml:space="preserve">formulary </w:t>
      </w:r>
      <w:r w:rsidRPr="00121870">
        <w:rPr>
          <w:b/>
          <w:bCs/>
        </w:rPr>
        <w:t xml:space="preserve">apportionment to source business income and </w:t>
      </w:r>
      <w:r w:rsidR="00AD2B28">
        <w:rPr>
          <w:b/>
          <w:bCs/>
        </w:rPr>
        <w:t xml:space="preserve">since </w:t>
      </w:r>
      <w:r w:rsidRPr="00121870">
        <w:rPr>
          <w:b/>
          <w:bCs/>
        </w:rPr>
        <w:t xml:space="preserve">the apportionment formula includes receipts from sales of property or services, this raises the question of how </w:t>
      </w:r>
      <w:r w:rsidR="00735BFD">
        <w:rPr>
          <w:b/>
          <w:bCs/>
        </w:rPr>
        <w:t>IRC</w:t>
      </w:r>
      <w:r w:rsidR="005955AC">
        <w:rPr>
          <w:b/>
          <w:bCs/>
        </w:rPr>
        <w:t xml:space="preserve"> </w:t>
      </w:r>
      <w:r w:rsidR="005955AC" w:rsidRPr="0031303D">
        <w:rPr>
          <w:b/>
          <w:bCs/>
        </w:rPr>
        <w:t>§707(a) transactions</w:t>
      </w:r>
      <w:r w:rsidRPr="0031303D">
        <w:rPr>
          <w:b/>
          <w:bCs/>
        </w:rPr>
        <w:t xml:space="preserve"> </w:t>
      </w:r>
      <w:r w:rsidRPr="00121870">
        <w:rPr>
          <w:b/>
          <w:bCs/>
        </w:rPr>
        <w:t xml:space="preserve">should be treated </w:t>
      </w:r>
      <w:r w:rsidR="003B0B95" w:rsidRPr="00376C53">
        <w:rPr>
          <w:b/>
          <w:bCs/>
        </w:rPr>
        <w:t xml:space="preserve">when computing </w:t>
      </w:r>
      <w:r w:rsidR="003B0B95">
        <w:rPr>
          <w:b/>
          <w:bCs/>
        </w:rPr>
        <w:t>that factor—including when the blended apportionment method is used, and whether these payments might, in some cases, distort the receipts factor.</w:t>
      </w:r>
    </w:p>
    <w:p w14:paraId="7E019BE8" w14:textId="6FEF9C0D" w:rsidR="00830EF0" w:rsidRPr="00830EF0" w:rsidRDefault="003B0B95" w:rsidP="00366E17">
      <w:pPr>
        <w:pStyle w:val="Heading4"/>
        <w:numPr>
          <w:ilvl w:val="0"/>
          <w:numId w:val="3"/>
        </w:numPr>
        <w:spacing w:before="360"/>
      </w:pPr>
      <w:r>
        <w:t xml:space="preserve">Partnerships can </w:t>
      </w:r>
      <w:r w:rsidR="00AD2B28">
        <w:t xml:space="preserve">also </w:t>
      </w:r>
      <w:r>
        <w:t xml:space="preserve">engage in transactions </w:t>
      </w:r>
      <w:r w:rsidR="008B7D69">
        <w:t>with other</w:t>
      </w:r>
      <w:r w:rsidR="00510CDD">
        <w:t xml:space="preserve"> </w:t>
      </w:r>
      <w:r w:rsidR="008B7D69">
        <w:t xml:space="preserve">indirectly </w:t>
      </w:r>
      <w:r w:rsidR="00510CDD">
        <w:t>related</w:t>
      </w:r>
      <w:r w:rsidR="008B7D69">
        <w:t xml:space="preserve"> entities</w:t>
      </w:r>
      <w:r>
        <w:t xml:space="preserve">. </w:t>
      </w:r>
    </w:p>
    <w:p w14:paraId="2CD35C48" w14:textId="2D030306" w:rsidR="003B0B95" w:rsidRDefault="00B37297" w:rsidP="00D35710">
      <w:pPr>
        <w:ind w:left="720"/>
      </w:pPr>
      <w:r>
        <w:rPr>
          <w:noProof/>
        </w:rPr>
        <w:drawing>
          <wp:anchor distT="0" distB="0" distL="114300" distR="114300" simplePos="0" relativeHeight="251652608" behindDoc="0" locked="0" layoutInCell="1" allowOverlap="1" wp14:anchorId="27F9C335" wp14:editId="122537B8">
            <wp:simplePos x="0" y="0"/>
            <wp:positionH relativeFrom="column">
              <wp:posOffset>2719070</wp:posOffset>
            </wp:positionH>
            <wp:positionV relativeFrom="paragraph">
              <wp:posOffset>98425</wp:posOffset>
            </wp:positionV>
            <wp:extent cx="2825750" cy="1701800"/>
            <wp:effectExtent l="0" t="0" r="0" b="0"/>
            <wp:wrapSquare wrapText="bothSides"/>
            <wp:docPr id="135667918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25750" cy="1701800"/>
                    </a:xfrm>
                    <a:prstGeom prst="rect">
                      <a:avLst/>
                    </a:prstGeom>
                    <a:noFill/>
                  </pic:spPr>
                </pic:pic>
              </a:graphicData>
            </a:graphic>
            <wp14:sizeRelH relativeFrom="margin">
              <wp14:pctWidth>0</wp14:pctWidth>
            </wp14:sizeRelH>
            <wp14:sizeRelV relativeFrom="margin">
              <wp14:pctHeight>0</wp14:pctHeight>
            </wp14:sizeRelV>
          </wp:anchor>
        </w:drawing>
      </w:r>
      <w:r w:rsidR="008B7D69">
        <w:t>In addition to</w:t>
      </w:r>
      <w:r>
        <w:t xml:space="preserve"> the</w:t>
      </w:r>
      <w:r w:rsidR="008B7D69">
        <w:t xml:space="preserve"> partner-partnership transactions </w:t>
      </w:r>
      <w:r>
        <w:t>that may occur</w:t>
      </w:r>
      <w:r w:rsidR="00AD2B28">
        <w:t xml:space="preserve"> </w:t>
      </w:r>
      <w:r w:rsidR="008B7D69">
        <w:t>within the same ownership structure, t</w:t>
      </w:r>
      <w:r w:rsidR="003B0B95">
        <w:t xml:space="preserve">here </w:t>
      </w:r>
      <w:r w:rsidR="008B7D69">
        <w:t xml:space="preserve">can be </w:t>
      </w:r>
      <w:r w:rsidR="006F7182">
        <w:t xml:space="preserve">transactions </w:t>
      </w:r>
      <w:r w:rsidR="008B7D69">
        <w:t>between</w:t>
      </w:r>
      <w:r w:rsidR="006F7182">
        <w:t xml:space="preserve"> </w:t>
      </w:r>
      <w:r w:rsidR="008B7D69">
        <w:t>entities that are part of</w:t>
      </w:r>
      <w:r w:rsidR="00AD2B28">
        <w:t xml:space="preserve"> other</w:t>
      </w:r>
      <w:r w:rsidR="008B7D69">
        <w:t xml:space="preserve"> partnership structures</w:t>
      </w:r>
      <w:r>
        <w:t xml:space="preserve"> which may have common members</w:t>
      </w:r>
      <w:r w:rsidR="006F7182">
        <w:t xml:space="preserve">. </w:t>
      </w:r>
      <w:r w:rsidR="00AD2B28">
        <w:t>See, for</w:t>
      </w:r>
      <w:r w:rsidR="00510CDD">
        <w:t xml:space="preserve"> example, the graphic to the right</w:t>
      </w:r>
      <w:r w:rsidR="00AD2B28">
        <w:t>. Here,</w:t>
      </w:r>
      <w:r w:rsidR="008B7D69">
        <w:t xml:space="preserve"> Corp A is not a </w:t>
      </w:r>
      <w:r w:rsidR="00AD2B28">
        <w:t xml:space="preserve">direct or indirect </w:t>
      </w:r>
      <w:r w:rsidR="008B7D69">
        <w:t xml:space="preserve">partner in Partnership 3, with which it has a transaction, but is a partner in Partnerships 1 and 2 which have common owners with Partnership 3. </w:t>
      </w:r>
    </w:p>
    <w:p w14:paraId="51432773" w14:textId="207EA1E8" w:rsidR="00596C81" w:rsidRDefault="00AD2B28" w:rsidP="00D35710">
      <w:pPr>
        <w:ind w:left="720"/>
      </w:pPr>
      <w:r>
        <w:t xml:space="preserve">These related-entity structures and transactions are not uncommon today. And, as discussed </w:t>
      </w:r>
      <w:r w:rsidR="00664796">
        <w:t>further in the following subsection</w:t>
      </w:r>
      <w:r>
        <w:t xml:space="preserve">, </w:t>
      </w:r>
      <w:r w:rsidR="00830119">
        <w:t>IRC § 482</w:t>
      </w:r>
      <w:r>
        <w:t xml:space="preserve"> may give </w:t>
      </w:r>
      <w:r w:rsidR="00830119">
        <w:t xml:space="preserve">the IRS </w:t>
      </w:r>
      <w:r>
        <w:t>authority to</w:t>
      </w:r>
      <w:r w:rsidR="00830119" w:rsidRPr="00830119">
        <w:t xml:space="preserve"> </w:t>
      </w:r>
      <w:r w:rsidR="00830119">
        <w:t>“</w:t>
      </w:r>
      <w:r w:rsidR="00830119" w:rsidRPr="00830119">
        <w:t>distribute, apportion, or allocate gross income, deductions, credits, or allowances between or among</w:t>
      </w:r>
      <w:r w:rsidR="00830119">
        <w:t xml:space="preserve">” </w:t>
      </w:r>
      <w:r>
        <w:t>these related entities. However, application of that authority in situations like this is unclear. Corp A could argue that th</w:t>
      </w:r>
      <w:r w:rsidR="00B37297">
        <w:t>is</w:t>
      </w:r>
      <w:r>
        <w:t xml:space="preserve"> authority does not apply since it and P</w:t>
      </w:r>
      <w:r w:rsidR="00B37297">
        <w:t>3</w:t>
      </w:r>
      <w:r>
        <w:t xml:space="preserve"> are not “</w:t>
      </w:r>
      <w:r w:rsidRPr="00AD2B28">
        <w:t>owned or controlled directly or indirectly by the same interests</w:t>
      </w:r>
      <w:r>
        <w:t xml:space="preserve">.” </w:t>
      </w:r>
    </w:p>
    <w:p w14:paraId="05540665" w14:textId="5F81CFD7" w:rsidR="008E1BD8" w:rsidRDefault="008E1BD8" w:rsidP="00F102A8">
      <w:pPr>
        <w:pBdr>
          <w:top w:val="single" w:sz="4" w:space="1" w:color="auto" w:shadow="1"/>
          <w:left w:val="single" w:sz="4" w:space="4" w:color="auto" w:shadow="1"/>
          <w:bottom w:val="single" w:sz="4" w:space="1" w:color="auto" w:shadow="1"/>
          <w:right w:val="single" w:sz="4" w:space="4" w:color="auto" w:shadow="1"/>
        </w:pBdr>
        <w:ind w:left="1080" w:right="720"/>
        <w:rPr>
          <w:b/>
          <w:bCs/>
        </w:rPr>
      </w:pPr>
      <w:r w:rsidRPr="00121870">
        <w:rPr>
          <w:b/>
          <w:bCs/>
        </w:rPr>
        <w:t xml:space="preserve">STATE TAX IMPLICATIONS: </w:t>
      </w:r>
      <w:r w:rsidR="00510CDD">
        <w:rPr>
          <w:b/>
          <w:bCs/>
        </w:rPr>
        <w:t xml:space="preserve">It may be necessary for states to consider </w:t>
      </w:r>
      <w:r w:rsidR="00B37297">
        <w:rPr>
          <w:b/>
          <w:bCs/>
        </w:rPr>
        <w:t xml:space="preserve">adopting </w:t>
      </w:r>
      <w:r w:rsidR="00510CDD">
        <w:rPr>
          <w:b/>
          <w:bCs/>
        </w:rPr>
        <w:t xml:space="preserve">authority similar to IRC § 482 and applicable specifically to transactions between partnerships that may have common partners in order to ensure that these transactions are not used solely to affect state tax sourcing.  </w:t>
      </w:r>
    </w:p>
    <w:p w14:paraId="488935CA" w14:textId="77777777" w:rsidR="00A64C27" w:rsidRDefault="00A64C27">
      <w:pPr>
        <w:spacing w:line="276" w:lineRule="auto"/>
        <w:jc w:val="left"/>
        <w:rPr>
          <w:b/>
          <w:bCs/>
        </w:rPr>
      </w:pPr>
    </w:p>
    <w:p w14:paraId="549A53C3" w14:textId="14F78B20" w:rsidR="006576F6" w:rsidRDefault="00A64C27">
      <w:pPr>
        <w:spacing w:line="276" w:lineRule="auto"/>
        <w:jc w:val="left"/>
        <w:rPr>
          <w:rFonts w:asciiTheme="majorHAnsi" w:eastAsiaTheme="majorEastAsia" w:hAnsiTheme="majorHAnsi" w:cstheme="majorBidi"/>
          <w:b/>
          <w:color w:val="851C00" w:themeColor="accent6" w:themeShade="BF"/>
          <w:sz w:val="26"/>
          <w:szCs w:val="24"/>
          <w:u w:val="single"/>
        </w:rPr>
      </w:pPr>
      <w:r>
        <w:rPr>
          <w:b/>
          <w:bCs/>
        </w:rPr>
        <w:t>NOTE: Section II below continues the</w:t>
      </w:r>
      <w:r w:rsidRPr="00376C53">
        <w:rPr>
          <w:b/>
          <w:bCs/>
        </w:rPr>
        <w:t xml:space="preserve"> </w:t>
      </w:r>
      <w:r>
        <w:rPr>
          <w:b/>
          <w:bCs/>
        </w:rPr>
        <w:t>discussion</w:t>
      </w:r>
      <w:r w:rsidRPr="00376C53">
        <w:rPr>
          <w:b/>
          <w:bCs/>
        </w:rPr>
        <w:t xml:space="preserve"> of </w:t>
      </w:r>
      <w:r>
        <w:rPr>
          <w:b/>
          <w:bCs/>
        </w:rPr>
        <w:t xml:space="preserve">these </w:t>
      </w:r>
      <w:r w:rsidRPr="00376C53">
        <w:rPr>
          <w:b/>
          <w:bCs/>
        </w:rPr>
        <w:t xml:space="preserve">partner-partnership </w:t>
      </w:r>
      <w:r>
        <w:rPr>
          <w:b/>
          <w:bCs/>
        </w:rPr>
        <w:t xml:space="preserve">and other common related-entity </w:t>
      </w:r>
      <w:r w:rsidRPr="00376C53">
        <w:rPr>
          <w:b/>
          <w:bCs/>
        </w:rPr>
        <w:t>transactions and their implications</w:t>
      </w:r>
      <w:r>
        <w:rPr>
          <w:b/>
          <w:bCs/>
        </w:rPr>
        <w:t xml:space="preserve"> as well as approaches states might take in determining the effects of these transactions on state sourcing..</w:t>
      </w:r>
    </w:p>
    <w:p w14:paraId="780A80F1" w14:textId="77777777" w:rsidR="00A64C27" w:rsidRDefault="00A64C27">
      <w:pPr>
        <w:spacing w:line="276" w:lineRule="auto"/>
        <w:jc w:val="left"/>
        <w:rPr>
          <w:rFonts w:asciiTheme="majorHAnsi" w:eastAsiaTheme="majorEastAsia" w:hAnsiTheme="majorHAnsi" w:cstheme="majorBidi"/>
          <w:b/>
          <w:color w:val="851C00" w:themeColor="accent6" w:themeShade="BF"/>
          <w:sz w:val="26"/>
          <w:szCs w:val="24"/>
          <w:u w:val="single"/>
        </w:rPr>
      </w:pPr>
      <w:r>
        <w:br w:type="page"/>
      </w:r>
    </w:p>
    <w:p w14:paraId="3606E6E6" w14:textId="13280E0E" w:rsidR="006D2BB2" w:rsidRDefault="00CC0D0C" w:rsidP="006D2BB2">
      <w:pPr>
        <w:pStyle w:val="Heading3"/>
      </w:pPr>
      <w:bookmarkStart w:id="45" w:name="_Toc198480731"/>
      <w:r>
        <w:rPr>
          <w:highlight w:val="yellow"/>
        </w:rPr>
        <w:lastRenderedPageBreak/>
        <w:t xml:space="preserve">Conformity May Not Fully Incorporate </w:t>
      </w:r>
      <w:r w:rsidR="006D2BB2" w:rsidRPr="00FD0716">
        <w:rPr>
          <w:highlight w:val="yellow"/>
        </w:rPr>
        <w:t>Federal Anti-Abuse Provisions</w:t>
      </w:r>
      <w:bookmarkEnd w:id="45"/>
      <w:r w:rsidR="006D2BB2">
        <w:t xml:space="preserve"> </w:t>
      </w:r>
    </w:p>
    <w:p w14:paraId="5C6C806C" w14:textId="27A7C11C" w:rsidR="00CC0D0C" w:rsidRPr="00CC0D0C" w:rsidRDefault="00FD0716" w:rsidP="008A0890">
      <w:pPr>
        <w:jc w:val="center"/>
        <w:rPr>
          <w:i/>
          <w:iCs/>
        </w:rPr>
      </w:pPr>
      <w:r w:rsidRPr="00FD0716">
        <w:rPr>
          <w:i/>
          <w:iCs/>
          <w:highlight w:val="yellow"/>
        </w:rPr>
        <w:t xml:space="preserve">(NOTE: This section was </w:t>
      </w:r>
      <w:r w:rsidR="00023FAA">
        <w:rPr>
          <w:i/>
          <w:iCs/>
          <w:highlight w:val="yellow"/>
        </w:rPr>
        <w:t xml:space="preserve">reformatted and </w:t>
      </w:r>
      <w:r w:rsidRPr="00FD0716">
        <w:rPr>
          <w:i/>
          <w:iCs/>
          <w:highlight w:val="yellow"/>
        </w:rPr>
        <w:t>revised somewhat.)</w:t>
      </w:r>
    </w:p>
    <w:p w14:paraId="49477AC5" w14:textId="77777777" w:rsidR="00444F01" w:rsidRDefault="006D2BB2" w:rsidP="006D2BB2">
      <w:r>
        <w:t xml:space="preserve">Like the federal tax law generally, Subchapter K and related regulations </w:t>
      </w:r>
      <w:r w:rsidR="003A3E50">
        <w:t>contain numerous provisions</w:t>
      </w:r>
      <w:r w:rsidR="008645C3">
        <w:t xml:space="preserve"> to prevent</w:t>
      </w:r>
      <w:r>
        <w:t xml:space="preserve"> </w:t>
      </w:r>
      <w:r w:rsidR="00936BC2">
        <w:t xml:space="preserve">certain </w:t>
      </w:r>
      <w:r w:rsidR="008E11DD">
        <w:t xml:space="preserve">unintended tax results including the </w:t>
      </w:r>
      <w:r>
        <w:t xml:space="preserve">use of artificial structures or transactions solely to </w:t>
      </w:r>
      <w:r w:rsidR="00615F73">
        <w:t>obtain federal tax benefits</w:t>
      </w:r>
      <w:r>
        <w:t xml:space="preserve">. </w:t>
      </w:r>
      <w:r w:rsidR="008645C3">
        <w:t xml:space="preserve">This white paper will refer to these </w:t>
      </w:r>
      <w:r w:rsidR="00936BC2">
        <w:t xml:space="preserve">various </w:t>
      </w:r>
      <w:r w:rsidR="00322FE5">
        <w:t xml:space="preserve">types of </w:t>
      </w:r>
      <w:r w:rsidR="008645C3">
        <w:t xml:space="preserve">provisions broadly as “anti-abuse” provisions. </w:t>
      </w:r>
    </w:p>
    <w:p w14:paraId="11AA0205" w14:textId="6127A73B" w:rsidR="00982333" w:rsidRDefault="00982333" w:rsidP="006D2BB2">
      <w:r>
        <w:t>Because Subchapter K creates a very general, flexible framework, these kinds of a</w:t>
      </w:r>
      <w:r w:rsidR="006D2BB2">
        <w:t>nti-abuse provisio</w:t>
      </w:r>
      <w:r w:rsidR="00615F73">
        <w:t>ns</w:t>
      </w:r>
      <w:r w:rsidR="006D2BB2">
        <w:t xml:space="preserve"> are essential to making the pass-through system work.</w:t>
      </w:r>
      <w:r w:rsidR="006D2BB2">
        <w:rPr>
          <w:rStyle w:val="FootnoteReference"/>
        </w:rPr>
        <w:footnoteReference w:id="17"/>
      </w:r>
      <w:r w:rsidR="006D2BB2">
        <w:t xml:space="preserve"> </w:t>
      </w:r>
      <w:r w:rsidR="00C402C4">
        <w:t xml:space="preserve">In addition, </w:t>
      </w:r>
      <w:r w:rsidR="00444F01">
        <w:t>the interaction of Subchapter K and other substantive tax provisions, particularly loss limitation rules, raise a number of potential issues and questions that are hard for lawmakers to anticipate or address in detail.</w:t>
      </w:r>
    </w:p>
    <w:p w14:paraId="7AABF143" w14:textId="00BFC1A4" w:rsidR="00CC0D0C" w:rsidRDefault="00CC0D0C" w:rsidP="00C402C4">
      <w:r>
        <w:t>This white paper divides anti-abuse provisions into two broad categories:</w:t>
      </w:r>
    </w:p>
    <w:p w14:paraId="0CFC5FE6" w14:textId="785E12FD" w:rsidR="00CC0D0C" w:rsidRDefault="002F4C70" w:rsidP="00366E17">
      <w:pPr>
        <w:pStyle w:val="ListParagraph"/>
        <w:numPr>
          <w:ilvl w:val="0"/>
          <w:numId w:val="62"/>
        </w:numPr>
        <w:spacing w:after="120"/>
        <w:contextualSpacing w:val="0"/>
      </w:pPr>
      <w:r>
        <w:t xml:space="preserve">Specific Rules: </w:t>
      </w:r>
      <w:r w:rsidR="00C402C4">
        <w:t>Rules</w:t>
      </w:r>
      <w:r w:rsidR="00CC0D0C">
        <w:t xml:space="preserve"> </w:t>
      </w:r>
      <w:r w:rsidR="00C402C4">
        <w:t>that</w:t>
      </w:r>
      <w:r w:rsidR="00CC0D0C">
        <w:t xml:space="preserve"> impose specific limitations, conditions, or exception</w:t>
      </w:r>
      <w:r w:rsidR="00B66320">
        <w:t>s</w:t>
      </w:r>
      <w:r w:rsidR="00CC0D0C">
        <w:t>.</w:t>
      </w:r>
    </w:p>
    <w:p w14:paraId="52B14268" w14:textId="61922BF8" w:rsidR="00CC0D0C" w:rsidRDefault="002F4C70" w:rsidP="00366E17">
      <w:pPr>
        <w:pStyle w:val="ListParagraph"/>
        <w:numPr>
          <w:ilvl w:val="0"/>
          <w:numId w:val="62"/>
        </w:numPr>
      </w:pPr>
      <w:r>
        <w:t xml:space="preserve">General Rules: </w:t>
      </w:r>
      <w:r w:rsidR="00C402C4">
        <w:t>Rules</w:t>
      </w:r>
      <w:r w:rsidR="00CC0D0C">
        <w:t xml:space="preserve"> </w:t>
      </w:r>
      <w:r w:rsidR="00C402C4">
        <w:t>that</w:t>
      </w:r>
      <w:r w:rsidR="00CC0D0C">
        <w:t xml:space="preserve"> look to whether the federal tax results correspond with more generalized standards, including the economic effect of the activities or transactions. </w:t>
      </w:r>
    </w:p>
    <w:p w14:paraId="02A83EBD" w14:textId="5D272E43" w:rsidR="000A1F93" w:rsidRDefault="00352869" w:rsidP="006D2BB2">
      <w:pPr>
        <w:rPr>
          <w:i/>
          <w:iCs/>
        </w:rPr>
      </w:pPr>
      <w:r>
        <w:t xml:space="preserve">The ability of conforming states to </w:t>
      </w:r>
      <w:r w:rsidR="00936BC2">
        <w:t xml:space="preserve">rely on </w:t>
      </w:r>
      <w:r w:rsidR="002F4C70">
        <w:t xml:space="preserve">general </w:t>
      </w:r>
      <w:r w:rsidR="000A1F93">
        <w:t>federal</w:t>
      </w:r>
      <w:r w:rsidR="00E00C0B">
        <w:t xml:space="preserve"> anti-abuse rules to address state tax issues</w:t>
      </w:r>
      <w:r w:rsidR="00936BC2">
        <w:t xml:space="preserve"> </w:t>
      </w:r>
      <w:r>
        <w:t>is not always clear</w:t>
      </w:r>
      <w:r w:rsidR="00936BC2">
        <w:t>.</w:t>
      </w:r>
      <w:r>
        <w:t xml:space="preserve"> It may depend on both the federal rule and whether the effect on state tax is direct or indirect.</w:t>
      </w:r>
      <w:r w:rsidR="00936BC2">
        <w:t xml:space="preserve"> This is especially true where the state tax effect is only indirectly related to the proper application of federal tax rules</w:t>
      </w:r>
      <w:r w:rsidR="00E00C0B">
        <w:t>—</w:t>
      </w:r>
      <w:r w:rsidR="00936BC2">
        <w:t>as with the</w:t>
      </w:r>
      <w:r w:rsidR="00E00C0B">
        <w:t xml:space="preserve"> </w:t>
      </w:r>
      <w:r w:rsidR="00936BC2">
        <w:t xml:space="preserve">state </w:t>
      </w:r>
      <w:r w:rsidR="00E00C0B">
        <w:t xml:space="preserve">sourcing of partnership income. </w:t>
      </w:r>
      <w:r w:rsidR="00E937B8">
        <w:t>To</w:t>
      </w:r>
      <w:r w:rsidR="002F4C70">
        <w:t xml:space="preserve"> the extent a</w:t>
      </w:r>
      <w:r w:rsidR="008645C3">
        <w:t xml:space="preserve"> </w:t>
      </w:r>
      <w:r w:rsidR="000A1F93">
        <w:t xml:space="preserve">federal anti-abuse rule </w:t>
      </w:r>
      <w:r w:rsidR="00F63318">
        <w:t>focus</w:t>
      </w:r>
      <w:r w:rsidR="002F4C70">
        <w:t>es</w:t>
      </w:r>
      <w:r w:rsidR="00F63318">
        <w:t xml:space="preserve"> on the </w:t>
      </w:r>
      <w:r w:rsidR="008E11DD">
        <w:t>federal tax</w:t>
      </w:r>
      <w:r w:rsidR="00F63318">
        <w:t xml:space="preserve"> result, </w:t>
      </w:r>
      <w:r w:rsidR="002F4C70">
        <w:t>it</w:t>
      </w:r>
      <w:r w:rsidR="00936BC2">
        <w:t xml:space="preserve"> leaves</w:t>
      </w:r>
      <w:r w:rsidR="00F63318">
        <w:t xml:space="preserve"> doubts as to how </w:t>
      </w:r>
      <w:r w:rsidR="00936BC2">
        <w:t>the rule</w:t>
      </w:r>
      <w:r w:rsidR="00F63318">
        <w:t xml:space="preserve"> might apply </w:t>
      </w:r>
      <w:r w:rsidR="00936BC2">
        <w:t>to separate or indirect state tax effects</w:t>
      </w:r>
      <w:r w:rsidR="006D2BB2">
        <w:t>.</w:t>
      </w:r>
      <w:r w:rsidR="008645C3">
        <w:t xml:space="preserve"> </w:t>
      </w:r>
      <w:r w:rsidR="002F4C70">
        <w:t>And e</w:t>
      </w:r>
      <w:r w:rsidR="00936BC2">
        <w:t xml:space="preserve">ven where the </w:t>
      </w:r>
      <w:r w:rsidR="002F4C70">
        <w:t>application has a direct effect on the state tax result</w:t>
      </w:r>
      <w:r w:rsidR="00936BC2">
        <w:t>, the</w:t>
      </w:r>
      <w:r w:rsidR="00CC0D0C">
        <w:t xml:space="preserve"> application of </w:t>
      </w:r>
      <w:r w:rsidR="002F4C70">
        <w:t>a general</w:t>
      </w:r>
      <w:r w:rsidR="00CC0D0C">
        <w:t xml:space="preserve"> anti-abuse rule</w:t>
      </w:r>
      <w:r w:rsidR="002F4C70">
        <w:t xml:space="preserve"> in a particular circumstance may be unclear</w:t>
      </w:r>
      <w:r w:rsidR="00E937B8">
        <w:t xml:space="preserve"> or not addressed by other guidance</w:t>
      </w:r>
      <w:r w:rsidR="002F4C70">
        <w:t xml:space="preserve">. Finally, to the extent a general anti-abuse rule or </w:t>
      </w:r>
      <w:r w:rsidR="00E937B8">
        <w:t>the</w:t>
      </w:r>
      <w:r w:rsidR="002F4C70">
        <w:t xml:space="preserve"> application </w:t>
      </w:r>
      <w:r w:rsidR="00E937B8">
        <w:t xml:space="preserve">of such a rule </w:t>
      </w:r>
      <w:r w:rsidR="002F4C70">
        <w:t>is</w:t>
      </w:r>
      <w:r w:rsidR="00CC0D0C">
        <w:t xml:space="preserve"> </w:t>
      </w:r>
      <w:r w:rsidR="002F4C70">
        <w:t>set out</w:t>
      </w:r>
      <w:r w:rsidR="00CC0D0C">
        <w:t xml:space="preserve"> in </w:t>
      </w:r>
      <w:r w:rsidR="0033187C">
        <w:t xml:space="preserve">IRS </w:t>
      </w:r>
      <w:r w:rsidR="008645C3">
        <w:t>regulations</w:t>
      </w:r>
      <w:r w:rsidR="00FA043A">
        <w:t xml:space="preserve"> where there has been no explicit delegation of congressional authority</w:t>
      </w:r>
      <w:r w:rsidR="002F4C70">
        <w:t>, it</w:t>
      </w:r>
      <w:r w:rsidR="00FA043A">
        <w:t>’s validity</w:t>
      </w:r>
      <w:r w:rsidR="008645C3">
        <w:t xml:space="preserve"> </w:t>
      </w:r>
      <w:r w:rsidR="000A1F93">
        <w:t xml:space="preserve">may be </w:t>
      </w:r>
      <w:r w:rsidR="00CC0D0C">
        <w:t xml:space="preserve">subject to challenge under </w:t>
      </w:r>
      <w:r w:rsidR="008645C3">
        <w:rPr>
          <w:i/>
          <w:iCs/>
        </w:rPr>
        <w:t>Loper Bright.</w:t>
      </w:r>
      <w:r w:rsidR="0033187C">
        <w:rPr>
          <w:rStyle w:val="FootnoteReference"/>
          <w:i/>
          <w:iCs/>
        </w:rPr>
        <w:footnoteReference w:id="18"/>
      </w:r>
      <w:r w:rsidR="00322FE5">
        <w:rPr>
          <w:i/>
          <w:iCs/>
        </w:rPr>
        <w:t xml:space="preserve"> </w:t>
      </w:r>
      <w:r w:rsidR="008645C3">
        <w:rPr>
          <w:i/>
          <w:iCs/>
        </w:rPr>
        <w:t xml:space="preserve"> </w:t>
      </w:r>
    </w:p>
    <w:p w14:paraId="41D4DA99" w14:textId="7B62ACED" w:rsidR="006D2BB2" w:rsidRPr="0033187C" w:rsidRDefault="00FA043A" w:rsidP="006D2BB2">
      <w:r>
        <w:t xml:space="preserve">Therefore, this white paper makes two assumptions as to the categories of anti-abuse rules applicable to partnership taxation. But note, these assumptions are to assist states in considering what anti-abuse rules they might need to specifically adopt, and do not necessarily reflect the official position of the MTC or its member states.  </w:t>
      </w:r>
    </w:p>
    <w:p w14:paraId="1DD2FFA4" w14:textId="2F1FC79D" w:rsidR="006D2BB2" w:rsidRDefault="002515F5" w:rsidP="000C4EF4">
      <w:pPr>
        <w:pStyle w:val="Heading4"/>
        <w:ind w:left="360"/>
      </w:pPr>
      <w:r>
        <w:t xml:space="preserve">Assumption: </w:t>
      </w:r>
      <w:r w:rsidR="00322FE5">
        <w:t>States can rely on r</w:t>
      </w:r>
      <w:r>
        <w:t>ules imposing s</w:t>
      </w:r>
      <w:r w:rsidR="009B05BA">
        <w:t>pecific limits</w:t>
      </w:r>
      <w:r>
        <w:t xml:space="preserve"> or exceptions</w:t>
      </w:r>
      <w:r w:rsidR="0033187C">
        <w:t>.</w:t>
      </w:r>
    </w:p>
    <w:p w14:paraId="7CC318C0" w14:textId="39804FB6" w:rsidR="000C4EF4" w:rsidRDefault="00FA043A" w:rsidP="000C4EF4">
      <w:pPr>
        <w:ind w:left="360"/>
      </w:pPr>
      <w:r>
        <w:t>F</w:t>
      </w:r>
      <w:r w:rsidR="006D2BB2">
        <w:t>ederal tax statu</w:t>
      </w:r>
      <w:r w:rsidR="00724B6D">
        <w:t>t</w:t>
      </w:r>
      <w:r w:rsidR="006D2BB2">
        <w:t xml:space="preserve">es </w:t>
      </w:r>
      <w:r>
        <w:t xml:space="preserve">may </w:t>
      </w:r>
      <w:r w:rsidR="006D2BB2">
        <w:t xml:space="preserve">impose </w:t>
      </w:r>
      <w:r w:rsidR="00263A59">
        <w:t xml:space="preserve">specific </w:t>
      </w:r>
      <w:r w:rsidR="006D2BB2">
        <w:t>limits on particular tax treatment or provide</w:t>
      </w:r>
      <w:r w:rsidR="008E11DD">
        <w:t xml:space="preserve"> a general rule along with a list of</w:t>
      </w:r>
      <w:r w:rsidR="006D2BB2">
        <w:t xml:space="preserve"> </w:t>
      </w:r>
      <w:r w:rsidR="00263A59">
        <w:t>detailed</w:t>
      </w:r>
      <w:r w:rsidR="006D2BB2">
        <w:t xml:space="preserve"> exceptions</w:t>
      </w:r>
      <w:r>
        <w:t>,</w:t>
      </w:r>
      <w:r w:rsidR="00EF4D09">
        <w:t xml:space="preserve"> or</w:t>
      </w:r>
      <w:r>
        <w:t xml:space="preserve"> they </w:t>
      </w:r>
      <w:r w:rsidR="00EF4D09">
        <w:t>may</w:t>
      </w:r>
      <w:r>
        <w:t xml:space="preserve"> explicitly delegate to the IRS </w:t>
      </w:r>
      <w:r w:rsidR="00EF4D09">
        <w:t xml:space="preserve">the authority to issue necessary regulations for determining some tax effect. </w:t>
      </w:r>
      <w:r w:rsidR="000C4EF4">
        <w:t>To the extent that</w:t>
      </w:r>
      <w:r w:rsidR="006D2BB2">
        <w:t xml:space="preserve"> states conform to the proper federal </w:t>
      </w:r>
      <w:r w:rsidR="000C4EF4">
        <w:t xml:space="preserve">reporting and </w:t>
      </w:r>
      <w:r w:rsidR="006D2BB2">
        <w:t xml:space="preserve">treatment of </w:t>
      </w:r>
      <w:r w:rsidR="008E11DD">
        <w:t xml:space="preserve">the related </w:t>
      </w:r>
      <w:r w:rsidR="006D2BB2">
        <w:t xml:space="preserve">tax items, it is generally assumed that they </w:t>
      </w:r>
      <w:r w:rsidR="000C4EF4">
        <w:t>can rely on these specific limitations</w:t>
      </w:r>
      <w:r w:rsidR="00BF6147">
        <w:t xml:space="preserve"> for that determination</w:t>
      </w:r>
      <w:r w:rsidR="00EF4D09">
        <w:t xml:space="preserve">, whether </w:t>
      </w:r>
      <w:r w:rsidR="00BF6147">
        <w:t xml:space="preserve">the limitations are </w:t>
      </w:r>
      <w:r w:rsidR="00EF4D09">
        <w:t xml:space="preserve">found in statutes or </w:t>
      </w:r>
      <w:r w:rsidR="00E937B8">
        <w:t xml:space="preserve">related </w:t>
      </w:r>
      <w:r w:rsidR="00EF4D09">
        <w:t>regulation</w:t>
      </w:r>
      <w:r w:rsidR="00BF6147">
        <w:t>s.</w:t>
      </w:r>
      <w:r w:rsidR="000C4EF4">
        <w:t xml:space="preserve">. </w:t>
      </w:r>
    </w:p>
    <w:p w14:paraId="3664AA91" w14:textId="19748394" w:rsidR="00FA043A" w:rsidRDefault="000A1F93" w:rsidP="00EF4D09">
      <w:pPr>
        <w:spacing w:after="120"/>
        <w:ind w:left="360"/>
      </w:pPr>
      <w:r>
        <w:t xml:space="preserve">A number of provisions contained in </w:t>
      </w:r>
      <w:r w:rsidR="000C4EF4">
        <w:t>Subchapter K</w:t>
      </w:r>
      <w:r>
        <w:t xml:space="preserve"> fall into this </w:t>
      </w:r>
      <w:r w:rsidR="00BF6147">
        <w:t xml:space="preserve">general </w:t>
      </w:r>
      <w:r>
        <w:t>category</w:t>
      </w:r>
      <w:r w:rsidR="00EF4D09">
        <w:t>, for example:</w:t>
      </w:r>
      <w:r w:rsidR="000C4EF4">
        <w:t xml:space="preserve"> </w:t>
      </w:r>
    </w:p>
    <w:p w14:paraId="45B1F2A1" w14:textId="616C24F9" w:rsidR="0033187C" w:rsidRDefault="000C4EF4" w:rsidP="00366E17">
      <w:pPr>
        <w:pStyle w:val="ListParagraph"/>
        <w:numPr>
          <w:ilvl w:val="0"/>
          <w:numId w:val="63"/>
        </w:numPr>
        <w:spacing w:after="120"/>
        <w:contextualSpacing w:val="0"/>
      </w:pPr>
      <w:r>
        <w:t>IRC</w:t>
      </w:r>
      <w:r w:rsidR="002515F5">
        <w:t xml:space="preserve"> §</w:t>
      </w:r>
      <w:r>
        <w:t xml:space="preserve"> 704</w:t>
      </w:r>
      <w:r w:rsidR="00FA043A">
        <w:t xml:space="preserve">(c) – The general rule under § 704 </w:t>
      </w:r>
      <w:r w:rsidR="00EF4D09">
        <w:t>allows</w:t>
      </w:r>
      <w:r w:rsidR="00FA043A">
        <w:t xml:space="preserve"> </w:t>
      </w:r>
      <w:r>
        <w:t>partners</w:t>
      </w:r>
      <w:r w:rsidR="00FA043A">
        <w:t>hips</w:t>
      </w:r>
      <w:r>
        <w:t xml:space="preserve"> </w:t>
      </w:r>
      <w:r w:rsidR="00EF4D09">
        <w:t>to</w:t>
      </w:r>
      <w:r w:rsidR="00FA043A">
        <w:t xml:space="preserve"> </w:t>
      </w:r>
      <w:r>
        <w:t xml:space="preserve">allocate partnership items </w:t>
      </w:r>
      <w:r w:rsidR="00FA043A">
        <w:t xml:space="preserve">of income </w:t>
      </w:r>
      <w:r>
        <w:t>in any amounts to which the</w:t>
      </w:r>
      <w:r w:rsidR="00EF4D09">
        <w:t xml:space="preserve"> partners</w:t>
      </w:r>
      <w:r>
        <w:t xml:space="preserve"> have agreed, subject to certain limits. One </w:t>
      </w:r>
      <w:r w:rsidR="0033187C">
        <w:t xml:space="preserve">such </w:t>
      </w:r>
      <w:r>
        <w:t xml:space="preserve">limit is </w:t>
      </w:r>
      <w:r w:rsidR="008E11DD">
        <w:t xml:space="preserve">the specific exception </w:t>
      </w:r>
      <w:r>
        <w:t xml:space="preserve">found in </w:t>
      </w:r>
      <w:r w:rsidR="002515F5">
        <w:t>§</w:t>
      </w:r>
      <w:r w:rsidR="006D2BB2">
        <w:t xml:space="preserve"> 704(c) </w:t>
      </w:r>
      <w:r>
        <w:t xml:space="preserve">which </w:t>
      </w:r>
      <w:r w:rsidR="006D2BB2">
        <w:t xml:space="preserve">requires </w:t>
      </w:r>
      <w:r>
        <w:t xml:space="preserve">that the </w:t>
      </w:r>
      <w:r w:rsidR="006D2BB2">
        <w:t xml:space="preserve">built-in gain (loss) </w:t>
      </w:r>
      <w:r>
        <w:t xml:space="preserve">on </w:t>
      </w:r>
      <w:r w:rsidR="00322FE5">
        <w:t xml:space="preserve">contributed </w:t>
      </w:r>
      <w:r>
        <w:t xml:space="preserve">property </w:t>
      </w:r>
      <w:r w:rsidR="006D2BB2">
        <w:t xml:space="preserve">be allocated to </w:t>
      </w:r>
      <w:r>
        <w:t>the partner that contributed that property</w:t>
      </w:r>
      <w:r w:rsidR="0033187C">
        <w:t xml:space="preserve"> in certain </w:t>
      </w:r>
      <w:r w:rsidR="000A1F93">
        <w:t xml:space="preserve">specific </w:t>
      </w:r>
      <w:r w:rsidR="0033187C">
        <w:t>instances</w:t>
      </w:r>
      <w:r w:rsidR="006D2BB2">
        <w:t>.</w:t>
      </w:r>
      <w:r w:rsidR="0033187C">
        <w:t xml:space="preserve"> This rule was enacted to prevent partnerships from being used to avoid tax on gains or </w:t>
      </w:r>
      <w:r w:rsidR="00322FE5">
        <w:t>shift</w:t>
      </w:r>
      <w:r w:rsidR="0033187C">
        <w:t xml:space="preserve"> losses </w:t>
      </w:r>
      <w:r w:rsidR="008E11DD">
        <w:t>between partners.</w:t>
      </w:r>
      <w:r w:rsidR="006D2BB2">
        <w:t xml:space="preserve"> </w:t>
      </w:r>
      <w:r w:rsidR="00EF4D09">
        <w:t>The IRS has also issued regulations providing guidance on the application of this requirement. See IRS Reg. 1.704-3.</w:t>
      </w:r>
    </w:p>
    <w:p w14:paraId="4FD4EEC5" w14:textId="419E66C8" w:rsidR="00EF4D09" w:rsidRDefault="00FA043A" w:rsidP="00366E17">
      <w:pPr>
        <w:pStyle w:val="ListParagraph"/>
        <w:numPr>
          <w:ilvl w:val="0"/>
          <w:numId w:val="63"/>
        </w:numPr>
      </w:pPr>
      <w:r>
        <w:lastRenderedPageBreak/>
        <w:t xml:space="preserve">IRC § </w:t>
      </w:r>
      <w:r w:rsidR="00EF4D09">
        <w:t>705(b) – The rules for calculating a partner’s basis in their partnership interest are found in § 705. In subsection (b), Congress also provided the IRS with the explicit authority to “</w:t>
      </w:r>
      <w:r w:rsidR="00EF4D09" w:rsidRPr="00EF4D09">
        <w:t>prescribe by regulations the circumstances under which the adjusted basis of a partner’s interest in a partnership may be determined by reference to his proportionate share of the adjusted basis of partnership property upon a termination of the partnership.</w:t>
      </w:r>
      <w:r w:rsidR="00EF4D09">
        <w:t>” Those regulations are found in IRS Reg. 1.705-1.</w:t>
      </w:r>
    </w:p>
    <w:p w14:paraId="0EF5DCF3" w14:textId="666D23A5" w:rsidR="000C4EF4" w:rsidRDefault="002515F5" w:rsidP="000C4EF4">
      <w:pPr>
        <w:pStyle w:val="Heading4"/>
        <w:ind w:left="360"/>
      </w:pPr>
      <w:r>
        <w:t xml:space="preserve">Assumption: </w:t>
      </w:r>
      <w:r w:rsidR="00936BC2">
        <w:t>State r</w:t>
      </w:r>
      <w:r w:rsidR="00391BD2">
        <w:t xml:space="preserve">eliance </w:t>
      </w:r>
      <w:r w:rsidR="00322FE5">
        <w:t xml:space="preserve">on more general </w:t>
      </w:r>
      <w:r w:rsidR="00936BC2">
        <w:t xml:space="preserve">federal </w:t>
      </w:r>
      <w:r w:rsidR="00322FE5">
        <w:t>anti-abuse rules</w:t>
      </w:r>
      <w:r w:rsidR="00391BD2">
        <w:t xml:space="preserve"> may be limited</w:t>
      </w:r>
      <w:r>
        <w:t xml:space="preserve">. </w:t>
      </w:r>
    </w:p>
    <w:p w14:paraId="6AE913A7" w14:textId="2E84C41F" w:rsidR="00BF6147" w:rsidRDefault="000C4EF4" w:rsidP="00CA2164">
      <w:pPr>
        <w:ind w:left="360"/>
      </w:pPr>
      <w:r>
        <w:t>Some federal anti-abuse</w:t>
      </w:r>
      <w:r w:rsidR="009B05BA">
        <w:t xml:space="preserve"> rules</w:t>
      </w:r>
      <w:r w:rsidR="00CA2164">
        <w:t xml:space="preserve"> do not impose specific limitations or exceptions but instead apply broader conditions or requirements, often tied to </w:t>
      </w:r>
      <w:r w:rsidR="00976B5E">
        <w:t xml:space="preserve">whether </w:t>
      </w:r>
      <w:r w:rsidR="00CA2164">
        <w:t>the</w:t>
      </w:r>
      <w:r w:rsidR="00976B5E">
        <w:t xml:space="preserve"> </w:t>
      </w:r>
      <w:r w:rsidR="00391BD2">
        <w:t xml:space="preserve">particular federal </w:t>
      </w:r>
      <w:r w:rsidR="00976B5E">
        <w:t xml:space="preserve">tax results </w:t>
      </w:r>
      <w:r w:rsidR="00391BD2">
        <w:t xml:space="preserve">were </w:t>
      </w:r>
      <w:r w:rsidR="00BF6147">
        <w:t xml:space="preserve">clearly </w:t>
      </w:r>
      <w:r w:rsidR="00391BD2">
        <w:t xml:space="preserve">intended or whether they </w:t>
      </w:r>
      <w:r w:rsidR="00976B5E">
        <w:t>match the</w:t>
      </w:r>
      <w:r w:rsidR="00CA2164">
        <w:t xml:space="preserve"> </w:t>
      </w:r>
      <w:r w:rsidR="002515F5">
        <w:t>economic effect</w:t>
      </w:r>
      <w:r w:rsidR="000A1F93">
        <w:t>s</w:t>
      </w:r>
      <w:r w:rsidR="002515F5">
        <w:t xml:space="preserve"> of the </w:t>
      </w:r>
      <w:r w:rsidR="00CA2164">
        <w:t xml:space="preserve">purported </w:t>
      </w:r>
      <w:r w:rsidR="002515F5">
        <w:t xml:space="preserve">activities or transactions. </w:t>
      </w:r>
      <w:r w:rsidR="00BF6147">
        <w:t>Often, the specific application of these general rules is found in regulations, case law, or other guidance, but sometimes there is no guidance for application in a particular circumstance.</w:t>
      </w:r>
    </w:p>
    <w:p w14:paraId="4706480C" w14:textId="77777777" w:rsidR="00034106" w:rsidRDefault="00BF6147" w:rsidP="00034106">
      <w:pPr>
        <w:ind w:left="360"/>
      </w:pPr>
      <w:r>
        <w:t>This white paper assumes that s</w:t>
      </w:r>
      <w:r w:rsidR="00391BD2">
        <w:t xml:space="preserve">tates that generally conform to the federal tax rules can rely on these </w:t>
      </w:r>
      <w:r w:rsidR="0068221A">
        <w:t xml:space="preserve">anti-abuse </w:t>
      </w:r>
      <w:r w:rsidR="002515F5">
        <w:t>rules</w:t>
      </w:r>
      <w:r w:rsidR="00391BD2">
        <w:t xml:space="preserve"> where the state tax effect at issue is directly related to the federal tax treatment</w:t>
      </w:r>
      <w:r w:rsidR="0068221A">
        <w:t xml:space="preserve">. </w:t>
      </w:r>
      <w:r w:rsidR="00976B5E">
        <w:t xml:space="preserve">But </w:t>
      </w:r>
      <w:r w:rsidR="00391BD2">
        <w:t xml:space="preserve">where </w:t>
      </w:r>
      <w:r w:rsidR="00CA50FB">
        <w:t>the</w:t>
      </w:r>
      <w:r w:rsidR="00976B5E">
        <w:t xml:space="preserve"> </w:t>
      </w:r>
      <w:r w:rsidR="00391BD2">
        <w:t xml:space="preserve">state tax </w:t>
      </w:r>
      <w:r w:rsidR="00976B5E">
        <w:t xml:space="preserve">effect </w:t>
      </w:r>
      <w:r w:rsidR="00391BD2">
        <w:t xml:space="preserve">is only </w:t>
      </w:r>
      <w:r w:rsidR="00326DC0">
        <w:t>indirectly related to the federal tax treatment</w:t>
      </w:r>
      <w:r w:rsidR="00391BD2">
        <w:t xml:space="preserve">, </w:t>
      </w:r>
      <w:r w:rsidR="00034106">
        <w:t xml:space="preserve">or is only one element of that treatment, </w:t>
      </w:r>
      <w:r w:rsidR="00391BD2">
        <w:t xml:space="preserve">as with sourcing of multistate income, reliance on federal anti-abuse rules may be limited. </w:t>
      </w:r>
    </w:p>
    <w:p w14:paraId="1FC85EF1" w14:textId="27641DA4" w:rsidR="009B05BA" w:rsidRDefault="00034106" w:rsidP="00034106">
      <w:pPr>
        <w:ind w:left="360"/>
      </w:pPr>
      <w:r>
        <w:t>In the partnership context, the i</w:t>
      </w:r>
      <w:r w:rsidR="00391BD2">
        <w:t xml:space="preserve">mportant </w:t>
      </w:r>
      <w:r>
        <w:t xml:space="preserve">anti-abuse </w:t>
      </w:r>
      <w:r w:rsidR="00391BD2">
        <w:t xml:space="preserve">rules </w:t>
      </w:r>
      <w:r>
        <w:t>in</w:t>
      </w:r>
      <w:r w:rsidR="00391BD2">
        <w:t xml:space="preserve"> this category include</w:t>
      </w:r>
      <w:r w:rsidR="00976B5E">
        <w:t xml:space="preserve">: </w:t>
      </w:r>
    </w:p>
    <w:p w14:paraId="28A26057" w14:textId="3128F97F" w:rsidR="00FD0716" w:rsidRDefault="00391BD2" w:rsidP="00FD0716">
      <w:pPr>
        <w:pStyle w:val="Heading5"/>
        <w:ind w:left="720"/>
      </w:pPr>
      <w:r>
        <w:t>IRC § 7701(o) - g</w:t>
      </w:r>
      <w:r w:rsidR="00FD0716">
        <w:t>eneral economic substance rule –</w:t>
      </w:r>
    </w:p>
    <w:p w14:paraId="04474BCC" w14:textId="6F372CF9" w:rsidR="00FD0716" w:rsidRDefault="00FD0716" w:rsidP="00FD0716">
      <w:pPr>
        <w:spacing w:after="120"/>
        <w:ind w:left="720"/>
        <w:contextualSpacing/>
      </w:pPr>
      <w:r>
        <w:t xml:space="preserve">The general </w:t>
      </w:r>
      <w:r w:rsidR="00034106">
        <w:t xml:space="preserve">federal tax </w:t>
      </w:r>
      <w:r>
        <w:t>economic substance rule is set out in</w:t>
      </w:r>
      <w:r w:rsidR="006D2BB2">
        <w:t xml:space="preserve"> IRC § 7701(o)</w:t>
      </w:r>
      <w:r>
        <w:t>.</w:t>
      </w:r>
      <w:r w:rsidR="006D2BB2">
        <w:t xml:space="preserve"> </w:t>
      </w:r>
      <w:r>
        <w:t>It requires</w:t>
      </w:r>
      <w:r w:rsidR="006D2BB2">
        <w:t xml:space="preserve"> that </w:t>
      </w:r>
      <w:r w:rsidR="00034106">
        <w:t xml:space="preserve">for the tax benefits of purported activities and </w:t>
      </w:r>
      <w:r w:rsidR="006D2BB2">
        <w:t>transactions</w:t>
      </w:r>
      <w:r w:rsidR="00034106">
        <w:t xml:space="preserve"> to be respected, they must also </w:t>
      </w:r>
      <w:r w:rsidR="006D2BB2">
        <w:t>affect the economic position of</w:t>
      </w:r>
      <w:r w:rsidR="002F7B8D">
        <w:t xml:space="preserve"> the</w:t>
      </w:r>
      <w:r w:rsidR="006D2BB2">
        <w:t xml:space="preserve"> taxpayer “in a meaningful way” and have a “substantial purpose” apart from the “Federal income tax effects.” </w:t>
      </w:r>
      <w:r w:rsidR="00034106">
        <w:t>This general rule</w:t>
      </w:r>
      <w:r w:rsidR="00952A09">
        <w:t xml:space="preserve"> also</w:t>
      </w:r>
      <w:r w:rsidR="006D2BB2">
        <w:t xml:space="preserve"> </w:t>
      </w:r>
      <w:r w:rsidR="00263A59">
        <w:t xml:space="preserve">provides: </w:t>
      </w:r>
      <w:r w:rsidR="006D2BB2">
        <w:t>“any State or local income tax effect which is related to a Federal income tax effect shall be treated in the same manner as a Federal income tax effect.”</w:t>
      </w:r>
      <w:r w:rsidR="00763CFE">
        <w:t xml:space="preserve"> That is, </w:t>
      </w:r>
      <w:r w:rsidR="00952A09">
        <w:t xml:space="preserve">taxpayers cannot argue that transactions have a meaningful economic effect solely on the basis of the related </w:t>
      </w:r>
      <w:r w:rsidR="00763CFE">
        <w:t>state tax effect</w:t>
      </w:r>
      <w:r w:rsidR="00952A09">
        <w:t>s.</w:t>
      </w:r>
      <w:r w:rsidR="006D2BB2">
        <w:t xml:space="preserve"> But this raises two questions</w:t>
      </w:r>
      <w:r>
        <w:t>:</w:t>
      </w:r>
      <w:r w:rsidR="006D2BB2">
        <w:t xml:space="preserve"> </w:t>
      </w:r>
    </w:p>
    <w:p w14:paraId="5CDA394D" w14:textId="3693FF5B" w:rsidR="00FD0716" w:rsidRDefault="00FD0716" w:rsidP="00366E17">
      <w:pPr>
        <w:pStyle w:val="ListParagraph"/>
        <w:numPr>
          <w:ilvl w:val="0"/>
          <w:numId w:val="61"/>
        </w:numPr>
        <w:spacing w:after="120"/>
        <w:contextualSpacing w:val="0"/>
      </w:pPr>
      <w:r>
        <w:t>W</w:t>
      </w:r>
      <w:r w:rsidR="006D2BB2">
        <w:t>hat if, under this rule, the state tax effect is not “</w:t>
      </w:r>
      <w:r w:rsidR="006D2BB2" w:rsidRPr="00FD0716">
        <w:rPr>
          <w:i/>
          <w:iCs/>
        </w:rPr>
        <w:t>related to”</w:t>
      </w:r>
      <w:r w:rsidR="006D2BB2">
        <w:t xml:space="preserve"> a federal income tax effect?</w:t>
      </w:r>
      <w:r w:rsidR="006D2BB2" w:rsidRPr="00132C16">
        <w:t xml:space="preserve"> </w:t>
      </w:r>
      <w:r w:rsidR="006D2BB2">
        <w:t xml:space="preserve">It could be argued, for example, that the effect of applying state sourcing rules to multistate income is not “related to” any </w:t>
      </w:r>
      <w:r w:rsidR="00416ABC">
        <w:t xml:space="preserve">particular </w:t>
      </w:r>
      <w:r w:rsidR="006D2BB2">
        <w:t xml:space="preserve">federal tax effect, at least directly. </w:t>
      </w:r>
    </w:p>
    <w:p w14:paraId="375F0826" w14:textId="58AA4DD7" w:rsidR="00763CFE" w:rsidRDefault="00FD0716" w:rsidP="00366E17">
      <w:pPr>
        <w:pStyle w:val="ListParagraph"/>
        <w:numPr>
          <w:ilvl w:val="0"/>
          <w:numId w:val="61"/>
        </w:numPr>
        <w:spacing w:after="120"/>
        <w:contextualSpacing w:val="0"/>
      </w:pPr>
      <w:r>
        <w:t>W</w:t>
      </w:r>
      <w:r w:rsidR="006D2BB2">
        <w:t xml:space="preserve">hat about other anti-abuse rules that reference </w:t>
      </w:r>
      <w:r>
        <w:t xml:space="preserve">federal </w:t>
      </w:r>
      <w:r w:rsidR="006D2BB2">
        <w:t xml:space="preserve">tax effects generally but </w:t>
      </w:r>
      <w:r w:rsidR="00952A09">
        <w:t>are silent as to how to treat the state</w:t>
      </w:r>
      <w:r w:rsidR="006D2BB2">
        <w:t xml:space="preserve"> tax effects?</w:t>
      </w:r>
      <w:r w:rsidR="00763CFE">
        <w:t xml:space="preserve"> </w:t>
      </w:r>
      <w:r w:rsidR="00952A09">
        <w:t xml:space="preserve">Would the assumption be that state taxes are an </w:t>
      </w:r>
      <w:r w:rsidR="00952A09" w:rsidRPr="00952A09">
        <w:rPr>
          <w:i/>
          <w:iCs/>
        </w:rPr>
        <w:t xml:space="preserve">economic </w:t>
      </w:r>
      <w:r w:rsidR="00952A09">
        <w:t xml:space="preserve">effect that might justify the federal treatment? </w:t>
      </w:r>
    </w:p>
    <w:p w14:paraId="55D4A0F9" w14:textId="140EF518" w:rsidR="00763CFE" w:rsidRDefault="00391BD2" w:rsidP="00763CFE">
      <w:pPr>
        <w:pStyle w:val="Heading5"/>
        <w:ind w:left="720"/>
      </w:pPr>
      <w:r>
        <w:t xml:space="preserve">IRC § 482 </w:t>
      </w:r>
      <w:r w:rsidR="00F8096F">
        <w:t>– t</w:t>
      </w:r>
      <w:r w:rsidR="00763CFE">
        <w:t>ransfer-pricing rules –</w:t>
      </w:r>
    </w:p>
    <w:p w14:paraId="7B34BA5F" w14:textId="47B532CD" w:rsidR="006D2BB2" w:rsidRDefault="00300A34" w:rsidP="00265D6D">
      <w:pPr>
        <w:pStyle w:val="ListParagraph"/>
        <w:spacing w:after="120"/>
        <w:contextualSpacing w:val="0"/>
      </w:pPr>
      <w:r>
        <w:t xml:space="preserve">As noted above, partners and their partnerships can engage in transactions which would be not be treated as between a partner and a partnership. See IRC § 707(a). </w:t>
      </w:r>
      <w:r w:rsidR="00763CFE">
        <w:t xml:space="preserve">Under IRC § 482, </w:t>
      </w:r>
      <w:r w:rsidR="006D2BB2">
        <w:t xml:space="preserve">the IRS </w:t>
      </w:r>
      <w:r w:rsidR="00763CFE">
        <w:t xml:space="preserve">has the authority to </w:t>
      </w:r>
      <w:r w:rsidR="006D2BB2">
        <w:t>re-</w:t>
      </w:r>
      <w:r w:rsidR="006D2BB2" w:rsidRPr="00830119">
        <w:t xml:space="preserve">distribute </w:t>
      </w:r>
      <w:r w:rsidR="00DD5C00">
        <w:t xml:space="preserve">items of </w:t>
      </w:r>
      <w:r w:rsidR="006D2BB2" w:rsidRPr="00830119">
        <w:t>income among</w:t>
      </w:r>
      <w:r w:rsidR="006D2BB2">
        <w:t xml:space="preserve"> businesses</w:t>
      </w:r>
      <w:r w:rsidR="00DD5C00">
        <w:t xml:space="preserve"> owned or controlled directly or indirectly by the same interests</w:t>
      </w:r>
      <w:r w:rsidR="006D2BB2">
        <w:t xml:space="preserve"> </w:t>
      </w:r>
      <w:r w:rsidR="006D2BB2" w:rsidRPr="00BD1526">
        <w:t xml:space="preserve">in order </w:t>
      </w:r>
      <w:r w:rsidR="006D2BB2">
        <w:t>“</w:t>
      </w:r>
      <w:r w:rsidR="006D2BB2" w:rsidRPr="00BD1526">
        <w:t>to prevent evasion of taxes or clearly to reflect the income of any of such organizations, trades, or businesses.</w:t>
      </w:r>
      <w:r w:rsidR="006D2BB2">
        <w:t xml:space="preserve">” This </w:t>
      </w:r>
      <w:r w:rsidR="00416ABC">
        <w:t xml:space="preserve">“transfer-pricing” </w:t>
      </w:r>
      <w:r w:rsidR="006D2BB2">
        <w:t xml:space="preserve">authority </w:t>
      </w:r>
      <w:r w:rsidR="00446B19">
        <w:t xml:space="preserve">may also be applied </w:t>
      </w:r>
      <w:r w:rsidR="006D2BB2">
        <w:t>to partner-partnership transactions.</w:t>
      </w:r>
      <w:r w:rsidR="006D2BB2">
        <w:rPr>
          <w:rStyle w:val="FootnoteReference"/>
        </w:rPr>
        <w:footnoteReference w:id="19"/>
      </w:r>
      <w:r w:rsidR="006D2BB2">
        <w:t xml:space="preserve"> </w:t>
      </w:r>
      <w:r w:rsidR="00416ABC">
        <w:t xml:space="preserve">In addition, </w:t>
      </w:r>
      <w:r w:rsidR="002C05A1">
        <w:t xml:space="preserve">there may be instances in which § 482 is relevant to transactions between a partner, acting as a partner, </w:t>
      </w:r>
      <w:r w:rsidR="00446B19">
        <w:t>and the partnership</w:t>
      </w:r>
      <w:r w:rsidR="002C05A1">
        <w:t>.</w:t>
      </w:r>
      <w:r w:rsidR="002C05A1">
        <w:rPr>
          <w:rStyle w:val="FootnoteReference"/>
        </w:rPr>
        <w:footnoteReference w:id="20"/>
      </w:r>
      <w:r w:rsidR="002C05A1">
        <w:t xml:space="preserve"> In general, however, </w:t>
      </w:r>
      <w:r w:rsidR="00DD5C00">
        <w:t xml:space="preserve">there is far less federal guidance for applying § 482 </w:t>
      </w:r>
      <w:r w:rsidR="002C05A1">
        <w:t xml:space="preserve">in the partnership context. </w:t>
      </w:r>
    </w:p>
    <w:p w14:paraId="51A21969" w14:textId="4FA4C5C0" w:rsidR="00300A34" w:rsidRDefault="00300A34" w:rsidP="00300A34">
      <w:pPr>
        <w:pStyle w:val="ListParagraph"/>
        <w:spacing w:after="120"/>
        <w:contextualSpacing w:val="0"/>
      </w:pPr>
      <w:r>
        <w:lastRenderedPageBreak/>
        <w:t xml:space="preserve">As has long been demonstrated in the context of state corporate income tax, related-entity transactions can have significant effects on </w:t>
      </w:r>
      <w:r w:rsidR="00446B19">
        <w:t xml:space="preserve">the </w:t>
      </w:r>
      <w:r>
        <w:t>sourcing of multistate income, especially where corporations are allowed to file as separate entities even though fully integrated into a unitary business. Some states have</w:t>
      </w:r>
      <w:r w:rsidR="00B76905">
        <w:t xml:space="preserve"> </w:t>
      </w:r>
      <w:r w:rsidR="00446B19">
        <w:t>explicitly granted their administrative agencies authority similar to § 482</w:t>
      </w:r>
      <w:r>
        <w:t>.</w:t>
      </w:r>
      <w:r w:rsidR="00B76905">
        <w:rPr>
          <w:rStyle w:val="FootnoteReference"/>
        </w:rPr>
        <w:footnoteReference w:id="21"/>
      </w:r>
      <w:r>
        <w:t xml:space="preserve"> </w:t>
      </w:r>
      <w:r w:rsidR="00B76905">
        <w:t xml:space="preserve">Without this explicit authority, it </w:t>
      </w:r>
      <w:r>
        <w:t xml:space="preserve">is not always clear how </w:t>
      </w:r>
      <w:r w:rsidR="00446B19">
        <w:t xml:space="preserve">states might apply the federal rules where the </w:t>
      </w:r>
      <w:r>
        <w:t xml:space="preserve">only potential effects would be on </w:t>
      </w:r>
      <w:r w:rsidRPr="00593BDE">
        <w:rPr>
          <w:i/>
          <w:iCs/>
        </w:rPr>
        <w:t>state</w:t>
      </w:r>
      <w:r>
        <w:t xml:space="preserve"> taxes.</w:t>
      </w:r>
      <w:r>
        <w:rPr>
          <w:rStyle w:val="FootnoteReference"/>
        </w:rPr>
        <w:footnoteReference w:id="22"/>
      </w:r>
      <w:r>
        <w:t xml:space="preserve"> </w:t>
      </w:r>
    </w:p>
    <w:p w14:paraId="71A88A3F" w14:textId="7434C140" w:rsidR="00023FAA" w:rsidRDefault="00F8096F" w:rsidP="00023FAA">
      <w:pPr>
        <w:pStyle w:val="Heading5"/>
        <w:ind w:left="720"/>
      </w:pPr>
      <w:r>
        <w:t>IRS Reg. § 1.701-2 – g</w:t>
      </w:r>
      <w:r w:rsidR="00023FAA">
        <w:t>eneral partnership anti-abuse rule –</w:t>
      </w:r>
    </w:p>
    <w:p w14:paraId="30DEC1FA" w14:textId="6BA205BF" w:rsidR="006D2BB2" w:rsidRDefault="00023FAA" w:rsidP="00023FAA">
      <w:pPr>
        <w:spacing w:after="120"/>
        <w:ind w:left="720"/>
      </w:pPr>
      <w:r>
        <w:t>The IRS promulgated</w:t>
      </w:r>
      <w:r w:rsidR="006D2BB2">
        <w:t xml:space="preserve"> Reg. </w:t>
      </w:r>
      <w:r w:rsidR="006D2BB2" w:rsidRPr="00132C16">
        <w:t>§ 1.701-2</w:t>
      </w:r>
      <w:r w:rsidR="006D2BB2">
        <w:t xml:space="preserve"> </w:t>
      </w:r>
      <w:r w:rsidR="00B22411">
        <w:t xml:space="preserve">in 1995 </w:t>
      </w:r>
      <w:r>
        <w:t xml:space="preserve">after recognizing </w:t>
      </w:r>
      <w:r w:rsidR="00B470B0">
        <w:t>the</w:t>
      </w:r>
      <w:r>
        <w:t xml:space="preserve"> need for a general rule </w:t>
      </w:r>
      <w:r w:rsidR="00B470B0">
        <w:t>to address</w:t>
      </w:r>
      <w:r w:rsidR="00B22411">
        <w:t xml:space="preserve"> abusive tax planning using</w:t>
      </w:r>
      <w:r w:rsidR="006D2BB2">
        <w:t xml:space="preserve"> </w:t>
      </w:r>
      <w:r w:rsidR="006C6FF5">
        <w:t xml:space="preserve">complex </w:t>
      </w:r>
      <w:r w:rsidR="006D2BB2">
        <w:t xml:space="preserve">partnership </w:t>
      </w:r>
      <w:r w:rsidR="00B22411">
        <w:t>structures</w:t>
      </w:r>
      <w:r w:rsidR="006C6FF5">
        <w:t xml:space="preserve"> and transactions</w:t>
      </w:r>
      <w:r w:rsidR="00B22411">
        <w:t>.</w:t>
      </w:r>
      <w:r w:rsidR="006C6FF5">
        <w:rPr>
          <w:rStyle w:val="FootnoteReference"/>
        </w:rPr>
        <w:footnoteReference w:id="23"/>
      </w:r>
      <w:r w:rsidR="00B22411">
        <w:t xml:space="preserve"> </w:t>
      </w:r>
      <w:r w:rsidR="00B470B0">
        <w:t>This general a</w:t>
      </w:r>
      <w:r w:rsidR="006D2BB2">
        <w:t>nti-abuse rule provides that “</w:t>
      </w:r>
      <w:r w:rsidR="006D2BB2" w:rsidRPr="00132C16">
        <w:t xml:space="preserve">the tax consequences under subchapter K </w:t>
      </w:r>
      <w:r w:rsidR="006D2BB2">
        <w:t>. . .</w:t>
      </w:r>
      <w:r w:rsidR="006D2BB2" w:rsidRPr="00132C16">
        <w:t xml:space="preserve"> must accurately reflect the partners</w:t>
      </w:r>
      <w:r w:rsidR="006D2BB2">
        <w:t>’</w:t>
      </w:r>
      <w:r w:rsidR="006D2BB2" w:rsidRPr="00132C16">
        <w:t xml:space="preserve"> economic agreement and clearly reflect the partner's income</w:t>
      </w:r>
      <w:r w:rsidR="006D2BB2">
        <w:t xml:space="preserve"> . . .</w:t>
      </w:r>
      <w:r w:rsidR="006D2BB2" w:rsidRPr="00132C16">
        <w:t>.</w:t>
      </w:r>
      <w:r w:rsidR="006D2BB2">
        <w:t xml:space="preserve">” </w:t>
      </w:r>
      <w:r w:rsidR="00B470B0">
        <w:t>The authority for this rule has been questioned</w:t>
      </w:r>
      <w:r w:rsidR="003558EC">
        <w:t>,</w:t>
      </w:r>
      <w:r w:rsidR="00B470B0">
        <w:t xml:space="preserve"> </w:t>
      </w:r>
      <w:r w:rsidR="00E17F07">
        <w:t>with one expert noting that when it was first proposed: “</w:t>
      </w:r>
      <w:r w:rsidR="00E17F07" w:rsidRPr="00E17F07">
        <w:t>practitioners responded venomously, displaying a level of anger and outrage rarely seen in the tax world</w:t>
      </w:r>
      <w:r w:rsidR="00E17F07">
        <w:t>” and that it “</w:t>
      </w:r>
      <w:r w:rsidR="00E17F07" w:rsidRPr="00E17F07">
        <w:t>remains controversial, drawing visceral reactions from scholars and practitioners alike.</w:t>
      </w:r>
      <w:r w:rsidR="00E17F07">
        <w:t>”</w:t>
      </w:r>
      <w:r w:rsidR="00E17F07">
        <w:rPr>
          <w:rStyle w:val="FootnoteReference"/>
        </w:rPr>
        <w:footnoteReference w:id="24"/>
      </w:r>
      <w:r w:rsidR="00E17F07">
        <w:t xml:space="preserve"> </w:t>
      </w:r>
      <w:r w:rsidR="003558EC">
        <w:t>T</w:t>
      </w:r>
      <w:r w:rsidR="00101356">
        <w:t xml:space="preserve">he regulation has been used sparingly over the years, </w:t>
      </w:r>
      <w:r w:rsidR="003558EC">
        <w:t xml:space="preserve">but </w:t>
      </w:r>
      <w:r w:rsidR="00101356">
        <w:t xml:space="preserve">was recently raised in litigation involving a </w:t>
      </w:r>
      <w:r w:rsidR="00446B19">
        <w:t xml:space="preserve">purported </w:t>
      </w:r>
      <w:r w:rsidR="00101356">
        <w:t>“disguised sale” involving the Chicago Cubs</w:t>
      </w:r>
      <w:r w:rsidR="00101356" w:rsidRPr="00101356">
        <w:t>.</w:t>
      </w:r>
      <w:r w:rsidR="00101356">
        <w:rPr>
          <w:rStyle w:val="FootnoteReference"/>
        </w:rPr>
        <w:footnoteReference w:id="25"/>
      </w:r>
      <w:r w:rsidR="00101356" w:rsidRPr="00101356">
        <w:t xml:space="preserve"> </w:t>
      </w:r>
    </w:p>
    <w:p w14:paraId="6E0C8DBC" w14:textId="0EBA7719" w:rsidR="00782D79" w:rsidRDefault="00782D79" w:rsidP="00023FAA">
      <w:pPr>
        <w:spacing w:after="120"/>
        <w:ind w:left="720"/>
      </w:pPr>
      <w:r>
        <w:t xml:space="preserve">Like the economic substance provision of IRC § 7701(o), discussed above, the general partnership anti-abuse regulation’s reference to “tax consequences” </w:t>
      </w:r>
      <w:r w:rsidR="003558EC">
        <w:t>may</w:t>
      </w:r>
      <w:r>
        <w:t xml:space="preserve"> be interpreted as including only federal tax consequences. But unlike § 7701(o), it is not clear whether the economic results would exclude </w:t>
      </w:r>
      <w:r w:rsidR="003558EC">
        <w:t>effect on state taxes</w:t>
      </w:r>
      <w:r>
        <w:t xml:space="preserve">. Therefore, </w:t>
      </w:r>
      <w:r w:rsidR="00446B19">
        <w:t xml:space="preserve">while </w:t>
      </w:r>
      <w:r>
        <w:t xml:space="preserve">states might rely on this regulation </w:t>
      </w:r>
      <w:r w:rsidR="003558EC">
        <w:t>in determining the proper</w:t>
      </w:r>
      <w:r w:rsidR="00446B19">
        <w:t xml:space="preserve"> federal tax result</w:t>
      </w:r>
      <w:r w:rsidR="003558EC">
        <w:t xml:space="preserve"> to which they conform,</w:t>
      </w:r>
      <w:r w:rsidR="00446B19">
        <w:t xml:space="preserve"> </w:t>
      </w:r>
      <w:r>
        <w:t xml:space="preserve">it is questionable whether </w:t>
      </w:r>
      <w:r w:rsidR="00E00C0B">
        <w:t xml:space="preserve">they could necessarily rely </w:t>
      </w:r>
      <w:r w:rsidR="003558EC">
        <w:t>if the state tax effect is only indirect</w:t>
      </w:r>
      <w:r w:rsidR="00446B19">
        <w:t>, as with sourcing</w:t>
      </w:r>
      <w:r w:rsidR="00E00C0B">
        <w:t xml:space="preserve">. </w:t>
      </w:r>
    </w:p>
    <w:p w14:paraId="47A43291" w14:textId="6BDB0748" w:rsidR="0019576C" w:rsidRDefault="0019576C" w:rsidP="0019576C">
      <w:pPr>
        <w:pStyle w:val="Heading5"/>
        <w:ind w:left="720"/>
      </w:pPr>
      <w:r>
        <w:t xml:space="preserve">IRC § 704(b) </w:t>
      </w:r>
      <w:r w:rsidR="00F8096F">
        <w:t xml:space="preserve">– </w:t>
      </w:r>
      <w:r>
        <w:t xml:space="preserve">requirement for </w:t>
      </w:r>
      <w:r w:rsidR="00782D79">
        <w:t xml:space="preserve">allocations to have </w:t>
      </w:r>
      <w:r>
        <w:t>substantial economic effect –</w:t>
      </w:r>
    </w:p>
    <w:p w14:paraId="462B8404" w14:textId="0731CCCB" w:rsidR="006D2BB2" w:rsidRPr="00A916A7" w:rsidRDefault="00322FE5" w:rsidP="0092536D">
      <w:pPr>
        <w:spacing w:after="120"/>
        <w:ind w:left="720"/>
      </w:pPr>
      <w:r>
        <w:t xml:space="preserve">Unlike </w:t>
      </w:r>
      <w:r w:rsidR="00CA50FB">
        <w:t xml:space="preserve">§ </w:t>
      </w:r>
      <w:r>
        <w:t>704(c)</w:t>
      </w:r>
      <w:r w:rsidR="00CA50FB">
        <w:t xml:space="preserve"> (discussed above)</w:t>
      </w:r>
      <w:r w:rsidR="00782D79">
        <w:t>,</w:t>
      </w:r>
      <w:r>
        <w:t xml:space="preserve"> </w:t>
      </w:r>
      <w:r w:rsidR="00CA50FB">
        <w:t xml:space="preserve">which sets out a specific limitation on the ability of partners to choose how to allocate partnership income, § 704(b) imposes a general requirement that the allocations of partnership items have </w:t>
      </w:r>
      <w:r w:rsidR="0019576C">
        <w:t>“substantial economic effect.”</w:t>
      </w:r>
      <w:r w:rsidR="006D2BB2">
        <w:t xml:space="preserve"> </w:t>
      </w:r>
      <w:r w:rsidR="0019576C">
        <w:t xml:space="preserve">This term has been defined by extensive regulations </w:t>
      </w:r>
      <w:r w:rsidR="0092536D">
        <w:t>as applied in various different contexts and in conjunction with other rules of Subchapter K. See IRS Reg. 1.704-1(b). In general, t</w:t>
      </w:r>
      <w:r w:rsidR="00263A59">
        <w:t>he r</w:t>
      </w:r>
      <w:r w:rsidR="006D2BB2">
        <w:t>egulations provide that</w:t>
      </w:r>
      <w:r w:rsidR="003558EC">
        <w:t xml:space="preserve"> </w:t>
      </w:r>
      <w:r w:rsidR="006D2BB2">
        <w:t xml:space="preserve">there </w:t>
      </w:r>
      <w:r w:rsidR="006D2BB2" w:rsidRPr="00D03B06">
        <w:t xml:space="preserve">must be a reasonable possibility </w:t>
      </w:r>
      <w:r w:rsidR="003558EC">
        <w:t xml:space="preserve">that </w:t>
      </w:r>
      <w:r w:rsidR="006D2BB2" w:rsidRPr="00D03B06">
        <w:t xml:space="preserve">the allocation </w:t>
      </w:r>
      <w:r w:rsidR="006D2BB2">
        <w:t xml:space="preserve">of distributive share </w:t>
      </w:r>
      <w:r w:rsidR="006D2BB2" w:rsidRPr="00D03B06">
        <w:t xml:space="preserve">will affect substantially the dollar amounts to be received by the partner </w:t>
      </w:r>
      <w:r w:rsidR="006D2BB2">
        <w:t>“</w:t>
      </w:r>
      <w:r w:rsidR="006D2BB2" w:rsidRPr="00D03B06">
        <w:t>independent of tax consequences</w:t>
      </w:r>
      <w:r w:rsidR="006D2BB2">
        <w:t>.</w:t>
      </w:r>
      <w:r w:rsidR="006D2BB2" w:rsidRPr="00D03B06">
        <w:t xml:space="preserve">” </w:t>
      </w:r>
      <w:r w:rsidR="003558EC">
        <w:t>As with other similar anti-abuse rules</w:t>
      </w:r>
      <w:r w:rsidR="0092536D">
        <w:t xml:space="preserve">, it is not clear that this rule would serve to limit allocations that </w:t>
      </w:r>
      <w:r w:rsidR="005F12D1">
        <w:t>only affect</w:t>
      </w:r>
      <w:r w:rsidR="00A42ED6">
        <w:t xml:space="preserve"> </w:t>
      </w:r>
      <w:r w:rsidR="0092536D">
        <w:t xml:space="preserve">the partners’ </w:t>
      </w:r>
      <w:r w:rsidR="0092536D" w:rsidRPr="00782D79">
        <w:rPr>
          <w:i/>
          <w:iCs/>
        </w:rPr>
        <w:t>state</w:t>
      </w:r>
      <w:r w:rsidR="0092536D">
        <w:t xml:space="preserve"> tax result</w:t>
      </w:r>
      <w:r w:rsidR="00A42ED6">
        <w:t>s.</w:t>
      </w:r>
      <w:r w:rsidR="0092536D">
        <w:t xml:space="preserve">. </w:t>
      </w:r>
    </w:p>
    <w:p w14:paraId="0E746499" w14:textId="1FE2F571" w:rsidR="006D2BB2" w:rsidRDefault="00736A1D" w:rsidP="0092536D">
      <w:pPr>
        <w:pStyle w:val="Heading5"/>
        <w:ind w:left="720"/>
      </w:pPr>
      <w:r>
        <w:t xml:space="preserve">IRC § 6222 </w:t>
      </w:r>
      <w:r w:rsidR="00F8096F">
        <w:t xml:space="preserve">– </w:t>
      </w:r>
      <w:r>
        <w:t>consistency requirement –</w:t>
      </w:r>
    </w:p>
    <w:p w14:paraId="258A21B3" w14:textId="7FD9409B" w:rsidR="006D2BB2" w:rsidRDefault="006D2BB2" w:rsidP="006D2BB2">
      <w:pPr>
        <w:ind w:left="720"/>
      </w:pPr>
      <w:r>
        <w:t xml:space="preserve">In addition to the substantive anti-abuse rules </w:t>
      </w:r>
      <w:r w:rsidR="00782D79">
        <w:t xml:space="preserve">discussed above, </w:t>
      </w:r>
      <w:r>
        <w:t>the federal administrative provisions also require that partners report items consistently with the partnership’s own reported information. See IRC § 6222. Failure to do so is treated as a math error on the partner’s return for which tax can be summarily assessed. Application of this consistency requirement to purely state-related information is uncertain and some states have provided their own consistency requirement as part of state tax statutes or regulations.</w:t>
      </w:r>
      <w:r>
        <w:rPr>
          <w:rStyle w:val="FootnoteReference"/>
        </w:rPr>
        <w:footnoteReference w:id="26"/>
      </w:r>
      <w:r>
        <w:t xml:space="preserve"> </w:t>
      </w:r>
    </w:p>
    <w:p w14:paraId="7620F915" w14:textId="2277B713" w:rsidR="00B37297" w:rsidRDefault="006D2BB2" w:rsidP="003558EC">
      <w:pPr>
        <w:pStyle w:val="Heading4"/>
      </w:pPr>
      <w:r>
        <w:lastRenderedPageBreak/>
        <w:t>States may need additional anti-abuse</w:t>
      </w:r>
      <w:r w:rsidR="00D22DB3">
        <w:t xml:space="preserve"> rules to prevent the use of partnerships to shift income.</w:t>
      </w:r>
      <w:r>
        <w:t>.</w:t>
      </w:r>
    </w:p>
    <w:p w14:paraId="21ADF312" w14:textId="4CF05C14" w:rsidR="00D22DB3" w:rsidRDefault="00AC2B40" w:rsidP="003558EC">
      <w:r>
        <w:t xml:space="preserve">The nature of the pass-through system combined with </w:t>
      </w:r>
      <w:r w:rsidR="00D22DB3">
        <w:t xml:space="preserve">the need to source the income </w:t>
      </w:r>
      <w:r>
        <w:t xml:space="preserve">from </w:t>
      </w:r>
      <w:r w:rsidR="00D22DB3">
        <w:t xml:space="preserve">multistate </w:t>
      </w:r>
      <w:r>
        <w:t xml:space="preserve">business activities means that states may need to develop specialized anti-abuse rules to prevent income shifting or other unintended consequences. </w:t>
      </w:r>
      <w:r w:rsidR="006E6625">
        <w:t xml:space="preserve">States </w:t>
      </w:r>
      <w:r w:rsidR="00A731B6">
        <w:t xml:space="preserve">that </w:t>
      </w:r>
      <w:r w:rsidR="006E6625">
        <w:t xml:space="preserve">have </w:t>
      </w:r>
      <w:r w:rsidR="00A731B6">
        <w:t xml:space="preserve">adopted </w:t>
      </w:r>
      <w:r w:rsidR="006E6625">
        <w:t xml:space="preserve">the </w:t>
      </w:r>
      <w:r w:rsidR="006E6625" w:rsidRPr="006E6625">
        <w:t>Uniform Division of Income for Tax Purposes Act (UDITPA)</w:t>
      </w:r>
      <w:r w:rsidR="00A731B6">
        <w:t xml:space="preserve"> or some version of that act have general authority under</w:t>
      </w:r>
      <w:r w:rsidR="006E6625">
        <w:t xml:space="preserve"> Section 18</w:t>
      </w:r>
      <w:r w:rsidR="00A731B6">
        <w:t xml:space="preserve"> </w:t>
      </w:r>
      <w:r w:rsidR="006E6625">
        <w:t xml:space="preserve">to </w:t>
      </w:r>
      <w:r w:rsidR="00A731B6">
        <w:t xml:space="preserve">address situations where the application of the standard sourcing rules does not reflect the taxpayer’s activity in the state. </w:t>
      </w:r>
      <w:r w:rsidR="00D22DB3">
        <w:t xml:space="preserve">The MTC and states have also adopted special rules for implementing this authority. </w:t>
      </w:r>
      <w:r w:rsidR="00A731B6">
        <w:t xml:space="preserve">   </w:t>
      </w:r>
    </w:p>
    <w:p w14:paraId="4021468B" w14:textId="77777777" w:rsidR="0097538B" w:rsidRDefault="0097538B" w:rsidP="0097538B">
      <w:pPr>
        <w:ind w:left="720" w:right="720"/>
        <w:rPr>
          <w:b/>
          <w:bCs/>
        </w:rPr>
      </w:pPr>
    </w:p>
    <w:p w14:paraId="660BC9DF" w14:textId="6CAD1677" w:rsidR="00D22DB3" w:rsidRDefault="0097538B" w:rsidP="0075029E">
      <w:pPr>
        <w:pBdr>
          <w:top w:val="single" w:sz="4" w:space="1" w:color="auto"/>
          <w:left w:val="single" w:sz="4" w:space="4" w:color="auto"/>
          <w:bottom w:val="single" w:sz="4" w:space="1" w:color="auto"/>
          <w:right w:val="single" w:sz="4" w:space="4" w:color="auto"/>
        </w:pBdr>
        <w:ind w:left="720" w:right="720"/>
        <w:rPr>
          <w:b/>
          <w:bCs/>
        </w:rPr>
      </w:pPr>
      <w:r w:rsidRPr="0097538B">
        <w:rPr>
          <w:b/>
          <w:bCs/>
        </w:rPr>
        <w:t xml:space="preserve">OVERARCHING </w:t>
      </w:r>
      <w:r w:rsidR="00624708">
        <w:rPr>
          <w:b/>
          <w:bCs/>
        </w:rPr>
        <w:t xml:space="preserve">STATE TAX </w:t>
      </w:r>
      <w:r w:rsidR="003E27A5" w:rsidRPr="0097538B">
        <w:rPr>
          <w:b/>
          <w:bCs/>
        </w:rPr>
        <w:t>IMPLICATION</w:t>
      </w:r>
      <w:r w:rsidR="00624708">
        <w:rPr>
          <w:b/>
          <w:bCs/>
        </w:rPr>
        <w:t>S</w:t>
      </w:r>
      <w:r w:rsidR="003E27A5" w:rsidRPr="0097538B">
        <w:rPr>
          <w:b/>
          <w:bCs/>
        </w:rPr>
        <w:t xml:space="preserve"> </w:t>
      </w:r>
      <w:r w:rsidR="00624708">
        <w:rPr>
          <w:b/>
          <w:bCs/>
        </w:rPr>
        <w:t xml:space="preserve">- </w:t>
      </w:r>
      <w:r w:rsidR="00D22DB3" w:rsidRPr="0097538B">
        <w:rPr>
          <w:b/>
          <w:bCs/>
        </w:rPr>
        <w:t xml:space="preserve">Anti-abuse rules are discussed further in Section II. E. of this whitepaper. </w:t>
      </w:r>
      <w:r w:rsidR="00624708">
        <w:rPr>
          <w:b/>
          <w:bCs/>
        </w:rPr>
        <w:t>The important implications here are:</w:t>
      </w:r>
    </w:p>
    <w:p w14:paraId="5E215317" w14:textId="58B9013B" w:rsidR="00624708" w:rsidRDefault="00624708" w:rsidP="00366E17">
      <w:pPr>
        <w:pStyle w:val="ListParagraph"/>
        <w:numPr>
          <w:ilvl w:val="0"/>
          <w:numId w:val="64"/>
        </w:numPr>
        <w:pBdr>
          <w:top w:val="single" w:sz="4" w:space="1" w:color="auto"/>
          <w:left w:val="single" w:sz="4" w:space="4" w:color="auto"/>
          <w:bottom w:val="single" w:sz="4" w:space="1" w:color="auto"/>
          <w:right w:val="single" w:sz="4" w:space="4" w:color="auto"/>
        </w:pBdr>
        <w:spacing w:after="120"/>
        <w:ind w:right="720"/>
        <w:contextualSpacing w:val="0"/>
        <w:rPr>
          <w:b/>
          <w:bCs/>
        </w:rPr>
      </w:pPr>
      <w:r>
        <w:rPr>
          <w:b/>
          <w:bCs/>
        </w:rPr>
        <w:t xml:space="preserve">The pass-through system created by Subchapter K includes a general framework of rules and a number of provisions that make exceptions to or put limitations on those general rules. </w:t>
      </w:r>
    </w:p>
    <w:p w14:paraId="2C5695E6" w14:textId="77B42CBE" w:rsidR="00624708" w:rsidRDefault="0075029E" w:rsidP="00366E17">
      <w:pPr>
        <w:pStyle w:val="ListParagraph"/>
        <w:numPr>
          <w:ilvl w:val="0"/>
          <w:numId w:val="64"/>
        </w:numPr>
        <w:pBdr>
          <w:top w:val="single" w:sz="4" w:space="1" w:color="auto"/>
          <w:left w:val="single" w:sz="4" w:space="4" w:color="auto"/>
          <w:bottom w:val="single" w:sz="4" w:space="1" w:color="auto"/>
          <w:right w:val="single" w:sz="4" w:space="4" w:color="auto"/>
        </w:pBdr>
        <w:spacing w:after="120"/>
        <w:ind w:right="720"/>
        <w:contextualSpacing w:val="0"/>
        <w:rPr>
          <w:b/>
          <w:bCs/>
        </w:rPr>
      </w:pPr>
      <w:r>
        <w:rPr>
          <w:b/>
          <w:bCs/>
        </w:rPr>
        <w:t>For states that conform, specific</w:t>
      </w:r>
      <w:r w:rsidR="00624708">
        <w:rPr>
          <w:b/>
          <w:bCs/>
        </w:rPr>
        <w:t xml:space="preserve"> limitations will have the same effect on state taxes</w:t>
      </w:r>
      <w:r>
        <w:rPr>
          <w:b/>
          <w:bCs/>
        </w:rPr>
        <w:t xml:space="preserve"> as on federal taxes</w:t>
      </w:r>
      <w:r w:rsidR="00624708">
        <w:rPr>
          <w:b/>
          <w:bCs/>
        </w:rPr>
        <w:t>, especially to the extent that the state tax effect is directly related to the federal tax effect.</w:t>
      </w:r>
    </w:p>
    <w:p w14:paraId="44C6C31E" w14:textId="6B7056D8" w:rsidR="00624708" w:rsidRDefault="00624708" w:rsidP="00366E17">
      <w:pPr>
        <w:pStyle w:val="ListParagraph"/>
        <w:numPr>
          <w:ilvl w:val="0"/>
          <w:numId w:val="64"/>
        </w:numPr>
        <w:pBdr>
          <w:top w:val="single" w:sz="4" w:space="1" w:color="auto"/>
          <w:left w:val="single" w:sz="4" w:space="4" w:color="auto"/>
          <w:bottom w:val="single" w:sz="4" w:space="1" w:color="auto"/>
          <w:right w:val="single" w:sz="4" w:space="4" w:color="auto"/>
        </w:pBdr>
        <w:spacing w:after="120"/>
        <w:ind w:right="720"/>
        <w:contextualSpacing w:val="0"/>
        <w:rPr>
          <w:b/>
          <w:bCs/>
        </w:rPr>
      </w:pPr>
      <w:r>
        <w:rPr>
          <w:b/>
          <w:bCs/>
        </w:rPr>
        <w:t xml:space="preserve">Some anti-abuse rules which make a general reference to the effect on federal taxes of certain activities or transactions </w:t>
      </w:r>
      <w:r w:rsidR="0075029E">
        <w:rPr>
          <w:b/>
          <w:bCs/>
        </w:rPr>
        <w:t>may also have a direct effect on state taxes for conforming states, but it is less clear the extent to which state may rely on these rules where the federal tax and state tax treatment of income are only indirectly related—as with sourcing of multistate income.</w:t>
      </w:r>
    </w:p>
    <w:p w14:paraId="04DD09B6" w14:textId="3E6F618B" w:rsidR="0075029E" w:rsidRPr="00624708" w:rsidRDefault="0075029E" w:rsidP="00366E17">
      <w:pPr>
        <w:pStyle w:val="ListParagraph"/>
        <w:numPr>
          <w:ilvl w:val="0"/>
          <w:numId w:val="64"/>
        </w:numPr>
        <w:pBdr>
          <w:top w:val="single" w:sz="4" w:space="1" w:color="auto"/>
          <w:left w:val="single" w:sz="4" w:space="4" w:color="auto"/>
          <w:bottom w:val="single" w:sz="4" w:space="1" w:color="auto"/>
          <w:right w:val="single" w:sz="4" w:space="4" w:color="auto"/>
        </w:pBdr>
        <w:ind w:right="720"/>
        <w:rPr>
          <w:b/>
          <w:bCs/>
        </w:rPr>
      </w:pPr>
      <w:r>
        <w:rPr>
          <w:b/>
          <w:bCs/>
        </w:rPr>
        <w:t xml:space="preserve">Review of the important federal anti-abuse rules may provide states with information they can use in adopting similar rules or making explicit their intention to apply such rules in the state tax context. </w:t>
      </w:r>
    </w:p>
    <w:p w14:paraId="10A2D49C" w14:textId="77777777" w:rsidR="00624708" w:rsidRPr="0097538B" w:rsidRDefault="00624708" w:rsidP="00624708">
      <w:pPr>
        <w:ind w:left="720" w:right="720"/>
        <w:rPr>
          <w:b/>
          <w:bCs/>
        </w:rPr>
      </w:pPr>
    </w:p>
    <w:p w14:paraId="5B035B30" w14:textId="670E67DC" w:rsidR="00F16E5B" w:rsidRDefault="00F16E5B">
      <w:pPr>
        <w:spacing w:line="276" w:lineRule="auto"/>
        <w:jc w:val="left"/>
      </w:pPr>
      <w:r>
        <w:br w:type="page"/>
      </w:r>
    </w:p>
    <w:p w14:paraId="2EB3484D" w14:textId="77777777" w:rsidR="006D2BB2" w:rsidRPr="006D2BB2" w:rsidRDefault="006D2BB2" w:rsidP="006576F6">
      <w:pPr>
        <w:ind w:left="720"/>
      </w:pPr>
    </w:p>
    <w:p w14:paraId="353FAABB" w14:textId="2692C14D" w:rsidR="00F16E5B" w:rsidRPr="008A0890" w:rsidRDefault="00F16E5B" w:rsidP="00F16E5B">
      <w:pPr>
        <w:pStyle w:val="Heading2"/>
        <w:rPr>
          <w:highlight w:val="yellow"/>
        </w:rPr>
      </w:pPr>
      <w:bookmarkStart w:id="46" w:name="_Toc153291137"/>
      <w:bookmarkStart w:id="47" w:name="_Toc198480732"/>
      <w:r w:rsidRPr="008A0890">
        <w:rPr>
          <w:highlight w:val="yellow"/>
        </w:rPr>
        <w:t xml:space="preserve">I.E.  </w:t>
      </w:r>
      <w:bookmarkEnd w:id="46"/>
      <w:r w:rsidRPr="008A0890">
        <w:rPr>
          <w:highlight w:val="yellow"/>
        </w:rPr>
        <w:t>General State Sourcing Rules for Income of Businesses</w:t>
      </w:r>
      <w:bookmarkEnd w:id="47"/>
    </w:p>
    <w:p w14:paraId="2FA44C39" w14:textId="032AF3E8" w:rsidR="00006695" w:rsidRPr="008A0890" w:rsidRDefault="008A0890" w:rsidP="00006695">
      <w:pPr>
        <w:jc w:val="center"/>
        <w:rPr>
          <w:i/>
          <w:iCs/>
        </w:rPr>
      </w:pPr>
      <w:r w:rsidRPr="008A0890">
        <w:rPr>
          <w:i/>
          <w:iCs/>
          <w:highlight w:val="yellow"/>
        </w:rPr>
        <w:t>(</w:t>
      </w:r>
      <w:r w:rsidR="00006695" w:rsidRPr="008A0890">
        <w:rPr>
          <w:i/>
          <w:iCs/>
          <w:highlight w:val="yellow"/>
        </w:rPr>
        <w:t xml:space="preserve">NOTE: This section has </w:t>
      </w:r>
      <w:r w:rsidR="00F323F5" w:rsidRPr="008A0890">
        <w:rPr>
          <w:i/>
          <w:iCs/>
          <w:highlight w:val="yellow"/>
        </w:rPr>
        <w:t xml:space="preserve">some </w:t>
      </w:r>
      <w:r w:rsidR="00006695" w:rsidRPr="008A0890">
        <w:rPr>
          <w:i/>
          <w:iCs/>
          <w:highlight w:val="yellow"/>
        </w:rPr>
        <w:t>substantive additions</w:t>
      </w:r>
      <w:r w:rsidR="00F323F5" w:rsidRPr="008A0890">
        <w:rPr>
          <w:i/>
          <w:iCs/>
          <w:highlight w:val="yellow"/>
        </w:rPr>
        <w:t xml:space="preserve"> and changes</w:t>
      </w:r>
      <w:r w:rsidR="00006695" w:rsidRPr="008A0890">
        <w:rPr>
          <w:i/>
          <w:iCs/>
          <w:highlight w:val="yellow"/>
        </w:rPr>
        <w:t>.</w:t>
      </w:r>
      <w:r w:rsidRPr="008A0890">
        <w:rPr>
          <w:i/>
          <w:iCs/>
          <w:highlight w:val="yellow"/>
        </w:rPr>
        <w:t>)</w:t>
      </w:r>
    </w:p>
    <w:p w14:paraId="66859ED9" w14:textId="02A75CB5" w:rsidR="00F16E5B" w:rsidRDefault="00F16E5B" w:rsidP="00F16E5B">
      <w:r>
        <w:t xml:space="preserve">States tax resident individuals and corporations differently in one important respect, summarized below. But when it comes to multistate income, they apply the same general sourcing rules whether the </w:t>
      </w:r>
      <w:r w:rsidR="00006695">
        <w:t xml:space="preserve">income is related to a </w:t>
      </w:r>
      <w:r>
        <w:t>business conducted as a corporation or a proprietorship. And, as the research summarized in Section III</w:t>
      </w:r>
      <w:r w:rsidR="00006695">
        <w:t xml:space="preserve"> below</w:t>
      </w:r>
      <w:r>
        <w:t xml:space="preserve"> shows, states also apply these same general sourcing rules to the income of businesses conducted by partnerships—often embedding the partnership-specific rules in the rules for individual or corporate taxes.</w:t>
      </w:r>
      <w:r w:rsidRPr="00267189">
        <w:t xml:space="preserve"> </w:t>
      </w:r>
      <w:r>
        <w:t>This reflects a partner-focused approach, which can limit the ability of states to respond to the sourcing issues raised by the pass-through tax system.</w:t>
      </w:r>
    </w:p>
    <w:p w14:paraId="2F2BDFA6" w14:textId="614771AF" w:rsidR="00F16E5B" w:rsidRDefault="00F16E5B" w:rsidP="00F16E5B">
      <w:r>
        <w:t>Section II will address these partnership-specific issues in greater detail. This subsection I.</w:t>
      </w:r>
      <w:r w:rsidR="00006695">
        <w:t>E</w:t>
      </w:r>
      <w:r>
        <w:t xml:space="preserve">. gives a brief overview of how the </w:t>
      </w:r>
      <w:r w:rsidR="00006695">
        <w:t xml:space="preserve">state </w:t>
      </w:r>
      <w:r>
        <w:t xml:space="preserve">sourcing rules apply to corporations and individuals.  </w:t>
      </w:r>
    </w:p>
    <w:p w14:paraId="412F9D99" w14:textId="77777777" w:rsidR="00F16E5B" w:rsidRDefault="00F16E5B" w:rsidP="00F16E5B">
      <w:pPr>
        <w:pStyle w:val="Heading3"/>
        <w:spacing w:before="240"/>
        <w:jc w:val="left"/>
      </w:pPr>
      <w:bookmarkStart w:id="48" w:name="_Toc198480733"/>
      <w:bookmarkStart w:id="49" w:name="_Toc153291138"/>
      <w:r>
        <w:t>State Sourcing Rules – Generally</w:t>
      </w:r>
      <w:bookmarkEnd w:id="48"/>
    </w:p>
    <w:bookmarkEnd w:id="49"/>
    <w:p w14:paraId="5ABDDC8F" w14:textId="3555B7E2" w:rsidR="00F16E5B" w:rsidRDefault="00006695" w:rsidP="00F16E5B">
      <w:pPr>
        <w:spacing w:after="120"/>
      </w:pPr>
      <w:r>
        <w:t>As discussed further in subsection I.F. below, t</w:t>
      </w:r>
      <w:r w:rsidR="00F16E5B">
        <w:t xml:space="preserve">he federal government applies detailed rules of assignment to items of income and related expenses when determining whether these items have a domestic or foreign source. See IRC Subchapter N. As noted in subsection I.A. above, however, </w:t>
      </w:r>
      <w:r>
        <w:t>while states may also use rules of assignment, they also apply</w:t>
      </w:r>
      <w:r w:rsidR="00F16E5B">
        <w:t xml:space="preserve"> formulary apportionment</w:t>
      </w:r>
      <w:r>
        <w:t xml:space="preserve"> when sourcing multistate business income</w:t>
      </w:r>
      <w:r w:rsidR="00F16E5B">
        <w:t xml:space="preserve">. </w:t>
      </w:r>
    </w:p>
    <w:p w14:paraId="40C33BF5" w14:textId="77777777" w:rsidR="00F16E5B" w:rsidRDefault="00F16E5B" w:rsidP="00F16E5B">
      <w:pPr>
        <w:pStyle w:val="Heading4"/>
        <w:ind w:left="720"/>
      </w:pPr>
      <w:r w:rsidRPr="00486248">
        <w:rPr>
          <w:highlight w:val="yellow"/>
        </w:rPr>
        <w:t>General State Sourcing Approach</w:t>
      </w:r>
      <w:r>
        <w:t xml:space="preserve"> </w:t>
      </w:r>
    </w:p>
    <w:p w14:paraId="54041D6F" w14:textId="50A79BB0" w:rsidR="00B21B28" w:rsidRDefault="00A47402" w:rsidP="00B21B28">
      <w:pPr>
        <w:ind w:left="720"/>
      </w:pPr>
      <w:r>
        <w:t xml:space="preserve">NOTE: </w:t>
      </w:r>
      <w:r w:rsidR="00B21B28">
        <w:t xml:space="preserve">The standard approach to apportioning business income used by states is based on a model law adopted by the predecessor to the Uniform Law Commission in 1957—the Uniform Division of Income for Tax Purposes Act (UDITPA). A version of that model law has also been revised and recommended to the states by the MTC—see </w:t>
      </w:r>
      <w:hyperlink r:id="rId27" w:history="1">
        <w:r w:rsidR="00B21B28" w:rsidRPr="00817600">
          <w:rPr>
            <w:rStyle w:val="Hyperlink"/>
          </w:rPr>
          <w:t>HERE</w:t>
        </w:r>
      </w:hyperlink>
      <w:r w:rsidR="00B21B28">
        <w:t xml:space="preserve">. </w:t>
      </w:r>
      <w:commentRangeStart w:id="50"/>
      <w:r w:rsidR="00B21B28">
        <w:t xml:space="preserve">To the extent relevant for this discussion, this summary may reference specific rules under UDITPA. </w:t>
      </w:r>
      <w:commentRangeEnd w:id="50"/>
      <w:r w:rsidR="00926615">
        <w:rPr>
          <w:rStyle w:val="CommentReference"/>
          <w:rFonts w:ascii="Tisa Offc Serif Pro" w:hAnsi="Tisa Offc Serif Pro"/>
        </w:rPr>
        <w:commentReference w:id="50"/>
      </w:r>
    </w:p>
    <w:p w14:paraId="1552E121" w14:textId="351334AA" w:rsidR="00B21B28" w:rsidRDefault="00B21B28" w:rsidP="00B21B28">
      <w:pPr>
        <w:ind w:left="720"/>
      </w:pPr>
      <w:r>
        <w:t xml:space="preserve">To the extent that this white paper needs to discuss the application of specific state sourcing rules, it will generally base that discussion on UDITPA. This white paper also assumes that states will primarily use a receipts factor as part of the apportionment formula. </w:t>
      </w:r>
    </w:p>
    <w:p w14:paraId="14CB9C25" w14:textId="0AED492A" w:rsidR="00265D1E" w:rsidRPr="004A68CF" w:rsidRDefault="00265D1E" w:rsidP="004A68CF">
      <w:pPr>
        <w:ind w:left="720"/>
      </w:pPr>
      <w:r>
        <w:t>One important note about UDITPA is that it makes use of the term “taxpayer.” That term is specifically defined as:</w:t>
      </w:r>
      <w:r w:rsidRPr="00265D1E">
        <w:t xml:space="preserve"> “any corporation, partnership, firm, association, governmental unit or agency or person acting as a business entity in more than one State</w:t>
      </w:r>
      <w:r>
        <w:t>”</w:t>
      </w:r>
      <w:r w:rsidRPr="00265D1E">
        <w:t xml:space="preserve"> </w:t>
      </w:r>
      <w:r>
        <w:t>(UDITPA II.3.)</w:t>
      </w:r>
      <w:r w:rsidRPr="00265D1E">
        <w:t xml:space="preserve">—and so includes all persons whether or not </w:t>
      </w:r>
      <w:r w:rsidR="00B21B28">
        <w:t xml:space="preserve">any </w:t>
      </w:r>
      <w:r w:rsidRPr="00265D1E">
        <w:t>tax is directly imposed on that person.</w:t>
      </w:r>
      <w:r>
        <w:t xml:space="preserve"> The summary below will generally use the term “person” to avoid confusion. </w:t>
      </w:r>
    </w:p>
    <w:p w14:paraId="554D1159" w14:textId="5A6772CD" w:rsidR="00006695" w:rsidRPr="00486248" w:rsidRDefault="00006695" w:rsidP="00366E17">
      <w:pPr>
        <w:pStyle w:val="ListParagraph"/>
        <w:numPr>
          <w:ilvl w:val="0"/>
          <w:numId w:val="66"/>
        </w:numPr>
        <w:spacing w:after="120"/>
        <w:contextualSpacing w:val="0"/>
      </w:pPr>
      <w:r w:rsidRPr="00486248">
        <w:t xml:space="preserve">Apply rules for distinguishing </w:t>
      </w:r>
      <w:r w:rsidR="00265D1E">
        <w:t>items of income that are “</w:t>
      </w:r>
      <w:r w:rsidRPr="00486248">
        <w:t>business</w:t>
      </w:r>
      <w:r w:rsidR="00265D1E">
        <w:t>”</w:t>
      </w:r>
      <w:r w:rsidRPr="00486248">
        <w:t xml:space="preserve"> (</w:t>
      </w:r>
      <w:r w:rsidR="00265D1E">
        <w:t>“</w:t>
      </w:r>
      <w:r w:rsidRPr="00486248">
        <w:t>apportionable</w:t>
      </w:r>
      <w:r w:rsidR="00265D1E">
        <w:t>”</w:t>
      </w:r>
      <w:r w:rsidRPr="00486248">
        <w:t xml:space="preserve">) </w:t>
      </w:r>
      <w:r w:rsidR="00265D1E">
        <w:t>from items that are “</w:t>
      </w:r>
      <w:r w:rsidRPr="00486248">
        <w:t>nonbusiness</w:t>
      </w:r>
      <w:r w:rsidR="00265D1E">
        <w:t>”</w:t>
      </w:r>
      <w:r w:rsidRPr="00486248">
        <w:t xml:space="preserve"> (</w:t>
      </w:r>
      <w:r w:rsidR="00265D1E">
        <w:t>“</w:t>
      </w:r>
      <w:r w:rsidRPr="00486248">
        <w:t>non-apportionable</w:t>
      </w:r>
      <w:r w:rsidR="00265D1E">
        <w:t>”</w:t>
      </w:r>
      <w:r w:rsidRPr="00486248">
        <w:t>) items.</w:t>
      </w:r>
      <w:r w:rsidR="00265D1E" w:rsidRPr="00265D1E">
        <w:t xml:space="preserve"> </w:t>
      </w:r>
      <w:r w:rsidR="00265D1E">
        <w:t xml:space="preserve">See UDITPA IV.1.(a).   </w:t>
      </w:r>
    </w:p>
    <w:p w14:paraId="56ADCA65" w14:textId="11811D99" w:rsidR="00006695" w:rsidRDefault="00006695" w:rsidP="00366E17">
      <w:pPr>
        <w:pStyle w:val="ListParagraph"/>
        <w:numPr>
          <w:ilvl w:val="1"/>
          <w:numId w:val="66"/>
        </w:numPr>
        <w:spacing w:after="120"/>
        <w:contextualSpacing w:val="0"/>
      </w:pPr>
      <w:r>
        <w:t xml:space="preserve">This determination is made on the basis of the relationship between the </w:t>
      </w:r>
      <w:r w:rsidR="00265D1E">
        <w:t xml:space="preserve">person </w:t>
      </w:r>
      <w:r w:rsidR="00B21B28">
        <w:t xml:space="preserve">conducting business and the specific </w:t>
      </w:r>
      <w:r w:rsidR="00486248">
        <w:t xml:space="preserve">activity generating the item of </w:t>
      </w:r>
      <w:r>
        <w:t xml:space="preserve">income. </w:t>
      </w:r>
    </w:p>
    <w:p w14:paraId="659B8260" w14:textId="77777777" w:rsidR="00A47402" w:rsidRDefault="00486248" w:rsidP="00366E17">
      <w:pPr>
        <w:pStyle w:val="ListParagraph"/>
        <w:numPr>
          <w:ilvl w:val="1"/>
          <w:numId w:val="66"/>
        </w:numPr>
        <w:spacing w:after="120"/>
        <w:contextualSpacing w:val="0"/>
      </w:pPr>
      <w:r>
        <w:t>Business (apportionable) income is</w:t>
      </w:r>
      <w:r w:rsidR="00A47402">
        <w:t xml:space="preserve"> defined in the original version of UDITPA as:</w:t>
      </w:r>
      <w:r>
        <w:t xml:space="preserve"> </w:t>
      </w:r>
    </w:p>
    <w:p w14:paraId="20104A73" w14:textId="7BFAF525" w:rsidR="00486248" w:rsidRDefault="00486248" w:rsidP="00A47402">
      <w:pPr>
        <w:pStyle w:val="ListParagraph"/>
        <w:spacing w:after="120"/>
        <w:ind w:left="2160"/>
        <w:contextualSpacing w:val="0"/>
      </w:pPr>
      <w:r>
        <w:t>“</w:t>
      </w:r>
      <w:r w:rsidRPr="00486248">
        <w:t>income arising from transactions and activity in the regular course of the taxpayer’s</w:t>
      </w:r>
      <w:r w:rsidR="00265D1E">
        <w:t xml:space="preserve"> [</w:t>
      </w:r>
      <w:r w:rsidR="00B21B28">
        <w:t>person</w:t>
      </w:r>
      <w:r w:rsidR="00265D1E">
        <w:t>’s]</w:t>
      </w:r>
      <w:r w:rsidRPr="00486248">
        <w:t xml:space="preserve"> trade or business and includes income from tangible and intangible property if the acquisition, management and disposition of the property constitute integral parts of the taxpayer’s </w:t>
      </w:r>
      <w:r w:rsidR="00265D1E">
        <w:t>[</w:t>
      </w:r>
      <w:r w:rsidR="00B21B28">
        <w:t>person</w:t>
      </w:r>
      <w:r w:rsidR="00265D1E">
        <w:t xml:space="preserve">’s] </w:t>
      </w:r>
      <w:r w:rsidRPr="00486248">
        <w:t>regular trade or business operations.</w:t>
      </w:r>
      <w:r>
        <w:t xml:space="preserve">” </w:t>
      </w:r>
    </w:p>
    <w:p w14:paraId="183DE026" w14:textId="6597CFEE" w:rsidR="00A47402" w:rsidRDefault="00A47402" w:rsidP="00A47402">
      <w:pPr>
        <w:spacing w:after="120"/>
        <w:ind w:left="1440"/>
      </w:pPr>
      <w:r>
        <w:t>In the revised version recommended to states by the MTC, the definition is as follows:</w:t>
      </w:r>
    </w:p>
    <w:p w14:paraId="6A323B5D" w14:textId="77777777" w:rsidR="00A47402" w:rsidRDefault="00A47402" w:rsidP="00A47402">
      <w:pPr>
        <w:spacing w:after="120"/>
        <w:ind w:left="2160"/>
      </w:pPr>
      <w:r w:rsidRPr="00A47402">
        <w:t xml:space="preserve">“Apportionable income” means: </w:t>
      </w:r>
    </w:p>
    <w:p w14:paraId="6E470F29" w14:textId="77777777" w:rsidR="00A47402" w:rsidRDefault="00A47402" w:rsidP="00A47402">
      <w:pPr>
        <w:spacing w:after="120"/>
        <w:ind w:left="2160" w:firstLine="720"/>
      </w:pPr>
      <w:r w:rsidRPr="00A47402">
        <w:lastRenderedPageBreak/>
        <w:t xml:space="preserve">(i) all income that is apportionable under the Constitution of the United States and is not allocated under the laws of this state, including: </w:t>
      </w:r>
    </w:p>
    <w:p w14:paraId="012AD941" w14:textId="77777777" w:rsidR="00A47402" w:rsidRDefault="00A47402" w:rsidP="00A47402">
      <w:pPr>
        <w:spacing w:after="120"/>
        <w:ind w:left="2880" w:firstLine="720"/>
      </w:pPr>
      <w:r w:rsidRPr="00A47402">
        <w:t xml:space="preserve">(A) income arising from transactions and activity in the regular course of the taxpayer’s trade or business, and </w:t>
      </w:r>
    </w:p>
    <w:p w14:paraId="3C66400D" w14:textId="77777777" w:rsidR="00A47402" w:rsidRDefault="00A47402" w:rsidP="00A47402">
      <w:pPr>
        <w:spacing w:after="120"/>
        <w:ind w:left="2880" w:firstLine="720"/>
      </w:pPr>
      <w:r w:rsidRPr="00A47402">
        <w:t xml:space="preserve">(B) income arising from tangible and intangible property if the acquisition, management, employment, development or disposition of the property is or was related to the operation of the taxpayer’s trade or business; and </w:t>
      </w:r>
    </w:p>
    <w:p w14:paraId="7A407788" w14:textId="63DD5081" w:rsidR="00A47402" w:rsidRDefault="00A47402" w:rsidP="00A47402">
      <w:pPr>
        <w:spacing w:after="120"/>
        <w:ind w:left="2160" w:firstLine="720"/>
      </w:pPr>
      <w:r w:rsidRPr="00A47402">
        <w:t xml:space="preserve">(ii) any income that would be allocable to this state under the Constitution of the United States, but that is apportioned rather than allocated pursuant to the laws of this state.  </w:t>
      </w:r>
    </w:p>
    <w:p w14:paraId="6B649D25" w14:textId="369C9B2B" w:rsidR="006D0304" w:rsidRDefault="006D0304" w:rsidP="00366E17">
      <w:pPr>
        <w:pStyle w:val="ListParagraph"/>
        <w:numPr>
          <w:ilvl w:val="1"/>
          <w:numId w:val="66"/>
        </w:numPr>
        <w:spacing w:after="120"/>
        <w:contextualSpacing w:val="0"/>
      </w:pPr>
      <w:r>
        <w:t>A person may be engaged in multiple businesses and states generally recognize that a person may therefore have items of income that are part of one business (and subject to formulary apportionment using factors related to that business) and items of income that are part of another business (and subject to formulary apportionment using the factors for that business).</w:t>
      </w:r>
      <w:r w:rsidR="004343EF">
        <w:rPr>
          <w:rStyle w:val="FootnoteReference"/>
        </w:rPr>
        <w:footnoteReference w:id="27"/>
      </w:r>
    </w:p>
    <w:p w14:paraId="1CDFEFF6" w14:textId="6D2C93B5" w:rsidR="00F16E5B" w:rsidRPr="00F47AA7" w:rsidRDefault="00486248" w:rsidP="00366E17">
      <w:pPr>
        <w:pStyle w:val="ListParagraph"/>
        <w:numPr>
          <w:ilvl w:val="0"/>
          <w:numId w:val="66"/>
        </w:numPr>
        <w:spacing w:after="120"/>
        <w:contextualSpacing w:val="0"/>
      </w:pPr>
      <w:r>
        <w:t>Source n</w:t>
      </w:r>
      <w:r w:rsidR="00F16E5B" w:rsidRPr="00F47AA7">
        <w:t xml:space="preserve">onbusiness </w:t>
      </w:r>
      <w:r w:rsidR="00B21B28">
        <w:t xml:space="preserve">(non-apportionable) </w:t>
      </w:r>
      <w:r>
        <w:t>i</w:t>
      </w:r>
      <w:r w:rsidR="00F16E5B" w:rsidRPr="00F47AA7">
        <w:t xml:space="preserve">tems </w:t>
      </w:r>
      <w:r>
        <w:t>using rules of assignment.</w:t>
      </w:r>
    </w:p>
    <w:p w14:paraId="296F34A6" w14:textId="774B5170" w:rsidR="00F16E5B" w:rsidRDefault="00486248" w:rsidP="00366E17">
      <w:pPr>
        <w:pStyle w:val="ListParagraph"/>
        <w:numPr>
          <w:ilvl w:val="1"/>
          <w:numId w:val="66"/>
        </w:numPr>
        <w:spacing w:after="120"/>
        <w:contextualSpacing w:val="0"/>
      </w:pPr>
      <w:r>
        <w:t xml:space="preserve">Rules of assignment generally look first to the </w:t>
      </w:r>
      <w:r w:rsidR="00B21B28">
        <w:t xml:space="preserve">character of or the type of </w:t>
      </w:r>
      <w:r>
        <w:t>income</w:t>
      </w:r>
      <w:r w:rsidR="004A68CF">
        <w:t xml:space="preserve"> and apply specific rules for different types</w:t>
      </w:r>
      <w:r w:rsidR="00F16E5B">
        <w:t>.</w:t>
      </w:r>
    </w:p>
    <w:p w14:paraId="00015822" w14:textId="77777777" w:rsidR="006D0304" w:rsidRDefault="00B21B28" w:rsidP="00366E17">
      <w:pPr>
        <w:pStyle w:val="ListParagraph"/>
        <w:numPr>
          <w:ilvl w:val="1"/>
          <w:numId w:val="66"/>
        </w:numPr>
        <w:spacing w:after="120"/>
        <w:contextualSpacing w:val="0"/>
      </w:pPr>
      <w:r>
        <w:t>Nonbusiness i</w:t>
      </w:r>
      <w:r w:rsidR="004A68CF">
        <w:t xml:space="preserve">nterest, dividends, and certain capital gains from sales of intangible property as well as income that would otherwise be specifically assigned to states where the taxpayer is not taxable (generally defined as a state which does not have jurisdiction to tax that income – See UDITPA IV.3.) are sourced to the taxpayer’s commercial domicile. </w:t>
      </w:r>
    </w:p>
    <w:p w14:paraId="62538EA5" w14:textId="687565E6" w:rsidR="004A68CF" w:rsidRDefault="006D0304" w:rsidP="00366E17">
      <w:pPr>
        <w:pStyle w:val="ListParagraph"/>
        <w:numPr>
          <w:ilvl w:val="1"/>
          <w:numId w:val="66"/>
        </w:numPr>
        <w:spacing w:after="120"/>
        <w:contextualSpacing w:val="0"/>
      </w:pPr>
      <w:r>
        <w:t>Note that the expenses related to any items of income are also generally assigned to the state where that income would be assigned.</w:t>
      </w:r>
    </w:p>
    <w:p w14:paraId="2A438FD6" w14:textId="79350BCF" w:rsidR="00F16E5B" w:rsidRPr="00F47AA7" w:rsidRDefault="004A68CF" w:rsidP="00366E17">
      <w:pPr>
        <w:pStyle w:val="ListParagraph"/>
        <w:numPr>
          <w:ilvl w:val="0"/>
          <w:numId w:val="66"/>
        </w:numPr>
        <w:spacing w:after="120"/>
        <w:contextualSpacing w:val="0"/>
      </w:pPr>
      <w:r>
        <w:t>Source business (apportionable) income using formulary apportionment.</w:t>
      </w:r>
    </w:p>
    <w:p w14:paraId="50B32325" w14:textId="77777777" w:rsidR="00B21B28" w:rsidRDefault="00F16E5B" w:rsidP="00366E17">
      <w:pPr>
        <w:pStyle w:val="ListParagraph"/>
        <w:numPr>
          <w:ilvl w:val="1"/>
          <w:numId w:val="66"/>
        </w:numPr>
        <w:spacing w:after="120"/>
        <w:contextualSpacing w:val="0"/>
      </w:pPr>
      <w:r>
        <w:t xml:space="preserve">States compute an apportionment formula for the </w:t>
      </w:r>
      <w:r w:rsidR="00B21B28">
        <w:t>person</w:t>
      </w:r>
      <w:r>
        <w:t xml:space="preserve"> using the amount of certain factors (e.g., sales or receipts, property, and/or payroll) in the state </w:t>
      </w:r>
      <w:commentRangeStart w:id="51"/>
      <w:r>
        <w:t>to</w:t>
      </w:r>
      <w:commentRangeEnd w:id="51"/>
      <w:r w:rsidR="002E027D">
        <w:rPr>
          <w:rStyle w:val="CommentReference"/>
          <w:rFonts w:ascii="Tisa Offc Serif Pro" w:hAnsi="Tisa Offc Serif Pro"/>
        </w:rPr>
        <w:commentReference w:id="51"/>
      </w:r>
      <w:r>
        <w:t xml:space="preserve"> the business’s total factors. </w:t>
      </w:r>
    </w:p>
    <w:p w14:paraId="7CF1BBD0" w14:textId="7AF51F7C" w:rsidR="00F16E5B" w:rsidRDefault="00B21B28" w:rsidP="00366E17">
      <w:pPr>
        <w:pStyle w:val="ListParagraph"/>
        <w:numPr>
          <w:ilvl w:val="1"/>
          <w:numId w:val="66"/>
        </w:numPr>
        <w:spacing w:after="120"/>
        <w:contextualSpacing w:val="0"/>
      </w:pPr>
      <w:r>
        <w:t xml:space="preserve">The exact computation of the apportionment formula and the sourcing of apportionment factors varies by state. Today, most states use a single sales or receipts factor formula and source the receipts to the market or location of the customer (using rules that are similar to rules of assignment). </w:t>
      </w:r>
    </w:p>
    <w:p w14:paraId="60BF07CE" w14:textId="64765E5D" w:rsidR="00F16E5B" w:rsidRDefault="00F16E5B" w:rsidP="00366E17">
      <w:pPr>
        <w:pStyle w:val="ListParagraph"/>
        <w:numPr>
          <w:ilvl w:val="1"/>
          <w:numId w:val="66"/>
        </w:numPr>
        <w:spacing w:after="120"/>
        <w:contextualSpacing w:val="0"/>
      </w:pPr>
      <w:r>
        <w:t xml:space="preserve">Then states will apply this apportionment </w:t>
      </w:r>
      <w:r w:rsidR="00B21B28">
        <w:t>formula</w:t>
      </w:r>
      <w:r>
        <w:t xml:space="preserve"> to net business (apportionable) income of the </w:t>
      </w:r>
      <w:r w:rsidR="00B21B28">
        <w:t>person</w:t>
      </w:r>
      <w:r>
        <w:t xml:space="preserve">. </w:t>
      </w:r>
    </w:p>
    <w:p w14:paraId="1B9B63BF" w14:textId="24B97C79" w:rsidR="00F16E5B" w:rsidRDefault="00F16E5B" w:rsidP="00366E17">
      <w:pPr>
        <w:pStyle w:val="ListParagraph"/>
        <w:numPr>
          <w:ilvl w:val="0"/>
          <w:numId w:val="66"/>
        </w:numPr>
        <w:spacing w:after="240"/>
        <w:contextualSpacing w:val="0"/>
      </w:pPr>
      <w:r>
        <w:t xml:space="preserve">Then the amount of income assigned </w:t>
      </w:r>
      <w:r w:rsidR="00B21B28">
        <w:t>and</w:t>
      </w:r>
      <w:r>
        <w:t xml:space="preserve"> apportioned to the state are added together to get the total state-sourced income.</w:t>
      </w:r>
    </w:p>
    <w:p w14:paraId="695A841F" w14:textId="77777777" w:rsidR="00F16E5B" w:rsidRDefault="00F16E5B" w:rsidP="00F16E5B">
      <w:pPr>
        <w:pStyle w:val="Heading3"/>
      </w:pPr>
      <w:bookmarkStart w:id="52" w:name="_Toc198480734"/>
      <w:r>
        <w:lastRenderedPageBreak/>
        <w:t>Application of State Sourcing Methods – Corporations</w:t>
      </w:r>
      <w:bookmarkEnd w:id="52"/>
      <w:r>
        <w:t xml:space="preserve"> </w:t>
      </w:r>
    </w:p>
    <w:p w14:paraId="267FF4E7" w14:textId="6A1CE4D7" w:rsidR="003037CB" w:rsidRDefault="00BD0AA0" w:rsidP="003037CB">
      <w:pPr>
        <w:spacing w:after="240"/>
        <w:rPr>
          <w:iCs/>
        </w:rPr>
      </w:pPr>
      <w:r w:rsidRPr="003037CB">
        <w:rPr>
          <w:iCs/>
        </w:rPr>
        <w:t xml:space="preserve">Before applying </w:t>
      </w:r>
      <w:r w:rsidR="003037CB">
        <w:rPr>
          <w:iCs/>
        </w:rPr>
        <w:t xml:space="preserve">the state </w:t>
      </w:r>
      <w:r w:rsidRPr="003037CB">
        <w:rPr>
          <w:iCs/>
        </w:rPr>
        <w:t>sourcing rules</w:t>
      </w:r>
      <w:r w:rsidR="003037CB">
        <w:rPr>
          <w:iCs/>
        </w:rPr>
        <w:t xml:space="preserve"> above to businesses conducted by corporate entities</w:t>
      </w:r>
      <w:r w:rsidRPr="003037CB">
        <w:rPr>
          <w:iCs/>
        </w:rPr>
        <w:t>, it may be important to determine whether the corporation will apply those rules on a separate entity basis or as part of a combined or consolidated group</w:t>
      </w:r>
      <w:r w:rsidR="003037CB">
        <w:rPr>
          <w:iCs/>
        </w:rPr>
        <w:t xml:space="preserve"> return</w:t>
      </w:r>
      <w:r w:rsidRPr="003037CB">
        <w:rPr>
          <w:iCs/>
        </w:rPr>
        <w:t xml:space="preserve">. </w:t>
      </w:r>
      <w:r w:rsidR="00A47402" w:rsidRPr="003037CB">
        <w:rPr>
          <w:iCs/>
        </w:rPr>
        <w:t>In the case of combined or consolidated filing,</w:t>
      </w:r>
      <w:r w:rsidR="00F16E5B" w:rsidRPr="003037CB">
        <w:rPr>
          <w:iCs/>
        </w:rPr>
        <w:t xml:space="preserve"> intercompany income and expenses are “eliminated” and will not affect apportionment or sourcing of group income.</w:t>
      </w:r>
      <w:r w:rsidR="00A47402" w:rsidRPr="003037CB">
        <w:rPr>
          <w:iCs/>
        </w:rPr>
        <w:t xml:space="preserve"> Essentially, the group as treated as the “person” for purposes of applying </w:t>
      </w:r>
      <w:r w:rsidR="004343EF" w:rsidRPr="003037CB">
        <w:rPr>
          <w:iCs/>
        </w:rPr>
        <w:t>the</w:t>
      </w:r>
      <w:r w:rsidR="00A47402" w:rsidRPr="003037CB">
        <w:rPr>
          <w:iCs/>
        </w:rPr>
        <w:t xml:space="preserve"> sourcing rules. </w:t>
      </w:r>
    </w:p>
    <w:p w14:paraId="4A5E2B5C" w14:textId="77777777" w:rsidR="003037CB" w:rsidRDefault="00BD0AA0" w:rsidP="003037CB">
      <w:pPr>
        <w:spacing w:after="240"/>
        <w:rPr>
          <w:iCs/>
        </w:rPr>
      </w:pPr>
      <w:r w:rsidRPr="003037CB">
        <w:rPr>
          <w:iCs/>
        </w:rPr>
        <w:t xml:space="preserve">States may generally have to show that the income to be apportioned on a combined basis (using a combined apportionment formula) is part of a “unitary business.” </w:t>
      </w:r>
      <w:r w:rsidR="006D0304" w:rsidRPr="003037CB">
        <w:rPr>
          <w:iCs/>
        </w:rPr>
        <w:t>But note, even if a corporate entity is engaged in a unitary business</w:t>
      </w:r>
      <w:r w:rsidR="004343EF" w:rsidRPr="003037CB">
        <w:rPr>
          <w:iCs/>
        </w:rPr>
        <w:t xml:space="preserve"> with other entities</w:t>
      </w:r>
      <w:r w:rsidR="006D0304" w:rsidRPr="003037CB">
        <w:rPr>
          <w:iCs/>
        </w:rPr>
        <w:t>, states may</w:t>
      </w:r>
      <w:r w:rsidR="003037CB">
        <w:rPr>
          <w:iCs/>
        </w:rPr>
        <w:t xml:space="preserve"> generally</w:t>
      </w:r>
      <w:r w:rsidR="006D0304" w:rsidRPr="003037CB">
        <w:rPr>
          <w:iCs/>
        </w:rPr>
        <w:t xml:space="preserve"> impose tax on a separate entity basis</w:t>
      </w:r>
      <w:r w:rsidR="00541BF3" w:rsidRPr="003037CB">
        <w:rPr>
          <w:iCs/>
        </w:rPr>
        <w:t xml:space="preserve">, </w:t>
      </w:r>
      <w:r w:rsidR="004343EF" w:rsidRPr="003037CB">
        <w:rPr>
          <w:iCs/>
        </w:rPr>
        <w:t>including requiring apportionment on an entity basis</w:t>
      </w:r>
      <w:r w:rsidR="006D0304" w:rsidRPr="003037CB">
        <w:rPr>
          <w:iCs/>
        </w:rPr>
        <w:t xml:space="preserve">. (The unitary business principle will be discussed further in Section II below.) </w:t>
      </w:r>
    </w:p>
    <w:p w14:paraId="7420126C" w14:textId="694E175C" w:rsidR="00F16E5B" w:rsidRPr="003037CB" w:rsidRDefault="003037CB" w:rsidP="003037CB">
      <w:pPr>
        <w:spacing w:after="240"/>
        <w:rPr>
          <w:iCs/>
        </w:rPr>
      </w:pPr>
      <w:r>
        <w:rPr>
          <w:iCs/>
        </w:rPr>
        <w:t>And, a</w:t>
      </w:r>
      <w:r w:rsidRPr="003037CB">
        <w:rPr>
          <w:iCs/>
        </w:rPr>
        <w:t xml:space="preserve">s noted above, a single </w:t>
      </w:r>
      <w:r w:rsidR="00F16E5B" w:rsidRPr="003037CB">
        <w:rPr>
          <w:iCs/>
        </w:rPr>
        <w:t xml:space="preserve">corporate </w:t>
      </w:r>
      <w:r w:rsidRPr="003037CB">
        <w:rPr>
          <w:iCs/>
        </w:rPr>
        <w:t>entity</w:t>
      </w:r>
      <w:r w:rsidR="00F16E5B" w:rsidRPr="003037CB">
        <w:rPr>
          <w:iCs/>
        </w:rPr>
        <w:t xml:space="preserve"> or group </w:t>
      </w:r>
      <w:r w:rsidRPr="003037CB">
        <w:rPr>
          <w:iCs/>
        </w:rPr>
        <w:t>may</w:t>
      </w:r>
      <w:r w:rsidR="00F16E5B" w:rsidRPr="003037CB">
        <w:rPr>
          <w:iCs/>
        </w:rPr>
        <w:t xml:space="preserve"> have one or more businesses giving rise to income that may be apportioned using </w:t>
      </w:r>
      <w:r w:rsidRPr="003037CB">
        <w:rPr>
          <w:iCs/>
        </w:rPr>
        <w:t>separate</w:t>
      </w:r>
      <w:r w:rsidR="00F16E5B" w:rsidRPr="003037CB">
        <w:rPr>
          <w:iCs/>
        </w:rPr>
        <w:t xml:space="preserve"> apportionment formula</w:t>
      </w:r>
      <w:r>
        <w:rPr>
          <w:iCs/>
        </w:rPr>
        <w:t>s</w:t>
      </w:r>
      <w:r w:rsidR="00F16E5B" w:rsidRPr="003037CB">
        <w:rPr>
          <w:iCs/>
        </w:rPr>
        <w:t xml:space="preserve">. The determination of what activities are part of a particular business </w:t>
      </w:r>
      <w:r w:rsidRPr="003037CB">
        <w:rPr>
          <w:iCs/>
        </w:rPr>
        <w:t>for which a</w:t>
      </w:r>
      <w:r>
        <w:rPr>
          <w:iCs/>
        </w:rPr>
        <w:t xml:space="preserve"> separate</w:t>
      </w:r>
      <w:r w:rsidRPr="003037CB">
        <w:rPr>
          <w:iCs/>
        </w:rPr>
        <w:t xml:space="preserve"> apportionment formula may be used </w:t>
      </w:r>
      <w:r w:rsidR="00F16E5B" w:rsidRPr="003037CB">
        <w:rPr>
          <w:iCs/>
        </w:rPr>
        <w:t>is made by applying the unitary business principle</w:t>
      </w:r>
      <w:r w:rsidR="00F16E5B">
        <w:rPr>
          <w:rStyle w:val="FootnoteReference"/>
          <w:iCs/>
        </w:rPr>
        <w:footnoteReference w:id="28"/>
      </w:r>
      <w:r w:rsidR="00F16E5B" w:rsidRPr="003037CB">
        <w:rPr>
          <w:iCs/>
        </w:rPr>
        <w:t xml:space="preserve"> and other state sourcing rules. </w:t>
      </w:r>
    </w:p>
    <w:p w14:paraId="0F96122C" w14:textId="77777777" w:rsidR="00F16E5B" w:rsidRDefault="00F16E5B" w:rsidP="00F16E5B">
      <w:pPr>
        <w:pStyle w:val="Heading3"/>
      </w:pPr>
      <w:bookmarkStart w:id="53" w:name="_Toc198480735"/>
      <w:r>
        <w:t>Application of State Sourcing Methods – Proprietorships</w:t>
      </w:r>
      <w:bookmarkEnd w:id="53"/>
    </w:p>
    <w:p w14:paraId="0B43E2A7" w14:textId="5E1D6963" w:rsidR="00F16E5B" w:rsidRDefault="00F16E5B" w:rsidP="00F16E5B">
      <w:r>
        <w:t xml:space="preserve">The primary difference between state taxation of corporations and individuals is that states tax resident individuals on 100% of their income and provide a credit for taxes paid to other states on that same income. So when it comes to </w:t>
      </w:r>
      <w:r w:rsidR="00FB0284">
        <w:t xml:space="preserve">business conducted by </w:t>
      </w:r>
      <w:r>
        <w:t>proprietorships—the following general approach is applied:</w:t>
      </w:r>
    </w:p>
    <w:p w14:paraId="465ACAC7" w14:textId="77777777" w:rsidR="00F16E5B" w:rsidRPr="00C92B81" w:rsidRDefault="00F16E5B" w:rsidP="00F16E5B">
      <w:pPr>
        <w:spacing w:after="80"/>
        <w:ind w:firstLine="432"/>
        <w:rPr>
          <w:iCs/>
          <w:u w:val="single"/>
        </w:rPr>
      </w:pPr>
      <w:r w:rsidRPr="00C92B81">
        <w:rPr>
          <w:u w:val="single"/>
        </w:rPr>
        <w:t xml:space="preserve">Nonresident Individuals </w:t>
      </w:r>
    </w:p>
    <w:p w14:paraId="24221148" w14:textId="77777777" w:rsidR="00F16E5B" w:rsidRDefault="00F16E5B" w:rsidP="00F16E5B">
      <w:pPr>
        <w:spacing w:after="120"/>
        <w:ind w:left="432"/>
        <w:rPr>
          <w:iCs/>
          <w:u w:val="single"/>
        </w:rPr>
      </w:pPr>
      <w:r>
        <w:rPr>
          <w:iCs/>
        </w:rPr>
        <w:t>The nonresident individual would be taxed only on their state-sourced income applying the same general rules that are applied to corporations.</w:t>
      </w:r>
    </w:p>
    <w:p w14:paraId="49FDBA97" w14:textId="77777777" w:rsidR="00F16E5B" w:rsidRDefault="00F16E5B" w:rsidP="00F16E5B">
      <w:pPr>
        <w:spacing w:after="60"/>
        <w:ind w:left="432"/>
        <w:rPr>
          <w:iCs/>
        </w:rPr>
      </w:pPr>
      <w:r w:rsidRPr="00552586">
        <w:rPr>
          <w:iCs/>
          <w:u w:val="single"/>
        </w:rPr>
        <w:t>Resident Individuals</w:t>
      </w:r>
    </w:p>
    <w:p w14:paraId="25EC1EFB" w14:textId="77777777" w:rsidR="00F16E5B" w:rsidRDefault="00F16E5B" w:rsidP="00F16E5B">
      <w:pPr>
        <w:spacing w:after="60"/>
        <w:ind w:left="432"/>
        <w:rPr>
          <w:iCs/>
        </w:rPr>
      </w:pPr>
      <w:r>
        <w:rPr>
          <w:iCs/>
        </w:rPr>
        <w:t xml:space="preserve">The resident individual would report 100% of their income and compute the state tax on that income. They would then be entitled to a credit for </w:t>
      </w:r>
      <w:r w:rsidRPr="00552586">
        <w:rPr>
          <w:iCs/>
        </w:rPr>
        <w:t>tax</w:t>
      </w:r>
      <w:r>
        <w:rPr>
          <w:iCs/>
        </w:rPr>
        <w:t>es</w:t>
      </w:r>
      <w:r w:rsidRPr="00552586">
        <w:rPr>
          <w:iCs/>
        </w:rPr>
        <w:t xml:space="preserve"> paid </w:t>
      </w:r>
      <w:r>
        <w:rPr>
          <w:iCs/>
        </w:rPr>
        <w:t>to other states on the same income</w:t>
      </w:r>
      <w:r w:rsidRPr="00552586">
        <w:rPr>
          <w:iCs/>
        </w:rPr>
        <w:t xml:space="preserve"> (as a nonresident)</w:t>
      </w:r>
      <w:r>
        <w:rPr>
          <w:iCs/>
        </w:rPr>
        <w:t>.</w:t>
      </w:r>
      <w:r w:rsidRPr="00552586">
        <w:rPr>
          <w:iCs/>
        </w:rPr>
        <w:t xml:space="preserve"> </w:t>
      </w:r>
      <w:r>
        <w:rPr>
          <w:iCs/>
        </w:rPr>
        <w:t>T</w:t>
      </w:r>
      <w:r w:rsidRPr="00552586">
        <w:rPr>
          <w:iCs/>
        </w:rPr>
        <w:t>h</w:t>
      </w:r>
      <w:r>
        <w:rPr>
          <w:iCs/>
        </w:rPr>
        <w:t>is</w:t>
      </w:r>
      <w:r w:rsidRPr="00552586">
        <w:rPr>
          <w:iCs/>
        </w:rPr>
        <w:t xml:space="preserve"> credit is generally limited to</w:t>
      </w:r>
      <w:r>
        <w:rPr>
          <w:iCs/>
        </w:rPr>
        <w:t xml:space="preserve"> the tax that would be owed using the resident-state’s </w:t>
      </w:r>
      <w:r w:rsidRPr="003861BA">
        <w:rPr>
          <w:iCs/>
        </w:rPr>
        <w:t>tax</w:t>
      </w:r>
      <w:r>
        <w:rPr>
          <w:iCs/>
        </w:rPr>
        <w:t xml:space="preserve"> rate and sourcing rules. </w:t>
      </w:r>
    </w:p>
    <w:p w14:paraId="6E6D3AC7" w14:textId="77777777" w:rsidR="00F16E5B" w:rsidRDefault="00F16E5B" w:rsidP="00F16E5B">
      <w:pPr>
        <w:pStyle w:val="Heading3"/>
        <w:rPr>
          <w:iCs/>
        </w:rPr>
      </w:pPr>
      <w:bookmarkStart w:id="54" w:name="_Toc198480736"/>
      <w:r>
        <w:t>Application of State Sourcing Methods – Simple Partnerships</w:t>
      </w:r>
      <w:bookmarkEnd w:id="54"/>
    </w:p>
    <w:p w14:paraId="6F74DBF3" w14:textId="77777777" w:rsidR="00F16E5B" w:rsidRDefault="00F16E5B" w:rsidP="00F16E5B">
      <w:pPr>
        <w:rPr>
          <w:iCs/>
        </w:rPr>
      </w:pPr>
      <w:r>
        <w:t xml:space="preserve">This section is based on research of existing state rules which is included in detail in Section III. </w:t>
      </w:r>
      <w:r>
        <w:rPr>
          <w:iCs/>
        </w:rPr>
        <w:t xml:space="preserve">States typically apply the same sourcing approaches to the income of businesses conducted by partnerships as they do to businesses conducted by individuals and corporations. </w:t>
      </w:r>
    </w:p>
    <w:p w14:paraId="7126FCA0" w14:textId="77777777" w:rsidR="00F16E5B" w:rsidRPr="001F72F2" w:rsidRDefault="00F16E5B" w:rsidP="00F16E5B">
      <w:r>
        <w:rPr>
          <w:iCs/>
        </w:rPr>
        <w:t>The following summarizes how these rules are generally applied in a simple, single-tiered structure with only non-resident individual partners:</w:t>
      </w:r>
    </w:p>
    <w:p w14:paraId="7FB66FFF" w14:textId="77777777" w:rsidR="00F16E5B" w:rsidRPr="00BF3AFA" w:rsidRDefault="00F16E5B" w:rsidP="00366E17">
      <w:pPr>
        <w:pStyle w:val="ListParagraph"/>
        <w:numPr>
          <w:ilvl w:val="0"/>
          <w:numId w:val="19"/>
        </w:numPr>
        <w:spacing w:after="80"/>
        <w:contextualSpacing w:val="0"/>
        <w:rPr>
          <w:iCs/>
          <w:u w:val="single"/>
        </w:rPr>
      </w:pPr>
      <w:r w:rsidRPr="00D2223F">
        <w:rPr>
          <w:iCs/>
        </w:rPr>
        <w:t xml:space="preserve">The business(es) of the partnership are identified </w:t>
      </w:r>
      <w:r>
        <w:rPr>
          <w:iCs/>
        </w:rPr>
        <w:t xml:space="preserve">based on evaluating the entity’s activities.  </w:t>
      </w:r>
    </w:p>
    <w:p w14:paraId="14F37CCE" w14:textId="77777777" w:rsidR="00F16E5B" w:rsidRDefault="00F16E5B" w:rsidP="00366E17">
      <w:pPr>
        <w:pStyle w:val="ListParagraph"/>
        <w:numPr>
          <w:ilvl w:val="0"/>
          <w:numId w:val="19"/>
        </w:numPr>
        <w:spacing w:after="80"/>
        <w:contextualSpacing w:val="0"/>
        <w:rPr>
          <w:iCs/>
        </w:rPr>
      </w:pPr>
      <w:r w:rsidRPr="00D2223F">
        <w:rPr>
          <w:iCs/>
        </w:rPr>
        <w:t xml:space="preserve">The rules for determining any non-apportionable income </w:t>
      </w:r>
      <w:r>
        <w:rPr>
          <w:iCs/>
        </w:rPr>
        <w:t xml:space="preserve">or </w:t>
      </w:r>
      <w:r w:rsidRPr="00D2223F">
        <w:rPr>
          <w:iCs/>
        </w:rPr>
        <w:t>items are applied at the entity level</w:t>
      </w:r>
      <w:r>
        <w:rPr>
          <w:iCs/>
        </w:rPr>
        <w:t>, based on partnership activities</w:t>
      </w:r>
      <w:r w:rsidRPr="00D2223F">
        <w:rPr>
          <w:iCs/>
        </w:rPr>
        <w:t xml:space="preserve">. </w:t>
      </w:r>
    </w:p>
    <w:p w14:paraId="055A5749" w14:textId="57D14D32" w:rsidR="00FB0284" w:rsidRPr="00D2223F" w:rsidRDefault="00FB0284" w:rsidP="00366E17">
      <w:pPr>
        <w:pStyle w:val="ListParagraph"/>
        <w:numPr>
          <w:ilvl w:val="0"/>
          <w:numId w:val="19"/>
        </w:numPr>
        <w:spacing w:after="80"/>
        <w:contextualSpacing w:val="0"/>
        <w:rPr>
          <w:iCs/>
        </w:rPr>
      </w:pPr>
      <w:r>
        <w:rPr>
          <w:iCs/>
        </w:rPr>
        <w:t>The rules of assignment are applied to the non-apportionable income or items to source those items.</w:t>
      </w:r>
    </w:p>
    <w:p w14:paraId="5C07A55B" w14:textId="616A1C90" w:rsidR="00F16E5B" w:rsidRPr="00087D47" w:rsidRDefault="00F16E5B" w:rsidP="00366E17">
      <w:pPr>
        <w:pStyle w:val="ListParagraph"/>
        <w:numPr>
          <w:ilvl w:val="0"/>
          <w:numId w:val="19"/>
        </w:numPr>
        <w:spacing w:after="80"/>
        <w:contextualSpacing w:val="0"/>
        <w:rPr>
          <w:iCs/>
          <w:u w:val="single"/>
        </w:rPr>
      </w:pPr>
      <w:r>
        <w:rPr>
          <w:iCs/>
        </w:rPr>
        <w:t xml:space="preserve">The apportionable net </w:t>
      </w:r>
      <w:r w:rsidR="00FB0284">
        <w:rPr>
          <w:iCs/>
        </w:rPr>
        <w:t xml:space="preserve">taxable </w:t>
      </w:r>
      <w:r>
        <w:rPr>
          <w:iCs/>
        </w:rPr>
        <w:t>income to be attributed to the business(es) is computed based on the character of the items determined at the entity level.</w:t>
      </w:r>
    </w:p>
    <w:p w14:paraId="2C5F6894" w14:textId="77777777" w:rsidR="00F16E5B" w:rsidRPr="00BA70AC" w:rsidRDefault="00F16E5B" w:rsidP="00366E17">
      <w:pPr>
        <w:pStyle w:val="ListParagraph"/>
        <w:numPr>
          <w:ilvl w:val="0"/>
          <w:numId w:val="19"/>
        </w:numPr>
        <w:spacing w:after="80"/>
        <w:contextualSpacing w:val="0"/>
        <w:rPr>
          <w:iCs/>
          <w:u w:val="single"/>
        </w:rPr>
      </w:pPr>
      <w:r w:rsidRPr="00BA70AC">
        <w:rPr>
          <w:iCs/>
        </w:rPr>
        <w:lastRenderedPageBreak/>
        <w:t xml:space="preserve">The apportionment formula for the </w:t>
      </w:r>
      <w:r>
        <w:rPr>
          <w:iCs/>
        </w:rPr>
        <w:t xml:space="preserve">income of the related </w:t>
      </w:r>
      <w:r w:rsidRPr="00BA70AC">
        <w:rPr>
          <w:iCs/>
        </w:rPr>
        <w:t xml:space="preserve">business </w:t>
      </w:r>
      <w:r>
        <w:rPr>
          <w:iCs/>
        </w:rPr>
        <w:t>is</w:t>
      </w:r>
      <w:r w:rsidRPr="00BA70AC">
        <w:rPr>
          <w:iCs/>
        </w:rPr>
        <w:t xml:space="preserve"> determined </w:t>
      </w:r>
      <w:r>
        <w:rPr>
          <w:iCs/>
        </w:rPr>
        <w:t xml:space="preserve">by </w:t>
      </w:r>
      <w:r w:rsidRPr="00BA70AC">
        <w:rPr>
          <w:iCs/>
        </w:rPr>
        <w:t xml:space="preserve">applying the state’s </w:t>
      </w:r>
      <w:r>
        <w:rPr>
          <w:iCs/>
        </w:rPr>
        <w:t>general rules for determining and locating the partnership’s factors</w:t>
      </w:r>
      <w:r w:rsidRPr="00BA70AC">
        <w:rPr>
          <w:iCs/>
        </w:rPr>
        <w:t>.</w:t>
      </w:r>
      <w:r>
        <w:rPr>
          <w:iCs/>
        </w:rPr>
        <w:t xml:space="preserve"> </w:t>
      </w:r>
    </w:p>
    <w:p w14:paraId="633BCB68" w14:textId="776709C5" w:rsidR="00F16E5B" w:rsidRPr="000D3F56" w:rsidRDefault="00F16E5B" w:rsidP="00366E17">
      <w:pPr>
        <w:pStyle w:val="ListParagraph"/>
        <w:numPr>
          <w:ilvl w:val="0"/>
          <w:numId w:val="19"/>
        </w:numPr>
        <w:spacing w:after="80"/>
        <w:contextualSpacing w:val="0"/>
        <w:rPr>
          <w:iCs/>
        </w:rPr>
      </w:pPr>
      <w:r w:rsidRPr="000D3F56">
        <w:rPr>
          <w:iCs/>
        </w:rPr>
        <w:t xml:space="preserve">The apportionment formula </w:t>
      </w:r>
      <w:r>
        <w:rPr>
          <w:iCs/>
        </w:rPr>
        <w:t xml:space="preserve">is applied </w:t>
      </w:r>
      <w:r w:rsidRPr="000D3F56">
        <w:rPr>
          <w:iCs/>
        </w:rPr>
        <w:t xml:space="preserve">to the apportionable net income of the </w:t>
      </w:r>
      <w:r>
        <w:rPr>
          <w:iCs/>
        </w:rPr>
        <w:t xml:space="preserve">related </w:t>
      </w:r>
      <w:r w:rsidRPr="000D3F56">
        <w:rPr>
          <w:iCs/>
        </w:rPr>
        <w:t>business</w:t>
      </w:r>
      <w:r w:rsidR="00FB0284">
        <w:rPr>
          <w:iCs/>
        </w:rPr>
        <w:t xml:space="preserve"> to source that income and items</w:t>
      </w:r>
      <w:r w:rsidRPr="000D3F56">
        <w:rPr>
          <w:iCs/>
        </w:rPr>
        <w:t xml:space="preserve">. </w:t>
      </w:r>
    </w:p>
    <w:p w14:paraId="344DD2B2" w14:textId="77777777" w:rsidR="00F16E5B" w:rsidRPr="001F72F2" w:rsidRDefault="00F16E5B" w:rsidP="00366E17">
      <w:pPr>
        <w:pStyle w:val="ListParagraph"/>
        <w:numPr>
          <w:ilvl w:val="0"/>
          <w:numId w:val="19"/>
        </w:numPr>
        <w:spacing w:after="40"/>
        <w:contextualSpacing w:val="0"/>
        <w:rPr>
          <w:iCs/>
          <w:u w:val="single"/>
        </w:rPr>
      </w:pPr>
      <w:r>
        <w:rPr>
          <w:iCs/>
        </w:rPr>
        <w:t xml:space="preserve">The partners’ shares of all state-sourced income and items are determined based on the partners’ shares of those items under the federal rules. So, for example: </w:t>
      </w:r>
    </w:p>
    <w:p w14:paraId="2898D646" w14:textId="77777777" w:rsidR="00F16E5B" w:rsidRDefault="00F16E5B" w:rsidP="00366E17">
      <w:pPr>
        <w:pStyle w:val="ListParagraph"/>
        <w:numPr>
          <w:ilvl w:val="0"/>
          <w:numId w:val="44"/>
        </w:numPr>
        <w:spacing w:after="40"/>
        <w:contextualSpacing w:val="0"/>
        <w:rPr>
          <w:iCs/>
        </w:rPr>
      </w:pPr>
      <w:r>
        <w:rPr>
          <w:iCs/>
        </w:rPr>
        <w:t>Partnership has $1 million of ordinary income.</w:t>
      </w:r>
    </w:p>
    <w:p w14:paraId="0A610C95" w14:textId="77777777" w:rsidR="00F16E5B" w:rsidRDefault="00F16E5B" w:rsidP="00366E17">
      <w:pPr>
        <w:pStyle w:val="ListParagraph"/>
        <w:numPr>
          <w:ilvl w:val="0"/>
          <w:numId w:val="44"/>
        </w:numPr>
        <w:spacing w:after="40"/>
        <w:contextualSpacing w:val="0"/>
        <w:rPr>
          <w:iCs/>
        </w:rPr>
      </w:pPr>
      <w:r w:rsidRPr="001F72F2">
        <w:rPr>
          <w:iCs/>
        </w:rPr>
        <w:t xml:space="preserve">Partner is allocated 20% of the partnership’s ordinary income for federal </w:t>
      </w:r>
      <w:r>
        <w:rPr>
          <w:iCs/>
        </w:rPr>
        <w:t xml:space="preserve">tax </w:t>
      </w:r>
      <w:r w:rsidRPr="001F72F2">
        <w:rPr>
          <w:iCs/>
        </w:rPr>
        <w:t>purposes</w:t>
      </w:r>
      <w:r>
        <w:rPr>
          <w:iCs/>
        </w:rPr>
        <w:t>.</w:t>
      </w:r>
    </w:p>
    <w:p w14:paraId="482C58BD" w14:textId="77777777" w:rsidR="00F16E5B" w:rsidRDefault="00F16E5B" w:rsidP="00366E17">
      <w:pPr>
        <w:pStyle w:val="ListParagraph"/>
        <w:numPr>
          <w:ilvl w:val="0"/>
          <w:numId w:val="44"/>
        </w:numPr>
        <w:spacing w:after="40"/>
        <w:contextualSpacing w:val="0"/>
        <w:rPr>
          <w:iCs/>
        </w:rPr>
      </w:pPr>
      <w:r>
        <w:rPr>
          <w:iCs/>
        </w:rPr>
        <w:t>Partnership</w:t>
      </w:r>
      <w:r w:rsidRPr="001F72F2">
        <w:rPr>
          <w:iCs/>
        </w:rPr>
        <w:t xml:space="preserve"> apportions 40% of that</w:t>
      </w:r>
      <w:r>
        <w:rPr>
          <w:iCs/>
        </w:rPr>
        <w:t xml:space="preserve"> ordinary</w:t>
      </w:r>
      <w:r w:rsidRPr="001F72F2">
        <w:rPr>
          <w:iCs/>
        </w:rPr>
        <w:t xml:space="preserve"> income to State A</w:t>
      </w:r>
    </w:p>
    <w:p w14:paraId="685535BB" w14:textId="77777777" w:rsidR="00F16E5B" w:rsidRPr="001F72F2" w:rsidRDefault="00F16E5B" w:rsidP="00366E17">
      <w:pPr>
        <w:pStyle w:val="ListParagraph"/>
        <w:numPr>
          <w:ilvl w:val="0"/>
          <w:numId w:val="44"/>
        </w:numPr>
        <w:spacing w:after="80"/>
        <w:contextualSpacing w:val="0"/>
        <w:rPr>
          <w:iCs/>
        </w:rPr>
      </w:pPr>
      <w:r>
        <w:rPr>
          <w:iCs/>
        </w:rPr>
        <w:t xml:space="preserve">Partner’s </w:t>
      </w:r>
      <w:r w:rsidRPr="001F72F2">
        <w:rPr>
          <w:iCs/>
        </w:rPr>
        <w:t xml:space="preserve">State A income is 20% x 40% x </w:t>
      </w:r>
      <w:r>
        <w:rPr>
          <w:iCs/>
        </w:rPr>
        <w:t>$1 million = $80,000</w:t>
      </w:r>
      <w:r w:rsidRPr="001F72F2">
        <w:rPr>
          <w:iCs/>
        </w:rPr>
        <w:t xml:space="preserve">.  </w:t>
      </w:r>
    </w:p>
    <w:p w14:paraId="02D2C230" w14:textId="0D24B052" w:rsidR="00FB0284" w:rsidRPr="00FB0284" w:rsidRDefault="00F16E5B" w:rsidP="00366E17">
      <w:pPr>
        <w:pStyle w:val="ListParagraph"/>
        <w:numPr>
          <w:ilvl w:val="0"/>
          <w:numId w:val="19"/>
        </w:numPr>
        <w:spacing w:before="120"/>
        <w:contextualSpacing w:val="0"/>
        <w:rPr>
          <w:iCs/>
          <w:u w:val="single"/>
        </w:rPr>
      </w:pPr>
      <w:r>
        <w:rPr>
          <w:iCs/>
        </w:rPr>
        <w:t xml:space="preserve">Partners report their shares of state-sourced income and items on their individual tax returns—retaining the state source information and character of those items. </w:t>
      </w:r>
    </w:p>
    <w:p w14:paraId="2DAE06BC" w14:textId="77777777" w:rsidR="00FB0284" w:rsidRDefault="00FB0284" w:rsidP="00FB0284">
      <w:pPr>
        <w:spacing w:before="120" w:line="276" w:lineRule="auto"/>
        <w:jc w:val="left"/>
      </w:pPr>
      <w:r>
        <w:t xml:space="preserve">Section II of this white paper expands further on the application of state sourcing rules to complex partnership structures, including the use of “blended apportionment,”  as well as the potential effects of special or mandatory allocations and related-entity transactions.  </w:t>
      </w:r>
    </w:p>
    <w:p w14:paraId="6A9E7395" w14:textId="77777777" w:rsidR="00F323F5" w:rsidRDefault="00FB0284" w:rsidP="00F323F5">
      <w:pPr>
        <w:pBdr>
          <w:top w:val="single" w:sz="4" w:space="1" w:color="auto"/>
          <w:left w:val="single" w:sz="4" w:space="4" w:color="auto"/>
          <w:bottom w:val="single" w:sz="4" w:space="1" w:color="auto"/>
          <w:right w:val="single" w:sz="4" w:space="4" w:color="auto"/>
        </w:pBdr>
        <w:spacing w:after="120"/>
        <w:ind w:left="720" w:right="720"/>
        <w:rPr>
          <w:b/>
          <w:bCs/>
        </w:rPr>
      </w:pPr>
      <w:r w:rsidRPr="008A0890">
        <w:rPr>
          <w:b/>
          <w:bCs/>
          <w:highlight w:val="yellow"/>
        </w:rPr>
        <w:t>OVERARCHING STATE TAX IMPLICATIONS</w:t>
      </w:r>
      <w:r w:rsidRPr="0097538B">
        <w:rPr>
          <w:b/>
          <w:bCs/>
        </w:rPr>
        <w:t xml:space="preserve"> </w:t>
      </w:r>
      <w:r w:rsidR="00F323F5">
        <w:rPr>
          <w:b/>
          <w:bCs/>
        </w:rPr>
        <w:t>–</w:t>
      </w:r>
      <w:r>
        <w:rPr>
          <w:b/>
          <w:bCs/>
        </w:rPr>
        <w:t xml:space="preserve"> </w:t>
      </w:r>
      <w:r w:rsidR="00F323F5">
        <w:rPr>
          <w:b/>
          <w:bCs/>
        </w:rPr>
        <w:t xml:space="preserve">States generally use consistent sourcing rules for income earned by businesses, whether the business is conducted by a corporation, individual, or partnership. </w:t>
      </w:r>
    </w:p>
    <w:p w14:paraId="54931E8E" w14:textId="77777777" w:rsidR="00F323F5" w:rsidRDefault="00F323F5" w:rsidP="00366E17">
      <w:pPr>
        <w:pStyle w:val="ListParagraph"/>
        <w:numPr>
          <w:ilvl w:val="0"/>
          <w:numId w:val="67"/>
        </w:numPr>
        <w:pBdr>
          <w:top w:val="single" w:sz="4" w:space="1" w:color="auto"/>
          <w:left w:val="single" w:sz="4" w:space="4" w:color="auto"/>
          <w:bottom w:val="single" w:sz="4" w:space="1" w:color="auto"/>
          <w:right w:val="single" w:sz="4" w:space="4" w:color="auto"/>
        </w:pBdr>
        <w:spacing w:after="120"/>
        <w:ind w:right="720"/>
        <w:contextualSpacing w:val="0"/>
        <w:rPr>
          <w:b/>
          <w:bCs/>
        </w:rPr>
      </w:pPr>
      <w:r w:rsidRPr="00F323F5">
        <w:rPr>
          <w:b/>
          <w:bCs/>
        </w:rPr>
        <w:t xml:space="preserve">The use of these general sourcing rules may have the advantage of putting different forms of business on the same level playing field—even though there may be some differences due to the use of “pure” apportionment for corporations versus the credit system used for resident individuals. </w:t>
      </w:r>
    </w:p>
    <w:p w14:paraId="5D633C52" w14:textId="129A1EA2" w:rsidR="00FB0284" w:rsidRDefault="00F323F5" w:rsidP="00366E17">
      <w:pPr>
        <w:pStyle w:val="ListParagraph"/>
        <w:numPr>
          <w:ilvl w:val="0"/>
          <w:numId w:val="67"/>
        </w:numPr>
        <w:pBdr>
          <w:top w:val="single" w:sz="4" w:space="1" w:color="auto"/>
          <w:left w:val="single" w:sz="4" w:space="4" w:color="auto"/>
          <w:bottom w:val="single" w:sz="4" w:space="1" w:color="auto"/>
          <w:right w:val="single" w:sz="4" w:space="4" w:color="auto"/>
        </w:pBdr>
        <w:spacing w:after="120"/>
        <w:ind w:right="720"/>
        <w:contextualSpacing w:val="0"/>
        <w:rPr>
          <w:b/>
          <w:bCs/>
        </w:rPr>
      </w:pPr>
      <w:r w:rsidRPr="00F323F5">
        <w:rPr>
          <w:b/>
          <w:bCs/>
        </w:rPr>
        <w:t>In order for the rules to be applied properly</w:t>
      </w:r>
      <w:r>
        <w:rPr>
          <w:b/>
          <w:bCs/>
        </w:rPr>
        <w:t xml:space="preserve"> in the case of businesses conducted by partnerships</w:t>
      </w:r>
      <w:r w:rsidRPr="00F323F5">
        <w:rPr>
          <w:b/>
          <w:bCs/>
        </w:rPr>
        <w:t>, certain sourcing-related determinations must be made by the partnership</w:t>
      </w:r>
      <w:r>
        <w:rPr>
          <w:b/>
          <w:bCs/>
        </w:rPr>
        <w:t xml:space="preserve"> based on its own activities</w:t>
      </w:r>
      <w:r w:rsidRPr="00F323F5">
        <w:rPr>
          <w:b/>
          <w:bCs/>
        </w:rPr>
        <w:t xml:space="preserve"> and that information must be provided to the partners. </w:t>
      </w:r>
      <w:r w:rsidR="00FB0284" w:rsidRPr="00F323F5">
        <w:rPr>
          <w:b/>
          <w:bCs/>
        </w:rPr>
        <w:t xml:space="preserve"> </w:t>
      </w:r>
    </w:p>
    <w:p w14:paraId="38E5D289" w14:textId="2130C9BF" w:rsidR="00F323F5" w:rsidRDefault="00F323F5" w:rsidP="00366E17">
      <w:pPr>
        <w:pStyle w:val="ListParagraph"/>
        <w:numPr>
          <w:ilvl w:val="0"/>
          <w:numId w:val="67"/>
        </w:numPr>
        <w:pBdr>
          <w:top w:val="single" w:sz="4" w:space="1" w:color="auto"/>
          <w:left w:val="single" w:sz="4" w:space="4" w:color="auto"/>
          <w:bottom w:val="single" w:sz="4" w:space="1" w:color="auto"/>
          <w:right w:val="single" w:sz="4" w:space="4" w:color="auto"/>
        </w:pBdr>
        <w:spacing w:after="120"/>
        <w:ind w:right="720"/>
        <w:contextualSpacing w:val="0"/>
        <w:rPr>
          <w:b/>
          <w:bCs/>
        </w:rPr>
      </w:pPr>
      <w:r>
        <w:rPr>
          <w:b/>
          <w:bCs/>
        </w:rPr>
        <w:t xml:space="preserve">The unitary business principle may be implicated where the partnership engages in multiple businesses or where a partner and a partnership are engaged in or contributing to the same unitary business. </w:t>
      </w:r>
    </w:p>
    <w:p w14:paraId="2800D496" w14:textId="29ADB7C9" w:rsidR="00F323F5" w:rsidRPr="00F323F5" w:rsidRDefault="00F323F5" w:rsidP="00366E17">
      <w:pPr>
        <w:pStyle w:val="ListParagraph"/>
        <w:numPr>
          <w:ilvl w:val="0"/>
          <w:numId w:val="67"/>
        </w:numPr>
        <w:pBdr>
          <w:top w:val="single" w:sz="4" w:space="1" w:color="auto"/>
          <w:left w:val="single" w:sz="4" w:space="4" w:color="auto"/>
          <w:bottom w:val="single" w:sz="4" w:space="1" w:color="auto"/>
          <w:right w:val="single" w:sz="4" w:space="4" w:color="auto"/>
        </w:pBdr>
        <w:spacing w:after="120"/>
        <w:ind w:right="720"/>
        <w:contextualSpacing w:val="0"/>
        <w:rPr>
          <w:b/>
          <w:bCs/>
        </w:rPr>
      </w:pPr>
      <w:r>
        <w:rPr>
          <w:b/>
          <w:bCs/>
        </w:rPr>
        <w:t>States may want to clarify the types of determinations made at the partnership level or the kinds of information the partnership must provide to partners so that income can be sourced properly.</w:t>
      </w:r>
    </w:p>
    <w:p w14:paraId="30191EFA" w14:textId="526CA976" w:rsidR="00B37297" w:rsidRDefault="00B37297" w:rsidP="00FB0284">
      <w:pPr>
        <w:spacing w:before="120" w:line="276" w:lineRule="auto"/>
        <w:jc w:val="left"/>
        <w:rPr>
          <w:rFonts w:asciiTheme="majorHAnsi" w:eastAsiaTheme="majorEastAsia" w:hAnsiTheme="majorHAnsi" w:cstheme="majorBidi"/>
          <w:b/>
          <w:color w:val="851C00" w:themeColor="accent6" w:themeShade="BF"/>
          <w:sz w:val="30"/>
          <w:szCs w:val="26"/>
          <w:u w:val="single"/>
        </w:rPr>
      </w:pPr>
      <w:r>
        <w:br w:type="page"/>
      </w:r>
    </w:p>
    <w:p w14:paraId="7459B57E" w14:textId="0EAEBD91" w:rsidR="005354E4" w:rsidRDefault="005354E4" w:rsidP="00356920">
      <w:pPr>
        <w:pStyle w:val="Heading2"/>
      </w:pPr>
      <w:bookmarkStart w:id="55" w:name="_Toc198480737"/>
      <w:r w:rsidRPr="008A0890">
        <w:rPr>
          <w:highlight w:val="yellow"/>
        </w:rPr>
        <w:lastRenderedPageBreak/>
        <w:t>I.</w:t>
      </w:r>
      <w:r w:rsidR="00317CE5" w:rsidRPr="008A0890">
        <w:rPr>
          <w:highlight w:val="yellow"/>
        </w:rPr>
        <w:t>F</w:t>
      </w:r>
      <w:r w:rsidRPr="008A0890">
        <w:rPr>
          <w:highlight w:val="yellow"/>
        </w:rPr>
        <w:t xml:space="preserve">. </w:t>
      </w:r>
      <w:r w:rsidR="00F10C64" w:rsidRPr="008A0890">
        <w:rPr>
          <w:highlight w:val="yellow"/>
        </w:rPr>
        <w:t xml:space="preserve">Importance of the </w:t>
      </w:r>
      <w:r w:rsidRPr="008A0890">
        <w:rPr>
          <w:highlight w:val="yellow"/>
        </w:rPr>
        <w:t>Attribution</w:t>
      </w:r>
      <w:r w:rsidR="00B76571" w:rsidRPr="008A0890">
        <w:rPr>
          <w:highlight w:val="yellow"/>
        </w:rPr>
        <w:t xml:space="preserve"> or “Conduit”</w:t>
      </w:r>
      <w:r w:rsidRPr="008A0890">
        <w:rPr>
          <w:highlight w:val="yellow"/>
        </w:rPr>
        <w:t xml:space="preserve"> Principle</w:t>
      </w:r>
      <w:bookmarkEnd w:id="55"/>
      <w:r>
        <w:t xml:space="preserve"> </w:t>
      </w:r>
    </w:p>
    <w:p w14:paraId="03B852AA" w14:textId="77777777" w:rsidR="008A0890" w:rsidRPr="008A0890" w:rsidRDefault="008A0890" w:rsidP="008A0890">
      <w:pPr>
        <w:jc w:val="center"/>
        <w:rPr>
          <w:i/>
          <w:iCs/>
        </w:rPr>
      </w:pPr>
      <w:r w:rsidRPr="008A0890">
        <w:rPr>
          <w:i/>
          <w:iCs/>
          <w:highlight w:val="yellow"/>
        </w:rPr>
        <w:t>(NOTE: This section has some substantive additions and changes.)</w:t>
      </w:r>
    </w:p>
    <w:p w14:paraId="0F25FFC0" w14:textId="573996A3" w:rsidR="007B0A46" w:rsidRDefault="00C86C9C" w:rsidP="005354E4">
      <w:r>
        <w:t>When discussing partnerships two</w:t>
      </w:r>
      <w:r w:rsidR="00F76EB1">
        <w:t xml:space="preserve"> different theories—aggregate and entity</w:t>
      </w:r>
      <w:r w:rsidR="00E960CB">
        <w:t>—are often cited</w:t>
      </w:r>
      <w:r w:rsidR="00F76EB1">
        <w:t xml:space="preserve">. </w:t>
      </w:r>
      <w:r w:rsidR="00E960CB">
        <w:t xml:space="preserve">As noted in subsection I.B. above, however, </w:t>
      </w:r>
      <w:r w:rsidR="004D5B78">
        <w:t xml:space="preserve">it is not possible to say one of these theories is necessarily controlling. </w:t>
      </w:r>
      <w:r w:rsidR="00B37297">
        <w:t>Moreover, today,</w:t>
      </w:r>
      <w:r w:rsidR="00E960CB">
        <w:t xml:space="preserve"> even the rules governing traditional partnerships have evolved </w:t>
      </w:r>
      <w:r>
        <w:t>so that they are</w:t>
      </w:r>
      <w:r w:rsidR="00E960CB">
        <w:t xml:space="preserve"> based more in the entity theory.</w:t>
      </w:r>
      <w:r>
        <w:t xml:space="preserve"> </w:t>
      </w:r>
      <w:r w:rsidR="00E960CB">
        <w:t xml:space="preserve">Similarly, under </w:t>
      </w:r>
      <w:r w:rsidR="00F76EB1">
        <w:t xml:space="preserve">the federal pass-through tax system, partnerships </w:t>
      </w:r>
      <w:r w:rsidR="00F529A3">
        <w:t>are</w:t>
      </w:r>
      <w:r w:rsidR="00F76EB1">
        <w:t xml:space="preserve"> </w:t>
      </w:r>
      <w:r w:rsidR="002A1DB5">
        <w:t xml:space="preserve">sometimes </w:t>
      </w:r>
      <w:r w:rsidR="00F76EB1">
        <w:t>treated as aggregates and sometimes as entities.</w:t>
      </w:r>
    </w:p>
    <w:p w14:paraId="297EEC59" w14:textId="54F04886" w:rsidR="00F76EB1" w:rsidRDefault="007B0A46" w:rsidP="005354E4">
      <w:r>
        <w:t>T</w:t>
      </w:r>
      <w:r w:rsidR="00F76EB1">
        <w:t>his white paper</w:t>
      </w:r>
      <w:r>
        <w:t xml:space="preserve"> therefore proposes that</w:t>
      </w:r>
      <w:r w:rsidR="00F76EB1">
        <w:t xml:space="preserve"> it is more useful to consider </w:t>
      </w:r>
      <w:r w:rsidR="00C86C9C">
        <w:t>the fundamental principle of the pass-through tax system, that is—</w:t>
      </w:r>
      <w:r w:rsidR="00F76EB1">
        <w:t>the attribution or “conduit” principle</w:t>
      </w:r>
      <w:r w:rsidR="002A1DB5">
        <w:t>.</w:t>
      </w:r>
    </w:p>
    <w:p w14:paraId="059E71B4" w14:textId="653F6C42" w:rsidR="00F76EB1" w:rsidRDefault="002A1DB5" w:rsidP="00F76EB1">
      <w:pPr>
        <w:pStyle w:val="Heading3"/>
      </w:pPr>
      <w:bookmarkStart w:id="56" w:name="_Toc198480738"/>
      <w:r>
        <w:t>Why the Attribution or “Conduit” Principle is Critical</w:t>
      </w:r>
      <w:bookmarkEnd w:id="56"/>
      <w:r w:rsidR="00F76EB1">
        <w:t xml:space="preserve">   </w:t>
      </w:r>
    </w:p>
    <w:p w14:paraId="74623884" w14:textId="37D37781" w:rsidR="00990033" w:rsidRDefault="00990033" w:rsidP="00356920">
      <w:pPr>
        <w:spacing w:after="60"/>
      </w:pPr>
      <w:r>
        <w:t xml:space="preserve">The partnership pass-through system </w:t>
      </w:r>
      <w:r w:rsidR="00C11E1F">
        <w:t xml:space="preserve">has been explained by experts as </w:t>
      </w:r>
      <w:r>
        <w:t>represent</w:t>
      </w:r>
      <w:r w:rsidR="00C11E1F">
        <w:t>ing</w:t>
      </w:r>
      <w:r>
        <w:t xml:space="preserve"> a kind of balancing of </w:t>
      </w:r>
      <w:r w:rsidR="002A1DB5">
        <w:t>four</w:t>
      </w:r>
      <w:r>
        <w:t xml:space="preserve"> important goals:</w:t>
      </w:r>
    </w:p>
    <w:p w14:paraId="7C7E66A3" w14:textId="7F923895" w:rsidR="00990033" w:rsidRDefault="00990033" w:rsidP="00366E17">
      <w:pPr>
        <w:pStyle w:val="ListParagraph"/>
        <w:numPr>
          <w:ilvl w:val="0"/>
          <w:numId w:val="5"/>
        </w:numPr>
        <w:spacing w:after="60"/>
        <w:contextualSpacing w:val="0"/>
      </w:pPr>
      <w:r>
        <w:t>Achiev</w:t>
      </w:r>
      <w:r w:rsidR="000B6136">
        <w:t>ing</w:t>
      </w:r>
      <w:r>
        <w:t xml:space="preserve"> a single level of tax on the income,</w:t>
      </w:r>
    </w:p>
    <w:p w14:paraId="76D66033" w14:textId="5869B166" w:rsidR="00C11E1F" w:rsidRDefault="00C11E1F" w:rsidP="00366E17">
      <w:pPr>
        <w:pStyle w:val="ListParagraph"/>
        <w:numPr>
          <w:ilvl w:val="0"/>
          <w:numId w:val="5"/>
        </w:numPr>
        <w:spacing w:after="60"/>
        <w:contextualSpacing w:val="0"/>
      </w:pPr>
      <w:r>
        <w:t xml:space="preserve">Avoiding the unrestricted deferral of tax liability until income is distributed, </w:t>
      </w:r>
    </w:p>
    <w:p w14:paraId="4A2F6E23" w14:textId="0F396E4C" w:rsidR="00BF7804" w:rsidRDefault="00C11E1F" w:rsidP="00366E17">
      <w:pPr>
        <w:pStyle w:val="ListParagraph"/>
        <w:numPr>
          <w:ilvl w:val="0"/>
          <w:numId w:val="5"/>
        </w:numPr>
        <w:spacing w:after="60"/>
        <w:contextualSpacing w:val="0"/>
      </w:pPr>
      <w:r>
        <w:t xml:space="preserve">Retaining consistent </w:t>
      </w:r>
      <w:r w:rsidR="007B0A46">
        <w:t xml:space="preserve">substantive tax </w:t>
      </w:r>
      <w:r>
        <w:t xml:space="preserve">treatment of various items of partnership income, expense, gain, and loss under </w:t>
      </w:r>
      <w:r w:rsidR="003B76E2">
        <w:t xml:space="preserve">the rules </w:t>
      </w:r>
      <w:r>
        <w:t>that would apply to those items if recognized directly by individual or corporate taxpayers, and</w:t>
      </w:r>
    </w:p>
    <w:p w14:paraId="4D7A5DA8" w14:textId="469C6894" w:rsidR="00F20790" w:rsidRDefault="00F20790" w:rsidP="00366E17">
      <w:pPr>
        <w:pStyle w:val="ListParagraph"/>
        <w:numPr>
          <w:ilvl w:val="0"/>
          <w:numId w:val="5"/>
        </w:numPr>
      </w:pPr>
      <w:r>
        <w:t>Preventing the use of partnerships and the pass-through rules to change the tax results in unintended ways.</w:t>
      </w:r>
      <w:r w:rsidR="00C11E1F">
        <w:rPr>
          <w:rStyle w:val="FootnoteReference"/>
        </w:rPr>
        <w:footnoteReference w:id="29"/>
      </w:r>
    </w:p>
    <w:p w14:paraId="65D9A287" w14:textId="6CE445A5" w:rsidR="007B0A46" w:rsidRDefault="007B0A46" w:rsidP="007B0A46">
      <w:pPr>
        <w:pStyle w:val="Heading4"/>
      </w:pPr>
      <w:r>
        <w:t>Achievement of these goals benefits taxpayers.</w:t>
      </w:r>
    </w:p>
    <w:p w14:paraId="5A8E8780" w14:textId="54F8BC21" w:rsidR="00C11E1F" w:rsidRDefault="00065079" w:rsidP="002A47FE">
      <w:r>
        <w:t>The partnership form of business and the pass-through system</w:t>
      </w:r>
      <w:r w:rsidR="00A65A7A">
        <w:t xml:space="preserve"> </w:t>
      </w:r>
      <w:r>
        <w:t xml:space="preserve">under which partnerships are taxed provides substantial benefits </w:t>
      </w:r>
      <w:r w:rsidR="008A0890">
        <w:t>for</w:t>
      </w:r>
      <w:r>
        <w:t xml:space="preserve"> partners</w:t>
      </w:r>
      <w:r w:rsidR="007B0A46">
        <w:t xml:space="preserve">. </w:t>
      </w:r>
      <w:r w:rsidR="002A47FE">
        <w:t xml:space="preserve">First, there </w:t>
      </w:r>
      <w:r w:rsidR="00C00896">
        <w:t>is a</w:t>
      </w:r>
      <w:r w:rsidR="002A47FE">
        <w:t xml:space="preserve"> single level of tax</w:t>
      </w:r>
      <w:r>
        <w:t xml:space="preserve"> on the income generated</w:t>
      </w:r>
      <w:r w:rsidR="002A47FE">
        <w:t xml:space="preserve">. Second, there is the potential to offset income and loss from different sources, subject to certain limitations under the substantive </w:t>
      </w:r>
      <w:r>
        <w:t xml:space="preserve">tax </w:t>
      </w:r>
      <w:r w:rsidR="002A47FE">
        <w:t xml:space="preserve">rules. </w:t>
      </w:r>
      <w:r w:rsidR="00C11E1F">
        <w:t xml:space="preserve">Then there is the treatment of partners’ shares of partnership income according to the partners’ own attributes—including their effective tax rates. </w:t>
      </w:r>
      <w:r w:rsidR="002A47FE">
        <w:t xml:space="preserve">And finally, there is the </w:t>
      </w:r>
      <w:r w:rsidR="00C11E1F">
        <w:t>wide latitude given to</w:t>
      </w:r>
      <w:r w:rsidR="002A47FE">
        <w:t xml:space="preserve"> partners as to how they share the economic and tax effects of different items, as provided under IRC § 704. </w:t>
      </w:r>
    </w:p>
    <w:p w14:paraId="0C8FCFEE" w14:textId="012977D7" w:rsidR="006F433F" w:rsidRDefault="006F433F" w:rsidP="006F433F">
      <w:pPr>
        <w:pStyle w:val="Heading4"/>
      </w:pPr>
      <w:r>
        <w:t>This system depends on the attribution principle.</w:t>
      </w:r>
    </w:p>
    <w:p w14:paraId="33807D95" w14:textId="0B2274D3" w:rsidR="00F20790" w:rsidRDefault="002D5074" w:rsidP="00F20790">
      <w:r>
        <w:t xml:space="preserve">The proper working of this </w:t>
      </w:r>
      <w:r w:rsidR="006F433F">
        <w:t xml:space="preserve">pass-through </w:t>
      </w:r>
      <w:r>
        <w:t>syste</w:t>
      </w:r>
      <w:r w:rsidR="00E960CB">
        <w:t xml:space="preserve">m </w:t>
      </w:r>
      <w:r>
        <w:t xml:space="preserve">depends </w:t>
      </w:r>
      <w:r w:rsidR="00E960CB">
        <w:t xml:space="preserve">entirely </w:t>
      </w:r>
      <w:r>
        <w:t>on the attribution principle</w:t>
      </w:r>
      <w:r w:rsidR="009B5FFB">
        <w:t>—also sometimes referred to as the “conduit” principle</w:t>
      </w:r>
      <w:r w:rsidR="00E960CB">
        <w:t xml:space="preserve">. That </w:t>
      </w:r>
      <w:r>
        <w:t>is,</w:t>
      </w:r>
      <w:r w:rsidR="00F20790">
        <w:t xml:space="preserve"> </w:t>
      </w:r>
      <w:r w:rsidR="008A0890">
        <w:t xml:space="preserve">activities of the </w:t>
      </w:r>
      <w:r w:rsidR="00E960CB">
        <w:t>partnership</w:t>
      </w:r>
      <w:r w:rsidR="008A0890">
        <w:t xml:space="preserve"> and the tax effect of those activities on</w:t>
      </w:r>
      <w:r w:rsidR="00E960CB">
        <w:t xml:space="preserve"> items </w:t>
      </w:r>
      <w:r w:rsidR="008A0890">
        <w:t>of income—</w:t>
      </w:r>
      <w:r w:rsidR="00E960CB">
        <w:t>their tax character</w:t>
      </w:r>
      <w:r w:rsidR="008A0890">
        <w:t>—</w:t>
      </w:r>
      <w:r w:rsidR="00E960CB">
        <w:t xml:space="preserve">are attributed from the </w:t>
      </w:r>
      <w:r w:rsidR="002A1DB5">
        <w:t xml:space="preserve">partnership </w:t>
      </w:r>
      <w:r w:rsidR="00E960CB">
        <w:t>t</w:t>
      </w:r>
      <w:r w:rsidR="002A1DB5">
        <w:t xml:space="preserve">o the partners </w:t>
      </w:r>
      <w:r w:rsidR="00E960CB">
        <w:t xml:space="preserve">as part of their distributive share of those items. </w:t>
      </w:r>
      <w:r w:rsidR="00C00896">
        <w:t xml:space="preserve">This </w:t>
      </w:r>
      <w:r w:rsidR="006F433F">
        <w:t xml:space="preserve">also </w:t>
      </w:r>
      <w:r w:rsidR="00C00896">
        <w:t xml:space="preserve">prevents partnerships from being used to, effectively, change the basic tax treatment of those items. </w:t>
      </w:r>
    </w:p>
    <w:p w14:paraId="4B97E0E6" w14:textId="7E79FF76" w:rsidR="008E7017" w:rsidRDefault="008E7017" w:rsidP="008E7017">
      <w:pPr>
        <w:pStyle w:val="Heading3"/>
      </w:pPr>
      <w:bookmarkStart w:id="57" w:name="_Toc198480739"/>
      <w:r>
        <w:t xml:space="preserve">How Attribution </w:t>
      </w:r>
      <w:r w:rsidR="002A1DB5">
        <w:t>Works</w:t>
      </w:r>
      <w:r w:rsidR="002D5074">
        <w:t xml:space="preserve"> in Practice</w:t>
      </w:r>
      <w:bookmarkEnd w:id="57"/>
    </w:p>
    <w:p w14:paraId="2814A31B" w14:textId="7CFD3E91" w:rsidR="005F58F8" w:rsidRDefault="005F58F8" w:rsidP="006F433F">
      <w:pPr>
        <w:spacing w:after="120"/>
      </w:pPr>
      <w:r>
        <w:t xml:space="preserve">The pass-through system achieves attribution </w:t>
      </w:r>
      <w:r w:rsidR="00356920">
        <w:t>through the following framework (discussed in greater length in previous subsection</w:t>
      </w:r>
      <w:r w:rsidR="008A0890">
        <w:t xml:space="preserve">s </w:t>
      </w:r>
      <w:r w:rsidR="00356920">
        <w:t>)</w:t>
      </w:r>
      <w:r>
        <w:t>:</w:t>
      </w:r>
    </w:p>
    <w:p w14:paraId="468D9EE6" w14:textId="1A7F6218" w:rsidR="002D5074" w:rsidRPr="00356920" w:rsidRDefault="00F529A3" w:rsidP="00366E17">
      <w:pPr>
        <w:pStyle w:val="ListParagraph"/>
        <w:numPr>
          <w:ilvl w:val="0"/>
          <w:numId w:val="4"/>
        </w:numPr>
        <w:spacing w:after="120"/>
        <w:ind w:left="792"/>
        <w:contextualSpacing w:val="0"/>
      </w:pPr>
      <w:r w:rsidRPr="00356920">
        <w:t>Partnerships</w:t>
      </w:r>
      <w:r w:rsidR="002D5074" w:rsidRPr="00356920">
        <w:t xml:space="preserve"> </w:t>
      </w:r>
      <w:r w:rsidR="00C00896" w:rsidRPr="00356920">
        <w:t>d</w:t>
      </w:r>
      <w:r w:rsidR="002D5074" w:rsidRPr="00356920">
        <w:t xml:space="preserve">etermine </w:t>
      </w:r>
      <w:r w:rsidR="00C00896" w:rsidRPr="00356920">
        <w:t>the c</w:t>
      </w:r>
      <w:r w:rsidR="002D5074" w:rsidRPr="00356920">
        <w:t>haracter of</w:t>
      </w:r>
      <w:r w:rsidR="002A1DB5" w:rsidRPr="00356920">
        <w:t xml:space="preserve"> </w:t>
      </w:r>
      <w:r w:rsidR="00C00896" w:rsidRPr="00356920">
        <w:t>t</w:t>
      </w:r>
      <w:r w:rsidRPr="00356920">
        <w:t>heir</w:t>
      </w:r>
      <w:r w:rsidR="002A1DB5" w:rsidRPr="00356920">
        <w:t xml:space="preserve"> </w:t>
      </w:r>
      <w:r w:rsidR="00C00896" w:rsidRPr="00356920">
        <w:t>t</w:t>
      </w:r>
      <w:r w:rsidR="002A1DB5" w:rsidRPr="00356920">
        <w:t xml:space="preserve">axable </w:t>
      </w:r>
      <w:r w:rsidR="00C00896" w:rsidRPr="00356920">
        <w:t>a</w:t>
      </w:r>
      <w:r w:rsidR="002A1DB5" w:rsidRPr="00356920">
        <w:t xml:space="preserve">ctivities and </w:t>
      </w:r>
      <w:r w:rsidR="00356920">
        <w:t>any</w:t>
      </w:r>
      <w:r w:rsidR="002A1DB5" w:rsidRPr="00356920">
        <w:t xml:space="preserve"> </w:t>
      </w:r>
      <w:r w:rsidR="00C00896" w:rsidRPr="00356920">
        <w:t>r</w:t>
      </w:r>
      <w:r w:rsidR="002A1DB5" w:rsidRPr="00356920">
        <w:t xml:space="preserve">esulting </w:t>
      </w:r>
      <w:r w:rsidR="00C00896" w:rsidRPr="00356920">
        <w:t>t</w:t>
      </w:r>
      <w:r w:rsidR="00F45484" w:rsidRPr="00356920">
        <w:t xml:space="preserve">ax </w:t>
      </w:r>
      <w:r w:rsidR="00C00896" w:rsidRPr="00356920">
        <w:t>items</w:t>
      </w:r>
      <w:r w:rsidR="00356920">
        <w:t xml:space="preserve"> that may affect calculation of tax</w:t>
      </w:r>
      <w:r w:rsidR="00C00896" w:rsidRPr="00356920">
        <w:t>.</w:t>
      </w:r>
      <w:r w:rsidRPr="00356920">
        <w:t xml:space="preserve"> </w:t>
      </w:r>
      <w:r w:rsidR="00CD5DFD">
        <w:t xml:space="preserve">IRC </w:t>
      </w:r>
      <w:r w:rsidR="005D608E">
        <w:t>§ 703.</w:t>
      </w:r>
    </w:p>
    <w:p w14:paraId="5ECEAB3B" w14:textId="2949073F" w:rsidR="002D5074" w:rsidRPr="00356920" w:rsidRDefault="00356920" w:rsidP="00366E17">
      <w:pPr>
        <w:pStyle w:val="ListParagraph"/>
        <w:numPr>
          <w:ilvl w:val="0"/>
          <w:numId w:val="4"/>
        </w:numPr>
        <w:spacing w:after="120"/>
        <w:ind w:left="792"/>
        <w:contextualSpacing w:val="0"/>
      </w:pPr>
      <w:r w:rsidRPr="00356920">
        <w:t>The</w:t>
      </w:r>
      <w:r w:rsidR="004D5B78" w:rsidRPr="00356920">
        <w:t xml:space="preserve"> character </w:t>
      </w:r>
      <w:r>
        <w:t xml:space="preserve">of the items is attributed along with the </w:t>
      </w:r>
      <w:r w:rsidR="00C00896" w:rsidRPr="00356920">
        <w:t>share of the items</w:t>
      </w:r>
      <w:r w:rsidR="002D5074" w:rsidRPr="00356920">
        <w:t xml:space="preserve"> </w:t>
      </w:r>
      <w:r w:rsidR="00C00896" w:rsidRPr="00356920">
        <w:t xml:space="preserve">to </w:t>
      </w:r>
      <w:r>
        <w:t xml:space="preserve">the </w:t>
      </w:r>
      <w:r w:rsidR="004D5B78" w:rsidRPr="00356920">
        <w:t>direct and indirect</w:t>
      </w:r>
      <w:r w:rsidR="00830639" w:rsidRPr="00356920">
        <w:rPr>
          <w:rStyle w:val="FootnoteReference"/>
        </w:rPr>
        <w:footnoteReference w:id="30"/>
      </w:r>
      <w:r w:rsidR="004D5B78" w:rsidRPr="00356920">
        <w:t xml:space="preserve"> partners</w:t>
      </w:r>
      <w:r w:rsidR="00C00896" w:rsidRPr="00356920">
        <w:t>.</w:t>
      </w:r>
      <w:r w:rsidR="002A1DB5" w:rsidRPr="00356920">
        <w:t xml:space="preserve"> </w:t>
      </w:r>
      <w:r w:rsidR="005D608E">
        <w:t xml:space="preserve">IRC §§ 702 and 704. </w:t>
      </w:r>
    </w:p>
    <w:p w14:paraId="578AFF74" w14:textId="799C1DDA" w:rsidR="002D5074" w:rsidRPr="00356920" w:rsidRDefault="004D5B78" w:rsidP="00366E17">
      <w:pPr>
        <w:pStyle w:val="ListParagraph"/>
        <w:numPr>
          <w:ilvl w:val="0"/>
          <w:numId w:val="4"/>
        </w:numPr>
        <w:spacing w:after="120"/>
        <w:ind w:left="792"/>
        <w:contextualSpacing w:val="0"/>
      </w:pPr>
      <w:r w:rsidRPr="00356920">
        <w:lastRenderedPageBreak/>
        <w:t>Partners report their share of items</w:t>
      </w:r>
      <w:r w:rsidR="00356920">
        <w:t>,</w:t>
      </w:r>
      <w:r w:rsidRPr="00356920">
        <w:t xml:space="preserve"> </w:t>
      </w:r>
      <w:r w:rsidR="00356920">
        <w:t>treating them consistently with the character as determined by the partnership,</w:t>
      </w:r>
      <w:r w:rsidRPr="00356920">
        <w:t xml:space="preserve"> when calculating their own tax.</w:t>
      </w:r>
      <w:r w:rsidR="00CD5DFD">
        <w:rPr>
          <w:rStyle w:val="FootnoteReference"/>
        </w:rPr>
        <w:footnoteReference w:id="31"/>
      </w:r>
    </w:p>
    <w:p w14:paraId="1C19FB07" w14:textId="46F641F7" w:rsidR="00786964" w:rsidRDefault="00786964" w:rsidP="00786964">
      <w:pPr>
        <w:pStyle w:val="Heading3"/>
      </w:pPr>
      <w:bookmarkStart w:id="58" w:name="_Toc198480740"/>
      <w:r>
        <w:t>Federal Recognition of the Attribution Principle</w:t>
      </w:r>
      <w:bookmarkEnd w:id="58"/>
    </w:p>
    <w:p w14:paraId="6A01C693" w14:textId="4E7ADF36" w:rsidR="00786964" w:rsidRDefault="00356920" w:rsidP="00786964">
      <w:r>
        <w:t>In 2024</w:t>
      </w:r>
      <w:r w:rsidR="00D2110A">
        <w:t>,</w:t>
      </w:r>
      <w:r w:rsidR="00786964">
        <w:t xml:space="preserve"> the U.S. Supreme Court handed down </w:t>
      </w:r>
      <w:r>
        <w:t>its</w:t>
      </w:r>
      <w:r w:rsidR="00786964">
        <w:t xml:space="preserve"> decision </w:t>
      </w:r>
      <w:r>
        <w:t>in</w:t>
      </w:r>
      <w:r w:rsidR="0060515E">
        <w:t xml:space="preserve"> </w:t>
      </w:r>
      <w:r w:rsidR="0060515E">
        <w:rPr>
          <w:i/>
          <w:iCs/>
        </w:rPr>
        <w:t>Moore v. United States</w:t>
      </w:r>
      <w:r w:rsidR="0060515E">
        <w:t>,</w:t>
      </w:r>
      <w:r w:rsidR="0060515E">
        <w:rPr>
          <w:rStyle w:val="FootnoteReference"/>
        </w:rPr>
        <w:footnoteReference w:id="32"/>
      </w:r>
      <w:r>
        <w:t xml:space="preserve"> </w:t>
      </w:r>
      <w:r w:rsidR="00786964">
        <w:t xml:space="preserve">which discussed the attribution principle </w:t>
      </w:r>
      <w:r w:rsidR="0060515E">
        <w:t>at length</w:t>
      </w:r>
      <w:r w:rsidR="0015639A">
        <w:t>, acknowledging that it had long been applied to partnership</w:t>
      </w:r>
      <w:r w:rsidR="0038056F">
        <w:t xml:space="preserve"> taxation</w:t>
      </w:r>
      <w:r w:rsidR="0060515E">
        <w:t>.</w:t>
      </w:r>
      <w:r w:rsidR="0038056F">
        <w:t xml:space="preserve"> </w:t>
      </w:r>
      <w:r w:rsidR="0047408D">
        <w:t xml:space="preserve">The Moores argued that they could not be taxed on income of a foreign corporation in which they were minority shareholders because the income had not actually been distributed to them, thus violating the Sixteenth Amendment limiting Congress’s taxing authority. </w:t>
      </w:r>
      <w:r w:rsidR="008C0089">
        <w:t xml:space="preserve">The Court rejected the argument </w:t>
      </w:r>
      <w:r w:rsidR="0047408D">
        <w:t xml:space="preserve">along with the </w:t>
      </w:r>
      <w:r w:rsidR="0023143B">
        <w:t xml:space="preserve">Moores’ attempt to distinguish the taxation of partnerships on the basis that partnerships are </w:t>
      </w:r>
      <w:r w:rsidR="002E286A">
        <w:t>aggregate</w:t>
      </w:r>
      <w:r w:rsidR="0023143B">
        <w:t>s</w:t>
      </w:r>
      <w:r w:rsidR="002E286A">
        <w:t xml:space="preserve"> </w:t>
      </w:r>
      <w:r w:rsidR="0023143B">
        <w:t>rather than entities</w:t>
      </w:r>
      <w:r w:rsidR="002E286A">
        <w:t>—</w:t>
      </w:r>
      <w:r w:rsidR="00EA14D7">
        <w:t xml:space="preserve">noting that this was not entirely true even for traditional partnerships. </w:t>
      </w:r>
      <w:r w:rsidR="008C0089">
        <w:t xml:space="preserve"> </w:t>
      </w:r>
      <w:r w:rsidR="0060515E">
        <w:t xml:space="preserve"> </w:t>
      </w:r>
    </w:p>
    <w:p w14:paraId="1E96E19E" w14:textId="7006BE52" w:rsidR="000D2E27" w:rsidRDefault="000D2E27" w:rsidP="000D2E27">
      <w:r>
        <w:t xml:space="preserve">In </w:t>
      </w:r>
      <w:r w:rsidRPr="0047408D">
        <w:rPr>
          <w:i/>
          <w:iCs/>
        </w:rPr>
        <w:t>Moore</w:t>
      </w:r>
      <w:r>
        <w:t>, the Court noted that long-standing precedent has established that regardless of how general state law might treat partnerships, lawmakers could choose how to tax the income of such “joint enterprises,” either at the entity level or at the level of the owners.</w:t>
      </w:r>
      <w:r>
        <w:rPr>
          <w:rStyle w:val="FootnoteReference"/>
        </w:rPr>
        <w:footnoteReference w:id="33"/>
      </w:r>
      <w:r>
        <w:t xml:space="preserve"> (It also found the same principle applied to corporations.) The Court also noted that states have, in the past, imposed taxes directly on partnership entit</w:t>
      </w:r>
      <w:r w:rsidR="0047408D">
        <w:t>ies</w:t>
      </w:r>
      <w:r>
        <w:t>.</w:t>
      </w:r>
      <w:r w:rsidR="00117E57">
        <w:rPr>
          <w:rStyle w:val="FootnoteReference"/>
        </w:rPr>
        <w:footnoteReference w:id="34"/>
      </w:r>
      <w:r>
        <w:t xml:space="preserve"> </w:t>
      </w:r>
    </w:p>
    <w:p w14:paraId="389E0F83" w14:textId="487B234A" w:rsidR="00117E57" w:rsidRDefault="0047408D" w:rsidP="00117E57">
      <w:r>
        <w:t xml:space="preserve">While </w:t>
      </w:r>
      <w:r w:rsidRPr="0047408D">
        <w:rPr>
          <w:i/>
          <w:iCs/>
        </w:rPr>
        <w:t>M</w:t>
      </w:r>
      <w:r w:rsidR="00117E57" w:rsidRPr="0047408D">
        <w:rPr>
          <w:i/>
          <w:iCs/>
        </w:rPr>
        <w:t>o</w:t>
      </w:r>
      <w:r w:rsidRPr="0047408D">
        <w:rPr>
          <w:i/>
          <w:iCs/>
        </w:rPr>
        <w:t>ore</w:t>
      </w:r>
      <w:r w:rsidR="00117E57" w:rsidRPr="0047408D">
        <w:rPr>
          <w:i/>
          <w:iCs/>
        </w:rPr>
        <w:t xml:space="preserve"> </w:t>
      </w:r>
      <w:r>
        <w:t xml:space="preserve">is a case concerned primarily with the Sixteenth Amendment, which does not apply to the states, it also touched on due process, saying: “To </w:t>
      </w:r>
      <w:r w:rsidR="00117E57">
        <w:t>be clear, as we indicated earlier, the Due Process Clause proscribes arbitrary attribution</w:t>
      </w:r>
      <w:r>
        <w:t>,” citing footnote 4 where it noted: “</w:t>
      </w:r>
      <w:r w:rsidRPr="0047408D">
        <w:t>The Government acknowledges that there are due process limits on attribution to ensure that the attribution is not arbitrary—for example, limits based on the taxpayer’s relationship to the underlying income</w:t>
      </w:r>
      <w:r>
        <w:t xml:space="preserve">” and also noting that the </w:t>
      </w:r>
      <w:r w:rsidRPr="0047408D">
        <w:t>Moores h</w:t>
      </w:r>
      <w:r>
        <w:t>ad</w:t>
      </w:r>
      <w:r w:rsidRPr="0047408D">
        <w:t xml:space="preserve"> not raised </w:t>
      </w:r>
      <w:r>
        <w:t>such an arbitrary attribution issue in the case.</w:t>
      </w:r>
      <w:r>
        <w:rPr>
          <w:rStyle w:val="FootnoteReference"/>
        </w:rPr>
        <w:footnoteReference w:id="35"/>
      </w:r>
      <w:r>
        <w:t xml:space="preserve"> </w:t>
      </w:r>
    </w:p>
    <w:p w14:paraId="5BF0F5EB" w14:textId="48A1EDBD" w:rsidR="0023143B" w:rsidRDefault="0023143B" w:rsidP="0023143B">
      <w:r>
        <w:t xml:space="preserve">The </w:t>
      </w:r>
      <w:r>
        <w:rPr>
          <w:i/>
          <w:iCs/>
        </w:rPr>
        <w:t xml:space="preserve">Moore </w:t>
      </w:r>
      <w:r>
        <w:t>case came about, as the Court noted, “as part of the complicated transition</w:t>
      </w:r>
      <w:r w:rsidR="00A76A03">
        <w:t xml:space="preserve"> [of the federal government]</w:t>
      </w:r>
      <w:r>
        <w:t xml:space="preserve"> to a more territorial system.” So, it can be argued, what was attributed to the Moores was not just the income but the character and source of the income as determined under the substantive rules set out in IRC §§ 965(a), (c), (d).</w:t>
      </w:r>
      <w:r>
        <w:rPr>
          <w:rStyle w:val="FootnoteReference"/>
        </w:rPr>
        <w:footnoteReference w:id="36"/>
      </w:r>
    </w:p>
    <w:p w14:paraId="00395FB5" w14:textId="761F53BB" w:rsidR="008E7017" w:rsidRDefault="0001542B" w:rsidP="002A47FE">
      <w:pPr>
        <w:pStyle w:val="Heading3"/>
      </w:pPr>
      <w:bookmarkStart w:id="59" w:name="_Toc198480741"/>
      <w:r>
        <w:t xml:space="preserve">Attribution </w:t>
      </w:r>
      <w:r w:rsidR="0006371D">
        <w:t>of an Item’s Domestic or Foreign Source</w:t>
      </w:r>
      <w:bookmarkEnd w:id="59"/>
    </w:p>
    <w:p w14:paraId="25BD3530" w14:textId="3D06FED8" w:rsidR="00A76A03" w:rsidRDefault="00A76A03" w:rsidP="007C7984">
      <w:r>
        <w:t xml:space="preserve">Federal sourcing rules have long depended on the </w:t>
      </w:r>
      <w:r w:rsidR="007C7984">
        <w:t>characterization of</w:t>
      </w:r>
      <w:r>
        <w:t xml:space="preserve"> items of income. When the items are earned or incurred by a partnership, that character is determined at the </w:t>
      </w:r>
      <w:r w:rsidR="007C7984">
        <w:t xml:space="preserve">partnership level under IRC § 703 and </w:t>
      </w:r>
      <w:r>
        <w:t xml:space="preserve">the </w:t>
      </w:r>
      <w:r w:rsidR="007C7984">
        <w:t xml:space="preserve">attribution of that tax character to partners under IRC § 702(b) </w:t>
      </w:r>
      <w:r w:rsidR="0023143B">
        <w:t xml:space="preserve">has long been part of </w:t>
      </w:r>
      <w:r>
        <w:t xml:space="preserve">what </w:t>
      </w:r>
      <w:r w:rsidR="007C7984">
        <w:t xml:space="preserve">determines how federal sourcing rules </w:t>
      </w:r>
      <w:r w:rsidR="009208EA">
        <w:t xml:space="preserve">are generally </w:t>
      </w:r>
      <w:r w:rsidR="007C7984">
        <w:t>applied to t</w:t>
      </w:r>
      <w:r w:rsidR="002D5074">
        <w:t>hose items</w:t>
      </w:r>
      <w:r w:rsidR="007C7984">
        <w:t xml:space="preserve">. This </w:t>
      </w:r>
      <w:r w:rsidR="002D5074">
        <w:t xml:space="preserve">application of the </w:t>
      </w:r>
      <w:r w:rsidR="007C7984">
        <w:t xml:space="preserve">attribution </w:t>
      </w:r>
      <w:r w:rsidR="002D5074">
        <w:t xml:space="preserve">principle </w:t>
      </w:r>
      <w:r w:rsidR="007C7984">
        <w:t xml:space="preserve">is also made explicit in the federal sourcing rules themselves. </w:t>
      </w:r>
    </w:p>
    <w:p w14:paraId="206DA01D" w14:textId="561604A6" w:rsidR="007C7984" w:rsidRDefault="007C7984" w:rsidP="007C7984">
      <w:r>
        <w:t>For example, IRC § 875 provides that: “</w:t>
      </w:r>
      <w:r w:rsidRPr="007C7984">
        <w:t>a nonresident alien individual or foreign corporation shall be considered as being engaged in a trade or business within the United States if the partnership of which such individual or corporation is a member is so engaged</w:t>
      </w:r>
      <w:r>
        <w:t>.”</w:t>
      </w:r>
      <w:r w:rsidRPr="007C7984">
        <w:t xml:space="preserve"> </w:t>
      </w:r>
      <w:r w:rsidR="00EF3B25">
        <w:t xml:space="preserve">In addition, </w:t>
      </w:r>
      <w:r w:rsidR="00A76A03">
        <w:t xml:space="preserve">the provisions of </w:t>
      </w:r>
      <w:r>
        <w:t xml:space="preserve"> </w:t>
      </w:r>
      <w:r w:rsidR="00EF3B25">
        <w:br/>
      </w:r>
      <w:r>
        <w:t>IRC §</w:t>
      </w:r>
      <w:r w:rsidR="004332D8">
        <w:t>§</w:t>
      </w:r>
      <w:r>
        <w:t xml:space="preserve"> 897(c)(4)(B)</w:t>
      </w:r>
      <w:r w:rsidR="004332D8">
        <w:t xml:space="preserve"> and 958(a)(2)</w:t>
      </w:r>
      <w:r>
        <w:t xml:space="preserve"> make clear that </w:t>
      </w:r>
      <w:r w:rsidR="002D5074">
        <w:t xml:space="preserve">the federal rules for </w:t>
      </w:r>
      <w:r>
        <w:t xml:space="preserve">sourcing gains or losses from sale of real property </w:t>
      </w:r>
      <w:r w:rsidR="004332D8">
        <w:t>or stock</w:t>
      </w:r>
      <w:r w:rsidR="002D5074">
        <w:t xml:space="preserve"> treat </w:t>
      </w:r>
      <w:r>
        <w:t xml:space="preserve">assets held by </w:t>
      </w:r>
      <w:r w:rsidR="002D5074">
        <w:t>a</w:t>
      </w:r>
      <w:r>
        <w:t xml:space="preserve"> partnership as held proportionately by its partners.</w:t>
      </w:r>
      <w:r w:rsidR="004332D8">
        <w:t xml:space="preserve"> </w:t>
      </w:r>
    </w:p>
    <w:p w14:paraId="22F65CB8" w14:textId="558C6BE3" w:rsidR="008F09C8" w:rsidRDefault="00647AA1" w:rsidP="008F09C8">
      <w:pPr>
        <w:pStyle w:val="Heading3"/>
      </w:pPr>
      <w:bookmarkStart w:id="60" w:name="_Toc198480742"/>
      <w:r>
        <w:lastRenderedPageBreak/>
        <w:t>Attribution</w:t>
      </w:r>
      <w:r w:rsidR="00A76A03">
        <w:t xml:space="preserve"> Principle</w:t>
      </w:r>
      <w:r>
        <w:t xml:space="preserve"> in the State Tax Context</w:t>
      </w:r>
      <w:bookmarkEnd w:id="60"/>
    </w:p>
    <w:p w14:paraId="5CB536AD" w14:textId="1A621158" w:rsidR="002D5074" w:rsidRDefault="002D5074" w:rsidP="002D5074">
      <w:r>
        <w:t xml:space="preserve">To the extent that states conform to the federal IRC and to Subchapter K when imposing tax on partnership income, the attribution principle will </w:t>
      </w:r>
      <w:r w:rsidR="00A65A7A">
        <w:t xml:space="preserve">also </w:t>
      </w:r>
      <w:r>
        <w:t xml:space="preserve">apply. </w:t>
      </w:r>
      <w:r w:rsidR="00DA61A8">
        <w:t>(See further discussion of state conformity in subsection I.</w:t>
      </w:r>
      <w:r w:rsidR="00ED4419">
        <w:t>D. above.</w:t>
      </w:r>
      <w:r w:rsidR="00D2110A">
        <w:t>)</w:t>
      </w:r>
      <w:r w:rsidR="00DA61A8">
        <w:t xml:space="preserve"> </w:t>
      </w:r>
      <w:r w:rsidR="00714728">
        <w:t xml:space="preserve">However, </w:t>
      </w:r>
      <w:r w:rsidR="00A65A7A">
        <w:t xml:space="preserve">as with anti-abuse rules, discussed above, it can be difficult to </w:t>
      </w:r>
      <w:r w:rsidR="00714728">
        <w:t>determin</w:t>
      </w:r>
      <w:r w:rsidR="00A65A7A">
        <w:t>e</w:t>
      </w:r>
      <w:r w:rsidR="00714728">
        <w:t xml:space="preserve"> </w:t>
      </w:r>
      <w:r w:rsidR="00A65A7A">
        <w:t>how the attribution principle applies when the question is the state tax character of items</w:t>
      </w:r>
      <w:r w:rsidR="00C863F9">
        <w:t>.</w:t>
      </w:r>
    </w:p>
    <w:p w14:paraId="07CA326F" w14:textId="2D4898A8" w:rsidR="00A22589" w:rsidRDefault="006F433F" w:rsidP="006F433F">
      <w:pPr>
        <w:pStyle w:val="Heading4"/>
        <w:ind w:left="720"/>
      </w:pPr>
      <w:r>
        <w:t xml:space="preserve">The attribution principle may apply </w:t>
      </w:r>
      <w:r w:rsidR="0008399F">
        <w:t xml:space="preserve">generally </w:t>
      </w:r>
      <w:r>
        <w:t xml:space="preserve">in the state tax context. </w:t>
      </w:r>
    </w:p>
    <w:p w14:paraId="0F61DBA6" w14:textId="59EC20B8" w:rsidR="009B5FFB" w:rsidRDefault="006F433F" w:rsidP="008A745C">
      <w:pPr>
        <w:ind w:left="720"/>
      </w:pPr>
      <w:r>
        <w:t xml:space="preserve">An example of applying the attribution principle in </w:t>
      </w:r>
      <w:r w:rsidR="00FA77B8">
        <w:t xml:space="preserve">a strictly </w:t>
      </w:r>
      <w:r>
        <w:t>state tax context is the</w:t>
      </w:r>
      <w:r w:rsidR="00B70168">
        <w:t xml:space="preserve"> </w:t>
      </w:r>
      <w:r w:rsidR="00FA77B8">
        <w:t xml:space="preserve">decision of the </w:t>
      </w:r>
      <w:r w:rsidR="00B70168">
        <w:t>Connecticut Supreme Court</w:t>
      </w:r>
      <w:r>
        <w:t xml:space="preserve"> in</w:t>
      </w:r>
      <w:r w:rsidR="00B70168">
        <w:t xml:space="preserve"> </w:t>
      </w:r>
      <w:r w:rsidR="00FA77B8" w:rsidRPr="00FA77B8">
        <w:rPr>
          <w:i/>
          <w:iCs/>
        </w:rPr>
        <w:t>Bell Atl. NYNEX Mobile, Inc.</w:t>
      </w:r>
      <w:r w:rsidR="00FA77B8">
        <w:rPr>
          <w:i/>
          <w:iCs/>
        </w:rPr>
        <w:t xml:space="preserve"> v.</w:t>
      </w:r>
      <w:r w:rsidR="00FA77B8" w:rsidRPr="00FA77B8">
        <w:rPr>
          <w:i/>
          <w:iCs/>
        </w:rPr>
        <w:t xml:space="preserve"> Comm'r of Revenue Servs., </w:t>
      </w:r>
      <w:r w:rsidR="00FA77B8" w:rsidRPr="00FA77B8">
        <w:t>273 Conn. 240, 869 A.2d 611 (2005)</w:t>
      </w:r>
      <w:r w:rsidR="00FA77B8">
        <w:t xml:space="preserve">, where the court </w:t>
      </w:r>
      <w:r w:rsidR="00B70168">
        <w:t xml:space="preserve">grappled with the question of attribution in a case involving a state tax credit </w:t>
      </w:r>
      <w:r w:rsidR="00FA77B8">
        <w:t xml:space="preserve">for municipal taxes </w:t>
      </w:r>
      <w:r w:rsidR="00B70168">
        <w:t xml:space="preserve">and whether that tax credit could be attributed to the corporate partners. There, </w:t>
      </w:r>
      <w:r w:rsidR="009B5FFB">
        <w:t xml:space="preserve">the </w:t>
      </w:r>
      <w:r w:rsidR="00FA77B8">
        <w:t>court</w:t>
      </w:r>
      <w:r w:rsidR="009B5FFB">
        <w:t xml:space="preserve"> explained: </w:t>
      </w:r>
    </w:p>
    <w:p w14:paraId="5F9EFA05" w14:textId="004C23AC" w:rsidR="009B5FFB" w:rsidRDefault="00D923F4" w:rsidP="0008399F">
      <w:pPr>
        <w:spacing w:after="80"/>
        <w:ind w:left="1296" w:right="720"/>
      </w:pPr>
      <w:r>
        <w:t xml:space="preserve">Although we disagree that our precedents denote the general incorporation of federal tax principles into our state tax statutes, we conclude that the corporation business tax does incorporate the federal conduit treatment of partnership tax attributes through the adoption of the federal income tax definition of </w:t>
      </w:r>
      <w:r w:rsidR="005160F3">
        <w:t>‘</w:t>
      </w:r>
      <w:r>
        <w:t>gross income.</w:t>
      </w:r>
      <w:r w:rsidR="005160F3">
        <w:t>’</w:t>
      </w:r>
    </w:p>
    <w:p w14:paraId="1C31CBA0" w14:textId="1A7FD77B" w:rsidR="008B3546" w:rsidRDefault="008B3546" w:rsidP="0008399F">
      <w:pPr>
        <w:spacing w:after="80"/>
        <w:ind w:left="1296" w:right="720"/>
      </w:pPr>
      <w:r>
        <w:t>. . .</w:t>
      </w:r>
    </w:p>
    <w:p w14:paraId="1A2FF81B" w14:textId="678B6051" w:rsidR="009B5FFB" w:rsidRDefault="00B70168" w:rsidP="0008399F">
      <w:pPr>
        <w:spacing w:after="80"/>
        <w:ind w:left="1296" w:right="720"/>
      </w:pPr>
      <w:r>
        <w:t>“</w:t>
      </w:r>
      <w:r w:rsidR="00D923F4">
        <w:t xml:space="preserve">That concept of </w:t>
      </w:r>
      <w:r>
        <w:t>‘</w:t>
      </w:r>
      <w:r w:rsidR="00D923F4">
        <w:t>gross income,</w:t>
      </w:r>
      <w:r>
        <w:t>’</w:t>
      </w:r>
      <w:r w:rsidR="00D923F4">
        <w:t xml:space="preserve"> in turn, incorporates the conduit treatment of partnership tax attributes. In the Internal Revenue Code, </w:t>
      </w:r>
      <w:r>
        <w:t>‘</w:t>
      </w:r>
      <w:r w:rsidR="00D923F4">
        <w:t>gross income</w:t>
      </w:r>
      <w:r>
        <w:t>’</w:t>
      </w:r>
      <w:r w:rsidR="00D923F4">
        <w:t xml:space="preserve"> includes income derived from a </w:t>
      </w:r>
      <w:r>
        <w:t>‘</w:t>
      </w:r>
      <w:r w:rsidR="00D923F4">
        <w:t>[d]istributive share of partnership gross income. . . .</w:t>
      </w:r>
      <w:r>
        <w:t>’</w:t>
      </w:r>
      <w:r w:rsidR="00D923F4">
        <w:t xml:space="preserve"> 26 U.S.C. 61 (a) (13). Section 702 (c) of the Internal Revenue Code further specifies that </w:t>
      </w:r>
      <w:r>
        <w:t>‘</w:t>
      </w:r>
      <w:r w:rsidR="00D923F4">
        <w:t>[i]n any case where it is necessary to determine the gross income of a partner for purposes of this title, such amount shall include his distributive share of the gross income of the partnership.</w:t>
      </w:r>
      <w:r>
        <w:t>’</w:t>
      </w:r>
      <w:r w:rsidR="00D923F4">
        <w:t xml:space="preserve"> 26 U.S.C. 702 (c). Consequently, in a partnership situation, the character of those items constituting a partner's distributive share of the partnership</w:t>
      </w:r>
      <w:r w:rsidR="00A65A7A">
        <w:t>’</w:t>
      </w:r>
      <w:r w:rsidR="00D923F4">
        <w:t>s gross income provides essential context to the concept of a partner</w:t>
      </w:r>
      <w:r w:rsidR="00A65A7A">
        <w:t>’</w:t>
      </w:r>
      <w:r w:rsidR="00D923F4">
        <w:t xml:space="preserve">s gross income. Section 702 (b) of the Internal Revenue Code provides that "[t]he character of any item of income, gain, loss, deduction, or credit included in a partner's distributive share . . . shall be determined as if such item were realized directly from the source from which realized by the partnership, or incurred in the same manner as incurred by the partnership." 26 U.S.C. 702 (b). This provision results in the conduit treatment of partnership tax attributes in the federal tax code. </w:t>
      </w:r>
      <w:r>
        <w:t>. . .</w:t>
      </w:r>
      <w:r w:rsidR="00D923F4">
        <w:t>Thus, the incorporation of the federal conduit treatment of partnership tax attributes necessarily follows from the conclusion that the</w:t>
      </w:r>
      <w:r w:rsidR="00FA77B8">
        <w:t xml:space="preserve"> [state]</w:t>
      </w:r>
      <w:r w:rsidR="00D923F4">
        <w:t xml:space="preserve"> corporation business tax incorporates the federal income tax concept of </w:t>
      </w:r>
      <w:r>
        <w:t>‘</w:t>
      </w:r>
      <w:r w:rsidR="00D923F4">
        <w:t>gross income.</w:t>
      </w:r>
      <w:r>
        <w:t>’</w:t>
      </w:r>
    </w:p>
    <w:p w14:paraId="3F2F473F" w14:textId="3CAA2D6A" w:rsidR="00D923F4" w:rsidRDefault="00D923F4" w:rsidP="0008399F">
      <w:pPr>
        <w:spacing w:after="80"/>
        <w:ind w:left="1296" w:right="720"/>
      </w:pPr>
      <w:r>
        <w:t xml:space="preserve">This treatment of partnership tax attributes agrees not only with the federal approach but with the approach of most other states. </w:t>
      </w:r>
      <w:r w:rsidR="005160F3">
        <w:t>. . .</w:t>
      </w:r>
      <w:r>
        <w:t xml:space="preserve"> II J. Hellerstein &amp; W. Hellerstein, State Taxation (3d Ed. 2003) 20.08, p. 20-134.</w:t>
      </w:r>
    </w:p>
    <w:p w14:paraId="7DF24FEE" w14:textId="679D05C3" w:rsidR="005160F3" w:rsidRDefault="005160F3" w:rsidP="008A745C">
      <w:pPr>
        <w:ind w:left="1296" w:right="720"/>
      </w:pPr>
      <w:r w:rsidRPr="005160F3">
        <w:t xml:space="preserve">Establishing that corporation business tax attributes pass through the partnership to the partners with the same character that they had at the partnership level, however, does not suffice to establish that </w:t>
      </w:r>
      <w:r>
        <w:t>[the partnership’s]</w:t>
      </w:r>
      <w:r w:rsidRPr="005160F3">
        <w:t xml:space="preserve"> payment of the municipal property tax resulted in a credit that can be attributed to the partners. Under the conduit approach, "the character of [the tax attribute] is determined at the entity or partnership level before the item is passed through to the partners." </w:t>
      </w:r>
      <w:r>
        <w:t>. . .</w:t>
      </w:r>
      <w:r w:rsidRPr="005160F3">
        <w:t xml:space="preserve"> In the present case, </w:t>
      </w:r>
      <w:r>
        <w:t>[the partnership’s]</w:t>
      </w:r>
      <w:r w:rsidRPr="005160F3">
        <w:t xml:space="preserve"> payment of the municipal property tax was just that, a payment, not a tax credit. Not every action taken by the partnership passes through to the partners as if they performed the act. </w:t>
      </w:r>
      <w:r>
        <w:t>“</w:t>
      </w:r>
    </w:p>
    <w:p w14:paraId="7667C076" w14:textId="54C52736" w:rsidR="00FA77B8" w:rsidRDefault="00FA77B8" w:rsidP="00FA77B8">
      <w:pPr>
        <w:ind w:left="720" w:right="720"/>
      </w:pPr>
      <w:r>
        <w:t xml:space="preserve">What this case demonstrates is that while the character of items may be attributed from the partnership to the partners, whether or not the partners therefore qualify for certain state tax treatment will also depend on the </w:t>
      </w:r>
      <w:r w:rsidR="0008399F">
        <w:t xml:space="preserve">specific </w:t>
      </w:r>
      <w:r>
        <w:t xml:space="preserve">treatment in question.  </w:t>
      </w:r>
    </w:p>
    <w:p w14:paraId="0D95567B" w14:textId="1B1F9D07" w:rsidR="00FA28D4" w:rsidRDefault="00921CC6" w:rsidP="00FA28D4">
      <w:pPr>
        <w:pStyle w:val="Heading4"/>
        <w:ind w:left="720"/>
      </w:pPr>
      <w:r>
        <w:lastRenderedPageBreak/>
        <w:t>Interaction of the attribution principle and the unitary business principle</w:t>
      </w:r>
      <w:r w:rsidR="00FA77B8">
        <w:t>.</w:t>
      </w:r>
    </w:p>
    <w:p w14:paraId="1CF6022B" w14:textId="13916638" w:rsidR="00921CC6" w:rsidRDefault="00BF388E" w:rsidP="005160F3">
      <w:pPr>
        <w:ind w:left="720"/>
      </w:pPr>
      <w:r>
        <w:t xml:space="preserve">In the context of sourcing multistate income, states have long looked to the unitary business principle as setting limits on when income can be included in </w:t>
      </w:r>
      <w:r w:rsidR="00956D47">
        <w:t xml:space="preserve">the </w:t>
      </w:r>
      <w:r>
        <w:t>apportionable income</w:t>
      </w:r>
      <w:r w:rsidR="00956D47">
        <w:t xml:space="preserve"> that will be apportioned using the taxpayer’s apportionment factors</w:t>
      </w:r>
      <w:r>
        <w:t xml:space="preserve">. Cases raising the attribution principle in the context of state sourcing are far less common. </w:t>
      </w:r>
      <w:r w:rsidR="00921CC6">
        <w:t xml:space="preserve">Two cases </w:t>
      </w:r>
      <w:r>
        <w:t xml:space="preserve">summarized below demonstrate how states may </w:t>
      </w:r>
      <w:r w:rsidR="00921CC6">
        <w:t xml:space="preserve">grapple with the interaction between the attribution principle and the unitary business principle. </w:t>
      </w:r>
    </w:p>
    <w:p w14:paraId="52D88EDF" w14:textId="5561A39E" w:rsidR="00BF388E" w:rsidRDefault="00BF388E" w:rsidP="00BF388E">
      <w:pPr>
        <w:pStyle w:val="Heading5"/>
        <w:ind w:left="720"/>
      </w:pPr>
      <w:r>
        <w:t xml:space="preserve">Albertson’s </w:t>
      </w:r>
    </w:p>
    <w:p w14:paraId="13CD047F" w14:textId="1983080D" w:rsidR="00D923F4" w:rsidRDefault="005160F3" w:rsidP="005160F3">
      <w:pPr>
        <w:ind w:left="720"/>
      </w:pPr>
      <w:r>
        <w:t xml:space="preserve">In </w:t>
      </w:r>
      <w:r w:rsidR="00E6410A" w:rsidRPr="00E6410A">
        <w:rPr>
          <w:i/>
          <w:iCs/>
        </w:rPr>
        <w:t>Albertson's, Inc. v. State, Dept. of Revenue</w:t>
      </w:r>
      <w:r w:rsidR="00E6410A" w:rsidRPr="00E6410A">
        <w:t>, 683 P.2d 846, 854 (Idaho 1984)</w:t>
      </w:r>
      <w:r w:rsidR="00E6410A">
        <w:t xml:space="preserve">, </w:t>
      </w:r>
      <w:r>
        <w:t xml:space="preserve">the Idaho Supreme Court addressed the difference between the conduit principle and the unitary business principle in a case </w:t>
      </w:r>
      <w:r w:rsidR="00E6410A">
        <w:t xml:space="preserve">where the taxpayer argued partnership income could not be included in the taxpayer’s </w:t>
      </w:r>
      <w:r w:rsidR="00786964">
        <w:t xml:space="preserve">combined </w:t>
      </w:r>
      <w:r w:rsidR="00E6410A">
        <w:t>return</w:t>
      </w:r>
      <w:r>
        <w:t xml:space="preserve">. There the court noted: </w:t>
      </w:r>
    </w:p>
    <w:p w14:paraId="23F8EE50" w14:textId="397BB183" w:rsidR="00E6410A" w:rsidRDefault="00D566A8" w:rsidP="0008399F">
      <w:pPr>
        <w:spacing w:after="80"/>
        <w:ind w:left="1296" w:right="720"/>
      </w:pPr>
      <w:r>
        <w:t xml:space="preserve">Accordingly, the trial court erred in its conclusion that "Albertson's, Inc. and Texas-Albertson's should not be considered unitary." Although the opinion of the trial court reflects that it understood and utilized the principles set forth above for ascertaining the existence of a unitary business operation, it reached an inappropriate result by virtue of its attempt to apply those principles as between Albertson's and the Skaggs-Albertson's partnership instead of between Albertson's, Inc. and Texas-Albertson's. </w:t>
      </w:r>
    </w:p>
    <w:p w14:paraId="1957219A" w14:textId="3E56D367" w:rsidR="00E6410A" w:rsidRDefault="00E6410A" w:rsidP="0008399F">
      <w:pPr>
        <w:spacing w:after="80"/>
        <w:ind w:left="1296" w:right="720"/>
      </w:pPr>
      <w:r>
        <w:t xml:space="preserve">. . . </w:t>
      </w:r>
    </w:p>
    <w:p w14:paraId="4D7CE24B" w14:textId="5955AEA7" w:rsidR="00E6410A" w:rsidRDefault="00D566A8" w:rsidP="0008399F">
      <w:pPr>
        <w:spacing w:after="80"/>
        <w:ind w:left="1296" w:right="720"/>
      </w:pPr>
      <w:r>
        <w:t xml:space="preserve">The tax treatment of partnerships is explained in Bittker &amp; Eustice, Federal Income Taxation of Corporations and Shareholders, Section 1.07, p. 1-26 (4th Ed. 1979).  </w:t>
      </w:r>
    </w:p>
    <w:p w14:paraId="1349B2AD" w14:textId="741ACF7D" w:rsidR="00D566A8" w:rsidRDefault="00E6410A" w:rsidP="0008399F">
      <w:pPr>
        <w:spacing w:after="80"/>
        <w:ind w:left="1296" w:right="720"/>
      </w:pPr>
      <w:r>
        <w:t>‘</w:t>
      </w:r>
      <w:r w:rsidR="00D566A8">
        <w:t>Partnerships are not taxed as such (§ 701), but each partner is taxed on his share of the firm's income, whether it is distributed to him or not. Under the prevailing conduit theory, the character of such items as ordinary income, capital gains and losses, charitable contributions, tax exempt interests, etc., carries over to the partner (§ 702).</w:t>
      </w:r>
      <w:r>
        <w:t>’</w:t>
      </w:r>
    </w:p>
    <w:p w14:paraId="0D58599D" w14:textId="471A221F" w:rsidR="00D566A8" w:rsidRDefault="00D566A8" w:rsidP="0008399F">
      <w:pPr>
        <w:spacing w:after="80"/>
        <w:ind w:left="1296" w:right="720"/>
      </w:pPr>
      <w:r>
        <w:t xml:space="preserve">Idaho Code § 63-3002 provides in part:  </w:t>
      </w:r>
    </w:p>
    <w:p w14:paraId="07AD29FC" w14:textId="77777777" w:rsidR="0008399F" w:rsidRDefault="00E6410A" w:rsidP="0008399F">
      <w:pPr>
        <w:spacing w:after="80"/>
        <w:ind w:left="1296" w:right="720"/>
      </w:pPr>
      <w:r>
        <w:t>‘</w:t>
      </w:r>
      <w:r w:rsidR="00D566A8">
        <w:t>Declaration of Intent.--It is the intent of the legislature by the adoption of this act, insofar as possible to make the provisions of the Idaho act identical to the provisions of the Federal Internal Revenue Code relating to the measurement of taxable income, ... by the application of the various provisions of the Federal Internal Revenue Code relating to ... taxation of trusts, estates, partnerships and corporations...</w:t>
      </w:r>
      <w:r>
        <w:t>’</w:t>
      </w:r>
      <w:r w:rsidR="00D566A8">
        <w:t>.</w:t>
      </w:r>
    </w:p>
    <w:p w14:paraId="720F90BC" w14:textId="1C3711A8" w:rsidR="00D566A8" w:rsidRDefault="00D566A8" w:rsidP="0008399F">
      <w:pPr>
        <w:spacing w:after="80"/>
        <w:ind w:left="1296" w:right="720"/>
      </w:pPr>
      <w:r>
        <w:t>The Tax Commission has never attempted to combine the Skaggs-Albertson's partnership with Albertson's, Inc. under the unitary principle. Only the wholly-owned subsidiary corporation was included in the Commission's combination. This is evidenced by the explanation of items contained in the Notice of Deficiency Determination and by the decision of the Tax Commission. The Tax Commission did not combine the partnership with Albertson's and include the partnership's income with Albertson's. The Tax Commission assigned Texas-Albertson's distributive share (50%) of the Partnership's income, deductions, and apportionment factors to Texas-Albertson's and this share of the income belonging to Texas-Albertson's was combined with Albertson's income, and apportioned under the UDITPA formula in order to accurately reflect Albertson's income in Idaho. The result thus reached is exactly what Albertson's would have paid in Idaho taxes had the subsidiary never been formed.</w:t>
      </w:r>
    </w:p>
    <w:p w14:paraId="5A307096" w14:textId="0B30E412" w:rsidR="00D566A8" w:rsidRDefault="00786964" w:rsidP="0008399F">
      <w:pPr>
        <w:spacing w:before="120"/>
        <w:ind w:left="720"/>
      </w:pPr>
      <w:r>
        <w:t xml:space="preserve">Or, to paraphrase the court, attribution is not the same as combination. </w:t>
      </w:r>
      <w:r w:rsidR="0008399F">
        <w:t>And, moreover,</w:t>
      </w:r>
      <w:r>
        <w:t xml:space="preserve"> the unitary business principle does not determine when attribution applies. </w:t>
      </w:r>
    </w:p>
    <w:p w14:paraId="22C634E8" w14:textId="0776564A" w:rsidR="00BF388E" w:rsidRPr="00BF388E" w:rsidRDefault="00BF388E" w:rsidP="00BF388E">
      <w:pPr>
        <w:pStyle w:val="Heading5"/>
        <w:ind w:left="720"/>
      </w:pPr>
      <w:r w:rsidRPr="00BF388E">
        <w:rPr>
          <w:highlight w:val="yellow"/>
        </w:rPr>
        <w:lastRenderedPageBreak/>
        <w:t>FJ Management</w:t>
      </w:r>
    </w:p>
    <w:p w14:paraId="4EBED89E" w14:textId="57B7CBBE" w:rsidR="00A65A7A" w:rsidRDefault="004F46AF" w:rsidP="00A65A7A">
      <w:pPr>
        <w:ind w:left="720"/>
      </w:pPr>
      <w:r>
        <w:t>I</w:t>
      </w:r>
      <w:r w:rsidR="00921CC6">
        <w:t xml:space="preserve">n the more recent case of </w:t>
      </w:r>
      <w:r w:rsidR="00A65A7A" w:rsidRPr="00A65A7A">
        <w:rPr>
          <w:i/>
          <w:iCs/>
        </w:rPr>
        <w:t xml:space="preserve">Virginia Dep’t of Taxation v. FJ </w:t>
      </w:r>
      <w:r w:rsidR="00224DAA">
        <w:rPr>
          <w:i/>
          <w:iCs/>
        </w:rPr>
        <w:t>M</w:t>
      </w:r>
      <w:r w:rsidR="00A65A7A" w:rsidRPr="00A65A7A">
        <w:rPr>
          <w:i/>
          <w:iCs/>
        </w:rPr>
        <w:t>anagement Inc.</w:t>
      </w:r>
      <w:r w:rsidR="00A65A7A">
        <w:t>,</w:t>
      </w:r>
      <w:r w:rsidR="00A65A7A">
        <w:rPr>
          <w:rStyle w:val="FootnoteReference"/>
        </w:rPr>
        <w:footnoteReference w:id="37"/>
      </w:r>
      <w:r w:rsidR="00A65A7A">
        <w:t xml:space="preserve"> </w:t>
      </w:r>
      <w:r w:rsidR="00921CC6">
        <w:t xml:space="preserve">the court reached a different conclusion. There, </w:t>
      </w:r>
      <w:r w:rsidR="00A65A7A">
        <w:t xml:space="preserve">the question was which of two methods of sourcing </w:t>
      </w:r>
      <w:r w:rsidR="00412839">
        <w:t xml:space="preserve">a partner’s </w:t>
      </w:r>
      <w:r w:rsidR="00A65A7A">
        <w:t xml:space="preserve">distributive share income should be applied: (1) allocation at the partner level using rules of assignment for </w:t>
      </w:r>
      <w:r w:rsidR="00412839">
        <w:t xml:space="preserve">non-apportionable income for </w:t>
      </w:r>
      <w:r w:rsidR="00A65A7A">
        <w:t>that state</w:t>
      </w:r>
      <w:r w:rsidR="00412839">
        <w:t>—</w:t>
      </w:r>
      <w:r w:rsidR="00921CC6">
        <w:t>specific assignment</w:t>
      </w:r>
      <w:r w:rsidR="00A65A7A">
        <w:t xml:space="preserve">, or (2) inclusion </w:t>
      </w:r>
      <w:r w:rsidR="00921CC6">
        <w:t xml:space="preserve">in the </w:t>
      </w:r>
      <w:r w:rsidR="00A65A7A">
        <w:t>partner’s own apportionable income along with inclusion of a share of the partnership’s factors in the partner’s apportionment formula</w:t>
      </w:r>
      <w:r w:rsidR="00412839">
        <w:t>—</w:t>
      </w:r>
      <w:r w:rsidR="00A65A7A">
        <w:t xml:space="preserve">blended apportionment. </w:t>
      </w:r>
      <w:r w:rsidR="00412839">
        <w:t xml:space="preserve">(There was no argument that the income might be separately apportioned at the partnership level, attributing that sourcing to the partner along with its distributive share.) </w:t>
      </w:r>
      <w:r w:rsidR="00A65A7A">
        <w:t xml:space="preserve">The Court agreed with the taxpayer that blended apportionment could not be used unless there was a unitary relationship and </w:t>
      </w:r>
      <w:r w:rsidR="00921CC6">
        <w:t xml:space="preserve">rejected the argument that the “business characteristics” </w:t>
      </w:r>
      <w:r w:rsidR="00A65A7A">
        <w:t xml:space="preserve">of the partnership could be attributed to the partner. </w:t>
      </w:r>
    </w:p>
    <w:p w14:paraId="0A8913EC" w14:textId="58A8AFB1" w:rsidR="00A65A7A" w:rsidRDefault="00A65A7A" w:rsidP="00A65A7A">
      <w:pPr>
        <w:ind w:left="720"/>
      </w:pPr>
      <w:r>
        <w:t>The Court looked at the tradition</w:t>
      </w:r>
      <w:r w:rsidR="00921CC6">
        <w:t>al</w:t>
      </w:r>
      <w:r>
        <w:t xml:space="preserve"> elements of the unitary business principle as applied to entities: functional integration, centralized management, and economies of scale. The Court also noted there was no evidence in the record suggesting that the corporate partner used the income it earned from the partnership as part of its own working capital or for any other operational purpose. The Court rejected the argument that the state could treat the partnership and its partner as a unitary business for tax-apportionment purposes simply because the partner took an active role in the partnership. The Court also rejected the argument that the attribution principle embodied in state law was sufficient to support the use of blended apportionment. That law—Code § 58.1-391(B)—provides:</w:t>
      </w:r>
    </w:p>
    <w:p w14:paraId="47CDF523" w14:textId="77777777" w:rsidR="00A65A7A" w:rsidRDefault="00A65A7A" w:rsidP="00A65A7A">
      <w:pPr>
        <w:ind w:left="1440"/>
      </w:pPr>
      <w:r>
        <w:t>Each item of pass-through entity income, gain, loss or deduction shall have the same character for an owner under this chapter as for federal income tax purposes. Where an item is not characterized for federal income tax purposes, it shall have the same character for an owner as if realized directly from the source from which realized by the pass-through entity or incurred in the same manner by the pass-through entity.</w:t>
      </w:r>
    </w:p>
    <w:p w14:paraId="43422697" w14:textId="26C7DA0F" w:rsidR="00A65A7A" w:rsidRDefault="00A65A7A" w:rsidP="00A65A7A">
      <w:pPr>
        <w:ind w:left="720"/>
      </w:pPr>
      <w:r>
        <w:t xml:space="preserve">The court distinguished what it called the character of the items </w:t>
      </w:r>
      <w:r w:rsidR="00921CC6">
        <w:t xml:space="preserve">of partnership income </w:t>
      </w:r>
      <w:r>
        <w:t xml:space="preserve">from the “business characteristics” of the entity itself, concluding that the statute does not require the owners of </w:t>
      </w:r>
      <w:r w:rsidR="00921CC6">
        <w:t>a</w:t>
      </w:r>
      <w:r>
        <w:t xml:space="preserve"> pass-through entity to be treated as conducting the business operations of the pass-through entity as part of a unitary business.</w:t>
      </w:r>
    </w:p>
    <w:p w14:paraId="5BCF57C1" w14:textId="4F346AD6" w:rsidR="00A65A7A" w:rsidRDefault="00412839" w:rsidP="00A65A7A">
      <w:pPr>
        <w:ind w:left="720"/>
      </w:pPr>
      <w:r>
        <w:t>As noted, this case did not address whether the partnership income could be sourced using separate apportionment at the partnership level using only the partnership’s factors, with that sourcing information then attributed to the partner</w:t>
      </w:r>
      <w:r w:rsidR="00A65A7A">
        <w:t xml:space="preserve">. </w:t>
      </w:r>
    </w:p>
    <w:p w14:paraId="5A2CBA15" w14:textId="215E44F4" w:rsidR="0026228E" w:rsidRDefault="0026228E" w:rsidP="0026228E">
      <w:r>
        <w:t xml:space="preserve">The possible application of the unitary business principle to the sourcing of partnership income and the use of blended apportionment is discussed further in this white paper. </w:t>
      </w:r>
    </w:p>
    <w:p w14:paraId="43C2F5E9" w14:textId="738C11F1" w:rsidR="008F09C8" w:rsidRDefault="009B708C" w:rsidP="008F09C8">
      <w:pPr>
        <w:pStyle w:val="Heading3"/>
      </w:pPr>
      <w:bookmarkStart w:id="61" w:name="_Toc198480743"/>
      <w:r w:rsidRPr="00DD6092">
        <w:rPr>
          <w:highlight w:val="yellow"/>
        </w:rPr>
        <w:t xml:space="preserve">Significance of the </w:t>
      </w:r>
      <w:r w:rsidR="008F09C8" w:rsidRPr="00DD6092">
        <w:rPr>
          <w:highlight w:val="yellow"/>
        </w:rPr>
        <w:t>Attribution Principle to</w:t>
      </w:r>
      <w:r w:rsidR="00DD6092" w:rsidRPr="00DD6092">
        <w:rPr>
          <w:highlight w:val="yellow"/>
        </w:rPr>
        <w:t xml:space="preserve"> </w:t>
      </w:r>
      <w:r w:rsidR="008F09C8" w:rsidRPr="00DD6092">
        <w:rPr>
          <w:highlight w:val="yellow"/>
        </w:rPr>
        <w:t>Sourcing of Income</w:t>
      </w:r>
      <w:bookmarkEnd w:id="61"/>
      <w:r w:rsidR="00BF388E">
        <w:t xml:space="preserve"> </w:t>
      </w:r>
    </w:p>
    <w:p w14:paraId="17319BB9" w14:textId="3153247A" w:rsidR="00DD6092" w:rsidRDefault="00DD6092" w:rsidP="00BF388E">
      <w:r>
        <w:t>Sourcing of income is done both under federal tax rules</w:t>
      </w:r>
      <w:r w:rsidR="00412839">
        <w:t xml:space="preserve">, to distinguish domestic and foreign-source income, </w:t>
      </w:r>
      <w:r>
        <w:t>and again under state tax rules</w:t>
      </w:r>
      <w:r w:rsidR="00412839">
        <w:t xml:space="preserve"> when sourcing multistate income</w:t>
      </w:r>
      <w:r>
        <w:t>. The federal and state rules differ somewhat</w:t>
      </w:r>
      <w:r w:rsidR="00C90A4E">
        <w:t>,</w:t>
      </w:r>
      <w:r>
        <w:t xml:space="preserve"> but the character of the items and the activities giving rise to them matter under both sets of rules.</w:t>
      </w:r>
    </w:p>
    <w:p w14:paraId="07ECE3DD" w14:textId="5D9455E8" w:rsidR="00DD6092" w:rsidRDefault="00DD6092" w:rsidP="00DD6092">
      <w:pPr>
        <w:pStyle w:val="Heading4"/>
        <w:ind w:left="720"/>
      </w:pPr>
      <w:r>
        <w:t>Federal Sourcing Rules and Attribution</w:t>
      </w:r>
    </w:p>
    <w:p w14:paraId="42A00ED3" w14:textId="6DF6010B" w:rsidR="00C565F2" w:rsidRDefault="00C565F2" w:rsidP="00DD6092">
      <w:pPr>
        <w:ind w:left="720"/>
      </w:pPr>
      <w:r>
        <w:t xml:space="preserve">The federal sourcing rules differ somewhat depending on whether the taxpayer is a corporation or individual and whether they are considered domestic (U.S.) or foreign. In general, the rules for U.S. individuals (or those taxed as individuals) tend more towards worldwide taxation of income with a credit for foreign taxes paid (assuming the income taxed by the foreign jurisdiction is properly sourced under applicable treaties), whereas the rules for corporations tend </w:t>
      </w:r>
      <w:r>
        <w:lastRenderedPageBreak/>
        <w:t xml:space="preserve">more towards source-based </w:t>
      </w:r>
      <w:r w:rsidR="00C90A4E">
        <w:t xml:space="preserve">(territorial) </w:t>
      </w:r>
      <w:r>
        <w:t>taxation using rules of assignment for items of income. But there is substantial variation.</w:t>
      </w:r>
      <w:r>
        <w:rPr>
          <w:rStyle w:val="FootnoteReference"/>
        </w:rPr>
        <w:footnoteReference w:id="38"/>
      </w:r>
    </w:p>
    <w:p w14:paraId="3EFBBDAA" w14:textId="5D767B54" w:rsidR="007E2995" w:rsidRDefault="00C565F2" w:rsidP="00DD6092">
      <w:pPr>
        <w:ind w:left="720"/>
      </w:pPr>
      <w:r>
        <w:t xml:space="preserve">What is important for purposes of this white paper is that, as with income taxes generally, the ultimate tax result is a combination of the character of the </w:t>
      </w:r>
      <w:r w:rsidR="00412839">
        <w:t xml:space="preserve">activities and the particular item </w:t>
      </w:r>
      <w:r>
        <w:t xml:space="preserve">income or expense </w:t>
      </w:r>
      <w:r w:rsidR="00412839">
        <w:t xml:space="preserve">to which they give rise </w:t>
      </w:r>
      <w:r w:rsidR="007E2995">
        <w:t>as w</w:t>
      </w:r>
      <w:r>
        <w:t xml:space="preserve">ell as the </w:t>
      </w:r>
      <w:r w:rsidR="007E2995">
        <w:t>taxpayer’s own attributes. For purposes of this white paper we will refer to these two categories as:</w:t>
      </w:r>
    </w:p>
    <w:p w14:paraId="05FCA44D" w14:textId="3F575099" w:rsidR="00C565F2" w:rsidRDefault="007E2995" w:rsidP="00366E17">
      <w:pPr>
        <w:pStyle w:val="ListParagraph"/>
        <w:numPr>
          <w:ilvl w:val="0"/>
          <w:numId w:val="65"/>
        </w:numPr>
        <w:spacing w:after="120"/>
        <w:contextualSpacing w:val="0"/>
      </w:pPr>
      <w:r w:rsidRPr="007E2995">
        <w:rPr>
          <w:u w:val="single"/>
        </w:rPr>
        <w:t>Taxpayer characteristics</w:t>
      </w:r>
      <w:r>
        <w:t xml:space="preserve"> – which includes whether the taxpayer is an individual or corporation (or other entity that may have some effect on sourcing), U.S. or foreign person, etc. and also any characteristics that the taxpayer has, standing alone, separate from the items of income on which </w:t>
      </w:r>
      <w:r w:rsidR="00412839">
        <w:t xml:space="preserve">the taxpayer </w:t>
      </w:r>
      <w:r>
        <w:t>reports tax.</w:t>
      </w:r>
    </w:p>
    <w:p w14:paraId="56BA71BC" w14:textId="6C9CFC0D" w:rsidR="007E2995" w:rsidRDefault="007E2995" w:rsidP="00366E17">
      <w:pPr>
        <w:pStyle w:val="ListParagraph"/>
        <w:numPr>
          <w:ilvl w:val="0"/>
          <w:numId w:val="65"/>
        </w:numPr>
        <w:spacing w:after="240"/>
        <w:contextualSpacing w:val="0"/>
      </w:pPr>
      <w:r w:rsidRPr="007E2995">
        <w:rPr>
          <w:u w:val="single"/>
        </w:rPr>
        <w:t>Income characteristics</w:t>
      </w:r>
      <w:r>
        <w:t xml:space="preserve"> – which includes the activities that give rise to items of income or expense including how and where those activities are conducted, and the nature of the income or expense themselves under the applicable tax rules</w:t>
      </w:r>
      <w:r w:rsidR="00F87B68">
        <w:t xml:space="preserve"> (e.g., taxable or exempt; deductible, nondeductible, or capitalized and deprecated or amortized, etc.). </w:t>
      </w:r>
    </w:p>
    <w:p w14:paraId="5B5F7BA9" w14:textId="45849CF8" w:rsidR="00AB2C6B" w:rsidRDefault="007E2995" w:rsidP="00412839">
      <w:pPr>
        <w:ind w:left="720"/>
      </w:pPr>
      <w:r>
        <w:t xml:space="preserve">When the nature or </w:t>
      </w:r>
      <w:r w:rsidR="00C90A4E">
        <w:t xml:space="preserve">character </w:t>
      </w:r>
      <w:r>
        <w:t xml:space="preserve">of the income is important to the federal tax </w:t>
      </w:r>
      <w:r w:rsidR="00C90A4E">
        <w:t xml:space="preserve">sourcing </w:t>
      </w:r>
      <w:r>
        <w:t xml:space="preserve">regime—that is where tax is imposed on a source-basis (territorial approach) or when determining the ability of a taxpayer to take a credit for foreign taxes paid—the </w:t>
      </w:r>
      <w:r w:rsidR="00DD6092">
        <w:t xml:space="preserve"> federal government </w:t>
      </w:r>
      <w:r w:rsidR="00C90A4E">
        <w:t xml:space="preserve">generally </w:t>
      </w:r>
      <w:r w:rsidR="00DD6092">
        <w:t xml:space="preserve">uses rules of assignment to </w:t>
      </w:r>
      <w:r w:rsidR="00C90A4E">
        <w:t xml:space="preserve">establish the </w:t>
      </w:r>
      <w:r w:rsidR="00DD6092">
        <w:t>source</w:t>
      </w:r>
      <w:r w:rsidR="00412839">
        <w:t xml:space="preserve"> of</w:t>
      </w:r>
      <w:r w:rsidR="00DD6092">
        <w:t xml:space="preserve"> </w:t>
      </w:r>
      <w:r>
        <w:t xml:space="preserve">the </w:t>
      </w:r>
      <w:r w:rsidR="00C90A4E">
        <w:t xml:space="preserve">different </w:t>
      </w:r>
      <w:r>
        <w:t>items</w:t>
      </w:r>
      <w:r w:rsidR="00DD6092">
        <w:t>. See</w:t>
      </w:r>
      <w:r>
        <w:t xml:space="preserve"> IRC Subchapter N.</w:t>
      </w:r>
      <w:r w:rsidR="00C90A4E">
        <w:rPr>
          <w:rStyle w:val="FootnoteReference"/>
        </w:rPr>
        <w:footnoteReference w:id="39"/>
      </w:r>
      <w:r w:rsidR="00C90A4E">
        <w:t xml:space="preserve"> Again, in determining the ultimate source, the taxpayer characteristic may also be taken into account. But</w:t>
      </w:r>
      <w:r w:rsidR="00AB2C6B">
        <w:t xml:space="preserve">, by-and large, the rules look to the income characteristics and the activities that gave rise to the income or expense as well as its treatment generally under the substantive tax rules. </w:t>
      </w:r>
    </w:p>
    <w:p w14:paraId="11000739" w14:textId="50A5A914" w:rsidR="00E3710D" w:rsidRDefault="00AB2C6B" w:rsidP="00DD6092">
      <w:pPr>
        <w:ind w:left="720"/>
      </w:pPr>
      <w:r>
        <w:t>States</w:t>
      </w:r>
      <w:r w:rsidR="000331A0">
        <w:t xml:space="preserve"> generally conform to </w:t>
      </w:r>
      <w:r w:rsidR="00BF388E">
        <w:t>the</w:t>
      </w:r>
      <w:r w:rsidR="000331A0">
        <w:t xml:space="preserve"> determination</w:t>
      </w:r>
      <w:r w:rsidR="00767293">
        <w:t xml:space="preserve"> of </w:t>
      </w:r>
      <w:r w:rsidR="00BF388E">
        <w:t xml:space="preserve">whether </w:t>
      </w:r>
      <w:r>
        <w:t>income, including partnership income, is</w:t>
      </w:r>
      <w:r w:rsidR="00BF388E">
        <w:t xml:space="preserve"> </w:t>
      </w:r>
      <w:r w:rsidR="00767293">
        <w:t>domestic or foreign-sourced</w:t>
      </w:r>
      <w:r w:rsidR="000331A0">
        <w:t xml:space="preserve">. Consequently, if a foreign national has </w:t>
      </w:r>
      <w:r w:rsidR="00BF388E">
        <w:t xml:space="preserve">partnership </w:t>
      </w:r>
      <w:r w:rsidR="000331A0">
        <w:t>income that, for federal tax purposes</w:t>
      </w:r>
      <w:r w:rsidR="00DD6092">
        <w:t xml:space="preserve">, </w:t>
      </w:r>
      <w:r w:rsidR="000331A0">
        <w:t xml:space="preserve">would be sourced </w:t>
      </w:r>
      <w:r w:rsidR="006E07C4">
        <w:t>to the U</w:t>
      </w:r>
      <w:r w:rsidR="00F32FB9">
        <w:t>.</w:t>
      </w:r>
      <w:r w:rsidR="006E07C4">
        <w:t>S</w:t>
      </w:r>
      <w:r w:rsidR="00F32FB9">
        <w:t>.—because the partnership is conducting a trade or business in the U.S.—</w:t>
      </w:r>
      <w:r w:rsidR="000331A0">
        <w:t xml:space="preserve">then </w:t>
      </w:r>
      <w:r w:rsidR="00F32FB9">
        <w:t xml:space="preserve">conforming states may also treat that </w:t>
      </w:r>
      <w:r w:rsidR="000331A0">
        <w:t xml:space="preserve">income </w:t>
      </w:r>
      <w:r w:rsidR="009C5532">
        <w:t xml:space="preserve">as domestic income and subject </w:t>
      </w:r>
      <w:r w:rsidR="00F32FB9">
        <w:t xml:space="preserve">it </w:t>
      </w:r>
      <w:r w:rsidR="009C5532">
        <w:t xml:space="preserve">to </w:t>
      </w:r>
      <w:r w:rsidR="000331A0">
        <w:t>state taxation</w:t>
      </w:r>
      <w:r w:rsidR="00F478F5">
        <w:t xml:space="preserve"> as well</w:t>
      </w:r>
      <w:r w:rsidR="00725BAF">
        <w:t>.</w:t>
      </w:r>
    </w:p>
    <w:p w14:paraId="535F2141" w14:textId="6A8C2400" w:rsidR="00DB5369" w:rsidRDefault="00932469" w:rsidP="00DD6092">
      <w:pPr>
        <w:ind w:left="720"/>
      </w:pPr>
      <w:r>
        <w:t>Note</w:t>
      </w:r>
      <w:r w:rsidR="002B1A48">
        <w:t>, however,</w:t>
      </w:r>
      <w:r>
        <w:t xml:space="preserve"> that </w:t>
      </w:r>
      <w:r w:rsidR="006E07C4">
        <w:t>even though</w:t>
      </w:r>
      <w:r w:rsidR="003E452E">
        <w:t xml:space="preserve"> states </w:t>
      </w:r>
      <w:r w:rsidR="006E07C4">
        <w:t xml:space="preserve">may </w:t>
      </w:r>
      <w:r w:rsidR="003E452E">
        <w:t xml:space="preserve">recognize income as having a foreign source </w:t>
      </w:r>
      <w:r w:rsidR="00C85393">
        <w:t>determined under federal rules</w:t>
      </w:r>
      <w:r w:rsidR="006E07C4">
        <w:t>, this does not</w:t>
      </w:r>
      <w:r w:rsidR="00C85393">
        <w:t xml:space="preserve"> </w:t>
      </w:r>
      <w:r w:rsidR="005F1C43">
        <w:t xml:space="preserve">necessarily </w:t>
      </w:r>
      <w:r w:rsidR="00C85393">
        <w:t xml:space="preserve">dictate </w:t>
      </w:r>
      <w:r w:rsidR="005F1C43">
        <w:t>the extent to which they might treat the income as taxable</w:t>
      </w:r>
      <w:r w:rsidR="006E07C4">
        <w:t xml:space="preserve"> when earned by state residents</w:t>
      </w:r>
      <w:r w:rsidR="005F1C43">
        <w:t xml:space="preserve">. </w:t>
      </w:r>
      <w:r w:rsidR="008500E3">
        <w:t xml:space="preserve">See, for example, </w:t>
      </w:r>
      <w:r w:rsidR="004C1A37" w:rsidRPr="00056207">
        <w:rPr>
          <w:i/>
          <w:iCs/>
        </w:rPr>
        <w:t>Steiner v. Utah State Tax Comm'n</w:t>
      </w:r>
      <w:r w:rsidR="004C1A37">
        <w:t>, 2019 UT 47, 449 P.3d 189</w:t>
      </w:r>
      <w:r w:rsidR="00056207">
        <w:t xml:space="preserve">. </w:t>
      </w:r>
      <w:r w:rsidR="006E07C4">
        <w:t xml:space="preserve">Utah, like most states, tax residents on 100% of their income, regardless of where it is earned. </w:t>
      </w:r>
      <w:r w:rsidR="00056207">
        <w:t xml:space="preserve">In </w:t>
      </w:r>
      <w:r w:rsidR="006E07C4" w:rsidRPr="006E07C4">
        <w:rPr>
          <w:i/>
          <w:iCs/>
        </w:rPr>
        <w:t>Steiner</w:t>
      </w:r>
      <w:r w:rsidR="00056207">
        <w:t xml:space="preserve">, the Utah Supreme Court considered whether individual state residents were entitled to an off-setting credit for </w:t>
      </w:r>
      <w:r w:rsidR="00BD1C69">
        <w:t xml:space="preserve">a portion of the </w:t>
      </w:r>
      <w:r w:rsidR="00E5707B">
        <w:t xml:space="preserve">foreign </w:t>
      </w:r>
      <w:r w:rsidR="00056207">
        <w:t xml:space="preserve">taxes paid on income from </w:t>
      </w:r>
      <w:r w:rsidR="000423D2">
        <w:t>their pass-through business</w:t>
      </w:r>
      <w:r w:rsidR="00BD1C69">
        <w:t xml:space="preserve"> which was unused at the federal level</w:t>
      </w:r>
      <w:r w:rsidR="007C4DEA">
        <w:t>—ultimately concluding they were not.</w:t>
      </w:r>
      <w:r w:rsidR="00E64591">
        <w:t xml:space="preserve"> </w:t>
      </w:r>
      <w:r w:rsidR="00DB5369">
        <w:t xml:space="preserve">Nevertheless, the </w:t>
      </w:r>
      <w:r w:rsidR="00DB5369">
        <w:rPr>
          <w:i/>
          <w:iCs/>
        </w:rPr>
        <w:t>Ste</w:t>
      </w:r>
      <w:r w:rsidR="00D1785A">
        <w:rPr>
          <w:i/>
          <w:iCs/>
        </w:rPr>
        <w:t>iner</w:t>
      </w:r>
      <w:r w:rsidR="00D1785A">
        <w:t xml:space="preserve"> court did not deny the character of the income recognized by the taxpayers </w:t>
      </w:r>
      <w:r w:rsidR="006E07C4">
        <w:t xml:space="preserve">or that it </w:t>
      </w:r>
      <w:r w:rsidR="00D1785A">
        <w:t xml:space="preserve">included </w:t>
      </w:r>
      <w:r w:rsidR="00AB2C6B">
        <w:t xml:space="preserve">income that was properly characterized as </w:t>
      </w:r>
      <w:r w:rsidR="00D1785A">
        <w:t>foreign</w:t>
      </w:r>
      <w:r w:rsidR="00AB2C6B">
        <w:t>-</w:t>
      </w:r>
      <w:r w:rsidR="00D1785A">
        <w:t>source</w:t>
      </w:r>
      <w:r w:rsidR="006E07C4">
        <w:t xml:space="preserve"> income</w:t>
      </w:r>
      <w:r w:rsidR="00D1785A">
        <w:t xml:space="preserve"> under federal tax rules. </w:t>
      </w:r>
    </w:p>
    <w:p w14:paraId="59F2D229" w14:textId="40FF3586" w:rsidR="00AB2C6B" w:rsidRDefault="00AB2C6B" w:rsidP="00AB2C6B">
      <w:pPr>
        <w:ind w:left="720"/>
      </w:pPr>
      <w:r>
        <w:t xml:space="preserve">When it comes to partnerships, Subchapter K’s general attribution rules require that foreign partners pay tax on distributive share income as if the partner had realized the income in the same manner as realized by the partnership—and attribute the general  character of that partnership income as well as its source, both determined at the partnership level, to the partner. See Reg. §1.702-1(b) and 1.702-1(a)(8)(ii). Note that the same sourcing approach </w:t>
      </w:r>
      <w:r w:rsidR="00F32FB9">
        <w:t xml:space="preserve">for items of income and expense </w:t>
      </w:r>
      <w:r>
        <w:t xml:space="preserve">is generally used when determining if a U.S. partner is able to take a credit </w:t>
      </w:r>
      <w:r>
        <w:lastRenderedPageBreak/>
        <w:t xml:space="preserve">for foreign taxes paid to offset federal tax on </w:t>
      </w:r>
      <w:r w:rsidR="00F16E5B">
        <w:t>their worldwide income. Therefore, the income characteristics (including source) must be attributed to the partners.</w:t>
      </w:r>
    </w:p>
    <w:p w14:paraId="19B51E70" w14:textId="50834A22" w:rsidR="00F32FB9" w:rsidRDefault="00AD1454" w:rsidP="00F32FB9">
      <w:pPr>
        <w:pStyle w:val="Heading4"/>
        <w:ind w:left="720"/>
      </w:pPr>
      <w:r>
        <w:t>Attribution and</w:t>
      </w:r>
      <w:r w:rsidR="00006695">
        <w:t xml:space="preserve"> State Sourcing Rules</w:t>
      </w:r>
    </w:p>
    <w:p w14:paraId="225C3C95" w14:textId="77777777" w:rsidR="003771BC" w:rsidRDefault="00AD1454" w:rsidP="003771BC">
      <w:pPr>
        <w:ind w:left="720"/>
      </w:pPr>
      <w:r>
        <w:t xml:space="preserve">As noted in subsection I.E. above, when sourcing the income in a simple partnership structure with individual partners, states generally apply the sourcing rules at the partnership level and attribute this sourcing information to the partners. Having said that, some state courts have recognized limits under state law </w:t>
      </w:r>
      <w:r w:rsidR="003771BC">
        <w:t xml:space="preserve">(so-called “doing business” statutes) </w:t>
      </w:r>
      <w:r>
        <w:t xml:space="preserve">or federal constitutional principles that may apply to the ability to tax non-resident partners on their shares of partnership income sourced to the state. </w:t>
      </w:r>
    </w:p>
    <w:p w14:paraId="5CFE118F" w14:textId="0965D2FF" w:rsidR="00F16E5B" w:rsidRDefault="00AD1454" w:rsidP="003771BC">
      <w:pPr>
        <w:ind w:left="720"/>
      </w:pPr>
      <w:r>
        <w:t xml:space="preserve">To the extent these limits are based on constitutional principles, it would appear that </w:t>
      </w:r>
      <w:r w:rsidR="003771BC">
        <w:t>the majority would now say that there is no significant constitutional limit on taxing partners on the income from partnerships sourced to the state</w:t>
      </w:r>
      <w:r>
        <w:t>.</w:t>
      </w:r>
      <w:r w:rsidR="003771BC">
        <w:t xml:space="preserve"> In addition, many states have avoided this constitutional question by imposing withholding requirements on partnerships. This white paper assumes that states have jurisdiction to impose tax on non-resident or out-of-state partners for partnership income properly sourced to the state.</w:t>
      </w:r>
      <w:r w:rsidR="003771BC">
        <w:rPr>
          <w:rStyle w:val="FootnoteReference"/>
        </w:rPr>
        <w:footnoteReference w:id="40"/>
      </w:r>
      <w:r>
        <w:t xml:space="preserve"> </w:t>
      </w:r>
    </w:p>
    <w:p w14:paraId="019F5B13" w14:textId="77777777" w:rsidR="002452F0" w:rsidRDefault="003771BC" w:rsidP="003771BC">
      <w:pPr>
        <w:ind w:left="720"/>
      </w:pPr>
      <w:r>
        <w:t xml:space="preserve">But </w:t>
      </w:r>
      <w:r w:rsidR="002452F0">
        <w:t xml:space="preserve">when the partner is not an individual but another business entity—a corporation or tiered partner—then </w:t>
      </w:r>
      <w:r>
        <w:t>the application of sourcing rules may be applied to items of income recognized by the partnership</w:t>
      </w:r>
      <w:r w:rsidR="002452F0">
        <w:t xml:space="preserve"> as well as to </w:t>
      </w:r>
      <w:r>
        <w:t xml:space="preserve">the allocation of distributive share to the partner. For example, </w:t>
      </w:r>
      <w:r w:rsidR="002452F0">
        <w:t xml:space="preserve">an item of income earned by a partnership may be determined to be business (apportionable) income under state rules but the distributive share of the partnership income might be determined to be nonbusiness (non-apportionable) income to the partner. </w:t>
      </w:r>
    </w:p>
    <w:p w14:paraId="296A1FEB" w14:textId="5C0B7029" w:rsidR="002452F0" w:rsidRDefault="002452F0" w:rsidP="003771BC">
      <w:pPr>
        <w:ind w:left="720"/>
      </w:pPr>
      <w:r>
        <w:t xml:space="preserve">If, in that case, the income is apportioned at the partnership level and the sourcing then attributed to the partner, this would be consistent with the sourcing in the simple partnership structure with individual partners. If, however, the income is re-characterized as nonbusiness income at the partner level, this would override the attribution of the character of the income determined based on the partnership’s business activities in the state.   </w:t>
      </w:r>
    </w:p>
    <w:p w14:paraId="2D41A884" w14:textId="20B93DF7" w:rsidR="003771BC" w:rsidRDefault="00114418" w:rsidP="003771BC">
      <w:pPr>
        <w:ind w:left="720"/>
      </w:pPr>
      <w:r>
        <w:t xml:space="preserve">It is also possible that, under state rules as applied to the partnership, the items of partnership income would be determined to be business (apportionable) income and under those same rules applied to the partner, the distributive share would also be determined to be business (apportionable) income to the partner. In that case, the question is whether the partnership’s own factors should be used to source the items—attributing that sourcing to the partner, or the partner’s own factors should be used to source the partner’s distributive share (as part of its other apportionable income). But there is also a third approach—blended apportionment—that will be discussed in Section II.  </w:t>
      </w:r>
    </w:p>
    <w:p w14:paraId="1BA687CC" w14:textId="5F96BB42" w:rsidR="000648F0" w:rsidRDefault="00114418" w:rsidP="00114418">
      <w:pPr>
        <w:pBdr>
          <w:top w:val="single" w:sz="4" w:space="1" w:color="auto"/>
          <w:left w:val="single" w:sz="4" w:space="4" w:color="auto"/>
          <w:bottom w:val="single" w:sz="4" w:space="1" w:color="auto"/>
          <w:right w:val="single" w:sz="4" w:space="4" w:color="auto"/>
        </w:pBdr>
        <w:spacing w:line="276" w:lineRule="auto"/>
        <w:ind w:left="1440" w:right="720"/>
        <w:jc w:val="left"/>
        <w:rPr>
          <w:rFonts w:asciiTheme="majorHAnsi" w:eastAsiaTheme="majorEastAsia" w:hAnsiTheme="majorHAnsi" w:cstheme="majorBidi"/>
          <w:b/>
          <w:color w:val="851C00" w:themeColor="accent6" w:themeShade="BF"/>
          <w:sz w:val="30"/>
          <w:szCs w:val="26"/>
          <w:u w:val="single"/>
        </w:rPr>
      </w:pPr>
      <w:bookmarkStart w:id="62" w:name="_Toc153291156"/>
      <w:bookmarkStart w:id="63" w:name="_Toc104209202"/>
      <w:bookmarkEnd w:id="2"/>
      <w:r>
        <w:rPr>
          <w:b/>
          <w:bCs/>
        </w:rPr>
        <w:t xml:space="preserve">STATE TAX IMPLICATIONS: </w:t>
      </w:r>
      <w:r w:rsidRPr="00114418">
        <w:rPr>
          <w:b/>
          <w:bCs/>
        </w:rPr>
        <w:t xml:space="preserve">It is not uncommon for states to reference the state tax sourcing rules used for corporations and other businesses when sourcing the income of partnerships. However, care should be taken to make clear how these rules will be applied where </w:t>
      </w:r>
      <w:r w:rsidR="007D4057">
        <w:rPr>
          <w:b/>
          <w:bCs/>
        </w:rPr>
        <w:t xml:space="preserve">the </w:t>
      </w:r>
      <w:r w:rsidRPr="00114418">
        <w:rPr>
          <w:b/>
          <w:bCs/>
        </w:rPr>
        <w:t>partners are corporat</w:t>
      </w:r>
      <w:r w:rsidR="007D4057">
        <w:rPr>
          <w:b/>
          <w:bCs/>
        </w:rPr>
        <w:t>e entities</w:t>
      </w:r>
      <w:r w:rsidRPr="00114418">
        <w:rPr>
          <w:b/>
          <w:bCs/>
        </w:rPr>
        <w:t xml:space="preserve"> or in the case of more complex tiered partnership structures.</w:t>
      </w:r>
      <w:r w:rsidR="000648F0">
        <w:br w:type="page"/>
      </w:r>
    </w:p>
    <w:p w14:paraId="79631662" w14:textId="2AC9AB39" w:rsidR="006A30B9" w:rsidRDefault="00AD7435" w:rsidP="00AD7435">
      <w:pPr>
        <w:pStyle w:val="Heading2"/>
      </w:pPr>
      <w:bookmarkStart w:id="64" w:name="_Toc198480744"/>
      <w:r>
        <w:lastRenderedPageBreak/>
        <w:t>I.</w:t>
      </w:r>
      <w:r w:rsidR="00984725">
        <w:t>G</w:t>
      </w:r>
      <w:r>
        <w:t xml:space="preserve">. </w:t>
      </w:r>
      <w:r w:rsidR="00117319">
        <w:t>Summary</w:t>
      </w:r>
      <w:bookmarkEnd w:id="62"/>
      <w:r w:rsidR="00883EEF">
        <w:t xml:space="preserve"> – Issues &amp; Important Context</w:t>
      </w:r>
      <w:r w:rsidR="000648F0">
        <w:t xml:space="preserve"> - Lessons</w:t>
      </w:r>
      <w:bookmarkEnd w:id="64"/>
    </w:p>
    <w:p w14:paraId="62241757" w14:textId="15BA6A73" w:rsidR="004A2E4A" w:rsidRDefault="00CD1BEB" w:rsidP="00D26602">
      <w:r>
        <w:t xml:space="preserve">This Section I focused on the </w:t>
      </w:r>
      <w:r w:rsidR="00D70C85">
        <w:t xml:space="preserve">larger </w:t>
      </w:r>
      <w:r>
        <w:t>context in which state tax</w:t>
      </w:r>
      <w:r w:rsidR="00AE6BB8">
        <w:t>es</w:t>
      </w:r>
      <w:r>
        <w:t xml:space="preserve"> on partnership income </w:t>
      </w:r>
      <w:r w:rsidR="00AE6BB8">
        <w:t>are</w:t>
      </w:r>
      <w:r>
        <w:t xml:space="preserve"> imposed</w:t>
      </w:r>
      <w:r w:rsidR="006B0C18">
        <w:t xml:space="preserve"> and the implications of this context for </w:t>
      </w:r>
      <w:r w:rsidR="00B4240F">
        <w:t>state sourcing rules in particular</w:t>
      </w:r>
      <w:r w:rsidR="006B0C18">
        <w:t xml:space="preserve">. </w:t>
      </w:r>
      <w:r w:rsidR="008D7ED4">
        <w:t>The</w:t>
      </w:r>
      <w:r w:rsidR="000648F0">
        <w:t xml:space="preserve"> overarching “lessons” from these </w:t>
      </w:r>
      <w:r w:rsidR="008D7ED4">
        <w:t xml:space="preserve">implications are summarized below. </w:t>
      </w:r>
    </w:p>
    <w:p w14:paraId="6AD5626E" w14:textId="730722AE" w:rsidR="004A2E4A" w:rsidRDefault="00DD5AE5" w:rsidP="004A2E4A">
      <w:pPr>
        <w:pStyle w:val="Heading3"/>
      </w:pPr>
      <w:bookmarkStart w:id="65" w:name="_Toc198480745"/>
      <w:r w:rsidRPr="007D4057">
        <w:rPr>
          <w:highlight w:val="yellow"/>
        </w:rPr>
        <w:t>Lessons</w:t>
      </w:r>
      <w:r w:rsidR="000E1C20" w:rsidRPr="007D4057">
        <w:rPr>
          <w:highlight w:val="yellow"/>
        </w:rPr>
        <w:t xml:space="preserve"> for </w:t>
      </w:r>
      <w:r w:rsidRPr="007D4057">
        <w:rPr>
          <w:highlight w:val="yellow"/>
        </w:rPr>
        <w:t xml:space="preserve">Applying </w:t>
      </w:r>
      <w:r w:rsidR="004A2E4A" w:rsidRPr="007D4057">
        <w:rPr>
          <w:highlight w:val="yellow"/>
        </w:rPr>
        <w:t xml:space="preserve">State </w:t>
      </w:r>
      <w:r w:rsidR="000E1C20" w:rsidRPr="007D4057">
        <w:rPr>
          <w:highlight w:val="yellow"/>
        </w:rPr>
        <w:t>Sourcing</w:t>
      </w:r>
      <w:r w:rsidRPr="007D4057">
        <w:rPr>
          <w:highlight w:val="yellow"/>
        </w:rPr>
        <w:t xml:space="preserve"> Rules to Partnership Income</w:t>
      </w:r>
      <w:bookmarkEnd w:id="65"/>
    </w:p>
    <w:p w14:paraId="489139BD" w14:textId="0718DEE4" w:rsidR="005E79B3" w:rsidRPr="005E79B3" w:rsidRDefault="00DD5AE5" w:rsidP="005E79B3">
      <w:r>
        <w:t>In general, state sourcing rules</w:t>
      </w:r>
      <w:r w:rsidR="007D4057">
        <w:t xml:space="preserve"> should</w:t>
      </w:r>
      <w:r w:rsidR="003C7A9A">
        <w:t>:</w:t>
      </w:r>
    </w:p>
    <w:p w14:paraId="1864328E" w14:textId="037C139C" w:rsidR="0011355A" w:rsidRDefault="007D4057" w:rsidP="00366E17">
      <w:pPr>
        <w:pStyle w:val="ListParagraph"/>
        <w:numPr>
          <w:ilvl w:val="0"/>
          <w:numId w:val="41"/>
        </w:numPr>
        <w:spacing w:after="120"/>
        <w:contextualSpacing w:val="0"/>
      </w:pPr>
      <w:r>
        <w:t>U</w:t>
      </w:r>
      <w:r w:rsidR="003C7A9A">
        <w:t xml:space="preserve">se certain general partnership </w:t>
      </w:r>
      <w:r w:rsidR="004A7938">
        <w:t>terminology</w:t>
      </w:r>
      <w:r w:rsidR="000648F0">
        <w:t xml:space="preserve"> </w:t>
      </w:r>
      <w:r w:rsidR="003C7A9A">
        <w:t>and</w:t>
      </w:r>
      <w:r w:rsidR="000648F0">
        <w:t xml:space="preserve"> concepts</w:t>
      </w:r>
      <w:r w:rsidR="003C7A9A">
        <w:t xml:space="preserve"> consistent with </w:t>
      </w:r>
      <w:r w:rsidR="000648F0">
        <w:t xml:space="preserve">state governing laws or federal </w:t>
      </w:r>
      <w:r w:rsidR="001A14C7">
        <w:t>tax laws</w:t>
      </w:r>
      <w:r w:rsidR="000648F0">
        <w:t xml:space="preserve"> to which the state</w:t>
      </w:r>
      <w:r w:rsidR="001A14C7">
        <w:t xml:space="preserve"> tax rules conform</w:t>
      </w:r>
      <w:r w:rsidR="00DD5AE5">
        <w:t xml:space="preserve"> (</w:t>
      </w:r>
      <w:r w:rsidR="003C7A9A">
        <w:t xml:space="preserve">unless </w:t>
      </w:r>
      <w:r w:rsidR="00DD5AE5">
        <w:t xml:space="preserve">state rules separately define </w:t>
      </w:r>
      <w:r>
        <w:t>those terms</w:t>
      </w:r>
      <w:r w:rsidR="00DD5AE5">
        <w:t xml:space="preserve">). </w:t>
      </w:r>
    </w:p>
    <w:p w14:paraId="042CDF8B" w14:textId="4A090B08" w:rsidR="005E79B3" w:rsidRDefault="009B7D91" w:rsidP="00366E17">
      <w:pPr>
        <w:pStyle w:val="ListParagraph"/>
        <w:numPr>
          <w:ilvl w:val="0"/>
          <w:numId w:val="41"/>
        </w:numPr>
        <w:spacing w:after="80"/>
        <w:contextualSpacing w:val="0"/>
      </w:pPr>
      <w:r>
        <w:t>NOT</w:t>
      </w:r>
      <w:r w:rsidR="005E79B3">
        <w:t xml:space="preserve"> assume that: </w:t>
      </w:r>
    </w:p>
    <w:p w14:paraId="76D55A88" w14:textId="28B3E731" w:rsidR="000130C6" w:rsidRDefault="000130C6" w:rsidP="00366E17">
      <w:pPr>
        <w:pStyle w:val="ListParagraph"/>
        <w:numPr>
          <w:ilvl w:val="1"/>
          <w:numId w:val="41"/>
        </w:numPr>
        <w:spacing w:after="80"/>
        <w:contextualSpacing w:val="0"/>
      </w:pPr>
      <w:r>
        <w:t>P</w:t>
      </w:r>
      <w:r w:rsidR="004A2E4A">
        <w:t xml:space="preserve">artnerships </w:t>
      </w:r>
      <w:r>
        <w:t xml:space="preserve">are </w:t>
      </w:r>
      <w:r w:rsidR="004A2E4A">
        <w:t>primarily</w:t>
      </w:r>
      <w:r>
        <w:t xml:space="preserve"> treated</w:t>
      </w:r>
      <w:r w:rsidR="004A2E4A">
        <w:t xml:space="preserve"> as aggregates</w:t>
      </w:r>
      <w:r w:rsidR="00AA6524">
        <w:t xml:space="preserve"> under the law or </w:t>
      </w:r>
      <w:r w:rsidR="00DD5AE5">
        <w:t xml:space="preserve">the </w:t>
      </w:r>
      <w:r w:rsidR="00AA6524">
        <w:t>federal tax rules</w:t>
      </w:r>
      <w:r>
        <w:t>.</w:t>
      </w:r>
      <w:r w:rsidR="004A2E4A">
        <w:t xml:space="preserve"> </w:t>
      </w:r>
    </w:p>
    <w:p w14:paraId="620AE947" w14:textId="0BCDD48E" w:rsidR="004A2E4A" w:rsidRDefault="00B24B00" w:rsidP="00366E17">
      <w:pPr>
        <w:pStyle w:val="ListParagraph"/>
        <w:numPr>
          <w:ilvl w:val="1"/>
          <w:numId w:val="41"/>
        </w:numPr>
        <w:spacing w:after="80"/>
        <w:contextualSpacing w:val="0"/>
      </w:pPr>
      <w:r>
        <w:t>All p</w:t>
      </w:r>
      <w:r w:rsidR="004A2E4A" w:rsidRPr="00C03F56">
        <w:t>artnerships a</w:t>
      </w:r>
      <w:r w:rsidR="004A2E4A">
        <w:t>re</w:t>
      </w:r>
      <w:r w:rsidR="004A2E4A" w:rsidRPr="00C03F56">
        <w:t xml:space="preserve"> small, simple, uniform entities</w:t>
      </w:r>
      <w:r w:rsidR="003B7F6C">
        <w:t>.</w:t>
      </w:r>
    </w:p>
    <w:p w14:paraId="21F8D0C8" w14:textId="6C802EB2" w:rsidR="00814100" w:rsidRDefault="003C7A9A" w:rsidP="00366E17">
      <w:pPr>
        <w:pStyle w:val="ListParagraph"/>
        <w:numPr>
          <w:ilvl w:val="1"/>
          <w:numId w:val="41"/>
        </w:numPr>
        <w:spacing w:after="120"/>
        <w:contextualSpacing w:val="0"/>
      </w:pPr>
      <w:r>
        <w:t>A partner’s o</w:t>
      </w:r>
      <w:r w:rsidR="00D52E37">
        <w:t xml:space="preserve">wnership share or limited liability determine </w:t>
      </w:r>
      <w:r>
        <w:t>the</w:t>
      </w:r>
      <w:r w:rsidR="00D52E37">
        <w:t xml:space="preserve"> partner’s role</w:t>
      </w:r>
      <w:r w:rsidR="00CF356D">
        <w:t xml:space="preserve"> or share of income.</w:t>
      </w:r>
      <w:r w:rsidR="00D52E37">
        <w:t xml:space="preserve"> </w:t>
      </w:r>
    </w:p>
    <w:p w14:paraId="2F1CAD5A" w14:textId="09F67C89" w:rsidR="008F5EFD" w:rsidRDefault="007D4057" w:rsidP="00366E17">
      <w:pPr>
        <w:pStyle w:val="ListParagraph"/>
        <w:numPr>
          <w:ilvl w:val="0"/>
          <w:numId w:val="41"/>
        </w:numPr>
        <w:spacing w:after="80"/>
        <w:contextualSpacing w:val="0"/>
      </w:pPr>
      <w:r>
        <w:t>R</w:t>
      </w:r>
      <w:r w:rsidR="00DD5AE5">
        <w:t>ecognize critical</w:t>
      </w:r>
      <w:r w:rsidR="00814100">
        <w:t xml:space="preserve"> elements of the </w:t>
      </w:r>
      <w:r w:rsidR="003C7A9A">
        <w:t>federal pass-through tax system</w:t>
      </w:r>
      <w:r w:rsidR="00814100">
        <w:t xml:space="preserve"> that have state sourcing implications, </w:t>
      </w:r>
      <w:r w:rsidR="003C7A9A">
        <w:t>including:</w:t>
      </w:r>
    </w:p>
    <w:p w14:paraId="4C2BCF6B" w14:textId="669ADD6B" w:rsidR="000E2CA4" w:rsidRDefault="00814100" w:rsidP="00366E17">
      <w:pPr>
        <w:pStyle w:val="ListParagraph"/>
        <w:numPr>
          <w:ilvl w:val="1"/>
          <w:numId w:val="41"/>
        </w:numPr>
        <w:spacing w:after="80"/>
        <w:contextualSpacing w:val="0"/>
      </w:pPr>
      <w:r>
        <w:t>That the t</w:t>
      </w:r>
      <w:r w:rsidR="008F5EFD">
        <w:t>ax</w:t>
      </w:r>
      <w:r w:rsidR="008F5EFD" w:rsidRPr="00133267">
        <w:t xml:space="preserve"> character of items </w:t>
      </w:r>
      <w:r w:rsidR="003C7A9A">
        <w:t>is</w:t>
      </w:r>
      <w:r w:rsidR="001A14C7">
        <w:t xml:space="preserve"> </w:t>
      </w:r>
      <w:r w:rsidR="008F5EFD">
        <w:t>determined at the partnership leve</w:t>
      </w:r>
      <w:r>
        <w:t>l, is a</w:t>
      </w:r>
      <w:r w:rsidR="00763140">
        <w:t>ttributed to direct and indirect partners</w:t>
      </w:r>
      <w:r>
        <w:t>, and includes information that affects</w:t>
      </w:r>
      <w:r w:rsidR="009937DF">
        <w:t xml:space="preserve"> federal sourcing of domestic or foreign income.</w:t>
      </w:r>
    </w:p>
    <w:p w14:paraId="33556EE5" w14:textId="0138A967" w:rsidR="00CE4E8C" w:rsidRDefault="00814100" w:rsidP="00366E17">
      <w:pPr>
        <w:pStyle w:val="ListParagraph"/>
        <w:numPr>
          <w:ilvl w:val="1"/>
          <w:numId w:val="41"/>
        </w:numPr>
        <w:spacing w:after="80"/>
        <w:contextualSpacing w:val="0"/>
      </w:pPr>
      <w:r>
        <w:t>That the t</w:t>
      </w:r>
      <w:r w:rsidR="003B27D2">
        <w:t xml:space="preserve">reatment of </w:t>
      </w:r>
      <w:r>
        <w:t xml:space="preserve">certain </w:t>
      </w:r>
      <w:r w:rsidR="003B27D2">
        <w:t xml:space="preserve">items under the </w:t>
      </w:r>
      <w:r w:rsidR="00381FCB">
        <w:t>pass-through system</w:t>
      </w:r>
      <w:r w:rsidR="003B27D2">
        <w:t xml:space="preserve"> </w:t>
      </w:r>
      <w:r>
        <w:t>may raise sourcing questions</w:t>
      </w:r>
      <w:r w:rsidR="003B27D2">
        <w:t xml:space="preserve">—for example, the </w:t>
      </w:r>
      <w:r w:rsidR="00381FCB">
        <w:t>treatment</w:t>
      </w:r>
      <w:r w:rsidR="003B27D2">
        <w:t xml:space="preserve"> of so-called </w:t>
      </w:r>
      <w:r w:rsidR="00EB3077">
        <w:t>built-in gains</w:t>
      </w:r>
      <w:r w:rsidR="004A35EB">
        <w:t xml:space="preserve"> (losses) on contributed or distributed property</w:t>
      </w:r>
      <w:r w:rsidR="00EB3077">
        <w:t xml:space="preserve">. </w:t>
      </w:r>
    </w:p>
    <w:p w14:paraId="0A04E695" w14:textId="77777777" w:rsidR="007D4057" w:rsidRDefault="00814100" w:rsidP="00366E17">
      <w:pPr>
        <w:pStyle w:val="ListParagraph"/>
        <w:numPr>
          <w:ilvl w:val="1"/>
          <w:numId w:val="41"/>
        </w:numPr>
        <w:spacing w:after="120"/>
        <w:contextualSpacing w:val="0"/>
      </w:pPr>
      <w:r>
        <w:t>That g</w:t>
      </w:r>
      <w:r w:rsidR="00EC4D9A">
        <w:t xml:space="preserve">uaranteed payments and partner-partnership transactions </w:t>
      </w:r>
      <w:r w:rsidR="008D1BB6">
        <w:t xml:space="preserve">may </w:t>
      </w:r>
      <w:r w:rsidR="00E356CE">
        <w:t>raise questions about the computation of the</w:t>
      </w:r>
      <w:r w:rsidR="00381FCB">
        <w:t xml:space="preserve"> </w:t>
      </w:r>
      <w:r w:rsidR="0003499B">
        <w:t>receipts factor</w:t>
      </w:r>
      <w:r w:rsidR="00E356CE">
        <w:t xml:space="preserve"> use</w:t>
      </w:r>
      <w:r w:rsidR="00D521E2">
        <w:t>d</w:t>
      </w:r>
      <w:r w:rsidR="00E356CE">
        <w:t xml:space="preserve"> to apportion partnership income</w:t>
      </w:r>
      <w:r>
        <w:t xml:space="preserve"> under the blended approach</w:t>
      </w:r>
      <w:r w:rsidR="0003499B">
        <w:t>.</w:t>
      </w:r>
      <w:bookmarkStart w:id="66" w:name="_Toc153291157"/>
    </w:p>
    <w:p w14:paraId="5691C41B" w14:textId="33A7FCF3" w:rsidR="007D4057" w:rsidRDefault="007D4057" w:rsidP="00366E17">
      <w:pPr>
        <w:pStyle w:val="ListParagraph"/>
        <w:numPr>
          <w:ilvl w:val="0"/>
          <w:numId w:val="41"/>
        </w:numPr>
        <w:spacing w:after="120"/>
        <w:contextualSpacing w:val="0"/>
      </w:pPr>
      <w:r>
        <w:t xml:space="preserve">Recognize the need to apply consistent sourcing treatment for income earned by businesses, whether the business is conducted by a corporation, individual, or partnership. </w:t>
      </w:r>
    </w:p>
    <w:p w14:paraId="64AAC46F" w14:textId="77777777" w:rsidR="007D4057" w:rsidRDefault="007D4057" w:rsidP="00366E17">
      <w:pPr>
        <w:pStyle w:val="ListParagraph"/>
        <w:numPr>
          <w:ilvl w:val="0"/>
          <w:numId w:val="41"/>
        </w:numPr>
        <w:spacing w:after="120"/>
        <w:contextualSpacing w:val="0"/>
      </w:pPr>
      <w:r>
        <w:t>Clarify the types of sourcing-related determinations made at the partnership level or the kinds of information the partnership must provide to partners so that income can be sourced properly.</w:t>
      </w:r>
    </w:p>
    <w:p w14:paraId="7425CE83" w14:textId="7CDB2ECF" w:rsidR="007D4057" w:rsidRDefault="007D4057" w:rsidP="00366E17">
      <w:pPr>
        <w:pStyle w:val="ListParagraph"/>
        <w:numPr>
          <w:ilvl w:val="0"/>
          <w:numId w:val="41"/>
        </w:numPr>
        <w:spacing w:after="120"/>
        <w:contextualSpacing w:val="0"/>
      </w:pPr>
      <w:r>
        <w:t xml:space="preserve">NOT assume that the attribution principle, on which the pass-through tax system is based, depends on whether the partnership and partner are unitary. </w:t>
      </w:r>
    </w:p>
    <w:p w14:paraId="237C9134" w14:textId="2EB706A7" w:rsidR="007D4057" w:rsidRDefault="007D4057" w:rsidP="00366E17">
      <w:pPr>
        <w:pStyle w:val="ListParagraph"/>
        <w:numPr>
          <w:ilvl w:val="0"/>
          <w:numId w:val="41"/>
        </w:numPr>
        <w:spacing w:after="120"/>
        <w:contextualSpacing w:val="0"/>
      </w:pPr>
      <w:r>
        <w:t>Consider when and to what extent a partner’s own tax attributes will be taken into account when determining the sourcing of distributive share income.</w:t>
      </w:r>
    </w:p>
    <w:p w14:paraId="005A97FE" w14:textId="176084B7" w:rsidR="00DD5AE5" w:rsidRPr="007D4057" w:rsidRDefault="00FF6685" w:rsidP="00366E17">
      <w:pPr>
        <w:pStyle w:val="ListParagraph"/>
        <w:numPr>
          <w:ilvl w:val="0"/>
          <w:numId w:val="41"/>
        </w:numPr>
        <w:spacing w:after="120"/>
        <w:contextualSpacing w:val="0"/>
      </w:pPr>
      <w:r>
        <w:t>Recognize the unit</w:t>
      </w:r>
      <w:r w:rsidR="007D4057">
        <w:t>ary business principle may be implicated where the partnership engages in multiple businesses or where a partner and a partnership are engaged in or contributing to the same unitary business.</w:t>
      </w:r>
      <w:r w:rsidR="00DD5AE5">
        <w:br w:type="page"/>
      </w:r>
    </w:p>
    <w:p w14:paraId="2AD9B650" w14:textId="6FA9125E" w:rsidR="00FB4DF9" w:rsidRDefault="00431D25" w:rsidP="00FB4DF9">
      <w:pPr>
        <w:pStyle w:val="Heading1"/>
      </w:pPr>
      <w:bookmarkStart w:id="67" w:name="_Toc198480746"/>
      <w:r>
        <w:lastRenderedPageBreak/>
        <w:t xml:space="preserve">Section </w:t>
      </w:r>
      <w:r w:rsidR="00B5459F">
        <w:t>I</w:t>
      </w:r>
      <w:r w:rsidR="00464AC0">
        <w:t>I</w:t>
      </w:r>
      <w:r w:rsidR="0045272A">
        <w:t xml:space="preserve">: </w:t>
      </w:r>
      <w:bookmarkEnd w:id="63"/>
      <w:bookmarkEnd w:id="66"/>
      <w:r w:rsidR="00DD5AE5">
        <w:t>Sourcing Partnership Income</w:t>
      </w:r>
      <w:r w:rsidR="00CE2D2B">
        <w:t xml:space="preserve"> – </w:t>
      </w:r>
      <w:r w:rsidR="00CE2D2B">
        <w:br/>
      </w:r>
      <w:r w:rsidR="00B409ED">
        <w:t xml:space="preserve">Proposals for </w:t>
      </w:r>
      <w:r w:rsidR="00CE2D2B">
        <w:t>Addressing The Complex Issues</w:t>
      </w:r>
      <w:bookmarkStart w:id="68" w:name="_Toc153291158"/>
      <w:bookmarkEnd w:id="67"/>
    </w:p>
    <w:p w14:paraId="690A417F" w14:textId="77777777" w:rsidR="00867980" w:rsidRDefault="00CE2D2B" w:rsidP="00867980">
      <w:pPr>
        <w:jc w:val="left"/>
      </w:pPr>
      <w:r>
        <w:t xml:space="preserve">This Section II draws on the </w:t>
      </w:r>
      <w:r w:rsidR="00867980">
        <w:t xml:space="preserve">“lessons” from the </w:t>
      </w:r>
      <w:r w:rsidR="009D30C4">
        <w:t xml:space="preserve">important context discussed in Section I </w:t>
      </w:r>
      <w:r w:rsidR="00867980">
        <w:t xml:space="preserve">above, and </w:t>
      </w:r>
      <w:r w:rsidR="00824DF0">
        <w:t xml:space="preserve">the </w:t>
      </w:r>
      <w:r w:rsidR="00CD431D">
        <w:t xml:space="preserve">detailed </w:t>
      </w:r>
      <w:r w:rsidR="00D479AD">
        <w:t xml:space="preserve">research </w:t>
      </w:r>
      <w:r w:rsidR="00B0547B">
        <w:t>into</w:t>
      </w:r>
      <w:r w:rsidR="00D479AD">
        <w:t xml:space="preserve"> existing state </w:t>
      </w:r>
      <w:r w:rsidR="00F74FC0">
        <w:t xml:space="preserve">sourcing </w:t>
      </w:r>
      <w:r w:rsidR="00D479AD">
        <w:t xml:space="preserve">rules </w:t>
      </w:r>
      <w:r w:rsidR="00CD431D">
        <w:t>for complex partnerships summarized</w:t>
      </w:r>
      <w:r w:rsidR="00D479AD">
        <w:t xml:space="preserve"> in </w:t>
      </w:r>
      <w:r w:rsidR="00597169">
        <w:t>Section III</w:t>
      </w:r>
      <w:r w:rsidR="00867980">
        <w:t xml:space="preserve"> below</w:t>
      </w:r>
      <w:r w:rsidR="00D479AD">
        <w:t>.</w:t>
      </w:r>
      <w:r w:rsidR="00867980">
        <w:t xml:space="preserve"> </w:t>
      </w:r>
    </w:p>
    <w:p w14:paraId="583B7FCC" w14:textId="568A7CEB" w:rsidR="00DD5AE5" w:rsidRDefault="00F818CA" w:rsidP="00867980">
      <w:pPr>
        <w:jc w:val="left"/>
      </w:pPr>
      <w:r>
        <w:t xml:space="preserve">First, this Section II </w:t>
      </w:r>
      <w:r w:rsidR="00CE2D2B">
        <w:t>set</w:t>
      </w:r>
      <w:r w:rsidR="009D30C4">
        <w:t>s</w:t>
      </w:r>
      <w:r w:rsidR="00CE2D2B">
        <w:t xml:space="preserve"> out </w:t>
      </w:r>
      <w:r w:rsidR="00CD431D">
        <w:t xml:space="preserve">a general </w:t>
      </w:r>
      <w:r w:rsidR="00287780">
        <w:t xml:space="preserve">framework for </w:t>
      </w:r>
      <w:r w:rsidR="00CD431D">
        <w:t xml:space="preserve">sourcing partnership income, which the </w:t>
      </w:r>
      <w:r>
        <w:t xml:space="preserve">MTC </w:t>
      </w:r>
      <w:r w:rsidR="00CD431D">
        <w:t xml:space="preserve">work group </w:t>
      </w:r>
      <w:r w:rsidR="00970E31">
        <w:t xml:space="preserve">has considered </w:t>
      </w:r>
      <w:r w:rsidR="00CD431D">
        <w:t>and appears to reflect the consensus as to the general application of state sourcing rules</w:t>
      </w:r>
      <w:r w:rsidR="00FD47E1">
        <w:t xml:space="preserve"> to partnerships</w:t>
      </w:r>
      <w:r w:rsidR="00CD431D">
        <w:t xml:space="preserve">. Then, </w:t>
      </w:r>
      <w:r w:rsidR="009D30C4">
        <w:t xml:space="preserve">it </w:t>
      </w:r>
      <w:r w:rsidR="00287780">
        <w:t>address</w:t>
      </w:r>
      <w:r w:rsidR="009D30C4">
        <w:t>es</w:t>
      </w:r>
      <w:r w:rsidR="00287780">
        <w:t xml:space="preserve"> </w:t>
      </w:r>
      <w:r w:rsidR="00CD431D">
        <w:t xml:space="preserve">particular sourcing issues </w:t>
      </w:r>
      <w:r w:rsidR="00DD5AE5">
        <w:t xml:space="preserve">for which rules may need to be </w:t>
      </w:r>
      <w:r w:rsidR="00CE2D2B">
        <w:t xml:space="preserve">more fully </w:t>
      </w:r>
      <w:r w:rsidR="00DD5AE5">
        <w:t>developed</w:t>
      </w:r>
      <w:r w:rsidR="00453670">
        <w:t xml:space="preserve"> and proposes possible approaches</w:t>
      </w:r>
      <w:r w:rsidR="00CD431D">
        <w:t xml:space="preserve"> to these issues</w:t>
      </w:r>
      <w:r w:rsidR="00453670">
        <w:t xml:space="preserve">. </w:t>
      </w:r>
    </w:p>
    <w:p w14:paraId="2207652E" w14:textId="1FF842E0" w:rsidR="00867980" w:rsidRDefault="00867980" w:rsidP="00867980">
      <w:pPr>
        <w:pStyle w:val="Heading4"/>
      </w:pPr>
      <w:r>
        <w:t>Note</w:t>
      </w:r>
      <w:r w:rsidR="00354F90">
        <w:t>:  Balancing the Recognition of C</w:t>
      </w:r>
      <w:r>
        <w:t>omplex</w:t>
      </w:r>
      <w:r w:rsidR="00354F90">
        <w:t xml:space="preserve">ity with the Need to Illustrate the Approaches  </w:t>
      </w:r>
    </w:p>
    <w:p w14:paraId="05CA7F0A" w14:textId="497EE4B0" w:rsidR="00867980" w:rsidRDefault="00867980" w:rsidP="00D479AD">
      <w:r>
        <w:rPr>
          <w:noProof/>
        </w:rPr>
        <w:drawing>
          <wp:anchor distT="0" distB="0" distL="114300" distR="114300" simplePos="0" relativeHeight="251681280" behindDoc="0" locked="0" layoutInCell="1" allowOverlap="1" wp14:anchorId="7C59E8D0" wp14:editId="2352E644">
            <wp:simplePos x="0" y="0"/>
            <wp:positionH relativeFrom="margin">
              <wp:posOffset>887730</wp:posOffset>
            </wp:positionH>
            <wp:positionV relativeFrom="paragraph">
              <wp:posOffset>669925</wp:posOffset>
            </wp:positionV>
            <wp:extent cx="3980180" cy="2933700"/>
            <wp:effectExtent l="0" t="0" r="1270" b="0"/>
            <wp:wrapTopAndBottom/>
            <wp:docPr id="96393506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980180" cy="2933700"/>
                    </a:xfrm>
                    <a:prstGeom prst="rect">
                      <a:avLst/>
                    </a:prstGeom>
                    <a:noFill/>
                  </pic:spPr>
                </pic:pic>
              </a:graphicData>
            </a:graphic>
            <wp14:sizeRelH relativeFrom="margin">
              <wp14:pctWidth>0</wp14:pctWidth>
            </wp14:sizeRelH>
            <wp14:sizeRelV relativeFrom="margin">
              <wp14:pctHeight>0</wp14:pctHeight>
            </wp14:sizeRelV>
          </wp:anchor>
        </w:drawing>
      </w:r>
      <w:r w:rsidR="0013008E">
        <w:t xml:space="preserve">In considering the issues and approaches discussed in this section, it is important not to lose sight of the basic problem of pass-through taxation, which is the potential complexity of partnership structures today. The graphic </w:t>
      </w:r>
      <w:r>
        <w:t>(below)</w:t>
      </w:r>
      <w:r w:rsidR="0013008E">
        <w:t xml:space="preserve"> </w:t>
      </w:r>
      <w:r w:rsidR="00F1420E">
        <w:t xml:space="preserve">depicts a structure that </w:t>
      </w:r>
      <w:r w:rsidR="0013008E">
        <w:t>is not especially complex</w:t>
      </w:r>
      <w:r w:rsidR="00F1420E">
        <w:t xml:space="preserve">, </w:t>
      </w:r>
      <w:r w:rsidR="0013008E">
        <w:t>but demonstrates t</w:t>
      </w:r>
      <w:r w:rsidR="00F1420E">
        <w:t xml:space="preserve">hree </w:t>
      </w:r>
      <w:r w:rsidR="0013008E">
        <w:t xml:space="preserve">very important realities. </w:t>
      </w:r>
    </w:p>
    <w:p w14:paraId="1306EAA4" w14:textId="77777777" w:rsidR="00F1420E" w:rsidRDefault="00F1420E" w:rsidP="00D479AD"/>
    <w:p w14:paraId="5D08E3EA" w14:textId="77777777" w:rsidR="00F1420E" w:rsidRDefault="0013008E" w:rsidP="00366E17">
      <w:pPr>
        <w:pStyle w:val="ListParagraph"/>
        <w:numPr>
          <w:ilvl w:val="0"/>
          <w:numId w:val="56"/>
        </w:numPr>
        <w:spacing w:after="120"/>
        <w:contextualSpacing w:val="0"/>
      </w:pPr>
      <w:r>
        <w:t xml:space="preserve">First, </w:t>
      </w:r>
      <w:r w:rsidR="00867980">
        <w:t xml:space="preserve">a partnership may have </w:t>
      </w:r>
      <w:r>
        <w:t xml:space="preserve">partners </w:t>
      </w:r>
      <w:r w:rsidR="00867980">
        <w:t xml:space="preserve">that are other partnerships or pass-through entities, or that may be </w:t>
      </w:r>
      <w:r>
        <w:t>corporations</w:t>
      </w:r>
      <w:r w:rsidR="00867980">
        <w:t xml:space="preserve">, including foreign corporations, </w:t>
      </w:r>
      <w:r>
        <w:t>or individuals</w:t>
      </w:r>
      <w:r w:rsidR="00F1420E">
        <w:t>, or (</w:t>
      </w:r>
      <w:r w:rsidR="00867980">
        <w:t>not shown here</w:t>
      </w:r>
      <w:r w:rsidR="00F1420E">
        <w:t>)</w:t>
      </w:r>
      <w:r w:rsidR="00867980">
        <w:t xml:space="preserve"> non-profits or government</w:t>
      </w:r>
      <w:r w:rsidR="00F1420E">
        <w:t>al organizations</w:t>
      </w:r>
      <w:r>
        <w:t xml:space="preserve">. </w:t>
      </w:r>
    </w:p>
    <w:p w14:paraId="109AB6BE" w14:textId="77777777" w:rsidR="00F1420E" w:rsidRDefault="0013008E" w:rsidP="00366E17">
      <w:pPr>
        <w:pStyle w:val="ListParagraph"/>
        <w:numPr>
          <w:ilvl w:val="0"/>
          <w:numId w:val="56"/>
        </w:numPr>
        <w:spacing w:after="120"/>
        <w:contextualSpacing w:val="0"/>
      </w:pPr>
      <w:r>
        <w:t xml:space="preserve">Second, </w:t>
      </w:r>
      <w:r w:rsidR="00F1420E">
        <w:t xml:space="preserve">the distributive share income of a partnership may be allocated through a number of upper-tier partnerships before shares of that income (along with the distributive share income of those other partnerships) is allocated to the ultimate partners. </w:t>
      </w:r>
    </w:p>
    <w:p w14:paraId="63BF3FD7" w14:textId="391C5FF9" w:rsidR="0013008E" w:rsidRDefault="00F1420E" w:rsidP="00366E17">
      <w:pPr>
        <w:pStyle w:val="ListParagraph"/>
        <w:numPr>
          <w:ilvl w:val="0"/>
          <w:numId w:val="56"/>
        </w:numPr>
      </w:pPr>
      <w:r>
        <w:t xml:space="preserve">Third, as shown by the dotted green lines here, partners and their partnerships and other commonly owned partnerships may engage in transactions with each other, which go into the determination of the entities own tax items and income. </w:t>
      </w:r>
    </w:p>
    <w:p w14:paraId="1CE9D165" w14:textId="0CE83399" w:rsidR="00F1420E" w:rsidRDefault="00F1420E" w:rsidP="00F1420E">
      <w:r>
        <w:t>While</w:t>
      </w:r>
      <w:r w:rsidR="00FD47E1">
        <w:t xml:space="preserve"> it is important to keep this reality in mind, it would not be possible to discuss different approaches in this section without using examples that simplify the factual scenarios, or focus on particular aspects of the approach and its application. Any implementation of these approaches will inevitably require considering other scenarios not illustrated in the examples used. </w:t>
      </w:r>
    </w:p>
    <w:p w14:paraId="37411B37" w14:textId="1DA04772" w:rsidR="00287780" w:rsidRDefault="00FD47E1" w:rsidP="00FD47E1">
      <w:pPr>
        <w:pStyle w:val="Heading4"/>
      </w:pPr>
      <w:r>
        <w:lastRenderedPageBreak/>
        <w:t xml:space="preserve">Note: </w:t>
      </w:r>
      <w:r w:rsidR="00287780">
        <w:t>Assumptions</w:t>
      </w:r>
      <w:r w:rsidR="00386C0F">
        <w:t xml:space="preserve"> that are Essential to this Section</w:t>
      </w:r>
    </w:p>
    <w:p w14:paraId="2CBCC769" w14:textId="7B094FEF" w:rsidR="00287780" w:rsidRPr="00287780" w:rsidRDefault="00FD47E1" w:rsidP="00287780">
      <w:r>
        <w:t>T</w:t>
      </w:r>
      <w:r w:rsidR="00AD1A4B">
        <w:t xml:space="preserve">his </w:t>
      </w:r>
      <w:r w:rsidR="00287780">
        <w:t xml:space="preserve">Section II </w:t>
      </w:r>
      <w:r w:rsidR="00AD1A4B">
        <w:t xml:space="preserve">recognizes </w:t>
      </w:r>
      <w:r w:rsidR="00386C0F">
        <w:t xml:space="preserve">that </w:t>
      </w:r>
      <w:r w:rsidR="00970E31">
        <w:t xml:space="preserve">the </w:t>
      </w:r>
      <w:r w:rsidR="00386C0F">
        <w:t xml:space="preserve">pass-through </w:t>
      </w:r>
      <w:r w:rsidR="00970E31">
        <w:t>tax system</w:t>
      </w:r>
      <w:r w:rsidR="00386C0F">
        <w:t xml:space="preserve"> poses certain </w:t>
      </w:r>
      <w:r w:rsidR="00366422">
        <w:t>jurisdiction</w:t>
      </w:r>
      <w:r w:rsidR="00F818CA">
        <w:t>al</w:t>
      </w:r>
      <w:r w:rsidR="00366422">
        <w:t xml:space="preserve"> and nexus </w:t>
      </w:r>
      <w:r w:rsidR="00386C0F">
        <w:t xml:space="preserve">questions </w:t>
      </w:r>
      <w:r w:rsidR="00970E31">
        <w:t xml:space="preserve">that </w:t>
      </w:r>
      <w:r w:rsidR="00386C0F">
        <w:t>may not have clear answers</w:t>
      </w:r>
      <w:r w:rsidR="00150DA7">
        <w:t xml:space="preserve"> and are beyond the scope of this white paper</w:t>
      </w:r>
      <w:r w:rsidR="00386C0F">
        <w:t xml:space="preserve">. This is especially true </w:t>
      </w:r>
      <w:r w:rsidR="00366422">
        <w:t xml:space="preserve">for </w:t>
      </w:r>
      <w:r w:rsidR="00386C0F">
        <w:t xml:space="preserve">complex partnership structures. Therefore, the following assumptions </w:t>
      </w:r>
      <w:r>
        <w:t>are made</w:t>
      </w:r>
      <w:r w:rsidR="00366422">
        <w:t>:</w:t>
      </w:r>
      <w:r w:rsidR="00287780">
        <w:t xml:space="preserve"> </w:t>
      </w:r>
    </w:p>
    <w:p w14:paraId="4B5238C1" w14:textId="75ACE21E" w:rsidR="006A609E" w:rsidRDefault="006A609E" w:rsidP="00366E17">
      <w:pPr>
        <w:pStyle w:val="Heading5"/>
        <w:numPr>
          <w:ilvl w:val="0"/>
          <w:numId w:val="57"/>
        </w:numPr>
        <w:ind w:left="648"/>
      </w:pPr>
      <w:r>
        <w:t xml:space="preserve">States have </w:t>
      </w:r>
      <w:r w:rsidRPr="00FD47E1">
        <w:t>jurisdiction</w:t>
      </w:r>
      <w:r>
        <w:t xml:space="preserve"> to </w:t>
      </w:r>
      <w:r w:rsidR="00FD47E1">
        <w:t xml:space="preserve">impose tax information-reporting requirements on </w:t>
      </w:r>
      <w:r>
        <w:t>tiered partnerships.</w:t>
      </w:r>
    </w:p>
    <w:p w14:paraId="125B8E6A" w14:textId="77777777" w:rsidR="00417A50" w:rsidRDefault="00572689" w:rsidP="006A609E">
      <w:pPr>
        <w:ind w:left="720"/>
      </w:pPr>
      <w:r>
        <w:t xml:space="preserve">As with the </w:t>
      </w:r>
      <w:r w:rsidR="00386C0F">
        <w:t xml:space="preserve">proper </w:t>
      </w:r>
      <w:r>
        <w:t>tax characterization of partnership income generally, s</w:t>
      </w:r>
      <w:r w:rsidR="009D30C4">
        <w:t xml:space="preserve">tate sourcing of </w:t>
      </w:r>
      <w:r>
        <w:t xml:space="preserve">that income requires </w:t>
      </w:r>
      <w:r w:rsidR="00970E31">
        <w:t xml:space="preserve">partnerships to </w:t>
      </w:r>
      <w:r w:rsidR="00417A50">
        <w:t xml:space="preserve">properly </w:t>
      </w:r>
      <w:r w:rsidR="00970E31">
        <w:t xml:space="preserve">track </w:t>
      </w:r>
      <w:r>
        <w:t>information</w:t>
      </w:r>
      <w:r w:rsidR="00970E31">
        <w:t xml:space="preserve"> </w:t>
      </w:r>
      <w:r w:rsidR="00417A50">
        <w:t xml:space="preserve">and report it </w:t>
      </w:r>
      <w:r>
        <w:t>to the partners.</w:t>
      </w:r>
      <w:r w:rsidR="009D30C4">
        <w:t xml:space="preserve"> </w:t>
      </w:r>
      <w:r>
        <w:t xml:space="preserve">This is true whether </w:t>
      </w:r>
      <w:r w:rsidR="009D30C4">
        <w:t xml:space="preserve">states </w:t>
      </w:r>
      <w:r w:rsidR="00417A50">
        <w:t>source income using</w:t>
      </w:r>
      <w:r w:rsidR="009D30C4">
        <w:t xml:space="preserve"> formulary apportionment</w:t>
      </w:r>
      <w:r>
        <w:t xml:space="preserve"> or rules of assignment</w:t>
      </w:r>
      <w:r w:rsidR="009D30C4">
        <w:t xml:space="preserve">. </w:t>
      </w:r>
      <w:r>
        <w:t>And</w:t>
      </w:r>
      <w:r w:rsidR="00970E31">
        <w:t>,</w:t>
      </w:r>
      <w:r>
        <w:t xml:space="preserve"> as with </w:t>
      </w:r>
      <w:r w:rsidR="00417A50">
        <w:t>other tax information</w:t>
      </w:r>
      <w:r>
        <w:t xml:space="preserve">, </w:t>
      </w:r>
      <w:r w:rsidR="00417A50">
        <w:t>ensuring that sourcing information is properly tracked and reported is more</w:t>
      </w:r>
      <w:r w:rsidR="00DA7AF2">
        <w:t xml:space="preserve"> difficult in complex partnership structures</w:t>
      </w:r>
      <w:r w:rsidR="00150DA7">
        <w:t xml:space="preserve"> with tiered partners</w:t>
      </w:r>
      <w:r w:rsidR="00DA7AF2">
        <w:t>.</w:t>
      </w:r>
      <w:r w:rsidR="00417A50">
        <w:t xml:space="preserve"> Today, s</w:t>
      </w:r>
      <w:r w:rsidR="00DA7AF2">
        <w:t xml:space="preserve">tate </w:t>
      </w:r>
      <w:r w:rsidR="006A609E">
        <w:t xml:space="preserve">reporting requirements may not </w:t>
      </w:r>
      <w:r w:rsidR="00417A50">
        <w:t>fully address the</w:t>
      </w:r>
      <w:r w:rsidR="006A609E">
        <w:t xml:space="preserve"> </w:t>
      </w:r>
      <w:r w:rsidR="00DA7AF2">
        <w:t>information</w:t>
      </w:r>
      <w:r w:rsidR="00FC7F2B">
        <w:t xml:space="preserve"> </w:t>
      </w:r>
      <w:r w:rsidR="00150DA7">
        <w:t>necessary for sourcing partnership income</w:t>
      </w:r>
      <w:r w:rsidR="00F818CA">
        <w:t>, especially where blended apportionment is used.</w:t>
      </w:r>
    </w:p>
    <w:p w14:paraId="2EACA489" w14:textId="77777777" w:rsidR="00417A50" w:rsidRDefault="00417A50" w:rsidP="00417A50">
      <w:pPr>
        <w:ind w:left="720"/>
      </w:pPr>
      <w:r>
        <w:t>In c</w:t>
      </w:r>
      <w:r w:rsidR="00C535EA">
        <w:t xml:space="preserve">omplex tiered structures, partnership income from a lower tier may pass through several partnerships before it is allocated to a taxpaying partner. Some of these partnerships may have only an indirect connection to the state in which the income was initially derived. </w:t>
      </w:r>
      <w:r>
        <w:t xml:space="preserve">This raises questions as to whether states have jurisdiction to impose information reporting requirements on partnerships whose only connection with the state may be an indirect partner. </w:t>
      </w:r>
    </w:p>
    <w:p w14:paraId="56837A3F" w14:textId="1718734A" w:rsidR="00CE2D2B" w:rsidRDefault="00417A50" w:rsidP="00417A50">
      <w:pPr>
        <w:ind w:left="720"/>
      </w:pPr>
      <w:r>
        <w:t>These questions have</w:t>
      </w:r>
      <w:r w:rsidR="00150DA7">
        <w:t xml:space="preserve"> not be</w:t>
      </w:r>
      <w:r w:rsidR="00F469BC">
        <w:t>en</w:t>
      </w:r>
      <w:r w:rsidR="00150DA7">
        <w:t xml:space="preserve"> fully answered by the courts.</w:t>
      </w:r>
      <w:r w:rsidR="00C535EA">
        <w:t xml:space="preserve"> </w:t>
      </w:r>
      <w:r w:rsidR="006A609E">
        <w:t>And c</w:t>
      </w:r>
      <w:r w:rsidR="00150DA7">
        <w:t>ases that deal with state regulatory jurisdiction more generally may be of limited application</w:t>
      </w:r>
      <w:r w:rsidR="00C535EA">
        <w:t xml:space="preserve"> because of the unique nature of the pass-through tax system and the attribution principle </w:t>
      </w:r>
      <w:r w:rsidR="006520FD">
        <w:t>on which it relies</w:t>
      </w:r>
      <w:r w:rsidR="00C535EA">
        <w:t>.</w:t>
      </w:r>
      <w:r w:rsidR="00150DA7">
        <w:t xml:space="preserve"> </w:t>
      </w:r>
      <w:r w:rsidR="00C535EA">
        <w:t xml:space="preserve">(See </w:t>
      </w:r>
      <w:r w:rsidR="00366422">
        <w:t>subs</w:t>
      </w:r>
      <w:r w:rsidR="00C535EA">
        <w:t xml:space="preserve">ection I.E. above.) Partnerships </w:t>
      </w:r>
      <w:r>
        <w:t xml:space="preserve">and their partners </w:t>
      </w:r>
      <w:r w:rsidR="00C535EA">
        <w:t xml:space="preserve">are on notice that the </w:t>
      </w:r>
      <w:r w:rsidR="00150DA7">
        <w:t xml:space="preserve">tax </w:t>
      </w:r>
      <w:r w:rsidR="00C535EA">
        <w:t xml:space="preserve">benefits </w:t>
      </w:r>
      <w:r w:rsidR="006A609E">
        <w:t xml:space="preserve">supplied by </w:t>
      </w:r>
      <w:r w:rsidR="00C535EA">
        <w:t>th</w:t>
      </w:r>
      <w:r w:rsidR="006520FD">
        <w:t>is</w:t>
      </w:r>
      <w:r w:rsidR="00C535EA">
        <w:t xml:space="preserve"> </w:t>
      </w:r>
      <w:r>
        <w:t xml:space="preserve">pass-through </w:t>
      </w:r>
      <w:r w:rsidR="00C535EA">
        <w:t xml:space="preserve">system </w:t>
      </w:r>
      <w:r w:rsidR="006520FD">
        <w:t xml:space="preserve">will apply </w:t>
      </w:r>
      <w:r w:rsidR="00C535EA">
        <w:t xml:space="preserve">only to the extent that </w:t>
      </w:r>
      <w:r w:rsidR="001512C8">
        <w:t>they</w:t>
      </w:r>
      <w:r w:rsidR="006A609E">
        <w:t xml:space="preserve"> </w:t>
      </w:r>
      <w:r w:rsidR="001512C8">
        <w:t xml:space="preserve">properly </w:t>
      </w:r>
      <w:r w:rsidR="00C535EA">
        <w:t xml:space="preserve">comply with the </w:t>
      </w:r>
      <w:r w:rsidR="001512C8">
        <w:t>system’s requirements</w:t>
      </w:r>
      <w:r w:rsidR="00C535EA">
        <w:t xml:space="preserve">. </w:t>
      </w:r>
      <w:r w:rsidR="00150DA7">
        <w:t>And this, in turn provides the basis for imposing state reporting requirements.</w:t>
      </w:r>
    </w:p>
    <w:p w14:paraId="757CC0EF" w14:textId="6500F0B4" w:rsidR="00310FB9" w:rsidRDefault="00077E52" w:rsidP="00366E17">
      <w:pPr>
        <w:pStyle w:val="Heading5"/>
        <w:numPr>
          <w:ilvl w:val="0"/>
          <w:numId w:val="57"/>
        </w:numPr>
        <w:ind w:left="648"/>
      </w:pPr>
      <w:r>
        <w:t>States may assert n</w:t>
      </w:r>
      <w:r w:rsidR="00B409ED">
        <w:t xml:space="preserve">exus </w:t>
      </w:r>
      <w:r w:rsidR="006520FD">
        <w:t>over partners</w:t>
      </w:r>
      <w:r>
        <w:t xml:space="preserve"> for their state-sourced partnership income</w:t>
      </w:r>
      <w:r w:rsidR="006520FD">
        <w:t>.</w:t>
      </w:r>
      <w:r w:rsidR="00A72F38">
        <w:t xml:space="preserve"> </w:t>
      </w:r>
    </w:p>
    <w:p w14:paraId="1CD1D59F" w14:textId="6605124C" w:rsidR="00366422" w:rsidRDefault="00A72F38" w:rsidP="001512C8">
      <w:pPr>
        <w:spacing w:line="276" w:lineRule="auto"/>
        <w:ind w:left="720"/>
      </w:pPr>
      <w:commentRangeStart w:id="69"/>
      <w:r>
        <w:t xml:space="preserve">A few </w:t>
      </w:r>
      <w:r w:rsidR="0006523C">
        <w:t xml:space="preserve">state tax </w:t>
      </w:r>
      <w:r>
        <w:t>cases have held</w:t>
      </w:r>
      <w:r w:rsidR="00CE2D2B">
        <w:t xml:space="preserve"> </w:t>
      </w:r>
      <w:r>
        <w:t xml:space="preserve">that nonresident partners cannot be subjected to tax on their state-sourced </w:t>
      </w:r>
      <w:r w:rsidR="00470604">
        <w:t xml:space="preserve">partnership </w:t>
      </w:r>
      <w:r>
        <w:t>income</w:t>
      </w:r>
      <w:r w:rsidR="00B54CE0">
        <w:t>, whether</w:t>
      </w:r>
      <w:r>
        <w:t xml:space="preserve"> </w:t>
      </w:r>
      <w:r w:rsidR="001512C8">
        <w:t>due to a</w:t>
      </w:r>
      <w:r>
        <w:t xml:space="preserve"> lack </w:t>
      </w:r>
      <w:r w:rsidR="001512C8">
        <w:t xml:space="preserve">of </w:t>
      </w:r>
      <w:r w:rsidR="00077E52">
        <w:t xml:space="preserve">constitutional </w:t>
      </w:r>
      <w:r>
        <w:t xml:space="preserve">nexus </w:t>
      </w:r>
      <w:r w:rsidR="001512C8">
        <w:t>or</w:t>
      </w:r>
      <w:r w:rsidR="0006523C">
        <w:t xml:space="preserve"> </w:t>
      </w:r>
      <w:r w:rsidR="001512C8">
        <w:t xml:space="preserve">because </w:t>
      </w:r>
      <w:r w:rsidR="00B54CE0">
        <w:t>the</w:t>
      </w:r>
      <w:r w:rsidR="00B409ED">
        <w:t xml:space="preserve"> </w:t>
      </w:r>
      <w:r>
        <w:t>state</w:t>
      </w:r>
      <w:r w:rsidR="00B54CE0">
        <w:t>’s</w:t>
      </w:r>
      <w:r>
        <w:t xml:space="preserve"> </w:t>
      </w:r>
      <w:r w:rsidR="00077E52">
        <w:t xml:space="preserve">statutory </w:t>
      </w:r>
      <w:r>
        <w:t xml:space="preserve">“doing business” </w:t>
      </w:r>
      <w:r w:rsidR="00B54CE0">
        <w:t>standard was not met</w:t>
      </w:r>
      <w:r w:rsidR="00CE2D2B">
        <w:t xml:space="preserve">. </w:t>
      </w:r>
      <w:r w:rsidR="00B54CE0">
        <w:t>Most of t</w:t>
      </w:r>
      <w:r w:rsidR="006520FD">
        <w:t xml:space="preserve">hese decisions </w:t>
      </w:r>
      <w:r w:rsidR="00B54CE0">
        <w:t xml:space="preserve">appear to have been </w:t>
      </w:r>
      <w:r w:rsidR="006520FD">
        <w:t xml:space="preserve">based on the partner’s </w:t>
      </w:r>
      <w:r w:rsidR="00B54CE0">
        <w:t xml:space="preserve">passive </w:t>
      </w:r>
      <w:r w:rsidR="006520FD">
        <w:t>role on in the partnership.</w:t>
      </w:r>
      <w:r w:rsidR="00B54CE0">
        <w:rPr>
          <w:rStyle w:val="FootnoteReference"/>
        </w:rPr>
        <w:footnoteReference w:id="41"/>
      </w:r>
      <w:r w:rsidR="006520FD">
        <w:t xml:space="preserve"> </w:t>
      </w:r>
      <w:r w:rsidR="00CE2D2B">
        <w:t>However, the basis for some of these cases is now questionable</w:t>
      </w:r>
      <w:r w:rsidR="00F65D57">
        <w:t>.</w:t>
      </w:r>
      <w:r w:rsidR="00B409ED">
        <w:t xml:space="preserve"> </w:t>
      </w:r>
      <w:r w:rsidR="00F65D57">
        <w:t>T</w:t>
      </w:r>
      <w:r w:rsidR="00B409ED">
        <w:t xml:space="preserve">oday, most states </w:t>
      </w:r>
      <w:r w:rsidR="00B54CE0">
        <w:t xml:space="preserve">appear to </w:t>
      </w:r>
      <w:r w:rsidR="00B409ED">
        <w:t xml:space="preserve">assert </w:t>
      </w:r>
      <w:r w:rsidR="001512C8">
        <w:t>nexus</w:t>
      </w:r>
      <w:r w:rsidR="00B409ED">
        <w:t xml:space="preserve"> </w:t>
      </w:r>
      <w:r w:rsidR="001512C8">
        <w:t>over</w:t>
      </w:r>
      <w:r w:rsidR="00B409ED">
        <w:t xml:space="preserve"> partners </w:t>
      </w:r>
      <w:r w:rsidR="001512C8">
        <w:t xml:space="preserve">to tax </w:t>
      </w:r>
      <w:r w:rsidR="00B409ED">
        <w:t>the</w:t>
      </w:r>
      <w:r w:rsidR="0006523C">
        <w:t xml:space="preserve">ir </w:t>
      </w:r>
      <w:r w:rsidR="00B409ED">
        <w:t xml:space="preserve">distributive share </w:t>
      </w:r>
      <w:r w:rsidR="0006523C">
        <w:t xml:space="preserve">income </w:t>
      </w:r>
      <w:r w:rsidR="001512C8">
        <w:t>from a partnership doing business in the state</w:t>
      </w:r>
      <w:r w:rsidR="00B409ED">
        <w:t>, regardless of the nature or role of the partner</w:t>
      </w:r>
      <w:r w:rsidR="00CE2D2B">
        <w:t>.</w:t>
      </w:r>
      <w:r w:rsidR="00310FB9">
        <w:rPr>
          <w:rStyle w:val="FootnoteReference"/>
        </w:rPr>
        <w:footnoteReference w:id="42"/>
      </w:r>
      <w:r w:rsidR="00CE2D2B">
        <w:t xml:space="preserve"> </w:t>
      </w:r>
      <w:r w:rsidR="001512C8">
        <w:t>Like the potential jurisdictional limits discussed above, it</w:t>
      </w:r>
      <w:r w:rsidR="00B54CE0">
        <w:t xml:space="preserve"> </w:t>
      </w:r>
      <w:r w:rsidR="00366422">
        <w:t>would be inconsistent with the attribution principle</w:t>
      </w:r>
      <w:r w:rsidR="001512C8">
        <w:t xml:space="preserve"> to assert that while the partnership itself has nexus with the state, the partners do not</w:t>
      </w:r>
      <w:r w:rsidR="00B54CE0">
        <w:t>.</w:t>
      </w:r>
      <w:r w:rsidR="00366422">
        <w:t xml:space="preserve"> </w:t>
      </w:r>
      <w:r w:rsidR="00B54CE0">
        <w:t xml:space="preserve">Under the attribution principle, the partners are deemed to have engaged in the activity of the partnership which </w:t>
      </w:r>
      <w:r w:rsidR="00324369">
        <w:t xml:space="preserve">generated the tax items regardless of the partner’s role in the partnership. </w:t>
      </w:r>
      <w:commentRangeEnd w:id="69"/>
      <w:r w:rsidR="009B7901">
        <w:rPr>
          <w:rStyle w:val="CommentReference"/>
          <w:rFonts w:ascii="Tisa Offc Serif Pro" w:hAnsi="Tisa Offc Serif Pro"/>
        </w:rPr>
        <w:commentReference w:id="69"/>
      </w:r>
    </w:p>
    <w:p w14:paraId="5E14E7E7" w14:textId="3D893D1E" w:rsidR="00366422" w:rsidRDefault="00366422" w:rsidP="00366E17">
      <w:pPr>
        <w:pStyle w:val="Heading5"/>
        <w:numPr>
          <w:ilvl w:val="0"/>
          <w:numId w:val="57"/>
        </w:numPr>
        <w:ind w:left="648"/>
      </w:pPr>
      <w:r>
        <w:t>To the extent necessary, states may impose entity-level tax or withholding.</w:t>
      </w:r>
    </w:p>
    <w:p w14:paraId="04DDF86F" w14:textId="42BC6A43" w:rsidR="00C106AE" w:rsidRPr="00B409ED" w:rsidRDefault="00A72F38" w:rsidP="00C106AE">
      <w:pPr>
        <w:spacing w:line="276" w:lineRule="auto"/>
        <w:ind w:left="720"/>
      </w:pPr>
      <w:r>
        <w:t xml:space="preserve">To the extent states </w:t>
      </w:r>
      <w:r w:rsidR="00F469BC">
        <w:t xml:space="preserve">are concerned that their jurisdiction or nexus authority </w:t>
      </w:r>
      <w:r w:rsidR="00324369">
        <w:t>may be</w:t>
      </w:r>
      <w:r w:rsidR="00F469BC">
        <w:t xml:space="preserve"> limited</w:t>
      </w:r>
      <w:r>
        <w:t>,</w:t>
      </w:r>
      <w:r w:rsidR="00F469BC">
        <w:t xml:space="preserve"> they may impose</w:t>
      </w:r>
      <w:r>
        <w:t xml:space="preserve"> </w:t>
      </w:r>
      <w:r w:rsidR="00F469BC">
        <w:t xml:space="preserve">entity-level taxes or </w:t>
      </w:r>
      <w:r>
        <w:t xml:space="preserve">withholding requirements </w:t>
      </w:r>
      <w:r w:rsidR="00F469BC">
        <w:t>on</w:t>
      </w:r>
      <w:r>
        <w:t xml:space="preserve"> partnerships with activities in the state</w:t>
      </w:r>
      <w:r w:rsidR="00F469BC">
        <w:t xml:space="preserve">. These requirements may ease administrative burdens in addition to </w:t>
      </w:r>
      <w:r>
        <w:t>ensur</w:t>
      </w:r>
      <w:r w:rsidR="00F469BC">
        <w:t>ing</w:t>
      </w:r>
      <w:r>
        <w:t xml:space="preserve"> that </w:t>
      </w:r>
      <w:r w:rsidR="0006523C">
        <w:t xml:space="preserve">tax is paid on </w:t>
      </w:r>
      <w:r>
        <w:t>distributive share income allocated to out-of-state partners</w:t>
      </w:r>
      <w:r w:rsidR="00F469BC">
        <w:t xml:space="preserve">. However, as with information reporting requirements, the entity-level taxes or withholding requirements </w:t>
      </w:r>
      <w:r w:rsidR="001512C8">
        <w:t xml:space="preserve">used by states today </w:t>
      </w:r>
      <w:r w:rsidR="00F469BC">
        <w:t xml:space="preserve">may need to be modified to ensure that </w:t>
      </w:r>
      <w:r w:rsidR="00324369">
        <w:t xml:space="preserve">they also work for complex </w:t>
      </w:r>
      <w:r w:rsidR="00F469BC">
        <w:t xml:space="preserve">partnership </w:t>
      </w:r>
      <w:r w:rsidR="00324369">
        <w:t xml:space="preserve">structures. </w:t>
      </w:r>
    </w:p>
    <w:p w14:paraId="24A0BC9C" w14:textId="5B718B5D" w:rsidR="00D479AD" w:rsidRDefault="00DD5AE5" w:rsidP="00453670">
      <w:pPr>
        <w:pStyle w:val="Heading2"/>
      </w:pPr>
      <w:bookmarkStart w:id="70" w:name="_Toc198480747"/>
      <w:r>
        <w:lastRenderedPageBreak/>
        <w:t xml:space="preserve">II. A. </w:t>
      </w:r>
      <w:r w:rsidR="000245DB">
        <w:t xml:space="preserve">General </w:t>
      </w:r>
      <w:r w:rsidR="0006523C">
        <w:t>Framework for Sourcing Partnership Income</w:t>
      </w:r>
      <w:bookmarkEnd w:id="70"/>
    </w:p>
    <w:p w14:paraId="4190618E" w14:textId="3CF46B22" w:rsidR="00DD5AE5" w:rsidRDefault="001D7F3E" w:rsidP="00DD5AE5">
      <w:r>
        <w:t>While this</w:t>
      </w:r>
      <w:r w:rsidR="00701EE6">
        <w:t xml:space="preserve"> white paper </w:t>
      </w:r>
      <w:r w:rsidR="00B47BD8">
        <w:t>is</w:t>
      </w:r>
      <w:r w:rsidR="00701EE6">
        <w:t xml:space="preserve"> </w:t>
      </w:r>
      <w:r w:rsidR="00B47BD8">
        <w:t>primarily</w:t>
      </w:r>
      <w:r w:rsidR="00701EE6">
        <w:t xml:space="preserve"> </w:t>
      </w:r>
      <w:r>
        <w:t xml:space="preserve">focused </w:t>
      </w:r>
      <w:r w:rsidR="00701EE6">
        <w:t xml:space="preserve">on </w:t>
      </w:r>
      <w:r w:rsidR="000245DB">
        <w:t xml:space="preserve">sourcing issues </w:t>
      </w:r>
      <w:r w:rsidR="00701EE6">
        <w:t xml:space="preserve">raised by </w:t>
      </w:r>
      <w:r w:rsidR="000245DB">
        <w:t>complex partnership structures</w:t>
      </w:r>
      <w:r>
        <w:t>,</w:t>
      </w:r>
      <w:r w:rsidR="000245DB">
        <w:t xml:space="preserve"> </w:t>
      </w:r>
      <w:r>
        <w:t>b</w:t>
      </w:r>
      <w:r w:rsidR="00F469BC">
        <w:t>efore turning to those issues</w:t>
      </w:r>
      <w:r w:rsidR="00B47BD8">
        <w:t xml:space="preserve">, </w:t>
      </w:r>
      <w:r w:rsidR="00F469BC">
        <w:t xml:space="preserve">this subsection II.A. </w:t>
      </w:r>
      <w:r w:rsidR="00B47BD8">
        <w:t>set</w:t>
      </w:r>
      <w:r w:rsidR="00F469BC">
        <w:t>s</w:t>
      </w:r>
      <w:r w:rsidR="00B47BD8">
        <w:t xml:space="preserve"> out </w:t>
      </w:r>
      <w:r w:rsidR="001E36D2">
        <w:t>the</w:t>
      </w:r>
      <w:r w:rsidR="0006523C">
        <w:t xml:space="preserve"> general framework </w:t>
      </w:r>
      <w:r w:rsidR="000A2DCD">
        <w:t>for sourcing partnership income which has been presented to and discussed by the work group.</w:t>
      </w:r>
      <w:r w:rsidR="00B47BD8">
        <w:t xml:space="preserve"> </w:t>
      </w:r>
      <w:r w:rsidR="00C266A7">
        <w:t xml:space="preserve"> </w:t>
      </w:r>
    </w:p>
    <w:p w14:paraId="416AD7B8" w14:textId="00932C4A" w:rsidR="007E664D" w:rsidRDefault="0004029B" w:rsidP="007E664D">
      <w:pPr>
        <w:pStyle w:val="Heading4"/>
        <w:ind w:left="360"/>
      </w:pPr>
      <w:r>
        <w:t xml:space="preserve">General </w:t>
      </w:r>
      <w:r w:rsidR="007E664D">
        <w:t>Framework</w:t>
      </w:r>
    </w:p>
    <w:p w14:paraId="472FB872" w14:textId="586E8374" w:rsidR="001F2341" w:rsidRDefault="001D7F3E" w:rsidP="00366E17">
      <w:pPr>
        <w:pStyle w:val="Heading5"/>
        <w:numPr>
          <w:ilvl w:val="0"/>
          <w:numId w:val="58"/>
        </w:numPr>
      </w:pPr>
      <w:r>
        <w:t>Partnership</w:t>
      </w:r>
      <w:r w:rsidR="00532302">
        <w:t xml:space="preserve"> Determines Whether Items are</w:t>
      </w:r>
      <w:r w:rsidR="00C13E6A">
        <w:t xml:space="preserve"> </w:t>
      </w:r>
      <w:r w:rsidR="00532302">
        <w:t xml:space="preserve">Apportionable or </w:t>
      </w:r>
      <w:r w:rsidR="009B6DD2">
        <w:t>non</w:t>
      </w:r>
      <w:r w:rsidR="00C106AE">
        <w:t>-Apportionable</w:t>
      </w:r>
      <w:r w:rsidR="009B6DD2">
        <w:t xml:space="preserve"> </w:t>
      </w:r>
    </w:p>
    <w:p w14:paraId="302D22EB" w14:textId="72259530" w:rsidR="001D7F3E" w:rsidRDefault="001D7F3E" w:rsidP="00B82C45">
      <w:pPr>
        <w:spacing w:after="120"/>
        <w:ind w:left="720"/>
      </w:pPr>
      <w:r>
        <w:t>S</w:t>
      </w:r>
      <w:r w:rsidR="00726CA9">
        <w:t>tate r</w:t>
      </w:r>
      <w:r w:rsidR="00980FFE">
        <w:t xml:space="preserve">ules for determining whether items are </w:t>
      </w:r>
      <w:r w:rsidR="00B82C45">
        <w:t xml:space="preserve">apportionable or </w:t>
      </w:r>
      <w:r w:rsidR="00980FFE">
        <w:t>non-apportionable will be applied</w:t>
      </w:r>
      <w:r w:rsidR="00C106AE">
        <w:t xml:space="preserve"> </w:t>
      </w:r>
      <w:r>
        <w:t>to items recognized or incurred by directly by the partnership. This “</w:t>
      </w:r>
      <w:r w:rsidR="000A2DCD">
        <w:t>partnership</w:t>
      </w:r>
      <w:r>
        <w:t>-</w:t>
      </w:r>
      <w:r w:rsidR="000A2DCD">
        <w:t>level</w:t>
      </w:r>
      <w:r>
        <w:t>” determination will then become part of the character of the item and, like the other tax characteristics of the item, is attributed to any direct or indirect partner that receives a distributive share of that item</w:t>
      </w:r>
      <w:r w:rsidR="00980FFE">
        <w:t>.</w:t>
      </w:r>
      <w:r w:rsidR="000A2DCD">
        <w:t xml:space="preserve"> </w:t>
      </w:r>
    </w:p>
    <w:p w14:paraId="6C1F1900" w14:textId="66E5DB43" w:rsidR="001D7F3E" w:rsidRDefault="001D7F3E" w:rsidP="00366E17">
      <w:pPr>
        <w:pStyle w:val="Heading5"/>
        <w:numPr>
          <w:ilvl w:val="0"/>
          <w:numId w:val="58"/>
        </w:numPr>
      </w:pPr>
      <w:r>
        <w:t>Partnership</w:t>
      </w:r>
      <w:r w:rsidR="00532302">
        <w:t xml:space="preserve"> Sources </w:t>
      </w:r>
      <w:r>
        <w:t>non-Apportionable Items</w:t>
      </w:r>
    </w:p>
    <w:p w14:paraId="647A38E3" w14:textId="3FA51AC7" w:rsidR="00092423" w:rsidRDefault="00B82C45" w:rsidP="00B82C45">
      <w:pPr>
        <w:spacing w:after="120"/>
        <w:ind w:left="720"/>
      </w:pPr>
      <w:r>
        <w:t>If t</w:t>
      </w:r>
      <w:r w:rsidR="00C106AE">
        <w:t xml:space="preserve">he item </w:t>
      </w:r>
      <w:r>
        <w:t xml:space="preserve">is </w:t>
      </w:r>
      <w:r w:rsidR="00C106AE">
        <w:t>determined to be non-apportionable</w:t>
      </w:r>
      <w:r>
        <w:t>, it will be sourced applying state rules</w:t>
      </w:r>
      <w:r w:rsidR="001D7F3E">
        <w:t xml:space="preserve"> of assignment</w:t>
      </w:r>
      <w:r>
        <w:t xml:space="preserve"> based on the partnership’s activities and information. This source</w:t>
      </w:r>
      <w:r w:rsidR="00C106AE">
        <w:t xml:space="preserve"> will then </w:t>
      </w:r>
      <w:r w:rsidR="00980FFE">
        <w:t xml:space="preserve">be </w:t>
      </w:r>
      <w:r w:rsidR="00C13E6A">
        <w:t xml:space="preserve">attributed to any direct or indirect partner </w:t>
      </w:r>
      <w:r w:rsidR="00980FFE" w:rsidRPr="00980FFE">
        <w:t xml:space="preserve">that receives a distributive share of that item </w:t>
      </w:r>
      <w:r w:rsidR="00092423">
        <w:t xml:space="preserve">and will control the sourcing of the item, </w:t>
      </w:r>
      <w:r w:rsidR="00980FFE" w:rsidRPr="00980FFE">
        <w:t>regardless of whether the partner’s distributive share of th</w:t>
      </w:r>
      <w:r w:rsidR="00092423">
        <w:t>e</w:t>
      </w:r>
      <w:r w:rsidR="00980FFE" w:rsidRPr="00980FFE">
        <w:t xml:space="preserve"> partnership’s income would generally be considered apportionable or non-apportionable income to th</w:t>
      </w:r>
      <w:r w:rsidR="00092423">
        <w:t>at</w:t>
      </w:r>
      <w:r w:rsidR="00980FFE" w:rsidRPr="00980FFE">
        <w:t xml:space="preserve"> partner</w:t>
      </w:r>
      <w:r w:rsidR="00980FFE">
        <w:t>.</w:t>
      </w:r>
    </w:p>
    <w:p w14:paraId="15C07EC8" w14:textId="569EF1EB" w:rsidR="000A2DCD" w:rsidRPr="006136E4" w:rsidRDefault="001D7F3E" w:rsidP="00366E17">
      <w:pPr>
        <w:pStyle w:val="Heading5"/>
        <w:numPr>
          <w:ilvl w:val="0"/>
          <w:numId w:val="58"/>
        </w:numPr>
      </w:pPr>
      <w:r>
        <w:t>Partnership</w:t>
      </w:r>
      <w:r w:rsidR="00532302">
        <w:t xml:space="preserve"> Sources</w:t>
      </w:r>
      <w:r>
        <w:t xml:space="preserve"> Apportionable Items</w:t>
      </w:r>
      <w:r w:rsidR="00980FFE">
        <w:t xml:space="preserve"> and Exception</w:t>
      </w:r>
      <w:r w:rsidR="001F2341" w:rsidRPr="006136E4">
        <w:t xml:space="preserve"> </w:t>
      </w:r>
    </w:p>
    <w:p w14:paraId="5849EAA6" w14:textId="0D652312" w:rsidR="00145CD9" w:rsidRDefault="009B6DD2" w:rsidP="004F7B95">
      <w:pPr>
        <w:spacing w:after="120"/>
        <w:ind w:left="648"/>
      </w:pPr>
      <w:r>
        <w:t xml:space="preserve">If the item is determined to be apportionable, it will be sourced </w:t>
      </w:r>
      <w:r w:rsidR="001D7F3E">
        <w:t xml:space="preserve">applying </w:t>
      </w:r>
      <w:r>
        <w:t xml:space="preserve">state apportionment rules based on the partnership’s activities and information. </w:t>
      </w:r>
      <w:r w:rsidR="00980FFE">
        <w:t>Th</w:t>
      </w:r>
      <w:r>
        <w:t xml:space="preserve">is </w:t>
      </w:r>
      <w:r w:rsidR="00C106AE">
        <w:t>source will then</w:t>
      </w:r>
      <w:r w:rsidR="00C13E6A">
        <w:t xml:space="preserve"> </w:t>
      </w:r>
      <w:r w:rsidR="00980FFE">
        <w:t xml:space="preserve">be </w:t>
      </w:r>
      <w:r w:rsidR="00C13E6A">
        <w:t xml:space="preserve">attributed to any direct or indirect partner that receives a distributive share of that item </w:t>
      </w:r>
      <w:r w:rsidR="00C106AE">
        <w:t xml:space="preserve">and will control the sourcing of the item, </w:t>
      </w:r>
      <w:r w:rsidR="00C13E6A">
        <w:t>regardless of whether the partner’s distributive share of the partnership’s income would generally be considered apportionable or non-apportionable income to th</w:t>
      </w:r>
      <w:r>
        <w:t>at</w:t>
      </w:r>
      <w:r w:rsidR="00C13E6A">
        <w:t xml:space="preserve"> partner, </w:t>
      </w:r>
      <w:r w:rsidR="00C106AE">
        <w:t>EXCEPT</w:t>
      </w:r>
      <w:r w:rsidR="00980FFE">
        <w:t xml:space="preserve"> if</w:t>
      </w:r>
      <w:r w:rsidR="00C13E6A">
        <w:t>:</w:t>
      </w:r>
    </w:p>
    <w:p w14:paraId="31575B35" w14:textId="19FD1B17" w:rsidR="00C13E6A" w:rsidRDefault="00C13E6A" w:rsidP="00366E17">
      <w:pPr>
        <w:pStyle w:val="ListParagraph"/>
        <w:numPr>
          <w:ilvl w:val="1"/>
          <w:numId w:val="45"/>
        </w:numPr>
        <w:spacing w:after="120"/>
        <w:ind w:left="1368"/>
        <w:contextualSpacing w:val="0"/>
      </w:pPr>
      <w:r>
        <w:t xml:space="preserve">The </w:t>
      </w:r>
      <w:r w:rsidR="00532302">
        <w:t xml:space="preserve">item would properly be included in the </w:t>
      </w:r>
      <w:r>
        <w:t>partner</w:t>
      </w:r>
      <w:r w:rsidR="00532302">
        <w:t>’s</w:t>
      </w:r>
      <w:r>
        <w:t xml:space="preserve"> </w:t>
      </w:r>
      <w:r w:rsidR="00980FFE">
        <w:t>own apportionable income; and</w:t>
      </w:r>
    </w:p>
    <w:p w14:paraId="6F9CEDF9" w14:textId="12094A97" w:rsidR="004F7B95" w:rsidRDefault="00980FFE" w:rsidP="00366E17">
      <w:pPr>
        <w:pStyle w:val="ListParagraph"/>
        <w:numPr>
          <w:ilvl w:val="1"/>
          <w:numId w:val="45"/>
        </w:numPr>
        <w:spacing w:after="120"/>
        <w:ind w:left="1368"/>
        <w:contextualSpacing w:val="0"/>
      </w:pPr>
      <w:r>
        <w:t>The state rules provide for the use of blended apportionment</w:t>
      </w:r>
      <w:r w:rsidR="001D7F3E">
        <w:t xml:space="preserve"> under the circumstances</w:t>
      </w:r>
      <w:r>
        <w:t xml:space="preserve">. </w:t>
      </w:r>
    </w:p>
    <w:p w14:paraId="4F5418BC" w14:textId="285AAA70" w:rsidR="007E664D" w:rsidRDefault="007E664D" w:rsidP="00D55145">
      <w:pPr>
        <w:pStyle w:val="Heading4"/>
        <w:ind w:left="720"/>
      </w:pPr>
      <w:r>
        <w:t>Example</w:t>
      </w:r>
      <w:r w:rsidR="004F7B95">
        <w:t xml:space="preserve"> 1</w:t>
      </w:r>
    </w:p>
    <w:p w14:paraId="5375B03C" w14:textId="77777777" w:rsidR="007E664D" w:rsidRDefault="007E664D" w:rsidP="00D55145">
      <w:pPr>
        <w:spacing w:after="120"/>
        <w:ind w:left="1080"/>
      </w:pPr>
      <w:r>
        <w:t xml:space="preserve">Assume: </w:t>
      </w:r>
    </w:p>
    <w:p w14:paraId="761C571B" w14:textId="34646943" w:rsidR="00EC4377" w:rsidRDefault="007E664D" w:rsidP="00366E17">
      <w:pPr>
        <w:pStyle w:val="ListParagraph"/>
        <w:numPr>
          <w:ilvl w:val="0"/>
          <w:numId w:val="46"/>
        </w:numPr>
        <w:spacing w:after="60"/>
        <w:ind w:left="1800"/>
        <w:contextualSpacing w:val="0"/>
      </w:pPr>
      <w:r>
        <w:t xml:space="preserve">Corp X </w:t>
      </w:r>
      <w:r w:rsidR="00EC4377">
        <w:t>operates entirely in State 1</w:t>
      </w:r>
    </w:p>
    <w:p w14:paraId="4D4384DE" w14:textId="3C73635A" w:rsidR="007E664D" w:rsidRDefault="00EC4377" w:rsidP="00366E17">
      <w:pPr>
        <w:pStyle w:val="ListParagraph"/>
        <w:numPr>
          <w:ilvl w:val="0"/>
          <w:numId w:val="46"/>
        </w:numPr>
        <w:spacing w:after="60"/>
        <w:ind w:left="1800"/>
        <w:contextualSpacing w:val="0"/>
      </w:pPr>
      <w:r>
        <w:t xml:space="preserve">Corp X </w:t>
      </w:r>
      <w:r w:rsidR="007E664D">
        <w:t>is a partner in Partnership Y.</w:t>
      </w:r>
    </w:p>
    <w:p w14:paraId="47974F34" w14:textId="3A1AF921" w:rsidR="007E664D" w:rsidRDefault="007E664D" w:rsidP="00366E17">
      <w:pPr>
        <w:pStyle w:val="ListParagraph"/>
        <w:numPr>
          <w:ilvl w:val="0"/>
          <w:numId w:val="46"/>
        </w:numPr>
        <w:spacing w:after="60"/>
        <w:ind w:left="1800"/>
        <w:contextualSpacing w:val="0"/>
      </w:pPr>
      <w:r>
        <w:t xml:space="preserve">Corp X has </w:t>
      </w:r>
      <w:r w:rsidR="00EC4377">
        <w:t>a</w:t>
      </w:r>
      <w:r>
        <w:t xml:space="preserve"> 10% interest in Y and is allocated 10% of Y’s income.</w:t>
      </w:r>
    </w:p>
    <w:p w14:paraId="1BAD5914" w14:textId="70480188" w:rsidR="007E664D" w:rsidRDefault="007E664D" w:rsidP="00366E17">
      <w:pPr>
        <w:pStyle w:val="ListParagraph"/>
        <w:numPr>
          <w:ilvl w:val="0"/>
          <w:numId w:val="46"/>
        </w:numPr>
        <w:spacing w:after="60"/>
        <w:ind w:left="1800"/>
        <w:contextualSpacing w:val="0"/>
      </w:pPr>
      <w:r>
        <w:t xml:space="preserve">Partnership Y apportions 50% of its $1 million income to State </w:t>
      </w:r>
      <w:r w:rsidR="00EC4377">
        <w:t>2</w:t>
      </w:r>
    </w:p>
    <w:p w14:paraId="2984CD89" w14:textId="3546619F" w:rsidR="00EC4377" w:rsidRDefault="00EC4377" w:rsidP="00366E17">
      <w:pPr>
        <w:pStyle w:val="ListParagraph"/>
        <w:numPr>
          <w:ilvl w:val="0"/>
          <w:numId w:val="46"/>
        </w:numPr>
        <w:spacing w:after="120"/>
        <w:ind w:left="1800"/>
        <w:contextualSpacing w:val="0"/>
      </w:pPr>
      <w:r>
        <w:t>Corp X’s distributive share of Y’s income would generally be considered non-apportionable income to X</w:t>
      </w:r>
    </w:p>
    <w:p w14:paraId="453CE18D" w14:textId="414EFCB3" w:rsidR="004F7B95" w:rsidRDefault="004F7B95" w:rsidP="001D7F3E">
      <w:pPr>
        <w:ind w:left="1080"/>
      </w:pPr>
      <w:r>
        <w:t>C</w:t>
      </w:r>
      <w:r w:rsidR="007E664D">
        <w:t xml:space="preserve">orp X would source </w:t>
      </w:r>
      <w:r w:rsidR="00EC4377">
        <w:t xml:space="preserve">50% of </w:t>
      </w:r>
      <w:r w:rsidR="007E664D">
        <w:t>its 10% share of the $1 million</w:t>
      </w:r>
      <w:r w:rsidR="00EC4377">
        <w:t xml:space="preserve"> to State 2</w:t>
      </w:r>
    </w:p>
    <w:p w14:paraId="38319356" w14:textId="1318764B" w:rsidR="00EC4377" w:rsidRDefault="00EC4377" w:rsidP="00D55145">
      <w:pPr>
        <w:pStyle w:val="Heading4"/>
        <w:ind w:left="720"/>
      </w:pPr>
      <w:r>
        <w:t>Example 2</w:t>
      </w:r>
    </w:p>
    <w:p w14:paraId="0251E409" w14:textId="79BB570E" w:rsidR="00D55145" w:rsidRDefault="00EC4377" w:rsidP="001D7F3E">
      <w:pPr>
        <w:ind w:left="1080"/>
      </w:pPr>
      <w:r>
        <w:t xml:space="preserve">Assume the same facts as Example 1 except that Corp X’s distributive share of Y’s income would generally be considered apportionable income to X. In that case, </w:t>
      </w:r>
      <w:r w:rsidR="00A36738">
        <w:t xml:space="preserve">X might use blended apportionment to source X’s share of Y’s income, provided </w:t>
      </w:r>
      <w:r>
        <w:t xml:space="preserve">State 2 </w:t>
      </w:r>
      <w:r w:rsidR="00A36738">
        <w:t>allows</w:t>
      </w:r>
      <w:r>
        <w:t xml:space="preserve"> blended apportionment and would apply that approach to X</w:t>
      </w:r>
      <w:r w:rsidR="00A36738">
        <w:t xml:space="preserve"> here</w:t>
      </w:r>
      <w:r>
        <w:t xml:space="preserve">. </w:t>
      </w:r>
    </w:p>
    <w:p w14:paraId="658F94E2" w14:textId="6B97B3A8" w:rsidR="00D55145" w:rsidRDefault="00532302" w:rsidP="00532302">
      <w:pPr>
        <w:spacing w:line="276" w:lineRule="auto"/>
      </w:pPr>
      <w:r>
        <w:t>Note that under this general framework a partner would not simply apply state sourcing rules to the distributive share income based on the partner’s own activities or information, nor would a partner simply source the income to the partner’s domicile or residence under any circumstances.</w:t>
      </w:r>
    </w:p>
    <w:p w14:paraId="63F3198C" w14:textId="5928C782" w:rsidR="00925E90" w:rsidRDefault="00F56481" w:rsidP="00E80F48">
      <w:pPr>
        <w:pStyle w:val="Heading2"/>
      </w:pPr>
      <w:bookmarkStart w:id="71" w:name="_Toc198480748"/>
      <w:r>
        <w:lastRenderedPageBreak/>
        <w:t>II.</w:t>
      </w:r>
      <w:r w:rsidR="00E80F48">
        <w:t>B</w:t>
      </w:r>
      <w:r>
        <w:t xml:space="preserve">. </w:t>
      </w:r>
      <w:r w:rsidR="00E10036">
        <w:t>Use of Blended Apportionment</w:t>
      </w:r>
      <w:bookmarkEnd w:id="71"/>
      <w:r w:rsidR="00E10036">
        <w:t xml:space="preserve"> </w:t>
      </w:r>
    </w:p>
    <w:p w14:paraId="0A52235F" w14:textId="77777777" w:rsidR="000B7884" w:rsidRDefault="004D00C2" w:rsidP="00E80F48">
      <w:r>
        <w:t xml:space="preserve">In general, </w:t>
      </w:r>
      <w:r w:rsidR="00532302">
        <w:t>“</w:t>
      </w:r>
      <w:r>
        <w:t>blended apportionment</w:t>
      </w:r>
      <w:r w:rsidR="00532302">
        <w:t>”</w:t>
      </w:r>
      <w:r>
        <w:t xml:space="preserve"> </w:t>
      </w:r>
      <w:r w:rsidR="004F7B95">
        <w:t xml:space="preserve">uses </w:t>
      </w:r>
      <w:r w:rsidR="00532302">
        <w:t xml:space="preserve">an apportionment formula that combines the partner’s share of the </w:t>
      </w:r>
      <w:r>
        <w:t>partnership</w:t>
      </w:r>
      <w:r w:rsidR="00532302">
        <w:t>’s apportionment factors</w:t>
      </w:r>
      <w:r w:rsidR="00F34D39">
        <w:t xml:space="preserve"> with the partner’s own factors</w:t>
      </w:r>
      <w:r w:rsidR="00532302">
        <w:t xml:space="preserve">. This blended formula is then applied to the partner’s </w:t>
      </w:r>
      <w:r w:rsidR="00F34D39">
        <w:t>total apportionable</w:t>
      </w:r>
      <w:r w:rsidR="00532302">
        <w:t xml:space="preserve"> income</w:t>
      </w:r>
      <w:r w:rsidR="00F34D39">
        <w:t xml:space="preserve">, including its </w:t>
      </w:r>
      <w:r w:rsidR="00532302">
        <w:t xml:space="preserve">share of </w:t>
      </w:r>
      <w:r w:rsidR="00F34D39">
        <w:t>the partnership’s apportionable income</w:t>
      </w:r>
      <w:r>
        <w:t xml:space="preserve">. </w:t>
      </w:r>
      <w:r w:rsidR="00F34D39">
        <w:t>Discussion of this blended apportionment method will</w:t>
      </w:r>
      <w:r>
        <w:t xml:space="preserve"> generally focus on the receipts factor, </w:t>
      </w:r>
      <w:r w:rsidR="00F34D39">
        <w:t>but its application to</w:t>
      </w:r>
      <w:r>
        <w:t xml:space="preserve"> property and payroll factors would be similar. </w:t>
      </w:r>
    </w:p>
    <w:p w14:paraId="4B9FBDA1" w14:textId="773A155A" w:rsidR="00E80F48" w:rsidRDefault="004D00C2" w:rsidP="00E80F48">
      <w:r>
        <w:t xml:space="preserve">Importantly, </w:t>
      </w:r>
      <w:r w:rsidR="00F34D39">
        <w:t xml:space="preserve">the sourcing results will vary depending on whether income of the partner and partnership is apportioned separately or whether blended apportionment is used. Therefore, states should clearly specify the use of blended apportionment. </w:t>
      </w:r>
    </w:p>
    <w:p w14:paraId="438FCEE6" w14:textId="237926F6" w:rsidR="007D7E35" w:rsidRDefault="005E665C" w:rsidP="007D7E35">
      <w:pPr>
        <w:pStyle w:val="Heading3"/>
      </w:pPr>
      <w:bookmarkStart w:id="72" w:name="_Toc198480749"/>
      <w:r>
        <w:t xml:space="preserve">Effect of </w:t>
      </w:r>
      <w:r w:rsidR="007D7E35">
        <w:t>Blended Apportionment – Simple Example</w:t>
      </w:r>
      <w:bookmarkEnd w:id="72"/>
    </w:p>
    <w:p w14:paraId="42C1E644" w14:textId="3CFD4CBE" w:rsidR="00E80F48" w:rsidRDefault="00E80F48" w:rsidP="00E80F48">
      <w:r>
        <w:t xml:space="preserve">For example, assume Corporation is a partner in Partnership and is allocated </w:t>
      </w:r>
      <w:r w:rsidR="00F31935">
        <w:t>2</w:t>
      </w:r>
      <w:r>
        <w:t xml:space="preserve">0% of </w:t>
      </w:r>
      <w:r w:rsidR="00F31935">
        <w:t xml:space="preserve">the </w:t>
      </w:r>
      <w:r>
        <w:t xml:space="preserve">Partnership’s income. For State X, </w:t>
      </w:r>
      <w:r w:rsidR="00F34D39">
        <w:t xml:space="preserve">the </w:t>
      </w:r>
      <w:r>
        <w:t>income and apportionment factors are as follows:</w:t>
      </w:r>
    </w:p>
    <w:tbl>
      <w:tblPr>
        <w:tblStyle w:val="TableGrid"/>
        <w:tblW w:w="0" w:type="auto"/>
        <w:tblInd w:w="805" w:type="dxa"/>
        <w:tblCellMar>
          <w:top w:w="29" w:type="dxa"/>
          <w:bottom w:w="29" w:type="dxa"/>
        </w:tblCellMar>
        <w:tblLook w:val="04A0" w:firstRow="1" w:lastRow="0" w:firstColumn="1" w:lastColumn="0" w:noHBand="0" w:noVBand="1"/>
      </w:tblPr>
      <w:tblGrid>
        <w:gridCol w:w="3420"/>
        <w:gridCol w:w="2070"/>
        <w:gridCol w:w="2070"/>
      </w:tblGrid>
      <w:tr w:rsidR="00E80F48" w14:paraId="12817ECE" w14:textId="77777777" w:rsidTr="005E665C">
        <w:tc>
          <w:tcPr>
            <w:tcW w:w="3420" w:type="dxa"/>
          </w:tcPr>
          <w:p w14:paraId="21F2C39F" w14:textId="77777777" w:rsidR="00E80F48" w:rsidRPr="00F34D39" w:rsidRDefault="00E80F48" w:rsidP="00E80F48">
            <w:pPr>
              <w:rPr>
                <w:sz w:val="18"/>
                <w:szCs w:val="18"/>
              </w:rPr>
            </w:pPr>
          </w:p>
        </w:tc>
        <w:tc>
          <w:tcPr>
            <w:tcW w:w="2070" w:type="dxa"/>
          </w:tcPr>
          <w:p w14:paraId="79476461" w14:textId="09CB9032" w:rsidR="00E80F48" w:rsidRPr="00F34D39" w:rsidRDefault="00E80F48" w:rsidP="00E80F48">
            <w:pPr>
              <w:jc w:val="center"/>
              <w:rPr>
                <w:sz w:val="18"/>
                <w:szCs w:val="18"/>
              </w:rPr>
            </w:pPr>
            <w:r w:rsidRPr="00F34D39">
              <w:rPr>
                <w:sz w:val="18"/>
                <w:szCs w:val="18"/>
              </w:rPr>
              <w:t>Corporation</w:t>
            </w:r>
          </w:p>
        </w:tc>
        <w:tc>
          <w:tcPr>
            <w:tcW w:w="2070" w:type="dxa"/>
          </w:tcPr>
          <w:p w14:paraId="42E2D13A" w14:textId="73E6ECDE" w:rsidR="00E80F48" w:rsidRPr="00F34D39" w:rsidRDefault="00E80F48" w:rsidP="00E80F48">
            <w:pPr>
              <w:jc w:val="center"/>
              <w:rPr>
                <w:sz w:val="18"/>
                <w:szCs w:val="18"/>
              </w:rPr>
            </w:pPr>
            <w:r w:rsidRPr="00F34D39">
              <w:rPr>
                <w:sz w:val="18"/>
                <w:szCs w:val="18"/>
              </w:rPr>
              <w:t>Partnership</w:t>
            </w:r>
          </w:p>
        </w:tc>
      </w:tr>
      <w:tr w:rsidR="00E80F48" w14:paraId="7EB358DD" w14:textId="77777777" w:rsidTr="005E665C">
        <w:tc>
          <w:tcPr>
            <w:tcW w:w="3420" w:type="dxa"/>
          </w:tcPr>
          <w:p w14:paraId="0CEA6B6C" w14:textId="36082648" w:rsidR="00E80F48" w:rsidRPr="00F34D39" w:rsidRDefault="00E80F48" w:rsidP="00E80F48">
            <w:pPr>
              <w:rPr>
                <w:sz w:val="18"/>
                <w:szCs w:val="18"/>
              </w:rPr>
            </w:pPr>
            <w:r w:rsidRPr="00F34D39">
              <w:rPr>
                <w:sz w:val="18"/>
                <w:szCs w:val="18"/>
              </w:rPr>
              <w:t>Income (Apportionable)</w:t>
            </w:r>
          </w:p>
        </w:tc>
        <w:tc>
          <w:tcPr>
            <w:tcW w:w="2070" w:type="dxa"/>
          </w:tcPr>
          <w:p w14:paraId="1827C5C2" w14:textId="36C47053" w:rsidR="00E80F48" w:rsidRPr="00F34D39" w:rsidRDefault="00E80F48" w:rsidP="00E80F48">
            <w:pPr>
              <w:jc w:val="right"/>
              <w:rPr>
                <w:sz w:val="18"/>
                <w:szCs w:val="18"/>
              </w:rPr>
            </w:pPr>
            <w:r w:rsidRPr="00F34D39">
              <w:rPr>
                <w:sz w:val="18"/>
                <w:szCs w:val="18"/>
              </w:rPr>
              <w:t>$ 1</w:t>
            </w:r>
            <w:r w:rsidR="00F31935" w:rsidRPr="00F34D39">
              <w:rPr>
                <w:sz w:val="18"/>
                <w:szCs w:val="18"/>
              </w:rPr>
              <w:t>0</w:t>
            </w:r>
            <w:r w:rsidRPr="00F34D39">
              <w:rPr>
                <w:sz w:val="18"/>
                <w:szCs w:val="18"/>
              </w:rPr>
              <w:t>,000,000</w:t>
            </w:r>
          </w:p>
        </w:tc>
        <w:tc>
          <w:tcPr>
            <w:tcW w:w="2070" w:type="dxa"/>
          </w:tcPr>
          <w:p w14:paraId="48DA6DCE" w14:textId="7B681443" w:rsidR="00E80F48" w:rsidRPr="00F34D39" w:rsidRDefault="00E80F48" w:rsidP="00E80F48">
            <w:pPr>
              <w:jc w:val="right"/>
              <w:rPr>
                <w:sz w:val="18"/>
                <w:szCs w:val="18"/>
              </w:rPr>
            </w:pPr>
            <w:r w:rsidRPr="00F34D39">
              <w:rPr>
                <w:sz w:val="18"/>
                <w:szCs w:val="18"/>
              </w:rPr>
              <w:t>$</w:t>
            </w:r>
            <w:r w:rsidR="000A5DEB" w:rsidRPr="00F34D39">
              <w:rPr>
                <w:sz w:val="18"/>
                <w:szCs w:val="18"/>
              </w:rPr>
              <w:t>2</w:t>
            </w:r>
            <w:r w:rsidRPr="00F34D39">
              <w:rPr>
                <w:sz w:val="18"/>
                <w:szCs w:val="18"/>
              </w:rPr>
              <w:t>,000,000</w:t>
            </w:r>
          </w:p>
        </w:tc>
      </w:tr>
      <w:tr w:rsidR="00E80F48" w14:paraId="53942F24" w14:textId="77777777" w:rsidTr="005E665C">
        <w:tc>
          <w:tcPr>
            <w:tcW w:w="3420" w:type="dxa"/>
          </w:tcPr>
          <w:p w14:paraId="41651F1B" w14:textId="4D198970" w:rsidR="00E80F48" w:rsidRPr="00F34D39" w:rsidRDefault="00E80F48" w:rsidP="00E80F48">
            <w:pPr>
              <w:rPr>
                <w:sz w:val="18"/>
                <w:szCs w:val="18"/>
              </w:rPr>
            </w:pPr>
            <w:r w:rsidRPr="00F34D39">
              <w:rPr>
                <w:sz w:val="18"/>
                <w:szCs w:val="18"/>
              </w:rPr>
              <w:t>Receipts in State X</w:t>
            </w:r>
          </w:p>
        </w:tc>
        <w:tc>
          <w:tcPr>
            <w:tcW w:w="2070" w:type="dxa"/>
          </w:tcPr>
          <w:p w14:paraId="5F671C5C" w14:textId="08D3A41C" w:rsidR="00E80F48" w:rsidRPr="00F34D39" w:rsidRDefault="00E80F48" w:rsidP="00E80F48">
            <w:pPr>
              <w:jc w:val="right"/>
              <w:rPr>
                <w:sz w:val="18"/>
                <w:szCs w:val="18"/>
              </w:rPr>
            </w:pPr>
            <w:r w:rsidRPr="00F34D39">
              <w:rPr>
                <w:sz w:val="18"/>
                <w:szCs w:val="18"/>
              </w:rPr>
              <w:t>$10,000,000</w:t>
            </w:r>
          </w:p>
        </w:tc>
        <w:tc>
          <w:tcPr>
            <w:tcW w:w="2070" w:type="dxa"/>
          </w:tcPr>
          <w:p w14:paraId="11B7CF30" w14:textId="3E9404C6" w:rsidR="00E80F48" w:rsidRPr="00F34D39" w:rsidRDefault="00E80F48" w:rsidP="00E80F48">
            <w:pPr>
              <w:jc w:val="right"/>
              <w:rPr>
                <w:sz w:val="18"/>
                <w:szCs w:val="18"/>
              </w:rPr>
            </w:pPr>
            <w:r w:rsidRPr="00F34D39">
              <w:rPr>
                <w:sz w:val="18"/>
                <w:szCs w:val="18"/>
              </w:rPr>
              <w:t>$</w:t>
            </w:r>
            <w:r w:rsidR="00D15078" w:rsidRPr="00F34D39">
              <w:rPr>
                <w:sz w:val="18"/>
                <w:szCs w:val="18"/>
              </w:rPr>
              <w:t>5</w:t>
            </w:r>
            <w:r w:rsidRPr="00F34D39">
              <w:rPr>
                <w:sz w:val="18"/>
                <w:szCs w:val="18"/>
              </w:rPr>
              <w:t>0,000,000</w:t>
            </w:r>
          </w:p>
        </w:tc>
      </w:tr>
      <w:tr w:rsidR="00E80F48" w14:paraId="199FEF1C" w14:textId="77777777" w:rsidTr="005E665C">
        <w:tc>
          <w:tcPr>
            <w:tcW w:w="3420" w:type="dxa"/>
          </w:tcPr>
          <w:p w14:paraId="6656DFDC" w14:textId="7D31506B" w:rsidR="00E80F48" w:rsidRPr="00F34D39" w:rsidRDefault="00E80F48" w:rsidP="00E80F48">
            <w:pPr>
              <w:rPr>
                <w:sz w:val="18"/>
                <w:szCs w:val="18"/>
              </w:rPr>
            </w:pPr>
            <w:r w:rsidRPr="00F34D39">
              <w:rPr>
                <w:sz w:val="18"/>
                <w:szCs w:val="18"/>
              </w:rPr>
              <w:t>Receipts Everywhere</w:t>
            </w:r>
          </w:p>
        </w:tc>
        <w:tc>
          <w:tcPr>
            <w:tcW w:w="2070" w:type="dxa"/>
          </w:tcPr>
          <w:p w14:paraId="2DD6FB0D" w14:textId="2AF225E3" w:rsidR="00E80F48" w:rsidRPr="00F34D39" w:rsidRDefault="00E80F48" w:rsidP="00E80F48">
            <w:pPr>
              <w:jc w:val="right"/>
              <w:rPr>
                <w:sz w:val="18"/>
                <w:szCs w:val="18"/>
              </w:rPr>
            </w:pPr>
            <w:r w:rsidRPr="00F34D39">
              <w:rPr>
                <w:sz w:val="18"/>
                <w:szCs w:val="18"/>
              </w:rPr>
              <w:t>$100,000,000</w:t>
            </w:r>
          </w:p>
        </w:tc>
        <w:tc>
          <w:tcPr>
            <w:tcW w:w="2070" w:type="dxa"/>
          </w:tcPr>
          <w:p w14:paraId="2B69EC6E" w14:textId="11D5D11E" w:rsidR="00E80F48" w:rsidRPr="00F34D39" w:rsidRDefault="00E80F48" w:rsidP="00E80F48">
            <w:pPr>
              <w:jc w:val="right"/>
              <w:rPr>
                <w:sz w:val="18"/>
                <w:szCs w:val="18"/>
              </w:rPr>
            </w:pPr>
            <w:r w:rsidRPr="00F34D39">
              <w:rPr>
                <w:sz w:val="18"/>
                <w:szCs w:val="18"/>
              </w:rPr>
              <w:t>$100,000,000</w:t>
            </w:r>
          </w:p>
        </w:tc>
      </w:tr>
      <w:tr w:rsidR="00E80F48" w14:paraId="5E5DB90E" w14:textId="77777777" w:rsidTr="005E665C">
        <w:tc>
          <w:tcPr>
            <w:tcW w:w="3420" w:type="dxa"/>
          </w:tcPr>
          <w:p w14:paraId="3D3EA30E" w14:textId="076B0C7C" w:rsidR="00E80F48" w:rsidRPr="00F34D39" w:rsidRDefault="00E80F48" w:rsidP="00E80F48">
            <w:pPr>
              <w:rPr>
                <w:sz w:val="18"/>
                <w:szCs w:val="18"/>
              </w:rPr>
            </w:pPr>
            <w:r w:rsidRPr="00F34D39">
              <w:rPr>
                <w:sz w:val="18"/>
                <w:szCs w:val="18"/>
              </w:rPr>
              <w:t>State X Receipts Factor</w:t>
            </w:r>
          </w:p>
        </w:tc>
        <w:tc>
          <w:tcPr>
            <w:tcW w:w="2070" w:type="dxa"/>
          </w:tcPr>
          <w:p w14:paraId="27023790" w14:textId="2DDEF8A8" w:rsidR="00E80F48" w:rsidRPr="00F34D39" w:rsidRDefault="000A5DEB" w:rsidP="00E80F48">
            <w:pPr>
              <w:jc w:val="right"/>
              <w:rPr>
                <w:sz w:val="18"/>
                <w:szCs w:val="18"/>
              </w:rPr>
            </w:pPr>
            <w:r w:rsidRPr="00F34D39">
              <w:rPr>
                <w:sz w:val="18"/>
                <w:szCs w:val="18"/>
              </w:rPr>
              <w:t>10%</w:t>
            </w:r>
          </w:p>
        </w:tc>
        <w:tc>
          <w:tcPr>
            <w:tcW w:w="2070" w:type="dxa"/>
          </w:tcPr>
          <w:p w14:paraId="1B1A633C" w14:textId="2D85F7C0" w:rsidR="00E80F48" w:rsidRPr="00F34D39" w:rsidRDefault="00D15078" w:rsidP="00E80F48">
            <w:pPr>
              <w:jc w:val="right"/>
              <w:rPr>
                <w:sz w:val="18"/>
                <w:szCs w:val="18"/>
              </w:rPr>
            </w:pPr>
            <w:r w:rsidRPr="00F34D39">
              <w:rPr>
                <w:sz w:val="18"/>
                <w:szCs w:val="18"/>
              </w:rPr>
              <w:t>5</w:t>
            </w:r>
            <w:r w:rsidR="000A5DEB" w:rsidRPr="00F34D39">
              <w:rPr>
                <w:sz w:val="18"/>
                <w:szCs w:val="18"/>
              </w:rPr>
              <w:t>0%</w:t>
            </w:r>
          </w:p>
        </w:tc>
      </w:tr>
    </w:tbl>
    <w:p w14:paraId="5254CD71" w14:textId="4D8B33F7" w:rsidR="000A5DEB" w:rsidRDefault="000A5DEB" w:rsidP="000A5DEB">
      <w:pPr>
        <w:spacing w:after="0"/>
      </w:pPr>
    </w:p>
    <w:p w14:paraId="52CF3452" w14:textId="77777777" w:rsidR="000B7884" w:rsidRDefault="000B7884" w:rsidP="00E80F48">
      <w:r>
        <w:t xml:space="preserve">If </w:t>
      </w:r>
      <w:r w:rsidR="000A5DEB">
        <w:t>Corporation and Partnership separately apportion their income</w:t>
      </w:r>
      <w:r w:rsidR="00747804">
        <w:t xml:space="preserve"> using their own factors</w:t>
      </w:r>
      <w:r w:rsidR="000A5DEB">
        <w:t xml:space="preserve">, </w:t>
      </w:r>
      <w:r>
        <w:t xml:space="preserve">the result would be: </w:t>
      </w:r>
    </w:p>
    <w:tbl>
      <w:tblPr>
        <w:tblStyle w:val="TableGrid"/>
        <w:tblW w:w="0" w:type="auto"/>
        <w:tblInd w:w="985" w:type="dxa"/>
        <w:tblCellMar>
          <w:top w:w="29" w:type="dxa"/>
          <w:bottom w:w="29" w:type="dxa"/>
        </w:tblCellMar>
        <w:tblLook w:val="04A0" w:firstRow="1" w:lastRow="0" w:firstColumn="1" w:lastColumn="0" w:noHBand="0" w:noVBand="1"/>
      </w:tblPr>
      <w:tblGrid>
        <w:gridCol w:w="6030"/>
        <w:gridCol w:w="1260"/>
      </w:tblGrid>
      <w:tr w:rsidR="000B7884" w:rsidRPr="00F34D39" w14:paraId="340358BB" w14:textId="77777777" w:rsidTr="005E665C">
        <w:tc>
          <w:tcPr>
            <w:tcW w:w="6030" w:type="dxa"/>
          </w:tcPr>
          <w:p w14:paraId="4B3B9454" w14:textId="77777777" w:rsidR="000B7884" w:rsidRPr="00F34D39" w:rsidRDefault="000B7884" w:rsidP="00F33047">
            <w:pPr>
              <w:rPr>
                <w:sz w:val="18"/>
                <w:szCs w:val="18"/>
              </w:rPr>
            </w:pPr>
          </w:p>
        </w:tc>
        <w:tc>
          <w:tcPr>
            <w:tcW w:w="1260" w:type="dxa"/>
          </w:tcPr>
          <w:p w14:paraId="47B6345B" w14:textId="5D86E683" w:rsidR="000B7884" w:rsidRPr="00F34D39" w:rsidRDefault="000B7884" w:rsidP="00F33047">
            <w:pPr>
              <w:jc w:val="center"/>
              <w:rPr>
                <w:sz w:val="18"/>
                <w:szCs w:val="18"/>
              </w:rPr>
            </w:pPr>
            <w:r>
              <w:rPr>
                <w:sz w:val="18"/>
                <w:szCs w:val="18"/>
              </w:rPr>
              <w:t>Result</w:t>
            </w:r>
          </w:p>
        </w:tc>
      </w:tr>
      <w:tr w:rsidR="000B7884" w:rsidRPr="00F34D39" w14:paraId="3C05A9FE" w14:textId="77777777" w:rsidTr="005E665C">
        <w:tc>
          <w:tcPr>
            <w:tcW w:w="6030" w:type="dxa"/>
          </w:tcPr>
          <w:p w14:paraId="7F6FD752" w14:textId="064AD8EA" w:rsidR="000B7884" w:rsidRPr="00F34D39" w:rsidRDefault="000B7884" w:rsidP="00F33047">
            <w:pPr>
              <w:rPr>
                <w:sz w:val="18"/>
                <w:szCs w:val="18"/>
              </w:rPr>
            </w:pPr>
            <w:r>
              <w:rPr>
                <w:sz w:val="18"/>
                <w:szCs w:val="18"/>
              </w:rPr>
              <w:t>Corporation’s own State X income (10% of $10 million)</w:t>
            </w:r>
          </w:p>
        </w:tc>
        <w:tc>
          <w:tcPr>
            <w:tcW w:w="1260" w:type="dxa"/>
          </w:tcPr>
          <w:p w14:paraId="00A45962" w14:textId="15B67C91" w:rsidR="000B7884" w:rsidRPr="00F34D39" w:rsidRDefault="000B7884" w:rsidP="00F33047">
            <w:pPr>
              <w:jc w:val="right"/>
              <w:rPr>
                <w:sz w:val="18"/>
                <w:szCs w:val="18"/>
              </w:rPr>
            </w:pPr>
            <w:r w:rsidRPr="00F34D39">
              <w:rPr>
                <w:sz w:val="18"/>
                <w:szCs w:val="18"/>
              </w:rPr>
              <w:t>$ 1,000,000</w:t>
            </w:r>
          </w:p>
        </w:tc>
      </w:tr>
      <w:tr w:rsidR="000B7884" w:rsidRPr="00F34D39" w14:paraId="38425A16" w14:textId="77777777" w:rsidTr="005E665C">
        <w:tc>
          <w:tcPr>
            <w:tcW w:w="6030" w:type="dxa"/>
          </w:tcPr>
          <w:p w14:paraId="40574141" w14:textId="6C3CFEED" w:rsidR="000B7884" w:rsidRPr="00F34D39" w:rsidRDefault="000B7884" w:rsidP="00F33047">
            <w:pPr>
              <w:rPr>
                <w:sz w:val="18"/>
                <w:szCs w:val="18"/>
              </w:rPr>
            </w:pPr>
            <w:r>
              <w:rPr>
                <w:sz w:val="18"/>
                <w:szCs w:val="18"/>
              </w:rPr>
              <w:t>Corporation’s 20% share of Partnership’s State X income (50% of $2 million)</w:t>
            </w:r>
          </w:p>
        </w:tc>
        <w:tc>
          <w:tcPr>
            <w:tcW w:w="1260" w:type="dxa"/>
          </w:tcPr>
          <w:p w14:paraId="6E6F2098" w14:textId="33C84895" w:rsidR="000B7884" w:rsidRPr="00F34D39" w:rsidRDefault="000B7884" w:rsidP="00F33047">
            <w:pPr>
              <w:jc w:val="right"/>
              <w:rPr>
                <w:sz w:val="18"/>
                <w:szCs w:val="18"/>
              </w:rPr>
            </w:pPr>
            <w:r w:rsidRPr="00F34D39">
              <w:rPr>
                <w:sz w:val="18"/>
                <w:szCs w:val="18"/>
              </w:rPr>
              <w:t>$</w:t>
            </w:r>
            <w:r>
              <w:rPr>
                <w:sz w:val="18"/>
                <w:szCs w:val="18"/>
              </w:rPr>
              <w:t>2</w:t>
            </w:r>
            <w:r w:rsidRPr="00F34D39">
              <w:rPr>
                <w:sz w:val="18"/>
                <w:szCs w:val="18"/>
              </w:rPr>
              <w:t>00,000</w:t>
            </w:r>
          </w:p>
        </w:tc>
      </w:tr>
      <w:tr w:rsidR="000B7884" w:rsidRPr="00F34D39" w14:paraId="41804682" w14:textId="77777777" w:rsidTr="005E665C">
        <w:tc>
          <w:tcPr>
            <w:tcW w:w="6030" w:type="dxa"/>
          </w:tcPr>
          <w:p w14:paraId="6486C300" w14:textId="4850F0A1" w:rsidR="000B7884" w:rsidRPr="00F34D39" w:rsidRDefault="000B7884" w:rsidP="00F33047">
            <w:pPr>
              <w:rPr>
                <w:sz w:val="18"/>
                <w:szCs w:val="18"/>
              </w:rPr>
            </w:pPr>
            <w:r>
              <w:rPr>
                <w:sz w:val="18"/>
                <w:szCs w:val="18"/>
              </w:rPr>
              <w:t>Total State X income</w:t>
            </w:r>
          </w:p>
        </w:tc>
        <w:tc>
          <w:tcPr>
            <w:tcW w:w="1260" w:type="dxa"/>
          </w:tcPr>
          <w:p w14:paraId="20F3BC01" w14:textId="01664C00" w:rsidR="000B7884" w:rsidRPr="000B7884" w:rsidRDefault="000B7884" w:rsidP="00F33047">
            <w:pPr>
              <w:jc w:val="right"/>
              <w:rPr>
                <w:b/>
                <w:bCs/>
                <w:sz w:val="18"/>
                <w:szCs w:val="18"/>
              </w:rPr>
            </w:pPr>
            <w:r w:rsidRPr="000B7884">
              <w:rPr>
                <w:b/>
                <w:bCs/>
                <w:sz w:val="18"/>
                <w:szCs w:val="18"/>
              </w:rPr>
              <w:t>$1,200,000</w:t>
            </w:r>
          </w:p>
        </w:tc>
      </w:tr>
    </w:tbl>
    <w:p w14:paraId="2E5DA7A9" w14:textId="7267AF7D" w:rsidR="000A5DEB" w:rsidRDefault="000A5DEB" w:rsidP="000B7884">
      <w:pPr>
        <w:spacing w:before="240"/>
      </w:pPr>
      <w:r>
        <w:t>But if Corporation</w:t>
      </w:r>
      <w:r w:rsidR="00F31935">
        <w:t xml:space="preserve"> uses blended apportionment, it would include </w:t>
      </w:r>
      <w:r>
        <w:t xml:space="preserve">its </w:t>
      </w:r>
      <w:r w:rsidR="00F31935">
        <w:t xml:space="preserve">total </w:t>
      </w:r>
      <w:r>
        <w:t xml:space="preserve">share of </w:t>
      </w:r>
      <w:r w:rsidR="00F65D57">
        <w:t xml:space="preserve">Partnership’s </w:t>
      </w:r>
      <w:r>
        <w:t>income in its apportionable income and also include its share of Partnership’s factors</w:t>
      </w:r>
      <w:r w:rsidR="00F31935">
        <w:t xml:space="preserve"> in the apportionment formula. </w:t>
      </w:r>
      <w:r w:rsidR="000B7884">
        <w:t>So the result would be</w:t>
      </w:r>
      <w:r>
        <w:t>:</w:t>
      </w:r>
    </w:p>
    <w:tbl>
      <w:tblPr>
        <w:tblStyle w:val="TableGrid"/>
        <w:tblW w:w="0" w:type="auto"/>
        <w:tblInd w:w="265" w:type="dxa"/>
        <w:tblCellMar>
          <w:top w:w="29" w:type="dxa"/>
          <w:bottom w:w="29" w:type="dxa"/>
        </w:tblCellMar>
        <w:tblLook w:val="04A0" w:firstRow="1" w:lastRow="0" w:firstColumn="1" w:lastColumn="0" w:noHBand="0" w:noVBand="1"/>
      </w:tblPr>
      <w:tblGrid>
        <w:gridCol w:w="5040"/>
        <w:gridCol w:w="1710"/>
        <w:gridCol w:w="1620"/>
      </w:tblGrid>
      <w:tr w:rsidR="0010241B" w14:paraId="482C60AE" w14:textId="7ADAC181" w:rsidTr="005E665C">
        <w:tc>
          <w:tcPr>
            <w:tcW w:w="5040" w:type="dxa"/>
          </w:tcPr>
          <w:p w14:paraId="42174677" w14:textId="77777777" w:rsidR="0010241B" w:rsidRPr="00F34D39" w:rsidRDefault="0010241B" w:rsidP="0000304D">
            <w:pPr>
              <w:rPr>
                <w:sz w:val="18"/>
                <w:szCs w:val="18"/>
              </w:rPr>
            </w:pPr>
          </w:p>
        </w:tc>
        <w:tc>
          <w:tcPr>
            <w:tcW w:w="1710" w:type="dxa"/>
          </w:tcPr>
          <w:p w14:paraId="11F72218" w14:textId="3AADAB1C" w:rsidR="0010241B" w:rsidRPr="00F34D39" w:rsidRDefault="0010241B" w:rsidP="0000304D">
            <w:pPr>
              <w:jc w:val="center"/>
              <w:rPr>
                <w:sz w:val="18"/>
                <w:szCs w:val="18"/>
              </w:rPr>
            </w:pPr>
            <w:r w:rsidRPr="00F34D39">
              <w:rPr>
                <w:sz w:val="18"/>
                <w:szCs w:val="18"/>
              </w:rPr>
              <w:t xml:space="preserve">Separate </w:t>
            </w:r>
            <w:r w:rsidR="00F34D39">
              <w:rPr>
                <w:sz w:val="18"/>
                <w:szCs w:val="18"/>
              </w:rPr>
              <w:t>A</w:t>
            </w:r>
            <w:r w:rsidRPr="00F34D39">
              <w:rPr>
                <w:sz w:val="18"/>
                <w:szCs w:val="18"/>
              </w:rPr>
              <w:t>mounts</w:t>
            </w:r>
          </w:p>
        </w:tc>
        <w:tc>
          <w:tcPr>
            <w:tcW w:w="1620" w:type="dxa"/>
          </w:tcPr>
          <w:p w14:paraId="353E7A4F" w14:textId="01964A2A" w:rsidR="0010241B" w:rsidRPr="00F34D39" w:rsidRDefault="0010241B" w:rsidP="0000304D">
            <w:pPr>
              <w:jc w:val="center"/>
              <w:rPr>
                <w:sz w:val="18"/>
                <w:szCs w:val="18"/>
              </w:rPr>
            </w:pPr>
            <w:r w:rsidRPr="00F34D39">
              <w:rPr>
                <w:sz w:val="18"/>
                <w:szCs w:val="18"/>
              </w:rPr>
              <w:t>Blended Amounts</w:t>
            </w:r>
          </w:p>
        </w:tc>
      </w:tr>
      <w:tr w:rsidR="0010241B" w14:paraId="5D5BC95A" w14:textId="52969E20" w:rsidTr="005E665C">
        <w:tc>
          <w:tcPr>
            <w:tcW w:w="5040" w:type="dxa"/>
          </w:tcPr>
          <w:p w14:paraId="6985DA89" w14:textId="493300B6" w:rsidR="0010241B" w:rsidRPr="00F34D39" w:rsidRDefault="0010241B" w:rsidP="0000304D">
            <w:pPr>
              <w:rPr>
                <w:sz w:val="18"/>
                <w:szCs w:val="18"/>
              </w:rPr>
            </w:pPr>
            <w:r w:rsidRPr="00F34D39">
              <w:rPr>
                <w:sz w:val="18"/>
                <w:szCs w:val="18"/>
              </w:rPr>
              <w:t>Corporation’s Own Income</w:t>
            </w:r>
          </w:p>
        </w:tc>
        <w:tc>
          <w:tcPr>
            <w:tcW w:w="1710" w:type="dxa"/>
          </w:tcPr>
          <w:p w14:paraId="4F1DA61E" w14:textId="6B0570EA" w:rsidR="0010241B" w:rsidRPr="00F34D39" w:rsidRDefault="0010241B" w:rsidP="0000304D">
            <w:pPr>
              <w:jc w:val="right"/>
              <w:rPr>
                <w:sz w:val="18"/>
                <w:szCs w:val="18"/>
              </w:rPr>
            </w:pPr>
            <w:r w:rsidRPr="00F34D39">
              <w:rPr>
                <w:sz w:val="18"/>
                <w:szCs w:val="18"/>
              </w:rPr>
              <w:t>$10,000,000</w:t>
            </w:r>
          </w:p>
        </w:tc>
        <w:tc>
          <w:tcPr>
            <w:tcW w:w="1620" w:type="dxa"/>
          </w:tcPr>
          <w:p w14:paraId="773D205E" w14:textId="77777777" w:rsidR="0010241B" w:rsidRPr="00F34D39" w:rsidRDefault="0010241B" w:rsidP="0000304D">
            <w:pPr>
              <w:jc w:val="right"/>
              <w:rPr>
                <w:sz w:val="18"/>
                <w:szCs w:val="18"/>
              </w:rPr>
            </w:pPr>
          </w:p>
        </w:tc>
      </w:tr>
      <w:tr w:rsidR="0010241B" w14:paraId="7603116B" w14:textId="7A96B570" w:rsidTr="005E665C">
        <w:tc>
          <w:tcPr>
            <w:tcW w:w="5040" w:type="dxa"/>
          </w:tcPr>
          <w:p w14:paraId="228908AD" w14:textId="349ECF1A" w:rsidR="0010241B" w:rsidRPr="00F34D39" w:rsidRDefault="0010241B" w:rsidP="0000304D">
            <w:pPr>
              <w:rPr>
                <w:sz w:val="18"/>
                <w:szCs w:val="18"/>
              </w:rPr>
            </w:pPr>
            <w:r w:rsidRPr="00F34D39">
              <w:rPr>
                <w:sz w:val="18"/>
                <w:szCs w:val="18"/>
              </w:rPr>
              <w:t>Corporation’s Share of Partnership Income (20%)</w:t>
            </w:r>
          </w:p>
        </w:tc>
        <w:tc>
          <w:tcPr>
            <w:tcW w:w="1710" w:type="dxa"/>
          </w:tcPr>
          <w:p w14:paraId="7E1E99EE" w14:textId="126627F7" w:rsidR="0010241B" w:rsidRPr="00F34D39" w:rsidRDefault="0010241B" w:rsidP="0000304D">
            <w:pPr>
              <w:jc w:val="right"/>
              <w:rPr>
                <w:sz w:val="18"/>
                <w:szCs w:val="18"/>
              </w:rPr>
            </w:pPr>
            <w:r w:rsidRPr="00F34D39">
              <w:rPr>
                <w:sz w:val="18"/>
                <w:szCs w:val="18"/>
              </w:rPr>
              <w:t>$400,000</w:t>
            </w:r>
          </w:p>
        </w:tc>
        <w:tc>
          <w:tcPr>
            <w:tcW w:w="1620" w:type="dxa"/>
          </w:tcPr>
          <w:p w14:paraId="02BB8D91" w14:textId="238621D8" w:rsidR="0010241B" w:rsidRPr="00F34D39" w:rsidRDefault="0010241B" w:rsidP="0000304D">
            <w:pPr>
              <w:jc w:val="right"/>
              <w:rPr>
                <w:sz w:val="18"/>
                <w:szCs w:val="18"/>
              </w:rPr>
            </w:pPr>
            <w:r w:rsidRPr="00F34D39">
              <w:rPr>
                <w:b/>
                <w:bCs/>
                <w:sz w:val="18"/>
                <w:szCs w:val="18"/>
              </w:rPr>
              <w:t>$10,400,000</w:t>
            </w:r>
          </w:p>
        </w:tc>
      </w:tr>
      <w:tr w:rsidR="0010241B" w14:paraId="2EB698A2" w14:textId="40630FFE" w:rsidTr="005E665C">
        <w:tc>
          <w:tcPr>
            <w:tcW w:w="5040" w:type="dxa"/>
          </w:tcPr>
          <w:p w14:paraId="25485FBB" w14:textId="7B341F65" w:rsidR="0010241B" w:rsidRPr="00F34D39" w:rsidRDefault="0010241B" w:rsidP="0000304D">
            <w:pPr>
              <w:rPr>
                <w:sz w:val="18"/>
                <w:szCs w:val="18"/>
              </w:rPr>
            </w:pPr>
            <w:r w:rsidRPr="00F34D39">
              <w:rPr>
                <w:sz w:val="18"/>
                <w:szCs w:val="18"/>
              </w:rPr>
              <w:t>Corporation’s Receipts in State X</w:t>
            </w:r>
          </w:p>
        </w:tc>
        <w:tc>
          <w:tcPr>
            <w:tcW w:w="1710" w:type="dxa"/>
          </w:tcPr>
          <w:p w14:paraId="648D6132" w14:textId="53D01B44" w:rsidR="0010241B" w:rsidRPr="00F34D39" w:rsidRDefault="0010241B" w:rsidP="0000304D">
            <w:pPr>
              <w:jc w:val="right"/>
              <w:rPr>
                <w:sz w:val="18"/>
                <w:szCs w:val="18"/>
              </w:rPr>
            </w:pPr>
            <w:r w:rsidRPr="00F34D39">
              <w:rPr>
                <w:sz w:val="18"/>
                <w:szCs w:val="18"/>
              </w:rPr>
              <w:t>$10,000,000</w:t>
            </w:r>
          </w:p>
        </w:tc>
        <w:tc>
          <w:tcPr>
            <w:tcW w:w="1620" w:type="dxa"/>
          </w:tcPr>
          <w:p w14:paraId="33695818" w14:textId="77777777" w:rsidR="0010241B" w:rsidRPr="00F34D39" w:rsidRDefault="0010241B" w:rsidP="0000304D">
            <w:pPr>
              <w:jc w:val="right"/>
              <w:rPr>
                <w:sz w:val="18"/>
                <w:szCs w:val="18"/>
              </w:rPr>
            </w:pPr>
          </w:p>
        </w:tc>
      </w:tr>
      <w:tr w:rsidR="0010241B" w14:paraId="5E0CCA56" w14:textId="65E8B7BB" w:rsidTr="005E665C">
        <w:tc>
          <w:tcPr>
            <w:tcW w:w="5040" w:type="dxa"/>
          </w:tcPr>
          <w:p w14:paraId="2E0A4536" w14:textId="0A34D40D" w:rsidR="0010241B" w:rsidRPr="00F34D39" w:rsidRDefault="0010241B" w:rsidP="0000304D">
            <w:pPr>
              <w:rPr>
                <w:sz w:val="18"/>
                <w:szCs w:val="18"/>
              </w:rPr>
            </w:pPr>
            <w:r w:rsidRPr="00F34D39">
              <w:rPr>
                <w:sz w:val="18"/>
                <w:szCs w:val="18"/>
              </w:rPr>
              <w:t>Corporation’s Share of Partnership Receipts in State X (20%)</w:t>
            </w:r>
          </w:p>
        </w:tc>
        <w:tc>
          <w:tcPr>
            <w:tcW w:w="1710" w:type="dxa"/>
          </w:tcPr>
          <w:p w14:paraId="5B0DF199" w14:textId="48F98AD3" w:rsidR="0010241B" w:rsidRPr="00F34D39" w:rsidRDefault="0010241B" w:rsidP="0000304D">
            <w:pPr>
              <w:jc w:val="right"/>
              <w:rPr>
                <w:sz w:val="18"/>
                <w:szCs w:val="18"/>
              </w:rPr>
            </w:pPr>
            <w:r w:rsidRPr="00F34D39">
              <w:rPr>
                <w:sz w:val="18"/>
                <w:szCs w:val="18"/>
              </w:rPr>
              <w:t>$10,000,000</w:t>
            </w:r>
          </w:p>
        </w:tc>
        <w:tc>
          <w:tcPr>
            <w:tcW w:w="1620" w:type="dxa"/>
          </w:tcPr>
          <w:p w14:paraId="2BDD6065" w14:textId="3749F9D5" w:rsidR="0010241B" w:rsidRPr="00F34D39" w:rsidRDefault="0010241B" w:rsidP="0000304D">
            <w:pPr>
              <w:jc w:val="right"/>
              <w:rPr>
                <w:sz w:val="18"/>
                <w:szCs w:val="18"/>
              </w:rPr>
            </w:pPr>
            <w:r w:rsidRPr="00F34D39">
              <w:rPr>
                <w:b/>
                <w:bCs/>
                <w:sz w:val="18"/>
                <w:szCs w:val="18"/>
              </w:rPr>
              <w:t>$20,000,000</w:t>
            </w:r>
          </w:p>
        </w:tc>
      </w:tr>
      <w:tr w:rsidR="0010241B" w14:paraId="47BC72EB" w14:textId="58B362E1" w:rsidTr="005E665C">
        <w:tc>
          <w:tcPr>
            <w:tcW w:w="5040" w:type="dxa"/>
          </w:tcPr>
          <w:p w14:paraId="2BBB3244" w14:textId="0E0DD398" w:rsidR="0010241B" w:rsidRPr="00F34D39" w:rsidRDefault="0010241B" w:rsidP="0000304D">
            <w:pPr>
              <w:rPr>
                <w:sz w:val="18"/>
                <w:szCs w:val="18"/>
              </w:rPr>
            </w:pPr>
            <w:r w:rsidRPr="00F34D39">
              <w:rPr>
                <w:sz w:val="18"/>
                <w:szCs w:val="18"/>
              </w:rPr>
              <w:t>Corporation’s Everywhere Receipts</w:t>
            </w:r>
          </w:p>
        </w:tc>
        <w:tc>
          <w:tcPr>
            <w:tcW w:w="1710" w:type="dxa"/>
          </w:tcPr>
          <w:p w14:paraId="47841931" w14:textId="14EF4CF7" w:rsidR="0010241B" w:rsidRPr="00F34D39" w:rsidRDefault="0010241B" w:rsidP="0000304D">
            <w:pPr>
              <w:jc w:val="right"/>
              <w:rPr>
                <w:sz w:val="18"/>
                <w:szCs w:val="18"/>
              </w:rPr>
            </w:pPr>
            <w:r w:rsidRPr="00F34D39">
              <w:rPr>
                <w:sz w:val="18"/>
                <w:szCs w:val="18"/>
              </w:rPr>
              <w:t>$100,000,000</w:t>
            </w:r>
          </w:p>
        </w:tc>
        <w:tc>
          <w:tcPr>
            <w:tcW w:w="1620" w:type="dxa"/>
          </w:tcPr>
          <w:p w14:paraId="74E53DC8" w14:textId="77777777" w:rsidR="0010241B" w:rsidRPr="00F34D39" w:rsidRDefault="0010241B" w:rsidP="0000304D">
            <w:pPr>
              <w:jc w:val="right"/>
              <w:rPr>
                <w:sz w:val="18"/>
                <w:szCs w:val="18"/>
              </w:rPr>
            </w:pPr>
          </w:p>
        </w:tc>
      </w:tr>
      <w:tr w:rsidR="0010241B" w14:paraId="7601B695" w14:textId="2521B6A3" w:rsidTr="005E665C">
        <w:tc>
          <w:tcPr>
            <w:tcW w:w="5040" w:type="dxa"/>
          </w:tcPr>
          <w:p w14:paraId="349D2B8F" w14:textId="4BCFBAC9" w:rsidR="0010241B" w:rsidRPr="00F34D39" w:rsidRDefault="0010241B" w:rsidP="0000304D">
            <w:pPr>
              <w:rPr>
                <w:sz w:val="18"/>
                <w:szCs w:val="18"/>
              </w:rPr>
            </w:pPr>
            <w:r w:rsidRPr="00F34D39">
              <w:rPr>
                <w:sz w:val="18"/>
                <w:szCs w:val="18"/>
              </w:rPr>
              <w:t xml:space="preserve">Corporation’s Share of Partnership Everywhere Receipts (20%) </w:t>
            </w:r>
          </w:p>
        </w:tc>
        <w:tc>
          <w:tcPr>
            <w:tcW w:w="1710" w:type="dxa"/>
          </w:tcPr>
          <w:p w14:paraId="0C9CCA18" w14:textId="428EB655" w:rsidR="0010241B" w:rsidRPr="00F34D39" w:rsidRDefault="0010241B" w:rsidP="0000304D">
            <w:pPr>
              <w:jc w:val="right"/>
              <w:rPr>
                <w:sz w:val="18"/>
                <w:szCs w:val="18"/>
              </w:rPr>
            </w:pPr>
            <w:r w:rsidRPr="00F34D39">
              <w:rPr>
                <w:sz w:val="18"/>
                <w:szCs w:val="18"/>
              </w:rPr>
              <w:t>$20,000,000</w:t>
            </w:r>
          </w:p>
        </w:tc>
        <w:tc>
          <w:tcPr>
            <w:tcW w:w="1620" w:type="dxa"/>
          </w:tcPr>
          <w:p w14:paraId="19684716" w14:textId="28F7D005" w:rsidR="0010241B" w:rsidRPr="00F34D39" w:rsidRDefault="0010241B" w:rsidP="0000304D">
            <w:pPr>
              <w:jc w:val="right"/>
              <w:rPr>
                <w:sz w:val="18"/>
                <w:szCs w:val="18"/>
              </w:rPr>
            </w:pPr>
            <w:r w:rsidRPr="00F34D39">
              <w:rPr>
                <w:b/>
                <w:bCs/>
                <w:sz w:val="18"/>
                <w:szCs w:val="18"/>
              </w:rPr>
              <w:t>$120,000,000</w:t>
            </w:r>
          </w:p>
        </w:tc>
      </w:tr>
      <w:tr w:rsidR="0010241B" w14:paraId="0DDFF4B5" w14:textId="2337580E" w:rsidTr="005E665C">
        <w:tc>
          <w:tcPr>
            <w:tcW w:w="5040" w:type="dxa"/>
          </w:tcPr>
          <w:p w14:paraId="605BCAE2" w14:textId="0393180E" w:rsidR="0010241B" w:rsidRPr="00F34D39" w:rsidRDefault="0010241B" w:rsidP="0000304D">
            <w:pPr>
              <w:rPr>
                <w:sz w:val="18"/>
                <w:szCs w:val="18"/>
              </w:rPr>
            </w:pPr>
            <w:r w:rsidRPr="00F34D39">
              <w:rPr>
                <w:sz w:val="18"/>
                <w:szCs w:val="18"/>
              </w:rPr>
              <w:t>State X Blended Receipts Factor</w:t>
            </w:r>
          </w:p>
        </w:tc>
        <w:tc>
          <w:tcPr>
            <w:tcW w:w="1710" w:type="dxa"/>
          </w:tcPr>
          <w:p w14:paraId="3C8322EF" w14:textId="7E37BD2B" w:rsidR="0010241B" w:rsidRPr="00F34D39" w:rsidRDefault="0010241B" w:rsidP="0000304D">
            <w:pPr>
              <w:jc w:val="right"/>
              <w:rPr>
                <w:sz w:val="18"/>
                <w:szCs w:val="18"/>
              </w:rPr>
            </w:pPr>
          </w:p>
        </w:tc>
        <w:tc>
          <w:tcPr>
            <w:tcW w:w="1620" w:type="dxa"/>
          </w:tcPr>
          <w:p w14:paraId="1D39E6E2" w14:textId="3B61216B" w:rsidR="0010241B" w:rsidRPr="00F34D39" w:rsidRDefault="0010241B" w:rsidP="0000304D">
            <w:pPr>
              <w:jc w:val="right"/>
              <w:rPr>
                <w:b/>
                <w:bCs/>
                <w:sz w:val="18"/>
                <w:szCs w:val="18"/>
              </w:rPr>
            </w:pPr>
            <w:r w:rsidRPr="00F34D39">
              <w:rPr>
                <w:b/>
                <w:bCs/>
                <w:sz w:val="18"/>
                <w:szCs w:val="18"/>
              </w:rPr>
              <w:t>16.666%</w:t>
            </w:r>
          </w:p>
        </w:tc>
      </w:tr>
      <w:tr w:rsidR="0010241B" w:rsidRPr="00D15078" w14:paraId="412026C3" w14:textId="33160F48" w:rsidTr="005E665C">
        <w:tc>
          <w:tcPr>
            <w:tcW w:w="5040" w:type="dxa"/>
          </w:tcPr>
          <w:p w14:paraId="10274B92" w14:textId="64050B65" w:rsidR="0010241B" w:rsidRPr="00F34D39" w:rsidRDefault="0010241B" w:rsidP="0000304D">
            <w:pPr>
              <w:rPr>
                <w:sz w:val="18"/>
                <w:szCs w:val="18"/>
              </w:rPr>
            </w:pPr>
            <w:r w:rsidRPr="00F34D39">
              <w:rPr>
                <w:sz w:val="18"/>
                <w:szCs w:val="18"/>
              </w:rPr>
              <w:t>Corporation’s Income Soured to State X</w:t>
            </w:r>
          </w:p>
        </w:tc>
        <w:tc>
          <w:tcPr>
            <w:tcW w:w="1710" w:type="dxa"/>
          </w:tcPr>
          <w:p w14:paraId="4E8AE280" w14:textId="22C03F25" w:rsidR="0010241B" w:rsidRPr="00F34D39" w:rsidRDefault="0010241B" w:rsidP="0000304D">
            <w:pPr>
              <w:jc w:val="right"/>
              <w:rPr>
                <w:b/>
                <w:bCs/>
                <w:sz w:val="18"/>
                <w:szCs w:val="18"/>
              </w:rPr>
            </w:pPr>
          </w:p>
        </w:tc>
        <w:tc>
          <w:tcPr>
            <w:tcW w:w="1620" w:type="dxa"/>
          </w:tcPr>
          <w:p w14:paraId="70550742" w14:textId="444335C6" w:rsidR="0010241B" w:rsidRPr="00F34D39" w:rsidRDefault="0010241B" w:rsidP="0000304D">
            <w:pPr>
              <w:jc w:val="right"/>
              <w:rPr>
                <w:b/>
                <w:bCs/>
                <w:sz w:val="18"/>
                <w:szCs w:val="18"/>
              </w:rPr>
            </w:pPr>
            <w:r w:rsidRPr="00F34D39">
              <w:rPr>
                <w:b/>
                <w:bCs/>
                <w:sz w:val="18"/>
                <w:szCs w:val="18"/>
              </w:rPr>
              <w:t>$1,733,333</w:t>
            </w:r>
          </w:p>
        </w:tc>
      </w:tr>
    </w:tbl>
    <w:p w14:paraId="34A264C1" w14:textId="511F74E6" w:rsidR="00E80F48" w:rsidRDefault="000A5DEB" w:rsidP="00D15078">
      <w:pPr>
        <w:spacing w:after="0"/>
      </w:pPr>
      <w:r>
        <w:tab/>
        <w:t xml:space="preserve"> </w:t>
      </w:r>
    </w:p>
    <w:p w14:paraId="79CD7CA9" w14:textId="377504F0" w:rsidR="00D15078" w:rsidRDefault="00747804" w:rsidP="00E80F48">
      <w:r>
        <w:t xml:space="preserve">So, in this case, the income sourced to State X using blended apportionment would be 44% greater than using separate apportionment. </w:t>
      </w:r>
      <w:r w:rsidR="0010241B">
        <w:t xml:space="preserve">In different scenarios, the amount sourced to State might be less than with separate apportionment. </w:t>
      </w:r>
      <w:r w:rsidR="00D15078">
        <w:t>While the relative amount</w:t>
      </w:r>
      <w:r w:rsidR="004D00C2">
        <w:t>s</w:t>
      </w:r>
      <w:r w:rsidR="00D15078">
        <w:t xml:space="preserve"> </w:t>
      </w:r>
      <w:r w:rsidR="004D00C2">
        <w:t>of any</w:t>
      </w:r>
      <w:r w:rsidR="00D15078">
        <w:t xml:space="preserve"> difference</w:t>
      </w:r>
      <w:r w:rsidR="004D00C2">
        <w:t>s</w:t>
      </w:r>
      <w:r w:rsidR="00D15078">
        <w:t xml:space="preserve"> may vary, the </w:t>
      </w:r>
      <w:r w:rsidR="004D00C2">
        <w:t xml:space="preserve">extent of the </w:t>
      </w:r>
      <w:r w:rsidR="00D15078">
        <w:t>variation may be significant in some cases.</w:t>
      </w:r>
      <w:r w:rsidR="004D00C2">
        <w:t xml:space="preserve"> One reason the effect may be significant is that the blended apportionment factor is not simply applied to the </w:t>
      </w:r>
      <w:r w:rsidR="00F31935">
        <w:t xml:space="preserve">partner’s </w:t>
      </w:r>
      <w:r w:rsidR="004D00C2">
        <w:t xml:space="preserve">distributive share income </w:t>
      </w:r>
      <w:r w:rsidR="00F31935">
        <w:t>from the partnership</w:t>
      </w:r>
      <w:r w:rsidR="004D00C2">
        <w:t>, but to th</w:t>
      </w:r>
      <w:r w:rsidR="00F31935">
        <w:t>at</w:t>
      </w:r>
      <w:r w:rsidR="004D00C2">
        <w:t xml:space="preserve"> partner’s other income as well.  </w:t>
      </w:r>
    </w:p>
    <w:p w14:paraId="2B6D6C8E" w14:textId="3401AE5A" w:rsidR="00E80F48" w:rsidRDefault="007D7E35" w:rsidP="007D7E35">
      <w:pPr>
        <w:pStyle w:val="Heading3"/>
      </w:pPr>
      <w:bookmarkStart w:id="73" w:name="_Toc198480750"/>
      <w:r>
        <w:lastRenderedPageBreak/>
        <w:t>Current State Use of Blended Apportionment</w:t>
      </w:r>
      <w:bookmarkEnd w:id="73"/>
    </w:p>
    <w:p w14:paraId="220E99BF" w14:textId="3F8A7AED" w:rsidR="007D7E35" w:rsidRDefault="00B837B7" w:rsidP="007D7E35">
      <w:r>
        <w:rPr>
          <w:noProof/>
        </w:rPr>
        <w:drawing>
          <wp:anchor distT="0" distB="0" distL="114300" distR="114300" simplePos="0" relativeHeight="251661824" behindDoc="0" locked="0" layoutInCell="1" allowOverlap="1" wp14:anchorId="75D9E73C" wp14:editId="78E644D3">
            <wp:simplePos x="0" y="0"/>
            <wp:positionH relativeFrom="margin">
              <wp:posOffset>-339725</wp:posOffset>
            </wp:positionH>
            <wp:positionV relativeFrom="paragraph">
              <wp:posOffset>107315</wp:posOffset>
            </wp:positionV>
            <wp:extent cx="3686810" cy="2213610"/>
            <wp:effectExtent l="0" t="0" r="8890" b="0"/>
            <wp:wrapSquare wrapText="bothSides"/>
            <wp:docPr id="38267663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686810" cy="2213610"/>
                    </a:xfrm>
                    <a:prstGeom prst="rect">
                      <a:avLst/>
                    </a:prstGeom>
                    <a:noFill/>
                  </pic:spPr>
                </pic:pic>
              </a:graphicData>
            </a:graphic>
            <wp14:sizeRelH relativeFrom="margin">
              <wp14:pctWidth>0</wp14:pctWidth>
            </wp14:sizeRelH>
            <wp14:sizeRelV relativeFrom="margin">
              <wp14:pctHeight>0</wp14:pctHeight>
            </wp14:sizeRelV>
          </wp:anchor>
        </w:drawing>
      </w:r>
    </w:p>
    <w:p w14:paraId="2E6B5296" w14:textId="77777777" w:rsidR="00B837B7" w:rsidRDefault="00B837B7" w:rsidP="007D7E35">
      <w:pPr>
        <w:rPr>
          <w:b/>
          <w:bCs/>
        </w:rPr>
      </w:pPr>
    </w:p>
    <w:p w14:paraId="4BC141AA" w14:textId="0017DC4E" w:rsidR="007D7E35" w:rsidRPr="00B837B7" w:rsidRDefault="00DD3E0E" w:rsidP="007D7E35">
      <w:pPr>
        <w:rPr>
          <w:b/>
          <w:bCs/>
        </w:rPr>
      </w:pPr>
      <w:r w:rsidRPr="00B837B7">
        <w:rPr>
          <w:b/>
          <w:bCs/>
        </w:rPr>
        <w:t>Corporate</w:t>
      </w:r>
      <w:r w:rsidR="00B837B7" w:rsidRPr="00B837B7">
        <w:rPr>
          <w:b/>
          <w:bCs/>
        </w:rPr>
        <w:t xml:space="preserve"> Partners</w:t>
      </w:r>
    </w:p>
    <w:p w14:paraId="5B5E9AF1" w14:textId="43281997" w:rsidR="007D7E35" w:rsidRPr="006D0936" w:rsidRDefault="007D7E35" w:rsidP="000876DE">
      <w:pPr>
        <w:jc w:val="left"/>
        <w:rPr>
          <w:sz w:val="18"/>
          <w:szCs w:val="20"/>
        </w:rPr>
      </w:pPr>
      <w:r w:rsidRPr="006D0936">
        <w:rPr>
          <w:sz w:val="18"/>
          <w:szCs w:val="20"/>
        </w:rPr>
        <w:t>The map at the left here shows the states (in green) that have explicitly  adopted some form of blended apportionment for use in sourcing income where the partner is a corporation.</w:t>
      </w:r>
    </w:p>
    <w:p w14:paraId="434D7442" w14:textId="77777777" w:rsidR="00E80F48" w:rsidRPr="00E80F48" w:rsidRDefault="00E80F48" w:rsidP="00E80F48"/>
    <w:p w14:paraId="73137013" w14:textId="2AD935FB" w:rsidR="007D7E35" w:rsidRDefault="007D7E35" w:rsidP="007D7E35"/>
    <w:p w14:paraId="392CB3B7" w14:textId="090D9B6E" w:rsidR="007D7E35" w:rsidRDefault="009B57D8" w:rsidP="007D7E35">
      <w:r>
        <w:rPr>
          <w:noProof/>
          <w:sz w:val="18"/>
          <w:szCs w:val="20"/>
        </w:rPr>
        <w:drawing>
          <wp:anchor distT="0" distB="0" distL="114300" distR="114300" simplePos="0" relativeHeight="251671040" behindDoc="0" locked="0" layoutInCell="1" allowOverlap="1" wp14:anchorId="1A3B695D" wp14:editId="553610A2">
            <wp:simplePos x="0" y="0"/>
            <wp:positionH relativeFrom="margin">
              <wp:posOffset>-424180</wp:posOffset>
            </wp:positionH>
            <wp:positionV relativeFrom="paragraph">
              <wp:posOffset>268605</wp:posOffset>
            </wp:positionV>
            <wp:extent cx="3775710" cy="2266950"/>
            <wp:effectExtent l="0" t="0" r="0" b="0"/>
            <wp:wrapSquare wrapText="bothSides"/>
            <wp:docPr id="57159864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775710" cy="2266950"/>
                    </a:xfrm>
                    <a:prstGeom prst="rect">
                      <a:avLst/>
                    </a:prstGeom>
                    <a:noFill/>
                  </pic:spPr>
                </pic:pic>
              </a:graphicData>
            </a:graphic>
            <wp14:sizeRelH relativeFrom="margin">
              <wp14:pctWidth>0</wp14:pctWidth>
            </wp14:sizeRelH>
            <wp14:sizeRelV relativeFrom="margin">
              <wp14:pctHeight>0</wp14:pctHeight>
            </wp14:sizeRelV>
          </wp:anchor>
        </w:drawing>
      </w:r>
    </w:p>
    <w:p w14:paraId="22EC90E3" w14:textId="291AED48" w:rsidR="002905CB" w:rsidRDefault="002905CB" w:rsidP="000876DE">
      <w:pPr>
        <w:jc w:val="left"/>
        <w:rPr>
          <w:noProof/>
          <w:sz w:val="18"/>
          <w:szCs w:val="20"/>
        </w:rPr>
      </w:pPr>
    </w:p>
    <w:p w14:paraId="6C9FB760" w14:textId="3C5A185F" w:rsidR="002905CB" w:rsidRDefault="002905CB" w:rsidP="000876DE">
      <w:pPr>
        <w:jc w:val="left"/>
        <w:rPr>
          <w:noProof/>
          <w:sz w:val="18"/>
          <w:szCs w:val="20"/>
        </w:rPr>
      </w:pPr>
    </w:p>
    <w:p w14:paraId="0E6022C8" w14:textId="5106659A" w:rsidR="00B837B7" w:rsidRPr="00B837B7" w:rsidRDefault="00B837B7" w:rsidP="000876DE">
      <w:pPr>
        <w:jc w:val="left"/>
        <w:rPr>
          <w:b/>
          <w:bCs/>
          <w:noProof/>
          <w:sz w:val="18"/>
          <w:szCs w:val="20"/>
        </w:rPr>
      </w:pPr>
      <w:r w:rsidRPr="00B837B7">
        <w:rPr>
          <w:b/>
          <w:bCs/>
          <w:noProof/>
          <w:sz w:val="18"/>
          <w:szCs w:val="20"/>
        </w:rPr>
        <w:t>Tiered Partners</w:t>
      </w:r>
    </w:p>
    <w:p w14:paraId="0B535413" w14:textId="3B180B2D" w:rsidR="00D03796" w:rsidRPr="006D0936" w:rsidRDefault="002905CB" w:rsidP="000876DE">
      <w:pPr>
        <w:jc w:val="left"/>
        <w:rPr>
          <w:sz w:val="18"/>
          <w:szCs w:val="20"/>
        </w:rPr>
      </w:pPr>
      <w:r>
        <w:rPr>
          <w:noProof/>
          <w:sz w:val="18"/>
          <w:szCs w:val="20"/>
        </w:rPr>
        <w:t>This</w:t>
      </w:r>
      <w:r w:rsidR="00D03796" w:rsidRPr="006D0936">
        <w:rPr>
          <w:sz w:val="18"/>
          <w:szCs w:val="20"/>
        </w:rPr>
        <w:t xml:space="preserve"> map at the left here shows the states (in </w:t>
      </w:r>
      <w:r w:rsidR="00974AD7">
        <w:rPr>
          <w:sz w:val="18"/>
          <w:szCs w:val="20"/>
        </w:rPr>
        <w:t>brown</w:t>
      </w:r>
      <w:r w:rsidR="00D03796" w:rsidRPr="006D0936">
        <w:rPr>
          <w:sz w:val="18"/>
          <w:szCs w:val="20"/>
        </w:rPr>
        <w:t>) that have explicitly  adopted some form of blended apportionment for use in sourcing income where the partner is a tiered (partnership</w:t>
      </w:r>
      <w:r w:rsidR="000876DE">
        <w:rPr>
          <w:sz w:val="18"/>
          <w:szCs w:val="20"/>
        </w:rPr>
        <w:t>)</w:t>
      </w:r>
      <w:r w:rsidR="00D03796" w:rsidRPr="006D0936">
        <w:rPr>
          <w:sz w:val="18"/>
          <w:szCs w:val="20"/>
        </w:rPr>
        <w:t xml:space="preserve"> partner.</w:t>
      </w:r>
    </w:p>
    <w:p w14:paraId="0B1323FB" w14:textId="46EBDEB0" w:rsidR="007D7E35" w:rsidRDefault="007D7E35" w:rsidP="007D7E35">
      <w:r>
        <w:t xml:space="preserve"> </w:t>
      </w:r>
    </w:p>
    <w:p w14:paraId="0E97EDFC" w14:textId="77777777" w:rsidR="00E51122" w:rsidRDefault="00E51122" w:rsidP="00D03796"/>
    <w:p w14:paraId="3E076F09" w14:textId="77777777" w:rsidR="00E51122" w:rsidRDefault="00E51122" w:rsidP="00D03796"/>
    <w:p w14:paraId="703EDCC1" w14:textId="562E01C9" w:rsidR="00BB4E8D" w:rsidRDefault="00BB4E8D" w:rsidP="00E51122">
      <w:r>
        <w:t>The use of blended apportionment involves both “how” and “when” questions</w:t>
      </w:r>
      <w:r w:rsidR="006D0936">
        <w:t xml:space="preserve">—that is—how should the method be applied and when should it be applied? </w:t>
      </w:r>
      <w:r>
        <w:t xml:space="preserve"> These questions are considered here, starting with </w:t>
      </w:r>
      <w:r w:rsidR="006D0936">
        <w:t xml:space="preserve">the </w:t>
      </w:r>
      <w:r>
        <w:t>how</w:t>
      </w:r>
      <w:r w:rsidR="006D0936">
        <w:t xml:space="preserve"> questions</w:t>
      </w:r>
    </w:p>
    <w:p w14:paraId="77783CD8" w14:textId="48D61D92" w:rsidR="00BB4E8D" w:rsidRDefault="00BB4E8D" w:rsidP="00E51122">
      <w:pPr>
        <w:pStyle w:val="Heading3"/>
      </w:pPr>
      <w:bookmarkStart w:id="74" w:name="_Toc198480751"/>
      <w:r>
        <w:t>How does blended apportionment work</w:t>
      </w:r>
      <w:r w:rsidR="005E665C">
        <w:t xml:space="preserve"> generally</w:t>
      </w:r>
      <w:r>
        <w:t>?</w:t>
      </w:r>
      <w:bookmarkEnd w:id="74"/>
      <w:r>
        <w:t xml:space="preserve">  </w:t>
      </w:r>
    </w:p>
    <w:p w14:paraId="753E2416" w14:textId="270697C0" w:rsidR="00BB4E8D" w:rsidRDefault="00E51122" w:rsidP="00E51122">
      <w:pPr>
        <w:spacing w:after="80"/>
      </w:pPr>
      <w:r>
        <w:t>The</w:t>
      </w:r>
      <w:r w:rsidR="00BB4E8D">
        <w:t xml:space="preserve"> steps for using blended apportionment in its simplest form are as follows:</w:t>
      </w:r>
    </w:p>
    <w:p w14:paraId="10FB1A06" w14:textId="77777777" w:rsidR="00BB4E8D" w:rsidRDefault="00BB4E8D" w:rsidP="00366E17">
      <w:pPr>
        <w:pStyle w:val="ListParagraph"/>
        <w:numPr>
          <w:ilvl w:val="3"/>
          <w:numId w:val="47"/>
        </w:numPr>
        <w:spacing w:after="80"/>
        <w:contextualSpacing w:val="0"/>
      </w:pPr>
      <w:r>
        <w:t>Determine the partner’s share of partnership income or items that will be included in apportionable income of the partner.</w:t>
      </w:r>
    </w:p>
    <w:p w14:paraId="1AFA1267" w14:textId="77777777" w:rsidR="00BB4E8D" w:rsidRDefault="00BB4E8D" w:rsidP="00366E17">
      <w:pPr>
        <w:pStyle w:val="ListParagraph"/>
        <w:numPr>
          <w:ilvl w:val="3"/>
          <w:numId w:val="47"/>
        </w:numPr>
        <w:spacing w:after="80"/>
        <w:contextualSpacing w:val="0"/>
      </w:pPr>
      <w:r>
        <w:t>Combine the partner’s share of partnership income with the partner’s own apportionable income.</w:t>
      </w:r>
    </w:p>
    <w:p w14:paraId="008B7D67" w14:textId="77777777" w:rsidR="00BB4E8D" w:rsidRDefault="00BB4E8D" w:rsidP="00366E17">
      <w:pPr>
        <w:pStyle w:val="ListParagraph"/>
        <w:numPr>
          <w:ilvl w:val="3"/>
          <w:numId w:val="47"/>
        </w:numPr>
        <w:spacing w:after="80"/>
        <w:contextualSpacing w:val="0"/>
      </w:pPr>
      <w:r>
        <w:t>Determine the partner’s share of partnership factors that will be included in the apportionment factor of the partner.</w:t>
      </w:r>
    </w:p>
    <w:p w14:paraId="197EADF2" w14:textId="3895F436" w:rsidR="00BB4E8D" w:rsidRDefault="00BB4E8D" w:rsidP="00366E17">
      <w:pPr>
        <w:pStyle w:val="ListParagraph"/>
        <w:numPr>
          <w:ilvl w:val="3"/>
          <w:numId w:val="47"/>
        </w:numPr>
        <w:spacing w:after="80"/>
        <w:contextualSpacing w:val="0"/>
      </w:pPr>
      <w:r>
        <w:t>Combine the partner’s share of partnership factors with the partner’s own apportionment factors and compute the blended factor</w:t>
      </w:r>
      <w:r w:rsidR="008F56FB">
        <w:t>—eliminat</w:t>
      </w:r>
      <w:r w:rsidR="00E51122">
        <w:t>ing</w:t>
      </w:r>
      <w:r w:rsidR="006171B3">
        <w:t xml:space="preserve"> from the </w:t>
      </w:r>
      <w:r w:rsidR="00E51122">
        <w:t xml:space="preserve">receipts </w:t>
      </w:r>
      <w:r w:rsidR="006171B3">
        <w:t>factor</w:t>
      </w:r>
      <w:r w:rsidR="00E51122">
        <w:t xml:space="preserve"> the effects of partnership-partner transactions</w:t>
      </w:r>
      <w:r w:rsidR="008F56FB">
        <w:t>.</w:t>
      </w:r>
    </w:p>
    <w:p w14:paraId="5757F62E" w14:textId="77777777" w:rsidR="00E06E28" w:rsidRDefault="00E06E28" w:rsidP="00366E17">
      <w:pPr>
        <w:pStyle w:val="ListParagraph"/>
        <w:numPr>
          <w:ilvl w:val="3"/>
          <w:numId w:val="47"/>
        </w:numPr>
        <w:spacing w:after="120"/>
        <w:contextualSpacing w:val="0"/>
      </w:pPr>
      <w:r>
        <w:t>Use the blended factor to apportion the total apportionable income.</w:t>
      </w:r>
    </w:p>
    <w:p w14:paraId="280550B5" w14:textId="5399DC73" w:rsidR="00E06E28" w:rsidRDefault="00E51122" w:rsidP="00C16757">
      <w:pPr>
        <w:spacing w:after="80"/>
      </w:pPr>
      <w:r>
        <w:t>Use of b</w:t>
      </w:r>
      <w:r w:rsidR="00C95B9C">
        <w:t>lended</w:t>
      </w:r>
      <w:r w:rsidR="00E06E28">
        <w:t xml:space="preserve"> apportionment </w:t>
      </w:r>
      <w:r>
        <w:t xml:space="preserve">may vary somewhat in complex structures and may have effects on the state-sourced income of </w:t>
      </w:r>
      <w:r w:rsidR="00E06E28">
        <w:t>multiple entities</w:t>
      </w:r>
      <w:r w:rsidR="00C16757">
        <w:t xml:space="preserve">. </w:t>
      </w:r>
    </w:p>
    <w:p w14:paraId="623C5FC2" w14:textId="756EA56A" w:rsidR="00651A6A" w:rsidRDefault="009853FA" w:rsidP="00C16757">
      <w:pPr>
        <w:pStyle w:val="Heading4"/>
        <w:ind w:left="360"/>
      </w:pPr>
      <w:r>
        <w:lastRenderedPageBreak/>
        <w:t xml:space="preserve">Application of blended apportionment in various scenarios. </w:t>
      </w:r>
    </w:p>
    <w:p w14:paraId="2B258580" w14:textId="6636E311" w:rsidR="00E06E28" w:rsidRDefault="00C16757" w:rsidP="00C16757">
      <w:pPr>
        <w:ind w:left="360"/>
      </w:pPr>
      <w:r>
        <w:t xml:space="preserve">The following examples give an overview of how blended apportionment would generally apply in </w:t>
      </w:r>
      <w:r w:rsidR="009853FA">
        <w:t>in certain common scenarios</w:t>
      </w:r>
      <w:r>
        <w:t>:</w:t>
      </w:r>
      <w:r w:rsidR="00E06E28">
        <w:t xml:space="preserve"> </w:t>
      </w:r>
    </w:p>
    <w:p w14:paraId="3A89F098" w14:textId="0C38DB08" w:rsidR="00E06E28" w:rsidRDefault="00E06E28" w:rsidP="00480F3C">
      <w:pPr>
        <w:spacing w:after="60"/>
        <w:ind w:left="1080"/>
      </w:pPr>
      <w:r>
        <w:rPr>
          <w:u w:val="single"/>
        </w:rPr>
        <w:t xml:space="preserve">Example </w:t>
      </w:r>
      <w:r w:rsidR="006D0936">
        <w:rPr>
          <w:u w:val="single"/>
        </w:rPr>
        <w:t>1 – Combined</w:t>
      </w:r>
      <w:r w:rsidR="00993C03">
        <w:rPr>
          <w:u w:val="single"/>
        </w:rPr>
        <w:t xml:space="preserve"> Corporate</w:t>
      </w:r>
      <w:r w:rsidR="006D0936">
        <w:rPr>
          <w:u w:val="single"/>
        </w:rPr>
        <w:t xml:space="preserve"> Filing - Joyce</w:t>
      </w:r>
      <w:r>
        <w:t>:</w:t>
      </w:r>
    </w:p>
    <w:p w14:paraId="2E350ED3" w14:textId="06B76568" w:rsidR="00E06E28" w:rsidRDefault="00E06E28" w:rsidP="00366E17">
      <w:pPr>
        <w:pStyle w:val="ListParagraph"/>
        <w:numPr>
          <w:ilvl w:val="0"/>
          <w:numId w:val="48"/>
        </w:numPr>
        <w:spacing w:after="60"/>
        <w:contextualSpacing w:val="0"/>
      </w:pPr>
      <w:r>
        <w:t>Corp X files in State 1 as part of a combined corporate group</w:t>
      </w:r>
      <w:r w:rsidR="00CE7CBE">
        <w:t xml:space="preserve"> along with Corp Y</w:t>
      </w:r>
      <w:r>
        <w:t>.</w:t>
      </w:r>
    </w:p>
    <w:p w14:paraId="5281C3F8" w14:textId="2420C983" w:rsidR="00E06E28" w:rsidRDefault="00C16757" w:rsidP="00366E17">
      <w:pPr>
        <w:pStyle w:val="ListParagraph"/>
        <w:numPr>
          <w:ilvl w:val="0"/>
          <w:numId w:val="48"/>
        </w:numPr>
        <w:spacing w:after="60"/>
        <w:contextualSpacing w:val="0"/>
      </w:pPr>
      <w:r>
        <w:t>The</w:t>
      </w:r>
      <w:r w:rsidR="00E06E28">
        <w:t xml:space="preserve"> group files on the so-called “Joyce” basis—with each entity using its own factors </w:t>
      </w:r>
      <w:r w:rsidR="00F65D57">
        <w:t xml:space="preserve">to </w:t>
      </w:r>
      <w:r w:rsidR="00E06E28">
        <w:t>apportion the combined income of the group.</w:t>
      </w:r>
    </w:p>
    <w:p w14:paraId="1C37155A" w14:textId="05D3954C" w:rsidR="00E06E28" w:rsidRDefault="00E06E28" w:rsidP="00366E17">
      <w:pPr>
        <w:pStyle w:val="ListParagraph"/>
        <w:numPr>
          <w:ilvl w:val="0"/>
          <w:numId w:val="48"/>
        </w:numPr>
      </w:pPr>
      <w:r>
        <w:t xml:space="preserve">Corp X is a partner in Partnership </w:t>
      </w:r>
      <w:r w:rsidR="00CE7CBE">
        <w:t>Z.</w:t>
      </w:r>
    </w:p>
    <w:p w14:paraId="09D46791" w14:textId="157CA754" w:rsidR="00651A6A" w:rsidRDefault="00CE7CBE" w:rsidP="00480F3C">
      <w:pPr>
        <w:ind w:left="1440"/>
      </w:pPr>
      <w:r>
        <w:t xml:space="preserve">In this example, the combined group apportionable income would include X’s distributive share of Z’s apportionable income. So both X and Y would use their </w:t>
      </w:r>
      <w:r w:rsidR="00C16757">
        <w:t xml:space="preserve">own </w:t>
      </w:r>
      <w:r>
        <w:t>apportionment factors to apportion this combined group income including. But only X would include a share of Partnership Z’s factors in its own factors.</w:t>
      </w:r>
      <w:r>
        <w:rPr>
          <w:rStyle w:val="FootnoteReference"/>
        </w:rPr>
        <w:footnoteReference w:id="43"/>
      </w:r>
    </w:p>
    <w:p w14:paraId="29521577" w14:textId="55232E6A" w:rsidR="006D0936" w:rsidRDefault="006D0936" w:rsidP="00480F3C">
      <w:pPr>
        <w:spacing w:after="60"/>
        <w:ind w:left="1080"/>
      </w:pPr>
      <w:r>
        <w:rPr>
          <w:u w:val="single"/>
        </w:rPr>
        <w:t>Example 2 – Combined Filing - Finnigan</w:t>
      </w:r>
      <w:r>
        <w:t>:</w:t>
      </w:r>
    </w:p>
    <w:p w14:paraId="4D0E41E8" w14:textId="791F1860" w:rsidR="006D0936" w:rsidRDefault="006D0936" w:rsidP="00366E17">
      <w:pPr>
        <w:pStyle w:val="ListParagraph"/>
        <w:numPr>
          <w:ilvl w:val="0"/>
          <w:numId w:val="48"/>
        </w:numPr>
        <w:spacing w:after="60"/>
        <w:contextualSpacing w:val="0"/>
      </w:pPr>
      <w:r>
        <w:t>Corp X files in State 1 as part of a combined corporate group along with Corp Y.</w:t>
      </w:r>
    </w:p>
    <w:p w14:paraId="37034CA8" w14:textId="7496A2E0" w:rsidR="006D0936" w:rsidRDefault="006D0936" w:rsidP="00366E17">
      <w:pPr>
        <w:pStyle w:val="ListParagraph"/>
        <w:numPr>
          <w:ilvl w:val="0"/>
          <w:numId w:val="48"/>
        </w:numPr>
        <w:spacing w:after="60"/>
        <w:contextualSpacing w:val="0"/>
      </w:pPr>
      <w:r>
        <w:t>Th</w:t>
      </w:r>
      <w:r w:rsidR="00C16757">
        <w:t>e</w:t>
      </w:r>
      <w:r>
        <w:t xml:space="preserve"> group files on the so-called “Finnigan” basis—</w:t>
      </w:r>
      <w:r w:rsidR="00C16757">
        <w:t>using</w:t>
      </w:r>
      <w:r>
        <w:t xml:space="preserve"> a single combined apportionment formula to apportion combined income.</w:t>
      </w:r>
    </w:p>
    <w:p w14:paraId="14A087AD" w14:textId="38F72472" w:rsidR="006D0936" w:rsidRDefault="006D0936" w:rsidP="00366E17">
      <w:pPr>
        <w:pStyle w:val="ListParagraph"/>
        <w:numPr>
          <w:ilvl w:val="0"/>
          <w:numId w:val="48"/>
        </w:numPr>
      </w:pPr>
      <w:r>
        <w:t>Corp X is a partner in Partnership Z.</w:t>
      </w:r>
    </w:p>
    <w:p w14:paraId="7425B9EC" w14:textId="47999EC2" w:rsidR="00651A6A" w:rsidRDefault="006D0936" w:rsidP="00480F3C">
      <w:pPr>
        <w:ind w:left="1440"/>
      </w:pPr>
      <w:r>
        <w:t>In this example, the combined group apportionable income would include X’s distributive share of Z’s apportionable income. The group’s apportionment factor would also include a share of Partnership Z’s factors.</w:t>
      </w:r>
      <w:r>
        <w:rPr>
          <w:rStyle w:val="FootnoteReference"/>
        </w:rPr>
        <w:footnoteReference w:id="44"/>
      </w:r>
    </w:p>
    <w:p w14:paraId="418A7DC6" w14:textId="7061DC22" w:rsidR="008F56FB" w:rsidRDefault="008F56FB" w:rsidP="00480F3C">
      <w:pPr>
        <w:spacing w:after="60"/>
        <w:ind w:left="1080"/>
      </w:pPr>
      <w:r>
        <w:rPr>
          <w:u w:val="single"/>
        </w:rPr>
        <w:t xml:space="preserve">Example 3 – Combined </w:t>
      </w:r>
      <w:r w:rsidR="00993C03">
        <w:rPr>
          <w:u w:val="single"/>
        </w:rPr>
        <w:t xml:space="preserve">Corporate </w:t>
      </w:r>
      <w:r>
        <w:rPr>
          <w:u w:val="single"/>
        </w:rPr>
        <w:t>Filing – Joyce or Finnigan – Multiple Group Partners</w:t>
      </w:r>
      <w:r>
        <w:t>:</w:t>
      </w:r>
    </w:p>
    <w:p w14:paraId="7907DAC2" w14:textId="6F2447E8" w:rsidR="008F56FB" w:rsidRDefault="008F56FB" w:rsidP="00366E17">
      <w:pPr>
        <w:pStyle w:val="ListParagraph"/>
        <w:numPr>
          <w:ilvl w:val="0"/>
          <w:numId w:val="48"/>
        </w:numPr>
        <w:spacing w:after="60"/>
        <w:contextualSpacing w:val="0"/>
      </w:pPr>
      <w:r>
        <w:t>Corp X files in State 1 as part of a combined corporate group along with Corp Y.</w:t>
      </w:r>
    </w:p>
    <w:p w14:paraId="32E105D2" w14:textId="17055EF8" w:rsidR="008F56FB" w:rsidRDefault="008F56FB" w:rsidP="00366E17">
      <w:pPr>
        <w:pStyle w:val="ListParagraph"/>
        <w:numPr>
          <w:ilvl w:val="0"/>
          <w:numId w:val="48"/>
        </w:numPr>
      </w:pPr>
      <w:r>
        <w:t>Both Corp X and Corp Y are partners in Partnership Z.</w:t>
      </w:r>
    </w:p>
    <w:p w14:paraId="3B39D924" w14:textId="2F986FF1" w:rsidR="00651A6A" w:rsidRPr="00480F3C" w:rsidRDefault="008F56FB" w:rsidP="00480F3C">
      <w:pPr>
        <w:ind w:left="1440"/>
      </w:pPr>
      <w:r>
        <w:t>In this example, the Joyce or Finnigan approach above would be used (depending on the state’s rule) but the combined group apportionable income would also include Y’s distributive share of Z’s apportionable income and Y’s (or the group</w:t>
      </w:r>
      <w:r w:rsidR="00993C03">
        <w:t>’</w:t>
      </w:r>
      <w:r>
        <w:t>s) apportionment factor would also include Y’s share of Partnership Z’s factors.</w:t>
      </w:r>
    </w:p>
    <w:p w14:paraId="43B65D7E" w14:textId="665A8F57" w:rsidR="008F56FB" w:rsidRDefault="008F56FB" w:rsidP="00480F3C">
      <w:pPr>
        <w:spacing w:after="60"/>
        <w:ind w:left="1080"/>
      </w:pPr>
      <w:r>
        <w:rPr>
          <w:u w:val="single"/>
        </w:rPr>
        <w:t>Example 4 – Combined Filing – Joyce or Finnigan – Partner-Partnership Transactions</w:t>
      </w:r>
      <w:r>
        <w:t>:</w:t>
      </w:r>
    </w:p>
    <w:p w14:paraId="462D88F5" w14:textId="61583BFF" w:rsidR="008F56FB" w:rsidRDefault="008F56FB" w:rsidP="00366E17">
      <w:pPr>
        <w:pStyle w:val="ListParagraph"/>
        <w:numPr>
          <w:ilvl w:val="0"/>
          <w:numId w:val="48"/>
        </w:numPr>
        <w:spacing w:after="60"/>
        <w:contextualSpacing w:val="0"/>
      </w:pPr>
      <w:r>
        <w:t>Corp X files in State 1 as part of a combined corporate group along with Corp Y.</w:t>
      </w:r>
    </w:p>
    <w:p w14:paraId="089092CE" w14:textId="11028D91" w:rsidR="008F56FB" w:rsidRDefault="008F56FB" w:rsidP="00366E17">
      <w:pPr>
        <w:pStyle w:val="ListParagraph"/>
        <w:numPr>
          <w:ilvl w:val="0"/>
          <w:numId w:val="48"/>
        </w:numPr>
        <w:spacing w:after="60"/>
        <w:contextualSpacing w:val="0"/>
      </w:pPr>
      <w:r>
        <w:t>Corp X is a partner in Partnership Z.</w:t>
      </w:r>
    </w:p>
    <w:p w14:paraId="2E08F7EE" w14:textId="29FDA4AE" w:rsidR="008F56FB" w:rsidRDefault="008F56FB" w:rsidP="00366E17">
      <w:pPr>
        <w:pStyle w:val="ListParagraph"/>
        <w:numPr>
          <w:ilvl w:val="0"/>
          <w:numId w:val="48"/>
        </w:numPr>
      </w:pPr>
      <w:r>
        <w:t>Corp X charges Partnership Z a fee which is treated as an IRC § 707(a) transaction between unrelated parties.</w:t>
      </w:r>
    </w:p>
    <w:p w14:paraId="3A18EBBB" w14:textId="77777777" w:rsidR="009853FA" w:rsidRDefault="008F56FB" w:rsidP="00480F3C">
      <w:pPr>
        <w:ind w:left="1440"/>
      </w:pPr>
      <w:r>
        <w:t>In this example, Partnership Z would record the fees charged by X as an expense in reporting i</w:t>
      </w:r>
      <w:r w:rsidR="00AD772F">
        <w:t>t</w:t>
      </w:r>
      <w:r>
        <w:t>s net</w:t>
      </w:r>
      <w:r w:rsidR="009853FA">
        <w:t xml:space="preserve"> distributive share</w:t>
      </w:r>
      <w:r>
        <w:t xml:space="preserve"> income</w:t>
      </w:r>
      <w:r w:rsidR="009853FA">
        <w:t xml:space="preserve"> and items which would be allocated to its partners, including X. </w:t>
      </w:r>
      <w:r>
        <w:t xml:space="preserve">Assuming X receives a share of partnership income that includes </w:t>
      </w:r>
      <w:r w:rsidR="009853FA">
        <w:t xml:space="preserve">a portion of </w:t>
      </w:r>
      <w:r>
        <w:t>this fee</w:t>
      </w:r>
      <w:r w:rsidR="009853FA">
        <w:t xml:space="preserve"> expense</w:t>
      </w:r>
      <w:r>
        <w:t>, X</w:t>
      </w:r>
      <w:r w:rsidR="009853FA">
        <w:t>’s</w:t>
      </w:r>
      <w:r>
        <w:t xml:space="preserve"> fee income </w:t>
      </w:r>
      <w:r w:rsidR="00124F46">
        <w:t>from its charges to Z</w:t>
      </w:r>
      <w:r w:rsidR="009853FA">
        <w:t xml:space="preserve"> would be partially offset by its share of Z’s expense. </w:t>
      </w:r>
    </w:p>
    <w:p w14:paraId="2AF4BA87" w14:textId="74674D99" w:rsidR="009853FA" w:rsidRDefault="00993C03" w:rsidP="00480F3C">
      <w:pPr>
        <w:ind w:left="1440"/>
      </w:pPr>
      <w:r>
        <w:t xml:space="preserve">The same </w:t>
      </w:r>
      <w:r w:rsidR="006171B3">
        <w:t xml:space="preserve">elimination may </w:t>
      </w:r>
      <w:r w:rsidR="009853FA">
        <w:t xml:space="preserve">also </w:t>
      </w:r>
      <w:r w:rsidR="006171B3">
        <w:t>be provided</w:t>
      </w:r>
      <w:r>
        <w:t xml:space="preserve"> for </w:t>
      </w:r>
      <w:r w:rsidR="009853FA">
        <w:t>the receipts factor used by X (Joyce) or the group (Finnigan) so that the factor would exclude X’s</w:t>
      </w:r>
      <w:r w:rsidR="006171B3">
        <w:t xml:space="preserve"> share of the</w:t>
      </w:r>
      <w:r>
        <w:t xml:space="preserve"> fee</w:t>
      </w:r>
      <w:r w:rsidR="009853FA">
        <w:t xml:space="preserve"> receipts that</w:t>
      </w:r>
      <w:r>
        <w:t xml:space="preserve"> </w:t>
      </w:r>
      <w:r w:rsidR="00DC70E0">
        <w:t>it charge</w:t>
      </w:r>
      <w:r w:rsidR="009853FA">
        <w:t>d</w:t>
      </w:r>
      <w:r w:rsidR="00DC70E0">
        <w:t xml:space="preserve"> to Z</w:t>
      </w:r>
      <w:r>
        <w:t>.</w:t>
      </w:r>
      <w:r w:rsidR="00124F46">
        <w:t xml:space="preserve"> (See more </w:t>
      </w:r>
      <w:r w:rsidR="009853FA">
        <w:t>discussion of</w:t>
      </w:r>
      <w:r w:rsidR="00124F46">
        <w:t xml:space="preserve"> this issue below.)</w:t>
      </w:r>
    </w:p>
    <w:p w14:paraId="4484FA72" w14:textId="09A49B46" w:rsidR="00651A6A" w:rsidRPr="00480F3C" w:rsidRDefault="00993C03" w:rsidP="009853FA">
      <w:r>
        <w:t xml:space="preserve"> </w:t>
      </w:r>
    </w:p>
    <w:p w14:paraId="2E9B7C7B" w14:textId="354C206E" w:rsidR="00993C03" w:rsidRDefault="00993C03" w:rsidP="00480F3C">
      <w:pPr>
        <w:spacing w:after="60"/>
        <w:ind w:left="1080"/>
      </w:pPr>
      <w:r>
        <w:rPr>
          <w:u w:val="single"/>
        </w:rPr>
        <w:lastRenderedPageBreak/>
        <w:t>Example 5 – Combined Corporate Filing – Multiple Partnerships</w:t>
      </w:r>
      <w:r>
        <w:t>:</w:t>
      </w:r>
    </w:p>
    <w:p w14:paraId="1E034DC8" w14:textId="40EC7725" w:rsidR="00993C03" w:rsidRDefault="00993C03" w:rsidP="00366E17">
      <w:pPr>
        <w:pStyle w:val="ListParagraph"/>
        <w:numPr>
          <w:ilvl w:val="0"/>
          <w:numId w:val="48"/>
        </w:numPr>
        <w:spacing w:after="60"/>
        <w:contextualSpacing w:val="0"/>
      </w:pPr>
      <w:r>
        <w:t>Corp X files in State 1 as part of a combined corporate group along with Corp Y.</w:t>
      </w:r>
    </w:p>
    <w:p w14:paraId="45119DED" w14:textId="6FD60A04" w:rsidR="00993C03" w:rsidRDefault="00993C03" w:rsidP="00366E17">
      <w:pPr>
        <w:pStyle w:val="ListParagraph"/>
        <w:numPr>
          <w:ilvl w:val="0"/>
          <w:numId w:val="48"/>
        </w:numPr>
      </w:pPr>
      <w:r>
        <w:t xml:space="preserve">Corp X is a partner in two partnerships – P1 and P2. </w:t>
      </w:r>
    </w:p>
    <w:p w14:paraId="65B2890D" w14:textId="6742F548" w:rsidR="00651A6A" w:rsidRPr="00480F3C" w:rsidRDefault="00993C03" w:rsidP="00480F3C">
      <w:pPr>
        <w:ind w:left="1440"/>
      </w:pPr>
      <w:r>
        <w:t xml:space="preserve">In this example, the Joyce or Finnigan approach above would be used and the combined group apportionable income would also include </w:t>
      </w:r>
      <w:r w:rsidR="00450FD5">
        <w:t>X</w:t>
      </w:r>
      <w:r>
        <w:t xml:space="preserve">’s distributive share of both P1 and P2’s apportionable income and </w:t>
      </w:r>
      <w:r w:rsidR="00450FD5">
        <w:t>X</w:t>
      </w:r>
      <w:r>
        <w:t xml:space="preserve">’s (or the group’s) apportionment factor would also include </w:t>
      </w:r>
      <w:r w:rsidR="00450FD5">
        <w:t>X</w:t>
      </w:r>
      <w:r>
        <w:t>’s share of P1 and P2 factors.</w:t>
      </w:r>
    </w:p>
    <w:p w14:paraId="15415936" w14:textId="3C88C320" w:rsidR="00993C03" w:rsidRDefault="00993C03" w:rsidP="00480F3C">
      <w:pPr>
        <w:spacing w:after="60"/>
        <w:ind w:left="1080"/>
      </w:pPr>
      <w:r>
        <w:rPr>
          <w:u w:val="single"/>
        </w:rPr>
        <w:t xml:space="preserve">Example 6 – Combined Corporate Filing – Multiple Partnerships </w:t>
      </w:r>
      <w:r w:rsidR="00450FD5">
        <w:rPr>
          <w:u w:val="single"/>
        </w:rPr>
        <w:t>with Transactions</w:t>
      </w:r>
      <w:r>
        <w:t>:</w:t>
      </w:r>
    </w:p>
    <w:p w14:paraId="070822A5" w14:textId="3AB8B655" w:rsidR="00993C03" w:rsidRDefault="00993C03" w:rsidP="00366E17">
      <w:pPr>
        <w:pStyle w:val="ListParagraph"/>
        <w:numPr>
          <w:ilvl w:val="0"/>
          <w:numId w:val="48"/>
        </w:numPr>
        <w:spacing w:after="60"/>
        <w:contextualSpacing w:val="0"/>
      </w:pPr>
      <w:r>
        <w:t>Corp X files in State 1 as part of a combined corporate group along with Corp Y.</w:t>
      </w:r>
    </w:p>
    <w:p w14:paraId="5CCBF62B" w14:textId="5B37B3BE" w:rsidR="00450FD5" w:rsidRDefault="00993C03" w:rsidP="00366E17">
      <w:pPr>
        <w:pStyle w:val="ListParagraph"/>
        <w:numPr>
          <w:ilvl w:val="0"/>
          <w:numId w:val="48"/>
        </w:numPr>
        <w:spacing w:after="60"/>
        <w:contextualSpacing w:val="0"/>
      </w:pPr>
      <w:r>
        <w:t>Corp X is a partner in two partnerships – P1 and P2.</w:t>
      </w:r>
    </w:p>
    <w:p w14:paraId="5E25C5FE" w14:textId="651A5664" w:rsidR="00993C03" w:rsidRDefault="00450FD5" w:rsidP="00366E17">
      <w:pPr>
        <w:pStyle w:val="ListParagraph"/>
        <w:numPr>
          <w:ilvl w:val="0"/>
          <w:numId w:val="48"/>
        </w:numPr>
      </w:pPr>
      <w:r>
        <w:t>P1 sells services to P2.</w:t>
      </w:r>
      <w:r w:rsidR="00993C03">
        <w:t xml:space="preserve"> </w:t>
      </w:r>
    </w:p>
    <w:p w14:paraId="69DE88F1" w14:textId="61C0E01C" w:rsidR="00450FD5" w:rsidRDefault="00993C03" w:rsidP="00993C03">
      <w:pPr>
        <w:ind w:left="1440"/>
      </w:pPr>
      <w:r>
        <w:t xml:space="preserve">In this example, </w:t>
      </w:r>
      <w:r w:rsidR="00B8495A">
        <w:t>P1’s distributive share net income would include charges to P2 and P2’s distributive share net income would include expense for amounts paid to P1. X’s share of P1 and P2 income and items would be included in the group’s income, offsetting the income and expense</w:t>
      </w:r>
      <w:r>
        <w:t xml:space="preserve"> </w:t>
      </w:r>
      <w:r w:rsidR="00B8495A">
        <w:t xml:space="preserve">to the extent of X’s share of each (which may differ). </w:t>
      </w:r>
    </w:p>
    <w:p w14:paraId="2E0C3595" w14:textId="13626E0E" w:rsidR="00124F46" w:rsidRDefault="00124F46" w:rsidP="00480F3C">
      <w:pPr>
        <w:ind w:left="1440"/>
      </w:pPr>
      <w:r>
        <w:t>As for</w:t>
      </w:r>
      <w:r w:rsidR="00AD772F">
        <w:t xml:space="preserve"> the</w:t>
      </w:r>
      <w:r>
        <w:t xml:space="preserve"> share of P1’s factors</w:t>
      </w:r>
      <w:r w:rsidR="00B8495A">
        <w:t xml:space="preserve"> to include in X’s apportionment factor (Joyce) or the group factor (Finnigan)</w:t>
      </w:r>
      <w:r>
        <w:t xml:space="preserve">, however, the question is whether </w:t>
      </w:r>
      <w:r w:rsidR="00AD772F">
        <w:t xml:space="preserve">X’s share of the </w:t>
      </w:r>
      <w:r>
        <w:t xml:space="preserve">charges </w:t>
      </w:r>
      <w:r w:rsidR="00AD772F">
        <w:t>from P1 to</w:t>
      </w:r>
      <w:r>
        <w:t xml:space="preserve"> P2 should be eliminated</w:t>
      </w:r>
      <w:r w:rsidR="00450FD5">
        <w:t xml:space="preserve">. </w:t>
      </w:r>
      <w:r>
        <w:t>(See more on this issue below.)</w:t>
      </w:r>
    </w:p>
    <w:p w14:paraId="3AA40E34" w14:textId="33E5C0B2" w:rsidR="00C162A0" w:rsidRDefault="00450FD5" w:rsidP="00480F3C">
      <w:pPr>
        <w:spacing w:after="60"/>
        <w:ind w:left="1080"/>
      </w:pPr>
      <w:r>
        <w:rPr>
          <w:u w:val="single"/>
        </w:rPr>
        <w:t xml:space="preserve">Example </w:t>
      </w:r>
      <w:r w:rsidR="00634D98">
        <w:rPr>
          <w:u w:val="single"/>
        </w:rPr>
        <w:t>7</w:t>
      </w:r>
      <w:r>
        <w:rPr>
          <w:u w:val="single"/>
        </w:rPr>
        <w:t xml:space="preserve"> – </w:t>
      </w:r>
      <w:r w:rsidR="00634D98">
        <w:rPr>
          <w:u w:val="single"/>
        </w:rPr>
        <w:t>Tiered Partners</w:t>
      </w:r>
      <w:r>
        <w:t>:</w:t>
      </w:r>
    </w:p>
    <w:p w14:paraId="7B42897E" w14:textId="3E15E1FA" w:rsidR="00480F3C" w:rsidRPr="00C162A0" w:rsidRDefault="00B8495A" w:rsidP="00480F3C">
      <w:pPr>
        <w:spacing w:after="60"/>
        <w:ind w:left="1080"/>
      </w:pPr>
      <w:r>
        <w:t>Note – i</w:t>
      </w:r>
      <w:r w:rsidR="00480F3C">
        <w:t xml:space="preserve">n this example, </w:t>
      </w:r>
      <w:r>
        <w:t>the</w:t>
      </w:r>
      <w:r w:rsidR="00480F3C">
        <w:t xml:space="preserve"> income or factors listed for a particular entity are its </w:t>
      </w:r>
      <w:r>
        <w:t xml:space="preserve">own </w:t>
      </w:r>
      <w:r w:rsidR="00480F3C">
        <w:t xml:space="preserve">direct income and factors, without including its distributive share income or a share of the related partnership’s factors. </w:t>
      </w:r>
      <w:r w:rsidR="005A49FF">
        <w:t>Also, t</w:t>
      </w:r>
      <w:r w:rsidR="00C16757">
        <w:t>he share of the partnership’s factors include</w:t>
      </w:r>
      <w:r w:rsidR="005A49FF">
        <w:t>d</w:t>
      </w:r>
      <w:r w:rsidR="00C16757">
        <w:t xml:space="preserve"> in the partner’s own apportionment factor is based on the partner’s distributive share. (This method is discussed further below.)</w:t>
      </w:r>
    </w:p>
    <w:p w14:paraId="33AA49D0" w14:textId="2ECFB930" w:rsidR="00450FD5" w:rsidRDefault="00450FD5" w:rsidP="00366E17">
      <w:pPr>
        <w:pStyle w:val="ListParagraph"/>
        <w:numPr>
          <w:ilvl w:val="0"/>
          <w:numId w:val="48"/>
        </w:numPr>
        <w:spacing w:after="60"/>
        <w:contextualSpacing w:val="0"/>
      </w:pPr>
      <w:r>
        <w:t xml:space="preserve">Corp X </w:t>
      </w:r>
      <w:r w:rsidR="00573764">
        <w:t xml:space="preserve">(X) </w:t>
      </w:r>
      <w:r>
        <w:t>is a partner in Partnership 1 (P1) which is a partner in Partnership 2 (P2).</w:t>
      </w:r>
    </w:p>
    <w:p w14:paraId="5F19828D" w14:textId="688B0F3B" w:rsidR="00AD772F" w:rsidRDefault="00480F3C" w:rsidP="00366E17">
      <w:pPr>
        <w:pStyle w:val="ListParagraph"/>
        <w:numPr>
          <w:ilvl w:val="0"/>
          <w:numId w:val="48"/>
        </w:numPr>
        <w:spacing w:after="60"/>
        <w:contextualSpacing w:val="0"/>
      </w:pPr>
      <w:r>
        <w:t xml:space="preserve">X </w:t>
      </w:r>
      <w:r w:rsidR="00AD772F">
        <w:t>has its own ordinary income</w:t>
      </w:r>
      <w:r w:rsidR="00E85677">
        <w:t>.</w:t>
      </w:r>
      <w:r w:rsidR="00AD772F">
        <w:t xml:space="preserve"> </w:t>
      </w:r>
    </w:p>
    <w:p w14:paraId="0F074DB2" w14:textId="6985E0F3" w:rsidR="00C162A0" w:rsidRDefault="00C162A0" w:rsidP="00366E17">
      <w:pPr>
        <w:pStyle w:val="ListParagraph"/>
        <w:numPr>
          <w:ilvl w:val="0"/>
          <w:numId w:val="48"/>
        </w:numPr>
        <w:spacing w:after="60"/>
        <w:contextualSpacing w:val="0"/>
      </w:pPr>
      <w:r>
        <w:t xml:space="preserve">P1 has </w:t>
      </w:r>
      <w:r w:rsidR="00AD772F">
        <w:t xml:space="preserve">its own </w:t>
      </w:r>
      <w:r>
        <w:t>ordinary income</w:t>
      </w:r>
      <w:r w:rsidR="00E85677">
        <w:t>.</w:t>
      </w:r>
      <w:r>
        <w:t xml:space="preserve"> </w:t>
      </w:r>
    </w:p>
    <w:p w14:paraId="59FD709F" w14:textId="5013ADEE" w:rsidR="00450FD5" w:rsidRDefault="0013471B" w:rsidP="00366E17">
      <w:pPr>
        <w:pStyle w:val="ListParagraph"/>
        <w:numPr>
          <w:ilvl w:val="0"/>
          <w:numId w:val="48"/>
        </w:numPr>
        <w:spacing w:after="60"/>
        <w:contextualSpacing w:val="0"/>
      </w:pPr>
      <w:r>
        <w:t>P2 has</w:t>
      </w:r>
      <w:r w:rsidR="00AD772F">
        <w:t xml:space="preserve"> its own</w:t>
      </w:r>
      <w:r>
        <w:t xml:space="preserve"> ordinary income and a capital loss</w:t>
      </w:r>
      <w:r w:rsidR="00E85677">
        <w:t>.</w:t>
      </w:r>
    </w:p>
    <w:p w14:paraId="5BBF3222" w14:textId="77777777" w:rsidR="00573764" w:rsidRDefault="0013471B" w:rsidP="00366E17">
      <w:pPr>
        <w:pStyle w:val="ListParagraph"/>
        <w:numPr>
          <w:ilvl w:val="0"/>
          <w:numId w:val="48"/>
        </w:numPr>
        <w:spacing w:after="60"/>
        <w:contextualSpacing w:val="0"/>
      </w:pPr>
      <w:r>
        <w:t xml:space="preserve">P1’s share of </w:t>
      </w:r>
      <w:r w:rsidR="00AD772F">
        <w:t>P2’s</w:t>
      </w:r>
      <w:r>
        <w:t xml:space="preserve"> </w:t>
      </w:r>
      <w:r w:rsidR="00573764">
        <w:t xml:space="preserve">distributive share net income is: </w:t>
      </w:r>
    </w:p>
    <w:p w14:paraId="25811A73" w14:textId="77777777" w:rsidR="00573764" w:rsidRDefault="0013471B" w:rsidP="00366E17">
      <w:pPr>
        <w:pStyle w:val="ListParagraph"/>
        <w:numPr>
          <w:ilvl w:val="1"/>
          <w:numId w:val="48"/>
        </w:numPr>
        <w:spacing w:after="60"/>
        <w:contextualSpacing w:val="0"/>
      </w:pPr>
      <w:r>
        <w:t xml:space="preserve">20% </w:t>
      </w:r>
      <w:r w:rsidR="00573764">
        <w:t>of P2’s ordinary income</w:t>
      </w:r>
    </w:p>
    <w:p w14:paraId="31042CE9" w14:textId="77777777" w:rsidR="00573764" w:rsidRDefault="00573764" w:rsidP="00366E17">
      <w:pPr>
        <w:pStyle w:val="ListParagraph"/>
        <w:numPr>
          <w:ilvl w:val="1"/>
          <w:numId w:val="48"/>
        </w:numPr>
        <w:spacing w:after="60"/>
        <w:contextualSpacing w:val="0"/>
      </w:pPr>
      <w:r>
        <w:t>50% of P2’s</w:t>
      </w:r>
      <w:r w:rsidR="0013471B">
        <w:t xml:space="preserve"> capital loss </w:t>
      </w:r>
    </w:p>
    <w:p w14:paraId="7D7156B8" w14:textId="299F3A55" w:rsidR="0013471B" w:rsidRDefault="00573764" w:rsidP="00366E17">
      <w:pPr>
        <w:pStyle w:val="ListParagraph"/>
        <w:numPr>
          <w:ilvl w:val="1"/>
          <w:numId w:val="48"/>
        </w:numPr>
        <w:spacing w:after="60"/>
        <w:contextualSpacing w:val="0"/>
      </w:pPr>
      <w:r>
        <w:t xml:space="preserve">30% - total combined share of </w:t>
      </w:r>
      <w:r w:rsidR="00423598">
        <w:t>P2</w:t>
      </w:r>
      <w:r>
        <w:t>’s</w:t>
      </w:r>
      <w:r w:rsidR="00423598">
        <w:t xml:space="preserve"> </w:t>
      </w:r>
      <w:r>
        <w:t xml:space="preserve">net </w:t>
      </w:r>
      <w:r w:rsidR="00423598">
        <w:t xml:space="preserve">income </w:t>
      </w:r>
      <w:r>
        <w:t>and loss (where the loss is converted to absolute value)</w:t>
      </w:r>
    </w:p>
    <w:p w14:paraId="789A6447" w14:textId="537AE214" w:rsidR="00480F3C" w:rsidRDefault="0013471B" w:rsidP="00366E17">
      <w:pPr>
        <w:pStyle w:val="ListParagraph"/>
        <w:numPr>
          <w:ilvl w:val="0"/>
          <w:numId w:val="48"/>
        </w:numPr>
        <w:spacing w:after="60"/>
        <w:contextualSpacing w:val="0"/>
      </w:pPr>
      <w:r>
        <w:t xml:space="preserve">X’s share of </w:t>
      </w:r>
      <w:r w:rsidR="00AD772F">
        <w:t xml:space="preserve">all </w:t>
      </w:r>
      <w:r>
        <w:t>P1’s</w:t>
      </w:r>
      <w:r w:rsidR="00AD772F">
        <w:t xml:space="preserve"> income and items</w:t>
      </w:r>
      <w:r w:rsidR="00573764">
        <w:t xml:space="preserve"> </w:t>
      </w:r>
      <w:r w:rsidR="00AD772F">
        <w:t>including P1’s</w:t>
      </w:r>
      <w:r>
        <w:t xml:space="preserve"> share of P2’s ordinary income and capital loss is 50%.</w:t>
      </w:r>
    </w:p>
    <w:p w14:paraId="3907F6D5" w14:textId="21EC0E6C" w:rsidR="00993C03" w:rsidRDefault="0013471B" w:rsidP="00366E17">
      <w:pPr>
        <w:pStyle w:val="ListParagraph"/>
        <w:numPr>
          <w:ilvl w:val="0"/>
          <w:numId w:val="48"/>
        </w:numPr>
        <w:spacing w:after="120"/>
        <w:contextualSpacing w:val="0"/>
      </w:pPr>
      <w:r>
        <w:t xml:space="preserve">Assuming all income is apportionable, X’s apportionable income would be: </w:t>
      </w:r>
    </w:p>
    <w:p w14:paraId="19ED63A3" w14:textId="5FECEB36" w:rsidR="0013471B" w:rsidRPr="00E06E28" w:rsidRDefault="00634D98" w:rsidP="00634D98">
      <w:pPr>
        <w:pStyle w:val="ListParagraph"/>
        <w:spacing w:after="0"/>
        <w:ind w:left="2520"/>
        <w:contextualSpacing w:val="0"/>
      </w:pPr>
      <w:r>
        <w:t xml:space="preserve">  </w:t>
      </w:r>
      <w:r>
        <w:tab/>
        <w:t xml:space="preserve">   </w:t>
      </w:r>
      <w:r w:rsidR="0013471B">
        <w:t>X’s own apportionable income</w:t>
      </w:r>
    </w:p>
    <w:p w14:paraId="3D4EE636" w14:textId="1B2900AD" w:rsidR="00E06E28" w:rsidRDefault="00634D98" w:rsidP="00634D98">
      <w:pPr>
        <w:spacing w:after="0"/>
      </w:pPr>
      <w:r>
        <w:tab/>
      </w:r>
      <w:r>
        <w:tab/>
      </w:r>
      <w:r>
        <w:tab/>
      </w:r>
      <w:r>
        <w:tab/>
        <w:t xml:space="preserve">+50% of </w:t>
      </w:r>
      <w:r w:rsidR="00573764">
        <w:t xml:space="preserve">P1’s </w:t>
      </w:r>
      <w:r>
        <w:t>20% of P</w:t>
      </w:r>
      <w:r w:rsidR="00423598">
        <w:t>2</w:t>
      </w:r>
      <w:r>
        <w:t>’s ordinary income</w:t>
      </w:r>
    </w:p>
    <w:p w14:paraId="461D768D" w14:textId="76D328A9" w:rsidR="00634D98" w:rsidRDefault="00634D98" w:rsidP="00634D98">
      <w:pPr>
        <w:spacing w:after="0"/>
      </w:pPr>
      <w:r>
        <w:tab/>
      </w:r>
      <w:r>
        <w:tab/>
      </w:r>
      <w:r>
        <w:tab/>
      </w:r>
      <w:r>
        <w:tab/>
        <w:t xml:space="preserve">+50% of </w:t>
      </w:r>
      <w:r w:rsidR="00573764">
        <w:t xml:space="preserve">P1’s </w:t>
      </w:r>
      <w:r>
        <w:t>50% of P</w:t>
      </w:r>
      <w:r w:rsidR="00423598">
        <w:t>2</w:t>
      </w:r>
      <w:r>
        <w:t>’s capital loss</w:t>
      </w:r>
    </w:p>
    <w:p w14:paraId="37A089B6" w14:textId="07C878D5" w:rsidR="00634D98" w:rsidRDefault="00634D98" w:rsidP="00E06E28">
      <w:r>
        <w:tab/>
      </w:r>
      <w:r>
        <w:tab/>
      </w:r>
      <w:r>
        <w:tab/>
      </w:r>
      <w:r>
        <w:tab/>
        <w:t>+50% of P</w:t>
      </w:r>
      <w:r w:rsidR="00423598">
        <w:t>1</w:t>
      </w:r>
      <w:r>
        <w:t>’s own income</w:t>
      </w:r>
    </w:p>
    <w:p w14:paraId="21A02FA5" w14:textId="05AAFFD7" w:rsidR="00634D98" w:rsidRDefault="00634D98" w:rsidP="00366E17">
      <w:pPr>
        <w:pStyle w:val="ListParagraph"/>
        <w:numPr>
          <w:ilvl w:val="0"/>
          <w:numId w:val="48"/>
        </w:numPr>
        <w:spacing w:after="120"/>
        <w:contextualSpacing w:val="0"/>
      </w:pPr>
      <w:r>
        <w:t xml:space="preserve">X’s apportionable </w:t>
      </w:r>
      <w:r w:rsidR="00423598">
        <w:t xml:space="preserve">factor </w:t>
      </w:r>
      <w:r>
        <w:t xml:space="preserve">would </w:t>
      </w:r>
      <w:r w:rsidR="00423598">
        <w:t>include</w:t>
      </w:r>
      <w:r>
        <w:t>:</w:t>
      </w:r>
    </w:p>
    <w:p w14:paraId="0D2DE2EE" w14:textId="51ED6F90" w:rsidR="00634D98" w:rsidRPr="00E06E28" w:rsidRDefault="00634D98" w:rsidP="00634D98">
      <w:pPr>
        <w:pStyle w:val="ListParagraph"/>
        <w:spacing w:after="0"/>
        <w:ind w:left="2520" w:firstLine="360"/>
        <w:contextualSpacing w:val="0"/>
      </w:pPr>
      <w:r>
        <w:t xml:space="preserve">    X’s own apportionment factors</w:t>
      </w:r>
    </w:p>
    <w:p w14:paraId="03C0FDB6" w14:textId="5CF2DB4D" w:rsidR="00634D98" w:rsidRDefault="00634D98" w:rsidP="00634D98">
      <w:pPr>
        <w:spacing w:after="0"/>
      </w:pPr>
      <w:r>
        <w:tab/>
      </w:r>
      <w:r>
        <w:tab/>
      </w:r>
      <w:r>
        <w:tab/>
      </w:r>
      <w:r>
        <w:tab/>
        <w:t xml:space="preserve">+50% of </w:t>
      </w:r>
      <w:r w:rsidR="00DF1800">
        <w:t xml:space="preserve">P1’s </w:t>
      </w:r>
      <w:r w:rsidR="00423598">
        <w:t>30% of</w:t>
      </w:r>
      <w:r>
        <w:t xml:space="preserve"> </w:t>
      </w:r>
      <w:r w:rsidR="00423598">
        <w:t xml:space="preserve">P2’s total receipts </w:t>
      </w:r>
    </w:p>
    <w:p w14:paraId="68103B96" w14:textId="62E471A0" w:rsidR="00423598" w:rsidRDefault="00634D98" w:rsidP="00423598">
      <w:r>
        <w:tab/>
      </w:r>
      <w:r>
        <w:tab/>
      </w:r>
      <w:r>
        <w:tab/>
      </w:r>
      <w:r>
        <w:tab/>
        <w:t>+50% of P</w:t>
      </w:r>
      <w:r w:rsidR="00DF1800">
        <w:t>1</w:t>
      </w:r>
      <w:r>
        <w:t xml:space="preserve">’s own receipts </w:t>
      </w:r>
    </w:p>
    <w:p w14:paraId="72D65C75" w14:textId="7414BFE8" w:rsidR="00A71D62" w:rsidRDefault="00423598" w:rsidP="00423598">
      <w:pPr>
        <w:ind w:left="1440"/>
      </w:pPr>
      <w:r>
        <w:lastRenderedPageBreak/>
        <w:t>Note that in this example</w:t>
      </w:r>
      <w:r w:rsidR="00573764">
        <w:t xml:space="preserve"> no. 7</w:t>
      </w:r>
      <w:r>
        <w:t>, while X includes its indirect shares of P2’s ordinary income and capital loss in apportionable income, it does not distinguish the receipts giving rise to ordinary income versus the capital sale proceeds. Rather, the same share</w:t>
      </w:r>
      <w:r w:rsidR="00E85677">
        <w:t>—</w:t>
      </w:r>
      <w:r>
        <w:t>30%</w:t>
      </w:r>
      <w:r w:rsidR="00E85677">
        <w:t>--</w:t>
      </w:r>
      <w:r>
        <w:t>is used for both, based on X’s share of P2’s total distributive share income</w:t>
      </w:r>
      <w:r w:rsidR="00573764">
        <w:t xml:space="preserve"> (using absolute values)</w:t>
      </w:r>
      <w:r>
        <w:t>.</w:t>
      </w:r>
      <w:r w:rsidR="00C162A0">
        <w:t xml:space="preserve"> </w:t>
      </w:r>
      <w:r>
        <w:t>But note that s</w:t>
      </w:r>
      <w:r w:rsidR="00C162A0">
        <w:t>pecial allocations are addressed further in the following subsection.</w:t>
      </w:r>
    </w:p>
    <w:p w14:paraId="401E55D9" w14:textId="2FD3DFE8" w:rsidR="00A263AA" w:rsidRPr="00A263AA" w:rsidRDefault="00A263AA" w:rsidP="00A263AA">
      <w:pPr>
        <w:pStyle w:val="Heading4"/>
        <w:ind w:left="720"/>
        <w:rPr>
          <w:u w:val="none"/>
        </w:rPr>
      </w:pPr>
      <w:r>
        <w:t>Is blended apportionment necessary</w:t>
      </w:r>
      <w:r>
        <w:rPr>
          <w:u w:val="none"/>
        </w:rPr>
        <w:t xml:space="preserve">? </w:t>
      </w:r>
    </w:p>
    <w:p w14:paraId="78581327" w14:textId="4FBC5190" w:rsidR="00634D98" w:rsidRDefault="00651A6A" w:rsidP="00651A6A">
      <w:pPr>
        <w:pStyle w:val="ListParagraph"/>
        <w:spacing w:after="120"/>
        <w:contextualSpacing w:val="0"/>
      </w:pPr>
      <w:r>
        <w:t>As these more complicated examples demonstrate, blended apportionment can create difficulties in reporting tax-related information and calculating tax. So one question is whether blended apportionment is ne</w:t>
      </w:r>
      <w:r w:rsidR="00A263AA">
        <w:t>cessary. As with combined corporate reporting, blended apportionment may mitigate the effects that separate-entity reporting can have on sourcing</w:t>
      </w:r>
      <w:r w:rsidR="005E41DB">
        <w:t xml:space="preserve"> of multistate income as the </w:t>
      </w:r>
      <w:r w:rsidR="00573764">
        <w:t xml:space="preserve">simple </w:t>
      </w:r>
      <w:r w:rsidR="005E41DB">
        <w:t>example below demonstrates</w:t>
      </w:r>
      <w:r w:rsidR="00A263AA">
        <w:t>.</w:t>
      </w:r>
    </w:p>
    <w:p w14:paraId="0F88DAB7" w14:textId="708EB689" w:rsidR="005E41DB" w:rsidRDefault="00A263AA" w:rsidP="00480F3C">
      <w:pPr>
        <w:pStyle w:val="ListParagraph"/>
        <w:spacing w:after="120"/>
        <w:ind w:left="1008"/>
        <w:contextualSpacing w:val="0"/>
      </w:pPr>
      <w:r>
        <w:rPr>
          <w:u w:val="single"/>
        </w:rPr>
        <w:t>Example</w:t>
      </w:r>
      <w:r w:rsidR="00480F3C">
        <w:rPr>
          <w:u w:val="single"/>
        </w:rPr>
        <w:t xml:space="preserve"> - Assume</w:t>
      </w:r>
      <w:r>
        <w:t>:</w:t>
      </w:r>
    </w:p>
    <w:p w14:paraId="7F79E216" w14:textId="4415B335" w:rsidR="00A263AA" w:rsidRDefault="00A263AA" w:rsidP="00366E17">
      <w:pPr>
        <w:pStyle w:val="ListParagraph"/>
        <w:numPr>
          <w:ilvl w:val="0"/>
          <w:numId w:val="49"/>
        </w:numPr>
        <w:spacing w:after="80" w:line="276" w:lineRule="auto"/>
        <w:contextualSpacing w:val="0"/>
        <w:jc w:val="left"/>
      </w:pPr>
      <w:r>
        <w:t xml:space="preserve">Corp  has a subsidiary – Sub </w:t>
      </w:r>
    </w:p>
    <w:p w14:paraId="3305A24B" w14:textId="5F417803" w:rsidR="00A263AA" w:rsidRDefault="00A263AA" w:rsidP="00366E17">
      <w:pPr>
        <w:pStyle w:val="ListParagraph"/>
        <w:numPr>
          <w:ilvl w:val="0"/>
          <w:numId w:val="49"/>
        </w:numPr>
        <w:spacing w:after="80" w:line="276" w:lineRule="auto"/>
        <w:contextualSpacing w:val="0"/>
        <w:jc w:val="left"/>
      </w:pPr>
      <w:r>
        <w:t xml:space="preserve">Corp and Sub </w:t>
      </w:r>
      <w:r w:rsidR="00C529AE">
        <w:t xml:space="preserve">are headquartered in State X, a non-tax state, but </w:t>
      </w:r>
      <w:r>
        <w:t>o</w:t>
      </w:r>
      <w:r w:rsidR="005E41DB">
        <w:t>perate throughout the US</w:t>
      </w:r>
    </w:p>
    <w:p w14:paraId="621408C2" w14:textId="6DA6049F" w:rsidR="005E41DB" w:rsidRDefault="005E41DB" w:rsidP="00366E17">
      <w:pPr>
        <w:pStyle w:val="ListParagraph"/>
        <w:numPr>
          <w:ilvl w:val="0"/>
          <w:numId w:val="49"/>
        </w:numPr>
        <w:spacing w:after="80" w:line="276" w:lineRule="auto"/>
        <w:contextualSpacing w:val="0"/>
        <w:jc w:val="left"/>
      </w:pPr>
      <w:r>
        <w:t>Corp and Sub set up Partnership 1 (P1) in which they are 50/50 partners.</w:t>
      </w:r>
    </w:p>
    <w:p w14:paraId="5CC2ACE0" w14:textId="2AAA3DFB" w:rsidR="005E41DB" w:rsidRDefault="005E41DB" w:rsidP="00366E17">
      <w:pPr>
        <w:pStyle w:val="ListParagraph"/>
        <w:numPr>
          <w:ilvl w:val="0"/>
          <w:numId w:val="49"/>
        </w:numPr>
        <w:spacing w:after="80" w:line="276" w:lineRule="auto"/>
        <w:contextualSpacing w:val="0"/>
        <w:jc w:val="left"/>
      </w:pPr>
      <w:r>
        <w:t>P1</w:t>
      </w:r>
      <w:r w:rsidR="00C529AE">
        <w:t>’s only receipts are from</w:t>
      </w:r>
      <w:r>
        <w:t xml:space="preserve"> charges </w:t>
      </w:r>
      <w:r w:rsidR="00C529AE">
        <w:t xml:space="preserve">to </w:t>
      </w:r>
      <w:r>
        <w:t>both Corp and Sub for certain overhead services, reducing the income of both</w:t>
      </w:r>
    </w:p>
    <w:p w14:paraId="760DF669" w14:textId="404C4B2A" w:rsidR="005E41DB" w:rsidRDefault="005E41DB" w:rsidP="00366E17">
      <w:pPr>
        <w:pStyle w:val="ListParagraph"/>
        <w:numPr>
          <w:ilvl w:val="0"/>
          <w:numId w:val="49"/>
        </w:numPr>
        <w:spacing w:after="120"/>
        <w:contextualSpacing w:val="0"/>
      </w:pPr>
      <w:r>
        <w:t>Under the rules in most states, the receipts from the fee charged by P1 would be sourced to State X.</w:t>
      </w:r>
    </w:p>
    <w:p w14:paraId="0D2D803B" w14:textId="3A43BE0D" w:rsidR="005E41DB" w:rsidRDefault="005E41DB" w:rsidP="00B104D7">
      <w:pPr>
        <w:spacing w:after="120"/>
        <w:ind w:left="1440"/>
      </w:pPr>
      <w:r>
        <w:t xml:space="preserve">If P1’s income were apportioned </w:t>
      </w:r>
      <w:r w:rsidR="00DC70E0">
        <w:t xml:space="preserve">separately </w:t>
      </w:r>
      <w:r>
        <w:t>at the entity level, it would all be sourced to State X—and so would Corp and Sub’s shares</w:t>
      </w:r>
      <w:r w:rsidR="00124F46">
        <w:t xml:space="preserve"> of that income</w:t>
      </w:r>
      <w:r>
        <w:t>.</w:t>
      </w:r>
    </w:p>
    <w:p w14:paraId="0042EA08" w14:textId="77777777" w:rsidR="00573764" w:rsidRDefault="00124F46" w:rsidP="00B104D7">
      <w:pPr>
        <w:spacing w:after="120"/>
        <w:ind w:left="1440"/>
      </w:pPr>
      <w:r>
        <w:t>But i</w:t>
      </w:r>
      <w:r w:rsidR="005E41DB">
        <w:t>f blended apportionment is used</w:t>
      </w:r>
      <w:r w:rsidR="00DC70E0">
        <w:t>, Corp and Sub would include their shares of P1 income in their combined income, effectively eliminating or offsetting their own expense against that partnership income. Assuming that s</w:t>
      </w:r>
      <w:r w:rsidR="00416B73">
        <w:t>t</w:t>
      </w:r>
      <w:r w:rsidR="00DC70E0">
        <w:t xml:space="preserve">ates also provide that </w:t>
      </w:r>
      <w:r>
        <w:t xml:space="preserve">the </w:t>
      </w:r>
      <w:r w:rsidR="00DC70E0">
        <w:t xml:space="preserve">partners’ shares of the </w:t>
      </w:r>
      <w:r>
        <w:t>fees charged by P1</w:t>
      </w:r>
      <w:r w:rsidR="00DC70E0">
        <w:t xml:space="preserve"> are </w:t>
      </w:r>
      <w:r w:rsidR="00573764">
        <w:t>excluded</w:t>
      </w:r>
      <w:r w:rsidR="00DC70E0">
        <w:t xml:space="preserve"> from the apportionment factor</w:t>
      </w:r>
      <w:r w:rsidR="005E41DB">
        <w:t xml:space="preserve">, </w:t>
      </w:r>
      <w:r>
        <w:t>then the effect of the</w:t>
      </w:r>
      <w:r w:rsidR="00DC70E0">
        <w:t>se charges</w:t>
      </w:r>
      <w:r w:rsidR="005E41DB">
        <w:t xml:space="preserve"> </w:t>
      </w:r>
      <w:r w:rsidR="00DC70E0">
        <w:t xml:space="preserve">on that factor </w:t>
      </w:r>
      <w:r w:rsidR="005E41DB">
        <w:t xml:space="preserve">would </w:t>
      </w:r>
      <w:r w:rsidR="00DC70E0">
        <w:t xml:space="preserve">also </w:t>
      </w:r>
      <w:r w:rsidR="005E41DB">
        <w:t>be eliminated</w:t>
      </w:r>
      <w:r w:rsidR="00DC70E0">
        <w:t>.</w:t>
      </w:r>
    </w:p>
    <w:p w14:paraId="62BFD7F0" w14:textId="6554F10E" w:rsidR="005E41DB" w:rsidRPr="00A263AA" w:rsidRDefault="00573764" w:rsidP="00B104D7">
      <w:pPr>
        <w:spacing w:after="120"/>
        <w:ind w:left="1440"/>
      </w:pPr>
      <w:r>
        <w:t xml:space="preserve">In addition to this simple example, partnerships may be used in other ways to shift the sourcing of income of the partners and blended apportionment appears to address these other ways as well. </w:t>
      </w:r>
      <w:r w:rsidR="00DC70E0">
        <w:t xml:space="preserve"> </w:t>
      </w:r>
    </w:p>
    <w:p w14:paraId="49F406A2" w14:textId="0F39A930" w:rsidR="00634D98" w:rsidRPr="00BB4E8D" w:rsidRDefault="00CB5231" w:rsidP="00CB5231">
      <w:pPr>
        <w:pStyle w:val="Heading4"/>
        <w:ind w:left="720"/>
      </w:pPr>
      <w:r>
        <w:t>How is the share of partnership factors to include determined?</w:t>
      </w:r>
    </w:p>
    <w:p w14:paraId="3487E384" w14:textId="77777777" w:rsidR="0049120C" w:rsidRDefault="00D03796" w:rsidP="0049120C">
      <w:pPr>
        <w:spacing w:after="80" w:line="276" w:lineRule="auto"/>
        <w:ind w:left="720"/>
        <w:jc w:val="left"/>
      </w:pPr>
      <w:r>
        <w:t>The main question when applying blended apportionment is how to determine the share of partnership factors to be included in the partner’s own apportionment factor.</w:t>
      </w:r>
      <w:r w:rsidR="00A702C1">
        <w:t xml:space="preserve"> </w:t>
      </w:r>
      <w:r w:rsidR="0049120C">
        <w:t xml:space="preserve">Only a minority of states that have explicitly provided for the use of blended apportionment have also specified how this share is determined. </w:t>
      </w:r>
      <w:r w:rsidR="00BB4E8D">
        <w:t xml:space="preserve">The share of partnership factors could be determined in </w:t>
      </w:r>
      <w:r w:rsidR="0049120C">
        <w:t xml:space="preserve">using different approaches. Based on discussions with the work group and consideration of different examples, it appears that each of these approaches has particular problems that would need to be addressed. </w:t>
      </w:r>
    </w:p>
    <w:p w14:paraId="46C64756" w14:textId="4213F6DB" w:rsidR="00BB4E8D" w:rsidRDefault="0049120C" w:rsidP="00366E17">
      <w:pPr>
        <w:pStyle w:val="ListParagraph"/>
        <w:numPr>
          <w:ilvl w:val="0"/>
          <w:numId w:val="50"/>
        </w:numPr>
        <w:spacing w:after="80" w:line="276" w:lineRule="auto"/>
        <w:contextualSpacing w:val="0"/>
        <w:jc w:val="left"/>
      </w:pPr>
      <w:r>
        <w:t xml:space="preserve">Item-Based Approach: </w:t>
      </w:r>
      <w:r w:rsidR="00BB4E8D" w:rsidRPr="00BB4E8D">
        <w:t>Directly attribute the receipts to particular partners based on the partnership items making up their distributive share.</w:t>
      </w:r>
    </w:p>
    <w:p w14:paraId="200C1F61" w14:textId="6A71E166" w:rsidR="0049120C" w:rsidRDefault="0049120C" w:rsidP="0049120C">
      <w:pPr>
        <w:pStyle w:val="ListParagraph"/>
        <w:spacing w:after="80" w:line="276" w:lineRule="auto"/>
        <w:ind w:left="1440"/>
        <w:contextualSpacing w:val="0"/>
        <w:jc w:val="left"/>
      </w:pPr>
      <w:r>
        <w:t xml:space="preserve">The problem this approach is that partners may receive special allocations of items of partnership expense or loss separately from any items of income or gain—and the receipts that should be associated with these special allocations will be difficult if not impossible to determine. </w:t>
      </w:r>
    </w:p>
    <w:p w14:paraId="27DED7F7" w14:textId="77777777" w:rsidR="0049120C" w:rsidRPr="00BB4E8D" w:rsidRDefault="0049120C" w:rsidP="0049120C">
      <w:pPr>
        <w:pStyle w:val="ListParagraph"/>
        <w:spacing w:after="80" w:line="276" w:lineRule="auto"/>
        <w:ind w:left="1440"/>
        <w:contextualSpacing w:val="0"/>
        <w:jc w:val="left"/>
      </w:pPr>
    </w:p>
    <w:p w14:paraId="3FAB85D5" w14:textId="3BF37C90" w:rsidR="00BB4E8D" w:rsidRDefault="0049120C" w:rsidP="00366E17">
      <w:pPr>
        <w:pStyle w:val="ListParagraph"/>
        <w:numPr>
          <w:ilvl w:val="0"/>
          <w:numId w:val="50"/>
        </w:numPr>
        <w:spacing w:after="80" w:line="276" w:lineRule="auto"/>
        <w:contextualSpacing w:val="0"/>
        <w:jc w:val="left"/>
      </w:pPr>
      <w:r>
        <w:lastRenderedPageBreak/>
        <w:t xml:space="preserve">Interest-Based Approach: </w:t>
      </w:r>
      <w:r w:rsidR="00BB4E8D" w:rsidRPr="00BB4E8D">
        <w:t>Use a ratio of the partner’s “interest in the partnership” (same as federal rules under 704(b))</w:t>
      </w:r>
      <w:r w:rsidR="00050C67">
        <w:t>.</w:t>
      </w:r>
    </w:p>
    <w:p w14:paraId="765684B8" w14:textId="3C70579B" w:rsidR="0049120C" w:rsidRDefault="0049120C" w:rsidP="0049120C">
      <w:pPr>
        <w:pStyle w:val="ListParagraph"/>
        <w:spacing w:after="80" w:line="276" w:lineRule="auto"/>
        <w:ind w:left="1440"/>
        <w:contextualSpacing w:val="0"/>
        <w:jc w:val="left"/>
      </w:pPr>
      <w:r>
        <w:t xml:space="preserve">The problem with using the ratio of the partner’s “interest in the partnership” is that, under IRS regulations, this is determined based on all facts and circumstances and is generally done at the federal level only when special allocations are determined to lack substantial economic effect. Therefore using this approach would likely involve significant uncertainty. </w:t>
      </w:r>
    </w:p>
    <w:p w14:paraId="323A232F" w14:textId="5B0BA8FD" w:rsidR="00BB4E8D" w:rsidRPr="00BB4E8D" w:rsidRDefault="0049120C" w:rsidP="00366E17">
      <w:pPr>
        <w:pStyle w:val="ListParagraph"/>
        <w:numPr>
          <w:ilvl w:val="0"/>
          <w:numId w:val="50"/>
        </w:numPr>
        <w:spacing w:after="80" w:line="276" w:lineRule="auto"/>
        <w:contextualSpacing w:val="0"/>
        <w:jc w:val="left"/>
      </w:pPr>
      <w:r>
        <w:t xml:space="preserve">Capital Share-Based Approach: </w:t>
      </w:r>
      <w:r w:rsidR="00BB4E8D" w:rsidRPr="00BB4E8D">
        <w:t>Use a ratio of the partner’s share of capital</w:t>
      </w:r>
      <w:r w:rsidR="00050C67">
        <w:t>.</w:t>
      </w:r>
    </w:p>
    <w:p w14:paraId="7786C4A7" w14:textId="4ADA7F27" w:rsidR="0049120C" w:rsidRDefault="0049120C" w:rsidP="0049120C">
      <w:pPr>
        <w:pStyle w:val="ListParagraph"/>
        <w:spacing w:after="120"/>
        <w:ind w:left="1440"/>
        <w:contextualSpacing w:val="0"/>
      </w:pPr>
      <w:r>
        <w:t>The problem with using the partner’s share of capital is that this may not reflect the share of income the partner is allocated in the particular tax year. This is true whenever there are special allocations of partnership items.</w:t>
      </w:r>
    </w:p>
    <w:p w14:paraId="3DF0D761" w14:textId="77777777" w:rsidR="0049120C" w:rsidRDefault="0049120C" w:rsidP="00366E17">
      <w:pPr>
        <w:pStyle w:val="ListParagraph"/>
        <w:numPr>
          <w:ilvl w:val="0"/>
          <w:numId w:val="50"/>
        </w:numPr>
        <w:spacing w:after="120"/>
        <w:contextualSpacing w:val="0"/>
      </w:pPr>
      <w:r>
        <w:t xml:space="preserve">Distributive Share-Based Approach: </w:t>
      </w:r>
      <w:r w:rsidR="00BB4E8D" w:rsidRPr="00BB4E8D">
        <w:t xml:space="preserve">Use a ratio of the partner’s share of partnership </w:t>
      </w:r>
      <w:r>
        <w:t xml:space="preserve">net distributive share </w:t>
      </w:r>
      <w:r w:rsidR="00BB4E8D" w:rsidRPr="00BB4E8D">
        <w:t>income</w:t>
      </w:r>
      <w:r w:rsidR="00050C67">
        <w:t>.</w:t>
      </w:r>
    </w:p>
    <w:p w14:paraId="7B7A6122" w14:textId="6BFC024B" w:rsidR="00D03796" w:rsidRDefault="00CA5824" w:rsidP="0049120C">
      <w:pPr>
        <w:pStyle w:val="ListParagraph"/>
        <w:ind w:left="1440"/>
      </w:pPr>
      <w:r>
        <w:t>The problem with</w:t>
      </w:r>
      <w:r w:rsidR="00F71B80">
        <w:t xml:space="preserve"> using a ratio of the partner’s share of partnership distributive share income is that special allocations may cause the partner to be allocated net losses while the partnership has positive income or vi</w:t>
      </w:r>
      <w:r w:rsidR="00E85677">
        <w:t xml:space="preserve">ce </w:t>
      </w:r>
      <w:r w:rsidR="00F71B80">
        <w:t xml:space="preserve">versa. This problem can be solved by converting all items to absolute values. </w:t>
      </w:r>
      <w:r>
        <w:t xml:space="preserve"> </w:t>
      </w:r>
    </w:p>
    <w:p w14:paraId="15D292CA" w14:textId="1FE311E9" w:rsidR="00F71B80" w:rsidRDefault="00F71B80" w:rsidP="003421A8">
      <w:pPr>
        <w:ind w:left="720"/>
      </w:pPr>
      <w:r>
        <w:t>The work group has considered each of these problems and some volunteers have also looked at the approach of using the partner’s share of partnership income (no. 4) and converting items to absolute value</w:t>
      </w:r>
      <w:r w:rsidR="00E52979">
        <w:t>. The result is that it appears this approach is the best method and can be workable in the greatest number of circumstances.</w:t>
      </w:r>
      <w:r w:rsidR="003421A8">
        <w:t xml:space="preserve"> </w:t>
      </w:r>
      <w:r w:rsidR="0049120C">
        <w:t>(</w:t>
      </w:r>
      <w:r w:rsidR="003421A8">
        <w:t>But see the discussion of special</w:t>
      </w:r>
      <w:r w:rsidR="0049120C">
        <w:t xml:space="preserve"> or mandatory</w:t>
      </w:r>
      <w:r w:rsidR="003421A8">
        <w:t xml:space="preserve"> allocations </w:t>
      </w:r>
      <w:r w:rsidR="0049120C">
        <w:t xml:space="preserve">in subsection II. C. </w:t>
      </w:r>
      <w:r w:rsidR="003421A8">
        <w:t xml:space="preserve">below where variations in this approach </w:t>
      </w:r>
      <w:r w:rsidR="0049120C">
        <w:t>are considered</w:t>
      </w:r>
      <w:r w:rsidR="003421A8">
        <w:t>.</w:t>
      </w:r>
      <w:r w:rsidR="0049120C">
        <w:t>)</w:t>
      </w:r>
      <w:r>
        <w:t xml:space="preserve"> </w:t>
      </w:r>
    </w:p>
    <w:p w14:paraId="4C16A82C" w14:textId="4036DD7B" w:rsidR="00D03796" w:rsidRDefault="00E52979" w:rsidP="00CB5231">
      <w:pPr>
        <w:pStyle w:val="Heading4"/>
        <w:ind w:left="720"/>
      </w:pPr>
      <w:r>
        <w:t xml:space="preserve">How should partner-partnership or related-entity transactions be treated?  </w:t>
      </w:r>
    </w:p>
    <w:p w14:paraId="21DC5F78" w14:textId="60C492BE" w:rsidR="00E52979" w:rsidRDefault="00CB5231" w:rsidP="00CB5231">
      <w:pPr>
        <w:ind w:left="720"/>
      </w:pPr>
      <w:r>
        <w:t>Another important question in applying blended apportionment</w:t>
      </w:r>
      <w:r w:rsidR="00FF7FD4">
        <w:t xml:space="preserve"> generally</w:t>
      </w:r>
      <w:r w:rsidR="00E52979">
        <w:t xml:space="preserve"> is how partner-partnership or related-entity transactions should be treated and when should their effects on </w:t>
      </w:r>
      <w:r w:rsidR="00DC70E0">
        <w:t>apportionment</w:t>
      </w:r>
      <w:r w:rsidR="00E52979">
        <w:t xml:space="preserve"> factors be eliminated. As noted in subsection I.D. above, these transactions </w:t>
      </w:r>
      <w:r w:rsidR="004B3F6F">
        <w:t xml:space="preserve">between partners and the partnership </w:t>
      </w:r>
      <w:r w:rsidR="00E52979">
        <w:t>can take a number of different forms</w:t>
      </w:r>
      <w:r w:rsidR="00FF7FD4">
        <w:t>:</w:t>
      </w:r>
      <w:r w:rsidR="00E52979">
        <w:t xml:space="preserve"> </w:t>
      </w:r>
    </w:p>
    <w:p w14:paraId="283EF9AF" w14:textId="630D5179" w:rsidR="004B3F6F" w:rsidRDefault="004B3F6F" w:rsidP="00366E17">
      <w:pPr>
        <w:pStyle w:val="ListParagraph"/>
        <w:numPr>
          <w:ilvl w:val="0"/>
          <w:numId w:val="51"/>
        </w:numPr>
        <w:spacing w:after="120"/>
        <w:contextualSpacing w:val="0"/>
      </w:pPr>
      <w:r>
        <w:t xml:space="preserve">Contributions to and distributions from the partnership – </w:t>
      </w:r>
      <w:r w:rsidR="00C7211A">
        <w:t>T</w:t>
      </w:r>
      <w:r>
        <w:t>hese transfers of cash or property do not have an impact on receipts or income.</w:t>
      </w:r>
    </w:p>
    <w:p w14:paraId="70F1F77D" w14:textId="63E65ABC" w:rsidR="004B3F6F" w:rsidRDefault="004B3F6F" w:rsidP="00366E17">
      <w:pPr>
        <w:pStyle w:val="ListParagraph"/>
        <w:numPr>
          <w:ilvl w:val="0"/>
          <w:numId w:val="51"/>
        </w:numPr>
        <w:spacing w:after="120"/>
        <w:contextualSpacing w:val="0"/>
      </w:pPr>
      <w:r>
        <w:t>Guaranteed payments (under IRC § 707(c))</w:t>
      </w:r>
      <w:r w:rsidR="00C7211A">
        <w:t xml:space="preserve"> – These payments are generally made to partners for services or the use of capital. They can be made to both individual and corporate partners. Guaranteed payments have an effect on partnership distributive share income (and are generally treated as expenses)</w:t>
      </w:r>
      <w:r w:rsidR="00FF7FD4">
        <w:t xml:space="preserve"> but their effect on receipts is unclear</w:t>
      </w:r>
      <w:r w:rsidR="00C7211A">
        <w:t xml:space="preserve">. </w:t>
      </w:r>
    </w:p>
    <w:p w14:paraId="598DFE4E" w14:textId="42191DF1" w:rsidR="004B3F6F" w:rsidRDefault="004B3F6F" w:rsidP="00366E17">
      <w:pPr>
        <w:pStyle w:val="ListParagraph"/>
        <w:numPr>
          <w:ilvl w:val="0"/>
          <w:numId w:val="51"/>
        </w:numPr>
        <w:spacing w:after="120"/>
        <w:contextualSpacing w:val="0"/>
      </w:pPr>
      <w:r>
        <w:t>Transactions with partners not acting in the role of partner (under IRC § 707(a))</w:t>
      </w:r>
      <w:r w:rsidR="00C7211A">
        <w:t xml:space="preserve"> – These transactions are generally treated as transactions between unrelated parties and so may give rise to both income and receipts.</w:t>
      </w:r>
    </w:p>
    <w:p w14:paraId="168C3466" w14:textId="072A41DB" w:rsidR="004B3F6F" w:rsidRDefault="004B3F6F" w:rsidP="00366E17">
      <w:pPr>
        <w:pStyle w:val="ListParagraph"/>
        <w:numPr>
          <w:ilvl w:val="0"/>
          <w:numId w:val="51"/>
        </w:numPr>
      </w:pPr>
      <w:r>
        <w:t>Transactions with indirectly related partners or partnerships and other entities</w:t>
      </w:r>
      <w:r w:rsidR="00C7211A">
        <w:t xml:space="preserve"> – These transactions are generally not covered under Subchapter K or the pass-through tax treatment of partner or partnership income or receipts, but may have an effect on the calculation of state income and </w:t>
      </w:r>
      <w:r w:rsidR="00FF7FD4">
        <w:t>receipts</w:t>
      </w:r>
      <w:r w:rsidR="00C7211A">
        <w:t xml:space="preserve"> factors. </w:t>
      </w:r>
    </w:p>
    <w:p w14:paraId="60EBF99F" w14:textId="19AB571A" w:rsidR="00C7211A" w:rsidRDefault="00FF7FD4" w:rsidP="004B3F6F">
      <w:pPr>
        <w:ind w:left="720"/>
      </w:pPr>
      <w:r>
        <w:t>C</w:t>
      </w:r>
      <w:r w:rsidR="00663587">
        <w:t>ategories 2-3 above are the primary concern here</w:t>
      </w:r>
      <w:r w:rsidR="00C7211A">
        <w:t>.</w:t>
      </w:r>
      <w:r w:rsidR="00C7211A">
        <w:rPr>
          <w:rStyle w:val="FootnoteReference"/>
        </w:rPr>
        <w:footnoteReference w:id="45"/>
      </w:r>
      <w:r w:rsidR="00C7211A">
        <w:t xml:space="preserve"> </w:t>
      </w:r>
      <w:r>
        <w:t>Category 4 is the subject of subsection II.D. below.</w:t>
      </w:r>
    </w:p>
    <w:p w14:paraId="70742438" w14:textId="032E6B37" w:rsidR="004B3F6F" w:rsidRDefault="00663587" w:rsidP="004B3F6F">
      <w:pPr>
        <w:ind w:left="720"/>
      </w:pPr>
      <w:r>
        <w:lastRenderedPageBreak/>
        <w:t>As noted in Section I.F. above, w</w:t>
      </w:r>
      <w:r w:rsidR="004B3F6F">
        <w:t xml:space="preserve">hen combining the income of related corporations under combined or consolidated reporting systems, the </w:t>
      </w:r>
      <w:r w:rsidR="00B86717">
        <w:t xml:space="preserve">intercompany transactions between members of the group are effectively eliminated in computing net income. In addition, states will not </w:t>
      </w:r>
      <w:r w:rsidR="00F066B4">
        <w:t xml:space="preserve">include the </w:t>
      </w:r>
      <w:r>
        <w:t xml:space="preserve">intercompany </w:t>
      </w:r>
      <w:r w:rsidR="00F066B4">
        <w:t xml:space="preserve">receipts in the receipts or sales factor of the </w:t>
      </w:r>
      <w:r w:rsidR="00FF7FD4">
        <w:t xml:space="preserve">group’s or members’ </w:t>
      </w:r>
      <w:r w:rsidR="00F066B4">
        <w:t xml:space="preserve">apportionment formula. </w:t>
      </w:r>
      <w:r w:rsidR="00757CF2">
        <w:t>To do otherwise would lead to distortion</w:t>
      </w:r>
      <w:r w:rsidR="000369D0">
        <w:t xml:space="preserve">. </w:t>
      </w:r>
    </w:p>
    <w:p w14:paraId="1BA844A3" w14:textId="6C2EE21F" w:rsidR="00757CF2" w:rsidRDefault="00FF7FD4" w:rsidP="00663587">
      <w:pPr>
        <w:ind w:left="720"/>
      </w:pPr>
      <w:r>
        <w:t xml:space="preserve">Blended apportionment generally </w:t>
      </w:r>
      <w:r w:rsidR="00663587">
        <w:t xml:space="preserve">has a similar effect </w:t>
      </w:r>
      <w:r>
        <w:t xml:space="preserve">on apportionable income—offsetting the income and expense—at least to the extent of the share of partnership income or items included in the blended income. </w:t>
      </w:r>
      <w:r w:rsidR="00663587">
        <w:t xml:space="preserve">But as with </w:t>
      </w:r>
      <w:r w:rsidR="00757CF2">
        <w:t xml:space="preserve">related corporations, </w:t>
      </w:r>
      <w:r w:rsidR="00663587">
        <w:t xml:space="preserve">if the same share of </w:t>
      </w:r>
      <w:r w:rsidR="00050C67">
        <w:t>partner-partnership</w:t>
      </w:r>
      <w:r w:rsidR="00663587">
        <w:t xml:space="preserve"> receipts is not </w:t>
      </w:r>
      <w:r w:rsidR="00050C67">
        <w:t xml:space="preserve">also </w:t>
      </w:r>
      <w:r w:rsidR="00663587">
        <w:t xml:space="preserve">removed from </w:t>
      </w:r>
      <w:r w:rsidR="00757CF2">
        <w:t>factors in the blended apportionment calculation</w:t>
      </w:r>
      <w:r w:rsidR="00663587">
        <w:t>, this</w:t>
      </w:r>
      <w:r w:rsidR="00757CF2">
        <w:t xml:space="preserve"> </w:t>
      </w:r>
      <w:r>
        <w:t>would</w:t>
      </w:r>
      <w:r w:rsidR="00757CF2">
        <w:t xml:space="preserve"> potentially create distortion. </w:t>
      </w:r>
      <w:r w:rsidR="000369D0">
        <w:t xml:space="preserve">About a dozen states which have explicitly addressed blended apportionment have also addressed the need to eliminate </w:t>
      </w:r>
      <w:r w:rsidR="00663587">
        <w:t>from the blended apportionment factor a share of any related-party</w:t>
      </w:r>
      <w:r w:rsidR="000369D0">
        <w:t xml:space="preserve"> </w:t>
      </w:r>
      <w:r w:rsidR="00663587">
        <w:t>receipts</w:t>
      </w:r>
      <w:r w:rsidR="000369D0">
        <w:t xml:space="preserve">. </w:t>
      </w:r>
    </w:p>
    <w:p w14:paraId="18B0DFF6" w14:textId="5BAF4CB5" w:rsidR="00050C67" w:rsidRDefault="00050C67" w:rsidP="00663587">
      <w:pPr>
        <w:ind w:left="720"/>
      </w:pPr>
      <w:r>
        <w:t xml:space="preserve">The primary question is whether these state rules are broad enough and whether they should explicitly address not just partner-partnership receipts under IRC 707(a), but also guaranteed payments for services or capital and related-entity charges where those charges would otherwise be included in the blended apportionment factor. (See Example 5 </w:t>
      </w:r>
      <w:r w:rsidR="003C624A">
        <w:t>above.)</w:t>
      </w:r>
    </w:p>
    <w:p w14:paraId="61BB9DE5" w14:textId="00E86390" w:rsidR="00CB5231" w:rsidRPr="00CB5231" w:rsidRDefault="003C624A" w:rsidP="003C624A">
      <w:r>
        <w:t>Note that blended apportionment with the rules discussed above may not be sufficient to address every possible state tax sourcing issue raised by the pass-through system. Other issues are covered in the following sections and may need to be combined with blended apportionment to handle these issues.</w:t>
      </w:r>
      <w:r w:rsidR="00CB5231">
        <w:t xml:space="preserve"> </w:t>
      </w:r>
    </w:p>
    <w:p w14:paraId="72343495" w14:textId="122635AC" w:rsidR="00D13CB4" w:rsidRDefault="00D13CB4" w:rsidP="00CB5231">
      <w:pPr>
        <w:pStyle w:val="Heading3"/>
      </w:pPr>
      <w:bookmarkStart w:id="75" w:name="_Toc198480752"/>
      <w:r>
        <w:t>When should blended apportionment be used?</w:t>
      </w:r>
      <w:bookmarkEnd w:id="75"/>
    </w:p>
    <w:p w14:paraId="5974EC41" w14:textId="12009E7B" w:rsidR="00F95EE8" w:rsidRPr="00F95EE8" w:rsidRDefault="00F95EE8" w:rsidP="00F95EE8">
      <w:r>
        <w:t>[NOTE – As of the date of this discussion draft, the work group has not considered the issues summarized in this part.]</w:t>
      </w:r>
    </w:p>
    <w:bookmarkEnd w:id="68"/>
    <w:p w14:paraId="2070C71C" w14:textId="18D1B62F" w:rsidR="009B57D8" w:rsidRDefault="009B57D8" w:rsidP="00B104D7">
      <w:pPr>
        <w:spacing w:line="276" w:lineRule="auto"/>
        <w:jc w:val="left"/>
        <w:rPr>
          <w:sz w:val="18"/>
          <w:szCs w:val="20"/>
        </w:rPr>
      </w:pPr>
      <w:r>
        <w:rPr>
          <w:noProof/>
        </w:rPr>
        <w:drawing>
          <wp:anchor distT="0" distB="0" distL="114300" distR="114300" simplePos="0" relativeHeight="251672064" behindDoc="0" locked="0" layoutInCell="1" allowOverlap="1" wp14:anchorId="3B253060" wp14:editId="41699962">
            <wp:simplePos x="0" y="0"/>
            <wp:positionH relativeFrom="margin">
              <wp:posOffset>-120015</wp:posOffset>
            </wp:positionH>
            <wp:positionV relativeFrom="paragraph">
              <wp:posOffset>54610</wp:posOffset>
            </wp:positionV>
            <wp:extent cx="3688715" cy="2214245"/>
            <wp:effectExtent l="0" t="0" r="6985" b="0"/>
            <wp:wrapSquare wrapText="bothSides"/>
            <wp:docPr id="137424925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688715" cy="2214245"/>
                    </a:xfrm>
                    <a:prstGeom prst="rect">
                      <a:avLst/>
                    </a:prstGeom>
                    <a:noFill/>
                  </pic:spPr>
                </pic:pic>
              </a:graphicData>
            </a:graphic>
            <wp14:sizeRelH relativeFrom="margin">
              <wp14:pctWidth>0</wp14:pctWidth>
            </wp14:sizeRelH>
            <wp14:sizeRelV relativeFrom="margin">
              <wp14:pctHeight>0</wp14:pctHeight>
            </wp14:sizeRelV>
          </wp:anchor>
        </w:drawing>
      </w:r>
    </w:p>
    <w:p w14:paraId="26E47C8C" w14:textId="77777777" w:rsidR="00FF7FD4" w:rsidRDefault="00FF7FD4" w:rsidP="00B104D7">
      <w:pPr>
        <w:spacing w:line="276" w:lineRule="auto"/>
        <w:jc w:val="left"/>
        <w:rPr>
          <w:sz w:val="18"/>
          <w:szCs w:val="20"/>
        </w:rPr>
      </w:pPr>
    </w:p>
    <w:p w14:paraId="70941954" w14:textId="5F890728" w:rsidR="00B104D7" w:rsidRDefault="000876DE" w:rsidP="00B104D7">
      <w:pPr>
        <w:spacing w:line="276" w:lineRule="auto"/>
        <w:jc w:val="left"/>
      </w:pPr>
      <w:r w:rsidRPr="000876DE">
        <w:rPr>
          <w:sz w:val="18"/>
          <w:szCs w:val="20"/>
        </w:rPr>
        <w:t xml:space="preserve">The map at the left here shows the states (in green) that have explicitly  adopted </w:t>
      </w:r>
      <w:r>
        <w:rPr>
          <w:sz w:val="18"/>
          <w:szCs w:val="20"/>
        </w:rPr>
        <w:t>a limit on the use of blended apportionment to circumstances in which the partner and the partnership are part of the same unitary business.</w:t>
      </w:r>
    </w:p>
    <w:p w14:paraId="1E63C6F9" w14:textId="3B19E96D" w:rsidR="00B104D7" w:rsidRDefault="00B104D7" w:rsidP="00B104D7">
      <w:pPr>
        <w:spacing w:line="276" w:lineRule="auto"/>
        <w:jc w:val="left"/>
      </w:pPr>
    </w:p>
    <w:p w14:paraId="2C3A827E" w14:textId="77777777" w:rsidR="00B104D7" w:rsidRDefault="00B104D7" w:rsidP="00B104D7">
      <w:pPr>
        <w:spacing w:line="276" w:lineRule="auto"/>
        <w:jc w:val="left"/>
      </w:pPr>
    </w:p>
    <w:p w14:paraId="13187393" w14:textId="77777777" w:rsidR="00B104D7" w:rsidRDefault="00B104D7" w:rsidP="00B104D7">
      <w:pPr>
        <w:spacing w:line="276" w:lineRule="auto"/>
        <w:jc w:val="left"/>
      </w:pPr>
    </w:p>
    <w:p w14:paraId="37CFB0BA" w14:textId="019D9DDE" w:rsidR="00FF7FD4" w:rsidRDefault="00250FF0" w:rsidP="00B104D7">
      <w:pPr>
        <w:spacing w:line="276" w:lineRule="auto"/>
        <w:jc w:val="left"/>
      </w:pPr>
      <w:r>
        <w:t xml:space="preserve">In the context of combined corporate filing, states </w:t>
      </w:r>
      <w:r w:rsidR="008E5139">
        <w:t>have generally looked to the unitary business principle in determining the members of the combined group. This raises the question of whether blended apportionment should also be limited to those partnerships and partners that are part of a unitary business. In addition, t</w:t>
      </w:r>
      <w:r>
        <w:t>he application of blended apportionment in the pass-through system is more difficult and requires more information reporting than apportioning partnership income at the partnership level and simply retaining and attributing the income’s source as it passes to direct and indirect partners. This</w:t>
      </w:r>
      <w:r w:rsidR="008E5139">
        <w:t xml:space="preserve"> difficulty, in turn, raises questions as to whether other limits on the use of blended apportionment should be adopted for administrative ease. </w:t>
      </w:r>
    </w:p>
    <w:p w14:paraId="0F7ADA1E" w14:textId="529DCD63" w:rsidR="008E5139" w:rsidRDefault="008E5139" w:rsidP="00B104D7">
      <w:pPr>
        <w:spacing w:line="276" w:lineRule="auto"/>
        <w:jc w:val="left"/>
      </w:pPr>
      <w:r>
        <w:t xml:space="preserve">In considering these questions, the following information may be helpful. </w:t>
      </w:r>
    </w:p>
    <w:p w14:paraId="5528FE2C" w14:textId="13DA877C" w:rsidR="000876DE" w:rsidRDefault="008E5139" w:rsidP="00B104D7">
      <w:pPr>
        <w:pStyle w:val="Heading4"/>
        <w:ind w:left="720"/>
      </w:pPr>
      <w:r>
        <w:lastRenderedPageBreak/>
        <w:t>Applying the unity business principle to partnerships is more difficult.</w:t>
      </w:r>
    </w:p>
    <w:p w14:paraId="7251954C" w14:textId="4C429D32" w:rsidR="000876DE" w:rsidRDefault="000876DE" w:rsidP="00073262">
      <w:pPr>
        <w:spacing w:after="120"/>
        <w:ind w:left="720"/>
      </w:pPr>
      <w:r>
        <w:t>There are a number of U.S. Supreme Court cases that address the unitary business principle</w:t>
      </w:r>
      <w:r w:rsidR="00493CDA">
        <w:t xml:space="preserve"> in the context of </w:t>
      </w:r>
      <w:r w:rsidR="002F7A6A">
        <w:t xml:space="preserve">constitutional limitations on state taxation of multistate corporate income—implicating both the nexus to tax that income (or the corporation generating it) as well as whether that income can be fairly apportioned. </w:t>
      </w:r>
      <w:r w:rsidR="00493CDA">
        <w:t xml:space="preserve">In this context, the unitary business </w:t>
      </w:r>
      <w:r>
        <w:t xml:space="preserve">principle </w:t>
      </w:r>
      <w:r w:rsidR="002F7A6A">
        <w:t xml:space="preserve">often </w:t>
      </w:r>
      <w:r>
        <w:t xml:space="preserve">looks to </w:t>
      </w:r>
      <w:r w:rsidR="008E5139">
        <w:t xml:space="preserve">certain </w:t>
      </w:r>
      <w:r>
        <w:t xml:space="preserve">criteria </w:t>
      </w:r>
      <w:r w:rsidR="008E5139">
        <w:t>in</w:t>
      </w:r>
      <w:r>
        <w:t xml:space="preserve"> determining when </w:t>
      </w:r>
      <w:r w:rsidR="002F7A6A">
        <w:t xml:space="preserve">related </w:t>
      </w:r>
      <w:r w:rsidR="008E5139">
        <w:t>entities are engaged in</w:t>
      </w:r>
      <w:r>
        <w:t xml:space="preserve"> a unitary business. Th</w:t>
      </w:r>
      <w:r w:rsidR="008E5139">
        <w:t xml:space="preserve">ese </w:t>
      </w:r>
      <w:r>
        <w:t xml:space="preserve">criteria </w:t>
      </w:r>
      <w:r w:rsidR="008E5139">
        <w:t>include</w:t>
      </w:r>
      <w:r>
        <w:t>:</w:t>
      </w:r>
    </w:p>
    <w:p w14:paraId="7A83C3CD" w14:textId="77777777" w:rsidR="006A0418" w:rsidRDefault="006A0418" w:rsidP="00366E17">
      <w:pPr>
        <w:pStyle w:val="ListParagraph"/>
        <w:numPr>
          <w:ilvl w:val="0"/>
          <w:numId w:val="52"/>
        </w:numPr>
      </w:pPr>
      <w:r w:rsidRPr="006A0418">
        <w:t xml:space="preserve">functional integration, </w:t>
      </w:r>
    </w:p>
    <w:p w14:paraId="6E841D6B" w14:textId="77777777" w:rsidR="006A0418" w:rsidRDefault="006A0418" w:rsidP="00366E17">
      <w:pPr>
        <w:pStyle w:val="ListParagraph"/>
        <w:numPr>
          <w:ilvl w:val="0"/>
          <w:numId w:val="52"/>
        </w:numPr>
      </w:pPr>
      <w:r w:rsidRPr="006A0418">
        <w:t xml:space="preserve">centralized management, </w:t>
      </w:r>
    </w:p>
    <w:p w14:paraId="42D1B58D" w14:textId="472FD326" w:rsidR="000876DE" w:rsidRDefault="006A0418" w:rsidP="00366E17">
      <w:pPr>
        <w:pStyle w:val="ListParagraph"/>
        <w:numPr>
          <w:ilvl w:val="0"/>
          <w:numId w:val="52"/>
        </w:numPr>
      </w:pPr>
      <w:r w:rsidRPr="006A0418">
        <w:t>economies of scale</w:t>
      </w:r>
      <w:r>
        <w:t>, and/or</w:t>
      </w:r>
    </w:p>
    <w:p w14:paraId="517E999F" w14:textId="51D4C5D9" w:rsidR="006A0418" w:rsidRDefault="006A0418" w:rsidP="00366E17">
      <w:pPr>
        <w:pStyle w:val="ListParagraph"/>
        <w:numPr>
          <w:ilvl w:val="0"/>
          <w:numId w:val="52"/>
        </w:numPr>
      </w:pPr>
      <w:r>
        <w:t>flow of “value”.</w:t>
      </w:r>
    </w:p>
    <w:p w14:paraId="6D3159FA" w14:textId="20306F87" w:rsidR="009D1180" w:rsidRDefault="009D1180" w:rsidP="009D1180">
      <w:pPr>
        <w:ind w:left="720"/>
      </w:pPr>
      <w:r>
        <w:t xml:space="preserve">These criteria may be more difficult to apply to partnerships. Take centralized management. </w:t>
      </w:r>
      <w:r w:rsidR="008E5139">
        <w:t>As has been discussed throughout this white paper, partnerships are different from corporations</w:t>
      </w:r>
      <w:r w:rsidR="00493CDA">
        <w:t xml:space="preserve"> in important ways</w:t>
      </w:r>
      <w:r w:rsidR="008E5139">
        <w:t xml:space="preserve">. For corporations, ownership </w:t>
      </w:r>
      <w:r>
        <w:t xml:space="preserve">share </w:t>
      </w:r>
      <w:r w:rsidR="008E5139">
        <w:t>generally determines ultimate control</w:t>
      </w:r>
      <w:r>
        <w:t xml:space="preserve"> so that common control for a group of entities can be determined based </w:t>
      </w:r>
      <w:r w:rsidR="002F7A6A">
        <w:t xml:space="preserve">simply </w:t>
      </w:r>
      <w:r>
        <w:t xml:space="preserve">on </w:t>
      </w:r>
      <w:r w:rsidR="002F7A6A">
        <w:t xml:space="preserve">common </w:t>
      </w:r>
      <w:r>
        <w:t>ownership</w:t>
      </w:r>
      <w:r w:rsidR="008E5139">
        <w:t>. This is not true in the case of partnerships</w:t>
      </w:r>
      <w:r>
        <w:t>—where control can be vested in minority owners</w:t>
      </w:r>
      <w:r w:rsidR="008E5139">
        <w:t xml:space="preserve">. In addition, partnership structures are so complicated that discerning </w:t>
      </w:r>
      <w:r w:rsidR="002F7A6A">
        <w:t>common</w:t>
      </w:r>
      <w:r w:rsidR="008E5139">
        <w:t xml:space="preserve"> control</w:t>
      </w:r>
      <w:r w:rsidR="00493CDA">
        <w:t xml:space="preserve"> over related entities</w:t>
      </w:r>
      <w:r w:rsidR="008E5139">
        <w:t xml:space="preserve"> may b</w:t>
      </w:r>
      <w:r w:rsidR="00493CDA">
        <w:t>e impossible</w:t>
      </w:r>
      <w:r w:rsidR="008E5139">
        <w:t>.</w:t>
      </w:r>
      <w:r w:rsidR="00952A2A" w:rsidRPr="00952A2A">
        <w:t xml:space="preserve"> </w:t>
      </w:r>
      <w:r w:rsidR="00952A2A">
        <w:t xml:space="preserve"> </w:t>
      </w:r>
    </w:p>
    <w:p w14:paraId="312BAFB0" w14:textId="51E8FF82" w:rsidR="00952A2A" w:rsidRDefault="00952A2A" w:rsidP="009D1180">
      <w:pPr>
        <w:ind w:left="720"/>
      </w:pPr>
      <w:r>
        <w:t xml:space="preserve">Also, partnerships are sometimes formed </w:t>
      </w:r>
      <w:r w:rsidR="009D1180">
        <w:t xml:space="preserve">by partners </w:t>
      </w:r>
      <w:r>
        <w:t>to hold or develop certain assets. Today, those assets are more likely to be intangible property</w:t>
      </w:r>
      <w:r w:rsidR="009D1180">
        <w:t xml:space="preserve">. In </w:t>
      </w:r>
      <w:r w:rsidR="002F7A6A">
        <w:t>those instances</w:t>
      </w:r>
      <w:r w:rsidR="009D1180">
        <w:t xml:space="preserve">, </w:t>
      </w:r>
      <w:r>
        <w:t xml:space="preserve">a partner might make substantial use of its interest in </w:t>
      </w:r>
      <w:r w:rsidR="009D1180">
        <w:t>the</w:t>
      </w:r>
      <w:r>
        <w:t xml:space="preserve"> partnership and </w:t>
      </w:r>
      <w:r w:rsidR="009D1180">
        <w:t>the</w:t>
      </w:r>
      <w:r>
        <w:t xml:space="preserve"> </w:t>
      </w:r>
      <w:r w:rsidR="009D1180">
        <w:t xml:space="preserve">partnership’s intangible </w:t>
      </w:r>
      <w:r>
        <w:t xml:space="preserve">assets without the kind of “functional integration” </w:t>
      </w:r>
      <w:r w:rsidR="009D1180">
        <w:t xml:space="preserve">or “economies of scale” that might have been typical in </w:t>
      </w:r>
      <w:r w:rsidR="002F7A6A">
        <w:t xml:space="preserve">more </w:t>
      </w:r>
      <w:r w:rsidR="009D1180">
        <w:t xml:space="preserve">traditional businesses and their shared use of physical assets. </w:t>
      </w:r>
    </w:p>
    <w:p w14:paraId="0AF23EAC" w14:textId="49AC3A35" w:rsidR="006A0418" w:rsidRDefault="009D1180" w:rsidP="006A0418">
      <w:pPr>
        <w:ind w:left="720"/>
      </w:pPr>
      <w:r>
        <w:t>Some</w:t>
      </w:r>
      <w:r w:rsidR="006A0418">
        <w:t xml:space="preserve"> scholars believe that</w:t>
      </w:r>
      <w:r w:rsidR="002F7A6A">
        <w:t xml:space="preserve"> the unitary business principle involves </w:t>
      </w:r>
      <w:r w:rsidR="00450D6F">
        <w:t xml:space="preserve">another test that can be applied separately from the </w:t>
      </w:r>
      <w:r w:rsidR="002F7A6A">
        <w:t>criteria above</w:t>
      </w:r>
      <w:r w:rsidR="00450D6F">
        <w:t xml:space="preserve">—where </w:t>
      </w:r>
      <w:r w:rsidR="002F7A6A">
        <w:t>a taxpayer’s</w:t>
      </w:r>
      <w:r w:rsidR="00493CDA">
        <w:t xml:space="preserve"> investment </w:t>
      </w:r>
      <w:r w:rsidR="002F7A6A">
        <w:t xml:space="preserve">in another entity or business </w:t>
      </w:r>
      <w:r w:rsidR="006A0418">
        <w:t>serves an “operational function”</w:t>
      </w:r>
      <w:r w:rsidR="00952A2A">
        <w:t xml:space="preserve"> in the </w:t>
      </w:r>
      <w:r w:rsidR="002F7A6A">
        <w:t>taxpayer’s own</w:t>
      </w:r>
      <w:r w:rsidR="00952A2A">
        <w:t xml:space="preserve"> unitary business.</w:t>
      </w:r>
      <w:r w:rsidR="006A0418">
        <w:rPr>
          <w:rStyle w:val="FootnoteReference"/>
        </w:rPr>
        <w:footnoteReference w:id="46"/>
      </w:r>
      <w:r w:rsidR="006A0418">
        <w:t xml:space="preserve"> </w:t>
      </w:r>
      <w:r w:rsidR="00952A2A">
        <w:t xml:space="preserve">This </w:t>
      </w:r>
      <w:r w:rsidR="00450D6F">
        <w:t xml:space="preserve">operational function test appears better suited to application in the pass-through context, but </w:t>
      </w:r>
      <w:r w:rsidR="00952A2A">
        <w:t>is less developed</w:t>
      </w:r>
      <w:r w:rsidR="00450D6F">
        <w:t xml:space="preserve"> so that </w:t>
      </w:r>
      <w:r w:rsidR="00952A2A">
        <w:t xml:space="preserve">there is little </w:t>
      </w:r>
      <w:r w:rsidR="00450D6F">
        <w:t xml:space="preserve">governing </w:t>
      </w:r>
      <w:r w:rsidR="00952A2A">
        <w:t>precedent.</w:t>
      </w:r>
      <w:r w:rsidR="00F679FE">
        <w:rPr>
          <w:rStyle w:val="FootnoteReference"/>
        </w:rPr>
        <w:footnoteReference w:id="47"/>
      </w:r>
      <w:r w:rsidR="00952A2A">
        <w:t xml:space="preserve"> </w:t>
      </w:r>
    </w:p>
    <w:p w14:paraId="3AB2029E" w14:textId="4CBD4716" w:rsidR="007A5080" w:rsidRDefault="00822C28" w:rsidP="007A5080">
      <w:pPr>
        <w:pStyle w:val="Heading4"/>
        <w:ind w:left="720"/>
      </w:pPr>
      <w:r>
        <w:t>The</w:t>
      </w:r>
      <w:r w:rsidR="007A5080">
        <w:t xml:space="preserve"> </w:t>
      </w:r>
      <w:r>
        <w:t>pass-through system is governed by the attribution principle</w:t>
      </w:r>
      <w:r w:rsidR="007A5080">
        <w:t>.</w:t>
      </w:r>
    </w:p>
    <w:p w14:paraId="0A3CAB6D" w14:textId="5B032B4B" w:rsidR="007A5080" w:rsidRDefault="00415CEA" w:rsidP="00073262">
      <w:pPr>
        <w:spacing w:after="120"/>
        <w:ind w:left="720"/>
      </w:pPr>
      <w:r>
        <w:t xml:space="preserve">In the case of partnerships and their partners, the </w:t>
      </w:r>
      <w:r w:rsidR="00822C28">
        <w:t xml:space="preserve">pass-through </w:t>
      </w:r>
      <w:r>
        <w:t>tax system itself prescribes that:</w:t>
      </w:r>
    </w:p>
    <w:p w14:paraId="7010E939" w14:textId="7677D7A8" w:rsidR="00415CEA" w:rsidRDefault="00415CEA" w:rsidP="00073262">
      <w:pPr>
        <w:spacing w:after="120"/>
        <w:ind w:left="1440" w:right="720"/>
      </w:pPr>
      <w:r>
        <w:t>“</w:t>
      </w:r>
      <w:r w:rsidRPr="00415CEA">
        <w:t>Persons carrying on business as partners shall be liable for income tax only in their separate or individual capacities.</w:t>
      </w:r>
      <w:r>
        <w:t>” IRC § 701.</w:t>
      </w:r>
    </w:p>
    <w:p w14:paraId="064D3BF7" w14:textId="5DEB7982" w:rsidR="00415CEA" w:rsidRDefault="00415CEA" w:rsidP="00073262">
      <w:pPr>
        <w:spacing w:after="120"/>
        <w:ind w:left="720" w:right="720" w:firstLine="720"/>
      </w:pPr>
      <w:r>
        <w:t>And –</w:t>
      </w:r>
    </w:p>
    <w:p w14:paraId="12EE1800" w14:textId="201EC992" w:rsidR="00415CEA" w:rsidRPr="007A5080" w:rsidRDefault="00415CEA" w:rsidP="00415CEA">
      <w:pPr>
        <w:ind w:left="1440" w:right="720"/>
      </w:pPr>
      <w:r>
        <w:t>“</w:t>
      </w:r>
      <w:r w:rsidRPr="00415CEA">
        <w:t xml:space="preserve">The character of any item of income, gain, loss, deduction, or credit included in a partner’s distributive share </w:t>
      </w:r>
      <w:r>
        <w:t>. . .</w:t>
      </w:r>
      <w:r w:rsidRPr="00415CEA">
        <w:t xml:space="preserve"> shall be determined as if such item were realized directly from the source from which realized by the partnership, or incurred in the same manner as incurred by the partnership.</w:t>
      </w:r>
      <w:r>
        <w:t>” IRC § 702(b)</w:t>
      </w:r>
    </w:p>
    <w:p w14:paraId="2F3BDCF8" w14:textId="44DB553A" w:rsidR="0006735E" w:rsidRDefault="00450D6F" w:rsidP="000876DE">
      <w:pPr>
        <w:ind w:left="720"/>
      </w:pPr>
      <w:r>
        <w:t xml:space="preserve">State conformity to this </w:t>
      </w:r>
      <w:r w:rsidR="00822C28">
        <w:t xml:space="preserve">pass-through </w:t>
      </w:r>
      <w:r>
        <w:t xml:space="preserve">system provides a benefit to the direct and indirect owners of partnerships. But this benefit is conditioned upon their </w:t>
      </w:r>
      <w:r w:rsidR="00415CEA">
        <w:t xml:space="preserve">implicit agreement to pay </w:t>
      </w:r>
      <w:r>
        <w:t xml:space="preserve">the </w:t>
      </w:r>
      <w:r w:rsidR="00415CEA">
        <w:t xml:space="preserve">tax imposed on </w:t>
      </w:r>
      <w:r>
        <w:t>the</w:t>
      </w:r>
      <w:r w:rsidR="00415CEA">
        <w:t xml:space="preserve"> partnership income in the form in which it was earned by the partnership. </w:t>
      </w:r>
      <w:r w:rsidR="00822C28">
        <w:t>T</w:t>
      </w:r>
      <w:r>
        <w:t>his agreement is unconditional and does not depend on the partner’s role</w:t>
      </w:r>
      <w:r w:rsidR="00415CEA">
        <w:t xml:space="preserve"> in the partnership.</w:t>
      </w:r>
      <w:r w:rsidR="00F679FE">
        <w:t xml:space="preserve"> </w:t>
      </w:r>
      <w:r w:rsidR="0006735E">
        <w:t xml:space="preserve">Furthermore, as </w:t>
      </w:r>
      <w:r w:rsidR="002F7A6A">
        <w:t xml:space="preserve">noted at the beginning of this Section II, </w:t>
      </w:r>
      <w:r>
        <w:t xml:space="preserve">the attribution principle effectively negates any argument that a state lacks nexus over </w:t>
      </w:r>
      <w:r w:rsidR="00822C28">
        <w:t xml:space="preserve">the </w:t>
      </w:r>
      <w:r w:rsidR="0006735E">
        <w:t>out-of-state partners</w:t>
      </w:r>
      <w:r w:rsidR="00822C28">
        <w:t xml:space="preserve"> of a partnership doing business in the state</w:t>
      </w:r>
      <w:r w:rsidR="0006735E">
        <w:t>.</w:t>
      </w:r>
    </w:p>
    <w:p w14:paraId="2EBB87D9" w14:textId="4A29FCB8" w:rsidR="00415CEA" w:rsidRDefault="00651B6A" w:rsidP="00114F25">
      <w:pPr>
        <w:pStyle w:val="Heading4"/>
        <w:ind w:left="720"/>
      </w:pPr>
      <w:r>
        <w:lastRenderedPageBreak/>
        <w:t>Fair apportionment</w:t>
      </w:r>
      <w:r w:rsidR="0006735E">
        <w:t xml:space="preserve"> </w:t>
      </w:r>
      <w:r>
        <w:t>is not entirely dependent on the unitary business principle</w:t>
      </w:r>
      <w:r w:rsidR="0006735E">
        <w:t>.</w:t>
      </w:r>
    </w:p>
    <w:p w14:paraId="621A5B11" w14:textId="0FE942FE" w:rsidR="0006735E" w:rsidRDefault="0006735E" w:rsidP="009B57D8">
      <w:pPr>
        <w:spacing w:after="120"/>
        <w:ind w:left="720"/>
      </w:pPr>
      <w:r>
        <w:t xml:space="preserve">The unitary business principle </w:t>
      </w:r>
      <w:r w:rsidR="00114F25">
        <w:t xml:space="preserve">may </w:t>
      </w:r>
      <w:r>
        <w:t xml:space="preserve">serve to show </w:t>
      </w:r>
      <w:r w:rsidR="00822C28">
        <w:t xml:space="preserve">that a state has nexus over </w:t>
      </w:r>
      <w:r w:rsidR="00114F25">
        <w:t xml:space="preserve">the </w:t>
      </w:r>
      <w:r w:rsidR="00822C28">
        <w:t>business and its income</w:t>
      </w:r>
      <w:r w:rsidR="00114F25">
        <w:t xml:space="preserve">, but also </w:t>
      </w:r>
      <w:r w:rsidR="00822C28">
        <w:t xml:space="preserve">that the income has a connection to the </w:t>
      </w:r>
      <w:r w:rsidR="00114F25">
        <w:t xml:space="preserve">apportionment formula used. But as the Supreme Court said in </w:t>
      </w:r>
      <w:r w:rsidR="00114F25" w:rsidRPr="00E85677">
        <w:rPr>
          <w:i/>
          <w:iCs/>
        </w:rPr>
        <w:t>Container Corp. of America v. Franchise Tax Board</w:t>
      </w:r>
      <w:r w:rsidR="00114F25">
        <w:t xml:space="preserve">, that </w:t>
      </w:r>
      <w:r w:rsidR="00651B6A">
        <w:t xml:space="preserve">constitutional </w:t>
      </w:r>
      <w:r w:rsidR="00F75312">
        <w:t xml:space="preserve">fairness </w:t>
      </w:r>
      <w:r w:rsidR="00651B6A">
        <w:t>standard is low</w:t>
      </w:r>
      <w:r w:rsidR="00114F25">
        <w:t>:</w:t>
      </w:r>
    </w:p>
    <w:p w14:paraId="249E58C3" w14:textId="4194822D" w:rsidR="00114F25" w:rsidRDefault="00114F25" w:rsidP="009B57D8">
      <w:pPr>
        <w:spacing w:after="120"/>
        <w:ind w:left="1440" w:right="720"/>
      </w:pPr>
      <w:r>
        <w:t>. . . we will strike down the application of an apportionment formula if the taxpayer can prove "by 'clear and cogent evidence' that the income attributed to the State is in fact 'out of all appropriate proportions to the business transacted . . . in that State,' [Hans Rees' Sons, Inc.,] 283 U. S., at 135, or has 'led to a grossly distorted result,' [Norfolk &amp; Western R. Co. v. State Tax Comm'n, 390 U. S. 317, 326 (1968)]." Moorman Mfg. Co., supra, at 274</w:t>
      </w:r>
      <w:r w:rsidR="009B57D8">
        <w:t>.</w:t>
      </w:r>
      <w:r w:rsidR="009B57D8">
        <w:rPr>
          <w:rStyle w:val="FootnoteReference"/>
        </w:rPr>
        <w:footnoteReference w:id="48"/>
      </w:r>
    </w:p>
    <w:p w14:paraId="79CAAA25" w14:textId="2579D67A" w:rsidR="00651B6A" w:rsidRDefault="00822C28" w:rsidP="00651B6A">
      <w:pPr>
        <w:pStyle w:val="Heading4"/>
        <w:ind w:left="720"/>
      </w:pPr>
      <w:r>
        <w:t>T</w:t>
      </w:r>
      <w:r w:rsidR="00651B6A">
        <w:t xml:space="preserve">he unitary business principle </w:t>
      </w:r>
      <w:r>
        <w:t>may still be used as a limit for blended apportionment</w:t>
      </w:r>
      <w:r w:rsidR="00651B6A">
        <w:t>.</w:t>
      </w:r>
    </w:p>
    <w:p w14:paraId="72144FAA" w14:textId="1868C26F" w:rsidR="00651B6A" w:rsidRDefault="00F75312" w:rsidP="00651B6A">
      <w:pPr>
        <w:ind w:left="720"/>
      </w:pPr>
      <w:r>
        <w:t>The unitary business principle</w:t>
      </w:r>
      <w:r w:rsidR="00CA5F85">
        <w:t xml:space="preserve">, while not </w:t>
      </w:r>
      <w:r w:rsidR="003421A8">
        <w:t xml:space="preserve">clearly </w:t>
      </w:r>
      <w:r w:rsidR="00CA5F85">
        <w:t>required</w:t>
      </w:r>
      <w:r w:rsidR="00822C28">
        <w:t xml:space="preserve"> for blended apportionment,</w:t>
      </w:r>
      <w:r w:rsidR="00CA5F85">
        <w:t xml:space="preserve"> </w:t>
      </w:r>
      <w:r w:rsidR="00822C28">
        <w:t>could nevertheless</w:t>
      </w:r>
      <w:r w:rsidR="00CA5F85">
        <w:t xml:space="preserve"> </w:t>
      </w:r>
      <w:r>
        <w:t xml:space="preserve">provide </w:t>
      </w:r>
      <w:r w:rsidR="00822C28">
        <w:t xml:space="preserve">a kind of </w:t>
      </w:r>
      <w:r>
        <w:t xml:space="preserve">standard </w:t>
      </w:r>
      <w:r w:rsidR="00822C28">
        <w:t>for or</w:t>
      </w:r>
      <w:r>
        <w:t xml:space="preserve"> limit</w:t>
      </w:r>
      <w:r w:rsidR="00822C28">
        <w:t xml:space="preserve"> to</w:t>
      </w:r>
      <w:r>
        <w:t xml:space="preserve"> the use of blended apportionment. That said, because there is far</w:t>
      </w:r>
      <w:r w:rsidR="000D3FEC">
        <w:t xml:space="preserve"> less precedent and far fewer detailed rules for applying the principle in the </w:t>
      </w:r>
      <w:r w:rsidR="00CA5F85">
        <w:t xml:space="preserve">context of the </w:t>
      </w:r>
      <w:r w:rsidR="000D3FEC">
        <w:t>pass-through system, this standard should be modified where appropriate.</w:t>
      </w:r>
    </w:p>
    <w:p w14:paraId="75F83231" w14:textId="77777777" w:rsidR="00676A5D" w:rsidRDefault="000D3FEC" w:rsidP="00676A5D">
      <w:pPr>
        <w:ind w:left="720"/>
      </w:pPr>
      <w:r>
        <w:t xml:space="preserve">For example, some states that have used the unitary business principle to limit blended apportionment have provided that the ownership share of the partner does not affect whether the partner and partnership can be unitary—essentially recognizing that, with partnerships, control does not </w:t>
      </w:r>
      <w:r w:rsidR="007117ED">
        <w:t xml:space="preserve">necessarily </w:t>
      </w:r>
      <w:r>
        <w:t xml:space="preserve">follow ownership. </w:t>
      </w:r>
      <w:r w:rsidR="00676A5D">
        <w:t>And, a</w:t>
      </w:r>
      <w:r w:rsidR="00822C28">
        <w:t>s noted above</w:t>
      </w:r>
      <w:r w:rsidR="00676A5D">
        <w:t xml:space="preserve">, </w:t>
      </w:r>
      <w:r w:rsidR="00CA5F85">
        <w:t xml:space="preserve">the “operational function” test may work better for determining the relationship needed </w:t>
      </w:r>
      <w:r w:rsidR="009B57D8">
        <w:t>for the use of</w:t>
      </w:r>
      <w:r w:rsidR="00CA5F85">
        <w:t xml:space="preserve"> blended apportionment. </w:t>
      </w:r>
    </w:p>
    <w:p w14:paraId="03BB3761" w14:textId="5FF65548" w:rsidR="00CA5F85" w:rsidRDefault="00073262" w:rsidP="00676A5D">
      <w:pPr>
        <w:ind w:left="720"/>
      </w:pPr>
      <w:r>
        <w:t>So, for example, states might adopt the following approach:</w:t>
      </w:r>
    </w:p>
    <w:p w14:paraId="0BD64BA0" w14:textId="0FFFFA27" w:rsidR="00073262" w:rsidRDefault="00676A5D" w:rsidP="00366E17">
      <w:pPr>
        <w:pStyle w:val="ListParagraph"/>
        <w:numPr>
          <w:ilvl w:val="0"/>
          <w:numId w:val="53"/>
        </w:numPr>
        <w:spacing w:after="60"/>
        <w:contextualSpacing w:val="0"/>
      </w:pPr>
      <w:r>
        <w:t>Determine if the</w:t>
      </w:r>
      <w:r w:rsidR="00073262">
        <w:t xml:space="preserve"> </w:t>
      </w:r>
      <w:r>
        <w:t xml:space="preserve">income or item is </w:t>
      </w:r>
      <w:r w:rsidR="00073262">
        <w:t>apportionable to the partnership</w:t>
      </w:r>
      <w:r>
        <w:t xml:space="preserve"> that recognized it. </w:t>
      </w:r>
    </w:p>
    <w:p w14:paraId="3484C217" w14:textId="728C9327" w:rsidR="00073262" w:rsidRDefault="00073262" w:rsidP="00366E17">
      <w:pPr>
        <w:pStyle w:val="ListParagraph"/>
        <w:numPr>
          <w:ilvl w:val="0"/>
          <w:numId w:val="53"/>
        </w:numPr>
        <w:spacing w:after="60"/>
        <w:contextualSpacing w:val="0"/>
      </w:pPr>
      <w:r>
        <w:t xml:space="preserve">If so, </w:t>
      </w:r>
      <w:r w:rsidR="00676A5D">
        <w:t xml:space="preserve">determine whether </w:t>
      </w:r>
      <w:r w:rsidR="003421A8">
        <w:t xml:space="preserve">the partner and partnership </w:t>
      </w:r>
      <w:r w:rsidR="00676A5D">
        <w:t>meet</w:t>
      </w:r>
      <w:r w:rsidR="003421A8">
        <w:t xml:space="preserve"> certain </w:t>
      </w:r>
      <w:r w:rsidR="00676A5D">
        <w:t xml:space="preserve">of the criteria for unitary entities, or whether the partnership services </w:t>
      </w:r>
      <w:r>
        <w:t xml:space="preserve">an operational function </w:t>
      </w:r>
      <w:r w:rsidR="00676A5D">
        <w:t xml:space="preserve">in the partner’s unitary business. </w:t>
      </w:r>
    </w:p>
    <w:p w14:paraId="2D4E19A7" w14:textId="39683CAE" w:rsidR="00676A5D" w:rsidRDefault="00676A5D" w:rsidP="00366E17">
      <w:pPr>
        <w:pStyle w:val="ListParagraph"/>
        <w:numPr>
          <w:ilvl w:val="0"/>
          <w:numId w:val="53"/>
        </w:numPr>
        <w:spacing w:after="60"/>
        <w:contextualSpacing w:val="0"/>
      </w:pPr>
      <w:r>
        <w:t>If either is true, blended apportionment may apply to the sourcing of the partner’s income, including the partnership distributive share.</w:t>
      </w:r>
    </w:p>
    <w:p w14:paraId="3329645C" w14:textId="079896EB" w:rsidR="00073262" w:rsidRDefault="00073262" w:rsidP="00366E17">
      <w:pPr>
        <w:pStyle w:val="ListParagraph"/>
        <w:numPr>
          <w:ilvl w:val="0"/>
          <w:numId w:val="59"/>
        </w:numPr>
        <w:spacing w:after="60"/>
        <w:contextualSpacing w:val="0"/>
      </w:pPr>
      <w:r>
        <w:t xml:space="preserve">If </w:t>
      </w:r>
      <w:r w:rsidR="00676A5D">
        <w:t>neither is true</w:t>
      </w:r>
      <w:r>
        <w:t xml:space="preserve">, the </w:t>
      </w:r>
      <w:r w:rsidR="00676A5D">
        <w:t xml:space="preserve">distributive share </w:t>
      </w:r>
      <w:r>
        <w:t>income is assumed to be non</w:t>
      </w:r>
      <w:r w:rsidR="00E85677">
        <w:t>-</w:t>
      </w:r>
      <w:r>
        <w:t xml:space="preserve">apportionable to the partner and would, instead, be apportioned separately applying the partnership’s own </w:t>
      </w:r>
      <w:r w:rsidR="00676A5D">
        <w:t>apportionment factors</w:t>
      </w:r>
      <w:r>
        <w:t>.</w:t>
      </w:r>
    </w:p>
    <w:p w14:paraId="208C769E" w14:textId="77777777" w:rsidR="00676A5D" w:rsidRDefault="00676A5D" w:rsidP="00676A5D">
      <w:pPr>
        <w:spacing w:after="60"/>
        <w:ind w:left="720"/>
      </w:pPr>
    </w:p>
    <w:p w14:paraId="1A6FD85D" w14:textId="6031DF70" w:rsidR="000D3FEC" w:rsidRPr="0006735E" w:rsidRDefault="00676A5D" w:rsidP="00073262">
      <w:r>
        <w:t>In addition to applying some form of the unitary business principle to limit the use of blended apportionment, s</w:t>
      </w:r>
      <w:r w:rsidR="00073262">
        <w:t>tates might also impose other limits for administrative ease</w:t>
      </w:r>
      <w:r w:rsidR="003421A8">
        <w:t xml:space="preserve"> </w:t>
      </w:r>
      <w:r>
        <w:t>or</w:t>
      </w:r>
      <w:r w:rsidR="003421A8">
        <w:t xml:space="preserve"> vary the application of blended apportionment as may be discussed further below</w:t>
      </w:r>
      <w:r w:rsidR="00073262">
        <w:t xml:space="preserve">. </w:t>
      </w:r>
    </w:p>
    <w:p w14:paraId="1183BF46" w14:textId="77777777" w:rsidR="00822C28" w:rsidRDefault="00822C28">
      <w:pPr>
        <w:spacing w:line="276" w:lineRule="auto"/>
        <w:jc w:val="left"/>
        <w:rPr>
          <w:rFonts w:asciiTheme="majorHAnsi" w:eastAsiaTheme="majorEastAsia" w:hAnsiTheme="majorHAnsi" w:cstheme="majorBidi"/>
          <w:b/>
          <w:color w:val="851C00" w:themeColor="accent6" w:themeShade="BF"/>
          <w:sz w:val="30"/>
          <w:szCs w:val="26"/>
          <w:u w:val="single"/>
        </w:rPr>
      </w:pPr>
      <w:r>
        <w:br w:type="page"/>
      </w:r>
    </w:p>
    <w:p w14:paraId="36A5D8A5" w14:textId="05F7E11D" w:rsidR="004C63AF" w:rsidRDefault="00E27867" w:rsidP="00A702C1">
      <w:pPr>
        <w:pStyle w:val="Heading2"/>
      </w:pPr>
      <w:bookmarkStart w:id="76" w:name="_Toc198480753"/>
      <w:r>
        <w:lastRenderedPageBreak/>
        <w:t>II.</w:t>
      </w:r>
      <w:r w:rsidR="00A702C1">
        <w:t>C</w:t>
      </w:r>
      <w:r w:rsidR="00A072B0">
        <w:t xml:space="preserve">. </w:t>
      </w:r>
      <w:r w:rsidR="00E10036">
        <w:t xml:space="preserve">Sourcing </w:t>
      </w:r>
      <w:r w:rsidR="004C63AF">
        <w:t xml:space="preserve">Special </w:t>
      </w:r>
      <w:r w:rsidR="00F4275C">
        <w:t xml:space="preserve">or Mandatory </w:t>
      </w:r>
      <w:r w:rsidR="004C63AF">
        <w:t>Allocations</w:t>
      </w:r>
      <w:bookmarkEnd w:id="76"/>
    </w:p>
    <w:p w14:paraId="4E0EDAEC" w14:textId="70997C59" w:rsidR="003016AA" w:rsidRDefault="00073262" w:rsidP="001F5537">
      <w:r>
        <w:t>As discussed in subsection I.</w:t>
      </w:r>
      <w:r w:rsidR="003016AA">
        <w:t xml:space="preserve">D. above, partners may share partnership items in different proportions and Subchapter K may also mandate that certain items or shares of those items be allocated to certain partners. </w:t>
      </w:r>
      <w:r w:rsidR="004715ED">
        <w:t>The application of these</w:t>
      </w:r>
      <w:r w:rsidR="003016AA">
        <w:t xml:space="preserve"> allocation rules</w:t>
      </w:r>
      <w:r w:rsidR="004715ED">
        <w:t xml:space="preserve"> along with state sourcing rules</w:t>
      </w:r>
      <w:r w:rsidR="003016AA">
        <w:t xml:space="preserve"> may, in some cases, enable taxpayers to change the sourcing of income or loss. </w:t>
      </w:r>
    </w:p>
    <w:p w14:paraId="3F9FA20E" w14:textId="582009C7" w:rsidR="000C0B05" w:rsidRDefault="00523B5D" w:rsidP="00523B5D">
      <w:pPr>
        <w:pStyle w:val="Heading4"/>
      </w:pPr>
      <w:r>
        <w:t>Special Allocations</w:t>
      </w:r>
    </w:p>
    <w:p w14:paraId="2978E579" w14:textId="0D1B8F72" w:rsidR="00523B5D" w:rsidRDefault="003E3DF7" w:rsidP="004715ED">
      <w:r>
        <w:t>Because of special allocations—partners may receive a greater share of income (loss) from some partnership activities and a lesser share from others</w:t>
      </w:r>
      <w:r w:rsidR="00523B5D">
        <w:t>.</w:t>
      </w:r>
      <w:r>
        <w:t xml:space="preserve"> Nor do these allocations have to match the partner’s capital ownership. </w:t>
      </w:r>
      <w:r w:rsidR="00523B5D">
        <w:t xml:space="preserve"> </w:t>
      </w:r>
    </w:p>
    <w:p w14:paraId="0759226E" w14:textId="77777777" w:rsidR="00BA1515" w:rsidRDefault="00523B5D" w:rsidP="006E3381">
      <w:pPr>
        <w:spacing w:after="80"/>
      </w:pPr>
      <w:r>
        <w:t>For example, assume</w:t>
      </w:r>
      <w:r w:rsidR="00BA1515">
        <w:t>:</w:t>
      </w:r>
      <w:r w:rsidR="00D8321D">
        <w:t xml:space="preserve"> </w:t>
      </w:r>
    </w:p>
    <w:p w14:paraId="70D14535" w14:textId="77777777" w:rsidR="00BA1515" w:rsidRDefault="00D8321D" w:rsidP="00366E17">
      <w:pPr>
        <w:pStyle w:val="ListParagraph"/>
        <w:numPr>
          <w:ilvl w:val="0"/>
          <w:numId w:val="55"/>
        </w:numPr>
        <w:spacing w:after="60"/>
        <w:ind w:left="648"/>
        <w:contextualSpacing w:val="0"/>
      </w:pPr>
      <w:r>
        <w:t xml:space="preserve">Partnership </w:t>
      </w:r>
      <w:r w:rsidR="001A4436">
        <w:t>conducts two</w:t>
      </w:r>
      <w:r>
        <w:t xml:space="preserve"> related businesses—</w:t>
      </w:r>
      <w:r w:rsidR="001A4436">
        <w:t>technology consulting</w:t>
      </w:r>
      <w:r>
        <w:t xml:space="preserve"> and product development. </w:t>
      </w:r>
    </w:p>
    <w:p w14:paraId="5F6DF4E8" w14:textId="77777777" w:rsidR="00BA1515" w:rsidRDefault="00BA1515" w:rsidP="00366E17">
      <w:pPr>
        <w:pStyle w:val="ListParagraph"/>
        <w:numPr>
          <w:ilvl w:val="0"/>
          <w:numId w:val="55"/>
        </w:numPr>
        <w:spacing w:after="60"/>
        <w:ind w:left="648"/>
        <w:contextualSpacing w:val="0"/>
      </w:pPr>
      <w:r>
        <w:t>Each</w:t>
      </w:r>
      <w:r w:rsidR="00D8321D">
        <w:t xml:space="preserve"> has its own operations and customers but they are part of a unitary business. </w:t>
      </w:r>
    </w:p>
    <w:p w14:paraId="34F6D4AB" w14:textId="2B3996EA" w:rsidR="00BA1515" w:rsidRDefault="00D8321D" w:rsidP="00366E17">
      <w:pPr>
        <w:pStyle w:val="ListParagraph"/>
        <w:numPr>
          <w:ilvl w:val="0"/>
          <w:numId w:val="55"/>
        </w:numPr>
        <w:spacing w:after="60"/>
        <w:ind w:left="648"/>
        <w:contextualSpacing w:val="0"/>
      </w:pPr>
      <w:r>
        <w:t xml:space="preserve">Corp invests in Partnership in order to work in developing products. </w:t>
      </w:r>
    </w:p>
    <w:p w14:paraId="764F4B3C" w14:textId="482CB009" w:rsidR="00BA1515" w:rsidRDefault="00D8321D" w:rsidP="00366E17">
      <w:pPr>
        <w:pStyle w:val="ListParagraph"/>
        <w:numPr>
          <w:ilvl w:val="0"/>
          <w:numId w:val="55"/>
        </w:numPr>
        <w:spacing w:after="60"/>
        <w:ind w:left="648"/>
        <w:contextualSpacing w:val="0"/>
      </w:pPr>
      <w:r>
        <w:t>The Partnership’s other partners agree that</w:t>
      </w:r>
      <w:r w:rsidR="006E3381">
        <w:t xml:space="preserve"> Corp</w:t>
      </w:r>
      <w:r>
        <w:t xml:space="preserve"> will be allocated</w:t>
      </w:r>
      <w:r w:rsidR="00BA1515">
        <w:t>:</w:t>
      </w:r>
      <w:r>
        <w:t xml:space="preserve"> </w:t>
      </w:r>
    </w:p>
    <w:p w14:paraId="26A6AA1F" w14:textId="77777777" w:rsidR="00BA1515" w:rsidRDefault="008B5B71" w:rsidP="00366E17">
      <w:pPr>
        <w:pStyle w:val="ListParagraph"/>
        <w:numPr>
          <w:ilvl w:val="1"/>
          <w:numId w:val="55"/>
        </w:numPr>
        <w:spacing w:after="60"/>
        <w:ind w:left="936"/>
        <w:contextualSpacing w:val="0"/>
      </w:pPr>
      <w:r>
        <w:t>2</w:t>
      </w:r>
      <w:r w:rsidR="00D8321D">
        <w:t xml:space="preserve">0% of the income generated by its </w:t>
      </w:r>
      <w:r w:rsidR="001A4436">
        <w:t>consulting</w:t>
      </w:r>
      <w:r w:rsidR="00D8321D">
        <w:t xml:space="preserve"> operations</w:t>
      </w:r>
      <w:r w:rsidR="00BA1515">
        <w:t>,</w:t>
      </w:r>
      <w:r w:rsidR="00D8321D">
        <w:t xml:space="preserve"> and </w:t>
      </w:r>
    </w:p>
    <w:p w14:paraId="2139120E" w14:textId="77777777" w:rsidR="00BA1515" w:rsidRDefault="00A412A7" w:rsidP="00366E17">
      <w:pPr>
        <w:pStyle w:val="ListParagraph"/>
        <w:numPr>
          <w:ilvl w:val="1"/>
          <w:numId w:val="55"/>
        </w:numPr>
        <w:spacing w:after="60"/>
        <w:ind w:left="936"/>
        <w:contextualSpacing w:val="0"/>
      </w:pPr>
      <w:r>
        <w:t>6</w:t>
      </w:r>
      <w:r w:rsidR="00D8321D">
        <w:t xml:space="preserve">0% of the income generated by its product development operations. </w:t>
      </w:r>
    </w:p>
    <w:p w14:paraId="2A0318FF" w14:textId="3D091A0C" w:rsidR="00523B5D" w:rsidRDefault="00A412A7" w:rsidP="00366E17">
      <w:pPr>
        <w:pStyle w:val="ListParagraph"/>
        <w:numPr>
          <w:ilvl w:val="0"/>
          <w:numId w:val="55"/>
        </w:numPr>
        <w:spacing w:after="120"/>
        <w:ind w:left="648"/>
        <w:contextualSpacing w:val="0"/>
      </w:pPr>
      <w:r>
        <w:t xml:space="preserve">Assume that Partnership can track the income and receipts of the </w:t>
      </w:r>
      <w:r w:rsidR="001A4436">
        <w:t>consulting</w:t>
      </w:r>
      <w:r>
        <w:t xml:space="preserve"> and product development operations separately and the results in Year 1 are:</w:t>
      </w:r>
    </w:p>
    <w:tbl>
      <w:tblPr>
        <w:tblStyle w:val="TableGrid"/>
        <w:tblW w:w="0" w:type="auto"/>
        <w:tblInd w:w="355" w:type="dxa"/>
        <w:tblLook w:val="04A0" w:firstRow="1" w:lastRow="0" w:firstColumn="1" w:lastColumn="0" w:noHBand="0" w:noVBand="1"/>
      </w:tblPr>
      <w:tblGrid>
        <w:gridCol w:w="2070"/>
        <w:gridCol w:w="2160"/>
        <w:gridCol w:w="2070"/>
        <w:gridCol w:w="1800"/>
      </w:tblGrid>
      <w:tr w:rsidR="008B5B71" w14:paraId="4DE1B23E" w14:textId="0C46BECF" w:rsidTr="002836DA">
        <w:tc>
          <w:tcPr>
            <w:tcW w:w="2070" w:type="dxa"/>
          </w:tcPr>
          <w:p w14:paraId="594E38A3" w14:textId="77777777" w:rsidR="00A412A7" w:rsidRPr="001A4436" w:rsidRDefault="00A412A7" w:rsidP="00D8321D">
            <w:pPr>
              <w:spacing w:after="60"/>
              <w:rPr>
                <w:sz w:val="18"/>
                <w:szCs w:val="20"/>
              </w:rPr>
            </w:pPr>
          </w:p>
        </w:tc>
        <w:tc>
          <w:tcPr>
            <w:tcW w:w="2160" w:type="dxa"/>
          </w:tcPr>
          <w:p w14:paraId="28DFA0DB" w14:textId="54D6D3C7" w:rsidR="00A412A7" w:rsidRPr="001A4436" w:rsidRDefault="001A4436" w:rsidP="001A4436">
            <w:pPr>
              <w:spacing w:after="60"/>
              <w:jc w:val="right"/>
              <w:rPr>
                <w:sz w:val="18"/>
                <w:szCs w:val="20"/>
              </w:rPr>
            </w:pPr>
            <w:r w:rsidRPr="001A4436">
              <w:rPr>
                <w:sz w:val="18"/>
                <w:szCs w:val="20"/>
              </w:rPr>
              <w:t>Technology Consulting</w:t>
            </w:r>
          </w:p>
        </w:tc>
        <w:tc>
          <w:tcPr>
            <w:tcW w:w="2070" w:type="dxa"/>
          </w:tcPr>
          <w:p w14:paraId="262AAAA8" w14:textId="257DD3A1" w:rsidR="00A412A7" w:rsidRPr="001A4436" w:rsidRDefault="00A412A7" w:rsidP="001A4436">
            <w:pPr>
              <w:spacing w:after="60"/>
              <w:jc w:val="right"/>
              <w:rPr>
                <w:sz w:val="18"/>
                <w:szCs w:val="20"/>
              </w:rPr>
            </w:pPr>
            <w:r w:rsidRPr="001A4436">
              <w:rPr>
                <w:sz w:val="18"/>
                <w:szCs w:val="20"/>
              </w:rPr>
              <w:t>Product Development</w:t>
            </w:r>
          </w:p>
        </w:tc>
        <w:tc>
          <w:tcPr>
            <w:tcW w:w="1800" w:type="dxa"/>
          </w:tcPr>
          <w:p w14:paraId="1112CE7D" w14:textId="54A62DDE" w:rsidR="00A412A7" w:rsidRPr="001A4436" w:rsidRDefault="00A412A7" w:rsidP="001A4436">
            <w:pPr>
              <w:spacing w:after="60"/>
              <w:jc w:val="right"/>
              <w:rPr>
                <w:sz w:val="18"/>
                <w:szCs w:val="20"/>
              </w:rPr>
            </w:pPr>
            <w:r w:rsidRPr="001A4436">
              <w:rPr>
                <w:sz w:val="18"/>
                <w:szCs w:val="20"/>
              </w:rPr>
              <w:t>Total Partnership</w:t>
            </w:r>
          </w:p>
        </w:tc>
      </w:tr>
      <w:tr w:rsidR="008B5B71" w14:paraId="2F1CF452" w14:textId="4CFF37C3" w:rsidTr="002836DA">
        <w:tc>
          <w:tcPr>
            <w:tcW w:w="2070" w:type="dxa"/>
          </w:tcPr>
          <w:p w14:paraId="667FCBBD" w14:textId="5F130718" w:rsidR="00A412A7" w:rsidRPr="001A4436" w:rsidRDefault="00A412A7" w:rsidP="00D8321D">
            <w:pPr>
              <w:spacing w:after="60"/>
              <w:rPr>
                <w:sz w:val="18"/>
                <w:szCs w:val="20"/>
              </w:rPr>
            </w:pPr>
            <w:r w:rsidRPr="001A4436">
              <w:rPr>
                <w:sz w:val="18"/>
                <w:szCs w:val="20"/>
              </w:rPr>
              <w:t>Income of Operations</w:t>
            </w:r>
          </w:p>
        </w:tc>
        <w:tc>
          <w:tcPr>
            <w:tcW w:w="2160" w:type="dxa"/>
          </w:tcPr>
          <w:p w14:paraId="4FB7FBFC" w14:textId="152054A9" w:rsidR="00A412A7" w:rsidRPr="001A4436" w:rsidRDefault="00A412A7" w:rsidP="001A4436">
            <w:pPr>
              <w:spacing w:after="60"/>
              <w:jc w:val="right"/>
              <w:rPr>
                <w:sz w:val="18"/>
                <w:szCs w:val="20"/>
              </w:rPr>
            </w:pPr>
            <w:r w:rsidRPr="001A4436">
              <w:rPr>
                <w:sz w:val="18"/>
                <w:szCs w:val="20"/>
              </w:rPr>
              <w:t>$</w:t>
            </w:r>
            <w:r w:rsidR="008B5B71">
              <w:rPr>
                <w:sz w:val="18"/>
                <w:szCs w:val="20"/>
              </w:rPr>
              <w:t>30</w:t>
            </w:r>
            <w:r w:rsidRPr="001A4436">
              <w:rPr>
                <w:sz w:val="18"/>
                <w:szCs w:val="20"/>
              </w:rPr>
              <w:t xml:space="preserve"> million</w:t>
            </w:r>
          </w:p>
        </w:tc>
        <w:tc>
          <w:tcPr>
            <w:tcW w:w="2070" w:type="dxa"/>
          </w:tcPr>
          <w:p w14:paraId="604AC2B8" w14:textId="4BDD4F1A" w:rsidR="00A412A7" w:rsidRPr="001A4436" w:rsidRDefault="00A412A7" w:rsidP="001A4436">
            <w:pPr>
              <w:spacing w:after="60"/>
              <w:jc w:val="right"/>
              <w:rPr>
                <w:sz w:val="18"/>
                <w:szCs w:val="20"/>
              </w:rPr>
            </w:pPr>
            <w:r w:rsidRPr="001A4436">
              <w:rPr>
                <w:sz w:val="18"/>
                <w:szCs w:val="20"/>
              </w:rPr>
              <w:t>$</w:t>
            </w:r>
            <w:r w:rsidR="008B5B71">
              <w:rPr>
                <w:sz w:val="18"/>
                <w:szCs w:val="20"/>
              </w:rPr>
              <w:t>10</w:t>
            </w:r>
            <w:r w:rsidRPr="001A4436">
              <w:rPr>
                <w:sz w:val="18"/>
                <w:szCs w:val="20"/>
              </w:rPr>
              <w:t xml:space="preserve"> million</w:t>
            </w:r>
          </w:p>
        </w:tc>
        <w:tc>
          <w:tcPr>
            <w:tcW w:w="1800" w:type="dxa"/>
          </w:tcPr>
          <w:p w14:paraId="760B17CB" w14:textId="4F6405CC" w:rsidR="00A412A7" w:rsidRPr="001A4436" w:rsidRDefault="00A412A7" w:rsidP="001A4436">
            <w:pPr>
              <w:spacing w:after="60"/>
              <w:jc w:val="right"/>
              <w:rPr>
                <w:sz w:val="18"/>
                <w:szCs w:val="20"/>
              </w:rPr>
            </w:pPr>
            <w:r w:rsidRPr="001A4436">
              <w:rPr>
                <w:sz w:val="18"/>
                <w:szCs w:val="20"/>
              </w:rPr>
              <w:t>$</w:t>
            </w:r>
            <w:r w:rsidR="008B5B71">
              <w:rPr>
                <w:sz w:val="18"/>
                <w:szCs w:val="20"/>
              </w:rPr>
              <w:t>40</w:t>
            </w:r>
            <w:r w:rsidRPr="001A4436">
              <w:rPr>
                <w:sz w:val="18"/>
                <w:szCs w:val="20"/>
              </w:rPr>
              <w:t xml:space="preserve"> million</w:t>
            </w:r>
          </w:p>
        </w:tc>
      </w:tr>
      <w:tr w:rsidR="002836DA" w14:paraId="6A03CF93" w14:textId="77777777" w:rsidTr="002836DA">
        <w:tc>
          <w:tcPr>
            <w:tcW w:w="2070" w:type="dxa"/>
          </w:tcPr>
          <w:p w14:paraId="144BB4CD" w14:textId="282B4DE7" w:rsidR="002836DA" w:rsidRPr="001A4436" w:rsidRDefault="006E3381" w:rsidP="00D8321D">
            <w:pPr>
              <w:spacing w:after="60"/>
              <w:rPr>
                <w:sz w:val="18"/>
                <w:szCs w:val="20"/>
              </w:rPr>
            </w:pPr>
            <w:r>
              <w:rPr>
                <w:sz w:val="18"/>
                <w:szCs w:val="20"/>
              </w:rPr>
              <w:t>Corp</w:t>
            </w:r>
            <w:r w:rsidR="002836DA">
              <w:rPr>
                <w:sz w:val="18"/>
                <w:szCs w:val="20"/>
              </w:rPr>
              <w:t>’s Share</w:t>
            </w:r>
          </w:p>
        </w:tc>
        <w:tc>
          <w:tcPr>
            <w:tcW w:w="2160" w:type="dxa"/>
          </w:tcPr>
          <w:p w14:paraId="3763CFE0" w14:textId="34D2A9A6" w:rsidR="002836DA" w:rsidRPr="001A4436" w:rsidRDefault="002836DA" w:rsidP="001A4436">
            <w:pPr>
              <w:spacing w:after="60"/>
              <w:jc w:val="right"/>
              <w:rPr>
                <w:sz w:val="18"/>
                <w:szCs w:val="20"/>
              </w:rPr>
            </w:pPr>
            <w:r>
              <w:rPr>
                <w:sz w:val="18"/>
                <w:szCs w:val="20"/>
              </w:rPr>
              <w:t>$6 million</w:t>
            </w:r>
          </w:p>
        </w:tc>
        <w:tc>
          <w:tcPr>
            <w:tcW w:w="2070" w:type="dxa"/>
          </w:tcPr>
          <w:p w14:paraId="0B2AA616" w14:textId="4C407AEE" w:rsidR="002836DA" w:rsidRPr="001A4436" w:rsidRDefault="002836DA" w:rsidP="001A4436">
            <w:pPr>
              <w:spacing w:after="60"/>
              <w:jc w:val="right"/>
              <w:rPr>
                <w:sz w:val="18"/>
                <w:szCs w:val="20"/>
              </w:rPr>
            </w:pPr>
            <w:r>
              <w:rPr>
                <w:sz w:val="18"/>
                <w:szCs w:val="20"/>
              </w:rPr>
              <w:t>$6 million</w:t>
            </w:r>
          </w:p>
        </w:tc>
        <w:tc>
          <w:tcPr>
            <w:tcW w:w="1800" w:type="dxa"/>
          </w:tcPr>
          <w:p w14:paraId="7E324812" w14:textId="55471479" w:rsidR="002836DA" w:rsidRPr="001A4436" w:rsidRDefault="002836DA" w:rsidP="001A4436">
            <w:pPr>
              <w:spacing w:after="60"/>
              <w:jc w:val="right"/>
              <w:rPr>
                <w:sz w:val="18"/>
                <w:szCs w:val="20"/>
              </w:rPr>
            </w:pPr>
            <w:r>
              <w:rPr>
                <w:sz w:val="18"/>
                <w:szCs w:val="20"/>
              </w:rPr>
              <w:t>$12 million</w:t>
            </w:r>
          </w:p>
        </w:tc>
      </w:tr>
      <w:tr w:rsidR="008B5B71" w14:paraId="3D3B3638" w14:textId="72BF9B3D" w:rsidTr="002836DA">
        <w:tc>
          <w:tcPr>
            <w:tcW w:w="2070" w:type="dxa"/>
          </w:tcPr>
          <w:p w14:paraId="1E68BC73" w14:textId="1DACDA89" w:rsidR="00A412A7" w:rsidRPr="001A4436" w:rsidRDefault="00A412A7" w:rsidP="00D8321D">
            <w:pPr>
              <w:spacing w:after="60"/>
              <w:rPr>
                <w:sz w:val="18"/>
                <w:szCs w:val="20"/>
              </w:rPr>
            </w:pPr>
            <w:r w:rsidRPr="001A4436">
              <w:rPr>
                <w:sz w:val="18"/>
                <w:szCs w:val="20"/>
              </w:rPr>
              <w:t>Receipts in State X</w:t>
            </w:r>
          </w:p>
        </w:tc>
        <w:tc>
          <w:tcPr>
            <w:tcW w:w="2160" w:type="dxa"/>
          </w:tcPr>
          <w:p w14:paraId="33125674" w14:textId="16C0F83B" w:rsidR="00A412A7" w:rsidRPr="001A4436" w:rsidRDefault="00A412A7" w:rsidP="001A4436">
            <w:pPr>
              <w:spacing w:after="60"/>
              <w:jc w:val="right"/>
              <w:rPr>
                <w:sz w:val="18"/>
                <w:szCs w:val="20"/>
              </w:rPr>
            </w:pPr>
            <w:r w:rsidRPr="001A4436">
              <w:rPr>
                <w:sz w:val="18"/>
                <w:szCs w:val="20"/>
              </w:rPr>
              <w:t>$</w:t>
            </w:r>
            <w:r w:rsidR="008B5B71">
              <w:rPr>
                <w:sz w:val="18"/>
                <w:szCs w:val="20"/>
              </w:rPr>
              <w:t>50</w:t>
            </w:r>
            <w:r w:rsidRPr="001A4436">
              <w:rPr>
                <w:sz w:val="18"/>
                <w:szCs w:val="20"/>
              </w:rPr>
              <w:t xml:space="preserve"> million</w:t>
            </w:r>
          </w:p>
        </w:tc>
        <w:tc>
          <w:tcPr>
            <w:tcW w:w="2070" w:type="dxa"/>
          </w:tcPr>
          <w:p w14:paraId="618B6F57" w14:textId="576F6553" w:rsidR="00A412A7" w:rsidRPr="001A4436" w:rsidRDefault="00A412A7" w:rsidP="001A4436">
            <w:pPr>
              <w:spacing w:after="60"/>
              <w:jc w:val="right"/>
              <w:rPr>
                <w:sz w:val="18"/>
                <w:szCs w:val="20"/>
              </w:rPr>
            </w:pPr>
            <w:r w:rsidRPr="001A4436">
              <w:rPr>
                <w:sz w:val="18"/>
                <w:szCs w:val="20"/>
              </w:rPr>
              <w:t>$</w:t>
            </w:r>
            <w:r w:rsidR="008B5B71">
              <w:rPr>
                <w:sz w:val="18"/>
                <w:szCs w:val="20"/>
              </w:rPr>
              <w:t>1</w:t>
            </w:r>
            <w:r w:rsidRPr="001A4436">
              <w:rPr>
                <w:sz w:val="18"/>
                <w:szCs w:val="20"/>
              </w:rPr>
              <w:t>0 million</w:t>
            </w:r>
          </w:p>
        </w:tc>
        <w:tc>
          <w:tcPr>
            <w:tcW w:w="1800" w:type="dxa"/>
          </w:tcPr>
          <w:p w14:paraId="3BB37875" w14:textId="1E59EB24" w:rsidR="00A412A7" w:rsidRPr="001A4436" w:rsidRDefault="00A412A7" w:rsidP="001A4436">
            <w:pPr>
              <w:spacing w:after="60"/>
              <w:jc w:val="right"/>
              <w:rPr>
                <w:sz w:val="18"/>
                <w:szCs w:val="20"/>
              </w:rPr>
            </w:pPr>
            <w:r w:rsidRPr="001A4436">
              <w:rPr>
                <w:sz w:val="18"/>
                <w:szCs w:val="20"/>
              </w:rPr>
              <w:t>$</w:t>
            </w:r>
            <w:r w:rsidR="008B5B71">
              <w:rPr>
                <w:sz w:val="18"/>
                <w:szCs w:val="20"/>
              </w:rPr>
              <w:t>60</w:t>
            </w:r>
            <w:r w:rsidRPr="001A4436">
              <w:rPr>
                <w:sz w:val="18"/>
                <w:szCs w:val="20"/>
              </w:rPr>
              <w:t xml:space="preserve"> million</w:t>
            </w:r>
          </w:p>
        </w:tc>
      </w:tr>
      <w:tr w:rsidR="008B5B71" w14:paraId="17276AE2" w14:textId="7301DC3E" w:rsidTr="002836DA">
        <w:tc>
          <w:tcPr>
            <w:tcW w:w="2070" w:type="dxa"/>
          </w:tcPr>
          <w:p w14:paraId="25C2117C" w14:textId="75F64006" w:rsidR="00A412A7" w:rsidRPr="001A4436" w:rsidRDefault="00A412A7" w:rsidP="00D8321D">
            <w:pPr>
              <w:spacing w:after="60"/>
              <w:rPr>
                <w:sz w:val="18"/>
                <w:szCs w:val="20"/>
              </w:rPr>
            </w:pPr>
            <w:r w:rsidRPr="001A4436">
              <w:rPr>
                <w:sz w:val="18"/>
                <w:szCs w:val="20"/>
              </w:rPr>
              <w:t>Total Receipts</w:t>
            </w:r>
          </w:p>
        </w:tc>
        <w:tc>
          <w:tcPr>
            <w:tcW w:w="2160" w:type="dxa"/>
          </w:tcPr>
          <w:p w14:paraId="21259272" w14:textId="3B563323" w:rsidR="00A412A7" w:rsidRPr="001A4436" w:rsidRDefault="00A412A7" w:rsidP="001A4436">
            <w:pPr>
              <w:spacing w:after="60"/>
              <w:jc w:val="right"/>
              <w:rPr>
                <w:sz w:val="18"/>
                <w:szCs w:val="20"/>
              </w:rPr>
            </w:pPr>
            <w:r w:rsidRPr="001A4436">
              <w:rPr>
                <w:sz w:val="18"/>
                <w:szCs w:val="20"/>
              </w:rPr>
              <w:t>$</w:t>
            </w:r>
            <w:r w:rsidR="00043084" w:rsidRPr="001A4436">
              <w:rPr>
                <w:sz w:val="18"/>
                <w:szCs w:val="20"/>
              </w:rPr>
              <w:t>100</w:t>
            </w:r>
            <w:r w:rsidRPr="001A4436">
              <w:rPr>
                <w:sz w:val="18"/>
                <w:szCs w:val="20"/>
              </w:rPr>
              <w:t xml:space="preserve"> million</w:t>
            </w:r>
          </w:p>
        </w:tc>
        <w:tc>
          <w:tcPr>
            <w:tcW w:w="2070" w:type="dxa"/>
          </w:tcPr>
          <w:p w14:paraId="396FF56F" w14:textId="5E3D2665" w:rsidR="00A412A7" w:rsidRPr="001A4436" w:rsidRDefault="00A412A7" w:rsidP="001A4436">
            <w:pPr>
              <w:spacing w:after="60"/>
              <w:jc w:val="right"/>
              <w:rPr>
                <w:sz w:val="18"/>
                <w:szCs w:val="20"/>
              </w:rPr>
            </w:pPr>
            <w:r w:rsidRPr="001A4436">
              <w:rPr>
                <w:sz w:val="18"/>
                <w:szCs w:val="20"/>
              </w:rPr>
              <w:t>$</w:t>
            </w:r>
            <w:r w:rsidR="008B5B71">
              <w:rPr>
                <w:sz w:val="18"/>
                <w:szCs w:val="20"/>
              </w:rPr>
              <w:t>1</w:t>
            </w:r>
            <w:r w:rsidRPr="001A4436">
              <w:rPr>
                <w:sz w:val="18"/>
                <w:szCs w:val="20"/>
              </w:rPr>
              <w:t>00 million</w:t>
            </w:r>
          </w:p>
        </w:tc>
        <w:tc>
          <w:tcPr>
            <w:tcW w:w="1800" w:type="dxa"/>
          </w:tcPr>
          <w:p w14:paraId="296B2DA9" w14:textId="2D2F2AD2" w:rsidR="00A412A7" w:rsidRPr="001A4436" w:rsidRDefault="00A412A7" w:rsidP="001A4436">
            <w:pPr>
              <w:spacing w:after="60"/>
              <w:jc w:val="right"/>
              <w:rPr>
                <w:sz w:val="18"/>
                <w:szCs w:val="20"/>
              </w:rPr>
            </w:pPr>
            <w:r w:rsidRPr="001A4436">
              <w:rPr>
                <w:sz w:val="18"/>
                <w:szCs w:val="20"/>
              </w:rPr>
              <w:t>$</w:t>
            </w:r>
            <w:r w:rsidR="008B5B71">
              <w:rPr>
                <w:sz w:val="18"/>
                <w:szCs w:val="20"/>
              </w:rPr>
              <w:t>2</w:t>
            </w:r>
            <w:r w:rsidRPr="001A4436">
              <w:rPr>
                <w:sz w:val="18"/>
                <w:szCs w:val="20"/>
              </w:rPr>
              <w:t>00 million</w:t>
            </w:r>
          </w:p>
        </w:tc>
      </w:tr>
    </w:tbl>
    <w:p w14:paraId="7EB3879A" w14:textId="0B13CD1A" w:rsidR="002836DA" w:rsidRDefault="00BA1515" w:rsidP="00366E17">
      <w:pPr>
        <w:pStyle w:val="ListParagraph"/>
        <w:numPr>
          <w:ilvl w:val="0"/>
          <w:numId w:val="60"/>
        </w:numPr>
        <w:spacing w:before="240" w:after="120"/>
        <w:contextualSpacing w:val="0"/>
      </w:pPr>
      <w:r>
        <w:t xml:space="preserve">For simplicity—assume </w:t>
      </w:r>
      <w:r w:rsidR="006E3381">
        <w:t>Corp</w:t>
      </w:r>
      <w:r>
        <w:t xml:space="preserve"> has no receipts</w:t>
      </w:r>
      <w:r w:rsidR="002836DA">
        <w:t xml:space="preserve"> or income</w:t>
      </w:r>
      <w:r>
        <w:t xml:space="preserve"> of its own. </w:t>
      </w:r>
    </w:p>
    <w:p w14:paraId="4001AF16" w14:textId="2BB98FDC" w:rsidR="00A412A7" w:rsidRDefault="00A412A7" w:rsidP="006E3381">
      <w:pPr>
        <w:spacing w:after="240"/>
        <w:ind w:left="288"/>
      </w:pPr>
      <w:r>
        <w:t xml:space="preserve">The question is how </w:t>
      </w:r>
      <w:r w:rsidR="006E3381">
        <w:t>Corp</w:t>
      </w:r>
      <w:r w:rsidR="002836DA">
        <w:t xml:space="preserve"> would blend</w:t>
      </w:r>
      <w:r>
        <w:t xml:space="preserve"> Partnership’s </w:t>
      </w:r>
      <w:r w:rsidR="002836DA">
        <w:t xml:space="preserve">income and receipts. </w:t>
      </w:r>
      <w:r w:rsidR="0089104D">
        <w:t>The possible options are:</w:t>
      </w:r>
      <w:r>
        <w:t xml:space="preserve"> </w:t>
      </w:r>
    </w:p>
    <w:p w14:paraId="79B915B7" w14:textId="65A5CE26" w:rsidR="008B5B71" w:rsidRDefault="003E3DF7" w:rsidP="00366E17">
      <w:pPr>
        <w:pStyle w:val="ListParagraph"/>
        <w:numPr>
          <w:ilvl w:val="0"/>
          <w:numId w:val="55"/>
        </w:numPr>
        <w:spacing w:after="80"/>
        <w:ind w:left="648"/>
        <w:contextualSpacing w:val="0"/>
      </w:pPr>
      <w:r>
        <w:t xml:space="preserve">Method I: </w:t>
      </w:r>
      <w:r w:rsidR="008B5B71">
        <w:t xml:space="preserve">Determine receipts </w:t>
      </w:r>
      <w:r>
        <w:t>using</w:t>
      </w:r>
      <w:r w:rsidR="008B5B71">
        <w:t xml:space="preserve"> average </w:t>
      </w:r>
      <w:r w:rsidR="002836DA">
        <w:t>distributive share</w:t>
      </w:r>
      <w:r w:rsidR="008B5B71">
        <w:t>:</w:t>
      </w:r>
    </w:p>
    <w:p w14:paraId="2946CAF3" w14:textId="082CF0D3" w:rsidR="006E3381" w:rsidRDefault="006E3381" w:rsidP="006E3381">
      <w:pPr>
        <w:pStyle w:val="ListParagraph"/>
        <w:spacing w:after="80"/>
        <w:ind w:left="648"/>
        <w:contextualSpacing w:val="0"/>
      </w:pPr>
      <w:r>
        <w:t>Corp</w:t>
      </w:r>
      <w:r w:rsidR="0089104D">
        <w:t xml:space="preserve"> </w:t>
      </w:r>
      <w:r w:rsidR="008B5B71">
        <w:t xml:space="preserve">would calculate the share of factors to include </w:t>
      </w:r>
      <w:r>
        <w:t xml:space="preserve">using the </w:t>
      </w:r>
      <w:r w:rsidR="008B5B71">
        <w:t xml:space="preserve">average ratio of </w:t>
      </w:r>
      <w:r>
        <w:t xml:space="preserve">its </w:t>
      </w:r>
      <w:r w:rsidR="0089104D">
        <w:t>total distributive share income divided by Partnership’s total income</w:t>
      </w:r>
      <w:r w:rsidR="008B5B71">
        <w:t xml:space="preserve"> </w:t>
      </w:r>
      <w:r>
        <w:t>=</w:t>
      </w:r>
      <w:r w:rsidR="0014031B">
        <w:t xml:space="preserve"> </w:t>
      </w:r>
      <w:r w:rsidR="008B5B71">
        <w:t>$12 million ÷</w:t>
      </w:r>
      <w:r w:rsidR="0089104D">
        <w:t xml:space="preserve"> </w:t>
      </w:r>
      <w:r w:rsidR="008B5B71">
        <w:t xml:space="preserve">$40 million </w:t>
      </w:r>
      <w:r w:rsidR="0089104D">
        <w:t xml:space="preserve">= </w:t>
      </w:r>
      <w:r w:rsidR="0014031B">
        <w:t>3</w:t>
      </w:r>
      <w:r w:rsidR="0089104D">
        <w:t xml:space="preserve">0%. </w:t>
      </w:r>
    </w:p>
    <w:p w14:paraId="7B90DF13" w14:textId="40911678" w:rsidR="006E3381" w:rsidRDefault="006E3381" w:rsidP="006E3381">
      <w:pPr>
        <w:pStyle w:val="ListParagraph"/>
        <w:spacing w:after="80"/>
        <w:ind w:left="648"/>
        <w:contextualSpacing w:val="0"/>
      </w:pPr>
      <w:r>
        <w:t>Corp</w:t>
      </w:r>
      <w:r w:rsidR="0089104D">
        <w:t xml:space="preserve"> would include </w:t>
      </w:r>
      <w:r w:rsidR="0014031B">
        <w:t>3</w:t>
      </w:r>
      <w:r w:rsidR="0089104D">
        <w:t xml:space="preserve">0% of </w:t>
      </w:r>
      <w:r>
        <w:t>total Partnership</w:t>
      </w:r>
      <w:r w:rsidR="002836DA">
        <w:t xml:space="preserve"> </w:t>
      </w:r>
      <w:r>
        <w:t xml:space="preserve">factors - </w:t>
      </w:r>
      <w:r w:rsidR="002836DA">
        <w:t>$18 million</w:t>
      </w:r>
      <w:r>
        <w:t xml:space="preserve"> (30% of $60 million)</w:t>
      </w:r>
      <w:r w:rsidR="002836DA">
        <w:t xml:space="preserve"> </w:t>
      </w:r>
      <w:r w:rsidR="0014031B">
        <w:t>÷ $60 million</w:t>
      </w:r>
      <w:r>
        <w:t xml:space="preserve"> (30% of $200 million</w:t>
      </w:r>
      <w:r w:rsidR="002836DA">
        <w:t>)</w:t>
      </w:r>
      <w:r>
        <w:t xml:space="preserve"> = </w:t>
      </w:r>
      <w:r w:rsidR="002836DA">
        <w:t xml:space="preserve"> </w:t>
      </w:r>
      <w:r>
        <w:t>30%</w:t>
      </w:r>
    </w:p>
    <w:p w14:paraId="17D512DE" w14:textId="1B422EE1" w:rsidR="0089104D" w:rsidRDefault="006E3381" w:rsidP="006E3381">
      <w:pPr>
        <w:pStyle w:val="ListParagraph"/>
        <w:spacing w:after="240"/>
        <w:ind w:left="648"/>
        <w:contextualSpacing w:val="0"/>
      </w:pPr>
      <w:r>
        <w:t xml:space="preserve">Corp’s State X income would be 30% of $12 million = </w:t>
      </w:r>
      <w:r w:rsidR="002836DA">
        <w:t>$3.6 million.</w:t>
      </w:r>
    </w:p>
    <w:p w14:paraId="271CE307" w14:textId="49FD00FF" w:rsidR="0014031B" w:rsidRDefault="003E3DF7" w:rsidP="00366E17">
      <w:pPr>
        <w:pStyle w:val="ListParagraph"/>
        <w:numPr>
          <w:ilvl w:val="0"/>
          <w:numId w:val="55"/>
        </w:numPr>
        <w:spacing w:after="80"/>
        <w:ind w:left="648"/>
        <w:contextualSpacing w:val="0"/>
      </w:pPr>
      <w:r>
        <w:t xml:space="preserve">Method 2: </w:t>
      </w:r>
      <w:r w:rsidR="0014031B">
        <w:t xml:space="preserve">Determine receipts </w:t>
      </w:r>
      <w:r>
        <w:t xml:space="preserve">using distributive </w:t>
      </w:r>
      <w:r w:rsidR="0089104D">
        <w:t>share</w:t>
      </w:r>
      <w:r w:rsidR="0014031B">
        <w:t xml:space="preserve"> of each business</w:t>
      </w:r>
      <w:r>
        <w:t>’s income</w:t>
      </w:r>
      <w:r w:rsidR="0014031B">
        <w:t>:</w:t>
      </w:r>
    </w:p>
    <w:p w14:paraId="1610AAE4" w14:textId="6B2919F9" w:rsidR="00D8321D" w:rsidRDefault="006E3381" w:rsidP="002836DA">
      <w:pPr>
        <w:pStyle w:val="ListParagraph"/>
        <w:spacing w:after="120"/>
        <w:ind w:left="648"/>
        <w:contextualSpacing w:val="0"/>
      </w:pPr>
      <w:r>
        <w:t>Corp</w:t>
      </w:r>
      <w:r w:rsidR="0014031B">
        <w:t xml:space="preserve"> would use its share of income from consulting (20%) and its share of income from product development (60%) to separately determine its share of receipts from those businesses. </w:t>
      </w:r>
    </w:p>
    <w:tbl>
      <w:tblPr>
        <w:tblStyle w:val="TableGrid"/>
        <w:tblW w:w="0" w:type="auto"/>
        <w:tblInd w:w="355" w:type="dxa"/>
        <w:tblLook w:val="04A0" w:firstRow="1" w:lastRow="0" w:firstColumn="1" w:lastColumn="0" w:noHBand="0" w:noVBand="1"/>
      </w:tblPr>
      <w:tblGrid>
        <w:gridCol w:w="1800"/>
        <w:gridCol w:w="1350"/>
        <w:gridCol w:w="1260"/>
        <w:gridCol w:w="1260"/>
        <w:gridCol w:w="1260"/>
        <w:gridCol w:w="1260"/>
      </w:tblGrid>
      <w:tr w:rsidR="00BA1515" w:rsidRPr="001A4436" w14:paraId="6C0057E8" w14:textId="52B97571" w:rsidTr="00EC7218">
        <w:tc>
          <w:tcPr>
            <w:tcW w:w="1800" w:type="dxa"/>
          </w:tcPr>
          <w:p w14:paraId="04B5796E" w14:textId="77777777" w:rsidR="00BA1515" w:rsidRPr="001A4436" w:rsidRDefault="00BA1515" w:rsidP="00F33047">
            <w:pPr>
              <w:spacing w:after="60"/>
              <w:rPr>
                <w:sz w:val="18"/>
                <w:szCs w:val="20"/>
              </w:rPr>
            </w:pPr>
          </w:p>
        </w:tc>
        <w:tc>
          <w:tcPr>
            <w:tcW w:w="1350" w:type="dxa"/>
          </w:tcPr>
          <w:p w14:paraId="41003286" w14:textId="32D87877" w:rsidR="00BA1515" w:rsidRPr="001A4436" w:rsidRDefault="00BA1515" w:rsidP="00F33047">
            <w:pPr>
              <w:spacing w:after="60"/>
              <w:jc w:val="right"/>
              <w:rPr>
                <w:sz w:val="18"/>
                <w:szCs w:val="20"/>
              </w:rPr>
            </w:pPr>
            <w:r w:rsidRPr="001A4436">
              <w:rPr>
                <w:sz w:val="18"/>
                <w:szCs w:val="20"/>
              </w:rPr>
              <w:t xml:space="preserve">Technology </w:t>
            </w:r>
            <w:r>
              <w:rPr>
                <w:sz w:val="18"/>
                <w:szCs w:val="20"/>
              </w:rPr>
              <w:br/>
            </w:r>
            <w:r w:rsidRPr="001A4436">
              <w:rPr>
                <w:sz w:val="18"/>
                <w:szCs w:val="20"/>
              </w:rPr>
              <w:t>Consulting</w:t>
            </w:r>
          </w:p>
        </w:tc>
        <w:tc>
          <w:tcPr>
            <w:tcW w:w="1260" w:type="dxa"/>
          </w:tcPr>
          <w:p w14:paraId="0D3599F7" w14:textId="54C44DFC" w:rsidR="00BA1515" w:rsidRPr="001A4436" w:rsidRDefault="003E3DF7" w:rsidP="00F33047">
            <w:pPr>
              <w:spacing w:after="60"/>
              <w:jc w:val="right"/>
              <w:rPr>
                <w:sz w:val="18"/>
                <w:szCs w:val="20"/>
              </w:rPr>
            </w:pPr>
            <w:r>
              <w:rPr>
                <w:sz w:val="18"/>
                <w:szCs w:val="20"/>
              </w:rPr>
              <w:t>Corp</w:t>
            </w:r>
            <w:r w:rsidR="00BA1515">
              <w:rPr>
                <w:sz w:val="18"/>
                <w:szCs w:val="20"/>
              </w:rPr>
              <w:t>’s Share</w:t>
            </w:r>
            <w:r w:rsidR="00BA1515">
              <w:rPr>
                <w:sz w:val="18"/>
                <w:szCs w:val="20"/>
              </w:rPr>
              <w:br/>
              <w:t>(20%)</w:t>
            </w:r>
          </w:p>
        </w:tc>
        <w:tc>
          <w:tcPr>
            <w:tcW w:w="1260" w:type="dxa"/>
          </w:tcPr>
          <w:p w14:paraId="3F9F160C" w14:textId="78C4AAF3" w:rsidR="00BA1515" w:rsidRPr="001A4436" w:rsidRDefault="00BA1515" w:rsidP="0014031B">
            <w:pPr>
              <w:spacing w:after="60"/>
              <w:jc w:val="right"/>
              <w:rPr>
                <w:sz w:val="18"/>
                <w:szCs w:val="20"/>
              </w:rPr>
            </w:pPr>
            <w:r w:rsidRPr="001A4436">
              <w:rPr>
                <w:sz w:val="18"/>
                <w:szCs w:val="20"/>
              </w:rPr>
              <w:t xml:space="preserve">Product </w:t>
            </w:r>
            <w:r>
              <w:rPr>
                <w:sz w:val="18"/>
                <w:szCs w:val="20"/>
              </w:rPr>
              <w:br/>
            </w:r>
            <w:r w:rsidRPr="001A4436">
              <w:rPr>
                <w:sz w:val="18"/>
                <w:szCs w:val="20"/>
              </w:rPr>
              <w:t>Development</w:t>
            </w:r>
          </w:p>
        </w:tc>
        <w:tc>
          <w:tcPr>
            <w:tcW w:w="1260" w:type="dxa"/>
          </w:tcPr>
          <w:p w14:paraId="551D9C41" w14:textId="47E3BA70" w:rsidR="00BA1515" w:rsidRPr="001A4436" w:rsidRDefault="003E3DF7" w:rsidP="00BA1515">
            <w:pPr>
              <w:spacing w:after="60"/>
              <w:jc w:val="right"/>
              <w:rPr>
                <w:sz w:val="18"/>
                <w:szCs w:val="20"/>
              </w:rPr>
            </w:pPr>
            <w:r>
              <w:rPr>
                <w:sz w:val="18"/>
                <w:szCs w:val="20"/>
              </w:rPr>
              <w:t>Corp</w:t>
            </w:r>
            <w:r w:rsidR="00BA1515">
              <w:rPr>
                <w:sz w:val="18"/>
                <w:szCs w:val="20"/>
              </w:rPr>
              <w:t>’s Share</w:t>
            </w:r>
            <w:r w:rsidR="00BA1515">
              <w:rPr>
                <w:sz w:val="18"/>
                <w:szCs w:val="20"/>
              </w:rPr>
              <w:br/>
              <w:t>(60%)</w:t>
            </w:r>
          </w:p>
        </w:tc>
        <w:tc>
          <w:tcPr>
            <w:tcW w:w="1260" w:type="dxa"/>
          </w:tcPr>
          <w:p w14:paraId="2FDB5AAD" w14:textId="4DB8FF4D" w:rsidR="00BA1515" w:rsidRDefault="003E3DF7" w:rsidP="00BA1515">
            <w:pPr>
              <w:spacing w:after="60"/>
              <w:jc w:val="right"/>
              <w:rPr>
                <w:sz w:val="18"/>
                <w:szCs w:val="20"/>
              </w:rPr>
            </w:pPr>
            <w:r>
              <w:rPr>
                <w:sz w:val="18"/>
                <w:szCs w:val="20"/>
              </w:rPr>
              <w:t>Corp</w:t>
            </w:r>
            <w:r w:rsidR="00BA1515">
              <w:rPr>
                <w:sz w:val="18"/>
                <w:szCs w:val="20"/>
              </w:rPr>
              <w:t xml:space="preserve">’s Total </w:t>
            </w:r>
            <w:r w:rsidR="00BA1515">
              <w:rPr>
                <w:sz w:val="18"/>
                <w:szCs w:val="20"/>
              </w:rPr>
              <w:br/>
              <w:t>Factors</w:t>
            </w:r>
          </w:p>
        </w:tc>
      </w:tr>
      <w:tr w:rsidR="00BA1515" w:rsidRPr="001A4436" w14:paraId="47C7C1C2" w14:textId="10E1FA7A" w:rsidTr="00EC7218">
        <w:tc>
          <w:tcPr>
            <w:tcW w:w="1800" w:type="dxa"/>
          </w:tcPr>
          <w:p w14:paraId="31ADA01C" w14:textId="77777777" w:rsidR="00BA1515" w:rsidRPr="001A4436" w:rsidRDefault="00BA1515" w:rsidP="00F33047">
            <w:pPr>
              <w:spacing w:after="60"/>
              <w:rPr>
                <w:sz w:val="18"/>
                <w:szCs w:val="20"/>
              </w:rPr>
            </w:pPr>
            <w:r w:rsidRPr="001A4436">
              <w:rPr>
                <w:sz w:val="18"/>
                <w:szCs w:val="20"/>
              </w:rPr>
              <w:t>Receipts in State X</w:t>
            </w:r>
          </w:p>
        </w:tc>
        <w:tc>
          <w:tcPr>
            <w:tcW w:w="1350" w:type="dxa"/>
          </w:tcPr>
          <w:p w14:paraId="6CE42CD5" w14:textId="77777777" w:rsidR="00BA1515" w:rsidRPr="001A4436" w:rsidRDefault="00BA1515" w:rsidP="00F33047">
            <w:pPr>
              <w:spacing w:after="60"/>
              <w:jc w:val="right"/>
              <w:rPr>
                <w:sz w:val="18"/>
                <w:szCs w:val="20"/>
              </w:rPr>
            </w:pPr>
            <w:r w:rsidRPr="001A4436">
              <w:rPr>
                <w:sz w:val="18"/>
                <w:szCs w:val="20"/>
              </w:rPr>
              <w:t>$</w:t>
            </w:r>
            <w:r>
              <w:rPr>
                <w:sz w:val="18"/>
                <w:szCs w:val="20"/>
              </w:rPr>
              <w:t>50</w:t>
            </w:r>
            <w:r w:rsidRPr="001A4436">
              <w:rPr>
                <w:sz w:val="18"/>
                <w:szCs w:val="20"/>
              </w:rPr>
              <w:t xml:space="preserve"> million</w:t>
            </w:r>
          </w:p>
        </w:tc>
        <w:tc>
          <w:tcPr>
            <w:tcW w:w="1260" w:type="dxa"/>
          </w:tcPr>
          <w:p w14:paraId="6FA5C15B" w14:textId="762C6488" w:rsidR="00BA1515" w:rsidRPr="001A4436" w:rsidRDefault="00BA1515" w:rsidP="00F33047">
            <w:pPr>
              <w:spacing w:after="60"/>
              <w:jc w:val="right"/>
              <w:rPr>
                <w:sz w:val="18"/>
                <w:szCs w:val="20"/>
              </w:rPr>
            </w:pPr>
            <w:r>
              <w:rPr>
                <w:sz w:val="18"/>
                <w:szCs w:val="20"/>
              </w:rPr>
              <w:t>$10 million</w:t>
            </w:r>
          </w:p>
        </w:tc>
        <w:tc>
          <w:tcPr>
            <w:tcW w:w="1260" w:type="dxa"/>
          </w:tcPr>
          <w:p w14:paraId="0898DF58" w14:textId="156F7344" w:rsidR="00BA1515" w:rsidRPr="001A4436" w:rsidRDefault="00BA1515" w:rsidP="00F33047">
            <w:pPr>
              <w:spacing w:after="60"/>
              <w:jc w:val="right"/>
              <w:rPr>
                <w:sz w:val="18"/>
                <w:szCs w:val="20"/>
              </w:rPr>
            </w:pPr>
            <w:r w:rsidRPr="001A4436">
              <w:rPr>
                <w:sz w:val="18"/>
                <w:szCs w:val="20"/>
              </w:rPr>
              <w:t>$</w:t>
            </w:r>
            <w:r>
              <w:rPr>
                <w:sz w:val="18"/>
                <w:szCs w:val="20"/>
              </w:rPr>
              <w:t>1</w:t>
            </w:r>
            <w:r w:rsidRPr="001A4436">
              <w:rPr>
                <w:sz w:val="18"/>
                <w:szCs w:val="20"/>
              </w:rPr>
              <w:t>0 million</w:t>
            </w:r>
          </w:p>
        </w:tc>
        <w:tc>
          <w:tcPr>
            <w:tcW w:w="1260" w:type="dxa"/>
          </w:tcPr>
          <w:p w14:paraId="6BBCDF19" w14:textId="09AA8110" w:rsidR="00BA1515" w:rsidRPr="001A4436" w:rsidRDefault="00BA1515" w:rsidP="00F33047">
            <w:pPr>
              <w:spacing w:after="60"/>
              <w:jc w:val="right"/>
              <w:rPr>
                <w:sz w:val="18"/>
                <w:szCs w:val="20"/>
              </w:rPr>
            </w:pPr>
            <w:r>
              <w:rPr>
                <w:sz w:val="18"/>
                <w:szCs w:val="20"/>
              </w:rPr>
              <w:t>$6 million</w:t>
            </w:r>
          </w:p>
        </w:tc>
        <w:tc>
          <w:tcPr>
            <w:tcW w:w="1260" w:type="dxa"/>
          </w:tcPr>
          <w:p w14:paraId="4852D07E" w14:textId="468A728E" w:rsidR="00BA1515" w:rsidRDefault="00BA1515" w:rsidP="00F33047">
            <w:pPr>
              <w:spacing w:after="60"/>
              <w:jc w:val="right"/>
              <w:rPr>
                <w:sz w:val="18"/>
                <w:szCs w:val="20"/>
              </w:rPr>
            </w:pPr>
            <w:r>
              <w:rPr>
                <w:sz w:val="18"/>
                <w:szCs w:val="20"/>
              </w:rPr>
              <w:t>$16 million</w:t>
            </w:r>
          </w:p>
        </w:tc>
      </w:tr>
      <w:tr w:rsidR="00BA1515" w:rsidRPr="001A4436" w14:paraId="1FCA9A3E" w14:textId="1671E7E3" w:rsidTr="00EC7218">
        <w:tc>
          <w:tcPr>
            <w:tcW w:w="1800" w:type="dxa"/>
          </w:tcPr>
          <w:p w14:paraId="55611D18" w14:textId="77777777" w:rsidR="00BA1515" w:rsidRPr="001A4436" w:rsidRDefault="00BA1515" w:rsidP="00F33047">
            <w:pPr>
              <w:spacing w:after="60"/>
              <w:rPr>
                <w:sz w:val="18"/>
                <w:szCs w:val="20"/>
              </w:rPr>
            </w:pPr>
            <w:r w:rsidRPr="001A4436">
              <w:rPr>
                <w:sz w:val="18"/>
                <w:szCs w:val="20"/>
              </w:rPr>
              <w:t>Total Receipts</w:t>
            </w:r>
          </w:p>
        </w:tc>
        <w:tc>
          <w:tcPr>
            <w:tcW w:w="1350" w:type="dxa"/>
          </w:tcPr>
          <w:p w14:paraId="09A617F6" w14:textId="77777777" w:rsidR="00BA1515" w:rsidRPr="001A4436" w:rsidRDefault="00BA1515" w:rsidP="00F33047">
            <w:pPr>
              <w:spacing w:after="60"/>
              <w:jc w:val="right"/>
              <w:rPr>
                <w:sz w:val="18"/>
                <w:szCs w:val="20"/>
              </w:rPr>
            </w:pPr>
            <w:r w:rsidRPr="001A4436">
              <w:rPr>
                <w:sz w:val="18"/>
                <w:szCs w:val="20"/>
              </w:rPr>
              <w:t>$100 million</w:t>
            </w:r>
          </w:p>
        </w:tc>
        <w:tc>
          <w:tcPr>
            <w:tcW w:w="1260" w:type="dxa"/>
          </w:tcPr>
          <w:p w14:paraId="41BA6A68" w14:textId="7E317FA7" w:rsidR="00BA1515" w:rsidRPr="001A4436" w:rsidRDefault="00BA1515" w:rsidP="00F33047">
            <w:pPr>
              <w:spacing w:after="60"/>
              <w:jc w:val="right"/>
              <w:rPr>
                <w:sz w:val="18"/>
                <w:szCs w:val="20"/>
              </w:rPr>
            </w:pPr>
            <w:r>
              <w:rPr>
                <w:sz w:val="18"/>
                <w:szCs w:val="20"/>
              </w:rPr>
              <w:t>$20 million</w:t>
            </w:r>
          </w:p>
        </w:tc>
        <w:tc>
          <w:tcPr>
            <w:tcW w:w="1260" w:type="dxa"/>
          </w:tcPr>
          <w:p w14:paraId="43F1DD9B" w14:textId="0151FF43" w:rsidR="00BA1515" w:rsidRPr="001A4436" w:rsidRDefault="00BA1515" w:rsidP="00F33047">
            <w:pPr>
              <w:spacing w:after="60"/>
              <w:jc w:val="right"/>
              <w:rPr>
                <w:sz w:val="18"/>
                <w:szCs w:val="20"/>
              </w:rPr>
            </w:pPr>
            <w:r w:rsidRPr="001A4436">
              <w:rPr>
                <w:sz w:val="18"/>
                <w:szCs w:val="20"/>
              </w:rPr>
              <w:t>$</w:t>
            </w:r>
            <w:r>
              <w:rPr>
                <w:sz w:val="18"/>
                <w:szCs w:val="20"/>
              </w:rPr>
              <w:t>1</w:t>
            </w:r>
            <w:r w:rsidRPr="001A4436">
              <w:rPr>
                <w:sz w:val="18"/>
                <w:szCs w:val="20"/>
              </w:rPr>
              <w:t>00 million</w:t>
            </w:r>
          </w:p>
        </w:tc>
        <w:tc>
          <w:tcPr>
            <w:tcW w:w="1260" w:type="dxa"/>
          </w:tcPr>
          <w:p w14:paraId="30CF67B7" w14:textId="72008D2B" w:rsidR="00BA1515" w:rsidRPr="001A4436" w:rsidRDefault="00BA1515" w:rsidP="00F33047">
            <w:pPr>
              <w:spacing w:after="60"/>
              <w:jc w:val="right"/>
              <w:rPr>
                <w:sz w:val="18"/>
                <w:szCs w:val="20"/>
              </w:rPr>
            </w:pPr>
            <w:r>
              <w:rPr>
                <w:sz w:val="18"/>
                <w:szCs w:val="20"/>
              </w:rPr>
              <w:t>$60 million</w:t>
            </w:r>
          </w:p>
        </w:tc>
        <w:tc>
          <w:tcPr>
            <w:tcW w:w="1260" w:type="dxa"/>
          </w:tcPr>
          <w:p w14:paraId="2AD9AF88" w14:textId="77B0CC31" w:rsidR="00BA1515" w:rsidRDefault="00BA1515" w:rsidP="00F33047">
            <w:pPr>
              <w:spacing w:after="60"/>
              <w:jc w:val="right"/>
              <w:rPr>
                <w:sz w:val="18"/>
                <w:szCs w:val="20"/>
              </w:rPr>
            </w:pPr>
            <w:r>
              <w:rPr>
                <w:sz w:val="18"/>
                <w:szCs w:val="20"/>
              </w:rPr>
              <w:t>$80 million</w:t>
            </w:r>
          </w:p>
        </w:tc>
      </w:tr>
      <w:tr w:rsidR="00BA1515" w:rsidRPr="001A4436" w14:paraId="7B3B86E8" w14:textId="76715472" w:rsidTr="00EC7218">
        <w:tc>
          <w:tcPr>
            <w:tcW w:w="1800" w:type="dxa"/>
          </w:tcPr>
          <w:p w14:paraId="6B39811D" w14:textId="100CCA32" w:rsidR="00BA1515" w:rsidRPr="001A4436" w:rsidRDefault="006E3381" w:rsidP="00F33047">
            <w:pPr>
              <w:spacing w:after="60"/>
              <w:rPr>
                <w:sz w:val="18"/>
                <w:szCs w:val="20"/>
              </w:rPr>
            </w:pPr>
            <w:r>
              <w:rPr>
                <w:sz w:val="18"/>
                <w:szCs w:val="20"/>
              </w:rPr>
              <w:t>Corp’</w:t>
            </w:r>
            <w:r w:rsidR="00BA1515">
              <w:rPr>
                <w:sz w:val="18"/>
                <w:szCs w:val="20"/>
              </w:rPr>
              <w:t>’s Factors</w:t>
            </w:r>
          </w:p>
        </w:tc>
        <w:tc>
          <w:tcPr>
            <w:tcW w:w="1350" w:type="dxa"/>
          </w:tcPr>
          <w:p w14:paraId="181B1E4A" w14:textId="77777777" w:rsidR="00BA1515" w:rsidRPr="001A4436" w:rsidRDefault="00BA1515" w:rsidP="00F33047">
            <w:pPr>
              <w:spacing w:after="60"/>
              <w:jc w:val="right"/>
              <w:rPr>
                <w:sz w:val="18"/>
                <w:szCs w:val="20"/>
              </w:rPr>
            </w:pPr>
          </w:p>
        </w:tc>
        <w:tc>
          <w:tcPr>
            <w:tcW w:w="1260" w:type="dxa"/>
          </w:tcPr>
          <w:p w14:paraId="6365ADF6" w14:textId="69EFECFF" w:rsidR="00BA1515" w:rsidRDefault="00BA1515" w:rsidP="00F33047">
            <w:pPr>
              <w:spacing w:after="60"/>
              <w:jc w:val="right"/>
              <w:rPr>
                <w:sz w:val="18"/>
                <w:szCs w:val="20"/>
              </w:rPr>
            </w:pPr>
            <w:r>
              <w:rPr>
                <w:sz w:val="18"/>
                <w:szCs w:val="20"/>
              </w:rPr>
              <w:t>50%</w:t>
            </w:r>
          </w:p>
        </w:tc>
        <w:tc>
          <w:tcPr>
            <w:tcW w:w="1260" w:type="dxa"/>
          </w:tcPr>
          <w:p w14:paraId="4ECF8F3B" w14:textId="54966CBC" w:rsidR="00BA1515" w:rsidRPr="001A4436" w:rsidRDefault="00BA1515" w:rsidP="00F33047">
            <w:pPr>
              <w:spacing w:after="60"/>
              <w:jc w:val="right"/>
              <w:rPr>
                <w:sz w:val="18"/>
                <w:szCs w:val="20"/>
              </w:rPr>
            </w:pPr>
          </w:p>
        </w:tc>
        <w:tc>
          <w:tcPr>
            <w:tcW w:w="1260" w:type="dxa"/>
          </w:tcPr>
          <w:p w14:paraId="0BB6B49C" w14:textId="4D33B7BB" w:rsidR="00BA1515" w:rsidRDefault="00BA1515" w:rsidP="00F33047">
            <w:pPr>
              <w:spacing w:after="60"/>
              <w:jc w:val="right"/>
              <w:rPr>
                <w:sz w:val="18"/>
                <w:szCs w:val="20"/>
              </w:rPr>
            </w:pPr>
            <w:r>
              <w:rPr>
                <w:sz w:val="18"/>
                <w:szCs w:val="20"/>
              </w:rPr>
              <w:t>10%</w:t>
            </w:r>
          </w:p>
        </w:tc>
        <w:tc>
          <w:tcPr>
            <w:tcW w:w="1260" w:type="dxa"/>
          </w:tcPr>
          <w:p w14:paraId="74C18250" w14:textId="2B39E32D" w:rsidR="00BA1515" w:rsidRDefault="00BA1515" w:rsidP="00F33047">
            <w:pPr>
              <w:spacing w:after="60"/>
              <w:jc w:val="right"/>
              <w:rPr>
                <w:sz w:val="18"/>
                <w:szCs w:val="20"/>
              </w:rPr>
            </w:pPr>
            <w:r>
              <w:rPr>
                <w:sz w:val="18"/>
                <w:szCs w:val="20"/>
              </w:rPr>
              <w:t>20%</w:t>
            </w:r>
          </w:p>
        </w:tc>
      </w:tr>
    </w:tbl>
    <w:p w14:paraId="78E3C5E3" w14:textId="77777777" w:rsidR="0089104D" w:rsidRDefault="0089104D" w:rsidP="0089104D">
      <w:pPr>
        <w:pStyle w:val="ListParagraph"/>
        <w:spacing w:after="60"/>
        <w:ind w:left="648"/>
      </w:pPr>
    </w:p>
    <w:p w14:paraId="64009CFD" w14:textId="471BA791" w:rsidR="002836DA" w:rsidRDefault="003E3DF7" w:rsidP="0089104D">
      <w:pPr>
        <w:pStyle w:val="ListParagraph"/>
        <w:spacing w:after="60"/>
        <w:ind w:left="648"/>
      </w:pPr>
      <w:r>
        <w:t>Corp’s State X income would be:</w:t>
      </w:r>
      <w:r w:rsidR="006E3381">
        <w:t xml:space="preserve"> </w:t>
      </w:r>
      <w:r w:rsidR="002836DA">
        <w:t xml:space="preserve">20% </w:t>
      </w:r>
      <w:r>
        <w:t>of</w:t>
      </w:r>
      <w:r w:rsidR="002836DA">
        <w:t xml:space="preserve"> $12 million = $2.4 million. </w:t>
      </w:r>
    </w:p>
    <w:p w14:paraId="4A1076F3" w14:textId="7F6AD657" w:rsidR="003E3DF7" w:rsidRDefault="003E3DF7" w:rsidP="003E3DF7">
      <w:pPr>
        <w:spacing w:after="60"/>
      </w:pPr>
      <w:r>
        <w:t xml:space="preserve">Note that </w:t>
      </w:r>
      <w:r w:rsidR="009D1491">
        <w:t xml:space="preserve">under both </w:t>
      </w:r>
      <w:r w:rsidR="007662CE">
        <w:t xml:space="preserve">the </w:t>
      </w:r>
      <w:r w:rsidR="009D1491">
        <w:t>approaches</w:t>
      </w:r>
      <w:r w:rsidR="007662CE">
        <w:t xml:space="preserve"> above</w:t>
      </w:r>
      <w:r>
        <w:t xml:space="preserve">, the factor </w:t>
      </w:r>
      <w:r w:rsidR="007662CE">
        <w:t>would apply</w:t>
      </w:r>
      <w:r>
        <w:t xml:space="preserve"> to Corp’s total distributive share income. </w:t>
      </w:r>
    </w:p>
    <w:p w14:paraId="4C9E5D6E" w14:textId="5B0F98AB" w:rsidR="007662CE" w:rsidRDefault="007662CE" w:rsidP="007662CE">
      <w:r>
        <w:lastRenderedPageBreak/>
        <w:t xml:space="preserve">This example demonstrates that the result may be different depending on whether the share of partnership receipts for a partner to include in its factor is determined based on that partner’s total distributive share income from the partnership or whether the partner uses its distributive share of particular partnership items or income to determine its share of receipts related to that income. While the latter approach may seem more “accurate” in some sense, it is likely to be impractical for use in complex partnership structures and would require significant additional information reporting by the partnership. </w:t>
      </w:r>
    </w:p>
    <w:p w14:paraId="1A4A0883" w14:textId="715CFA3B" w:rsidR="007662CE" w:rsidRDefault="007662CE" w:rsidP="007662CE">
      <w:r>
        <w:t>In addition, this approach might be viewed as contrary to the unitary business principle—which relates the receipts or apportionment factors of the business to the net income from that business. Here, while the partnership may have internal books and records tracking the income from the different operations, these operations are still part of the partnership’s unitary business.</w:t>
      </w:r>
    </w:p>
    <w:p w14:paraId="594669EE" w14:textId="7C2961F7" w:rsidR="007662CE" w:rsidRDefault="007662CE" w:rsidP="007662CE">
      <w:r>
        <w:t>Nevertheless, there may be certain examples of special allocations that would demonstrate income is effectively being shifted for state tax reasons that are not related to any economic purpose or differences in economic results for the partner. These situations might be better addressed by anti-abuse rules, discussed further in subsection II.E. below.</w:t>
      </w:r>
    </w:p>
    <w:p w14:paraId="1F0C25C5" w14:textId="77777777" w:rsidR="003E3DF7" w:rsidRDefault="003E3DF7" w:rsidP="003E3DF7">
      <w:pPr>
        <w:pStyle w:val="Heading4"/>
      </w:pPr>
      <w:r>
        <w:t>Built-in Gains (Losses)</w:t>
      </w:r>
    </w:p>
    <w:p w14:paraId="3011ACBE" w14:textId="6D56B4B9" w:rsidR="003E3DF7" w:rsidRDefault="009D1491" w:rsidP="003E3DF7">
      <w:pPr>
        <w:spacing w:after="120"/>
      </w:pPr>
      <w:r>
        <w:t xml:space="preserve">Mandatory allocations can raise issues similar to special allocations. </w:t>
      </w:r>
      <w:r w:rsidR="003E3DF7">
        <w:t xml:space="preserve">Under IRC 704(c), built-in gains (losses) on contributed property may be required to be allocated to the contributing partner if the </w:t>
      </w:r>
      <w:r>
        <w:t xml:space="preserve">contributed </w:t>
      </w:r>
      <w:r w:rsidR="003E3DF7">
        <w:t xml:space="preserve">property is later transferred by the partnership. This is to prevent partnerships from being used to effectively </w:t>
      </w:r>
      <w:r>
        <w:t>exchange</w:t>
      </w:r>
      <w:r w:rsidR="003E3DF7">
        <w:t xml:space="preserve"> property </w:t>
      </w:r>
      <w:r>
        <w:t xml:space="preserve">while </w:t>
      </w:r>
      <w:r w:rsidR="003E3DF7">
        <w:t>avoid</w:t>
      </w:r>
      <w:r>
        <w:t>ing</w:t>
      </w:r>
      <w:r w:rsidR="003E3DF7">
        <w:t xml:space="preserve"> recogni</w:t>
      </w:r>
      <w:r>
        <w:t>tion of</w:t>
      </w:r>
      <w:r w:rsidR="003E3DF7">
        <w:t xml:space="preserve"> accrued gains or to shift gains (losses) among partners. The state sourcing treatment of these built-in gains (losses) may be unclear and different approaches could have very different results.</w:t>
      </w:r>
    </w:p>
    <w:p w14:paraId="311CB503" w14:textId="77777777" w:rsidR="003E3DF7" w:rsidRDefault="003E3DF7" w:rsidP="003E3DF7">
      <w:pPr>
        <w:spacing w:after="60"/>
        <w:ind w:left="720"/>
      </w:pPr>
      <w:r>
        <w:t>For example, assume:</w:t>
      </w:r>
    </w:p>
    <w:p w14:paraId="35591293" w14:textId="77777777" w:rsidR="003E3DF7" w:rsidRDefault="003E3DF7" w:rsidP="00366E17">
      <w:pPr>
        <w:pStyle w:val="ListParagraph"/>
        <w:numPr>
          <w:ilvl w:val="0"/>
          <w:numId w:val="54"/>
        </w:numPr>
        <w:spacing w:after="60"/>
        <w:ind w:left="1080"/>
        <w:contextualSpacing w:val="0"/>
      </w:pPr>
      <w:r>
        <w:t xml:space="preserve">State A has an income tax and State B does not. </w:t>
      </w:r>
    </w:p>
    <w:p w14:paraId="0BBDFC17" w14:textId="513F22C6" w:rsidR="00B70267" w:rsidRDefault="00B70267" w:rsidP="00366E17">
      <w:pPr>
        <w:pStyle w:val="ListParagraph"/>
        <w:numPr>
          <w:ilvl w:val="0"/>
          <w:numId w:val="54"/>
        </w:numPr>
        <w:spacing w:after="60"/>
        <w:ind w:left="1080"/>
        <w:contextualSpacing w:val="0"/>
      </w:pPr>
      <w:r>
        <w:t>State A includes gains from sales of business assets in the receipts factor at net.</w:t>
      </w:r>
    </w:p>
    <w:p w14:paraId="352A6D1E" w14:textId="77777777" w:rsidR="003E3DF7" w:rsidRDefault="003E3DF7" w:rsidP="00366E17">
      <w:pPr>
        <w:pStyle w:val="ListParagraph"/>
        <w:numPr>
          <w:ilvl w:val="0"/>
          <w:numId w:val="54"/>
        </w:numPr>
        <w:spacing w:after="60"/>
        <w:ind w:left="1080"/>
        <w:contextualSpacing w:val="0"/>
      </w:pPr>
      <w:r>
        <w:t xml:space="preserve">Corp owns an office complex and other property in State A. </w:t>
      </w:r>
    </w:p>
    <w:p w14:paraId="37A8D7F7" w14:textId="77777777" w:rsidR="003E3DF7" w:rsidRDefault="003E3DF7" w:rsidP="00366E17">
      <w:pPr>
        <w:pStyle w:val="ListParagraph"/>
        <w:numPr>
          <w:ilvl w:val="0"/>
          <w:numId w:val="54"/>
        </w:numPr>
        <w:spacing w:after="60"/>
        <w:ind w:left="1080"/>
        <w:contextualSpacing w:val="0"/>
      </w:pPr>
      <w:r>
        <w:t>Partnership manages real property in State B.</w:t>
      </w:r>
    </w:p>
    <w:p w14:paraId="6371DDD1" w14:textId="77777777" w:rsidR="003E3DF7" w:rsidRDefault="003E3DF7" w:rsidP="00366E17">
      <w:pPr>
        <w:pStyle w:val="ListParagraph"/>
        <w:numPr>
          <w:ilvl w:val="0"/>
          <w:numId w:val="54"/>
        </w:numPr>
        <w:spacing w:after="60"/>
        <w:ind w:left="1080"/>
        <w:contextualSpacing w:val="0"/>
      </w:pPr>
      <w:r>
        <w:t>In YEAR 1:</w:t>
      </w:r>
    </w:p>
    <w:p w14:paraId="225798E2" w14:textId="77777777" w:rsidR="003E3DF7" w:rsidRDefault="003E3DF7" w:rsidP="00366E17">
      <w:pPr>
        <w:pStyle w:val="ListParagraph"/>
        <w:numPr>
          <w:ilvl w:val="2"/>
          <w:numId w:val="54"/>
        </w:numPr>
        <w:spacing w:after="60"/>
        <w:contextualSpacing w:val="0"/>
      </w:pPr>
      <w:r>
        <w:t>Corp contributes its office complex to Partnership and, at the point of contribution, it has a built-in gain of $100 million (none of which is recognized).</w:t>
      </w:r>
    </w:p>
    <w:p w14:paraId="1590D68B" w14:textId="27F6E947" w:rsidR="003E3DF7" w:rsidRDefault="003E3DF7" w:rsidP="00366E17">
      <w:pPr>
        <w:pStyle w:val="ListParagraph"/>
        <w:numPr>
          <w:ilvl w:val="2"/>
          <w:numId w:val="54"/>
        </w:numPr>
        <w:spacing w:after="60"/>
        <w:contextualSpacing w:val="0"/>
      </w:pPr>
      <w:r>
        <w:t>Partnership manage</w:t>
      </w:r>
      <w:r w:rsidR="009D1491">
        <w:t>s</w:t>
      </w:r>
      <w:r>
        <w:t xml:space="preserve"> the office complex as part of its properties.</w:t>
      </w:r>
    </w:p>
    <w:p w14:paraId="70834E10" w14:textId="77777777" w:rsidR="003E3DF7" w:rsidRDefault="003E3DF7" w:rsidP="00366E17">
      <w:pPr>
        <w:pStyle w:val="ListParagraph"/>
        <w:numPr>
          <w:ilvl w:val="2"/>
          <w:numId w:val="54"/>
        </w:numPr>
        <w:spacing w:after="60"/>
        <w:contextualSpacing w:val="0"/>
      </w:pPr>
      <w:r>
        <w:t>Corp has $100 million in total receipts and $50 million in State A.</w:t>
      </w:r>
    </w:p>
    <w:p w14:paraId="5EBB3CDA" w14:textId="1B634BD8" w:rsidR="009D1491" w:rsidRDefault="008D7C7D" w:rsidP="00366E17">
      <w:pPr>
        <w:pStyle w:val="ListParagraph"/>
        <w:numPr>
          <w:ilvl w:val="2"/>
          <w:numId w:val="54"/>
        </w:numPr>
        <w:spacing w:after="60"/>
        <w:contextualSpacing w:val="0"/>
      </w:pPr>
      <w:r>
        <w:t>Corp’s separate income = $0.</w:t>
      </w:r>
    </w:p>
    <w:p w14:paraId="7856A529" w14:textId="77777777" w:rsidR="003E3DF7" w:rsidRDefault="003E3DF7" w:rsidP="00366E17">
      <w:pPr>
        <w:pStyle w:val="ListParagraph"/>
        <w:numPr>
          <w:ilvl w:val="0"/>
          <w:numId w:val="54"/>
        </w:numPr>
        <w:spacing w:after="60"/>
        <w:ind w:left="1080"/>
        <w:contextualSpacing w:val="0"/>
      </w:pPr>
      <w:r>
        <w:t>In YEAR 3:</w:t>
      </w:r>
    </w:p>
    <w:p w14:paraId="2F0AFEB8" w14:textId="687A6FD8" w:rsidR="003E3DF7" w:rsidRDefault="003E3DF7" w:rsidP="00366E17">
      <w:pPr>
        <w:pStyle w:val="ListParagraph"/>
        <w:numPr>
          <w:ilvl w:val="2"/>
          <w:numId w:val="54"/>
        </w:numPr>
        <w:spacing w:after="60"/>
        <w:contextualSpacing w:val="0"/>
      </w:pPr>
      <w:r>
        <w:t xml:space="preserve">Partnership sells the </w:t>
      </w:r>
      <w:r w:rsidR="009D1491">
        <w:t>office complex</w:t>
      </w:r>
      <w:r>
        <w:t xml:space="preserve"> </w:t>
      </w:r>
      <w:r w:rsidR="009D1491">
        <w:t xml:space="preserve">in State A </w:t>
      </w:r>
      <w:r>
        <w:t>recognizing a $120 million gain.</w:t>
      </w:r>
    </w:p>
    <w:p w14:paraId="3EED1E2A" w14:textId="77777777" w:rsidR="008D7C7D" w:rsidRDefault="003E3DF7" w:rsidP="00366E17">
      <w:pPr>
        <w:pStyle w:val="ListParagraph"/>
        <w:numPr>
          <w:ilvl w:val="2"/>
          <w:numId w:val="54"/>
        </w:numPr>
        <w:spacing w:after="60"/>
        <w:contextualSpacing w:val="0"/>
      </w:pPr>
      <w:r>
        <w:t>Partnership</w:t>
      </w:r>
      <w:r w:rsidR="009D1491">
        <w:t>’s</w:t>
      </w:r>
      <w:r>
        <w:t xml:space="preserve"> </w:t>
      </w:r>
      <w:r w:rsidR="009D1491">
        <w:t>total</w:t>
      </w:r>
      <w:r>
        <w:t xml:space="preserve"> rents and gains </w:t>
      </w:r>
      <w:r w:rsidR="009D1491">
        <w:t>=</w:t>
      </w:r>
      <w:r>
        <w:t xml:space="preserve"> $1.2 billion</w:t>
      </w:r>
      <w:r w:rsidR="008D7C7D">
        <w:t xml:space="preserve"> </w:t>
      </w:r>
    </w:p>
    <w:p w14:paraId="53DAB72D" w14:textId="57C9A268" w:rsidR="003E3DF7" w:rsidRDefault="008D7C7D" w:rsidP="00366E17">
      <w:pPr>
        <w:pStyle w:val="ListParagraph"/>
        <w:numPr>
          <w:ilvl w:val="2"/>
          <w:numId w:val="54"/>
        </w:numPr>
        <w:spacing w:after="60"/>
        <w:contextualSpacing w:val="0"/>
      </w:pPr>
      <w:r>
        <w:t>Partnership’s total distributive share income = $200 million.</w:t>
      </w:r>
    </w:p>
    <w:p w14:paraId="4CF09FEC" w14:textId="50C7FF1D" w:rsidR="008D7C7D" w:rsidRDefault="008D7C7D" w:rsidP="00366E17">
      <w:pPr>
        <w:pStyle w:val="ListParagraph"/>
        <w:numPr>
          <w:ilvl w:val="2"/>
          <w:numId w:val="54"/>
        </w:numPr>
        <w:spacing w:after="60"/>
        <w:contextualSpacing w:val="0"/>
      </w:pPr>
      <w:r>
        <w:t xml:space="preserve">Corp is allocated the built-in gain of $100 million as required under IRC § 704(c) an its total distributive share income from Partnership is $150 million. </w:t>
      </w:r>
    </w:p>
    <w:p w14:paraId="08B22D7D" w14:textId="722E0182" w:rsidR="003E3DF7" w:rsidRDefault="003E3DF7" w:rsidP="00366E17">
      <w:pPr>
        <w:pStyle w:val="ListParagraph"/>
        <w:numPr>
          <w:ilvl w:val="2"/>
          <w:numId w:val="54"/>
        </w:numPr>
        <w:spacing w:after="60"/>
        <w:contextualSpacing w:val="0"/>
      </w:pPr>
      <w:r>
        <w:t xml:space="preserve">Corp has </w:t>
      </w:r>
      <w:r w:rsidR="008D7C7D">
        <w:t xml:space="preserve">other </w:t>
      </w:r>
      <w:r>
        <w:t>receipts of $100 million with $10 million in State A.</w:t>
      </w:r>
    </w:p>
    <w:p w14:paraId="22BD3482" w14:textId="68743D5E" w:rsidR="008D7C7D" w:rsidRDefault="008D7C7D" w:rsidP="00366E17">
      <w:pPr>
        <w:pStyle w:val="ListParagraph"/>
        <w:numPr>
          <w:ilvl w:val="2"/>
          <w:numId w:val="54"/>
        </w:numPr>
        <w:spacing w:after="60"/>
        <w:contextualSpacing w:val="0"/>
      </w:pPr>
      <w:r>
        <w:t>Corp’s separate income = $0.</w:t>
      </w:r>
    </w:p>
    <w:p w14:paraId="152B3D30" w14:textId="3C060E9D" w:rsidR="003E3DF7" w:rsidRDefault="003E3DF7" w:rsidP="003E3DF7">
      <w:pPr>
        <w:spacing w:after="120"/>
        <w:ind w:left="720"/>
      </w:pPr>
      <w:r>
        <w:t xml:space="preserve">Assuming the gain is generally considered apportionable income and State A uses a receipts factor which would generally include such gains, possible sourcing outcomes include: </w:t>
      </w:r>
    </w:p>
    <w:p w14:paraId="36D712B6" w14:textId="77777777" w:rsidR="003E3DF7" w:rsidRDefault="003E3DF7" w:rsidP="00366E17">
      <w:pPr>
        <w:pStyle w:val="ListParagraph"/>
        <w:numPr>
          <w:ilvl w:val="0"/>
          <w:numId w:val="55"/>
        </w:numPr>
        <w:spacing w:after="120"/>
        <w:contextualSpacing w:val="0"/>
      </w:pPr>
      <w:r>
        <w:t xml:space="preserve">Partnership-level apportionment: </w:t>
      </w:r>
    </w:p>
    <w:p w14:paraId="73F59366" w14:textId="70D9F452" w:rsidR="003E3DF7" w:rsidRDefault="008D7C7D" w:rsidP="003E3DF7">
      <w:pPr>
        <w:pStyle w:val="ListParagraph"/>
        <w:spacing w:after="60"/>
        <w:ind w:left="1440"/>
        <w:contextualSpacing w:val="0"/>
      </w:pPr>
      <w:r>
        <w:t>Corp</w:t>
      </w:r>
      <w:r w:rsidR="0012777C">
        <w:t>’s</w:t>
      </w:r>
      <w:r>
        <w:t xml:space="preserve"> income in State A</w:t>
      </w:r>
      <w:r w:rsidR="003E3DF7">
        <w:t xml:space="preserve">: </w:t>
      </w:r>
    </w:p>
    <w:p w14:paraId="2F24B49B" w14:textId="77777777" w:rsidR="003E3DF7" w:rsidRDefault="003E3DF7" w:rsidP="003E3DF7">
      <w:pPr>
        <w:pStyle w:val="ListParagraph"/>
        <w:spacing w:after="0"/>
        <w:ind w:left="1440" w:firstLine="720"/>
        <w:contextualSpacing w:val="0"/>
        <w:jc w:val="left"/>
      </w:pPr>
      <w:r>
        <w:t>$120 million (total gain) in State A ÷ $1.2 million = 10% Factor</w:t>
      </w:r>
    </w:p>
    <w:p w14:paraId="55D0D5DC" w14:textId="55AEE697" w:rsidR="008D7C7D" w:rsidRDefault="003E3DF7" w:rsidP="008D7C7D">
      <w:pPr>
        <w:pStyle w:val="ListParagraph"/>
        <w:spacing w:after="120"/>
        <w:ind w:left="1440" w:firstLine="720"/>
        <w:contextualSpacing w:val="0"/>
        <w:jc w:val="left"/>
      </w:pPr>
      <w:r>
        <w:t>x $100 million = $10 million</w:t>
      </w:r>
    </w:p>
    <w:p w14:paraId="507AF028" w14:textId="77777777" w:rsidR="008E20FA" w:rsidRDefault="008E20FA" w:rsidP="008D7C7D">
      <w:pPr>
        <w:pStyle w:val="ListParagraph"/>
        <w:spacing w:after="120"/>
        <w:ind w:left="1440" w:firstLine="720"/>
        <w:contextualSpacing w:val="0"/>
        <w:jc w:val="left"/>
      </w:pPr>
    </w:p>
    <w:p w14:paraId="36F88839" w14:textId="77777777" w:rsidR="003E3DF7" w:rsidRDefault="003E3DF7" w:rsidP="00366E17">
      <w:pPr>
        <w:pStyle w:val="ListParagraph"/>
        <w:numPr>
          <w:ilvl w:val="0"/>
          <w:numId w:val="55"/>
        </w:numPr>
        <w:spacing w:after="120"/>
        <w:contextualSpacing w:val="0"/>
      </w:pPr>
      <w:r>
        <w:t>Blended apportionment:</w:t>
      </w:r>
    </w:p>
    <w:p w14:paraId="073AC8D6" w14:textId="102D5AE9" w:rsidR="0012777C" w:rsidRDefault="003E3DF7" w:rsidP="0012777C">
      <w:pPr>
        <w:pStyle w:val="ListParagraph"/>
        <w:spacing w:after="120"/>
        <w:ind w:left="1440"/>
        <w:contextualSpacing w:val="0"/>
        <w:jc w:val="left"/>
      </w:pPr>
      <w:r>
        <w:t xml:space="preserve">Corp’s </w:t>
      </w:r>
      <w:r w:rsidR="0012777C">
        <w:t>determines share of receipts using total distributive share of $150 million ÷ total Partnership income $200 million = 75%</w:t>
      </w:r>
    </w:p>
    <w:p w14:paraId="23190741" w14:textId="77777777" w:rsidR="0012777C" w:rsidRDefault="0012777C" w:rsidP="0012777C">
      <w:pPr>
        <w:pStyle w:val="ListParagraph"/>
        <w:spacing w:after="120"/>
        <w:ind w:left="1440"/>
        <w:contextualSpacing w:val="0"/>
        <w:jc w:val="left"/>
      </w:pPr>
      <w:r>
        <w:t>Corp’s share Partnership receipts using 75% = $90 million in State A and $900 million total</w:t>
      </w:r>
    </w:p>
    <w:p w14:paraId="7B78B228" w14:textId="5D317C8C" w:rsidR="0012777C" w:rsidRDefault="0012777C" w:rsidP="0012777C">
      <w:pPr>
        <w:pStyle w:val="ListParagraph"/>
        <w:spacing w:after="120"/>
        <w:ind w:left="1440"/>
        <w:contextualSpacing w:val="0"/>
        <w:jc w:val="left"/>
      </w:pPr>
      <w:r>
        <w:t>Corp’s total receipts = $90 million +</w:t>
      </w:r>
      <w:r w:rsidR="008E20FA">
        <w:t xml:space="preserve"> </w:t>
      </w:r>
      <w:r>
        <w:t>$10 million = $100 million in state A and $900 million plus $100 total = $1 billion</w:t>
      </w:r>
      <w:r w:rsidR="008E20FA">
        <w:t xml:space="preserve"> total</w:t>
      </w:r>
    </w:p>
    <w:p w14:paraId="63663F6E" w14:textId="77777777" w:rsidR="0012777C" w:rsidRDefault="0012777C" w:rsidP="0012777C">
      <w:pPr>
        <w:pStyle w:val="ListParagraph"/>
        <w:spacing w:after="120"/>
        <w:ind w:left="1440"/>
        <w:contextualSpacing w:val="0"/>
        <w:jc w:val="left"/>
      </w:pPr>
      <w:r>
        <w:t>Corp’s receipts factor = $100 million ÷1 billion  = 10%</w:t>
      </w:r>
      <w:r w:rsidR="003E3DF7">
        <w:t xml:space="preserve"> </w:t>
      </w:r>
    </w:p>
    <w:p w14:paraId="706B9A32" w14:textId="31D1211F" w:rsidR="003E3DF7" w:rsidRDefault="0012777C" w:rsidP="0012777C">
      <w:pPr>
        <w:pStyle w:val="ListParagraph"/>
        <w:spacing w:after="120"/>
        <w:ind w:left="1440"/>
        <w:contextualSpacing w:val="0"/>
        <w:jc w:val="left"/>
      </w:pPr>
      <w:r>
        <w:t xml:space="preserve">Corp’s income in State A = $10 </w:t>
      </w:r>
      <w:r w:rsidR="003E3DF7">
        <w:t xml:space="preserve">million </w:t>
      </w:r>
    </w:p>
    <w:p w14:paraId="5AAE8C12" w14:textId="12DC6CF3" w:rsidR="008E20FA" w:rsidRDefault="008E20FA" w:rsidP="008E20FA">
      <w:pPr>
        <w:pStyle w:val="ListParagraph"/>
        <w:spacing w:after="120"/>
        <w:contextualSpacing w:val="0"/>
        <w:jc w:val="left"/>
      </w:pPr>
      <w:r>
        <w:t xml:space="preserve">But this example also raises the question – rather than sourcing the built-in gain using factors in Year 3 (whether the Partnership’s own separate factors or a blended factor), should the built-in gain be sourced using the Corp’s factors from Year 1. </w:t>
      </w:r>
    </w:p>
    <w:p w14:paraId="6B076A4B" w14:textId="74BDE60A" w:rsidR="003E3DF7" w:rsidRDefault="008E20FA" w:rsidP="00366E17">
      <w:pPr>
        <w:pStyle w:val="ListParagraph"/>
        <w:numPr>
          <w:ilvl w:val="0"/>
          <w:numId w:val="55"/>
        </w:numPr>
        <w:spacing w:after="120"/>
        <w:contextualSpacing w:val="0"/>
      </w:pPr>
      <w:r>
        <w:t xml:space="preserve">Using </w:t>
      </w:r>
      <w:r w:rsidR="003E3DF7">
        <w:t xml:space="preserve">Year 1 </w:t>
      </w:r>
      <w:r>
        <w:t xml:space="preserve">Corp </w:t>
      </w:r>
      <w:r w:rsidR="003E3DF7">
        <w:t>factor</w:t>
      </w:r>
      <w:r>
        <w:t xml:space="preserve">s to source </w:t>
      </w:r>
      <w:r w:rsidR="004062CA">
        <w:t xml:space="preserve">the </w:t>
      </w:r>
      <w:r>
        <w:t>built-in gain</w:t>
      </w:r>
      <w:r w:rsidR="003E3DF7">
        <w:t>:</w:t>
      </w:r>
    </w:p>
    <w:p w14:paraId="44C8A7A6" w14:textId="0ADEAE0E" w:rsidR="00B70267" w:rsidRDefault="00B70267" w:rsidP="00B70267">
      <w:pPr>
        <w:spacing w:after="120"/>
        <w:ind w:left="1440"/>
      </w:pPr>
      <w:r>
        <w:t xml:space="preserve">Corp’s  Year I State A factor – as though the gain had been recognized in that year = </w:t>
      </w:r>
      <w:r>
        <w:br/>
        <w:t>$50 million other receipts + $100 gain ÷ $100 million other receipts + $100 million gain = 75%</w:t>
      </w:r>
    </w:p>
    <w:p w14:paraId="5F6CAD21" w14:textId="1FA52272" w:rsidR="00B70267" w:rsidRDefault="00B70267" w:rsidP="00B70267">
      <w:pPr>
        <w:spacing w:after="120"/>
        <w:ind w:left="1440"/>
      </w:pPr>
      <w:r>
        <w:t>Corp’s State A income = 75% of $100 million = $75 million</w:t>
      </w:r>
    </w:p>
    <w:p w14:paraId="04CDCFD6" w14:textId="5CAD5654" w:rsidR="00B70267" w:rsidRDefault="00B70267" w:rsidP="00B70267">
      <w:pPr>
        <w:spacing w:after="120"/>
        <w:ind w:left="1440"/>
      </w:pPr>
      <w:r>
        <w:t>(Note that Corp would presumably have no other State A income if the gain is sourced separately in this way.)</w:t>
      </w:r>
    </w:p>
    <w:p w14:paraId="252C1594" w14:textId="75FE17E2" w:rsidR="00B70267" w:rsidRDefault="00B70267" w:rsidP="00B70267">
      <w:pPr>
        <w:spacing w:after="120"/>
      </w:pPr>
      <w:r>
        <w:t>This approach does not raise some of the practical difficulties that are raised by using a different share of partnership receipts for special allocations. Rather, here, Corp would simply compute the factor to be used to apportion the gain based on its own information—its factors from Year 1 and the sourcing of the gain for purposes of computing that factor.</w:t>
      </w:r>
      <w:r w:rsidR="004062CA">
        <w:t xml:space="preserve"> If Partnership had other factors in State A, then Corp would exclude the gain from its use of blended apportionment for any other distributive share income from Partnership, but would otherwise source rest of its distributive share income using a blended factor for Year 3.. </w:t>
      </w:r>
      <w:r>
        <w:t xml:space="preserve"> </w:t>
      </w:r>
    </w:p>
    <w:p w14:paraId="7271B005" w14:textId="77777777" w:rsidR="004C5DD0" w:rsidRDefault="004C5DD0" w:rsidP="004C5DD0"/>
    <w:p w14:paraId="24B1E835" w14:textId="77777777" w:rsidR="00A77B73" w:rsidRDefault="00A77B73">
      <w:pPr>
        <w:spacing w:line="276" w:lineRule="auto"/>
        <w:jc w:val="left"/>
        <w:rPr>
          <w:rFonts w:asciiTheme="majorHAnsi" w:eastAsiaTheme="majorEastAsia" w:hAnsiTheme="majorHAnsi" w:cstheme="majorBidi"/>
          <w:b/>
          <w:color w:val="851C00" w:themeColor="accent6" w:themeShade="BF"/>
          <w:sz w:val="30"/>
          <w:szCs w:val="26"/>
          <w:u w:val="single"/>
        </w:rPr>
      </w:pPr>
      <w:r>
        <w:br w:type="page"/>
      </w:r>
    </w:p>
    <w:p w14:paraId="41E0114E" w14:textId="3DEC136C" w:rsidR="005660D3" w:rsidRDefault="005660D3" w:rsidP="00A702C1">
      <w:pPr>
        <w:pStyle w:val="Heading2"/>
      </w:pPr>
      <w:bookmarkStart w:id="77" w:name="_Toc198480754"/>
      <w:r w:rsidRPr="00AB0CF9">
        <w:rPr>
          <w:highlight w:val="yellow"/>
        </w:rPr>
        <w:lastRenderedPageBreak/>
        <w:t>II.</w:t>
      </w:r>
      <w:r w:rsidR="00A702C1" w:rsidRPr="00AB0CF9">
        <w:rPr>
          <w:highlight w:val="yellow"/>
        </w:rPr>
        <w:t>D</w:t>
      </w:r>
      <w:r w:rsidRPr="00AB0CF9">
        <w:rPr>
          <w:highlight w:val="yellow"/>
        </w:rPr>
        <w:t xml:space="preserve">. Other Related </w:t>
      </w:r>
      <w:r w:rsidR="00050C67" w:rsidRPr="00AB0CF9">
        <w:rPr>
          <w:highlight w:val="yellow"/>
        </w:rPr>
        <w:t>-</w:t>
      </w:r>
      <w:r w:rsidRPr="00AB0CF9">
        <w:rPr>
          <w:highlight w:val="yellow"/>
        </w:rPr>
        <w:t>Entity Transactions</w:t>
      </w:r>
      <w:bookmarkEnd w:id="77"/>
    </w:p>
    <w:p w14:paraId="7ECFB34D" w14:textId="7F1C2979" w:rsidR="00F4275C" w:rsidRDefault="00FF6685" w:rsidP="00F4275C">
      <w:r>
        <w:t xml:space="preserve">It is not practical to require partnerships taxed on a pass-through basis to report income of related entities in some sort of combined return since, in complex structures, even related entities may have diverse indirect partners who are not owners of tiered or other related entities. Therefore, states should look to states that impose corporate income tax on a separate entity basis, which have generally adopted two kinds of anti-abuse rules to prevent the use of related party transactions to shift income. </w:t>
      </w:r>
    </w:p>
    <w:p w14:paraId="417F30D9" w14:textId="6D1F41F7" w:rsidR="00FF6685" w:rsidRDefault="00FF6685" w:rsidP="00FF6685">
      <w:pPr>
        <w:pStyle w:val="Heading3"/>
      </w:pPr>
      <w:bookmarkStart w:id="78" w:name="_Toc198480755"/>
      <w:r>
        <w:t>Add-Back Statute</w:t>
      </w:r>
      <w:r w:rsidR="00AB0CF9">
        <w:t>s</w:t>
      </w:r>
      <w:bookmarkEnd w:id="78"/>
    </w:p>
    <w:p w14:paraId="2B1C1C61" w14:textId="794CCB6E" w:rsidR="00FF6685" w:rsidRDefault="00FF6685" w:rsidP="00FF6685">
      <w:r>
        <w:t>States have long used so-called add-back statutes to effectively disallow the effects of certain intercompany or related-entity transactions</w:t>
      </w:r>
      <w:r w:rsidR="00AB0CF9">
        <w:t xml:space="preserve"> involving easily transferrable intangible property</w:t>
      </w:r>
      <w:r>
        <w:t xml:space="preserve">. In some cases, even states that require combined filing have seen the need to maintain such add-back provisions. The MTC has a model add-back statute, available </w:t>
      </w:r>
      <w:hyperlink r:id="rId36" w:history="1">
        <w:r w:rsidRPr="00FF6685">
          <w:rPr>
            <w:rStyle w:val="Hyperlink"/>
          </w:rPr>
          <w:t>HERE</w:t>
        </w:r>
      </w:hyperlink>
      <w:r>
        <w:t xml:space="preserve">. That </w:t>
      </w:r>
      <w:r w:rsidR="00AB0CF9">
        <w:t xml:space="preserve">model </w:t>
      </w:r>
      <w:r w:rsidR="00AB0CF9" w:rsidRPr="00AB0CF9">
        <w:t>require</w:t>
      </w:r>
      <w:r w:rsidR="00AB0CF9">
        <w:t>s</w:t>
      </w:r>
      <w:r w:rsidR="00AB0CF9" w:rsidRPr="00AB0CF9">
        <w:t xml:space="preserve"> an add-back of certain royalty and interest expenses incidental to the licensing by a related intangible holding company of the unitary business’s trademarks and trade names</w:t>
      </w:r>
      <w:r w:rsidR="00AB0CF9">
        <w:t>. It also</w:t>
      </w:r>
      <w:r>
        <w:t xml:space="preserve"> provides:</w:t>
      </w:r>
    </w:p>
    <w:p w14:paraId="7C9BDDE3" w14:textId="7FA9332F" w:rsidR="00FF6685" w:rsidRPr="00FF6685" w:rsidRDefault="00FF6685" w:rsidP="00FF6685">
      <w:pPr>
        <w:ind w:left="720"/>
      </w:pPr>
      <w:r w:rsidRPr="00FF6685">
        <w:t xml:space="preserve">(vi) "Related entity" means </w:t>
      </w:r>
      <w:r>
        <w:t xml:space="preserve">. . .  </w:t>
      </w:r>
      <w:r w:rsidRPr="00FF6685">
        <w:t>(1) a stockholder who is an individual, or a member of the stockholder</w:t>
      </w:r>
      <w:r>
        <w:t>’</w:t>
      </w:r>
      <w:r w:rsidRPr="00FF6685">
        <w:t xml:space="preserve">s family set forth in section 318 of the Code </w:t>
      </w:r>
      <w:r>
        <w:t xml:space="preserve">[IRC] </w:t>
      </w:r>
      <w:r w:rsidRPr="00FF6685">
        <w:t xml:space="preserve">if the stockholder and the members of the stockholder's family own, directly, indirectly, beneficially or constructively, in the aggregate, at least 50 per cent of the value of the taxpayer's outstanding stock; (2) a stockholder, </w:t>
      </w:r>
      <w:r w:rsidRPr="00AB0CF9">
        <w:rPr>
          <w:b/>
          <w:bCs/>
        </w:rPr>
        <w:t>or a stockholder’s partnership, limited liability company, estate, trust or corporation</w:t>
      </w:r>
      <w:r w:rsidRPr="00FF6685">
        <w:t>, if the stockholder and the stockholder</w:t>
      </w:r>
      <w:r>
        <w:t>’</w:t>
      </w:r>
      <w:r w:rsidRPr="00FF6685">
        <w:t xml:space="preserve">s partnerships, limited liability companies, estates, trusts and corporations own directly, indirectly, beneficially or constructively, in the aggregate, at least 50 per cent of the value of the taxpayer's outstanding stock; or (3) a corporation, or a party related to the corporation in a manner that would require an attribution of stock from the corporation to the party or from the party to the corporation under the attribution rules of the Code if the taxpayer owns, directly, indirectly, beneficially or constructively, at least 50 per cent of the value of the corporation's outstanding stock. The attribution rules of the Code shall apply for purposes of determining whether the ownership requirements of this definition have been met.   </w:t>
      </w:r>
    </w:p>
    <w:p w14:paraId="47B16A33" w14:textId="77777777" w:rsidR="00AB0CF9" w:rsidRDefault="00AB0CF9" w:rsidP="00AB0CF9">
      <w:pPr>
        <w:pStyle w:val="Heading3"/>
      </w:pPr>
      <w:bookmarkStart w:id="79" w:name="_Toc198480756"/>
      <w:r>
        <w:t>Transfer-Pricing Authority</w:t>
      </w:r>
      <w:bookmarkEnd w:id="79"/>
    </w:p>
    <w:p w14:paraId="7FD83E2F" w14:textId="4DF70356" w:rsidR="00AB0CF9" w:rsidRDefault="00AB0CF9" w:rsidP="00AB0CF9">
      <w:r>
        <w:t xml:space="preserve">States that allow separate corporate filing have found it necessary to be able to determine if items of income and deduction resulting from related activities are properly valued and treated for tax purposes. This is similar to IRC § 482, </w:t>
      </w:r>
      <w:r w:rsidR="007F19FE">
        <w:t xml:space="preserve">discussed in subsection I.D. above, </w:t>
      </w:r>
      <w:r>
        <w:t>which provides:</w:t>
      </w:r>
    </w:p>
    <w:p w14:paraId="351FB0A4" w14:textId="77777777" w:rsidR="00AB0CF9" w:rsidRDefault="00AB0CF9" w:rsidP="00AB0CF9">
      <w:pPr>
        <w:ind w:left="720"/>
      </w:pPr>
      <w:r w:rsidRPr="00AB0CF9">
        <w:t>In any case of two or more organizations, trades, or businesses (whether or not incorporated, whether or not organized in the United States, and whether or not affiliated) owned or controlled directly or indirectly by the same interests, the Secretary may distribute, apportion, or allocate gross income, deductions, credits, or allowances between or among such organizations, trades, or businesses, if he determines that such distribution, apportionment, or allocation is necessary in order to prevent evasion of taxes or clearly to reflect the income of any of such organizations, trades, or businesses. In the case of any transfer (or license) of intangible property (within the meaning of section 367(d)(4)), the income with respect to such transfer or license shall be commensurate with the income attributable to the intangible. For purposes of this section, the Secretary shall require the valuation of transfers of intangible property (including intangible property transferred with other property or services) on an aggregate basis or the valuation of such a transfer on the basis of the realistic alternatives to such a transfer, if the Secretary determines that such basis is the most reliable means of valuation of such transfers.</w:t>
      </w:r>
    </w:p>
    <w:p w14:paraId="121C3DED" w14:textId="08F526E5" w:rsidR="00A702C1" w:rsidRDefault="00AB0CF9" w:rsidP="00AB0CF9">
      <w:r>
        <w:t xml:space="preserve">This federal provision can provide a model for the states to adopt similar authority to be applied by the state in the context of partner-partnership transactions (under IRC § 707(a)) or transactions between related-partnerships. States may also find related IRS regulations helpful for this purpose.  </w:t>
      </w:r>
      <w:r w:rsidR="00A702C1">
        <w:br w:type="page"/>
      </w:r>
    </w:p>
    <w:p w14:paraId="40CADF41" w14:textId="5F20F625" w:rsidR="00D26602" w:rsidRDefault="00A072B0" w:rsidP="00A702C1">
      <w:pPr>
        <w:pStyle w:val="Heading2"/>
      </w:pPr>
      <w:bookmarkStart w:id="80" w:name="_Toc198480757"/>
      <w:r w:rsidRPr="007F19FE">
        <w:rPr>
          <w:highlight w:val="yellow"/>
        </w:rPr>
        <w:lastRenderedPageBreak/>
        <w:t>II.</w:t>
      </w:r>
      <w:r w:rsidR="00A702C1" w:rsidRPr="007F19FE">
        <w:rPr>
          <w:highlight w:val="yellow"/>
        </w:rPr>
        <w:t>E</w:t>
      </w:r>
      <w:r w:rsidRPr="007F19FE">
        <w:rPr>
          <w:highlight w:val="yellow"/>
        </w:rPr>
        <w:t xml:space="preserve">. </w:t>
      </w:r>
      <w:r w:rsidR="00D26602" w:rsidRPr="007F19FE">
        <w:rPr>
          <w:highlight w:val="yellow"/>
        </w:rPr>
        <w:t>Anti-Abuse Rules</w:t>
      </w:r>
      <w:bookmarkEnd w:id="80"/>
    </w:p>
    <w:p w14:paraId="13FD15FA" w14:textId="214CFEBC" w:rsidR="007F19FE" w:rsidRDefault="007F19FE" w:rsidP="00D26602">
      <w:r>
        <w:t xml:space="preserve">States should consider other anti-abuse rules </w:t>
      </w:r>
      <w:r w:rsidR="00AB0CF9">
        <w:t xml:space="preserve">discussed in </w:t>
      </w:r>
      <w:r>
        <w:t>subs</w:t>
      </w:r>
      <w:r w:rsidR="00AB0CF9">
        <w:t>ection I.D. above</w:t>
      </w:r>
      <w:r>
        <w:t>, based on provisions used for federal tax purposes:</w:t>
      </w:r>
    </w:p>
    <w:p w14:paraId="6F40C23A" w14:textId="3AE1A226" w:rsidR="007F19FE" w:rsidRDefault="007F19FE" w:rsidP="007F19FE">
      <w:pPr>
        <w:pStyle w:val="Heading3"/>
      </w:pPr>
      <w:r>
        <w:t>IRC § 7701(o) - general economic substance rule</w:t>
      </w:r>
    </w:p>
    <w:p w14:paraId="226823EF" w14:textId="1847DC8D" w:rsidR="007F19FE" w:rsidRDefault="007F19FE" w:rsidP="007F19FE">
      <w:pPr>
        <w:spacing w:after="120"/>
        <w:contextualSpacing/>
      </w:pPr>
      <w:r>
        <w:t xml:space="preserve">The general federal tax economic substance rule is set out in IRC § 7701(o). It requires that for the tax benefits of purported activities and transactions to be respected, they must also affect the economic position of the taxpayer “in a meaningful way” and have a “substantial purpose” apart from the “Federal income tax effects.” This general rule also provides: “any State or local income tax effect which is related to a Federal income tax effect shall be treated in the same manner as a Federal income tax effect.” That is, taxpayers cannot argue that transactions have a meaningful economic effect solely on the basis of the related state tax effects. </w:t>
      </w:r>
    </w:p>
    <w:p w14:paraId="3F8D5002" w14:textId="77777777" w:rsidR="007F19FE" w:rsidRDefault="007F19FE" w:rsidP="007F19FE">
      <w:pPr>
        <w:spacing w:after="120"/>
        <w:contextualSpacing/>
      </w:pPr>
    </w:p>
    <w:p w14:paraId="31D98B6C" w14:textId="48CA5254" w:rsidR="007F19FE" w:rsidRDefault="007F19FE" w:rsidP="00FD72B9">
      <w:pPr>
        <w:spacing w:after="120"/>
        <w:contextualSpacing/>
      </w:pPr>
      <w:r>
        <w:t xml:space="preserve">As discussed in subsection I.D., however, this </w:t>
      </w:r>
      <w:r w:rsidR="00FD72B9">
        <w:t xml:space="preserve">rule may not give states authority to challenge the application of the general pass-through tax rules where the state tax effect is not </w:t>
      </w:r>
      <w:r>
        <w:t>“</w:t>
      </w:r>
      <w:r w:rsidRPr="00FD0716">
        <w:rPr>
          <w:i/>
          <w:iCs/>
        </w:rPr>
        <w:t>related to”</w:t>
      </w:r>
      <w:r>
        <w:t xml:space="preserve"> a federal income tax effect</w:t>
      </w:r>
      <w:r w:rsidR="00FD72B9">
        <w:t>. Therefore, states may wish to clarify that they will apply this type of economic substance rule where the only effect is on state tax or where that effect is only indirectly related to the federal tax treatment.</w:t>
      </w:r>
    </w:p>
    <w:p w14:paraId="18FAECDB" w14:textId="5E3AE8A4" w:rsidR="007F19FE" w:rsidRDefault="007F19FE" w:rsidP="00FD72B9">
      <w:pPr>
        <w:pStyle w:val="Heading3"/>
      </w:pPr>
      <w:r>
        <w:t>IRS Reg. § 1.701-2 – general partnership anti-abuse rule</w:t>
      </w:r>
    </w:p>
    <w:p w14:paraId="3157BC9E" w14:textId="48C3D377" w:rsidR="007F19FE" w:rsidRDefault="007F19FE" w:rsidP="00FD72B9">
      <w:pPr>
        <w:spacing w:after="120"/>
      </w:pPr>
      <w:r>
        <w:t xml:space="preserve">Reg. </w:t>
      </w:r>
      <w:r w:rsidRPr="00132C16">
        <w:t>§ 1.701-2</w:t>
      </w:r>
      <w:r w:rsidR="00FD72B9">
        <w:t>, also discussed in subsection I.D. above, refers to</w:t>
      </w:r>
      <w:r>
        <w:t xml:space="preserve"> “tax consequences</w:t>
      </w:r>
      <w:r w:rsidR="00FD72B9">
        <w:t>,</w:t>
      </w:r>
      <w:r>
        <w:t xml:space="preserve">” </w:t>
      </w:r>
      <w:r w:rsidR="00FD72B9">
        <w:t>which may</w:t>
      </w:r>
      <w:r>
        <w:t xml:space="preserve"> interpreted as including only federal tax consequences. Therefore, while states might rely on this regulation in determining the proper federal tax result to which they conform, it is questionable whether they could necessarily rely if the state tax effect is only indirect, as with sourcing.</w:t>
      </w:r>
      <w:r w:rsidR="00FD72B9">
        <w:t xml:space="preserve"> States may wish to provide explicitly that this same general anti-abuse rule will apply in those circumstances, including the sourcing of multistate partnership income.</w:t>
      </w:r>
      <w:r>
        <w:t xml:space="preserve"> </w:t>
      </w:r>
    </w:p>
    <w:p w14:paraId="0DEBD364" w14:textId="4E03D8B8" w:rsidR="007F19FE" w:rsidRDefault="007F19FE" w:rsidP="00FD72B9">
      <w:pPr>
        <w:pStyle w:val="Heading3"/>
      </w:pPr>
      <w:r>
        <w:t>IRC § 704(b) –</w:t>
      </w:r>
      <w:r w:rsidR="00FD72B9">
        <w:t xml:space="preserve"> </w:t>
      </w:r>
      <w:r>
        <w:t>substantial economic effect</w:t>
      </w:r>
      <w:r w:rsidR="00FD72B9">
        <w:t xml:space="preserve"> requirements</w:t>
      </w:r>
    </w:p>
    <w:p w14:paraId="2B195C93" w14:textId="174EDCD7" w:rsidR="007F19FE" w:rsidRPr="00A916A7" w:rsidRDefault="00FD72B9" w:rsidP="00FD72B9">
      <w:pPr>
        <w:spacing w:after="120"/>
      </w:pPr>
      <w:r>
        <w:t xml:space="preserve">The requirement under </w:t>
      </w:r>
      <w:r w:rsidR="007F19FE">
        <w:t>§ 704(b) that the allocations of partnership items have “substantial economic effect”</w:t>
      </w:r>
      <w:r>
        <w:t xml:space="preserve"> has been defined and applied by </w:t>
      </w:r>
      <w:r w:rsidR="007F19FE">
        <w:t xml:space="preserve">extensive </w:t>
      </w:r>
      <w:r>
        <w:t xml:space="preserve">federal </w:t>
      </w:r>
      <w:r w:rsidR="007F19FE">
        <w:t xml:space="preserve">regulations. See IRS Reg. 1.704-1(b). In general, the regulations provide that there </w:t>
      </w:r>
      <w:r w:rsidR="007F19FE" w:rsidRPr="00D03B06">
        <w:t xml:space="preserve">must be a reasonable possibility </w:t>
      </w:r>
      <w:r w:rsidR="007F19FE">
        <w:t xml:space="preserve">that </w:t>
      </w:r>
      <w:r w:rsidR="007F19FE" w:rsidRPr="00D03B06">
        <w:t xml:space="preserve">the allocation </w:t>
      </w:r>
      <w:r w:rsidR="007F19FE">
        <w:t xml:space="preserve">of distributive share </w:t>
      </w:r>
      <w:r w:rsidR="007F19FE" w:rsidRPr="00D03B06">
        <w:t xml:space="preserve">will affect substantially the dollar amounts to be received by the partner </w:t>
      </w:r>
      <w:r w:rsidR="007F19FE">
        <w:t>“</w:t>
      </w:r>
      <w:r w:rsidR="007F19FE" w:rsidRPr="00D03B06">
        <w:t>independent of tax consequences</w:t>
      </w:r>
      <w:r w:rsidR="007F19FE">
        <w:t>.</w:t>
      </w:r>
      <w:r w:rsidR="007F19FE" w:rsidRPr="00D03B06">
        <w:t xml:space="preserve">” </w:t>
      </w:r>
      <w:r w:rsidR="007F19FE">
        <w:t xml:space="preserve">As </w:t>
      </w:r>
      <w:r>
        <w:t xml:space="preserve">noted in subsection I.D. above, </w:t>
      </w:r>
      <w:r w:rsidR="007F19FE">
        <w:t xml:space="preserve">it is not clear that this rule would serve to limit allocations that have an effect on the partners’ </w:t>
      </w:r>
      <w:r w:rsidR="007F19FE" w:rsidRPr="00782D79">
        <w:rPr>
          <w:i/>
          <w:iCs/>
        </w:rPr>
        <w:t>state</w:t>
      </w:r>
      <w:r w:rsidR="007F19FE">
        <w:t xml:space="preserve"> tax results but not their federal tax results.</w:t>
      </w:r>
      <w:r>
        <w:t xml:space="preserve"> Some states have </w:t>
      </w:r>
      <w:r w:rsidR="008853D1">
        <w:t>explicitly provided that this substantial economic effect requirement would also apply to the state tax effects of partnership allocations.</w:t>
      </w:r>
      <w:r w:rsidR="008853D1">
        <w:rPr>
          <w:rStyle w:val="FootnoteReference"/>
        </w:rPr>
        <w:footnoteReference w:id="49"/>
      </w:r>
      <w:r w:rsidR="008853D1">
        <w:t xml:space="preserve"> </w:t>
      </w:r>
      <w:r w:rsidR="007F19FE">
        <w:t xml:space="preserve"> </w:t>
      </w:r>
    </w:p>
    <w:p w14:paraId="0701448E" w14:textId="37FBF49A" w:rsidR="007F19FE" w:rsidRDefault="007F19FE" w:rsidP="008853D1">
      <w:pPr>
        <w:pStyle w:val="Heading3"/>
      </w:pPr>
      <w:r>
        <w:t>IRC § 6222 – consistency requirement</w:t>
      </w:r>
    </w:p>
    <w:p w14:paraId="56AFA432" w14:textId="77777777" w:rsidR="007F19FE" w:rsidRDefault="007F19FE" w:rsidP="00FD72B9">
      <w:r>
        <w:t>In addition to the substantive anti-abuse rules discussed above, the federal administrative provisions also require that partners report items consistently with the partnership’s own reported information. See IRC § 6222. Failure to do so is treated as a math error on the partner’s return for which tax can be summarily assessed. Application of this consistency requirement to purely state-related information is uncertain and some states have provided their own consistency requirement as part of state tax statutes or</w:t>
      </w:r>
      <w:commentRangeStart w:id="81"/>
      <w:r>
        <w:t xml:space="preserve"> regulations</w:t>
      </w:r>
      <w:commentRangeEnd w:id="81"/>
      <w:r w:rsidR="00F50BBA">
        <w:rPr>
          <w:rStyle w:val="CommentReference"/>
          <w:rFonts w:ascii="Tisa Offc Serif Pro" w:hAnsi="Tisa Offc Serif Pro"/>
        </w:rPr>
        <w:commentReference w:id="81"/>
      </w:r>
      <w:r>
        <w:t>.</w:t>
      </w:r>
      <w:r>
        <w:rPr>
          <w:rStyle w:val="FootnoteReference"/>
        </w:rPr>
        <w:footnoteReference w:id="50"/>
      </w:r>
      <w:r>
        <w:t xml:space="preserve"> </w:t>
      </w:r>
    </w:p>
    <w:p w14:paraId="02BE30BF" w14:textId="5BBD9B56" w:rsidR="00D26602" w:rsidRDefault="00AB0CF9" w:rsidP="00FD72B9">
      <w:r>
        <w:lastRenderedPageBreak/>
        <w:t xml:space="preserve"> </w:t>
      </w:r>
    </w:p>
    <w:p w14:paraId="10C24C96" w14:textId="54FDDC32" w:rsidR="00D7061B" w:rsidRDefault="00D7061B">
      <w:pPr>
        <w:spacing w:line="276" w:lineRule="auto"/>
        <w:jc w:val="left"/>
      </w:pPr>
      <w:r>
        <w:br w:type="page"/>
      </w:r>
    </w:p>
    <w:p w14:paraId="1C7EF818" w14:textId="306D9859" w:rsidR="000000D1" w:rsidRPr="000000D1" w:rsidRDefault="008B1BEA" w:rsidP="000000D1">
      <w:pPr>
        <w:keepNext/>
        <w:keepLines/>
        <w:pBdr>
          <w:bottom w:val="single" w:sz="12" w:space="1" w:color="5B2413" w:themeColor="accent3" w:themeShade="80"/>
        </w:pBdr>
        <w:spacing w:before="480" w:after="360"/>
        <w:contextualSpacing/>
        <w:jc w:val="center"/>
        <w:outlineLvl w:val="0"/>
        <w:rPr>
          <w:rFonts w:asciiTheme="majorHAnsi" w:eastAsiaTheme="majorEastAsia" w:hAnsiTheme="majorHAnsi" w:cstheme="majorBidi"/>
          <w:b/>
          <w:smallCaps/>
          <w:color w:val="851C00" w:themeColor="accent6" w:themeShade="BF"/>
          <w:sz w:val="32"/>
          <w:szCs w:val="32"/>
        </w:rPr>
      </w:pPr>
      <w:bookmarkStart w:id="82" w:name="_Toc153291170"/>
      <w:bookmarkStart w:id="83" w:name="_Toc198480758"/>
      <w:bookmarkStart w:id="84" w:name="_Toc104209207"/>
      <w:bookmarkStart w:id="85" w:name="_Toc146825309"/>
      <w:r>
        <w:rPr>
          <w:rFonts w:asciiTheme="majorHAnsi" w:eastAsiaTheme="majorEastAsia" w:hAnsiTheme="majorHAnsi" w:cstheme="majorBidi"/>
          <w:b/>
          <w:smallCaps/>
          <w:color w:val="851C00" w:themeColor="accent6" w:themeShade="BF"/>
          <w:sz w:val="32"/>
          <w:szCs w:val="32"/>
        </w:rPr>
        <w:lastRenderedPageBreak/>
        <w:t>I</w:t>
      </w:r>
      <w:r w:rsidR="000000D1" w:rsidRPr="000000D1">
        <w:rPr>
          <w:rFonts w:asciiTheme="majorHAnsi" w:eastAsiaTheme="majorEastAsia" w:hAnsiTheme="majorHAnsi" w:cstheme="majorBidi"/>
          <w:b/>
          <w:smallCaps/>
          <w:color w:val="851C00" w:themeColor="accent6" w:themeShade="BF"/>
          <w:sz w:val="32"/>
          <w:szCs w:val="32"/>
        </w:rPr>
        <w:t xml:space="preserve">II. </w:t>
      </w:r>
      <w:bookmarkEnd w:id="82"/>
      <w:r w:rsidR="000000D1" w:rsidRPr="000000D1">
        <w:rPr>
          <w:rFonts w:asciiTheme="majorHAnsi" w:eastAsiaTheme="majorEastAsia" w:hAnsiTheme="majorHAnsi" w:cstheme="majorBidi"/>
          <w:b/>
          <w:smallCaps/>
          <w:color w:val="851C00" w:themeColor="accent6" w:themeShade="BF"/>
          <w:sz w:val="32"/>
          <w:szCs w:val="32"/>
        </w:rPr>
        <w:t>Summary of Multistate Research On State Tax</w:t>
      </w:r>
      <w:bookmarkEnd w:id="83"/>
      <w:r w:rsidR="000000D1" w:rsidRPr="000000D1">
        <w:rPr>
          <w:rFonts w:asciiTheme="majorHAnsi" w:eastAsiaTheme="majorEastAsia" w:hAnsiTheme="majorHAnsi" w:cstheme="majorBidi"/>
          <w:b/>
          <w:smallCaps/>
          <w:color w:val="851C00" w:themeColor="accent6" w:themeShade="BF"/>
          <w:sz w:val="32"/>
          <w:szCs w:val="32"/>
        </w:rPr>
        <w:t xml:space="preserve"> </w:t>
      </w:r>
    </w:p>
    <w:p w14:paraId="4E007235" w14:textId="77777777" w:rsidR="000000D1" w:rsidRPr="000000D1" w:rsidRDefault="000000D1" w:rsidP="000000D1">
      <w:pPr>
        <w:keepNext/>
        <w:keepLines/>
        <w:pBdr>
          <w:bottom w:val="single" w:sz="12" w:space="1" w:color="5B2413" w:themeColor="accent3" w:themeShade="80"/>
        </w:pBdr>
        <w:spacing w:before="480" w:after="360"/>
        <w:contextualSpacing/>
        <w:jc w:val="center"/>
        <w:outlineLvl w:val="0"/>
        <w:rPr>
          <w:rFonts w:asciiTheme="majorHAnsi" w:eastAsiaTheme="majorEastAsia" w:hAnsiTheme="majorHAnsi" w:cstheme="majorBidi"/>
          <w:b/>
          <w:smallCaps/>
          <w:color w:val="851C00" w:themeColor="accent6" w:themeShade="BF"/>
          <w:sz w:val="32"/>
          <w:szCs w:val="32"/>
        </w:rPr>
      </w:pPr>
      <w:bookmarkStart w:id="86" w:name="_Toc198480759"/>
      <w:r w:rsidRPr="000000D1">
        <w:rPr>
          <w:rFonts w:asciiTheme="majorHAnsi" w:eastAsiaTheme="majorEastAsia" w:hAnsiTheme="majorHAnsi" w:cstheme="majorBidi"/>
          <w:b/>
          <w:smallCaps/>
          <w:color w:val="851C00" w:themeColor="accent6" w:themeShade="BF"/>
          <w:sz w:val="32"/>
          <w:szCs w:val="32"/>
        </w:rPr>
        <w:t>Sourcing for Complex Partnership Structures</w:t>
      </w:r>
      <w:bookmarkEnd w:id="86"/>
    </w:p>
    <w:p w14:paraId="022A2BA8" w14:textId="77777777" w:rsidR="000000D1" w:rsidRPr="000000D1" w:rsidRDefault="000000D1" w:rsidP="000000D1">
      <w:pPr>
        <w:jc w:val="center"/>
        <w:rPr>
          <w:rFonts w:eastAsia="Calibri" w:cs="Times New Roman"/>
          <w:i/>
          <w:iCs/>
          <w:sz w:val="18"/>
          <w:szCs w:val="20"/>
        </w:rPr>
      </w:pPr>
      <w:r w:rsidRPr="000000D1">
        <w:rPr>
          <w:rFonts w:eastAsia="Calibri" w:cs="Times New Roman"/>
          <w:i/>
          <w:iCs/>
          <w:sz w:val="18"/>
          <w:szCs w:val="20"/>
        </w:rPr>
        <w:t>Information in this section comes from state statutes, regulations, cases, form instructions, and guidance as of the date of this draft. This information should not be relied on as tax advice. For specific questions, taxpayers should contact the applicable state department of revenue or their tax advisor.</w:t>
      </w:r>
    </w:p>
    <w:p w14:paraId="26D97BB0" w14:textId="77777777" w:rsidR="000000D1" w:rsidRPr="000000D1" w:rsidRDefault="000000D1" w:rsidP="000000D1">
      <w:pPr>
        <w:rPr>
          <w:rFonts w:eastAsia="Calibri" w:cs="Times New Roman"/>
        </w:rPr>
      </w:pPr>
      <w:r w:rsidRPr="000000D1">
        <w:rPr>
          <w:rFonts w:eastAsia="Calibri" w:cs="Times New Roman"/>
        </w:rPr>
        <w:t xml:space="preserve">Since the federal partnership rules do not address state tax sourcing rules for complex partnership structures,  state specific rules provide necessary clarity. This section summarizes the rules in states that have addressed sourcing in complex partnership structures specifically. But many of the states have not yet explicitly addressed these structures or provided clarity on the full range of potential issues. </w:t>
      </w:r>
    </w:p>
    <w:p w14:paraId="006AD680" w14:textId="29B1230F" w:rsidR="000000D1" w:rsidRPr="000000D1" w:rsidRDefault="008B1BEA" w:rsidP="000000D1">
      <w:pPr>
        <w:keepNext/>
        <w:keepLines/>
        <w:spacing w:before="240" w:after="160"/>
        <w:contextualSpacing/>
        <w:jc w:val="center"/>
        <w:outlineLvl w:val="1"/>
        <w:rPr>
          <w:rFonts w:asciiTheme="majorHAnsi" w:eastAsiaTheme="majorEastAsia" w:hAnsiTheme="majorHAnsi" w:cstheme="majorBidi"/>
          <w:b/>
          <w:color w:val="851C00" w:themeColor="accent6" w:themeShade="BF"/>
          <w:sz w:val="26"/>
          <w:szCs w:val="26"/>
          <w:u w:val="single"/>
        </w:rPr>
      </w:pPr>
      <w:bookmarkStart w:id="87" w:name="_Toc198480760"/>
      <w:bookmarkStart w:id="88" w:name="_Toc153291171"/>
      <w:bookmarkStart w:id="89" w:name="_Hlk132086685"/>
      <w:r>
        <w:rPr>
          <w:rFonts w:asciiTheme="majorHAnsi" w:eastAsiaTheme="majorEastAsia" w:hAnsiTheme="majorHAnsi" w:cstheme="majorBidi"/>
          <w:b/>
          <w:color w:val="851C00" w:themeColor="accent6" w:themeShade="BF"/>
          <w:sz w:val="26"/>
          <w:szCs w:val="26"/>
          <w:u w:val="single"/>
        </w:rPr>
        <w:t>I</w:t>
      </w:r>
      <w:r w:rsidR="000000D1" w:rsidRPr="000000D1">
        <w:rPr>
          <w:rFonts w:asciiTheme="majorHAnsi" w:eastAsiaTheme="majorEastAsia" w:hAnsiTheme="majorHAnsi" w:cstheme="majorBidi"/>
          <w:b/>
          <w:color w:val="851C00" w:themeColor="accent6" w:themeShade="BF"/>
          <w:sz w:val="26"/>
          <w:szCs w:val="26"/>
          <w:u w:val="single"/>
        </w:rPr>
        <w:t>II. A.  Summary of Complex Partnership Structure</w:t>
      </w:r>
      <w:bookmarkEnd w:id="87"/>
      <w:r w:rsidR="000000D1" w:rsidRPr="000000D1">
        <w:rPr>
          <w:rFonts w:asciiTheme="majorHAnsi" w:eastAsiaTheme="majorEastAsia" w:hAnsiTheme="majorHAnsi" w:cstheme="majorBidi"/>
          <w:b/>
          <w:color w:val="851C00" w:themeColor="accent6" w:themeShade="BF"/>
          <w:sz w:val="26"/>
          <w:szCs w:val="26"/>
          <w:u w:val="single"/>
        </w:rPr>
        <w:t xml:space="preserve"> </w:t>
      </w:r>
    </w:p>
    <w:p w14:paraId="1DB3A287" w14:textId="77777777" w:rsidR="000000D1" w:rsidRPr="000000D1" w:rsidRDefault="000000D1" w:rsidP="000000D1">
      <w:pPr>
        <w:keepNext/>
        <w:keepLines/>
        <w:spacing w:before="240" w:after="160"/>
        <w:contextualSpacing/>
        <w:jc w:val="center"/>
        <w:outlineLvl w:val="1"/>
        <w:rPr>
          <w:rFonts w:asciiTheme="majorHAnsi" w:eastAsiaTheme="majorEastAsia" w:hAnsiTheme="majorHAnsi" w:cstheme="majorBidi"/>
          <w:b/>
          <w:color w:val="851C00" w:themeColor="accent6" w:themeShade="BF"/>
          <w:sz w:val="26"/>
          <w:szCs w:val="26"/>
          <w:u w:val="single"/>
        </w:rPr>
      </w:pPr>
      <w:bookmarkStart w:id="90" w:name="_Toc198480761"/>
      <w:r w:rsidRPr="000000D1">
        <w:rPr>
          <w:rFonts w:asciiTheme="majorHAnsi" w:eastAsiaTheme="majorEastAsia" w:hAnsiTheme="majorHAnsi" w:cstheme="majorBidi"/>
          <w:b/>
          <w:color w:val="851C00" w:themeColor="accent6" w:themeShade="BF"/>
          <w:sz w:val="26"/>
          <w:szCs w:val="26"/>
          <w:u w:val="single"/>
        </w:rPr>
        <w:t>Sourcing Issues Addressed by States</w:t>
      </w:r>
      <w:bookmarkEnd w:id="88"/>
      <w:bookmarkEnd w:id="90"/>
      <w:r w:rsidRPr="000000D1">
        <w:rPr>
          <w:rFonts w:asciiTheme="majorHAnsi" w:eastAsiaTheme="majorEastAsia" w:hAnsiTheme="majorHAnsi" w:cstheme="majorBidi"/>
          <w:b/>
          <w:color w:val="851C00" w:themeColor="accent6" w:themeShade="BF"/>
          <w:sz w:val="26"/>
          <w:szCs w:val="26"/>
          <w:u w:val="single"/>
        </w:rPr>
        <w:t xml:space="preserve"> </w:t>
      </w:r>
    </w:p>
    <w:bookmarkEnd w:id="89"/>
    <w:p w14:paraId="0F6EC719" w14:textId="459DF6B7" w:rsidR="000000D1" w:rsidRPr="000000D1" w:rsidRDefault="000000D1" w:rsidP="000000D1">
      <w:pPr>
        <w:rPr>
          <w:rFonts w:eastAsia="Calibri" w:cs="Times New Roman"/>
        </w:rPr>
      </w:pPr>
      <w:r w:rsidRPr="000000D1">
        <w:rPr>
          <w:rFonts w:eastAsia="Calibri" w:cs="Times New Roman"/>
        </w:rPr>
        <w:t xml:space="preserve">State sourcing rules for complex partnership structure take varying approaches with varying levels of detail and clarity. This subsection </w:t>
      </w:r>
      <w:r w:rsidR="00492182">
        <w:rPr>
          <w:rFonts w:eastAsia="Calibri" w:cs="Times New Roman"/>
        </w:rPr>
        <w:t>I</w:t>
      </w:r>
      <w:r w:rsidRPr="000000D1">
        <w:rPr>
          <w:rFonts w:eastAsia="Calibri" w:cs="Times New Roman"/>
        </w:rPr>
        <w:t xml:space="preserve">II. A. summarizes issues states have explicitly addressed in their sourcing rules for complex partnership structures and analyzes the current status of state rules on these issues. The specific state provisions are set forth in Section </w:t>
      </w:r>
      <w:r w:rsidR="009D7DAA">
        <w:rPr>
          <w:rFonts w:eastAsia="Calibri" w:cs="Times New Roman"/>
        </w:rPr>
        <w:t>I</w:t>
      </w:r>
      <w:r w:rsidRPr="000000D1">
        <w:rPr>
          <w:rFonts w:eastAsia="Calibri" w:cs="Times New Roman"/>
        </w:rPr>
        <w:t>II. B. below.</w:t>
      </w:r>
    </w:p>
    <w:p w14:paraId="27D8D5F3" w14:textId="77777777" w:rsidR="000000D1" w:rsidRPr="000000D1" w:rsidRDefault="000000D1" w:rsidP="000000D1">
      <w:pPr>
        <w:keepNext/>
        <w:keepLines/>
        <w:pBdr>
          <w:bottom w:val="single" w:sz="4" w:space="1" w:color="auto"/>
        </w:pBdr>
        <w:spacing w:before="160" w:after="80"/>
        <w:ind w:left="720"/>
        <w:outlineLvl w:val="3"/>
        <w:rPr>
          <w:rFonts w:asciiTheme="majorHAnsi" w:eastAsiaTheme="majorEastAsia" w:hAnsiTheme="majorHAnsi" w:cstheme="majorBidi"/>
          <w:iCs/>
          <w:color w:val="851C00" w:themeColor="accent6" w:themeShade="BF"/>
        </w:rPr>
      </w:pPr>
      <w:r w:rsidRPr="000000D1">
        <w:rPr>
          <w:rFonts w:asciiTheme="majorHAnsi" w:eastAsiaTheme="majorEastAsia" w:hAnsiTheme="majorHAnsi" w:cstheme="majorBidi"/>
          <w:iCs/>
          <w:color w:val="851C00" w:themeColor="accent6" w:themeShade="BF"/>
        </w:rPr>
        <w:t>Are attribution and conduit principles involved in state tax sourcing for complex partnership structures?</w:t>
      </w:r>
    </w:p>
    <w:p w14:paraId="44948E87" w14:textId="77777777" w:rsidR="000000D1" w:rsidRPr="000000D1" w:rsidRDefault="000000D1" w:rsidP="000000D1">
      <w:pPr>
        <w:spacing w:before="240" w:after="240"/>
        <w:ind w:left="720"/>
        <w:rPr>
          <w:rFonts w:eastAsia="Calibri" w:cs="Times New Roman"/>
        </w:rPr>
      </w:pPr>
      <w:r w:rsidRPr="000000D1">
        <w:rPr>
          <w:rFonts w:eastAsia="Calibri" w:cs="Times New Roman"/>
        </w:rPr>
        <w:t xml:space="preserve">Most of the states conform to the federal partnership principals on attribution and the determination of an item’s character at the partnership level. However, a few states, such as Massachusetts and California also have specific language clarifying that the determination of whether an item is apportionable or non-apportionable income takes place at the partnership level. Some states (such as Colorado, Indiana, Massachusetts, Montana, New York, and Virginia) further clarify that the partnership level attribution flows through multiple tiers of owners. </w:t>
      </w:r>
    </w:p>
    <w:p w14:paraId="122C9891" w14:textId="77777777" w:rsidR="000000D1" w:rsidRPr="000000D1" w:rsidRDefault="000000D1" w:rsidP="000000D1">
      <w:pPr>
        <w:keepNext/>
        <w:keepLines/>
        <w:pBdr>
          <w:bottom w:val="single" w:sz="4" w:space="1" w:color="auto"/>
        </w:pBdr>
        <w:spacing w:before="160" w:after="80"/>
        <w:ind w:left="720"/>
        <w:outlineLvl w:val="3"/>
        <w:rPr>
          <w:rFonts w:asciiTheme="majorHAnsi" w:eastAsiaTheme="majorEastAsia" w:hAnsiTheme="majorHAnsi" w:cstheme="majorBidi"/>
          <w:iCs/>
          <w:color w:val="851C00" w:themeColor="accent6" w:themeShade="BF"/>
        </w:rPr>
      </w:pPr>
      <w:r w:rsidRPr="000000D1">
        <w:rPr>
          <w:rFonts w:asciiTheme="majorHAnsi" w:eastAsiaTheme="majorEastAsia" w:hAnsiTheme="majorHAnsi" w:cstheme="majorBidi"/>
          <w:iCs/>
          <w:color w:val="851C00" w:themeColor="accent6" w:themeShade="BF"/>
        </w:rPr>
        <w:t>Have the states addressed sourcing when a complex partnership structure includes a corporate partner?</w:t>
      </w:r>
    </w:p>
    <w:p w14:paraId="53E5A16E" w14:textId="6C307984" w:rsidR="000000D1" w:rsidRPr="000000D1" w:rsidRDefault="000000D1" w:rsidP="000000D1">
      <w:pPr>
        <w:spacing w:before="240" w:after="240"/>
        <w:ind w:left="720"/>
        <w:rPr>
          <w:rFonts w:eastAsia="Calibri" w:cs="Times New Roman"/>
        </w:rPr>
      </w:pPr>
      <w:r w:rsidRPr="000000D1">
        <w:rPr>
          <w:rFonts w:eastAsia="Calibri" w:cs="Times New Roman"/>
        </w:rPr>
        <w:t xml:space="preserve">When a corporation owns an interest in a partnership structure, most states have specifically addressed how the corporation should source its share of income that is apportionable to the partnership. The majority of states (including Alabama, Arizona, California, Connecticut, Delaware, District of Columbia, Florida, Georgia, Hawaii, Indiana, Idaho, Illinois, Iowa, Kansas, Kentucky, Maine, Maryland, Massachusetts, Michigan, Minnesota, Montana, Nebraska, New Jersey, New York, North Carolina, North Dakota, </w:t>
      </w:r>
      <w:r w:rsidR="00C24655">
        <w:rPr>
          <w:rFonts w:eastAsia="Calibri" w:cs="Times New Roman"/>
        </w:rPr>
        <w:t xml:space="preserve">Ohio, </w:t>
      </w:r>
      <w:r w:rsidRPr="000000D1">
        <w:rPr>
          <w:rFonts w:eastAsia="Calibri" w:cs="Times New Roman"/>
        </w:rPr>
        <w:t xml:space="preserve">Oregon, Pennsylvania, Rhode Island, Tennessee, Utah, Vermont, Virginia, West Virginia, and Wisconsin) use formulary apportionment and blend the apportionment factors of the corporation with the corporation’s pro rata share of the apportionment factors of the partnership. However, several states expressly limit blended apportionment to situations where there is a unitary relationship (California, Hawaii, Indiana, Illinois, Maryland, Massachusetts, Michigan, Minnesota, Montana, Nebraska, New Jersey, Vermont, West Virginia, Wisconsin); apportionable income (Idaho, North Carolina, North Dakota), or a business interest (Alabama – business interest, Arizona – business interest, Iowa - connection with the taxpayer’s regular trade or business operations, Oregon - part of the corporation's overall business operations).  For non-unitary partnerships in these states, the income is generally sourced at the partnership level and that sourcing is retained as it flows up without reapportionment. If the income is non-apportionable to the partnership, states generally source that income using rules of assignment at the entity level and that sourcing is then attributed to the partners. </w:t>
      </w:r>
    </w:p>
    <w:p w14:paraId="2B6EDFFD" w14:textId="77777777" w:rsidR="000000D1" w:rsidRPr="000000D1" w:rsidRDefault="000000D1" w:rsidP="000000D1">
      <w:pPr>
        <w:keepNext/>
        <w:keepLines/>
        <w:pBdr>
          <w:bottom w:val="single" w:sz="4" w:space="1" w:color="auto"/>
        </w:pBdr>
        <w:spacing w:before="160" w:after="80"/>
        <w:ind w:left="720"/>
        <w:outlineLvl w:val="3"/>
        <w:rPr>
          <w:rFonts w:asciiTheme="majorHAnsi" w:eastAsiaTheme="majorEastAsia" w:hAnsiTheme="majorHAnsi" w:cstheme="majorBidi"/>
          <w:iCs/>
          <w:color w:val="851C00" w:themeColor="accent6" w:themeShade="BF"/>
        </w:rPr>
      </w:pPr>
      <w:r w:rsidRPr="000000D1">
        <w:rPr>
          <w:rFonts w:asciiTheme="majorHAnsi" w:eastAsiaTheme="majorEastAsia" w:hAnsiTheme="majorHAnsi" w:cstheme="majorBidi"/>
          <w:iCs/>
          <w:color w:val="851C00" w:themeColor="accent6" w:themeShade="BF"/>
        </w:rPr>
        <w:lastRenderedPageBreak/>
        <w:t>Have the states addressed sourcing when a complex partnership structure includes multiple levels of partnerships?</w:t>
      </w:r>
    </w:p>
    <w:p w14:paraId="5793BD62" w14:textId="71F4A932" w:rsidR="000000D1" w:rsidRPr="000000D1" w:rsidRDefault="000000D1" w:rsidP="000000D1">
      <w:pPr>
        <w:spacing w:before="240" w:after="240"/>
        <w:ind w:left="720"/>
        <w:rPr>
          <w:rFonts w:eastAsia="Calibri" w:cs="Times New Roman"/>
        </w:rPr>
      </w:pPr>
      <w:r w:rsidRPr="000000D1">
        <w:rPr>
          <w:rFonts w:eastAsia="Calibri" w:cs="Times New Roman"/>
        </w:rPr>
        <w:t>When an upper-tier partnership owns an interest in a lower-tier partnership, only 1</w:t>
      </w:r>
      <w:r w:rsidR="00C24655">
        <w:rPr>
          <w:rFonts w:eastAsia="Calibri" w:cs="Times New Roman"/>
        </w:rPr>
        <w:t>5</w:t>
      </w:r>
      <w:r w:rsidRPr="000000D1">
        <w:rPr>
          <w:rFonts w:eastAsia="Calibri" w:cs="Times New Roman"/>
        </w:rPr>
        <w:t xml:space="preserve"> states have specifically addressed how the upper-tier partnership should source its share of income that is apportionable to the lower-tier partnership. </w:t>
      </w:r>
      <w:r w:rsidR="00C24655">
        <w:rPr>
          <w:rFonts w:eastAsia="Calibri" w:cs="Times New Roman"/>
        </w:rPr>
        <w:t>Twelve</w:t>
      </w:r>
      <w:r w:rsidRPr="000000D1">
        <w:rPr>
          <w:rFonts w:eastAsia="Calibri" w:cs="Times New Roman"/>
        </w:rPr>
        <w:t xml:space="preserve"> of these states (Arizona, California, Colorado, Florida, Illinois, Kentucky, Massachusetts, </w:t>
      </w:r>
      <w:r w:rsidR="00C24655">
        <w:rPr>
          <w:rFonts w:eastAsia="Calibri" w:cs="Times New Roman"/>
        </w:rPr>
        <w:t xml:space="preserve">Ohio, </w:t>
      </w:r>
      <w:r w:rsidRPr="000000D1">
        <w:rPr>
          <w:rFonts w:eastAsia="Calibri" w:cs="Times New Roman"/>
        </w:rPr>
        <w:t xml:space="preserve">Utah, Vermont, West Virginia, and Wisconsin) have express provisions using formulary apportionment and blending the apportionment factors of the upper-tier partnership with its pro rata share of the apportionment factors of any lower-tier partnerships. California, Colorado, Illinois, Massachusetts, Vermont, West Virginia, and Wisconsin limit the blended apportionment to situations involving a unitary relationship. For non-unitary partnerships in these states, the income is generally sourced at the lower-tier partnership level and that sourcing is retained as it flows up without reapportionment. New Jersey, New York, and Montana do not use blended apportionment when there are multiple levels of partnerships. Instead, the income is sourced at the level of the lower-tier partnership and that sourcing is retained as it flows through to the upper- tier partnerships.  If the income is non-apportionable to the lower-tier partnership, states generally source that income using rules of assignment at the entity level and that sourcing information is then attributed to the partners. </w:t>
      </w:r>
    </w:p>
    <w:p w14:paraId="59D53596" w14:textId="77777777" w:rsidR="000000D1" w:rsidRPr="000000D1" w:rsidRDefault="000000D1" w:rsidP="000000D1">
      <w:pPr>
        <w:keepNext/>
        <w:keepLines/>
        <w:pBdr>
          <w:bottom w:val="single" w:sz="4" w:space="1" w:color="auto"/>
        </w:pBdr>
        <w:spacing w:before="160" w:after="80"/>
        <w:ind w:left="720"/>
        <w:outlineLvl w:val="3"/>
        <w:rPr>
          <w:rFonts w:asciiTheme="majorHAnsi" w:eastAsiaTheme="majorEastAsia" w:hAnsiTheme="majorHAnsi" w:cstheme="majorBidi"/>
          <w:iCs/>
          <w:color w:val="851C00" w:themeColor="accent6" w:themeShade="BF"/>
        </w:rPr>
      </w:pPr>
      <w:r w:rsidRPr="000000D1">
        <w:rPr>
          <w:rFonts w:asciiTheme="majorHAnsi" w:eastAsiaTheme="majorEastAsia" w:hAnsiTheme="majorHAnsi" w:cstheme="majorBidi"/>
          <w:iCs/>
          <w:color w:val="851C00" w:themeColor="accent6" w:themeShade="BF"/>
        </w:rPr>
        <w:t>Have the states defined what a pro rata share is for purposes of blended apportionment?</w:t>
      </w:r>
    </w:p>
    <w:p w14:paraId="6375A54A" w14:textId="5A7CE791" w:rsidR="000000D1" w:rsidRPr="000000D1" w:rsidRDefault="000000D1" w:rsidP="000000D1">
      <w:pPr>
        <w:spacing w:before="240"/>
        <w:ind w:left="720"/>
        <w:rPr>
          <w:rFonts w:eastAsia="Calibri" w:cs="Times New Roman"/>
        </w:rPr>
      </w:pPr>
      <w:r w:rsidRPr="000000D1">
        <w:rPr>
          <w:rFonts w:eastAsia="Calibri" w:cs="Times New Roman"/>
        </w:rPr>
        <w:t>Only 6 states have expressly defined what a pro rata share is for purposes of blended apportionment. Massachusetts and Maine generally look to the profit and loss percentage but have exceptions for certain gains/losses and changes of interest.  Idaho and West Virginia look to the distributive share of partnership income or losses. Oregon uses a ratio involving capital accounts and related entity debt. Finally, Pennsylvania indicates that the pro rata share of apportionment factors shall be determined under the partnership agreement and in accordance with the I</w:t>
      </w:r>
      <w:r w:rsidR="00BC2E84">
        <w:rPr>
          <w:rFonts w:eastAsia="Calibri" w:cs="Times New Roman"/>
        </w:rPr>
        <w:t>RC</w:t>
      </w:r>
      <w:r w:rsidRPr="000000D1">
        <w:rPr>
          <w:rFonts w:eastAsia="Calibri" w:cs="Times New Roman"/>
        </w:rPr>
        <w:t>.</w:t>
      </w:r>
    </w:p>
    <w:p w14:paraId="3352F401" w14:textId="77777777" w:rsidR="000000D1" w:rsidRPr="000000D1" w:rsidRDefault="000000D1" w:rsidP="000000D1">
      <w:pPr>
        <w:keepNext/>
        <w:keepLines/>
        <w:pBdr>
          <w:bottom w:val="single" w:sz="4" w:space="1" w:color="auto"/>
        </w:pBdr>
        <w:spacing w:before="160" w:after="80"/>
        <w:ind w:left="720"/>
        <w:outlineLvl w:val="3"/>
        <w:rPr>
          <w:rFonts w:asciiTheme="majorHAnsi" w:eastAsiaTheme="majorEastAsia" w:hAnsiTheme="majorHAnsi" w:cstheme="majorBidi"/>
          <w:iCs/>
          <w:color w:val="851C00" w:themeColor="accent6" w:themeShade="BF"/>
        </w:rPr>
      </w:pPr>
      <w:r w:rsidRPr="000000D1">
        <w:rPr>
          <w:rFonts w:asciiTheme="majorHAnsi" w:eastAsiaTheme="majorEastAsia" w:hAnsiTheme="majorHAnsi" w:cstheme="majorBidi"/>
          <w:iCs/>
          <w:color w:val="851C00" w:themeColor="accent6" w:themeShade="BF"/>
        </w:rPr>
        <w:t>Have the states addressed how intercompany transactions should be treated in the apportionment factor in complex partnership structures?</w:t>
      </w:r>
    </w:p>
    <w:p w14:paraId="1067A854" w14:textId="77777777" w:rsidR="000000D1" w:rsidRPr="000000D1" w:rsidRDefault="000000D1" w:rsidP="000000D1">
      <w:pPr>
        <w:spacing w:before="240" w:after="240"/>
        <w:ind w:left="720"/>
        <w:rPr>
          <w:rFonts w:eastAsia="Calibri" w:cs="Times New Roman"/>
        </w:rPr>
      </w:pPr>
      <w:r w:rsidRPr="000000D1">
        <w:rPr>
          <w:rFonts w:eastAsia="Calibri" w:cs="Times New Roman"/>
        </w:rPr>
        <w:t>States vary on whether intercompany transactions must be eliminated from the apportionment factors in complicated structures. Some examples of states with express provisions where certain intercompany sales are excluded include California, Hawaii, Idaho, Indiana, Maine, Massachusetts, Michigan, Nebraska, New Jersey, and Oregon.</w:t>
      </w:r>
    </w:p>
    <w:p w14:paraId="73B14972" w14:textId="77777777" w:rsidR="000000D1" w:rsidRPr="000000D1" w:rsidRDefault="000000D1" w:rsidP="000000D1">
      <w:pPr>
        <w:keepNext/>
        <w:keepLines/>
        <w:pBdr>
          <w:bottom w:val="single" w:sz="4" w:space="1" w:color="auto"/>
        </w:pBdr>
        <w:spacing w:before="160" w:after="80"/>
        <w:ind w:left="720"/>
        <w:outlineLvl w:val="3"/>
        <w:rPr>
          <w:rFonts w:asciiTheme="majorHAnsi" w:eastAsiaTheme="majorEastAsia" w:hAnsiTheme="majorHAnsi" w:cstheme="majorBidi"/>
          <w:iCs/>
          <w:color w:val="851C00" w:themeColor="accent6" w:themeShade="BF"/>
        </w:rPr>
      </w:pPr>
      <w:r w:rsidRPr="000000D1">
        <w:rPr>
          <w:rFonts w:asciiTheme="majorHAnsi" w:eastAsiaTheme="majorEastAsia" w:hAnsiTheme="majorHAnsi" w:cstheme="majorBidi"/>
          <w:iCs/>
          <w:color w:val="851C00" w:themeColor="accent6" w:themeShade="BF"/>
        </w:rPr>
        <w:t>Have the states addressed how special allocations should be treated in complex partnership structures?</w:t>
      </w:r>
    </w:p>
    <w:p w14:paraId="735B9DB0" w14:textId="77777777" w:rsidR="000000D1" w:rsidRPr="000000D1" w:rsidRDefault="000000D1" w:rsidP="000000D1">
      <w:pPr>
        <w:spacing w:before="240" w:after="240"/>
        <w:ind w:left="720"/>
        <w:rPr>
          <w:rFonts w:eastAsia="Calibri" w:cs="Times New Roman"/>
        </w:rPr>
      </w:pPr>
      <w:r w:rsidRPr="000000D1">
        <w:rPr>
          <w:rFonts w:eastAsia="Calibri" w:cs="Times New Roman"/>
        </w:rPr>
        <w:t xml:space="preserve">Most of the states conform to the federal partnership principals on substantial economic effect. Several states (Connecticut, Kansas, Louisiana, Maine, Missouri, New York, Rhode Island, Virginia, West Virginia, and Wisconsin) also expressly state that a special allocation will be disallowed if the principal purpose is to avoid or evade </w:t>
      </w:r>
      <w:r w:rsidRPr="000000D1">
        <w:rPr>
          <w:rFonts w:eastAsia="Calibri" w:cs="Times New Roman"/>
          <w:i/>
          <w:iCs/>
        </w:rPr>
        <w:t>state</w:t>
      </w:r>
      <w:r w:rsidRPr="000000D1">
        <w:rPr>
          <w:rFonts w:eastAsia="Calibri" w:cs="Times New Roman"/>
        </w:rPr>
        <w:t xml:space="preserve"> tax. </w:t>
      </w:r>
    </w:p>
    <w:p w14:paraId="1CBD4BC5" w14:textId="77777777" w:rsidR="000000D1" w:rsidRPr="000000D1" w:rsidRDefault="000000D1" w:rsidP="000000D1">
      <w:pPr>
        <w:keepNext/>
        <w:keepLines/>
        <w:pBdr>
          <w:bottom w:val="single" w:sz="4" w:space="1" w:color="auto"/>
        </w:pBdr>
        <w:spacing w:before="160" w:after="80"/>
        <w:ind w:left="720"/>
        <w:outlineLvl w:val="3"/>
        <w:rPr>
          <w:rFonts w:asciiTheme="majorHAnsi" w:eastAsiaTheme="majorEastAsia" w:hAnsiTheme="majorHAnsi" w:cstheme="majorBidi"/>
          <w:iCs/>
          <w:color w:val="851C00" w:themeColor="accent6" w:themeShade="BF"/>
        </w:rPr>
      </w:pPr>
      <w:r w:rsidRPr="000000D1">
        <w:rPr>
          <w:rFonts w:asciiTheme="majorHAnsi" w:eastAsiaTheme="majorEastAsia" w:hAnsiTheme="majorHAnsi" w:cstheme="majorBidi"/>
          <w:iCs/>
          <w:color w:val="851C00" w:themeColor="accent6" w:themeShade="BF"/>
        </w:rPr>
        <w:t>Have the states addressed whether alternative apportionment applies when there are complex partnership structures?</w:t>
      </w:r>
    </w:p>
    <w:p w14:paraId="25108E86" w14:textId="77777777" w:rsidR="000000D1" w:rsidRPr="000000D1" w:rsidRDefault="000000D1" w:rsidP="000000D1">
      <w:pPr>
        <w:ind w:left="720"/>
        <w:contextualSpacing/>
        <w:rPr>
          <w:rFonts w:eastAsia="Calibri" w:cs="Times New Roman"/>
        </w:rPr>
      </w:pPr>
      <w:r w:rsidRPr="000000D1">
        <w:rPr>
          <w:rFonts w:eastAsia="Calibri" w:cs="Times New Roman"/>
        </w:rPr>
        <w:t xml:space="preserve">Several states (Arkansas, Florida, Illinois, Kansas, Maryland, Massachusetts, New Jersey, North Carolina, Ohio, Rhode Island, Tennessee, Virginia and West Virginia) have alternative apportionment provisions that are expressly applicable when partnerships are involved and the requirements for alternative apportionment are otherwise met. In addition, some state alternative apportionment rules are applicable to “taxpayers.” If a state includes partnerships in their definition for taxpayers, alternative apportionment could be applicable if the statutory requirements are otherwise met. </w:t>
      </w:r>
    </w:p>
    <w:p w14:paraId="073868E0" w14:textId="77777777" w:rsidR="000000D1" w:rsidRPr="000000D1" w:rsidRDefault="000000D1" w:rsidP="000000D1">
      <w:pPr>
        <w:spacing w:line="276" w:lineRule="auto"/>
        <w:jc w:val="left"/>
        <w:rPr>
          <w:rFonts w:asciiTheme="majorHAnsi" w:eastAsiaTheme="majorEastAsia" w:hAnsiTheme="majorHAnsi" w:cstheme="majorBidi"/>
          <w:b/>
          <w:color w:val="851C00" w:themeColor="accent6" w:themeShade="BF"/>
          <w:sz w:val="26"/>
          <w:szCs w:val="26"/>
          <w:u w:val="single"/>
        </w:rPr>
      </w:pPr>
    </w:p>
    <w:p w14:paraId="1A1C03B6" w14:textId="42ABAFAA" w:rsidR="000000D1" w:rsidRPr="000000D1" w:rsidRDefault="000000D1" w:rsidP="000000D1">
      <w:pPr>
        <w:keepNext/>
        <w:keepLines/>
        <w:spacing w:before="240" w:after="160"/>
        <w:jc w:val="center"/>
        <w:outlineLvl w:val="1"/>
        <w:rPr>
          <w:rFonts w:asciiTheme="majorHAnsi" w:eastAsiaTheme="majorEastAsia" w:hAnsiTheme="majorHAnsi" w:cstheme="majorBidi"/>
          <w:b/>
          <w:color w:val="851C00" w:themeColor="accent6" w:themeShade="BF"/>
          <w:sz w:val="26"/>
          <w:szCs w:val="26"/>
          <w:u w:val="single"/>
        </w:rPr>
      </w:pPr>
      <w:bookmarkStart w:id="91" w:name="_Toc153291172"/>
      <w:bookmarkStart w:id="92" w:name="_Toc198480762"/>
      <w:r w:rsidRPr="000000D1">
        <w:rPr>
          <w:rFonts w:asciiTheme="majorHAnsi" w:eastAsiaTheme="majorEastAsia" w:hAnsiTheme="majorHAnsi" w:cstheme="majorBidi"/>
          <w:b/>
          <w:color w:val="851C00" w:themeColor="accent6" w:themeShade="BF"/>
          <w:sz w:val="26"/>
          <w:szCs w:val="26"/>
          <w:u w:val="single"/>
        </w:rPr>
        <w:t>I</w:t>
      </w:r>
      <w:r w:rsidR="008B1BEA">
        <w:rPr>
          <w:rFonts w:asciiTheme="majorHAnsi" w:eastAsiaTheme="majorEastAsia" w:hAnsiTheme="majorHAnsi" w:cstheme="majorBidi"/>
          <w:b/>
          <w:color w:val="851C00" w:themeColor="accent6" w:themeShade="BF"/>
          <w:sz w:val="26"/>
          <w:szCs w:val="26"/>
          <w:u w:val="single"/>
        </w:rPr>
        <w:t>II</w:t>
      </w:r>
      <w:r w:rsidRPr="000000D1">
        <w:rPr>
          <w:rFonts w:asciiTheme="majorHAnsi" w:eastAsiaTheme="majorEastAsia" w:hAnsiTheme="majorHAnsi" w:cstheme="majorBidi"/>
          <w:b/>
          <w:color w:val="851C00" w:themeColor="accent6" w:themeShade="BF"/>
          <w:sz w:val="26"/>
          <w:szCs w:val="26"/>
          <w:u w:val="single"/>
        </w:rPr>
        <w:t xml:space="preserve">. B.  State Rules on </w:t>
      </w:r>
      <w:bookmarkEnd w:id="91"/>
      <w:r w:rsidRPr="000000D1">
        <w:rPr>
          <w:rFonts w:asciiTheme="majorHAnsi" w:eastAsiaTheme="majorEastAsia" w:hAnsiTheme="majorHAnsi" w:cstheme="majorBidi"/>
          <w:b/>
          <w:color w:val="851C00" w:themeColor="accent6" w:themeShade="BF"/>
          <w:sz w:val="26"/>
          <w:szCs w:val="26"/>
          <w:u w:val="single"/>
        </w:rPr>
        <w:t>Sourcing for Complex Partnership Sourcing</w:t>
      </w:r>
      <w:bookmarkEnd w:id="92"/>
    </w:p>
    <w:p w14:paraId="3FC728A5" w14:textId="22166D5C" w:rsidR="000000D1" w:rsidRPr="000000D1" w:rsidRDefault="000000D1" w:rsidP="000000D1">
      <w:pPr>
        <w:rPr>
          <w:rFonts w:eastAsia="Calibri" w:cs="Times New Roman"/>
        </w:rPr>
      </w:pPr>
      <w:r w:rsidRPr="000000D1">
        <w:rPr>
          <w:rFonts w:eastAsia="Calibri" w:cs="Times New Roman"/>
        </w:rPr>
        <w:t xml:space="preserve">This subsection </w:t>
      </w:r>
      <w:r w:rsidR="00C24655">
        <w:rPr>
          <w:rFonts w:eastAsia="Calibri" w:cs="Times New Roman"/>
        </w:rPr>
        <w:t>II</w:t>
      </w:r>
      <w:r w:rsidRPr="000000D1">
        <w:rPr>
          <w:rFonts w:eastAsia="Calibri" w:cs="Times New Roman"/>
        </w:rPr>
        <w:t>I. B. sets forth the detailed rules in states that have explicitly addressed sourcing for complex partnership structures in statutes, regulations, cases, form instructions, or guidance.</w:t>
      </w:r>
    </w:p>
    <w:p w14:paraId="566F1F60"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93" w:name="_Toc146825312"/>
      <w:bookmarkStart w:id="94" w:name="_Toc198480763"/>
      <w:bookmarkEnd w:id="84"/>
      <w:bookmarkEnd w:id="85"/>
      <w:r w:rsidRPr="000000D1">
        <w:rPr>
          <w:rFonts w:ascii="Californian FB" w:eastAsia="Times New Roman" w:hAnsi="Californian FB" w:cs="Times New Roman"/>
          <w:b/>
          <w:color w:val="851C00"/>
          <w:sz w:val="24"/>
          <w:szCs w:val="24"/>
          <w:u w:val="single"/>
        </w:rPr>
        <w:t>Alabama</w:t>
      </w:r>
      <w:bookmarkEnd w:id="93"/>
      <w:bookmarkEnd w:id="94"/>
    </w:p>
    <w:p w14:paraId="00139320" w14:textId="77777777" w:rsidR="000000D1" w:rsidRPr="000000D1" w:rsidRDefault="000000D1" w:rsidP="000000D1">
      <w:pPr>
        <w:ind w:left="720"/>
        <w:rPr>
          <w:rFonts w:eastAsia="Calibri" w:cs="Times New Roman"/>
        </w:rPr>
      </w:pPr>
      <w:r w:rsidRPr="000000D1">
        <w:rPr>
          <w:rFonts w:eastAsia="Calibri" w:cs="Times New Roman"/>
        </w:rPr>
        <w:t xml:space="preserve">Ala. Admin Code r. 810-27-1-.09(3) </w:t>
      </w:r>
    </w:p>
    <w:p w14:paraId="09FFDFA9" w14:textId="77777777" w:rsidR="000000D1" w:rsidRPr="000000D1" w:rsidRDefault="000000D1" w:rsidP="000000D1">
      <w:pPr>
        <w:ind w:left="1440"/>
        <w:rPr>
          <w:rFonts w:eastAsia="Calibri" w:cs="Times New Roman"/>
        </w:rPr>
      </w:pPr>
      <w:r w:rsidRPr="000000D1">
        <w:rPr>
          <w:rFonts w:eastAsia="Calibri" w:cs="Times New Roman"/>
        </w:rPr>
        <w:t>For taxpayers with a business interest in an unincorporated entity (e.g., partnership, unincorporated joint-venture, limited liability company taxed as a partnership, etc.), the apportionment formula shall include the pro rata share of the unincorporated entity's factor data.</w:t>
      </w:r>
    </w:p>
    <w:p w14:paraId="3834103E" w14:textId="77777777" w:rsidR="000000D1" w:rsidRPr="000000D1" w:rsidRDefault="000000D1" w:rsidP="000000D1">
      <w:pPr>
        <w:pBdr>
          <w:bottom w:val="single" w:sz="4" w:space="0" w:color="auto"/>
        </w:pBdr>
        <w:rPr>
          <w:rFonts w:eastAsia="Calibri" w:cs="Times New Roman"/>
        </w:rPr>
      </w:pPr>
    </w:p>
    <w:p w14:paraId="405FE459"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95" w:name="_Toc198480764"/>
      <w:bookmarkStart w:id="96" w:name="_Toc146825313"/>
      <w:r w:rsidRPr="000000D1">
        <w:rPr>
          <w:rFonts w:ascii="Californian FB" w:eastAsia="Times New Roman" w:hAnsi="Californian FB" w:cs="Times New Roman"/>
          <w:b/>
          <w:color w:val="851C00"/>
          <w:sz w:val="24"/>
          <w:szCs w:val="24"/>
          <w:u w:val="single"/>
        </w:rPr>
        <w:t>Alaska</w:t>
      </w:r>
      <w:bookmarkEnd w:id="95"/>
    </w:p>
    <w:p w14:paraId="39C7F915" w14:textId="77777777" w:rsidR="000000D1" w:rsidRPr="000000D1" w:rsidRDefault="000000D1" w:rsidP="000000D1">
      <w:pPr>
        <w:ind w:left="720"/>
        <w:contextualSpacing/>
        <w:rPr>
          <w:rFonts w:eastAsia="Calibri" w:cs="Times New Roman"/>
        </w:rPr>
      </w:pPr>
      <w:r w:rsidRPr="000000D1">
        <w:rPr>
          <w:rFonts w:eastAsia="Calibri" w:cs="Times New Roman"/>
        </w:rPr>
        <w:t xml:space="preserve">Alaska Form 6900 Instructions from 2022 </w:t>
      </w:r>
    </w:p>
    <w:p w14:paraId="47AB70CC" w14:textId="77777777" w:rsidR="000000D1" w:rsidRPr="000000D1" w:rsidRDefault="000000D1" w:rsidP="000000D1">
      <w:pPr>
        <w:contextualSpacing/>
        <w:rPr>
          <w:rFonts w:eastAsia="Calibri" w:cs="Times New Roman"/>
        </w:rPr>
      </w:pPr>
    </w:p>
    <w:p w14:paraId="1713179B" w14:textId="77777777" w:rsidR="000000D1" w:rsidRPr="000000D1" w:rsidRDefault="000000D1" w:rsidP="000000D1">
      <w:pPr>
        <w:ind w:left="1440"/>
        <w:rPr>
          <w:rFonts w:eastAsia="Calibri" w:cs="Times New Roman"/>
        </w:rPr>
      </w:pPr>
      <w:r w:rsidRPr="000000D1">
        <w:rPr>
          <w:rFonts w:eastAsia="Calibri" w:cs="Times New Roman"/>
        </w:rPr>
        <w:t>A partnership is required to file Form 6900, even if the partnership itself does not conduct business in the state, but owns a partnership interest in a lower-tier partnership doing business in the state, because of the attribution rule . . . Nexus is sometimes referred to as “doing business” within the state. It is the act of conducting business activity within the state during the tax year. It may exist as a result of an entity’s direct activity, the activity of its employees or agents, or through its interest in a lower-tier partnership or LLC . . . A lower-tiered partnership is required to file Form 6900 if it has nexus in Alaska and any partner is a corporation or another partnership, even if the partners of the higher-level partnership are all natural persons or those effectively treated as natural persons . . . Indicate whether the partnership has an ownership interest in any foreign partnership. Attach a schedule showing the name, EIN, and the ownership percentage held of each foreign partnership. If the foreign partnership has an ownership interest in a foreign corporation, the ownership is attributed to the upper- tier partnership, including all tax attributes such as apportionment factor . . .</w:t>
      </w:r>
      <w:r w:rsidRPr="000000D1">
        <w:t xml:space="preserve"> </w:t>
      </w:r>
      <w:r w:rsidRPr="000000D1">
        <w:rPr>
          <w:rFonts w:eastAsia="Calibri" w:cs="Times New Roman"/>
        </w:rPr>
        <w:t>If you answered yes to question 1c on page 1 of Form 6900,  then the amounts in Schedule A, column A must include amounts attributed to the partnership from lower-tier partnerships.</w:t>
      </w:r>
    </w:p>
    <w:p w14:paraId="527D5273" w14:textId="77777777" w:rsidR="000000D1" w:rsidRPr="000000D1" w:rsidRDefault="000000D1" w:rsidP="000000D1">
      <w:pPr>
        <w:ind w:left="720"/>
        <w:contextualSpacing/>
        <w:rPr>
          <w:rFonts w:eastAsia="Calibri" w:cs="Times New Roman"/>
        </w:rPr>
      </w:pPr>
      <w:r w:rsidRPr="000000D1">
        <w:rPr>
          <w:rFonts w:eastAsia="Calibri" w:cs="Times New Roman"/>
        </w:rPr>
        <w:t xml:space="preserve">Alaska Admin. Code tit. 15, § 20.320(a) </w:t>
      </w:r>
    </w:p>
    <w:p w14:paraId="2CD0E803" w14:textId="77777777" w:rsidR="000000D1" w:rsidRPr="000000D1" w:rsidRDefault="000000D1" w:rsidP="000000D1">
      <w:pPr>
        <w:contextualSpacing/>
        <w:rPr>
          <w:rFonts w:eastAsia="Calibri" w:cs="Times New Roman"/>
        </w:rPr>
      </w:pPr>
    </w:p>
    <w:p w14:paraId="65617395" w14:textId="77777777" w:rsidR="000000D1" w:rsidRPr="000000D1" w:rsidRDefault="000000D1" w:rsidP="000000D1">
      <w:pPr>
        <w:ind w:left="1440"/>
        <w:rPr>
          <w:rFonts w:eastAsia="Calibri" w:cs="Times New Roman"/>
        </w:rPr>
      </w:pPr>
      <w:r w:rsidRPr="000000D1">
        <w:rPr>
          <w:rFonts w:eastAsia="Calibri" w:cs="Times New Roman"/>
        </w:rPr>
        <w:t>The income, expenses, assets, and apportionment factors of an enterprise involving undivided joint ownership must be attributed to the joint owners of that enterprise on the basis of their respective ownership interests, as may be modified by agreement among those joint owners. For purposes of this section, partnerships, joint ventures, trusts with joint beneficiaries and similar legal entities but not a single corporation, are enterprises involving undivided joint ownership.</w:t>
      </w:r>
    </w:p>
    <w:p w14:paraId="669C19AE" w14:textId="77777777" w:rsidR="000000D1" w:rsidRPr="000000D1" w:rsidRDefault="000000D1" w:rsidP="000000D1">
      <w:pPr>
        <w:pBdr>
          <w:bottom w:val="single" w:sz="4" w:space="0" w:color="auto"/>
        </w:pBdr>
        <w:rPr>
          <w:rFonts w:eastAsia="Calibri" w:cs="Times New Roman"/>
        </w:rPr>
      </w:pPr>
    </w:p>
    <w:p w14:paraId="0D922066"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97" w:name="_Toc198480765"/>
      <w:r w:rsidRPr="000000D1">
        <w:rPr>
          <w:rFonts w:ascii="Californian FB" w:eastAsia="Times New Roman" w:hAnsi="Californian FB" w:cs="Times New Roman"/>
          <w:b/>
          <w:color w:val="851C00"/>
          <w:sz w:val="24"/>
          <w:szCs w:val="24"/>
          <w:u w:val="single"/>
        </w:rPr>
        <w:t>Arizona</w:t>
      </w:r>
      <w:bookmarkEnd w:id="97"/>
    </w:p>
    <w:p w14:paraId="39F1AA05" w14:textId="77777777" w:rsidR="000000D1" w:rsidRPr="000000D1" w:rsidRDefault="000000D1" w:rsidP="000000D1">
      <w:pPr>
        <w:ind w:left="720"/>
        <w:contextualSpacing/>
        <w:rPr>
          <w:rFonts w:eastAsia="Calibri" w:cs="Times New Roman"/>
        </w:rPr>
      </w:pPr>
      <w:r w:rsidRPr="000000D1">
        <w:rPr>
          <w:rFonts w:eastAsia="Calibri" w:cs="Times New Roman"/>
        </w:rPr>
        <w:t xml:space="preserve">Ariz. Rev. Stat. Ann. § 43-306 </w:t>
      </w:r>
    </w:p>
    <w:p w14:paraId="071447CE" w14:textId="77777777" w:rsidR="000000D1" w:rsidRPr="000000D1" w:rsidRDefault="000000D1" w:rsidP="000000D1">
      <w:pPr>
        <w:contextualSpacing/>
        <w:rPr>
          <w:rFonts w:eastAsia="Calibri" w:cs="Times New Roman"/>
        </w:rPr>
      </w:pPr>
    </w:p>
    <w:p w14:paraId="30134FFA" w14:textId="77777777" w:rsidR="000000D1" w:rsidRPr="000000D1" w:rsidRDefault="000000D1" w:rsidP="000000D1">
      <w:pPr>
        <w:ind w:left="1440"/>
        <w:rPr>
          <w:rFonts w:eastAsia="Calibri" w:cs="Times New Roman"/>
        </w:rPr>
      </w:pPr>
      <w:r w:rsidRPr="000000D1">
        <w:rPr>
          <w:rFonts w:eastAsia="Calibri" w:cs="Times New Roman"/>
        </w:rPr>
        <w:t>The allocation and apportionment of income of a partnership that has nonresident partners shall be made pursuant to chapter 11, article 4 of this title.</w:t>
      </w:r>
    </w:p>
    <w:p w14:paraId="6FEFEEC0" w14:textId="77777777" w:rsidR="000000D1" w:rsidRPr="000000D1" w:rsidRDefault="000000D1" w:rsidP="000000D1">
      <w:pPr>
        <w:ind w:left="720"/>
        <w:contextualSpacing/>
        <w:rPr>
          <w:rFonts w:eastAsia="Calibri" w:cs="Times New Roman"/>
        </w:rPr>
      </w:pPr>
      <w:r w:rsidRPr="000000D1">
        <w:rPr>
          <w:rFonts w:eastAsia="Calibri" w:cs="Times New Roman"/>
        </w:rPr>
        <w:lastRenderedPageBreak/>
        <w:t xml:space="preserve">Arizona Corporate Tax Ruling No. 93-9 (04/30/1993) </w:t>
      </w:r>
    </w:p>
    <w:p w14:paraId="62A74026" w14:textId="77777777" w:rsidR="000000D1" w:rsidRPr="000000D1" w:rsidRDefault="000000D1" w:rsidP="000000D1">
      <w:pPr>
        <w:contextualSpacing/>
        <w:rPr>
          <w:rFonts w:eastAsia="Calibri" w:cs="Times New Roman"/>
        </w:rPr>
      </w:pPr>
    </w:p>
    <w:p w14:paraId="4554CA25" w14:textId="77777777" w:rsidR="000000D1" w:rsidRPr="000000D1" w:rsidRDefault="000000D1" w:rsidP="000000D1">
      <w:pPr>
        <w:ind w:left="1440"/>
        <w:rPr>
          <w:rFonts w:eastAsia="Calibri" w:cs="Times New Roman"/>
        </w:rPr>
      </w:pPr>
      <w:r w:rsidRPr="000000D1">
        <w:rPr>
          <w:rFonts w:eastAsia="Calibri" w:cs="Times New Roman"/>
        </w:rPr>
        <w:t>A multistate corporation that has a partnership interest in a partnership that is a partner in a tiered partnership must also report its ultimate distributive share of the tiered  partnership's income or loss from Arizona activities.</w:t>
      </w:r>
    </w:p>
    <w:p w14:paraId="60DBCD33" w14:textId="77777777" w:rsidR="000000D1" w:rsidRPr="000000D1" w:rsidRDefault="000000D1" w:rsidP="000000D1">
      <w:pPr>
        <w:ind w:left="1440"/>
        <w:rPr>
          <w:rFonts w:eastAsia="Calibri" w:cs="Times New Roman"/>
        </w:rPr>
      </w:pPr>
      <w:r w:rsidRPr="000000D1">
        <w:rPr>
          <w:rFonts w:eastAsia="Calibri" w:cs="Times New Roman"/>
        </w:rPr>
        <w:t>Example:</w:t>
      </w:r>
    </w:p>
    <w:p w14:paraId="6B5BFC9C" w14:textId="77777777" w:rsidR="000000D1" w:rsidRPr="000000D1" w:rsidRDefault="000000D1" w:rsidP="000000D1">
      <w:pPr>
        <w:ind w:left="1440"/>
        <w:rPr>
          <w:rFonts w:eastAsia="Calibri" w:cs="Times New Roman"/>
        </w:rPr>
      </w:pPr>
      <w:r w:rsidRPr="000000D1">
        <w:rPr>
          <w:rFonts w:eastAsia="Calibri" w:cs="Times New Roman"/>
        </w:rPr>
        <w:t>Partnership A has a 50% apportionment ratio for its Arizona  operations. Partnership  B has a 25% interest in Partnership A. Corporation C has a 10% interest in Partnership  B. Partnership B does not have any other connection with Arizona  other than its partnership  interest. Corporation C has business activities within and without Arizona  in addition to its partnership interest in a partnership that is a partner in a tiered partnership.</w:t>
      </w:r>
    </w:p>
    <w:p w14:paraId="42F6D9C5" w14:textId="77777777" w:rsidR="000000D1" w:rsidRPr="000000D1" w:rsidRDefault="000000D1" w:rsidP="000000D1">
      <w:pPr>
        <w:ind w:left="1440"/>
        <w:rPr>
          <w:rFonts w:eastAsia="Calibri" w:cs="Times New Roman"/>
        </w:rPr>
      </w:pPr>
      <w:r w:rsidRPr="000000D1">
        <w:rPr>
          <w:rFonts w:eastAsia="Calibri" w:cs="Times New Roman"/>
        </w:rPr>
        <w:t>Corporation C must file an Arizona corporate income tax return apportioning its income from business activities within and without Arizona. Corporation C must also report its ultimate distributive share of Partnership A's Arizona income, loss, gain and other items. If Corporation C has a business partnership interest in Partnership B, the corporation will apportion its income or loss from the tiered partnership. If Corporation C has a nonbusiness partnership interest in Partnership B, the corporation will allocate its income or loss from the tiered partnership.</w:t>
      </w:r>
    </w:p>
    <w:p w14:paraId="130D2007" w14:textId="77777777" w:rsidR="000000D1" w:rsidRPr="000000D1" w:rsidRDefault="000000D1" w:rsidP="000000D1">
      <w:pPr>
        <w:ind w:left="720"/>
        <w:contextualSpacing/>
        <w:rPr>
          <w:rFonts w:eastAsia="Calibri" w:cs="Times New Roman"/>
        </w:rPr>
      </w:pPr>
      <w:r w:rsidRPr="000000D1">
        <w:rPr>
          <w:rFonts w:eastAsia="Calibri" w:cs="Times New Roman"/>
        </w:rPr>
        <w:t xml:space="preserve">Arizona Corporate Tax Ruling No. 93-10 (04/30/1993) </w:t>
      </w:r>
    </w:p>
    <w:p w14:paraId="79926EA0" w14:textId="77777777" w:rsidR="000000D1" w:rsidRPr="000000D1" w:rsidRDefault="000000D1" w:rsidP="000000D1">
      <w:pPr>
        <w:contextualSpacing/>
        <w:rPr>
          <w:rFonts w:eastAsia="Calibri" w:cs="Times New Roman"/>
        </w:rPr>
      </w:pPr>
    </w:p>
    <w:p w14:paraId="01AAF846" w14:textId="77777777" w:rsidR="000000D1" w:rsidRPr="000000D1" w:rsidRDefault="000000D1" w:rsidP="000000D1">
      <w:pPr>
        <w:ind w:left="1440"/>
        <w:rPr>
          <w:rFonts w:eastAsia="Calibri" w:cs="Times New Roman"/>
        </w:rPr>
      </w:pPr>
      <w:r w:rsidRPr="000000D1">
        <w:rPr>
          <w:rFonts w:eastAsia="Calibri" w:cs="Times New Roman"/>
        </w:rPr>
        <w:t>A corporation that does not have any connection with Arizona, other than a partnership interest in a partnership that is a partner in a tiered partnership, must apportion or allocate its ultimate distributive share of the tiered partnership's income or loss from Arizona activities. If the corporation's interest in the tiered partnership is business, the numerator and denominator of the corporation's apportionment factors in the Arizona tax return would include the corporation's distributive share of the tiered partnership's factors. The allocation of a tiered nonbusiness partnership's income or loss in the corporation's Arizona tax return would reflect the corporation's ultimate distributive share of the tiered partnership's Arizona activities.</w:t>
      </w:r>
    </w:p>
    <w:p w14:paraId="17034A8F" w14:textId="77777777" w:rsidR="000000D1" w:rsidRPr="000000D1" w:rsidRDefault="000000D1" w:rsidP="000000D1">
      <w:pPr>
        <w:ind w:left="1440"/>
        <w:rPr>
          <w:rFonts w:eastAsia="Calibri" w:cs="Times New Roman"/>
        </w:rPr>
      </w:pPr>
      <w:r w:rsidRPr="000000D1">
        <w:rPr>
          <w:rFonts w:eastAsia="Calibri" w:cs="Times New Roman"/>
        </w:rPr>
        <w:t>A multistate corporation that has business activities within and without Arizona must apportion its income from such activities in addition to the apportionment or allocation of its ultimate distributive share of the tiered partnership's income or loss from Arizona activities. If the corporation's interest in the tiered partnership is business, the numerator and denominator of the corporation's apportionment factors in the Arizona tax return would include the corporation's distributive share of the tiered partnership's factors. The allocation of a tiered nonbusiness partnership's income or loss in the corporation's Arizona tax return would reflect the corporation's ultimate distributive share of the tiered partnership's Arizona activities.</w:t>
      </w:r>
    </w:p>
    <w:p w14:paraId="744FFB1B" w14:textId="77777777" w:rsidR="000000D1" w:rsidRPr="000000D1" w:rsidRDefault="000000D1" w:rsidP="000000D1">
      <w:pPr>
        <w:ind w:firstLine="720"/>
        <w:contextualSpacing/>
        <w:rPr>
          <w:rFonts w:eastAsia="Calibri" w:cs="Times New Roman"/>
        </w:rPr>
      </w:pPr>
      <w:r w:rsidRPr="000000D1">
        <w:rPr>
          <w:rFonts w:eastAsia="Calibri" w:cs="Times New Roman"/>
        </w:rPr>
        <w:t>Arizona DOR Publication No. 713 (2/1/2023)</w:t>
      </w:r>
    </w:p>
    <w:p w14:paraId="3B6143A1" w14:textId="77777777" w:rsidR="000000D1" w:rsidRPr="000000D1" w:rsidRDefault="000000D1" w:rsidP="000000D1">
      <w:pPr>
        <w:ind w:left="720"/>
        <w:contextualSpacing/>
        <w:rPr>
          <w:rFonts w:eastAsia="Calibri" w:cs="Times New Roman"/>
        </w:rPr>
      </w:pPr>
    </w:p>
    <w:p w14:paraId="1D6C450B" w14:textId="77777777" w:rsidR="000000D1" w:rsidRPr="000000D1" w:rsidRDefault="000000D1" w:rsidP="000000D1">
      <w:pPr>
        <w:ind w:left="720" w:firstLine="720"/>
        <w:contextualSpacing/>
        <w:rPr>
          <w:rFonts w:eastAsia="Calibri" w:cs="Times New Roman"/>
          <w:i/>
          <w:iCs/>
        </w:rPr>
      </w:pPr>
      <w:r w:rsidRPr="000000D1">
        <w:rPr>
          <w:rFonts w:eastAsia="Calibri" w:cs="Times New Roman"/>
          <w:i/>
          <w:iCs/>
        </w:rPr>
        <w:t>Example of a Partnership Using a Special  Allocation</w:t>
      </w:r>
    </w:p>
    <w:p w14:paraId="5DA16A65" w14:textId="77777777" w:rsidR="000000D1" w:rsidRPr="000000D1" w:rsidRDefault="000000D1" w:rsidP="000000D1">
      <w:pPr>
        <w:ind w:left="1440"/>
        <w:contextualSpacing/>
        <w:rPr>
          <w:rFonts w:eastAsia="Calibri" w:cs="Times New Roman"/>
        </w:rPr>
      </w:pPr>
      <w:r w:rsidRPr="000000D1">
        <w:rPr>
          <w:rFonts w:eastAsia="Calibri" w:cs="Times New Roman"/>
        </w:rPr>
        <w:t>The PTE Credit and PTE Taxes Paid are allocated to the partner based on his/her proportionate share of income that is attributable to that partner for Arizona tax purposes. For example, if the taxable income of a partner is 60% of the partnership's taxable income, that partner is entitled to 60% of the PTE Credit, and 60% of the PTE taxes paid by the partnership.</w:t>
      </w:r>
    </w:p>
    <w:p w14:paraId="147B95C3" w14:textId="77777777" w:rsidR="000000D1" w:rsidRPr="000000D1" w:rsidRDefault="000000D1" w:rsidP="000000D1">
      <w:pPr>
        <w:ind w:left="720"/>
        <w:contextualSpacing/>
        <w:rPr>
          <w:rFonts w:eastAsia="Calibri" w:cs="Times New Roman"/>
        </w:rPr>
      </w:pPr>
    </w:p>
    <w:p w14:paraId="642D10FC" w14:textId="77777777" w:rsidR="000000D1" w:rsidRPr="000000D1" w:rsidRDefault="000000D1" w:rsidP="000000D1">
      <w:pPr>
        <w:ind w:left="1440"/>
        <w:contextualSpacing/>
        <w:rPr>
          <w:rFonts w:eastAsia="Calibri" w:cs="Times New Roman"/>
        </w:rPr>
      </w:pPr>
      <w:r w:rsidRPr="000000D1">
        <w:rPr>
          <w:rFonts w:eastAsia="Calibri" w:cs="Times New Roman"/>
        </w:rPr>
        <w:t>NOTE: The total of all PTE Credits or PTE taxes paid that is distributed to the partners cannot exceed the maximum amount of the credit or the total amount of PTE taxes paid.</w:t>
      </w:r>
    </w:p>
    <w:p w14:paraId="2FF187C3" w14:textId="77777777" w:rsidR="000000D1" w:rsidRPr="000000D1" w:rsidRDefault="000000D1" w:rsidP="000000D1">
      <w:pPr>
        <w:ind w:left="720"/>
        <w:contextualSpacing/>
        <w:rPr>
          <w:rFonts w:eastAsia="Calibri" w:cs="Times New Roman"/>
        </w:rPr>
      </w:pPr>
    </w:p>
    <w:p w14:paraId="5FF2131D" w14:textId="77777777" w:rsidR="000000D1" w:rsidRPr="000000D1" w:rsidRDefault="000000D1" w:rsidP="000000D1">
      <w:pPr>
        <w:ind w:left="1440"/>
        <w:contextualSpacing/>
        <w:rPr>
          <w:rFonts w:eastAsia="Calibri" w:cs="Times New Roman"/>
        </w:rPr>
      </w:pPr>
      <w:r w:rsidRPr="000000D1">
        <w:rPr>
          <w:rFonts w:eastAsia="Calibri" w:cs="Times New Roman"/>
        </w:rPr>
        <w:lastRenderedPageBreak/>
        <w:t>EXAMPLE: A partnership has two partners, A &amp; B. The partnership made the PTE election. Both partners, A &amp; B did not opt out of the PTE election. The partnership's Arizona taxable income for the year is $100,000. Due to a special  allocation, Partner A's distribution of the partnership income is $120,000. Partner B's distribution is ($20,000). The partnership's PTE tax credit for the year is $2,980 ($100,000 * 2.98%).</w:t>
      </w:r>
    </w:p>
    <w:p w14:paraId="64D4201E" w14:textId="77777777" w:rsidR="000000D1" w:rsidRPr="000000D1" w:rsidRDefault="000000D1" w:rsidP="000000D1">
      <w:pPr>
        <w:ind w:left="720"/>
        <w:contextualSpacing/>
        <w:rPr>
          <w:rFonts w:eastAsia="Calibri" w:cs="Times New Roman"/>
        </w:rPr>
      </w:pPr>
    </w:p>
    <w:p w14:paraId="38E0FDE9" w14:textId="77777777" w:rsidR="000000D1" w:rsidRPr="000000D1" w:rsidRDefault="000000D1" w:rsidP="000000D1">
      <w:pPr>
        <w:ind w:left="720" w:firstLine="720"/>
        <w:contextualSpacing/>
        <w:rPr>
          <w:rFonts w:eastAsia="Calibri" w:cs="Times New Roman"/>
        </w:rPr>
      </w:pPr>
      <w:r w:rsidRPr="000000D1">
        <w:rPr>
          <w:rFonts w:eastAsia="Calibri" w:cs="Times New Roman"/>
        </w:rPr>
        <w:t>Partner A's pass-through PTE tax credit is $2,980.</w:t>
      </w:r>
    </w:p>
    <w:p w14:paraId="2A799369" w14:textId="77777777" w:rsidR="000000D1" w:rsidRPr="000000D1" w:rsidRDefault="000000D1" w:rsidP="000000D1">
      <w:pPr>
        <w:ind w:left="720"/>
        <w:contextualSpacing/>
        <w:rPr>
          <w:rFonts w:eastAsia="Calibri" w:cs="Times New Roman"/>
        </w:rPr>
      </w:pPr>
    </w:p>
    <w:p w14:paraId="1518ECBA" w14:textId="77777777" w:rsidR="000000D1" w:rsidRPr="000000D1" w:rsidRDefault="000000D1" w:rsidP="000000D1">
      <w:pPr>
        <w:ind w:left="720" w:firstLine="720"/>
        <w:contextualSpacing/>
        <w:rPr>
          <w:rFonts w:eastAsia="Calibri" w:cs="Times New Roman"/>
        </w:rPr>
      </w:pPr>
      <w:r w:rsidRPr="000000D1">
        <w:rPr>
          <w:rFonts w:eastAsia="Calibri" w:cs="Times New Roman"/>
        </w:rPr>
        <w:t>Partner B does not receive a pass-through of the PTE tax credit.</w:t>
      </w:r>
    </w:p>
    <w:p w14:paraId="783E5D48" w14:textId="77777777" w:rsidR="000000D1" w:rsidRPr="000000D1" w:rsidRDefault="000000D1" w:rsidP="000000D1">
      <w:pPr>
        <w:ind w:left="720"/>
        <w:contextualSpacing/>
        <w:rPr>
          <w:rFonts w:eastAsia="Calibri" w:cs="Times New Roman"/>
        </w:rPr>
      </w:pPr>
    </w:p>
    <w:p w14:paraId="0B8D7876" w14:textId="77777777" w:rsidR="000000D1" w:rsidRPr="000000D1" w:rsidRDefault="000000D1" w:rsidP="000000D1">
      <w:pPr>
        <w:ind w:left="1440"/>
        <w:contextualSpacing/>
        <w:rPr>
          <w:rFonts w:eastAsia="Calibri" w:cs="Times New Roman"/>
          <w:i/>
          <w:iCs/>
        </w:rPr>
      </w:pPr>
      <w:r w:rsidRPr="000000D1">
        <w:rPr>
          <w:rFonts w:eastAsia="Calibri" w:cs="Times New Roman"/>
        </w:rPr>
        <w:t>NOTE: If a partnership uses a special allocation to distribute partnership income rather than ownership share, complete Schedules D and E of Form 165 using that special  allocation  method for each partner.</w:t>
      </w:r>
    </w:p>
    <w:p w14:paraId="4D531085" w14:textId="77777777" w:rsidR="000000D1" w:rsidRPr="000000D1" w:rsidRDefault="000000D1" w:rsidP="000000D1">
      <w:pPr>
        <w:pBdr>
          <w:bottom w:val="single" w:sz="4" w:space="0" w:color="auto"/>
        </w:pBdr>
        <w:rPr>
          <w:rFonts w:eastAsia="Calibri" w:cs="Times New Roman"/>
        </w:rPr>
      </w:pPr>
    </w:p>
    <w:p w14:paraId="06ADAD5D"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98" w:name="_Toc198480766"/>
      <w:r w:rsidRPr="000000D1">
        <w:rPr>
          <w:rFonts w:ascii="Californian FB" w:eastAsia="Times New Roman" w:hAnsi="Californian FB" w:cs="Times New Roman"/>
          <w:b/>
          <w:color w:val="851C00"/>
          <w:sz w:val="24"/>
          <w:szCs w:val="24"/>
          <w:u w:val="single"/>
        </w:rPr>
        <w:t>Arkansas</w:t>
      </w:r>
      <w:bookmarkEnd w:id="98"/>
    </w:p>
    <w:p w14:paraId="4FE0839A" w14:textId="77777777" w:rsidR="000000D1" w:rsidRPr="000000D1" w:rsidRDefault="000000D1" w:rsidP="000000D1">
      <w:pPr>
        <w:ind w:left="720"/>
        <w:contextualSpacing/>
        <w:rPr>
          <w:rFonts w:eastAsia="Calibri" w:cs="Times New Roman"/>
          <w:i/>
          <w:iCs/>
        </w:rPr>
      </w:pPr>
      <w:r w:rsidRPr="000000D1">
        <w:rPr>
          <w:rFonts w:eastAsia="Calibri" w:cs="Times New Roman"/>
        </w:rPr>
        <w:t xml:space="preserve">Ark. Code Ann. § 26-51-802(c) </w:t>
      </w:r>
    </w:p>
    <w:p w14:paraId="73259B56" w14:textId="77777777" w:rsidR="000000D1" w:rsidRPr="000000D1" w:rsidRDefault="000000D1" w:rsidP="000000D1">
      <w:pPr>
        <w:ind w:left="720"/>
        <w:contextualSpacing/>
        <w:rPr>
          <w:rFonts w:eastAsia="Calibri" w:cs="Times New Roman"/>
        </w:rPr>
      </w:pPr>
    </w:p>
    <w:p w14:paraId="04C51DC5" w14:textId="77777777" w:rsidR="000000D1" w:rsidRPr="000000D1" w:rsidRDefault="000000D1" w:rsidP="000000D1">
      <w:pPr>
        <w:ind w:left="1440"/>
        <w:contextualSpacing/>
        <w:rPr>
          <w:rFonts w:eastAsia="Calibri" w:cs="Times New Roman"/>
        </w:rPr>
      </w:pPr>
      <w:r w:rsidRPr="000000D1">
        <w:rPr>
          <w:rFonts w:eastAsia="Calibri" w:cs="Times New Roman"/>
        </w:rPr>
        <w:t>A partnership that files an Arkansas partnership return and has income from both within and without Arkansas shall apportion income to Arkansas under the Uniform Division of Income for Tax Purposes Act, § 26-51-701 et seq.</w:t>
      </w:r>
    </w:p>
    <w:p w14:paraId="1913B4DC" w14:textId="77777777" w:rsidR="000000D1" w:rsidRPr="000000D1" w:rsidRDefault="000000D1" w:rsidP="000000D1">
      <w:pPr>
        <w:contextualSpacing/>
        <w:rPr>
          <w:rFonts w:eastAsia="Calibri" w:cs="Times New Roman"/>
        </w:rPr>
      </w:pPr>
    </w:p>
    <w:p w14:paraId="240E086E" w14:textId="77777777" w:rsidR="000000D1" w:rsidRPr="000000D1" w:rsidRDefault="000000D1" w:rsidP="000000D1">
      <w:pPr>
        <w:ind w:left="1440"/>
        <w:rPr>
          <w:rFonts w:eastAsia="Calibri" w:cs="Times New Roman"/>
        </w:rPr>
      </w:pPr>
      <w:r w:rsidRPr="000000D1">
        <w:rPr>
          <w:rFonts w:eastAsia="Calibri" w:cs="Times New Roman"/>
        </w:rPr>
        <w:t>Subject to the provisions of § 26-51-202(e), all partnership income from activities within this state that is reflected on a partnership return shall be allocated to this state.</w:t>
      </w:r>
    </w:p>
    <w:p w14:paraId="496639C1" w14:textId="77777777" w:rsidR="000000D1" w:rsidRPr="000000D1" w:rsidRDefault="000000D1" w:rsidP="000000D1">
      <w:pPr>
        <w:ind w:left="720"/>
        <w:contextualSpacing/>
        <w:rPr>
          <w:rFonts w:eastAsia="Calibri" w:cs="Times New Roman"/>
        </w:rPr>
      </w:pPr>
      <w:r w:rsidRPr="000000D1">
        <w:rPr>
          <w:rFonts w:eastAsia="Calibri" w:cs="Times New Roman"/>
        </w:rPr>
        <w:t xml:space="preserve">Ark. Corp. Inc. Tax Regs. 1.26-51-802(b) </w:t>
      </w:r>
    </w:p>
    <w:p w14:paraId="71C27A20" w14:textId="77777777" w:rsidR="000000D1" w:rsidRPr="000000D1" w:rsidRDefault="000000D1" w:rsidP="000000D1">
      <w:pPr>
        <w:contextualSpacing/>
        <w:rPr>
          <w:rFonts w:eastAsia="Calibri" w:cs="Times New Roman"/>
        </w:rPr>
      </w:pPr>
    </w:p>
    <w:p w14:paraId="4CD415BC" w14:textId="77777777" w:rsidR="000000D1" w:rsidRPr="000000D1" w:rsidRDefault="000000D1" w:rsidP="000000D1">
      <w:pPr>
        <w:ind w:left="1440"/>
        <w:rPr>
          <w:rFonts w:eastAsia="Calibri" w:cs="Times New Roman"/>
        </w:rPr>
      </w:pPr>
      <w:r w:rsidRPr="000000D1">
        <w:rPr>
          <w:rFonts w:eastAsia="Calibri" w:cs="Times New Roman"/>
        </w:rPr>
        <w:t>Any taxpayer with an interest in a partnership which has gross income from sources within Arkansas must directly allocate the partnership's Arkansas income to Arkansas, rather than include partnership income and apportionment factors in the taxpayer's apportionment formula.</w:t>
      </w:r>
    </w:p>
    <w:p w14:paraId="7F52ADBA" w14:textId="77777777" w:rsidR="000000D1" w:rsidRPr="000000D1" w:rsidRDefault="000000D1" w:rsidP="000000D1">
      <w:pPr>
        <w:ind w:left="720"/>
        <w:contextualSpacing/>
        <w:rPr>
          <w:rFonts w:eastAsia="Calibri" w:cs="Times New Roman"/>
        </w:rPr>
      </w:pPr>
      <w:r w:rsidRPr="000000D1">
        <w:rPr>
          <w:rFonts w:eastAsia="Calibri" w:cs="Times New Roman"/>
        </w:rPr>
        <w:t xml:space="preserve">2023 Form AR1050 Instructions – Partnership Income Tax </w:t>
      </w:r>
    </w:p>
    <w:p w14:paraId="21DFB002" w14:textId="77777777" w:rsidR="000000D1" w:rsidRPr="000000D1" w:rsidRDefault="000000D1" w:rsidP="000000D1">
      <w:pPr>
        <w:ind w:left="720"/>
        <w:contextualSpacing/>
        <w:rPr>
          <w:rFonts w:eastAsia="Calibri" w:cs="Times New Roman"/>
        </w:rPr>
      </w:pPr>
    </w:p>
    <w:p w14:paraId="1D7004E3" w14:textId="77777777" w:rsidR="000000D1" w:rsidRPr="000000D1" w:rsidRDefault="000000D1" w:rsidP="000000D1">
      <w:pPr>
        <w:ind w:left="1440"/>
        <w:contextualSpacing/>
        <w:rPr>
          <w:rFonts w:eastAsia="Calibri" w:cs="Times New Roman"/>
        </w:rPr>
      </w:pPr>
      <w:r w:rsidRPr="000000D1">
        <w:rPr>
          <w:rFonts w:eastAsia="Calibri" w:cs="Times New Roman"/>
        </w:rPr>
        <w:t>If the allocation and apportionment provisions as set out above do not fairly represent the extent of the taxpayer's business activity in this State, the taxpayer may petition for, or the Commissioner of Revenue, Department of Finance and Administration may require in respect to all or any part of the taxpayer's business activity, if reasonable:</w:t>
      </w:r>
    </w:p>
    <w:p w14:paraId="6D7828DE" w14:textId="77777777" w:rsidR="000000D1" w:rsidRPr="000000D1" w:rsidRDefault="000000D1" w:rsidP="000000D1">
      <w:pPr>
        <w:ind w:left="1440"/>
        <w:contextualSpacing/>
        <w:rPr>
          <w:rFonts w:eastAsia="Calibri" w:cs="Times New Roman"/>
        </w:rPr>
      </w:pPr>
    </w:p>
    <w:p w14:paraId="35C4B387" w14:textId="77777777" w:rsidR="000000D1" w:rsidRPr="000000D1" w:rsidRDefault="000000D1" w:rsidP="000000D1">
      <w:pPr>
        <w:ind w:left="1440"/>
        <w:contextualSpacing/>
        <w:rPr>
          <w:rFonts w:eastAsia="Calibri" w:cs="Times New Roman"/>
        </w:rPr>
      </w:pPr>
      <w:r w:rsidRPr="000000D1">
        <w:rPr>
          <w:rFonts w:eastAsia="Calibri" w:cs="Times New Roman"/>
        </w:rPr>
        <w:t>A) Separate accounting</w:t>
      </w:r>
    </w:p>
    <w:p w14:paraId="562804A7" w14:textId="77777777" w:rsidR="000000D1" w:rsidRPr="000000D1" w:rsidRDefault="000000D1" w:rsidP="000000D1">
      <w:pPr>
        <w:ind w:left="1440"/>
        <w:contextualSpacing/>
        <w:rPr>
          <w:rFonts w:eastAsia="Calibri" w:cs="Times New Roman"/>
        </w:rPr>
      </w:pPr>
      <w:r w:rsidRPr="000000D1">
        <w:rPr>
          <w:rFonts w:eastAsia="Calibri" w:cs="Times New Roman"/>
        </w:rPr>
        <w:t>B) The inclusion of one or more additional factors which will fairly represent the taxpayer's business activity in this State, or</w:t>
      </w:r>
    </w:p>
    <w:p w14:paraId="584766DD" w14:textId="77777777" w:rsidR="000000D1" w:rsidRPr="000000D1" w:rsidRDefault="000000D1" w:rsidP="000000D1">
      <w:pPr>
        <w:ind w:left="1440"/>
        <w:contextualSpacing/>
        <w:rPr>
          <w:rFonts w:eastAsia="Calibri" w:cs="Times New Roman"/>
        </w:rPr>
      </w:pPr>
      <w:r w:rsidRPr="000000D1">
        <w:rPr>
          <w:rFonts w:eastAsia="Calibri" w:cs="Times New Roman"/>
        </w:rPr>
        <w:t>C) The employment of any other method to effectuate an equitable allocation and apportionment of the taxpayer's income.</w:t>
      </w:r>
    </w:p>
    <w:p w14:paraId="46421137" w14:textId="77777777" w:rsidR="000000D1" w:rsidRPr="000000D1" w:rsidRDefault="000000D1" w:rsidP="000000D1">
      <w:pPr>
        <w:ind w:left="1440"/>
        <w:contextualSpacing/>
        <w:rPr>
          <w:rFonts w:eastAsia="Calibri" w:cs="Times New Roman"/>
        </w:rPr>
      </w:pPr>
    </w:p>
    <w:p w14:paraId="6F9B3827" w14:textId="77777777" w:rsidR="000000D1" w:rsidRPr="000000D1" w:rsidRDefault="000000D1" w:rsidP="000000D1">
      <w:pPr>
        <w:ind w:left="1440"/>
        <w:contextualSpacing/>
        <w:rPr>
          <w:rFonts w:eastAsia="Calibri" w:cs="Times New Roman"/>
        </w:rPr>
      </w:pPr>
      <w:r w:rsidRPr="000000D1">
        <w:rPr>
          <w:rFonts w:eastAsia="Calibri" w:cs="Times New Roman"/>
        </w:rPr>
        <w:t>A petition must be a formal written request submitted to and approved by the Department of Finance and Administration prior to the filing of a return using the proposed method. The approval letter should be attached to all returns filed using the approved alternative apportionment method.</w:t>
      </w:r>
    </w:p>
    <w:p w14:paraId="30C633D1" w14:textId="77777777" w:rsidR="000000D1" w:rsidRPr="000000D1" w:rsidRDefault="000000D1" w:rsidP="000000D1">
      <w:pPr>
        <w:pBdr>
          <w:bottom w:val="single" w:sz="4" w:space="0" w:color="auto"/>
        </w:pBdr>
        <w:rPr>
          <w:rFonts w:eastAsia="Calibri" w:cs="Times New Roman"/>
        </w:rPr>
      </w:pPr>
    </w:p>
    <w:p w14:paraId="3EBEB84F"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99" w:name="_Toc198480767"/>
      <w:r w:rsidRPr="000000D1">
        <w:rPr>
          <w:rFonts w:ascii="Californian FB" w:eastAsia="Times New Roman" w:hAnsi="Californian FB" w:cs="Times New Roman"/>
          <w:b/>
          <w:color w:val="851C00"/>
          <w:sz w:val="24"/>
          <w:szCs w:val="24"/>
          <w:u w:val="single"/>
        </w:rPr>
        <w:t>California</w:t>
      </w:r>
      <w:bookmarkEnd w:id="99"/>
    </w:p>
    <w:p w14:paraId="35B1914E" w14:textId="77777777" w:rsidR="000000D1" w:rsidRPr="000000D1" w:rsidRDefault="000000D1" w:rsidP="000000D1">
      <w:pPr>
        <w:ind w:left="720"/>
        <w:contextualSpacing/>
        <w:rPr>
          <w:rFonts w:eastAsia="Calibri" w:cs="Times New Roman"/>
        </w:rPr>
      </w:pPr>
      <w:r w:rsidRPr="000000D1">
        <w:rPr>
          <w:rFonts w:eastAsia="Calibri" w:cs="Times New Roman"/>
        </w:rPr>
        <w:t xml:space="preserve">Cal. Code Regs. tit. 18, § 25137-1 </w:t>
      </w:r>
    </w:p>
    <w:p w14:paraId="782038AC" w14:textId="77777777" w:rsidR="000000D1" w:rsidRPr="000000D1" w:rsidRDefault="000000D1" w:rsidP="000000D1">
      <w:pPr>
        <w:contextualSpacing/>
        <w:rPr>
          <w:rFonts w:eastAsia="Calibri" w:cs="Times New Roman"/>
        </w:rPr>
      </w:pPr>
    </w:p>
    <w:p w14:paraId="072B0870" w14:textId="77777777" w:rsidR="000000D1" w:rsidRPr="000000D1" w:rsidRDefault="000000D1" w:rsidP="000000D1">
      <w:pPr>
        <w:ind w:left="1440"/>
        <w:rPr>
          <w:rFonts w:eastAsia="Calibri" w:cs="Times New Roman"/>
          <w:b/>
          <w:bCs/>
        </w:rPr>
      </w:pPr>
      <w:r w:rsidRPr="000000D1">
        <w:rPr>
          <w:rFonts w:eastAsia="Calibri" w:cs="Times New Roman"/>
        </w:rPr>
        <w:lastRenderedPageBreak/>
        <w:t>When a taxpayer has an interest in a partnership as defined in Section 17008, Revenue and Taxation Code, the division of its distributive share of partnership items shall be determined in accordance with Chapter 10 of Part 10 of Division 2 of the Revenue and Taxation Code. The determination of the portion of such distributive share (constituting business and nonbusiness income) which has its source in this state or which is includible in the taxpayer's business income subject to apportionment, shall be made in accordance with these regulations provided that the taxpayer, or the partnership, or both, have income from sources within and without this state. The taxpayer in computing net income for its taxable year shall include its distributive share of partnership items referred to above for any partnership year ending within or with the taxpayer's taxable year. The same principle applies when a taxpayer has an interest in a partnership that itself owns an interest, directly or indirectly, in one or more other partnerships.</w:t>
      </w:r>
    </w:p>
    <w:p w14:paraId="18EF5E2C" w14:textId="77777777" w:rsidR="000000D1" w:rsidRPr="000000D1" w:rsidRDefault="000000D1" w:rsidP="000000D1">
      <w:pPr>
        <w:ind w:left="1440"/>
        <w:rPr>
          <w:rFonts w:eastAsia="Calibri" w:cs="Times New Roman"/>
        </w:rPr>
      </w:pPr>
      <w:r w:rsidRPr="000000D1">
        <w:rPr>
          <w:rFonts w:eastAsia="Calibri" w:cs="Times New Roman"/>
        </w:rPr>
        <w:t>The first step is to determine which portion of the taxpayer's income and its distributive share of the partnership items constitute “business income” and “nonbusiness income” under Section 25120, Revenue and Taxation Code, and the regulations thereunder. The various items of nonbusiness income are then directly allocated to specific states pursuant to the provisions of Section 25124 to 25127, Revenue and Taxation Code. The taxpayer's distributive share of partnership business income is apportioned by the formula set forth in subsections (f) or (g), whichever is applicable. Even if the partnership's business and the taxpayer's business are not unitary, such that subsection (g) applies, the distributive share of income allocated to the taxpayer is from a separate trade or business of the taxpayer, not nonbusiness income of the taxpayer. The determination of whether an item of income is apportionable business income or allocable nonbusiness income is made at the partnership level based on the trade or business of the partnership. Revenue and Taxation Code section 23040 is not applicable. The sum of (1) the items of nonbusiness income directly allocated to this state, plus (2) the amount of business income attributed to this state is the portion of the taxpayer's entire net income which is subject to tax.</w:t>
      </w:r>
    </w:p>
    <w:p w14:paraId="31FC7B47" w14:textId="77777777" w:rsidR="000000D1" w:rsidRPr="000000D1" w:rsidRDefault="000000D1" w:rsidP="000000D1">
      <w:pPr>
        <w:ind w:left="1440"/>
        <w:rPr>
          <w:rFonts w:eastAsia="Calibri" w:cs="Times New Roman"/>
        </w:rPr>
      </w:pPr>
      <w:r w:rsidRPr="000000D1">
        <w:rPr>
          <w:rFonts w:eastAsia="Calibri" w:cs="Times New Roman"/>
        </w:rPr>
        <w:t>Income arising from transactions and activity in the regular course of the partnership's trade or business constitutes business income. Thus, a corporate-partner's distributive share of partnership business income constitutes business income to the corporate-partner, but the determination of whether the partnership's activities and the activities of the corporate-partner constitutes a single trade or business or more than one trade or business turns on the facts in each case. If the partnership's activities and the taxpayer's activities constitute a unitary business under established standards, disregarding ownership requirements, the taxpayer's share of the partnership's trade or business shall be combined with the taxpayer's trade or business as constituting a single trade or business . . .</w:t>
      </w:r>
      <w:r w:rsidRPr="000000D1">
        <w:t xml:space="preserve"> </w:t>
      </w:r>
      <w:r w:rsidRPr="000000D1">
        <w:rPr>
          <w:rFonts w:eastAsia="Calibri" w:cs="Times New Roman"/>
        </w:rPr>
        <w:t>When the activities of the partnership and the taxpayer do not constitute a unitary business under established standards, disregarding ownership requirements, the taxpayer's share of the partnership's trade or business shall be treated as a separate trade or business of the taxpayer.</w:t>
      </w:r>
    </w:p>
    <w:p w14:paraId="3E121C99" w14:textId="77777777" w:rsidR="000000D1" w:rsidRPr="000000D1" w:rsidRDefault="000000D1" w:rsidP="000000D1">
      <w:pPr>
        <w:ind w:left="1440"/>
        <w:rPr>
          <w:rFonts w:eastAsia="Calibri" w:cs="Times New Roman"/>
        </w:rPr>
      </w:pPr>
      <w:r w:rsidRPr="000000D1">
        <w:rPr>
          <w:rFonts w:eastAsia="Calibri" w:cs="Times New Roman"/>
        </w:rPr>
        <w:t>(f) If the partnership's activities and the taxpayer's activities constitute a unitary business under established standards, disregarding ownership requirements, the business income of such single trade or business attributable to this state shall be determined by an apportionment formula, pursuant to either Section 25128, Section 25128.5 or Section 25128.7, Revenue and Taxation Code, whichever is applicable, of the taxpayer and its share of the partnership's factors for any partnership taxable year ending within or with the taxpayer's taxable year . . .</w:t>
      </w:r>
    </w:p>
    <w:p w14:paraId="57DFF033" w14:textId="77777777" w:rsidR="000000D1" w:rsidRPr="000000D1" w:rsidRDefault="000000D1" w:rsidP="000000D1">
      <w:pPr>
        <w:ind w:left="1440"/>
        <w:rPr>
          <w:rFonts w:eastAsia="Calibri" w:cs="Times New Roman"/>
        </w:rPr>
      </w:pPr>
      <w:r w:rsidRPr="000000D1">
        <w:rPr>
          <w:rFonts w:eastAsia="Calibri" w:cs="Times New Roman"/>
        </w:rPr>
        <w:t xml:space="preserve">(f)(3)(A) The partnership's sales which give rise to business income, shall be included in the denominator of the taxpayer's sales factor to the extent of the taxpayer's interest in the partnership. The amount of such sales attributable to this state shall also be </w:t>
      </w:r>
      <w:r w:rsidRPr="000000D1">
        <w:rPr>
          <w:rFonts w:eastAsia="Calibri" w:cs="Times New Roman"/>
        </w:rPr>
        <w:lastRenderedPageBreak/>
        <w:t>included in the numerator of the taxpayer's sales factor. Intercompany sales between the partnership, on the one hand, and the taxpayer or any member of the taxpayer's combined reporting group, on the other, shall be eliminated from the denominator of the taxpayer or the taxpayer's combined reporting group (if applicable), as well as the numerator of the taxpayer's sales factor or the numerator of another member of the taxpayer's combined reporting group, whomever made the sale to the partnership, as follows:</w:t>
      </w:r>
    </w:p>
    <w:p w14:paraId="450EAD78" w14:textId="77777777" w:rsidR="000000D1" w:rsidRPr="000000D1" w:rsidRDefault="000000D1" w:rsidP="000000D1">
      <w:pPr>
        <w:ind w:left="1440"/>
        <w:rPr>
          <w:rFonts w:eastAsia="Calibri" w:cs="Times New Roman"/>
        </w:rPr>
      </w:pPr>
      <w:r w:rsidRPr="000000D1">
        <w:rPr>
          <w:rFonts w:eastAsia="Calibri" w:cs="Times New Roman"/>
        </w:rPr>
        <w:t>(i) Sales by the taxpayer, or any member of the taxpayer's combined reporting group, to the partnership to the extent of the taxpayer's interest in the partnership.</w:t>
      </w:r>
    </w:p>
    <w:p w14:paraId="5F219F5F" w14:textId="77777777" w:rsidR="000000D1" w:rsidRPr="000000D1" w:rsidRDefault="000000D1" w:rsidP="000000D1">
      <w:pPr>
        <w:ind w:left="1440"/>
        <w:rPr>
          <w:rFonts w:eastAsia="Calibri" w:cs="Times New Roman"/>
        </w:rPr>
      </w:pPr>
      <w:r w:rsidRPr="000000D1">
        <w:rPr>
          <w:rFonts w:eastAsia="Calibri" w:cs="Times New Roman"/>
        </w:rPr>
        <w:t>(ii) Sales by the partnership to the taxpayer, or any member of the taxpayer's combined reporting group, not to exceed the taxpayer's interest in all partnership sales.</w:t>
      </w:r>
    </w:p>
    <w:p w14:paraId="27EBE3FE" w14:textId="77777777" w:rsidR="000000D1" w:rsidRPr="000000D1" w:rsidRDefault="000000D1" w:rsidP="000000D1">
      <w:pPr>
        <w:ind w:left="1440"/>
        <w:rPr>
          <w:rFonts w:eastAsia="Calibri" w:cs="Times New Roman"/>
        </w:rPr>
      </w:pPr>
      <w:r w:rsidRPr="000000D1">
        <w:rPr>
          <w:rFonts w:eastAsia="Calibri" w:cs="Times New Roman"/>
        </w:rPr>
        <w:t xml:space="preserve">(f)(3)(B) Notwithstanding any intercompany eliminations described in subparagraph (A) above, sales made to nonpartners, other than members of the partner taxpayer's combined reporting group, shall be included in the denominator of the taxpayer's sales factor in an amount equal to such taxpayer's interest in the partnership. </w:t>
      </w:r>
    </w:p>
    <w:p w14:paraId="1F965101" w14:textId="77777777" w:rsidR="000000D1" w:rsidRPr="000000D1" w:rsidRDefault="000000D1" w:rsidP="000000D1">
      <w:pPr>
        <w:ind w:left="1440"/>
        <w:rPr>
          <w:rFonts w:eastAsia="Calibri" w:cs="Times New Roman"/>
        </w:rPr>
      </w:pPr>
      <w:r w:rsidRPr="000000D1">
        <w:rPr>
          <w:rFonts w:eastAsia="Calibri" w:cs="Times New Roman"/>
        </w:rPr>
        <w:t>(f)(4) A taxpayer's partnership interest for the purpose of computing the portion of the partnership's property, payroll and sales to be included in the taxpayer's property, payroll or sales factor shall be determined by the taxpayer's "interest in the partnership". The taxpayer's interest in the partnership shall be determined by reference to its interest in profits of the partnership.</w:t>
      </w:r>
    </w:p>
    <w:p w14:paraId="64AE6303" w14:textId="77777777" w:rsidR="000000D1" w:rsidRPr="000000D1" w:rsidRDefault="000000D1" w:rsidP="000000D1">
      <w:pPr>
        <w:ind w:left="1440"/>
        <w:rPr>
          <w:rFonts w:eastAsia="Calibri" w:cs="Times New Roman"/>
        </w:rPr>
      </w:pPr>
      <w:r w:rsidRPr="000000D1">
        <w:rPr>
          <w:rFonts w:eastAsia="Calibri" w:cs="Times New Roman"/>
        </w:rPr>
        <w:t>(f)(5) If a partnership and a corporation are engaged in a unitary business and their accounting periods are different, if necessary, in order to avoid distortion, the income and factors of the partnership will be determined on the basis of the corporate partner's accounting period.</w:t>
      </w:r>
    </w:p>
    <w:p w14:paraId="11194727" w14:textId="77777777" w:rsidR="000000D1" w:rsidRPr="000000D1" w:rsidRDefault="000000D1" w:rsidP="000000D1">
      <w:pPr>
        <w:ind w:left="1440"/>
        <w:rPr>
          <w:rFonts w:eastAsia="Calibri" w:cs="Times New Roman"/>
        </w:rPr>
      </w:pPr>
      <w:r w:rsidRPr="000000D1">
        <w:rPr>
          <w:rFonts w:eastAsia="Calibri" w:cs="Times New Roman"/>
        </w:rPr>
        <w:t xml:space="preserve">(g) When the activities of the partnership and the taxpayer do not constitute a unitary business under established standards, disregarding ownership requirements, the taxpayer's share of the partnership's trade or business shall be treated as a separate trade or business of the taxpayer. </w:t>
      </w:r>
    </w:p>
    <w:p w14:paraId="11CB6D93" w14:textId="77777777" w:rsidR="000000D1" w:rsidRPr="000000D1" w:rsidRDefault="000000D1" w:rsidP="000000D1">
      <w:pPr>
        <w:ind w:left="720"/>
        <w:contextualSpacing/>
        <w:rPr>
          <w:rFonts w:eastAsia="Calibri" w:cs="Times New Roman"/>
        </w:rPr>
      </w:pPr>
      <w:r w:rsidRPr="000000D1">
        <w:rPr>
          <w:rFonts w:eastAsia="Calibri" w:cs="Times New Roman"/>
        </w:rPr>
        <w:t xml:space="preserve">Cal. Code Regs. tit. 18, § 17951-4(d) </w:t>
      </w:r>
    </w:p>
    <w:p w14:paraId="4437620A" w14:textId="77777777" w:rsidR="000000D1" w:rsidRPr="000000D1" w:rsidRDefault="000000D1" w:rsidP="000000D1">
      <w:pPr>
        <w:contextualSpacing/>
        <w:rPr>
          <w:rFonts w:eastAsia="Calibri" w:cs="Times New Roman"/>
        </w:rPr>
      </w:pPr>
    </w:p>
    <w:p w14:paraId="1BB8F7F8" w14:textId="77777777" w:rsidR="000000D1" w:rsidRPr="000000D1" w:rsidRDefault="000000D1" w:rsidP="000000D1">
      <w:pPr>
        <w:ind w:left="1440"/>
        <w:rPr>
          <w:rFonts w:eastAsia="Calibri" w:cs="Times New Roman"/>
        </w:rPr>
      </w:pPr>
      <w:r w:rsidRPr="000000D1">
        <w:rPr>
          <w:rFonts w:eastAsia="Calibri" w:cs="Times New Roman"/>
        </w:rPr>
        <w:t>If a nonresident is a partner in a partnership which carries on a unitary business, trade or profession within and without this state, the source of the partner's distributive share of partnership income derived from sources within this state shall be determined in the manner described below.</w:t>
      </w:r>
    </w:p>
    <w:p w14:paraId="220DB2DF" w14:textId="77777777" w:rsidR="000000D1" w:rsidRPr="000000D1" w:rsidRDefault="000000D1" w:rsidP="00366E17">
      <w:pPr>
        <w:numPr>
          <w:ilvl w:val="0"/>
          <w:numId w:val="20"/>
        </w:numPr>
        <w:contextualSpacing/>
        <w:rPr>
          <w:rFonts w:eastAsia="Calibri" w:cs="Times New Roman"/>
        </w:rPr>
      </w:pPr>
      <w:r w:rsidRPr="000000D1">
        <w:rPr>
          <w:rFonts w:eastAsia="Calibri" w:cs="Times New Roman"/>
        </w:rPr>
        <w:t>Except as provided, the total business income of the partnership shall be apportioned at the partnership level in accordance with the apportionment rules of the Uniform Division of Income for Tax Purposes Act, Sections 25120 to 25139, Revenue and Taxation Code, and the regulations thereunder. Each partner's distributive share of the partnership business income apportioned to this state is income derived from sources within this state.</w:t>
      </w:r>
    </w:p>
    <w:p w14:paraId="0293DD52" w14:textId="77777777" w:rsidR="000000D1" w:rsidRPr="000000D1" w:rsidRDefault="000000D1" w:rsidP="00366E17">
      <w:pPr>
        <w:numPr>
          <w:ilvl w:val="0"/>
          <w:numId w:val="20"/>
        </w:numPr>
        <w:contextualSpacing/>
        <w:rPr>
          <w:rFonts w:eastAsia="Calibri" w:cs="Times New Roman"/>
        </w:rPr>
      </w:pPr>
      <w:r w:rsidRPr="000000D1">
        <w:rPr>
          <w:rFonts w:eastAsia="Calibri" w:cs="Times New Roman"/>
        </w:rPr>
        <w:t xml:space="preserve"> If the partnership and the business activity of the partner are part of one unitary business, then the rules of Title 18, Cal. Code Regs., § 25137-1(f) apply and the apportionment of the partnership business income is done at the partner level for the unitary partner or partners. Each partner's distributive share of the partnership business income apportioned to this state is income derived from sources within this state.</w:t>
      </w:r>
    </w:p>
    <w:p w14:paraId="7D9E5120" w14:textId="77777777" w:rsidR="000000D1" w:rsidRPr="000000D1" w:rsidRDefault="000000D1" w:rsidP="00366E17">
      <w:pPr>
        <w:numPr>
          <w:ilvl w:val="0"/>
          <w:numId w:val="20"/>
        </w:numPr>
        <w:contextualSpacing/>
        <w:rPr>
          <w:rFonts w:eastAsia="Calibri" w:cs="Times New Roman"/>
        </w:rPr>
      </w:pPr>
      <w:r w:rsidRPr="000000D1">
        <w:rPr>
          <w:rFonts w:eastAsia="Calibri" w:cs="Times New Roman"/>
        </w:rPr>
        <w:t>The source of guaranteed payments received by a nonresident partner from a partnership shall be determined as if the guaranteed payments were a distributive share of partnership business income.</w:t>
      </w:r>
    </w:p>
    <w:p w14:paraId="3D9B3DA0" w14:textId="77777777" w:rsidR="000000D1" w:rsidRPr="000000D1" w:rsidRDefault="000000D1" w:rsidP="00366E17">
      <w:pPr>
        <w:numPr>
          <w:ilvl w:val="0"/>
          <w:numId w:val="20"/>
        </w:numPr>
        <w:contextualSpacing/>
        <w:rPr>
          <w:rFonts w:eastAsia="Calibri" w:cs="Times New Roman"/>
        </w:rPr>
      </w:pPr>
      <w:r w:rsidRPr="000000D1">
        <w:rPr>
          <w:rFonts w:eastAsia="Calibri" w:cs="Times New Roman"/>
        </w:rPr>
        <w:lastRenderedPageBreak/>
        <w:t>The source of a partner's distributive share of items which do not constitute business income shall be determined in accordance with the sourcing rules of Sections 17951 through 17955, Revenue and Taxation Code, and the regulations thereunder, as if the income producing activity were undertaken by the partner in its individual capacity.</w:t>
      </w:r>
    </w:p>
    <w:p w14:paraId="0797FD6B" w14:textId="77777777" w:rsidR="000000D1" w:rsidRPr="000000D1" w:rsidRDefault="000000D1" w:rsidP="00366E17">
      <w:pPr>
        <w:numPr>
          <w:ilvl w:val="0"/>
          <w:numId w:val="20"/>
        </w:numPr>
        <w:contextualSpacing/>
        <w:rPr>
          <w:rFonts w:eastAsia="Calibri" w:cs="Times New Roman"/>
        </w:rPr>
      </w:pPr>
      <w:r w:rsidRPr="000000D1">
        <w:rPr>
          <w:rFonts w:eastAsia="Calibri" w:cs="Times New Roman"/>
        </w:rPr>
        <w:t xml:space="preserve"> Except as provided in subsection (d)(6), the business activity of a partnership will not ordinarily be considered part of a unitary business with another business activity of one or more of its partners. However, if necessary to properly reflect the income or loss of the partnership or its partners, the Franchise Tax Board shall have the discretion to treat the business activity of a partnership and a business activity of one or more of its partners as part of a single unitary business, but only after conducting a comparable uncontrolled price examination in the manner provided by Section 23801(d)(1), Revenue and Taxation Code. For this purpose, the term "business activity" includes the partner's interest in the business activity of a sole proprietorship, another partnership, a limited liability company and an S corporation. If the Franchise Tax Board determines that unitary combination is appropriate under this subsection, the business income of the unitary activity shall be apportioned in accordance with the rules prescribed under subsection (d)(6)(A), without regard to the 20 percent limitation described therein.</w:t>
      </w:r>
    </w:p>
    <w:p w14:paraId="6CE1A0A0" w14:textId="77777777" w:rsidR="000000D1" w:rsidRPr="000000D1" w:rsidRDefault="000000D1" w:rsidP="00366E17">
      <w:pPr>
        <w:numPr>
          <w:ilvl w:val="0"/>
          <w:numId w:val="20"/>
        </w:numPr>
        <w:contextualSpacing/>
        <w:rPr>
          <w:rFonts w:eastAsia="Calibri" w:cs="Times New Roman"/>
        </w:rPr>
      </w:pPr>
      <w:r w:rsidRPr="000000D1">
        <w:rPr>
          <w:rFonts w:eastAsia="Calibri" w:cs="Times New Roman"/>
        </w:rPr>
        <w:t>Exception for 20 percent or more interests. Subsection (d)(5) shall not apply to partners who own, directly or indirectly, a 20 percent or more capital or profits interest in a partnership. For purposes of this section, the ownership of a capital or profits interest in a partnership shall be determined under the rules of subsection (d)(6)(B).</w:t>
      </w:r>
    </w:p>
    <w:p w14:paraId="26DC0127" w14:textId="77777777" w:rsidR="000000D1" w:rsidRPr="000000D1" w:rsidRDefault="000000D1" w:rsidP="000000D1">
      <w:pPr>
        <w:ind w:left="1800"/>
        <w:rPr>
          <w:rFonts w:eastAsia="Calibri" w:cs="Times New Roman"/>
        </w:rPr>
      </w:pPr>
      <w:r w:rsidRPr="000000D1">
        <w:rPr>
          <w:rFonts w:eastAsia="Calibri" w:cs="Times New Roman"/>
        </w:rPr>
        <w:t>(A) If a partner owns a 20 percent or more interest, as described in subsection (d)(6), and the business activity of the partnership is unitary with another business activity of the partner as that phrase is described in subsection (d)(5), the income of the unitary activity shall be combined at the partner level and apportioned to this state under the provisions of the Uniform Division of Income for Tax Purposes Act, Sections 25120- 25139 inclusive, Revenue and Taxation Code, and the regulations thereunder. In determining the amount of business income apportioned to this state, the partner shall combine the business income from unitary sole proprietorships and its distributive or pro rata shares of business income from 20 percent or more interests in unitary partnerships and S corporations. For purposes of the preceding sentence, the combined business income of a unitary partnership or S corporation shall be limited to the distributive or pro rata share of business income of the partner or shareholder from interests actually (not constructively) owned. The combined unitary business income shall be apportioned to this state under the provisions of the Uniform Division of Income for Tax Purposes Act, Sections 25120-25139, Revenue and Taxation Code, and the regulations thereunder, at the partner level. For that purpose, the partner shall aggregate its payroll, property and sales from unitary sole proprietorships and its proportionate share of payroll, property, and sales, whichever is applicable, from unitary partnerships and S corporations in which the partner or shareholder owns a 20 percent or more interest to arrive at a single apportionment percentage. That percentage is applied to the combined unitary business income computed under this subsection to determine the partner's business income from sources within this state.</w:t>
      </w:r>
    </w:p>
    <w:p w14:paraId="612505B7" w14:textId="77777777" w:rsidR="000000D1" w:rsidRPr="000000D1" w:rsidRDefault="000000D1" w:rsidP="000000D1">
      <w:pPr>
        <w:ind w:left="1800"/>
        <w:rPr>
          <w:rFonts w:eastAsia="Calibri" w:cs="Times New Roman"/>
        </w:rPr>
      </w:pPr>
      <w:r w:rsidRPr="000000D1">
        <w:rPr>
          <w:rFonts w:eastAsia="Calibri" w:cs="Times New Roman"/>
        </w:rPr>
        <w:t>(B) For purposes of this subsection (d)(6), the actual or constructive ownership of a capital or profits interest in a partnership shall be determined in accordance with the following rules:</w:t>
      </w:r>
    </w:p>
    <w:p w14:paraId="6459216F" w14:textId="77777777" w:rsidR="000000D1" w:rsidRPr="000000D1" w:rsidRDefault="000000D1" w:rsidP="000000D1">
      <w:pPr>
        <w:ind w:left="1800"/>
        <w:rPr>
          <w:rFonts w:eastAsia="Calibri" w:cs="Times New Roman"/>
        </w:rPr>
      </w:pPr>
      <w:r w:rsidRPr="000000D1">
        <w:rPr>
          <w:rFonts w:eastAsia="Calibri" w:cs="Times New Roman"/>
        </w:rPr>
        <w:t>1. An interest in partnership capital or profits which is owned, directly or indirectly, by or for a corporation, partnership, estate, or trust shall be considered as being owned proportionately by or for its shareholders, partners, or beneficiaries.</w:t>
      </w:r>
    </w:p>
    <w:p w14:paraId="4A648500" w14:textId="77777777" w:rsidR="000000D1" w:rsidRPr="000000D1" w:rsidRDefault="000000D1" w:rsidP="000000D1">
      <w:pPr>
        <w:ind w:left="1800"/>
        <w:rPr>
          <w:rFonts w:eastAsia="Calibri" w:cs="Times New Roman"/>
        </w:rPr>
      </w:pPr>
      <w:r w:rsidRPr="000000D1">
        <w:rPr>
          <w:rFonts w:eastAsia="Calibri" w:cs="Times New Roman"/>
        </w:rPr>
        <w:lastRenderedPageBreak/>
        <w:t>2. An individual shall be considered as owning the interest in partnership capital or profits owned, directly or indirectly, by or for his or her family.</w:t>
      </w:r>
    </w:p>
    <w:p w14:paraId="0D4F3D80" w14:textId="77777777" w:rsidR="000000D1" w:rsidRPr="000000D1" w:rsidRDefault="000000D1" w:rsidP="000000D1">
      <w:pPr>
        <w:ind w:left="1800"/>
        <w:rPr>
          <w:rFonts w:eastAsia="Calibri" w:cs="Times New Roman"/>
        </w:rPr>
      </w:pPr>
      <w:r w:rsidRPr="000000D1">
        <w:rPr>
          <w:rFonts w:eastAsia="Calibri" w:cs="Times New Roman"/>
        </w:rPr>
        <w:t>3. The family of an individual shall include only his or her brothers and sisters (whether by the whole or half blood), spouse, ancestors, and lineal descendants, and</w:t>
      </w:r>
    </w:p>
    <w:p w14:paraId="33F70B94" w14:textId="77777777" w:rsidR="000000D1" w:rsidRPr="000000D1" w:rsidRDefault="000000D1" w:rsidP="000000D1">
      <w:pPr>
        <w:ind w:left="1800"/>
        <w:rPr>
          <w:rFonts w:eastAsia="Calibri" w:cs="Times New Roman"/>
        </w:rPr>
      </w:pPr>
      <w:r w:rsidRPr="000000D1">
        <w:rPr>
          <w:rFonts w:eastAsia="Calibri" w:cs="Times New Roman"/>
        </w:rPr>
        <w:t>4. An interest in partnership capital or profits constructively owned by a person by reason of the application of subsection (d)(6)(B)1. shall, for the purpose of applying subsections (d)(6)(B)1. or (d)(6)(B)2., be treated as actually owned by such person, but an interest in partnership capital or profits constructively owned by an individual by reason of the application of subsection (d)(6)(B)2. shall not be treated as owned by him for the purpose of again applying either of such subsections in order to make another the constructive owner of such interest in partnership capital or profits.</w:t>
      </w:r>
    </w:p>
    <w:p w14:paraId="2783E976" w14:textId="77777777" w:rsidR="000000D1" w:rsidRPr="000000D1" w:rsidRDefault="000000D1" w:rsidP="000000D1">
      <w:pPr>
        <w:ind w:left="1800"/>
        <w:rPr>
          <w:rFonts w:eastAsia="Calibri" w:cs="Times New Roman"/>
        </w:rPr>
      </w:pPr>
      <w:r w:rsidRPr="000000D1">
        <w:rPr>
          <w:rFonts w:eastAsia="Calibri" w:cs="Times New Roman"/>
        </w:rPr>
        <w:t>EXAMPLE: Individual X is engaged in a sole proprietorship with business income of $100,000. In addition, X directly owns a 15% capital interest in Partnership P. X's sister Y also owns a 10% capital interest in P. X's distributive share of business income from P is $30,000, and his sister's distributive share of business income from P is $20,000. P and X's sole proprietorship are engaged in a unitary business. Under subsection (d)(6)(B), X is treated as constructively owning Y's interest in the partnership. Thus X's aggregate owned or constructively owned interest in P is 25%. Accordingly, X is subject to the apportionment provisions of subsection (d)(6)(A). However, under subsection (d)(6)(A), X will combine and apportion only the sum of his $100,000 proprietorship income and his actual distributive share of business income of $30,000 from P. The 20 percent test used to determine the applicability of subsection (d)(6) does not affect the amount of partnership income taken into account in computing income actually derived from sources within this state.</w:t>
      </w:r>
    </w:p>
    <w:p w14:paraId="0AA00C4B" w14:textId="77777777" w:rsidR="000000D1" w:rsidRPr="000000D1" w:rsidRDefault="000000D1" w:rsidP="000000D1">
      <w:pPr>
        <w:ind w:left="720"/>
        <w:rPr>
          <w:rFonts w:eastAsia="Calibri" w:cs="Times New Roman"/>
          <w:i/>
          <w:iCs/>
        </w:rPr>
      </w:pPr>
      <w:bookmarkStart w:id="100" w:name="_Hlk160090565"/>
      <w:r w:rsidRPr="000000D1">
        <w:rPr>
          <w:rFonts w:eastAsia="Calibri" w:cs="Times New Roman"/>
          <w:i/>
          <w:iCs/>
        </w:rPr>
        <w:t>Appeal of Smith</w:t>
      </w:r>
      <w:r w:rsidRPr="000000D1">
        <w:rPr>
          <w:rFonts w:eastAsia="Calibri" w:cs="Times New Roman"/>
        </w:rPr>
        <w:t>, California Office of Tax Appeals Decision No. 20036033 (Dec. 7, 2022)</w:t>
      </w:r>
    </w:p>
    <w:bookmarkEnd w:id="100"/>
    <w:p w14:paraId="3904441B" w14:textId="77777777" w:rsidR="000000D1" w:rsidRPr="000000D1" w:rsidRDefault="000000D1" w:rsidP="000000D1">
      <w:pPr>
        <w:ind w:left="1440"/>
        <w:rPr>
          <w:rFonts w:eastAsia="Calibri" w:cs="Times New Roman"/>
        </w:rPr>
      </w:pPr>
      <w:r w:rsidRPr="000000D1">
        <w:rPr>
          <w:rFonts w:eastAsia="Calibri" w:cs="Times New Roman"/>
        </w:rPr>
        <w:t>Applies Cal. Code Regs. tit. 18, § 25137-1 to a tiered partnership. The partnership's apportionment factors flowed through to the pass-through holding company partner.</w:t>
      </w:r>
    </w:p>
    <w:p w14:paraId="73B595C0" w14:textId="77777777" w:rsidR="000000D1" w:rsidRPr="000000D1" w:rsidRDefault="000000D1" w:rsidP="000000D1">
      <w:pPr>
        <w:ind w:left="720"/>
        <w:rPr>
          <w:rFonts w:eastAsia="Calibri" w:cs="Times New Roman"/>
          <w:i/>
          <w:iCs/>
        </w:rPr>
      </w:pPr>
      <w:r w:rsidRPr="000000D1">
        <w:rPr>
          <w:rFonts w:eastAsia="Calibri" w:cs="Times New Roman"/>
          <w:i/>
          <w:iCs/>
        </w:rPr>
        <w:t>Matter of J. Blau</w:t>
      </w:r>
      <w:r w:rsidRPr="000000D1">
        <w:rPr>
          <w:rFonts w:eastAsia="Calibri" w:cs="Times New Roman"/>
        </w:rPr>
        <w:t xml:space="preserve">, California Office of Tax Appeals Decision No. 21088383 (July 7, 2023, </w:t>
      </w:r>
      <w:r w:rsidRPr="000000D1">
        <w:rPr>
          <w:rFonts w:eastAsia="Calibri" w:cs="Times New Roman"/>
          <w:i/>
          <w:iCs/>
        </w:rPr>
        <w:t>rehearing denied</w:t>
      </w:r>
      <w:r w:rsidRPr="000000D1">
        <w:rPr>
          <w:rFonts w:eastAsia="Calibri" w:cs="Times New Roman"/>
        </w:rPr>
        <w:t xml:space="preserve"> May 9, 2024) </w:t>
      </w:r>
      <w:r w:rsidRPr="000000D1">
        <w:rPr>
          <w:rFonts w:eastAsia="Calibri" w:cs="Times New Roman"/>
          <w:i/>
          <w:iCs/>
        </w:rPr>
        <w:t>S</w:t>
      </w:r>
    </w:p>
    <w:p w14:paraId="183ECDB4" w14:textId="77777777" w:rsidR="000000D1" w:rsidRPr="000000D1" w:rsidRDefault="000000D1" w:rsidP="000000D1">
      <w:pPr>
        <w:ind w:left="1440"/>
        <w:rPr>
          <w:rFonts w:eastAsia="Calibri" w:cs="Times New Roman"/>
        </w:rPr>
      </w:pPr>
      <w:r w:rsidRPr="000000D1">
        <w:rPr>
          <w:rFonts w:eastAsia="Calibri" w:cs="Times New Roman"/>
        </w:rPr>
        <w:t xml:space="preserve">Involves the use of blended apportionment in a tiered partnership. “Appellant contends that the ‘TRC LP apportionment factor should flow[-]through to [appellant]’; therefore, FTB should use the California apportionment percentage of 9.2511 from TRC LP, as modified by appellant, to source the 1231 net gain business income.  However, appellant has not provided any details as to the composition of the apportionment factors for Yukon and TRC LP.  Also, appellant did not explain the discrepancy between the California apportionment percentages originally reported by Yukon, 10.0640 percent, and TRC LP, 12.1215 percent.  In sum, appellant fails to show potentially relevant facts of how income and apportionment factors should flow-through from the various underlying pass-through entities to TRC LP and from TRC LP to Yukon.  For example, appellant did not establish whether some or all of the underlying pass-through entities (where the various 1231 net gain transactions originated) were unitary with TRC LP and whether Yukon was unitary with TRC LP.  As such, appellant has not shown the 1231 net gain (generated by the various underlying pass-through entities) is properly apportioned using TRC LP’s apportionment factors (modified to include the 1231 net gain transactions generated by the various underlying pass-through entities) without regard to Yukon’s apportionment factors.  (See Cal. Code Regs., tit. 18, § 25137-1(f) and (g).)  Therefore, appellant has not established any basis to rebut FTB’s determination </w:t>
      </w:r>
      <w:r w:rsidRPr="000000D1">
        <w:rPr>
          <w:rFonts w:eastAsia="Calibri" w:cs="Times New Roman"/>
        </w:rPr>
        <w:lastRenderedPageBreak/>
        <w:t>which used the reported California apportionment percentage from Yukon to source the 1231 net gain business income to California.”</w:t>
      </w:r>
    </w:p>
    <w:p w14:paraId="3C663C0C" w14:textId="77777777" w:rsidR="000000D1" w:rsidRPr="000000D1" w:rsidRDefault="000000D1" w:rsidP="000000D1">
      <w:pPr>
        <w:ind w:left="720"/>
        <w:contextualSpacing/>
        <w:rPr>
          <w:rFonts w:eastAsia="Calibri" w:cs="Times New Roman"/>
        </w:rPr>
      </w:pPr>
      <w:r w:rsidRPr="000000D1">
        <w:rPr>
          <w:rFonts w:eastAsia="Calibri" w:cs="Times New Roman"/>
        </w:rPr>
        <w:t xml:space="preserve">California FTB Legal Ruling No. 2021-01 </w:t>
      </w:r>
    </w:p>
    <w:p w14:paraId="391A610A" w14:textId="77777777" w:rsidR="000000D1" w:rsidRPr="000000D1" w:rsidRDefault="000000D1" w:rsidP="000000D1">
      <w:pPr>
        <w:contextualSpacing/>
        <w:rPr>
          <w:rFonts w:eastAsia="Calibri" w:cs="Times New Roman"/>
        </w:rPr>
      </w:pPr>
    </w:p>
    <w:p w14:paraId="44099DD1" w14:textId="77777777" w:rsidR="000000D1" w:rsidRPr="000000D1" w:rsidRDefault="000000D1" w:rsidP="000000D1">
      <w:pPr>
        <w:ind w:left="1440"/>
        <w:contextualSpacing/>
        <w:rPr>
          <w:rFonts w:eastAsia="Calibri" w:cs="Times New Roman"/>
        </w:rPr>
      </w:pPr>
      <w:r w:rsidRPr="000000D1">
        <w:rPr>
          <w:rFonts w:eastAsia="Calibri" w:cs="Times New Roman"/>
        </w:rPr>
        <w:t xml:space="preserve">Analyzes whether pass-through entity holding companies are unitary with other pass-through entities in various situations. </w:t>
      </w:r>
    </w:p>
    <w:p w14:paraId="3FF824F5" w14:textId="77777777" w:rsidR="000000D1" w:rsidRPr="000000D1" w:rsidRDefault="000000D1" w:rsidP="000000D1">
      <w:pPr>
        <w:ind w:left="1440"/>
        <w:contextualSpacing/>
        <w:rPr>
          <w:rFonts w:eastAsia="Calibri" w:cs="Times New Roman"/>
        </w:rPr>
      </w:pPr>
    </w:p>
    <w:p w14:paraId="2DAE902A" w14:textId="77777777" w:rsidR="000000D1" w:rsidRPr="000000D1" w:rsidRDefault="000000D1" w:rsidP="000000D1">
      <w:pPr>
        <w:ind w:left="1440"/>
        <w:contextualSpacing/>
        <w:rPr>
          <w:rFonts w:eastAsia="Calibri" w:cs="Times New Roman"/>
        </w:rPr>
      </w:pPr>
      <w:r w:rsidRPr="000000D1">
        <w:rPr>
          <w:rFonts w:eastAsia="Calibri" w:cs="Times New Roman"/>
        </w:rPr>
        <w:t>“Lastly, one must not forget that, as discussed above, traditional tests for unity are not an exact fit in the context of pass-through entity holding companies. The traditional unitary tests were concerned with the extent to which the income and factors of disparate corporate affiliates could be combined and used to apportion income. In the corporate context, all factors and income of unitary entities are combined. However, with pass-through interests, an entity is unitary only to the extent of its interest in the pass-through entity. Therefore if a partner is unitary with a partnership and holds a 25 interest, the partner and 25 percent of the partnerships income and factors are combined. Thus, since not all of the income and factors of a unitary holding company are includable, attributes normally considered insignificant become critical. Therefore, in instances where a pass-through entity holding company holds less than a controlling interest in an operating entity, the holding company can still be unitary with the operating entity, to the extent of its ownership interest in the entity. This is because pass-through entities need not hold more than fifty percent of an entity to be unitary with that entity. As long as unitary indicia, as discussed above, exist, a pass-through entity holding company can be unitary with an operating entity. If a pass-through entity holding company provides value and support to the operating business, it will be properly treated as unitary with that business.”</w:t>
      </w:r>
    </w:p>
    <w:p w14:paraId="1CDD67D6" w14:textId="77777777" w:rsidR="000000D1" w:rsidRPr="000000D1" w:rsidRDefault="000000D1" w:rsidP="000000D1">
      <w:pPr>
        <w:contextualSpacing/>
        <w:rPr>
          <w:rFonts w:eastAsia="Calibri" w:cs="Times New Roman"/>
        </w:rPr>
      </w:pPr>
    </w:p>
    <w:p w14:paraId="74E548A4" w14:textId="77777777" w:rsidR="000000D1" w:rsidRPr="000000D1" w:rsidRDefault="000000D1" w:rsidP="000000D1">
      <w:pPr>
        <w:ind w:left="720"/>
        <w:contextualSpacing/>
        <w:rPr>
          <w:rFonts w:eastAsia="Calibri" w:cs="Times New Roman"/>
          <w:i/>
          <w:iCs/>
        </w:rPr>
      </w:pPr>
      <w:r w:rsidRPr="000000D1">
        <w:rPr>
          <w:rFonts w:eastAsia="Calibri" w:cs="Times New Roman"/>
          <w:i/>
          <w:iCs/>
        </w:rPr>
        <w:t>Matter of the Appeal of: JOHN E. FRANTZ</w:t>
      </w:r>
      <w:r w:rsidRPr="000000D1">
        <w:rPr>
          <w:rFonts w:eastAsia="Calibri" w:cs="Times New Roman"/>
        </w:rPr>
        <w:t>, California State Board of Equalization Decision No. 461562 (May 30, 2012) (finding substantial economic effect for an allocation of losses).</w:t>
      </w:r>
    </w:p>
    <w:p w14:paraId="1B20BBDC" w14:textId="77777777" w:rsidR="000000D1" w:rsidRPr="000000D1" w:rsidRDefault="000000D1" w:rsidP="000000D1">
      <w:pPr>
        <w:ind w:left="720"/>
        <w:contextualSpacing/>
        <w:rPr>
          <w:rFonts w:eastAsia="Calibri" w:cs="Times New Roman"/>
        </w:rPr>
      </w:pPr>
    </w:p>
    <w:p w14:paraId="51D39933" w14:textId="77777777" w:rsidR="000000D1" w:rsidRPr="000000D1" w:rsidRDefault="000000D1" w:rsidP="000000D1">
      <w:pPr>
        <w:ind w:left="720"/>
        <w:contextualSpacing/>
        <w:rPr>
          <w:rFonts w:eastAsia="Calibri" w:cs="Times New Roman"/>
        </w:rPr>
      </w:pPr>
      <w:r w:rsidRPr="000000D1">
        <w:rPr>
          <w:rFonts w:eastAsia="Calibri" w:cs="Times New Roman"/>
        </w:rPr>
        <w:t>California Form 565 Instructions (2023)</w:t>
      </w:r>
    </w:p>
    <w:p w14:paraId="3DA90ECC" w14:textId="77777777" w:rsidR="000000D1" w:rsidRPr="000000D1" w:rsidRDefault="000000D1" w:rsidP="000000D1">
      <w:pPr>
        <w:ind w:left="720"/>
        <w:contextualSpacing/>
        <w:rPr>
          <w:rFonts w:eastAsia="Calibri" w:cs="Times New Roman"/>
        </w:rPr>
      </w:pPr>
    </w:p>
    <w:p w14:paraId="19A976B6" w14:textId="77777777" w:rsidR="000000D1" w:rsidRPr="000000D1" w:rsidRDefault="000000D1" w:rsidP="000000D1">
      <w:pPr>
        <w:ind w:left="1440"/>
        <w:contextualSpacing/>
        <w:rPr>
          <w:rFonts w:eastAsia="Calibri" w:cs="Times New Roman"/>
        </w:rPr>
      </w:pPr>
      <w:r w:rsidRPr="000000D1">
        <w:rPr>
          <w:rFonts w:eastAsia="Calibri" w:cs="Times New Roman"/>
        </w:rPr>
        <w:t>For section 704(c) property use the California tax basis to determine section 704(c) built-in gain or loss.</w:t>
      </w:r>
    </w:p>
    <w:p w14:paraId="153BEC5A" w14:textId="77777777" w:rsidR="000000D1" w:rsidRPr="000000D1" w:rsidRDefault="000000D1" w:rsidP="000000D1">
      <w:pPr>
        <w:ind w:left="720"/>
        <w:contextualSpacing/>
        <w:rPr>
          <w:rFonts w:eastAsia="Calibri" w:cs="Times New Roman"/>
        </w:rPr>
      </w:pPr>
    </w:p>
    <w:p w14:paraId="36E6F011" w14:textId="77777777" w:rsidR="000000D1" w:rsidRPr="000000D1" w:rsidRDefault="000000D1" w:rsidP="000000D1">
      <w:pPr>
        <w:pBdr>
          <w:bottom w:val="single" w:sz="4" w:space="0" w:color="auto"/>
        </w:pBdr>
        <w:rPr>
          <w:rFonts w:eastAsia="Calibri" w:cs="Times New Roman"/>
        </w:rPr>
      </w:pPr>
    </w:p>
    <w:p w14:paraId="54949EEE"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01" w:name="_Toc198480768"/>
      <w:r w:rsidRPr="000000D1">
        <w:rPr>
          <w:rFonts w:ascii="Californian FB" w:eastAsia="Times New Roman" w:hAnsi="Californian FB" w:cs="Times New Roman"/>
          <w:b/>
          <w:color w:val="851C00"/>
          <w:sz w:val="24"/>
          <w:szCs w:val="24"/>
          <w:u w:val="single"/>
        </w:rPr>
        <w:t>Colorado</w:t>
      </w:r>
      <w:bookmarkEnd w:id="101"/>
    </w:p>
    <w:p w14:paraId="64A1F9BC" w14:textId="77777777" w:rsidR="000000D1" w:rsidRPr="000000D1" w:rsidRDefault="000000D1" w:rsidP="000000D1">
      <w:pPr>
        <w:ind w:left="720"/>
        <w:contextualSpacing/>
        <w:rPr>
          <w:rFonts w:eastAsia="Calibri" w:cs="Times New Roman"/>
        </w:rPr>
      </w:pPr>
      <w:r w:rsidRPr="000000D1">
        <w:rPr>
          <w:rFonts w:eastAsia="Calibri" w:cs="Times New Roman"/>
        </w:rPr>
        <w:t xml:space="preserve">Colo. Rev. Stat. § 39-22-203(1)(a) </w:t>
      </w:r>
    </w:p>
    <w:p w14:paraId="34F68301" w14:textId="77777777" w:rsidR="000000D1" w:rsidRPr="000000D1" w:rsidRDefault="000000D1" w:rsidP="000000D1">
      <w:pPr>
        <w:contextualSpacing/>
        <w:rPr>
          <w:rFonts w:eastAsia="Calibri" w:cs="Times New Roman"/>
        </w:rPr>
      </w:pPr>
    </w:p>
    <w:p w14:paraId="700C91CE" w14:textId="77777777" w:rsidR="000000D1" w:rsidRPr="000000D1" w:rsidRDefault="000000D1" w:rsidP="000000D1">
      <w:pPr>
        <w:ind w:left="1440"/>
        <w:rPr>
          <w:rFonts w:eastAsia="Calibri" w:cs="Times New Roman"/>
        </w:rPr>
      </w:pPr>
      <w:r w:rsidRPr="000000D1">
        <w:rPr>
          <w:rFonts w:eastAsia="Calibri" w:cs="Times New Roman"/>
        </w:rPr>
        <w:t>In determining Colorado nonresident federal taxable income of a nonresident partner of any partnership, there shall be included only the portion of such partner’s distributive share of items of partnership income, gain, loss, deduction, or credit derived from sources within Colorado determined in accordance with the provisions of section 39-22-109 or, at the partnership’s election, apportioned or allocated to this state pursuant to section 39-22-303.5, 39-22-303.6, or 39-22-303.7.</w:t>
      </w:r>
    </w:p>
    <w:p w14:paraId="2D4280E0" w14:textId="77777777" w:rsidR="000000D1" w:rsidRPr="000000D1" w:rsidRDefault="000000D1" w:rsidP="000000D1">
      <w:pPr>
        <w:ind w:left="720"/>
        <w:contextualSpacing/>
        <w:rPr>
          <w:rFonts w:eastAsia="Calibri" w:cs="Times New Roman"/>
        </w:rPr>
      </w:pPr>
      <w:r w:rsidRPr="000000D1">
        <w:rPr>
          <w:rFonts w:eastAsia="Calibri" w:cs="Times New Roman"/>
        </w:rPr>
        <w:t xml:space="preserve">Colo. Code Regs. § 39-22-109(3)(c) </w:t>
      </w:r>
    </w:p>
    <w:p w14:paraId="6B56E0B9" w14:textId="77777777" w:rsidR="000000D1" w:rsidRPr="000000D1" w:rsidRDefault="000000D1" w:rsidP="000000D1">
      <w:pPr>
        <w:contextualSpacing/>
        <w:rPr>
          <w:rFonts w:eastAsia="Calibri" w:cs="Times New Roman"/>
        </w:rPr>
      </w:pPr>
    </w:p>
    <w:p w14:paraId="7EF800C1" w14:textId="77777777" w:rsidR="000000D1" w:rsidRPr="000000D1" w:rsidRDefault="000000D1" w:rsidP="000000D1">
      <w:pPr>
        <w:ind w:left="1440"/>
        <w:rPr>
          <w:rFonts w:eastAsia="Calibri" w:cs="Times New Roman"/>
        </w:rPr>
      </w:pPr>
      <w:r w:rsidRPr="000000D1">
        <w:rPr>
          <w:rFonts w:eastAsia="Calibri" w:cs="Times New Roman"/>
        </w:rPr>
        <w:t xml:space="preserve">Distributive Share of a Member of a Pass-Through Entity. Income received as part of the Nonresident individual's distributive share of a Pass-through entity income, gain, loss, or deduction is Colorado-source income to the extent that the Pass-through entity determines that income is Colorado-source income pursuant to § 39-22-203(1)(a), C.R.S., and the rules promulgated thereunder. These rules apply to all Members of a Pass-through entity regardless of the type of the entity (e.g., limited liability company, </w:t>
      </w:r>
      <w:r w:rsidRPr="000000D1">
        <w:rPr>
          <w:rFonts w:eastAsia="Calibri" w:cs="Times New Roman"/>
        </w:rPr>
        <w:lastRenderedPageBreak/>
        <w:t>limited liability partnership, limited liability limited partnership) or the status of the Member (e.g., limited or general).</w:t>
      </w:r>
    </w:p>
    <w:p w14:paraId="0B41ED85" w14:textId="77777777" w:rsidR="000000D1" w:rsidRPr="000000D1" w:rsidRDefault="000000D1" w:rsidP="000000D1">
      <w:pPr>
        <w:ind w:left="1440"/>
        <w:rPr>
          <w:rFonts w:eastAsia="Calibri" w:cs="Times New Roman"/>
        </w:rPr>
      </w:pPr>
      <w:r w:rsidRPr="000000D1">
        <w:rPr>
          <w:rFonts w:eastAsia="Calibri" w:cs="Times New Roman"/>
        </w:rPr>
        <w:t>(i) A Nonresident has Nexus with Colorado if the Nonresident is a Member of a Pass-through entity doing business in Colorado.</w:t>
      </w:r>
    </w:p>
    <w:p w14:paraId="7B41AF1A" w14:textId="77777777" w:rsidR="000000D1" w:rsidRPr="000000D1" w:rsidRDefault="000000D1" w:rsidP="000000D1">
      <w:pPr>
        <w:ind w:left="1440"/>
        <w:rPr>
          <w:rFonts w:eastAsia="Calibri" w:cs="Times New Roman"/>
        </w:rPr>
      </w:pPr>
      <w:r w:rsidRPr="000000D1">
        <w:rPr>
          <w:rFonts w:eastAsia="Calibri" w:cs="Times New Roman"/>
        </w:rPr>
        <w:t>(ii) Character of Income. The activities of a Pass-through entity are attributable to its Members. Therefore, a Member is engaged in a Business in Colorado to the extent the Pass-through entity is engaged in Business in Colorado. The character of the item of income, loss, deduction or credit included in the Member's distributive share is determined as if the item was realized or incurred directly by the Member from the source from which the item was realized by the Pass-through entity or incurred in the same manner as the Pass-through entity. The principles of this paragraph apply in the case of an ownership chain that runs through multiple Pass-through entities.</w:t>
      </w:r>
    </w:p>
    <w:p w14:paraId="21E76398" w14:textId="77777777" w:rsidR="000000D1" w:rsidRPr="000000D1" w:rsidRDefault="000000D1" w:rsidP="000000D1">
      <w:pPr>
        <w:ind w:left="1440"/>
        <w:rPr>
          <w:rFonts w:eastAsia="Calibri" w:cs="Times New Roman"/>
        </w:rPr>
      </w:pPr>
      <w:r w:rsidRPr="000000D1">
        <w:rPr>
          <w:rFonts w:eastAsia="Calibri" w:cs="Times New Roman"/>
        </w:rPr>
        <w:t>(iii) A Nonresident Member of a Pass-through entity deriving income from within Colorado and elsewhere has Colorado-source income as determined by § 39-22-109, C.R.S., and this rule, or as determined by § 39-22-303.6, C.R.S., and the rules thereunder if the Pass-through entity elects under § 39-22-203(1)(a), C.R.S., to apportion its income pursuant to § 39-22-303.6, C.R.S.</w:t>
      </w:r>
    </w:p>
    <w:p w14:paraId="44E48E78" w14:textId="77777777" w:rsidR="000000D1" w:rsidRPr="000000D1" w:rsidRDefault="000000D1" w:rsidP="000000D1">
      <w:pPr>
        <w:ind w:left="1440"/>
        <w:rPr>
          <w:rFonts w:eastAsia="Calibri" w:cs="Times New Roman"/>
        </w:rPr>
      </w:pPr>
      <w:r w:rsidRPr="000000D1">
        <w:rPr>
          <w:rFonts w:eastAsia="Calibri" w:cs="Times New Roman"/>
        </w:rPr>
        <w:t>(iv) A Nonresident Member's share of Colorado-source Business income of a Pass-through entity that elects to apportion its income pursuant to § 39-22-303.6, C.R.S. (including the special apportionment rules adopted thereunder), shall be based on the Member's pro rata share of such Pass-through entity's income multiplied by the Pass-through entity's apportionment percentage.</w:t>
      </w:r>
    </w:p>
    <w:p w14:paraId="0F3A59AE" w14:textId="77777777" w:rsidR="000000D1" w:rsidRPr="000000D1" w:rsidRDefault="000000D1" w:rsidP="000000D1">
      <w:pPr>
        <w:ind w:left="1440"/>
        <w:rPr>
          <w:rFonts w:eastAsia="Calibri" w:cs="Times New Roman"/>
        </w:rPr>
      </w:pPr>
      <w:r w:rsidRPr="000000D1">
        <w:rPr>
          <w:rFonts w:eastAsia="Calibri" w:cs="Times New Roman"/>
        </w:rPr>
        <w:t>(v) In the case of a Nonresident who is a Member of a partnership ("first partnership"), which partnership is a partner in another partnership ("second partnership"), the following rules apply:</w:t>
      </w:r>
    </w:p>
    <w:p w14:paraId="4C8F11A5" w14:textId="77777777" w:rsidR="000000D1" w:rsidRPr="000000D1" w:rsidRDefault="000000D1" w:rsidP="000000D1">
      <w:pPr>
        <w:ind w:left="1440"/>
        <w:rPr>
          <w:rFonts w:eastAsia="Calibri" w:cs="Times New Roman"/>
        </w:rPr>
      </w:pPr>
      <w:r w:rsidRPr="000000D1">
        <w:rPr>
          <w:rFonts w:eastAsia="Calibri" w:cs="Times New Roman"/>
        </w:rPr>
        <w:t>(A) Unitary Partnerships. In the case of unitary partnerships, the election made by the second partnership is irrelevant to the treatment of income of the first partnership.</w:t>
      </w:r>
    </w:p>
    <w:p w14:paraId="27A4D1F1" w14:textId="77777777" w:rsidR="000000D1" w:rsidRPr="000000D1" w:rsidRDefault="000000D1" w:rsidP="000000D1">
      <w:pPr>
        <w:ind w:left="1440"/>
        <w:rPr>
          <w:rFonts w:eastAsia="Calibri" w:cs="Times New Roman"/>
        </w:rPr>
      </w:pPr>
      <w:r w:rsidRPr="000000D1">
        <w:rPr>
          <w:rFonts w:eastAsia="Calibri" w:cs="Times New Roman"/>
        </w:rPr>
        <w:t>(I) If the first partnership makes the election to apportion its income pursuant to § 39-22-303.6, C.R.S. (including the special apportionment rules adopted thereunder), and is unitary with the second partnership as determined by general unitary theory, then the Nonresident member of the first partnership's share of Colorado source income is the Member's pro rata share of the partnership's Colorado-source income as determined by § 39-22-303.6, C.R.S. The first and second partnerships are treated as a single entity for purposes of calculating apportionment under § 39-22-303.6, C.R.S.</w:t>
      </w:r>
    </w:p>
    <w:p w14:paraId="7916CCB6" w14:textId="77777777" w:rsidR="000000D1" w:rsidRPr="000000D1" w:rsidRDefault="000000D1" w:rsidP="000000D1">
      <w:pPr>
        <w:ind w:left="1440"/>
        <w:rPr>
          <w:rFonts w:eastAsia="Calibri" w:cs="Times New Roman"/>
        </w:rPr>
      </w:pPr>
      <w:r w:rsidRPr="000000D1">
        <w:rPr>
          <w:rFonts w:eastAsia="Calibri" w:cs="Times New Roman"/>
        </w:rPr>
        <w:t>(II) If the first partnership makes the election not to apportion its income pursuant to § 39-22-303.6, C.R.S., and is unitary with the second partnership, then the partnerships are treated as one partnership and the income is sourced in accordance with this rule.</w:t>
      </w:r>
    </w:p>
    <w:p w14:paraId="7AB84ADD" w14:textId="77777777" w:rsidR="000000D1" w:rsidRPr="000000D1" w:rsidRDefault="000000D1" w:rsidP="000000D1">
      <w:pPr>
        <w:ind w:left="1440"/>
        <w:rPr>
          <w:rFonts w:eastAsia="Calibri" w:cs="Times New Roman"/>
        </w:rPr>
      </w:pPr>
      <w:r w:rsidRPr="000000D1">
        <w:rPr>
          <w:rFonts w:eastAsia="Calibri" w:cs="Times New Roman"/>
        </w:rPr>
        <w:t>(B) Non-Unitary Partnerships. In the case of non-unitary partnerships, the election made by the first partnership is irrelevant to the treatment of income of the second partnership.</w:t>
      </w:r>
    </w:p>
    <w:p w14:paraId="0B1CFE18" w14:textId="77777777" w:rsidR="000000D1" w:rsidRPr="000000D1" w:rsidRDefault="000000D1" w:rsidP="000000D1">
      <w:pPr>
        <w:ind w:left="1440"/>
        <w:rPr>
          <w:rFonts w:eastAsia="Calibri" w:cs="Times New Roman"/>
        </w:rPr>
      </w:pPr>
      <w:r w:rsidRPr="000000D1">
        <w:rPr>
          <w:rFonts w:eastAsia="Calibri" w:cs="Times New Roman"/>
        </w:rPr>
        <w:t>(I) If the two partnerships are non-unitary, then regardless of the election made by the first partnership, the first partnership's pro-rata share of the second partnership's Colorado-source income is directly allocated by the first partnership to Colorado and is not apportioned. The pro-rata share of such income passes through to the Nonresident Member as Colorado-source income.</w:t>
      </w:r>
    </w:p>
    <w:p w14:paraId="724C914B" w14:textId="77777777" w:rsidR="000000D1" w:rsidRPr="000000D1" w:rsidRDefault="000000D1" w:rsidP="000000D1">
      <w:pPr>
        <w:ind w:left="1440"/>
        <w:rPr>
          <w:rFonts w:eastAsia="Calibri" w:cs="Times New Roman"/>
        </w:rPr>
      </w:pPr>
      <w:r w:rsidRPr="000000D1">
        <w:rPr>
          <w:rFonts w:eastAsia="Calibri" w:cs="Times New Roman"/>
        </w:rPr>
        <w:t xml:space="preserve">(vi) A Nonresident individual may include as a credit for taxes paid on their Nonresident individual income tax return any payment made on their behalf by a partnership </w:t>
      </w:r>
      <w:r w:rsidRPr="000000D1">
        <w:rPr>
          <w:rFonts w:eastAsia="Calibri" w:cs="Times New Roman"/>
        </w:rPr>
        <w:lastRenderedPageBreak/>
        <w:t xml:space="preserve">or Subchapter S corporation on a composite return. See §§ 39-22-601 (2.5) and (5), C.R.S. . . .        </w:t>
      </w:r>
    </w:p>
    <w:p w14:paraId="7E6EDB62" w14:textId="77777777" w:rsidR="000000D1" w:rsidRPr="000000D1" w:rsidRDefault="000000D1" w:rsidP="000000D1">
      <w:pPr>
        <w:pBdr>
          <w:bottom w:val="single" w:sz="4" w:space="0" w:color="auto"/>
        </w:pBdr>
        <w:rPr>
          <w:rFonts w:eastAsia="Calibri" w:cs="Times New Roman"/>
        </w:rPr>
      </w:pPr>
    </w:p>
    <w:p w14:paraId="7DE34997"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02" w:name="_Toc198480769"/>
      <w:r w:rsidRPr="000000D1">
        <w:rPr>
          <w:rFonts w:ascii="Californian FB" w:eastAsia="Times New Roman" w:hAnsi="Californian FB" w:cs="Times New Roman"/>
          <w:b/>
          <w:color w:val="851C00"/>
          <w:sz w:val="24"/>
          <w:szCs w:val="24"/>
          <w:u w:val="single"/>
        </w:rPr>
        <w:t>Connecticut</w:t>
      </w:r>
      <w:bookmarkEnd w:id="102"/>
    </w:p>
    <w:p w14:paraId="138B23F6" w14:textId="77777777" w:rsidR="000000D1" w:rsidRPr="000000D1" w:rsidRDefault="000000D1" w:rsidP="000000D1">
      <w:pPr>
        <w:ind w:left="720"/>
        <w:contextualSpacing/>
        <w:rPr>
          <w:rFonts w:eastAsia="Calibri" w:cs="Times New Roman"/>
        </w:rPr>
      </w:pPr>
      <w:r w:rsidRPr="000000D1">
        <w:rPr>
          <w:rFonts w:eastAsia="Calibri" w:cs="Times New Roman"/>
        </w:rPr>
        <w:t xml:space="preserve">Conn. Gen. Stat. § 12-218(g) </w:t>
      </w:r>
    </w:p>
    <w:p w14:paraId="5BEF62D1" w14:textId="77777777" w:rsidR="000000D1" w:rsidRPr="000000D1" w:rsidRDefault="000000D1" w:rsidP="00366E17">
      <w:pPr>
        <w:numPr>
          <w:ilvl w:val="0"/>
          <w:numId w:val="21"/>
        </w:numPr>
        <w:contextualSpacing/>
        <w:rPr>
          <w:rFonts w:eastAsia="Calibri" w:cs="Times New Roman"/>
        </w:rPr>
      </w:pPr>
      <w:r w:rsidRPr="000000D1">
        <w:rPr>
          <w:rFonts w:eastAsia="Calibri" w:cs="Times New Roman"/>
        </w:rPr>
        <w:t>Any company that is (A) a limited partner in a partnership, other than an investment partnership, that does business, owns or leases property or maintains an office within this state and (B) not otherwise carrying on or doing business in this state shall pay the tax imposed under section 12-214 solely on its distributive share as a partner of the income or loss of such partnership to the extent such income or loss is derived from or connected with sources within this state, except that, if the commissioner determines that the company and the partnership are, in substance, parts of a unitary business engaged in a single business enterprise or if the company is a member of a combined group that files a combined unitary tax return, the company shall be taxed in accordance with the provisions of subdivision (3) of this subsection and not in accordance with the provisions of this subdivision, provided, in lieu of the payment of tax based solely on its distributive share, such company may elect for any particular income year, on or before the due date or, if applicable the extended due date, of its corporation business tax return for such income year, to apportion its net income within and without the state under the provisions of this chapter.</w:t>
      </w:r>
    </w:p>
    <w:p w14:paraId="09AECC96" w14:textId="77777777" w:rsidR="000000D1" w:rsidRPr="000000D1" w:rsidRDefault="000000D1" w:rsidP="00366E17">
      <w:pPr>
        <w:numPr>
          <w:ilvl w:val="0"/>
          <w:numId w:val="21"/>
        </w:numPr>
        <w:contextualSpacing/>
        <w:rPr>
          <w:rFonts w:eastAsia="Calibri" w:cs="Times New Roman"/>
        </w:rPr>
      </w:pPr>
      <w:r w:rsidRPr="000000D1">
        <w:rPr>
          <w:rFonts w:eastAsia="Calibri" w:cs="Times New Roman"/>
        </w:rPr>
        <w:t>Any company that is (A) a limited partner (i) in an investment partnership or (ii) in a limited partnership, other than an investment partnership, that does business, owns or leases property or maintains an office within this state and (B) otherwise carrying on or doing business in this state shall apportion its net income, including its distributive share as a partner of such partnership income or loss, within and without the state under the provisions of this chapter, except that the numerator and the denominator of its apportionment fraction shall include its proportionate part, as a partner, of the numerator and the denominator of such partnership's apportionment fraction. For purposes of this section, such partnership shall compute its apportionment fraction and the numerator and the denominator of its apportionment fraction as if it were a company taxable both within and without this state.</w:t>
      </w:r>
    </w:p>
    <w:p w14:paraId="11EB561C" w14:textId="77777777" w:rsidR="000000D1" w:rsidRPr="000000D1" w:rsidRDefault="000000D1" w:rsidP="00366E17">
      <w:pPr>
        <w:numPr>
          <w:ilvl w:val="0"/>
          <w:numId w:val="21"/>
        </w:numPr>
        <w:contextualSpacing/>
        <w:rPr>
          <w:rFonts w:eastAsia="Calibri" w:cs="Times New Roman"/>
        </w:rPr>
      </w:pPr>
      <w:r w:rsidRPr="000000D1">
        <w:rPr>
          <w:rFonts w:eastAsia="Calibri" w:cs="Times New Roman"/>
        </w:rPr>
        <w:t>Any company that is a general partner in a partnership that does business, owns or leases property or maintains an office within this state shall, whether or not it is otherwise carrying on or doing business in this state, apportion its net income, including its distributive share as a partner of such partnership income or loss, within and without the state under the provisions of this chapter, except that the numerator and the denominator of its apportionment fraction shall include its proportionate part, as a partner, of the numerator and the denominator of such partnership's apportionment fraction. For purposes of this section, such partnership shall compute its apportionment fraction and the numerator and the denominator of its apportionment fraction as if it were a company taxable both within and without this state.</w:t>
      </w:r>
    </w:p>
    <w:p w14:paraId="0C532BD1" w14:textId="77777777" w:rsidR="000000D1" w:rsidRPr="000000D1" w:rsidRDefault="000000D1" w:rsidP="000000D1">
      <w:pPr>
        <w:ind w:left="720"/>
        <w:contextualSpacing/>
        <w:rPr>
          <w:rFonts w:eastAsia="Calibri" w:cs="Times New Roman"/>
        </w:rPr>
      </w:pPr>
      <w:r w:rsidRPr="000000D1">
        <w:rPr>
          <w:rFonts w:eastAsia="Calibri" w:cs="Times New Roman"/>
        </w:rPr>
        <w:t xml:space="preserve">Conn. Gen. Stat. § 12-219a </w:t>
      </w:r>
    </w:p>
    <w:p w14:paraId="6DC4BAE1" w14:textId="77777777" w:rsidR="000000D1" w:rsidRPr="000000D1" w:rsidRDefault="000000D1" w:rsidP="000000D1">
      <w:pPr>
        <w:ind w:left="720"/>
        <w:contextualSpacing/>
        <w:rPr>
          <w:rFonts w:eastAsia="Calibri" w:cs="Times New Roman"/>
        </w:rPr>
      </w:pPr>
    </w:p>
    <w:p w14:paraId="2F422E4B" w14:textId="77777777" w:rsidR="000000D1" w:rsidRPr="000000D1" w:rsidRDefault="000000D1" w:rsidP="000000D1">
      <w:pPr>
        <w:ind w:left="1440"/>
        <w:rPr>
          <w:rFonts w:eastAsia="Calibri" w:cs="Times New Roman"/>
        </w:rPr>
      </w:pPr>
      <w:r w:rsidRPr="000000D1">
        <w:rPr>
          <w:rFonts w:eastAsia="Calibri" w:cs="Times New Roman"/>
        </w:rPr>
        <w:t xml:space="preserve">(b)(1) Any company that is (A) a limited partner in a partnership, other than an investment partnership, that does business, owns or leases property or maintains an office within this state and (B) not otherwise carrying on or doing business in this state shall apportion the average value of its partnership interest within and without this state under the provisions of subsection (a) of this section, except that the numerator and the denominator of its apportionment fraction shall be its proportionate part of the partnership's apportionment factors. For purposes of this section, the partnership shall </w:t>
      </w:r>
      <w:r w:rsidRPr="000000D1">
        <w:rPr>
          <w:rFonts w:eastAsia="Calibri" w:cs="Times New Roman"/>
        </w:rPr>
        <w:lastRenderedPageBreak/>
        <w:t>compute its apportionment fraction and the numerator and the denominator of its apportionment factors as if it were a company taxable both within and without this state. However, if the commissioner determines that the company and the partnership are, in substance, parts of a unitary business engaged in a single business enterprise, or, if the company is a member of a combined group that files a combined unitary tax return, the company shall be taxed in accordance with the provisions of subdivision (3) of this subsection and not in accordance with the provisions of this subdivision.</w:t>
      </w:r>
    </w:p>
    <w:p w14:paraId="18F6C419" w14:textId="77777777" w:rsidR="000000D1" w:rsidRPr="000000D1" w:rsidRDefault="000000D1" w:rsidP="000000D1">
      <w:pPr>
        <w:ind w:left="1440"/>
        <w:rPr>
          <w:rFonts w:eastAsia="Calibri" w:cs="Times New Roman"/>
        </w:rPr>
      </w:pPr>
      <w:r w:rsidRPr="000000D1">
        <w:rPr>
          <w:rFonts w:eastAsia="Calibri" w:cs="Times New Roman"/>
        </w:rPr>
        <w:t>(b)(2)Any company that is (A) a limited partner (i) in an investment partnership or (ii) in a limited partnership, other than an investment partnership, that does business, owns or leases property or maintains an office within this state and (B) otherwise carrying on or doing business in this state shall apportion its additional tax base, including the average value of its partnership interest, within and without the state under the provisions of subsection (a) of this section, except that the numerator and the denominator of its apportionment factors shall include its proportionate part of the numerator and the denominator of the partnership's apportionment factors. For purposes of this section, the partnership shall compute its apportionment fraction and the numerator and the denominator of its apportionment factors, as if it were a company taxable both within and without this state.</w:t>
      </w:r>
    </w:p>
    <w:p w14:paraId="4DCDA62F" w14:textId="77777777" w:rsidR="000000D1" w:rsidRPr="000000D1" w:rsidRDefault="000000D1" w:rsidP="000000D1">
      <w:pPr>
        <w:ind w:left="1440"/>
        <w:rPr>
          <w:rFonts w:eastAsia="Calibri" w:cs="Times New Roman"/>
        </w:rPr>
      </w:pPr>
      <w:r w:rsidRPr="000000D1">
        <w:rPr>
          <w:rFonts w:eastAsia="Calibri" w:cs="Times New Roman"/>
        </w:rPr>
        <w:t>(b)(3) Any company that is a general partner in a partnership that does business, owns or leases property or maintains an office within this state shall, whether or not it is otherwise carrying on or doing business in this state, apportion its additional tax base, including the average value of its partnership interest, within and without the state under the provisions of subsection (a) of this section, except that the numerator and the denominator of its apportionment factors shall include its proportionate part of the numerator and the denominator of the partnership's apportionment factors. For purposes of this section, the partnership shall compute its apportionment fraction and the numerator and the denominator of its apportionment factors, as if it were a company taxable both within and without this state.</w:t>
      </w:r>
    </w:p>
    <w:p w14:paraId="656D2E44" w14:textId="77777777" w:rsidR="000000D1" w:rsidRPr="000000D1" w:rsidRDefault="000000D1" w:rsidP="000000D1">
      <w:pPr>
        <w:ind w:left="1440"/>
        <w:contextualSpacing/>
        <w:rPr>
          <w:rFonts w:eastAsia="Calibri" w:cs="Times New Roman"/>
        </w:rPr>
      </w:pPr>
      <w:r w:rsidRPr="000000D1">
        <w:rPr>
          <w:rFonts w:eastAsia="Calibri" w:cs="Times New Roman"/>
        </w:rPr>
        <w:t>(d)The additional tax base of taxable and nontaxable members of a combined group required to file a combined unitary tax return pursuant to section 12-222 shall be apportioned as provided in subsection (g) of section 12-218e.</w:t>
      </w:r>
    </w:p>
    <w:p w14:paraId="2894D4B3" w14:textId="77777777" w:rsidR="000000D1" w:rsidRPr="000000D1" w:rsidRDefault="000000D1" w:rsidP="000000D1">
      <w:pPr>
        <w:ind w:left="720"/>
        <w:contextualSpacing/>
        <w:rPr>
          <w:rFonts w:eastAsia="Calibri" w:cs="Times New Roman"/>
        </w:rPr>
      </w:pPr>
    </w:p>
    <w:p w14:paraId="70B0A360" w14:textId="77777777" w:rsidR="000000D1" w:rsidRPr="000000D1" w:rsidRDefault="000000D1" w:rsidP="000000D1">
      <w:pPr>
        <w:ind w:left="720"/>
        <w:contextualSpacing/>
        <w:rPr>
          <w:rFonts w:eastAsia="Calibri" w:cs="Times New Roman"/>
          <w:i/>
          <w:iCs/>
        </w:rPr>
      </w:pPr>
      <w:r w:rsidRPr="000000D1">
        <w:rPr>
          <w:rFonts w:eastAsia="Calibri" w:cs="Times New Roman"/>
        </w:rPr>
        <w:t xml:space="preserve">Conn. Gen. Stat. § 12-213(a)(32) </w:t>
      </w:r>
    </w:p>
    <w:p w14:paraId="43789D99" w14:textId="77777777" w:rsidR="000000D1" w:rsidRPr="000000D1" w:rsidRDefault="000000D1" w:rsidP="000000D1">
      <w:pPr>
        <w:ind w:left="720"/>
        <w:contextualSpacing/>
        <w:rPr>
          <w:rFonts w:eastAsia="Calibri" w:cs="Times New Roman"/>
        </w:rPr>
      </w:pPr>
    </w:p>
    <w:p w14:paraId="0542DD03" w14:textId="77777777" w:rsidR="000000D1" w:rsidRPr="000000D1" w:rsidRDefault="000000D1" w:rsidP="000000D1">
      <w:pPr>
        <w:ind w:left="1440"/>
        <w:contextualSpacing/>
        <w:rPr>
          <w:rFonts w:eastAsia="Calibri" w:cs="Times New Roman"/>
        </w:rPr>
      </w:pPr>
      <w:r w:rsidRPr="000000D1">
        <w:rPr>
          <w:rFonts w:eastAsia="Calibri" w:cs="Times New Roman"/>
        </w:rPr>
        <w:t>(32) “Unitary business” means a single economic enterprise that is made up either of separate parts of a single business entity or of a group of business entities under common ownership, which enterprise is sufficiently interdependent, integrated or interrelated through its activities so as to provide mutual benefit and produce a significant sharing or exchange of value among such entities, or a significant flow of value among the separate parts. For purposes of this chapter, (A) any business conducted by a pass-through entity shall be treated as conducted by its members, whether directly held or indirectly held through a series of pass-through entities, to the extent of the member's distributive share of the pass-through entity's income, regardless of the percentage of the member's ownership interest or its distributive or any other share of pass-through entity income, and (B) any business conducted directly or indirectly by one corporation is unitary with that portion of a business conducted by another corporation through its direct or indirect interest in a pass-through entity if there is a mutual benefit and a significant sharing of exchange or flow of value between the two parts of the business and the two corporations are members of the same group of business entities under common ownership.</w:t>
      </w:r>
    </w:p>
    <w:p w14:paraId="71257B2D" w14:textId="77777777" w:rsidR="000000D1" w:rsidRPr="000000D1" w:rsidRDefault="000000D1" w:rsidP="000000D1">
      <w:pPr>
        <w:ind w:left="1440"/>
        <w:contextualSpacing/>
        <w:rPr>
          <w:rFonts w:eastAsia="Calibri" w:cs="Times New Roman"/>
        </w:rPr>
      </w:pPr>
    </w:p>
    <w:p w14:paraId="45F36B4D" w14:textId="77777777" w:rsidR="000000D1" w:rsidRPr="000000D1" w:rsidRDefault="000000D1" w:rsidP="000000D1">
      <w:pPr>
        <w:ind w:firstLine="720"/>
        <w:contextualSpacing/>
        <w:rPr>
          <w:rFonts w:eastAsia="Calibri" w:cs="Times New Roman"/>
        </w:rPr>
      </w:pPr>
      <w:r w:rsidRPr="000000D1">
        <w:rPr>
          <w:rFonts w:eastAsia="Calibri" w:cs="Times New Roman"/>
        </w:rPr>
        <w:t>Conn. Agencies Regs. § 12-715(a)-1</w:t>
      </w:r>
    </w:p>
    <w:p w14:paraId="26684FDA" w14:textId="77777777" w:rsidR="000000D1" w:rsidRPr="000000D1" w:rsidRDefault="000000D1" w:rsidP="000000D1">
      <w:pPr>
        <w:ind w:firstLine="720"/>
        <w:contextualSpacing/>
        <w:rPr>
          <w:rFonts w:eastAsia="Calibri" w:cs="Times New Roman"/>
        </w:rPr>
      </w:pPr>
      <w:r w:rsidRPr="000000D1">
        <w:rPr>
          <w:rFonts w:eastAsia="Calibri" w:cs="Times New Roman"/>
        </w:rPr>
        <w:tab/>
      </w:r>
    </w:p>
    <w:p w14:paraId="0ACC20BC" w14:textId="77777777" w:rsidR="000000D1" w:rsidRPr="000000D1" w:rsidRDefault="000000D1" w:rsidP="000000D1">
      <w:pPr>
        <w:ind w:left="1440"/>
        <w:contextualSpacing/>
        <w:rPr>
          <w:rFonts w:eastAsia="Calibri" w:cs="Times New Roman"/>
        </w:rPr>
      </w:pPr>
      <w:r w:rsidRPr="000000D1">
        <w:rPr>
          <w:rFonts w:eastAsia="Calibri" w:cs="Times New Roman"/>
        </w:rPr>
        <w:lastRenderedPageBreak/>
        <w:t>(c) The amount of any modification to be made by a partner with respect to a partnership item of income, gain, loss or deduction is to be determined as follows:</w:t>
      </w:r>
    </w:p>
    <w:p w14:paraId="54108B29" w14:textId="77777777" w:rsidR="000000D1" w:rsidRPr="000000D1" w:rsidRDefault="000000D1" w:rsidP="00366E17">
      <w:pPr>
        <w:numPr>
          <w:ilvl w:val="0"/>
          <w:numId w:val="37"/>
        </w:numPr>
        <w:contextualSpacing/>
        <w:rPr>
          <w:rFonts w:eastAsia="Calibri" w:cs="Times New Roman"/>
        </w:rPr>
      </w:pPr>
      <w:r w:rsidRPr="000000D1">
        <w:rPr>
          <w:rFonts w:eastAsia="Calibri" w:cs="Times New Roman"/>
        </w:rPr>
        <w:t>If a modification relates to any item subject to special allocation among the partners under the partnership agreement, which item is therefore accounted for separately for federal income tax purposes, the amount of each partner's share of the modification is determined by such partner's distributive share of such item for federal income tax purposes.</w:t>
      </w:r>
    </w:p>
    <w:p w14:paraId="19B78CF2" w14:textId="77777777" w:rsidR="000000D1" w:rsidRPr="000000D1" w:rsidRDefault="000000D1" w:rsidP="00366E17">
      <w:pPr>
        <w:numPr>
          <w:ilvl w:val="0"/>
          <w:numId w:val="37"/>
        </w:numPr>
        <w:contextualSpacing/>
        <w:rPr>
          <w:rFonts w:eastAsia="Calibri" w:cs="Times New Roman"/>
        </w:rPr>
      </w:pPr>
      <w:r w:rsidRPr="000000D1">
        <w:rPr>
          <w:rFonts w:eastAsia="Calibri" w:cs="Times New Roman"/>
        </w:rPr>
        <w:t>If a modification relates to an item that is included in computing the partnership's taxable income or loss generally (i.e., that portion of federal adjusted gross income described in section 702(a)(8) of the Internal Revenue Code), other than an item subject to a special allocation among the partners under the partnership agreement that differs from the allocation of partnership taxable income or loss generally, each partner's modification relating to that item is determined by such partner's distributive share for federal income tax purposes of the taxable income or loss of the partnership required to be reported in accordance with said section 702(a)(8).</w:t>
      </w:r>
    </w:p>
    <w:p w14:paraId="31A6ECB7" w14:textId="77777777" w:rsidR="000000D1" w:rsidRPr="000000D1" w:rsidRDefault="000000D1" w:rsidP="00366E17">
      <w:pPr>
        <w:numPr>
          <w:ilvl w:val="0"/>
          <w:numId w:val="37"/>
        </w:numPr>
        <w:contextualSpacing/>
        <w:rPr>
          <w:rFonts w:eastAsia="Calibri" w:cs="Times New Roman"/>
        </w:rPr>
      </w:pPr>
      <w:r w:rsidRPr="000000D1">
        <w:rPr>
          <w:rFonts w:eastAsia="Calibri" w:cs="Times New Roman"/>
        </w:rPr>
        <w:t>If a modification relates to an item that is not taken into account for federal income tax purposes (such as interest income on bonds of other states) and such item is not one which is subject to a special allocation among the partners under the partnership agreement that differs from the allocation of partnership taxable income or loss generally, each partner's modification in respect to such an item is determined by such partner's distributive share for federal income tax purposes of the taxable income or loss of the partnership described in section 702(a)(8) of the Internal Revenue Code.</w:t>
      </w:r>
    </w:p>
    <w:p w14:paraId="6BD40949" w14:textId="77777777" w:rsidR="000000D1" w:rsidRPr="000000D1" w:rsidRDefault="000000D1" w:rsidP="00366E17">
      <w:pPr>
        <w:numPr>
          <w:ilvl w:val="0"/>
          <w:numId w:val="37"/>
        </w:numPr>
        <w:contextualSpacing/>
        <w:rPr>
          <w:rFonts w:eastAsia="Calibri" w:cs="Times New Roman"/>
        </w:rPr>
      </w:pPr>
      <w:r w:rsidRPr="000000D1">
        <w:rPr>
          <w:rFonts w:eastAsia="Calibri" w:cs="Times New Roman"/>
        </w:rPr>
        <w:t>If a modification relates to an item that is not taken into account for federal income tax purposes (such as interest income on bonds of other states) and such item is one which is subject to a special allocation among the partners under the partnership agreement that differs from the allocation of partnership taxable income or loss generally, each partner's modification in respect to such an item is determined by the allocation provided for in the partnership agreement.</w:t>
      </w:r>
    </w:p>
    <w:p w14:paraId="4075296F" w14:textId="77777777" w:rsidR="000000D1" w:rsidRPr="000000D1" w:rsidRDefault="000000D1" w:rsidP="00366E17">
      <w:pPr>
        <w:numPr>
          <w:ilvl w:val="0"/>
          <w:numId w:val="38"/>
        </w:numPr>
        <w:contextualSpacing/>
        <w:rPr>
          <w:rFonts w:eastAsia="Calibri" w:cs="Times New Roman"/>
        </w:rPr>
      </w:pPr>
      <w:r w:rsidRPr="000000D1">
        <w:rPr>
          <w:rFonts w:eastAsia="Calibri" w:cs="Times New Roman"/>
        </w:rPr>
        <w:t>The modifications covered by this section do not apply to any item attributable to the partner directly and not reflected on the Connecticut partnership informational return (Form CT-1065), such as a gain that the partner realizes on the sale of the partnership interest.</w:t>
      </w:r>
    </w:p>
    <w:p w14:paraId="69C36129" w14:textId="77777777" w:rsidR="000000D1" w:rsidRPr="000000D1" w:rsidRDefault="000000D1" w:rsidP="000000D1">
      <w:pPr>
        <w:ind w:firstLine="720"/>
        <w:rPr>
          <w:rFonts w:eastAsia="Calibri" w:cs="Times New Roman"/>
        </w:rPr>
      </w:pPr>
      <w:r w:rsidRPr="000000D1">
        <w:rPr>
          <w:rFonts w:eastAsia="Calibri" w:cs="Times New Roman"/>
        </w:rPr>
        <w:t>Conn. Agencies Regs. § 12-715(c)-1</w:t>
      </w:r>
    </w:p>
    <w:p w14:paraId="077359EF" w14:textId="77777777" w:rsidR="000000D1" w:rsidRPr="000000D1" w:rsidRDefault="000000D1" w:rsidP="00366E17">
      <w:pPr>
        <w:numPr>
          <w:ilvl w:val="0"/>
          <w:numId w:val="39"/>
        </w:numPr>
        <w:contextualSpacing/>
        <w:rPr>
          <w:rFonts w:eastAsia="Calibri" w:cs="Times New Roman"/>
        </w:rPr>
      </w:pPr>
      <w:r w:rsidRPr="000000D1">
        <w:rPr>
          <w:rFonts w:eastAsia="Calibri" w:cs="Times New Roman"/>
        </w:rPr>
        <w:t>If a partnership agreement provides for a special  allocation among the partners of any item of partnership income, gain, loss or deduction, federal income tax law requires that such a provision be disregarded for federal income tax purposes, where its principal purpose is the avoidance or evasion of federal income tax. In such a case, each partner's distributive share of such item is determined by such partner's distributive share for federal income tax purposes of the taxable income or loss of the partnership as described in section 702(a)(8) of the Internal revenue Code. This treatment and distribution of the item is reflected in each partner's federal adjusted gross income and, therefore, in each partner's Connecticut adjusted gross income, even though in a particular case no Connecticut income tax avoidance or evasion may be involved.</w:t>
      </w:r>
    </w:p>
    <w:p w14:paraId="6F4DD8D9" w14:textId="77777777" w:rsidR="000000D1" w:rsidRPr="000000D1" w:rsidRDefault="000000D1" w:rsidP="00366E17">
      <w:pPr>
        <w:numPr>
          <w:ilvl w:val="0"/>
          <w:numId w:val="39"/>
        </w:numPr>
        <w:contextualSpacing/>
        <w:rPr>
          <w:rFonts w:eastAsia="Calibri" w:cs="Times New Roman"/>
        </w:rPr>
      </w:pPr>
      <w:r w:rsidRPr="000000D1">
        <w:rPr>
          <w:rFonts w:eastAsia="Calibri" w:cs="Times New Roman"/>
        </w:rPr>
        <w:t>In certain cases, however, a provision for special allocation does not have as its principal purpose the avoidance or evasion of federal income tax, but has as its principal purpose the avoidance or evasion of Connecticut income tax. In such an instance, any such provision shall be disregarded and each partner's share of the pertinent item of partnership income, gain, loss or deduction shall also be determined by the partner's distributive share for federal income tax purposes of the taxable income or loss of the partnership as described in section 702(a)(8) of the Internal Revenue Code.</w:t>
      </w:r>
    </w:p>
    <w:p w14:paraId="1884F16C" w14:textId="77777777" w:rsidR="000000D1" w:rsidRPr="000000D1" w:rsidRDefault="000000D1" w:rsidP="00366E17">
      <w:pPr>
        <w:numPr>
          <w:ilvl w:val="0"/>
          <w:numId w:val="39"/>
        </w:numPr>
        <w:contextualSpacing/>
        <w:rPr>
          <w:rFonts w:eastAsia="Calibri" w:cs="Times New Roman"/>
        </w:rPr>
      </w:pPr>
      <w:r w:rsidRPr="000000D1">
        <w:rPr>
          <w:rFonts w:eastAsia="Calibri" w:cs="Times New Roman"/>
        </w:rPr>
        <w:lastRenderedPageBreak/>
        <w:t>Whether the principal purpose of a special  allocation  of an item is the avoidance or evasion of Connecticut income tax depends on the surrounding facts and circumstances. Among the relevant facts to be considered are the following: whether the partnership or partner individually has a business purpose for the allocation; whether the allocation has substantial economic effect, as the term is used in section 704(b)(2) of the Internal Revenue Code (i.e., whether the allocation may actually affect the dollar amount of the partners' shares of the total partnership income or loss independently of Connecticut income tax consequences); whether related items of income, gain, loss or deduction from the same source are subject to the same allocation; whether the allocation was made without recognition of normal business factors and only after the amount of the specially  allocated  item could reasonably be estimated; the duration of the allocation; and the overall Connecticut income tax consequences of the allocation.</w:t>
      </w:r>
    </w:p>
    <w:p w14:paraId="3F2E87FD" w14:textId="77777777" w:rsidR="000000D1" w:rsidRPr="000000D1" w:rsidRDefault="000000D1" w:rsidP="000000D1">
      <w:pPr>
        <w:ind w:left="1800"/>
        <w:rPr>
          <w:rFonts w:eastAsia="Calibri" w:cs="Times New Roman"/>
        </w:rPr>
      </w:pPr>
      <w:r w:rsidRPr="000000D1">
        <w:rPr>
          <w:rFonts w:eastAsia="Calibri" w:cs="Times New Roman"/>
        </w:rPr>
        <w:t>Example: A and B are equal partners. The partnership agreement, however, allocates to A, who has a higher effective rate of Connecticut income tax than B, all interest income on bonds of the State of Connecticut held by the partnership and allocates to B all interest income on bonds of other states. The partnership agreement also provides that any difference in the amounts of such interest income allocated to each partner is to be equalized out of other partnership income. Because the purpose and effect of this allocation is solely to reduce the Connecticut income tax of A without actually affecting the distributive shares of A and B in partnership income, such allocation is not recognized. Accordingly, in determining their respective Connecticut adjusted gross incomes, A and B each shall add to federal adjusted gross income one-half of the interest income from bonds of other states under § 12-701(a)(20)-2 of Part I.</w:t>
      </w:r>
    </w:p>
    <w:p w14:paraId="7723C0E2" w14:textId="77777777" w:rsidR="000000D1" w:rsidRPr="000000D1" w:rsidRDefault="000000D1" w:rsidP="000000D1">
      <w:pPr>
        <w:ind w:left="1800"/>
        <w:rPr>
          <w:rFonts w:eastAsia="Calibri" w:cs="Times New Roman"/>
        </w:rPr>
      </w:pPr>
      <w:r w:rsidRPr="000000D1">
        <w:rPr>
          <w:rFonts w:eastAsia="Calibri" w:cs="Times New Roman"/>
        </w:rPr>
        <w:t>(d) While this section pertains to Section 12-715(c) of the general statutes, for purposes of supplementary interpretation, as the phrase is used in Section 12-2 of the general statutes, the adoption of this section is authorized by Section 12-740(a) of the general statutes.</w:t>
      </w:r>
    </w:p>
    <w:p w14:paraId="31ABA559" w14:textId="77777777" w:rsidR="000000D1" w:rsidRPr="000000D1" w:rsidRDefault="000000D1" w:rsidP="000000D1">
      <w:pPr>
        <w:pBdr>
          <w:bottom w:val="single" w:sz="4" w:space="0" w:color="auto"/>
        </w:pBdr>
        <w:rPr>
          <w:rFonts w:eastAsia="Calibri" w:cs="Times New Roman"/>
        </w:rPr>
      </w:pPr>
    </w:p>
    <w:p w14:paraId="20F31BEE"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03" w:name="_Toc198480770"/>
      <w:r w:rsidRPr="000000D1">
        <w:rPr>
          <w:rFonts w:ascii="Californian FB" w:eastAsia="Times New Roman" w:hAnsi="Californian FB" w:cs="Times New Roman"/>
          <w:b/>
          <w:color w:val="851C00"/>
          <w:sz w:val="24"/>
          <w:szCs w:val="24"/>
          <w:u w:val="single"/>
        </w:rPr>
        <w:t>Delaware</w:t>
      </w:r>
      <w:bookmarkEnd w:id="103"/>
    </w:p>
    <w:p w14:paraId="29832FB6" w14:textId="77777777" w:rsidR="000000D1" w:rsidRPr="000000D1" w:rsidRDefault="000000D1" w:rsidP="000000D1">
      <w:pPr>
        <w:ind w:left="720"/>
        <w:contextualSpacing/>
        <w:rPr>
          <w:rFonts w:eastAsia="Calibri" w:cs="Times New Roman"/>
          <w:i/>
          <w:iCs/>
        </w:rPr>
      </w:pPr>
      <w:r w:rsidRPr="000000D1">
        <w:rPr>
          <w:rFonts w:eastAsia="Calibri" w:cs="Times New Roman"/>
        </w:rPr>
        <w:t xml:space="preserve">Del. Code Ann. tit. 30, § 1622 </w:t>
      </w:r>
    </w:p>
    <w:p w14:paraId="28CA2013" w14:textId="77777777" w:rsidR="000000D1" w:rsidRPr="000000D1" w:rsidRDefault="000000D1" w:rsidP="000000D1">
      <w:pPr>
        <w:contextualSpacing/>
        <w:rPr>
          <w:rFonts w:eastAsia="Calibri" w:cs="Times New Roman"/>
        </w:rPr>
      </w:pPr>
    </w:p>
    <w:p w14:paraId="6D3D5343" w14:textId="77777777" w:rsidR="000000D1" w:rsidRPr="000000D1" w:rsidRDefault="000000D1" w:rsidP="000000D1">
      <w:pPr>
        <w:ind w:left="1440"/>
        <w:rPr>
          <w:rFonts w:eastAsia="Calibri" w:cs="Times New Roman"/>
        </w:rPr>
      </w:pPr>
      <w:r w:rsidRPr="000000D1">
        <w:rPr>
          <w:rFonts w:eastAsia="Calibri" w:cs="Times New Roman"/>
        </w:rPr>
        <w:t>Each item of the income, gain, loss or deduction of a pass-through entity shall have the same character for a member of such pass-through entity under this title as it has for federal income tax purposes. Where federal income tax rules and principles are not determinative of the character or of the source of an item of income, gain, loss or deduction for purposes of this title, such item shall have the same character or source for a member of the pass-through entity as if the item were realized directly by such member from the source from which realized by the pass-through entity or incurred in the same manner as incurred by the pass-through entity. A member’s distributive share of any item of the income, gain, loss or deduction of a pass-through entity shall, solely for purposes of the immediately preceding sentence, be determined by application of the principles of § 704(b) of the Internal Revenue Code [26 U.S.C. § 704(b)], including, without limitation, the principles for determining whether an allocation of such item among the members of such pass-through entity has substantial economic effect.</w:t>
      </w:r>
    </w:p>
    <w:p w14:paraId="64B033CA" w14:textId="77777777" w:rsidR="000000D1" w:rsidRPr="000000D1" w:rsidRDefault="000000D1" w:rsidP="000000D1">
      <w:pPr>
        <w:ind w:left="720"/>
        <w:contextualSpacing/>
        <w:rPr>
          <w:rFonts w:eastAsia="Calibri" w:cs="Times New Roman"/>
        </w:rPr>
      </w:pPr>
      <w:r w:rsidRPr="000000D1">
        <w:rPr>
          <w:rFonts w:eastAsia="Calibri" w:cs="Times New Roman"/>
        </w:rPr>
        <w:t xml:space="preserve">Del. Code Ann. tit. 30, § 1623 </w:t>
      </w:r>
    </w:p>
    <w:p w14:paraId="56BFAF5D" w14:textId="77777777" w:rsidR="000000D1" w:rsidRPr="000000D1" w:rsidRDefault="000000D1" w:rsidP="000000D1">
      <w:pPr>
        <w:contextualSpacing/>
        <w:rPr>
          <w:rFonts w:eastAsia="Calibri" w:cs="Times New Roman"/>
        </w:rPr>
      </w:pPr>
    </w:p>
    <w:p w14:paraId="12B75A9B" w14:textId="77777777" w:rsidR="000000D1" w:rsidRPr="000000D1" w:rsidRDefault="000000D1" w:rsidP="000000D1">
      <w:pPr>
        <w:ind w:left="1440"/>
        <w:rPr>
          <w:rFonts w:eastAsia="Calibri" w:cs="Times New Roman"/>
        </w:rPr>
      </w:pPr>
      <w:r w:rsidRPr="000000D1">
        <w:rPr>
          <w:rFonts w:eastAsia="Calibri" w:cs="Times New Roman"/>
        </w:rPr>
        <w:t xml:space="preserve">(c) Corporate members of pass-through entities. — A corporation that is a member of a pass-through entity doing business or having real or tangible personal property in this State shall be subject to the provisions of Chapter 19 of this title; provided, however, that this subsection shall not be interpreted as precluding a corporation that is a </w:t>
      </w:r>
      <w:r w:rsidRPr="000000D1">
        <w:rPr>
          <w:rFonts w:eastAsia="Calibri" w:cs="Times New Roman"/>
        </w:rPr>
        <w:lastRenderedPageBreak/>
        <w:t>member of a pass-through entity from qualifying for exemption from taxation under Chapter 19 pursuant to § 1902(b)(8) of this title.</w:t>
      </w:r>
    </w:p>
    <w:p w14:paraId="1F1B9B4A" w14:textId="77777777" w:rsidR="000000D1" w:rsidRPr="000000D1" w:rsidRDefault="000000D1" w:rsidP="000000D1">
      <w:pPr>
        <w:ind w:left="1440"/>
        <w:rPr>
          <w:rFonts w:eastAsia="Calibri" w:cs="Times New Roman"/>
        </w:rPr>
      </w:pPr>
      <w:r w:rsidRPr="000000D1">
        <w:rPr>
          <w:rFonts w:eastAsia="Calibri" w:cs="Times New Roman"/>
        </w:rPr>
        <w:t>(d) Allocation and apportionment of income. — In determining the tax liability under Chapter 19 of this title of a corporation that is a member of a pass-through entity doing business or having real or tangible personal property in this State:</w:t>
      </w:r>
    </w:p>
    <w:p w14:paraId="01213B75" w14:textId="77777777" w:rsidR="000000D1" w:rsidRPr="000000D1" w:rsidRDefault="000000D1" w:rsidP="000000D1">
      <w:pPr>
        <w:ind w:left="1440"/>
        <w:rPr>
          <w:rFonts w:eastAsia="Calibri" w:cs="Times New Roman"/>
        </w:rPr>
      </w:pPr>
      <w:r w:rsidRPr="000000D1">
        <w:rPr>
          <w:rFonts w:eastAsia="Calibri" w:cs="Times New Roman"/>
        </w:rPr>
        <w:t>Such corporation’s federal taxable income shall be increased or decreased, as the case may be, by its distributive share of such pass-through entity’s items, if any, described in § 1903(a) of this title;</w:t>
      </w:r>
    </w:p>
    <w:p w14:paraId="72F2953F" w14:textId="77777777" w:rsidR="000000D1" w:rsidRPr="000000D1" w:rsidRDefault="000000D1" w:rsidP="000000D1">
      <w:pPr>
        <w:ind w:left="1440"/>
        <w:rPr>
          <w:rFonts w:eastAsia="Calibri" w:cs="Times New Roman"/>
        </w:rPr>
      </w:pPr>
      <w:r w:rsidRPr="000000D1">
        <w:rPr>
          <w:rFonts w:eastAsia="Calibri" w:cs="Times New Roman"/>
        </w:rPr>
        <w:t>Such corporation’s distributive share of any item of such pass-through entity that is described in any of § 1903(b)(1) through (5) of this title shall be included in the entire net income of such corporation only if such item is properly allocable to this State under such § 1903(b) of this title; and</w:t>
      </w:r>
    </w:p>
    <w:p w14:paraId="5F54965C" w14:textId="77777777" w:rsidR="000000D1" w:rsidRPr="000000D1" w:rsidRDefault="000000D1" w:rsidP="000000D1">
      <w:pPr>
        <w:ind w:left="1440"/>
        <w:rPr>
          <w:rFonts w:eastAsia="Calibri" w:cs="Times New Roman"/>
        </w:rPr>
      </w:pPr>
      <w:r w:rsidRPr="000000D1">
        <w:rPr>
          <w:rFonts w:eastAsia="Calibri" w:cs="Times New Roman"/>
        </w:rPr>
        <w:t>In applying § 1903(b)(6) of this title to such corporation,</w:t>
      </w:r>
    </w:p>
    <w:p w14:paraId="4B193232" w14:textId="77777777" w:rsidR="000000D1" w:rsidRPr="000000D1" w:rsidRDefault="000000D1" w:rsidP="000000D1">
      <w:pPr>
        <w:ind w:left="1440"/>
        <w:rPr>
          <w:rFonts w:eastAsia="Calibri" w:cs="Times New Roman"/>
        </w:rPr>
      </w:pPr>
      <w:r w:rsidRPr="000000D1">
        <w:rPr>
          <w:rFonts w:eastAsia="Calibri" w:cs="Times New Roman"/>
        </w:rPr>
        <w:t>(1) The entire business of such corporation shall not be treated as having been transacted or conducted within this State if any part of the business of such pass-through entity was transacted or conducted outside this State; and</w:t>
      </w:r>
    </w:p>
    <w:p w14:paraId="20A77BC9" w14:textId="77777777" w:rsidR="000000D1" w:rsidRPr="000000D1" w:rsidRDefault="000000D1" w:rsidP="000000D1">
      <w:pPr>
        <w:ind w:left="1440"/>
        <w:rPr>
          <w:rFonts w:eastAsia="Calibri" w:cs="Times New Roman"/>
        </w:rPr>
      </w:pPr>
      <w:r w:rsidRPr="000000D1">
        <w:rPr>
          <w:rFonts w:eastAsia="Calibri" w:cs="Times New Roman"/>
        </w:rPr>
        <w:t>(2) The 3 ratios described in such § 1903(b)(6) of this title of such corporation shall be determined by including in each such ratio such corporation’s distributive share of each relevant item of such pass-through entity.</w:t>
      </w:r>
    </w:p>
    <w:p w14:paraId="54449CC5" w14:textId="77777777" w:rsidR="000000D1" w:rsidRPr="000000D1" w:rsidRDefault="000000D1" w:rsidP="000000D1">
      <w:pPr>
        <w:ind w:left="1440"/>
        <w:rPr>
          <w:rFonts w:eastAsia="Calibri" w:cs="Times New Roman"/>
        </w:rPr>
      </w:pPr>
      <w:r w:rsidRPr="000000D1">
        <w:rPr>
          <w:rFonts w:eastAsia="Calibri" w:cs="Times New Roman"/>
        </w:rPr>
        <w:t>In applying § 1903(b)(7) of this title to such corporation, the ratio described in such § 1903(b)(7) of this title of such corporation shall be determined by including in such ratio the corporation’s distributive share of each relevant item of such pass-through entity.</w:t>
      </w:r>
    </w:p>
    <w:p w14:paraId="673F07BB" w14:textId="77777777" w:rsidR="000000D1" w:rsidRPr="000000D1" w:rsidRDefault="000000D1" w:rsidP="000000D1">
      <w:pPr>
        <w:pBdr>
          <w:bottom w:val="single" w:sz="4" w:space="0" w:color="auto"/>
        </w:pBdr>
        <w:rPr>
          <w:rFonts w:eastAsia="Calibri" w:cs="Times New Roman"/>
        </w:rPr>
      </w:pPr>
    </w:p>
    <w:p w14:paraId="78188CC9"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04" w:name="_Toc198480771"/>
      <w:r w:rsidRPr="000000D1">
        <w:rPr>
          <w:rFonts w:ascii="Californian FB" w:eastAsia="Times New Roman" w:hAnsi="Californian FB" w:cs="Times New Roman"/>
          <w:b/>
          <w:color w:val="851C00"/>
          <w:sz w:val="24"/>
          <w:szCs w:val="24"/>
          <w:u w:val="single"/>
        </w:rPr>
        <w:t>District of Columbia</w:t>
      </w:r>
      <w:bookmarkEnd w:id="104"/>
    </w:p>
    <w:p w14:paraId="60DE04E3" w14:textId="77777777" w:rsidR="000000D1" w:rsidRPr="000000D1" w:rsidRDefault="000000D1" w:rsidP="000000D1">
      <w:pPr>
        <w:ind w:firstLine="720"/>
      </w:pPr>
      <w:r w:rsidRPr="000000D1">
        <w:t>D.C. Code § 47-1801.4(55)(B)</w:t>
      </w:r>
      <w:r w:rsidRPr="000000D1">
        <w:rPr>
          <w:i/>
          <w:iCs/>
        </w:rPr>
        <w:t xml:space="preserve"> </w:t>
      </w:r>
    </w:p>
    <w:p w14:paraId="406E5AB2" w14:textId="77777777" w:rsidR="000000D1" w:rsidRPr="000000D1" w:rsidRDefault="000000D1" w:rsidP="000000D1">
      <w:pPr>
        <w:ind w:left="1440"/>
      </w:pPr>
      <w:r w:rsidRPr="000000D1">
        <w:t>For the purposes of this chapter, any business conducted by a partnership within the meaning of § 47-1808.06 shall be treated as conducted by its partners, whether directly held or indirectly held through a series of partnerships, to the extent of the partner's distributive share of the partnership's income, regardless of the percentage of the partner's ownership interest or its distributive or any other share of partnership income. A business conducted directly or indirectly by one person is unitary with that portion of a business conducted by another person through its direct or indirect interest in a partnership if there is a synergy and exchange and flow of value between the 2 parts of the business and the 2 persons are members of the same commonly controlled group.</w:t>
      </w:r>
    </w:p>
    <w:p w14:paraId="649A3D85" w14:textId="77777777" w:rsidR="000000D1" w:rsidRPr="000000D1" w:rsidRDefault="000000D1" w:rsidP="000000D1">
      <w:pPr>
        <w:ind w:firstLine="720"/>
      </w:pPr>
      <w:r w:rsidRPr="000000D1">
        <w:t xml:space="preserve">D.C. Code § 47-1810.02 </w:t>
      </w:r>
    </w:p>
    <w:p w14:paraId="0C3715E0" w14:textId="77777777" w:rsidR="000000D1" w:rsidRPr="000000D1" w:rsidRDefault="000000D1" w:rsidP="000000D1">
      <w:pPr>
        <w:ind w:left="1440"/>
      </w:pPr>
      <w:r w:rsidRPr="000000D1">
        <w:t>Allocation and apportionment. - The entire net income of any corporation, financial institution, or unincorporated business, or the unrelated business income of an exempt organization, derived from any trade or business carried on or engaged wholly within the District shall, for the purposes of this chapter, be deemed to be from sources within the District and shall, along with other income from sources within the District, be allocated to the District. If the net income of a corporation, financial institution, or unincorporated business, or the unrelated business income of an exempt organization, is derived from sources within and without the District, the taxpayer shall apportion business income and allocate non-business income as provided in this section.</w:t>
      </w:r>
    </w:p>
    <w:p w14:paraId="384EDDD6" w14:textId="77777777" w:rsidR="000000D1" w:rsidRPr="000000D1" w:rsidRDefault="000000D1" w:rsidP="000000D1">
      <w:pPr>
        <w:ind w:firstLine="720"/>
      </w:pPr>
      <w:r w:rsidRPr="000000D1">
        <w:lastRenderedPageBreak/>
        <w:t>D.C. Code § 47-1810.04(c)(1)(B)(2)</w:t>
      </w:r>
      <w:r w:rsidRPr="000000D1">
        <w:rPr>
          <w:i/>
          <w:iCs/>
        </w:rPr>
        <w:t xml:space="preserve"> </w:t>
      </w:r>
    </w:p>
    <w:p w14:paraId="44A11BB4" w14:textId="77777777" w:rsidR="000000D1" w:rsidRPr="000000D1" w:rsidRDefault="000000D1" w:rsidP="000000D1">
      <w:pPr>
        <w:ind w:left="1440"/>
      </w:pPr>
      <w:r w:rsidRPr="000000D1">
        <w:t>If any member owns an interest in a partnership that is not an unincorporated business, as defined by § 47-1808.01, the income or loss of such partnership shall be apportioned to the District using the apportionment factor of the partnership, and the combined group member-partner’s distributive share of such income shall be added to the combined group member-partner’s income.”</w:t>
      </w:r>
    </w:p>
    <w:p w14:paraId="73B0B4BC" w14:textId="77777777" w:rsidR="000000D1" w:rsidRPr="000000D1" w:rsidRDefault="000000D1" w:rsidP="000000D1">
      <w:pPr>
        <w:ind w:firstLine="720"/>
      </w:pPr>
      <w:r w:rsidRPr="000000D1">
        <w:t xml:space="preserve">D.C. Mun. Regs. tit. 9, § 109.20(h) </w:t>
      </w:r>
    </w:p>
    <w:p w14:paraId="5D128329" w14:textId="77777777" w:rsidR="000000D1" w:rsidRPr="000000D1" w:rsidRDefault="000000D1" w:rsidP="000000D1">
      <w:pPr>
        <w:ind w:left="1440"/>
      </w:pPr>
      <w:r w:rsidRPr="000000D1">
        <w:t>The amounts of the property, payroll, and sales of a partnership are attributable to the partners or members of the joint venture. A corporation that is a partner in a partnership must add its share of the property, payroll, and sales to its own apportionment factors, regardless of whether the partnerships are District of Columbia partnerships. The affiliated group should include a separate schedule to show the distribution to each partner.</w:t>
      </w:r>
    </w:p>
    <w:p w14:paraId="2A3EA745" w14:textId="77777777" w:rsidR="000000D1" w:rsidRPr="000000D1" w:rsidRDefault="000000D1" w:rsidP="000000D1">
      <w:pPr>
        <w:ind w:left="720"/>
        <w:contextualSpacing/>
        <w:rPr>
          <w:rFonts w:eastAsia="Calibri" w:cs="Times New Roman"/>
        </w:rPr>
      </w:pPr>
      <w:r w:rsidRPr="000000D1">
        <w:rPr>
          <w:rFonts w:eastAsia="Calibri" w:cs="Times New Roman"/>
        </w:rPr>
        <w:t xml:space="preserve">Agency Website </w:t>
      </w:r>
    </w:p>
    <w:p w14:paraId="40A3C0B5" w14:textId="77777777" w:rsidR="000000D1" w:rsidRPr="000000D1" w:rsidRDefault="000000D1" w:rsidP="000000D1">
      <w:pPr>
        <w:contextualSpacing/>
        <w:rPr>
          <w:rFonts w:eastAsia="Calibri" w:cs="Times New Roman"/>
        </w:rPr>
      </w:pPr>
    </w:p>
    <w:p w14:paraId="6524B3E5" w14:textId="77777777" w:rsidR="000000D1" w:rsidRPr="000000D1" w:rsidRDefault="000000D1" w:rsidP="000000D1">
      <w:pPr>
        <w:ind w:left="1440"/>
        <w:rPr>
          <w:rFonts w:eastAsia="Calibri" w:cs="Times New Roman"/>
        </w:rPr>
      </w:pPr>
      <w:r w:rsidRPr="000000D1">
        <w:rPr>
          <w:rFonts w:eastAsia="Calibri" w:cs="Times New Roman"/>
        </w:rPr>
        <w:t>If a partner is a combined group member, the partner must include or exclude its distributive share of income or loss in the following manner:</w:t>
      </w:r>
    </w:p>
    <w:p w14:paraId="4C1657B8" w14:textId="77777777" w:rsidR="000000D1" w:rsidRPr="000000D1" w:rsidRDefault="000000D1" w:rsidP="000000D1">
      <w:pPr>
        <w:ind w:left="1440"/>
        <w:rPr>
          <w:rFonts w:eastAsia="Calibri" w:cs="Times New Roman"/>
        </w:rPr>
      </w:pPr>
      <w:r w:rsidRPr="000000D1">
        <w:rPr>
          <w:rFonts w:eastAsia="Calibri" w:cs="Times New Roman"/>
        </w:rPr>
        <w:t xml:space="preserve">(a) Starting point for a partner: A partner on the D-20 or D-30 generally starts with federal income and deduction items which are modified for District purposes. In this income, the distributive share of partnership interest should already have been included and modified for District tax purposes on the “Other income (loss)” line (currently line 9, on D-20 or D-30).  </w:t>
      </w:r>
    </w:p>
    <w:p w14:paraId="10300D88" w14:textId="77777777" w:rsidR="000000D1" w:rsidRPr="000000D1" w:rsidRDefault="000000D1" w:rsidP="000000D1">
      <w:pPr>
        <w:ind w:left="1440"/>
        <w:rPr>
          <w:rFonts w:eastAsia="Calibri" w:cs="Times New Roman"/>
        </w:rPr>
      </w:pPr>
      <w:r w:rsidRPr="000000D1">
        <w:rPr>
          <w:rFonts w:eastAsia="Calibri" w:cs="Times New Roman"/>
        </w:rPr>
        <w:t>(b) Exclusion modification: If the distributive share has been reported by and taxed against any person, the partner’s distributive share of this income or loss shall be excluded from the partner’s return on line 9 of the D-20 or D-30 to prevent double taxation or double deduction (see also UB Worksheet A and B).  The amount that should be excluded is that which has been apportioned to and taxed within the District and that portion which has been subject to apportionment and taxed outside the District.</w:t>
      </w:r>
    </w:p>
    <w:p w14:paraId="1E83CC29" w14:textId="77777777" w:rsidR="000000D1" w:rsidRPr="000000D1" w:rsidRDefault="000000D1" w:rsidP="000000D1">
      <w:pPr>
        <w:ind w:left="1440"/>
        <w:rPr>
          <w:rFonts w:eastAsia="Calibri" w:cs="Times New Roman"/>
        </w:rPr>
      </w:pPr>
      <w:r w:rsidRPr="000000D1">
        <w:rPr>
          <w:rFonts w:eastAsia="Calibri" w:cs="Times New Roman"/>
        </w:rPr>
        <w:t xml:space="preserve">(c) Treatment of distributive loss: If the distributive share of a partner is a loss and the entity which issued the distributive share is also filing a District return (stand-alone or combined), and the entity is carrying forward that loss to future years, the distributive share of that loss is not allowed on the partner’s return to avoid double deduction of the loss because this loss is a loss of the entity and not of the partner. </w:t>
      </w:r>
    </w:p>
    <w:p w14:paraId="413C0BC0" w14:textId="77777777" w:rsidR="000000D1" w:rsidRPr="000000D1" w:rsidRDefault="000000D1" w:rsidP="000000D1">
      <w:pPr>
        <w:ind w:left="1440"/>
        <w:rPr>
          <w:rFonts w:eastAsia="Calibri" w:cs="Times New Roman"/>
        </w:rPr>
      </w:pPr>
      <w:r w:rsidRPr="000000D1">
        <w:rPr>
          <w:rFonts w:eastAsia="Calibri" w:cs="Times New Roman"/>
        </w:rPr>
        <w:t xml:space="preserve">(d) No flow through of factors: A partner shall not flow through its share of the UB or partnership’s apportionment factors and combine them with its own factors.  However, a single member entity, if disregarded for federal income tax purposes, shall be treated as disregarded for District income and franchise tax purposes, and all the income, deductions, and apportionment factors shall be included with and reported by the owner of the single member entity.   </w:t>
      </w:r>
    </w:p>
    <w:p w14:paraId="379B89D6" w14:textId="77777777" w:rsidR="000000D1" w:rsidRPr="000000D1" w:rsidRDefault="000000D1" w:rsidP="000000D1">
      <w:pPr>
        <w:ind w:left="1440"/>
        <w:rPr>
          <w:rFonts w:eastAsia="Calibri" w:cs="Times New Roman"/>
        </w:rPr>
      </w:pPr>
      <w:r w:rsidRPr="000000D1">
        <w:rPr>
          <w:rFonts w:eastAsia="Calibri" w:cs="Times New Roman"/>
        </w:rPr>
        <w:t xml:space="preserve">(e) Apportionment of partner’s distributive share of UB or partnership:  If the UB or partnership is both within and without the District, then any portion of the partner’s distributive share from the K-1 (modified for District tax purposes) which has not been reported and taxed at the UB level on the combined report shall be included in the partner’s income and apportioned, if it is business income.  </w:t>
      </w:r>
    </w:p>
    <w:p w14:paraId="65039C59" w14:textId="77777777" w:rsidR="000000D1" w:rsidRPr="000000D1" w:rsidRDefault="000000D1" w:rsidP="000000D1">
      <w:pPr>
        <w:ind w:left="1440"/>
        <w:rPr>
          <w:rFonts w:eastAsia="Calibri" w:cs="Times New Roman"/>
        </w:rPr>
      </w:pPr>
      <w:r w:rsidRPr="000000D1">
        <w:rPr>
          <w:rFonts w:eastAsia="Calibri" w:cs="Times New Roman"/>
        </w:rPr>
        <w:t xml:space="preserve">(f) To calculate the apportionment factor to apply to the untaxed income as indicated in (e): </w:t>
      </w:r>
    </w:p>
    <w:p w14:paraId="5691F8B8" w14:textId="77777777" w:rsidR="000000D1" w:rsidRPr="000000D1" w:rsidRDefault="000000D1" w:rsidP="000000D1">
      <w:pPr>
        <w:ind w:left="1440"/>
        <w:rPr>
          <w:rFonts w:eastAsia="Calibri" w:cs="Times New Roman"/>
        </w:rPr>
      </w:pPr>
      <w:r w:rsidRPr="000000D1">
        <w:rPr>
          <w:rFonts w:eastAsia="Calibri" w:cs="Times New Roman"/>
        </w:rPr>
        <w:lastRenderedPageBreak/>
        <w:t xml:space="preserve">(1) Denominator.  The denominator shall be the total net unreported and untaxed distributive share of the income which shall be added to the partner’s sales factor. </w:t>
      </w:r>
    </w:p>
    <w:p w14:paraId="38FF8462" w14:textId="77777777" w:rsidR="000000D1" w:rsidRPr="000000D1" w:rsidRDefault="000000D1" w:rsidP="000000D1">
      <w:pPr>
        <w:ind w:left="1440"/>
        <w:rPr>
          <w:rFonts w:eastAsia="Calibri" w:cs="Times New Roman"/>
        </w:rPr>
      </w:pPr>
      <w:r w:rsidRPr="000000D1">
        <w:rPr>
          <w:rFonts w:eastAsia="Calibri" w:cs="Times New Roman"/>
        </w:rPr>
        <w:t xml:space="preserve">(2) Numerator.  The numerator shall be the unreported and untaxed portion of the distributive share multiplied by the UB’s or partnership’s apportionment percentage. </w:t>
      </w:r>
    </w:p>
    <w:p w14:paraId="3D867FC4" w14:textId="77777777" w:rsidR="000000D1" w:rsidRPr="000000D1" w:rsidRDefault="000000D1" w:rsidP="000000D1">
      <w:pPr>
        <w:ind w:left="1440"/>
        <w:rPr>
          <w:rFonts w:eastAsia="Calibri" w:cs="Times New Roman"/>
        </w:rPr>
      </w:pPr>
      <w:r w:rsidRPr="000000D1">
        <w:rPr>
          <w:rFonts w:eastAsia="Calibri" w:cs="Times New Roman"/>
        </w:rPr>
        <w:t>(3) Example: If the distributive share is $200 and $100 of that share was reported and taxed at the UB level, and the remaining $100 (the net amount) was untaxed, that $100 will be added to the partner’s sales factor denominator.  If the UB’s apportionment factor is 50%, then $50 will be added to the partner’s sales factor numerator for purposes of apportioning the part which was not previously apportioned and taxed</w:t>
      </w:r>
    </w:p>
    <w:p w14:paraId="6BE045B6" w14:textId="77777777" w:rsidR="000000D1" w:rsidRPr="000000D1" w:rsidRDefault="000000D1" w:rsidP="000000D1">
      <w:pPr>
        <w:ind w:left="1440"/>
      </w:pPr>
      <w:r w:rsidRPr="000000D1">
        <w:t>(g) UB filing requirements:  If a UB is a member of the combined group, the UB shall report all its income and apportionment factors on the combined report only and not file a stand-alone return.</w:t>
      </w:r>
    </w:p>
    <w:p w14:paraId="15DF4A36" w14:textId="77777777" w:rsidR="000000D1" w:rsidRPr="000000D1" w:rsidRDefault="000000D1" w:rsidP="000000D1">
      <w:pPr>
        <w:pBdr>
          <w:bottom w:val="single" w:sz="4" w:space="0" w:color="auto"/>
        </w:pBdr>
        <w:rPr>
          <w:rFonts w:eastAsia="Calibri" w:cs="Times New Roman"/>
        </w:rPr>
      </w:pPr>
    </w:p>
    <w:p w14:paraId="322EAD18"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05" w:name="_Toc198480772"/>
      <w:r w:rsidRPr="000000D1">
        <w:rPr>
          <w:rFonts w:ascii="Californian FB" w:eastAsia="Times New Roman" w:hAnsi="Californian FB" w:cs="Times New Roman"/>
          <w:b/>
          <w:color w:val="851C00"/>
          <w:sz w:val="24"/>
          <w:szCs w:val="24"/>
          <w:u w:val="single"/>
        </w:rPr>
        <w:t>Florida</w:t>
      </w:r>
      <w:bookmarkEnd w:id="105"/>
    </w:p>
    <w:p w14:paraId="43B34364" w14:textId="77777777" w:rsidR="000000D1" w:rsidRPr="000000D1" w:rsidRDefault="000000D1" w:rsidP="000000D1">
      <w:pPr>
        <w:ind w:left="720"/>
        <w:contextualSpacing/>
        <w:rPr>
          <w:rFonts w:eastAsia="Calibri" w:cs="Times New Roman"/>
        </w:rPr>
      </w:pPr>
      <w:r w:rsidRPr="000000D1">
        <w:rPr>
          <w:rFonts w:eastAsia="Calibri" w:cs="Times New Roman"/>
        </w:rPr>
        <w:t xml:space="preserve">Fla. Admin. Code Ann. r. 12C-1.015(10) </w:t>
      </w:r>
    </w:p>
    <w:p w14:paraId="4F2D2CB8" w14:textId="77777777" w:rsidR="000000D1" w:rsidRPr="000000D1" w:rsidRDefault="000000D1" w:rsidP="000000D1">
      <w:pPr>
        <w:contextualSpacing/>
        <w:rPr>
          <w:rFonts w:eastAsia="Calibri" w:cs="Times New Roman"/>
        </w:rPr>
      </w:pPr>
    </w:p>
    <w:p w14:paraId="13195D12" w14:textId="77777777" w:rsidR="000000D1" w:rsidRPr="000000D1" w:rsidRDefault="000000D1" w:rsidP="000000D1">
      <w:pPr>
        <w:ind w:left="1440"/>
        <w:rPr>
          <w:rFonts w:eastAsia="Calibri" w:cs="Times New Roman"/>
        </w:rPr>
      </w:pPr>
      <w:r w:rsidRPr="000000D1">
        <w:rPr>
          <w:rFonts w:eastAsia="Calibri" w:cs="Times New Roman"/>
        </w:rPr>
        <w:t>Partnerships. The amounts of the property, payroll, and sales of a partnership are attributable to the partners or members of the joint venture. A corporation that is a partner in a partnership must add its share of the property, payroll, and sales to its own apportionment factors, regardless of whether the partnerships are Florida partnerships. Form F-1065 is used in part to distribute to each partner subject to the tax its share of the apportionment factors of the partnership or joint venture.</w:t>
      </w:r>
    </w:p>
    <w:p w14:paraId="4F14474A" w14:textId="77777777" w:rsidR="000000D1" w:rsidRPr="000000D1" w:rsidRDefault="000000D1" w:rsidP="000000D1">
      <w:pPr>
        <w:ind w:left="720"/>
        <w:contextualSpacing/>
        <w:rPr>
          <w:rFonts w:eastAsia="Calibri" w:cs="Times New Roman"/>
        </w:rPr>
      </w:pPr>
      <w:r w:rsidRPr="000000D1">
        <w:rPr>
          <w:rFonts w:eastAsia="Calibri" w:cs="Times New Roman"/>
        </w:rPr>
        <w:t xml:space="preserve">Florida TAA # 11C1-001(February 2, 2011) </w:t>
      </w:r>
    </w:p>
    <w:p w14:paraId="57FFD439" w14:textId="77777777" w:rsidR="000000D1" w:rsidRPr="000000D1" w:rsidRDefault="000000D1" w:rsidP="000000D1">
      <w:pPr>
        <w:contextualSpacing/>
        <w:rPr>
          <w:rFonts w:eastAsia="Calibri" w:cs="Times New Roman"/>
        </w:rPr>
      </w:pPr>
    </w:p>
    <w:p w14:paraId="0C7D6F98" w14:textId="77777777" w:rsidR="000000D1" w:rsidRPr="000000D1" w:rsidRDefault="000000D1" w:rsidP="000000D1">
      <w:pPr>
        <w:ind w:left="1440"/>
        <w:rPr>
          <w:rFonts w:eastAsia="Calibri" w:cs="Times New Roman"/>
        </w:rPr>
      </w:pPr>
      <w:r w:rsidRPr="000000D1">
        <w:rPr>
          <w:rFonts w:eastAsia="Calibri" w:cs="Times New Roman"/>
        </w:rPr>
        <w:t xml:space="preserve">Whether the taxpayer's sales, payroll, and property factors of the apportionment formula should include the taxpayer's interest in various partnerships . . . </w:t>
      </w:r>
    </w:p>
    <w:p w14:paraId="432EC860" w14:textId="77777777" w:rsidR="000000D1" w:rsidRPr="000000D1" w:rsidRDefault="000000D1" w:rsidP="000000D1">
      <w:pPr>
        <w:ind w:left="1440"/>
        <w:rPr>
          <w:rFonts w:eastAsia="Calibri" w:cs="Times New Roman"/>
        </w:rPr>
      </w:pPr>
      <w:r w:rsidRPr="000000D1">
        <w:rPr>
          <w:rFonts w:eastAsia="Calibri" w:cs="Times New Roman"/>
        </w:rPr>
        <w:t>The Florida statutes and rules are clear that the activities of a partnership flow through the partnership to its partners. In its letter dated XXX, the taxpayer states that the partnerships it invests in contain multiple layers of ownership, and the lower tiered and middle tiered partnerships do not report apportionment information to the top tiered partnership because they are not required to do so in the states where they are located. Therefore, the upper tiered partnerships do not have any way to report the apportionment information from the middle and lower tiered partnerships to the corporate partner (in this case the taxpayer).</w:t>
      </w:r>
    </w:p>
    <w:p w14:paraId="74C9E084" w14:textId="77777777" w:rsidR="000000D1" w:rsidRPr="000000D1" w:rsidRDefault="000000D1" w:rsidP="000000D1">
      <w:pPr>
        <w:ind w:left="1440"/>
        <w:rPr>
          <w:rFonts w:eastAsia="Calibri" w:cs="Times New Roman"/>
        </w:rPr>
      </w:pPr>
      <w:r w:rsidRPr="000000D1">
        <w:rPr>
          <w:rFonts w:eastAsia="Calibri" w:cs="Times New Roman"/>
        </w:rPr>
        <w:t>For federal income tax purposes, partnerships generally have no formal federal filing requirement other than information returns, and because a partnership is a conduit, items of partnership income, expense, gain, or loss pass through to the partners and are given tax effect at the partner level. For state income tax apportionment purposes, a particular state's approach in this area dictates the flow-through of partnership tax attributes up to the corporate partner.</w:t>
      </w:r>
    </w:p>
    <w:p w14:paraId="7FB71964" w14:textId="77777777" w:rsidR="000000D1" w:rsidRPr="000000D1" w:rsidRDefault="000000D1" w:rsidP="000000D1">
      <w:pPr>
        <w:ind w:left="1440"/>
        <w:rPr>
          <w:rFonts w:eastAsia="Calibri" w:cs="Times New Roman"/>
        </w:rPr>
      </w:pPr>
      <w:r w:rsidRPr="000000D1">
        <w:rPr>
          <w:rFonts w:eastAsia="Calibri" w:cs="Times New Roman"/>
        </w:rPr>
        <w:t xml:space="preserve">Florida's approach conforms to the federal concept of the flow-through of partnership tax attributes up to the corporate partner. The apportionment rule, Rule 12C-1.015(10), F.A.C., governs the corporate income tax treatment of corporations that invest in partnerships. This rule provides that a corporation that is a partner in a partnership must add its share of the partnership's property, payroll, and sales to its own apportionment factor. Based on the foregoing, the partnerships' property, payroll, and sales should be combined with the taxpayer's property, payroll, and sales, for purposes </w:t>
      </w:r>
      <w:r w:rsidRPr="000000D1">
        <w:rPr>
          <w:rFonts w:eastAsia="Calibri" w:cs="Times New Roman"/>
        </w:rPr>
        <w:lastRenderedPageBreak/>
        <w:t>of determining the taxpayer's apportionment factor as provided by Rule 12C-1.0153(9), F.A.C., Rule 12C-1.0154(6), F.A.C., and Rule 12C-1.0155(4), F.A.C.</w:t>
      </w:r>
    </w:p>
    <w:p w14:paraId="2E5611D5" w14:textId="77777777" w:rsidR="000000D1" w:rsidRPr="000000D1" w:rsidRDefault="000000D1" w:rsidP="000000D1">
      <w:pPr>
        <w:ind w:left="1440"/>
        <w:rPr>
          <w:rFonts w:eastAsia="Calibri" w:cs="Times New Roman"/>
        </w:rPr>
      </w:pPr>
      <w:r w:rsidRPr="000000D1">
        <w:rPr>
          <w:rFonts w:eastAsia="Calibri" w:cs="Times New Roman"/>
        </w:rPr>
        <w:t>The taxpayer asserts that the tiered partnerships do not provide the taxpayer with their respective apportionment factors. Therefore, the taxpayer does not have the required apportionment information to correctly apportion its income in accordance with Rule 12C-1.015(10), F.A.C. However, the Florida statutes and rules are clear that the activities of a partnership flow through the partnership to its partners. Therefore, the activities of the partnership are attributable to the partners and, contrary to the statement in the taxpayer's letter, are unitary to the partners.</w:t>
      </w:r>
    </w:p>
    <w:p w14:paraId="36F6DFA3" w14:textId="77777777" w:rsidR="000000D1" w:rsidRPr="000000D1" w:rsidRDefault="000000D1" w:rsidP="000000D1">
      <w:pPr>
        <w:ind w:left="720"/>
        <w:contextualSpacing/>
        <w:rPr>
          <w:rFonts w:eastAsia="Calibri" w:cs="Times New Roman"/>
        </w:rPr>
      </w:pPr>
      <w:r w:rsidRPr="000000D1">
        <w:rPr>
          <w:rFonts w:eastAsia="Calibri" w:cs="Times New Roman"/>
        </w:rPr>
        <w:t xml:space="preserve">Florida TAA # 23C1-012 (October 3, 2023) </w:t>
      </w:r>
    </w:p>
    <w:p w14:paraId="37EE4017" w14:textId="77777777" w:rsidR="000000D1" w:rsidRPr="000000D1" w:rsidRDefault="000000D1" w:rsidP="000000D1">
      <w:pPr>
        <w:contextualSpacing/>
        <w:rPr>
          <w:rFonts w:eastAsia="Calibri" w:cs="Times New Roman"/>
        </w:rPr>
      </w:pPr>
    </w:p>
    <w:p w14:paraId="4A1D7DF5" w14:textId="77777777" w:rsidR="000000D1" w:rsidRPr="000000D1" w:rsidRDefault="000000D1" w:rsidP="000000D1">
      <w:pPr>
        <w:ind w:left="1440"/>
        <w:rPr>
          <w:rFonts w:eastAsia="Calibri" w:cs="Times New Roman"/>
        </w:rPr>
      </w:pPr>
      <w:r w:rsidRPr="000000D1">
        <w:rPr>
          <w:rFonts w:eastAsia="Calibri" w:cs="Times New Roman"/>
        </w:rPr>
        <w:t>In the case of a flow-through entity (i.e.,  whose income flows through to Taxpayer, Taxpayer’s portion of the sales factor provided to it by _____  for inclusion in Taxpayer’s own factors should reflect the proper sourcing of the _____ based on the location of  _____customers.</w:t>
      </w:r>
    </w:p>
    <w:p w14:paraId="68760468" w14:textId="77777777" w:rsidR="000000D1" w:rsidRPr="000000D1" w:rsidRDefault="000000D1" w:rsidP="000000D1">
      <w:pPr>
        <w:ind w:left="720"/>
        <w:contextualSpacing/>
        <w:rPr>
          <w:rFonts w:eastAsia="Calibri" w:cs="Times New Roman"/>
        </w:rPr>
      </w:pPr>
      <w:r w:rsidRPr="000000D1">
        <w:rPr>
          <w:rFonts w:eastAsia="Calibri" w:cs="Times New Roman"/>
        </w:rPr>
        <w:t>Florida TAA # (November 10, 2014)</w:t>
      </w:r>
    </w:p>
    <w:p w14:paraId="1293F2E9" w14:textId="77777777" w:rsidR="000000D1" w:rsidRPr="000000D1" w:rsidRDefault="000000D1" w:rsidP="000000D1">
      <w:pPr>
        <w:ind w:left="720"/>
        <w:contextualSpacing/>
        <w:rPr>
          <w:rFonts w:eastAsia="Calibri" w:cs="Times New Roman"/>
        </w:rPr>
      </w:pPr>
    </w:p>
    <w:p w14:paraId="50DA820D" w14:textId="77777777" w:rsidR="000000D1" w:rsidRPr="000000D1" w:rsidRDefault="000000D1" w:rsidP="000000D1">
      <w:pPr>
        <w:ind w:left="1440"/>
        <w:contextualSpacing/>
        <w:rPr>
          <w:rFonts w:eastAsia="Calibri" w:cs="Times New Roman"/>
        </w:rPr>
      </w:pPr>
      <w:r w:rsidRPr="000000D1">
        <w:rPr>
          <w:rFonts w:eastAsia="Calibri" w:cs="Times New Roman"/>
        </w:rPr>
        <w:t>While section 220.152, F.S., authorizes a taxpayer to petition the Department to use an alternative apportionment method if the methods of sections 220.15 and 220.151, F.S., do not fairly represent the taxpayer's tax base attributable to Florida, the taxpayer is also required to show that use of the apportionment method provided by section 220.15, F.S., causes its tax base attributable to Florida to be unfairly represented. Here, Florida law requires the taxpayer to include its share of the LLC's property, payroll, and sales, with its own, in computing its Florida apportionment factor. The taxpayer has not shown that using this apportionment method causes its tax base attributable to Florida to be unfairly represented. Therefore, the Department cannot approve an alternative apportionment method.</w:t>
      </w:r>
    </w:p>
    <w:p w14:paraId="69BC0968" w14:textId="77777777" w:rsidR="000000D1" w:rsidRPr="000000D1" w:rsidRDefault="000000D1" w:rsidP="000000D1">
      <w:pPr>
        <w:ind w:left="1440"/>
        <w:contextualSpacing/>
        <w:rPr>
          <w:rFonts w:eastAsia="Calibri" w:cs="Times New Roman"/>
        </w:rPr>
      </w:pPr>
    </w:p>
    <w:p w14:paraId="6DC1CF11" w14:textId="77777777" w:rsidR="000000D1" w:rsidRPr="000000D1" w:rsidRDefault="000000D1" w:rsidP="000000D1">
      <w:pPr>
        <w:ind w:left="1440"/>
        <w:contextualSpacing/>
        <w:rPr>
          <w:rFonts w:eastAsia="Calibri" w:cs="Times New Roman"/>
        </w:rPr>
      </w:pPr>
      <w:r w:rsidRPr="000000D1">
        <w:rPr>
          <w:rFonts w:eastAsia="Calibri" w:cs="Times New Roman"/>
        </w:rPr>
        <w:t>CONCLUSION</w:t>
      </w:r>
    </w:p>
    <w:p w14:paraId="3F31BBC8" w14:textId="77777777" w:rsidR="000000D1" w:rsidRPr="000000D1" w:rsidRDefault="000000D1" w:rsidP="000000D1">
      <w:pPr>
        <w:ind w:left="1440"/>
        <w:contextualSpacing/>
        <w:rPr>
          <w:rFonts w:eastAsia="Calibri" w:cs="Times New Roman"/>
        </w:rPr>
      </w:pPr>
    </w:p>
    <w:p w14:paraId="71FDC431" w14:textId="77777777" w:rsidR="000000D1" w:rsidRPr="000000D1" w:rsidRDefault="000000D1" w:rsidP="000000D1">
      <w:pPr>
        <w:ind w:left="1440"/>
        <w:contextualSpacing/>
        <w:rPr>
          <w:rFonts w:eastAsia="Calibri" w:cs="Times New Roman"/>
        </w:rPr>
      </w:pPr>
      <w:r w:rsidRPr="000000D1">
        <w:rPr>
          <w:rFonts w:eastAsia="Calibri" w:cs="Times New Roman"/>
        </w:rPr>
        <w:t>Based on the discussion above, Florida law requires the taxpayer to include its share of the LLC's property, payroll, and sales, when determining the taxpayer's apportionment factor. Additionally, as the taxpayer has failed to show that use of the apportionment method provided by section 220.15, F.S., causes its tax base attributable to Florida to be unreasonably and arbitrarily represented, the taxpayer is required to use the apportionment method provided by section 220.15, F.S., in apportioning its income to Florida.</w:t>
      </w:r>
    </w:p>
    <w:p w14:paraId="2F5C7227" w14:textId="77777777" w:rsidR="000000D1" w:rsidRPr="000000D1" w:rsidRDefault="000000D1" w:rsidP="000000D1">
      <w:pPr>
        <w:ind w:left="1440"/>
        <w:contextualSpacing/>
        <w:rPr>
          <w:rFonts w:eastAsia="Calibri" w:cs="Times New Roman"/>
        </w:rPr>
      </w:pPr>
    </w:p>
    <w:p w14:paraId="089420CE" w14:textId="77777777" w:rsidR="000000D1" w:rsidRPr="000000D1" w:rsidRDefault="000000D1" w:rsidP="000000D1">
      <w:pPr>
        <w:ind w:firstLine="720"/>
        <w:rPr>
          <w:rFonts w:eastAsia="Calibri" w:cs="Times New Roman"/>
          <w:i/>
          <w:iCs/>
        </w:rPr>
      </w:pPr>
      <w:r w:rsidRPr="000000D1">
        <w:rPr>
          <w:rFonts w:eastAsia="Calibri" w:cs="Times New Roman"/>
        </w:rPr>
        <w:t xml:space="preserve">Florida Form F-1065: Partnership Information Return Instructions (2022) </w:t>
      </w:r>
    </w:p>
    <w:p w14:paraId="35BB421F" w14:textId="77777777" w:rsidR="000000D1" w:rsidRPr="000000D1" w:rsidRDefault="000000D1" w:rsidP="000000D1">
      <w:pPr>
        <w:ind w:left="1440"/>
        <w:rPr>
          <w:rFonts w:eastAsia="Calibri" w:cs="Times New Roman"/>
        </w:rPr>
      </w:pPr>
      <w:r w:rsidRPr="000000D1">
        <w:rPr>
          <w:rFonts w:eastAsia="Calibri" w:cs="Times New Roman"/>
        </w:rPr>
        <w:t>Each partner’s share of the apportionment factors is determined by multiplying the amount in Part III-A, on Lines 1, 2, and 3 by the percentage interest of each partner. Amounts determined should be added to each partner’s apportionment factors included on its Florida Form F-1120. Partnerships subject to a special industry apportionment fraction (for example, those engaged mainly in transportation services) should adjust this schedule to report each partner’s share of the special apportionment fraction (for example, revenue miles for transportation).</w:t>
      </w:r>
    </w:p>
    <w:p w14:paraId="6BE47D72" w14:textId="77777777" w:rsidR="000000D1" w:rsidRPr="000000D1" w:rsidRDefault="000000D1" w:rsidP="000000D1">
      <w:pPr>
        <w:pBdr>
          <w:bottom w:val="single" w:sz="4" w:space="0" w:color="auto"/>
        </w:pBdr>
        <w:rPr>
          <w:rFonts w:eastAsia="Calibri" w:cs="Times New Roman"/>
        </w:rPr>
      </w:pPr>
    </w:p>
    <w:p w14:paraId="37AD649E"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06" w:name="_Toc198480773"/>
      <w:r w:rsidRPr="000000D1">
        <w:rPr>
          <w:rFonts w:ascii="Californian FB" w:eastAsia="Times New Roman" w:hAnsi="Californian FB" w:cs="Times New Roman"/>
          <w:b/>
          <w:color w:val="851C00"/>
          <w:sz w:val="24"/>
          <w:szCs w:val="24"/>
          <w:u w:val="single"/>
        </w:rPr>
        <w:t>Georgia</w:t>
      </w:r>
      <w:bookmarkEnd w:id="106"/>
    </w:p>
    <w:p w14:paraId="11F9D1F3" w14:textId="77777777" w:rsidR="000000D1" w:rsidRPr="000000D1" w:rsidRDefault="000000D1" w:rsidP="000000D1">
      <w:pPr>
        <w:ind w:left="720"/>
        <w:contextualSpacing/>
        <w:rPr>
          <w:rFonts w:eastAsia="Calibri" w:cs="Times New Roman"/>
        </w:rPr>
      </w:pPr>
      <w:r w:rsidRPr="000000D1">
        <w:rPr>
          <w:rFonts w:eastAsia="Calibri" w:cs="Times New Roman"/>
        </w:rPr>
        <w:t xml:space="preserve">Ga. Comp. R. &amp; Regs.  § 560-7-7-.03(4)(e) and 5(f) </w:t>
      </w:r>
    </w:p>
    <w:p w14:paraId="37F814DF" w14:textId="77777777" w:rsidR="000000D1" w:rsidRPr="000000D1" w:rsidRDefault="000000D1" w:rsidP="000000D1">
      <w:pPr>
        <w:contextualSpacing/>
        <w:rPr>
          <w:rFonts w:eastAsia="Calibri" w:cs="Times New Roman"/>
        </w:rPr>
      </w:pPr>
    </w:p>
    <w:p w14:paraId="43456E54" w14:textId="77777777" w:rsidR="000000D1" w:rsidRPr="000000D1" w:rsidRDefault="000000D1" w:rsidP="000000D1">
      <w:pPr>
        <w:ind w:left="1440"/>
        <w:rPr>
          <w:rFonts w:eastAsia="Calibri" w:cs="Times New Roman"/>
        </w:rPr>
      </w:pPr>
      <w:r w:rsidRPr="000000D1">
        <w:rPr>
          <w:rFonts w:eastAsia="Calibri" w:cs="Times New Roman"/>
        </w:rPr>
        <w:lastRenderedPageBreak/>
        <w:t>A corporation that is involved in a business joint venture, is a member of a limited liability company or similar nontaxable entity not treated as a corporation for federal income tax purposes, or is a partner in a business partnership, must include its pro rata share of the entity's property, payroll, and gross receipts in its own apportionment formula. In determining its income, the corporation includes its share of the entity's income before the entity apportions and allocates its income.</w:t>
      </w:r>
    </w:p>
    <w:p w14:paraId="59A652A6" w14:textId="77777777" w:rsidR="000000D1" w:rsidRPr="000000D1" w:rsidRDefault="000000D1" w:rsidP="000000D1">
      <w:pPr>
        <w:ind w:left="720"/>
        <w:contextualSpacing/>
        <w:rPr>
          <w:rFonts w:eastAsia="Calibri" w:cs="Times New Roman"/>
        </w:rPr>
      </w:pPr>
      <w:r w:rsidRPr="000000D1">
        <w:rPr>
          <w:rFonts w:eastAsia="Calibri" w:cs="Times New Roman"/>
        </w:rPr>
        <w:t xml:space="preserve">Ga. Code Ann. § 48-7-53(c)(3)(C) </w:t>
      </w:r>
      <w:r w:rsidRPr="000000D1">
        <w:rPr>
          <w:rFonts w:eastAsia="Calibri" w:cs="Times New Roman"/>
          <w:i/>
          <w:iCs/>
        </w:rPr>
        <w:t>(</w:t>
      </w:r>
      <w:r w:rsidRPr="000000D1">
        <w:rPr>
          <w:rFonts w:eastAsia="Calibri" w:cs="Times New Roman"/>
        </w:rPr>
        <w:t>in audit situation)</w:t>
      </w:r>
    </w:p>
    <w:p w14:paraId="5CBD84BE" w14:textId="77777777" w:rsidR="000000D1" w:rsidRPr="000000D1" w:rsidRDefault="000000D1" w:rsidP="000000D1">
      <w:pPr>
        <w:contextualSpacing/>
        <w:rPr>
          <w:rFonts w:eastAsia="Calibri" w:cs="Times New Roman"/>
        </w:rPr>
      </w:pPr>
    </w:p>
    <w:p w14:paraId="6D9A5014" w14:textId="77777777" w:rsidR="000000D1" w:rsidRPr="000000D1" w:rsidRDefault="000000D1" w:rsidP="000000D1">
      <w:pPr>
        <w:ind w:left="1440"/>
        <w:rPr>
          <w:rFonts w:eastAsia="Calibri" w:cs="Times New Roman"/>
        </w:rPr>
      </w:pPr>
      <w:r w:rsidRPr="000000D1">
        <w:rPr>
          <w:rFonts w:eastAsia="Calibri" w:cs="Times New Roman"/>
        </w:rPr>
        <w:t>Determine the total distributive share of all final federal adjustments and positive reallocation adjustments as modified by this title and apportion and allocate such adjustments as provided in Code Section 48-7-31 for such electing partnership or such electing tiered partner and determine the total distributive share of such amounts that are allocated to all corporate partners, all tiered partners, all exempt partners and that is unrelated business income, all nonresident individual partners, and all nonresident fiduciary partners. If the commissioner determines that a partnership or tiered partner fraudulently underreported its income on a return, the commissioner shall treat any income attributable to a tiered partner of such partnership or tiered partner as being apportioned and allocated entirely to Georgia to the extent the direct and indirect partners of such tiered partner are resident partners.</w:t>
      </w:r>
    </w:p>
    <w:p w14:paraId="53FEEE0D" w14:textId="77777777" w:rsidR="000000D1" w:rsidRPr="000000D1" w:rsidRDefault="000000D1" w:rsidP="000000D1">
      <w:pPr>
        <w:pBdr>
          <w:bottom w:val="single" w:sz="4" w:space="0" w:color="auto"/>
        </w:pBdr>
        <w:rPr>
          <w:rFonts w:eastAsia="Calibri" w:cs="Times New Roman"/>
        </w:rPr>
      </w:pPr>
    </w:p>
    <w:p w14:paraId="75FF3A04"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07" w:name="_Toc198480774"/>
      <w:r w:rsidRPr="000000D1">
        <w:rPr>
          <w:rFonts w:ascii="Californian FB" w:eastAsia="Times New Roman" w:hAnsi="Californian FB" w:cs="Times New Roman"/>
          <w:b/>
          <w:color w:val="851C00"/>
          <w:sz w:val="24"/>
          <w:szCs w:val="24"/>
          <w:u w:val="single"/>
        </w:rPr>
        <w:t>Hawaii</w:t>
      </w:r>
      <w:bookmarkEnd w:id="107"/>
    </w:p>
    <w:p w14:paraId="5B61AEBA" w14:textId="77777777" w:rsidR="000000D1" w:rsidRPr="000000D1" w:rsidRDefault="000000D1" w:rsidP="000000D1">
      <w:pPr>
        <w:ind w:left="720"/>
        <w:contextualSpacing/>
        <w:rPr>
          <w:rFonts w:eastAsia="Calibri" w:cs="Times New Roman"/>
        </w:rPr>
      </w:pPr>
      <w:r w:rsidRPr="000000D1">
        <w:rPr>
          <w:rFonts w:eastAsia="Calibri" w:cs="Times New Roman"/>
        </w:rPr>
        <w:t xml:space="preserve">Haw. Code R. § 18-235-29-04 </w:t>
      </w:r>
    </w:p>
    <w:p w14:paraId="4D78F866" w14:textId="77777777" w:rsidR="000000D1" w:rsidRPr="000000D1" w:rsidRDefault="000000D1" w:rsidP="000000D1">
      <w:pPr>
        <w:contextualSpacing/>
        <w:rPr>
          <w:rFonts w:eastAsia="Calibri" w:cs="Times New Roman"/>
        </w:rPr>
      </w:pPr>
    </w:p>
    <w:p w14:paraId="34DE514C" w14:textId="77777777" w:rsidR="000000D1" w:rsidRPr="000000D1" w:rsidRDefault="000000D1" w:rsidP="000000D1">
      <w:pPr>
        <w:ind w:left="1440"/>
        <w:rPr>
          <w:rFonts w:eastAsia="Calibri" w:cs="Times New Roman"/>
        </w:rPr>
      </w:pPr>
      <w:r w:rsidRPr="000000D1">
        <w:rPr>
          <w:rFonts w:eastAsia="Calibri" w:cs="Times New Roman"/>
        </w:rPr>
        <w:t>(a) If a taxpayer is a partner in a partnership, and the partnership's activities and the taxpayer's activities constitute a unitary business:</w:t>
      </w:r>
    </w:p>
    <w:p w14:paraId="4FE1AE32" w14:textId="77777777" w:rsidR="000000D1" w:rsidRPr="000000D1" w:rsidRDefault="000000D1" w:rsidP="000000D1">
      <w:pPr>
        <w:ind w:left="1440"/>
        <w:rPr>
          <w:rFonts w:eastAsia="Calibri" w:cs="Times New Roman"/>
        </w:rPr>
      </w:pPr>
      <w:r w:rsidRPr="000000D1">
        <w:rPr>
          <w:rFonts w:eastAsia="Calibri" w:cs="Times New Roman"/>
        </w:rPr>
        <w:t>(1) The taxpayer's share of the partnership's trade or business shall be combined with the taxpayer's trade or business;</w:t>
      </w:r>
    </w:p>
    <w:p w14:paraId="1FE488FC" w14:textId="77777777" w:rsidR="000000D1" w:rsidRPr="000000D1" w:rsidRDefault="000000D1" w:rsidP="000000D1">
      <w:pPr>
        <w:ind w:left="1440"/>
        <w:rPr>
          <w:rFonts w:eastAsia="Calibri" w:cs="Times New Roman"/>
        </w:rPr>
      </w:pPr>
      <w:r w:rsidRPr="000000D1">
        <w:rPr>
          <w:rFonts w:eastAsia="Calibri" w:cs="Times New Roman"/>
        </w:rPr>
        <w:t>(2) The property, payroll, and sales factors, or other applicable factors, of the taxpayer and the partnership shall be combined; and</w:t>
      </w:r>
    </w:p>
    <w:p w14:paraId="1D67F6B4" w14:textId="77777777" w:rsidR="000000D1" w:rsidRPr="000000D1" w:rsidRDefault="000000D1" w:rsidP="000000D1">
      <w:pPr>
        <w:ind w:left="1440"/>
        <w:rPr>
          <w:rFonts w:eastAsia="Calibri" w:cs="Times New Roman"/>
        </w:rPr>
      </w:pPr>
      <w:r w:rsidRPr="000000D1">
        <w:rPr>
          <w:rFonts w:eastAsia="Calibri" w:cs="Times New Roman"/>
        </w:rPr>
        <w:t>(3) Intercompany items shall be eliminated, under the principles set forth in section 18-235-22-03.</w:t>
      </w:r>
    </w:p>
    <w:p w14:paraId="387011FC" w14:textId="77777777" w:rsidR="000000D1" w:rsidRPr="000000D1" w:rsidRDefault="000000D1" w:rsidP="000000D1">
      <w:pPr>
        <w:ind w:left="1440"/>
        <w:rPr>
          <w:rFonts w:eastAsia="Calibri" w:cs="Times New Roman"/>
        </w:rPr>
      </w:pPr>
      <w:r w:rsidRPr="000000D1">
        <w:rPr>
          <w:rFonts w:eastAsia="Calibri" w:cs="Times New Roman"/>
        </w:rPr>
        <w:t>Example 1: Corporation A's distributive share of income in partnership P is 20 per cent. Corporation A manufactures toys which are sold in the seven western states by partnership P. Corporation A's business income for the year was $1,000,000 and partnership P's business income for the same year was $800,000. The business income of corporation A is $1,160,000 ($1,000,000 plus 20 per cent of $800,000).</w:t>
      </w:r>
    </w:p>
    <w:p w14:paraId="3E6ECC09" w14:textId="77777777" w:rsidR="000000D1" w:rsidRPr="000000D1" w:rsidRDefault="000000D1" w:rsidP="000000D1">
      <w:pPr>
        <w:ind w:left="1440"/>
        <w:rPr>
          <w:rFonts w:eastAsia="Calibri" w:cs="Times New Roman"/>
        </w:rPr>
      </w:pPr>
      <w:r w:rsidRPr="000000D1">
        <w:rPr>
          <w:rFonts w:eastAsia="Calibri" w:cs="Times New Roman"/>
        </w:rPr>
        <w:t>Example 2: The facts are the same as in Example 1. Partnership P owns a building with an original cost of $100,000 which is rented to corporation A for $12,000 per year. Corporation A shall include $20,000 (20 per cent of $100,000) in its property factor because of its interest in partnership P. In addition, Corporation A shall take into account $9,600 ($12,000 less 20 percent of $12,000) of rental expense into its property factor in order to include in the property factor the rented building used in Corporation A's operation. Thus, Corporation A shall include $76,800 ($9,600 multiplied by 8, pursuant to section 235-31, HRS) for the rent paid, and $20,000 for its interest in the building through Partnership P, in its property factor, totaling $96,800 attributable to the building.</w:t>
      </w:r>
    </w:p>
    <w:p w14:paraId="3B9646CB" w14:textId="77777777" w:rsidR="000000D1" w:rsidRPr="000000D1" w:rsidRDefault="000000D1" w:rsidP="000000D1">
      <w:pPr>
        <w:ind w:left="1440"/>
        <w:rPr>
          <w:rFonts w:eastAsia="Calibri" w:cs="Times New Roman"/>
        </w:rPr>
      </w:pPr>
      <w:r w:rsidRPr="000000D1">
        <w:rPr>
          <w:rFonts w:eastAsia="Calibri" w:cs="Times New Roman"/>
        </w:rPr>
        <w:t xml:space="preserve">(b) If a taxpayer is a partner in a partnership, and the partnership's activities and the taxpayer's activities do not constitute a unitary business, the partnership shall allocate </w:t>
      </w:r>
      <w:r w:rsidRPr="000000D1">
        <w:rPr>
          <w:rFonts w:eastAsia="Calibri" w:cs="Times New Roman"/>
        </w:rPr>
        <w:lastRenderedPageBreak/>
        <w:t>and apportion its income at the partnership level. The taxpayer's distributive share of the partnership's income allocated or apportioned to this State shall not be subject to further apportionment by the taxpayer.</w:t>
      </w:r>
    </w:p>
    <w:p w14:paraId="0F26A534" w14:textId="77777777" w:rsidR="000000D1" w:rsidRPr="000000D1" w:rsidRDefault="000000D1" w:rsidP="000000D1">
      <w:pPr>
        <w:ind w:left="1440"/>
        <w:rPr>
          <w:rFonts w:eastAsia="Calibri" w:cs="Times New Roman"/>
        </w:rPr>
      </w:pPr>
      <w:r w:rsidRPr="000000D1">
        <w:rPr>
          <w:rFonts w:eastAsia="Calibri" w:cs="Times New Roman"/>
        </w:rPr>
        <w:t>Example: Corporation A's distributive share of income in partnership P is 20 per cent. Corporation A manufactures and sells toys in the seven western states. Partnership P operates farms within and without this State. Both corporation A and partnership P earn exclusively business income, except for distributions from Partnership P. Corporation A's business income for the year is $1,000,000 and partnership P's income is $800,000 for the same year. Because corporation A and partnership P are engaged in two different trades or businesses, corporation A shall apportion its $1,000,000 income on the basis of its own apportionment formula. Partnership P shall apportion its business income of $800,000 on the basis of its own apportionment formula. Corporation A's apportionment factors are determined without regard to Partnership P's apportionment factors, and vice versa. Assume that corporation A's apportionment percentage determined under section 18-235-29-01 is 35 per cent, and that partnership P's apportionment percentage is 10 per cent. Partnership P's Hawaii income is 10 per cent of the income from its farming business ($80,000 = 10 per cent × $800,000). Corporation A is taxable in this State upon 35 per cent of the income from its toy manufacturing business ($350,000 = 35 per cent × $1,000,000) plus its full distributive share of the partnership income attributed to this State ($16,000 = 20 per cent × $80,000), or $366,000.</w:t>
      </w:r>
    </w:p>
    <w:p w14:paraId="589C6BFE" w14:textId="77777777" w:rsidR="000000D1" w:rsidRPr="000000D1" w:rsidRDefault="000000D1" w:rsidP="000000D1">
      <w:pPr>
        <w:pBdr>
          <w:bottom w:val="single" w:sz="4" w:space="0" w:color="auto"/>
        </w:pBdr>
        <w:rPr>
          <w:rFonts w:eastAsia="Calibri" w:cs="Times New Roman"/>
        </w:rPr>
      </w:pPr>
    </w:p>
    <w:p w14:paraId="03E7E0A5"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08" w:name="_Toc198480775"/>
      <w:r w:rsidRPr="000000D1">
        <w:rPr>
          <w:rFonts w:ascii="Californian FB" w:eastAsia="Times New Roman" w:hAnsi="Californian FB" w:cs="Times New Roman"/>
          <w:b/>
          <w:color w:val="851C00"/>
          <w:sz w:val="24"/>
          <w:szCs w:val="24"/>
          <w:u w:val="single"/>
        </w:rPr>
        <w:t>Idaho</w:t>
      </w:r>
      <w:bookmarkEnd w:id="108"/>
    </w:p>
    <w:p w14:paraId="71A1C699" w14:textId="77777777" w:rsidR="000000D1" w:rsidRPr="000000D1" w:rsidRDefault="000000D1" w:rsidP="000000D1">
      <w:pPr>
        <w:ind w:left="720"/>
        <w:contextualSpacing/>
        <w:rPr>
          <w:rFonts w:eastAsia="Calibri" w:cs="Times New Roman"/>
        </w:rPr>
      </w:pPr>
      <w:r w:rsidRPr="000000D1">
        <w:rPr>
          <w:rFonts w:eastAsia="Calibri" w:cs="Times New Roman"/>
        </w:rPr>
        <w:t xml:space="preserve">Idaho Admin. Code r. 35.01.01.620 </w:t>
      </w:r>
    </w:p>
    <w:p w14:paraId="664CBF4F" w14:textId="77777777" w:rsidR="000000D1" w:rsidRPr="000000D1" w:rsidRDefault="000000D1" w:rsidP="000000D1">
      <w:pPr>
        <w:contextualSpacing/>
        <w:rPr>
          <w:rFonts w:eastAsia="Calibri" w:cs="Times New Roman"/>
        </w:rPr>
      </w:pPr>
    </w:p>
    <w:p w14:paraId="295430E9" w14:textId="77777777" w:rsidR="000000D1" w:rsidRPr="000000D1" w:rsidRDefault="000000D1" w:rsidP="000000D1">
      <w:pPr>
        <w:ind w:left="1440"/>
        <w:rPr>
          <w:rFonts w:eastAsia="Calibri" w:cs="Times New Roman"/>
        </w:rPr>
      </w:pPr>
      <w:r w:rsidRPr="000000D1">
        <w:rPr>
          <w:rFonts w:eastAsia="Calibri" w:cs="Times New Roman"/>
        </w:rPr>
        <w:t>01. In General. If a corporation required to file an Idaho income tax return is a member of an operating partnership, the corporation is to report its Idaho taxable income, including its share of income from the partnership, in accordance with this rule. For purposes of this rule, the term partnership includes a joint venture.</w:t>
      </w:r>
    </w:p>
    <w:p w14:paraId="1DE5341C" w14:textId="77777777" w:rsidR="000000D1" w:rsidRPr="000000D1" w:rsidRDefault="000000D1" w:rsidP="000000D1">
      <w:pPr>
        <w:ind w:left="1440"/>
        <w:rPr>
          <w:rFonts w:eastAsia="Calibri" w:cs="Times New Roman"/>
        </w:rPr>
      </w:pPr>
      <w:r w:rsidRPr="000000D1">
        <w:rPr>
          <w:rFonts w:eastAsia="Calibri" w:cs="Times New Roman"/>
        </w:rPr>
        <w:t>02. Transacting Business. A corporation is transacting business in Idaho if it is a partner in a partnership that is transacting business in Idaho even though the corporation has no other contact with Idaho. In this case, both the partnership and the corporation have an Idaho filing requirement.</w:t>
      </w:r>
    </w:p>
    <w:p w14:paraId="7D0CEB5D" w14:textId="77777777" w:rsidR="000000D1" w:rsidRPr="000000D1" w:rsidRDefault="000000D1" w:rsidP="000000D1">
      <w:pPr>
        <w:ind w:left="1440"/>
        <w:rPr>
          <w:rFonts w:eastAsia="Calibri" w:cs="Times New Roman"/>
        </w:rPr>
      </w:pPr>
      <w:r w:rsidRPr="000000D1">
        <w:rPr>
          <w:rFonts w:eastAsia="Calibri" w:cs="Times New Roman"/>
        </w:rPr>
        <w:t>03. Multistate Partnerships. If a partnership operates in more than one state, its income is to be apportioned and allocated on the partnership return as if the partnership were a corporation. The allocation and apportionment rules of Section 63-3027, Idaho Code, and related rules apply to the partnership.</w:t>
      </w:r>
    </w:p>
    <w:p w14:paraId="73AE3CC7" w14:textId="77777777" w:rsidR="000000D1" w:rsidRPr="000000D1" w:rsidRDefault="000000D1" w:rsidP="000000D1">
      <w:pPr>
        <w:ind w:left="1440"/>
        <w:rPr>
          <w:rFonts w:eastAsia="Calibri" w:cs="Times New Roman"/>
        </w:rPr>
      </w:pPr>
      <w:r w:rsidRPr="000000D1">
        <w:rPr>
          <w:rFonts w:eastAsia="Calibri" w:cs="Times New Roman"/>
        </w:rPr>
        <w:t>04. Partnership Income as Apportionable Income of the Partner.</w:t>
      </w:r>
    </w:p>
    <w:p w14:paraId="7E5E9101" w14:textId="77777777" w:rsidR="000000D1" w:rsidRPr="000000D1" w:rsidRDefault="000000D1" w:rsidP="000000D1">
      <w:pPr>
        <w:ind w:left="1440"/>
        <w:rPr>
          <w:rFonts w:eastAsia="Calibri" w:cs="Times New Roman"/>
        </w:rPr>
      </w:pPr>
      <w:r w:rsidRPr="000000D1">
        <w:rPr>
          <w:rFonts w:eastAsia="Calibri" w:cs="Times New Roman"/>
        </w:rPr>
        <w:t>a. Income. If the income or loss of a partnership is apportionable income or loss to a corporate partner, its share of this net apportionable income or loss is to be apportioned together with all other net apportionable income or loss of the corporation. Apportionable income or loss is defined by Section 63-3027(1)(a), Idaho Code, and Rules 330 through 336 of these rules.</w:t>
      </w:r>
    </w:p>
    <w:p w14:paraId="0CEDD72A" w14:textId="77777777" w:rsidR="000000D1" w:rsidRPr="000000D1" w:rsidRDefault="000000D1" w:rsidP="000000D1">
      <w:pPr>
        <w:ind w:left="1440"/>
        <w:rPr>
          <w:rFonts w:eastAsia="Calibri" w:cs="Times New Roman"/>
        </w:rPr>
      </w:pPr>
      <w:r w:rsidRPr="000000D1">
        <w:rPr>
          <w:rFonts w:eastAsia="Calibri" w:cs="Times New Roman"/>
        </w:rPr>
        <w:t xml:space="preserve">b. Factors. A corporate partner's share of the partnership property, payroll, and sales after intercompany eliminations, is to be included in the numerators and the denominators of the partner's property, payroll, and sales factors when computing its apportionment formula. The partner's share of the partnership's property, payroll, and sales is determined by attributing the partnership's property, payroll, and sales to the partner in the same proportion as its distributive share of partnership income if reporting </w:t>
      </w:r>
      <w:r w:rsidRPr="000000D1">
        <w:rPr>
          <w:rFonts w:eastAsia="Calibri" w:cs="Times New Roman"/>
        </w:rPr>
        <w:lastRenderedPageBreak/>
        <w:t>net income for the taxable year or in the same proportion as its distributive share of partnership losses if reporting a net loss for the taxable year. Generally, the partnership's property, payroll, and sales includable in the corporation's factor computations is determined in accordance with Section 63-3027, Idaho Code, and related rules. To determine how the sales attribution rules of Sections 63-3027(12) and (13), Idaho Code, apply to the sales factor of the corporate partner, the sales of the partnership are treated as if they were sales of the corporation.</w:t>
      </w:r>
    </w:p>
    <w:p w14:paraId="1B642D38" w14:textId="4FB0DE0A" w:rsidR="000000D1" w:rsidRPr="000000D1" w:rsidRDefault="000000D1" w:rsidP="000000D1">
      <w:pPr>
        <w:ind w:left="720" w:firstLine="720"/>
        <w:rPr>
          <w:rFonts w:eastAsia="Calibri" w:cs="Times New Roman"/>
        </w:rPr>
      </w:pPr>
      <w:r w:rsidRPr="000000D1">
        <w:rPr>
          <w:rFonts w:eastAsia="Calibri" w:cs="Times New Roman"/>
        </w:rPr>
        <w:t xml:space="preserve">05. Partnership Income as </w:t>
      </w:r>
      <w:r w:rsidR="00DD6753">
        <w:rPr>
          <w:rFonts w:eastAsia="Calibri" w:cs="Times New Roman"/>
        </w:rPr>
        <w:t>Non-apportionable</w:t>
      </w:r>
      <w:r w:rsidRPr="000000D1">
        <w:rPr>
          <w:rFonts w:eastAsia="Calibri" w:cs="Times New Roman"/>
        </w:rPr>
        <w:t xml:space="preserve"> Income of Partner.</w:t>
      </w:r>
    </w:p>
    <w:p w14:paraId="6D277157" w14:textId="7A0EB41C" w:rsidR="000000D1" w:rsidRPr="000000D1" w:rsidRDefault="000000D1" w:rsidP="000000D1">
      <w:pPr>
        <w:ind w:left="1440"/>
        <w:rPr>
          <w:rFonts w:eastAsia="Calibri" w:cs="Times New Roman"/>
        </w:rPr>
      </w:pPr>
      <w:r w:rsidRPr="000000D1">
        <w:rPr>
          <w:rFonts w:eastAsia="Calibri" w:cs="Times New Roman"/>
        </w:rPr>
        <w:t xml:space="preserve">a. Income. If the partnership income or loss is not apportionable income to a corporate partner, the income is </w:t>
      </w:r>
      <w:r w:rsidR="00DD6753">
        <w:rPr>
          <w:rFonts w:eastAsia="Calibri" w:cs="Times New Roman"/>
        </w:rPr>
        <w:t>non-apportionable</w:t>
      </w:r>
      <w:r w:rsidRPr="000000D1">
        <w:rPr>
          <w:rFonts w:eastAsia="Calibri" w:cs="Times New Roman"/>
        </w:rPr>
        <w:t xml:space="preserve"> income as defined in Section 63-3027(1)(h), Idaho Code, and Rules 335 through 339 of these rules. The corporate partner is to allocate the </w:t>
      </w:r>
      <w:r w:rsidR="00DD6753">
        <w:rPr>
          <w:rFonts w:eastAsia="Calibri" w:cs="Times New Roman"/>
        </w:rPr>
        <w:t>non-apportionable</w:t>
      </w:r>
      <w:r w:rsidRPr="000000D1">
        <w:rPr>
          <w:rFonts w:eastAsia="Calibri" w:cs="Times New Roman"/>
        </w:rPr>
        <w:t xml:space="preserve"> income to the state in which it was earned. The corporate partner, on its Idaho corporation income tax return, is to specifically allocate to Idaho its share of the </w:t>
      </w:r>
      <w:r w:rsidR="00DD6753">
        <w:rPr>
          <w:rFonts w:eastAsia="Calibri" w:cs="Times New Roman"/>
        </w:rPr>
        <w:t>non-apportionable</w:t>
      </w:r>
      <w:r w:rsidRPr="000000D1">
        <w:rPr>
          <w:rFonts w:eastAsia="Calibri" w:cs="Times New Roman"/>
        </w:rPr>
        <w:t xml:space="preserve"> income attributable to Idaho.</w:t>
      </w:r>
    </w:p>
    <w:p w14:paraId="1D34190F" w14:textId="77C30ED0" w:rsidR="000000D1" w:rsidRPr="000000D1" w:rsidRDefault="000000D1" w:rsidP="000000D1">
      <w:pPr>
        <w:ind w:left="1440"/>
        <w:rPr>
          <w:rFonts w:eastAsia="Calibri" w:cs="Times New Roman"/>
        </w:rPr>
      </w:pPr>
      <w:r w:rsidRPr="000000D1">
        <w:rPr>
          <w:rFonts w:eastAsia="Calibri" w:cs="Times New Roman"/>
        </w:rPr>
        <w:t xml:space="preserve">b. Factors. If the partnership income or loss is </w:t>
      </w:r>
      <w:r w:rsidR="00DD6753">
        <w:rPr>
          <w:rFonts w:eastAsia="Calibri" w:cs="Times New Roman"/>
        </w:rPr>
        <w:t>non-apportionable</w:t>
      </w:r>
      <w:r w:rsidRPr="000000D1">
        <w:rPr>
          <w:rFonts w:eastAsia="Calibri" w:cs="Times New Roman"/>
        </w:rPr>
        <w:t xml:space="preserve"> income to the corporate partner, none of the partnership property, payroll, or sales may be included in the computation of the factors of the corporation.</w:t>
      </w:r>
    </w:p>
    <w:p w14:paraId="72B21110" w14:textId="77777777" w:rsidR="000000D1" w:rsidRPr="000000D1" w:rsidRDefault="000000D1" w:rsidP="000000D1">
      <w:pPr>
        <w:ind w:left="720"/>
        <w:contextualSpacing/>
        <w:rPr>
          <w:rFonts w:eastAsia="Calibri" w:cs="Times New Roman"/>
          <w:i/>
          <w:iCs/>
        </w:rPr>
      </w:pPr>
      <w:r w:rsidRPr="000000D1">
        <w:rPr>
          <w:rFonts w:eastAsia="Calibri" w:cs="Times New Roman"/>
        </w:rPr>
        <w:t>Idaho Admin. Code r. 35.01.01.785(01)(d) (01/01/2006)</w:t>
      </w:r>
    </w:p>
    <w:p w14:paraId="344590FE" w14:textId="77777777" w:rsidR="000000D1" w:rsidRPr="000000D1" w:rsidRDefault="000000D1" w:rsidP="000000D1">
      <w:pPr>
        <w:contextualSpacing/>
        <w:rPr>
          <w:rFonts w:eastAsia="Calibri" w:cs="Times New Roman"/>
        </w:rPr>
      </w:pPr>
    </w:p>
    <w:p w14:paraId="6BD8359D" w14:textId="77777777" w:rsidR="000000D1" w:rsidRPr="000000D1" w:rsidRDefault="000000D1" w:rsidP="000000D1">
      <w:pPr>
        <w:ind w:left="1440"/>
        <w:rPr>
          <w:rFonts w:eastAsia="Calibri" w:cs="Times New Roman"/>
        </w:rPr>
      </w:pPr>
      <w:r w:rsidRPr="000000D1">
        <w:rPr>
          <w:rFonts w:eastAsia="Calibri" w:cs="Times New Roman"/>
        </w:rPr>
        <w:t>Idaho credits may not pass through to partners or owners based on special  allocations.</w:t>
      </w:r>
    </w:p>
    <w:p w14:paraId="608DC3F7" w14:textId="77777777" w:rsidR="000000D1" w:rsidRPr="000000D1" w:rsidRDefault="000000D1" w:rsidP="000000D1">
      <w:pPr>
        <w:ind w:left="720" w:firstLine="40"/>
        <w:rPr>
          <w:rFonts w:eastAsia="Calibri" w:cs="Times New Roman"/>
        </w:rPr>
      </w:pPr>
      <w:r w:rsidRPr="000000D1">
        <w:rPr>
          <w:rFonts w:eastAsia="Calibri" w:cs="Times New Roman"/>
          <w:i/>
          <w:iCs/>
        </w:rPr>
        <w:t>Anheuser-Busch InBev Worldwide, Inc. v. Idaho State Tax Commission</w:t>
      </w:r>
      <w:r w:rsidRPr="000000D1">
        <w:rPr>
          <w:rFonts w:eastAsia="Calibri" w:cs="Times New Roman"/>
        </w:rPr>
        <w:t xml:space="preserve">, No. CV01-23-3452 (Idaho District Ct.  07/08/2024) </w:t>
      </w:r>
    </w:p>
    <w:p w14:paraId="39A3C55B" w14:textId="77777777" w:rsidR="000000D1" w:rsidRPr="000000D1" w:rsidRDefault="000000D1" w:rsidP="000000D1">
      <w:pPr>
        <w:ind w:left="1440"/>
        <w:rPr>
          <w:rFonts w:eastAsia="Calibri" w:cs="Times New Roman"/>
        </w:rPr>
      </w:pPr>
      <w:r w:rsidRPr="000000D1">
        <w:rPr>
          <w:rFonts w:eastAsia="Calibri" w:cs="Times New Roman"/>
        </w:rPr>
        <w:t>Holding that Idaho correctly flowed through the partnership’s apportionment factors to the corporate partner.</w:t>
      </w:r>
    </w:p>
    <w:p w14:paraId="5AD6F9BE" w14:textId="77777777" w:rsidR="000000D1" w:rsidRPr="000000D1" w:rsidRDefault="000000D1" w:rsidP="000000D1">
      <w:pPr>
        <w:pBdr>
          <w:bottom w:val="single" w:sz="4" w:space="0" w:color="auto"/>
        </w:pBdr>
        <w:rPr>
          <w:rFonts w:eastAsia="Calibri" w:cs="Times New Roman"/>
        </w:rPr>
      </w:pPr>
    </w:p>
    <w:p w14:paraId="0437C505"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09" w:name="_Toc198480776"/>
      <w:r w:rsidRPr="000000D1">
        <w:rPr>
          <w:rFonts w:ascii="Californian FB" w:eastAsia="Times New Roman" w:hAnsi="Californian FB" w:cs="Times New Roman"/>
          <w:b/>
          <w:color w:val="851C00"/>
          <w:sz w:val="24"/>
          <w:szCs w:val="24"/>
          <w:u w:val="single"/>
        </w:rPr>
        <w:t>Illinois</w:t>
      </w:r>
      <w:bookmarkEnd w:id="109"/>
    </w:p>
    <w:p w14:paraId="6A8DFFDE" w14:textId="77777777" w:rsidR="000000D1" w:rsidRPr="000000D1" w:rsidRDefault="000000D1" w:rsidP="000000D1">
      <w:pPr>
        <w:ind w:left="720"/>
        <w:contextualSpacing/>
        <w:rPr>
          <w:rFonts w:eastAsia="Calibri" w:cs="Times New Roman"/>
        </w:rPr>
      </w:pPr>
      <w:r w:rsidRPr="000000D1">
        <w:rPr>
          <w:rFonts w:eastAsia="Calibri" w:cs="Times New Roman"/>
        </w:rPr>
        <w:t xml:space="preserve">35 Ill. Comp. Stat. 5/305 </w:t>
      </w:r>
    </w:p>
    <w:p w14:paraId="649DEA8C" w14:textId="77777777" w:rsidR="000000D1" w:rsidRPr="000000D1" w:rsidRDefault="000000D1" w:rsidP="000000D1">
      <w:pPr>
        <w:ind w:left="720"/>
        <w:contextualSpacing/>
        <w:rPr>
          <w:rFonts w:eastAsia="Calibri" w:cs="Times New Roman"/>
        </w:rPr>
      </w:pPr>
    </w:p>
    <w:p w14:paraId="193BE337" w14:textId="77777777" w:rsidR="000000D1" w:rsidRPr="000000D1" w:rsidRDefault="000000D1" w:rsidP="000000D1">
      <w:pPr>
        <w:ind w:left="1440"/>
        <w:contextualSpacing/>
        <w:rPr>
          <w:rFonts w:eastAsia="Calibri" w:cs="Times New Roman"/>
        </w:rPr>
      </w:pPr>
      <w:r w:rsidRPr="000000D1">
        <w:rPr>
          <w:rFonts w:eastAsia="Calibri" w:cs="Times New Roman"/>
        </w:rPr>
        <w:t>(a) Allocation of partnership business income by partners other than residents. The respective shares of partners other than residents in so much of the business income of the partnership as is allocated or apportioned to this State in the possession of the partnership shall be taken into account by such partners pro rata in accordance with their respective distributive shares of such partnership income for the partnership's taxable year and allocated to this State.</w:t>
      </w:r>
    </w:p>
    <w:p w14:paraId="29886D1A" w14:textId="77777777" w:rsidR="000000D1" w:rsidRPr="000000D1" w:rsidRDefault="000000D1" w:rsidP="000000D1">
      <w:pPr>
        <w:ind w:left="720"/>
        <w:contextualSpacing/>
        <w:rPr>
          <w:rFonts w:eastAsia="Calibri" w:cs="Times New Roman"/>
        </w:rPr>
      </w:pPr>
    </w:p>
    <w:p w14:paraId="71CE5A28" w14:textId="77777777" w:rsidR="000000D1" w:rsidRPr="000000D1" w:rsidRDefault="000000D1" w:rsidP="000000D1">
      <w:pPr>
        <w:ind w:left="1440"/>
        <w:contextualSpacing/>
        <w:rPr>
          <w:rFonts w:eastAsia="Calibri" w:cs="Times New Roman"/>
        </w:rPr>
      </w:pPr>
      <w:r w:rsidRPr="000000D1">
        <w:rPr>
          <w:rFonts w:eastAsia="Calibri" w:cs="Times New Roman"/>
        </w:rPr>
        <w:t>(b) Allocation of partnership nonbusiness income by partners other than residents. The respective shares of partners other than residents in the items of partnership income and deduction not taken into account in computing the business income of a partnership shall be taken into account by such partners pro rata in accordance with their respective distributive shares of such partnership income for the partnership's taxable year, and allocated as if such items had been paid, incurred or accrued directly to such partners in their separate capacities.</w:t>
      </w:r>
    </w:p>
    <w:p w14:paraId="146596F6" w14:textId="77777777" w:rsidR="000000D1" w:rsidRPr="000000D1" w:rsidRDefault="000000D1" w:rsidP="000000D1">
      <w:pPr>
        <w:ind w:left="1440"/>
        <w:contextualSpacing/>
        <w:rPr>
          <w:rFonts w:eastAsia="Calibri" w:cs="Times New Roman"/>
        </w:rPr>
      </w:pPr>
    </w:p>
    <w:p w14:paraId="185D1A89" w14:textId="77777777" w:rsidR="000000D1" w:rsidRPr="000000D1" w:rsidRDefault="000000D1" w:rsidP="000000D1">
      <w:pPr>
        <w:ind w:left="1440"/>
        <w:contextualSpacing/>
        <w:rPr>
          <w:rFonts w:eastAsia="Calibri" w:cs="Times New Roman"/>
        </w:rPr>
      </w:pPr>
      <w:r w:rsidRPr="000000D1">
        <w:rPr>
          <w:rFonts w:eastAsia="Calibri" w:cs="Times New Roman"/>
        </w:rPr>
        <w:t>(c) Allocation or apportionment of base income by partnership. Base income of a partnership shall be allocated or apportioned to this State pursuant to Article 3, in the same manner as it is allocated or apportioned for any other nonresident . . .</w:t>
      </w:r>
    </w:p>
    <w:p w14:paraId="46CFB1F7" w14:textId="77777777" w:rsidR="000000D1" w:rsidRPr="000000D1" w:rsidRDefault="000000D1" w:rsidP="000000D1">
      <w:pPr>
        <w:ind w:left="720"/>
        <w:contextualSpacing/>
        <w:rPr>
          <w:rFonts w:eastAsia="Calibri" w:cs="Times New Roman"/>
        </w:rPr>
      </w:pPr>
      <w:r w:rsidRPr="000000D1">
        <w:rPr>
          <w:rFonts w:eastAsia="Calibri" w:cs="Times New Roman"/>
        </w:rPr>
        <w:t xml:space="preserve">    </w:t>
      </w:r>
      <w:r w:rsidRPr="000000D1">
        <w:rPr>
          <w:rFonts w:eastAsia="Calibri" w:cs="Times New Roman"/>
        </w:rPr>
        <w:tab/>
      </w:r>
    </w:p>
    <w:p w14:paraId="28EB336A" w14:textId="77777777" w:rsidR="000000D1" w:rsidRPr="000000D1" w:rsidRDefault="000000D1" w:rsidP="000000D1">
      <w:pPr>
        <w:ind w:left="720"/>
        <w:contextualSpacing/>
        <w:rPr>
          <w:rFonts w:eastAsia="Calibri" w:cs="Times New Roman"/>
        </w:rPr>
      </w:pPr>
      <w:r w:rsidRPr="000000D1">
        <w:rPr>
          <w:rFonts w:eastAsia="Calibri" w:cs="Times New Roman"/>
        </w:rPr>
        <w:t xml:space="preserve"> Ill. Admin. Code tit. 86, § 100.3500(d) </w:t>
      </w:r>
    </w:p>
    <w:p w14:paraId="62202573" w14:textId="77777777" w:rsidR="000000D1" w:rsidRPr="000000D1" w:rsidRDefault="000000D1" w:rsidP="000000D1">
      <w:pPr>
        <w:contextualSpacing/>
        <w:rPr>
          <w:rFonts w:eastAsia="Calibri" w:cs="Times New Roman"/>
        </w:rPr>
      </w:pPr>
    </w:p>
    <w:p w14:paraId="0649929C" w14:textId="77777777" w:rsidR="000000D1" w:rsidRPr="000000D1" w:rsidRDefault="000000D1" w:rsidP="000000D1">
      <w:pPr>
        <w:ind w:left="1440"/>
        <w:contextualSpacing/>
        <w:rPr>
          <w:rFonts w:eastAsia="Calibri" w:cs="Times New Roman"/>
        </w:rPr>
      </w:pPr>
      <w:r w:rsidRPr="000000D1">
        <w:rPr>
          <w:rFonts w:eastAsia="Calibri" w:cs="Times New Roman"/>
        </w:rPr>
        <w:t>Allocation and Apportionment of Base Income by Nonresident Partners</w:t>
      </w:r>
    </w:p>
    <w:p w14:paraId="4F8A1861" w14:textId="77777777" w:rsidR="000000D1" w:rsidRPr="000000D1" w:rsidRDefault="000000D1" w:rsidP="000000D1">
      <w:pPr>
        <w:ind w:left="1440"/>
        <w:contextualSpacing/>
        <w:rPr>
          <w:rFonts w:eastAsia="Calibri" w:cs="Times New Roman"/>
        </w:rPr>
      </w:pPr>
    </w:p>
    <w:p w14:paraId="7FD6136E" w14:textId="77777777" w:rsidR="000000D1" w:rsidRPr="000000D1" w:rsidRDefault="000000D1" w:rsidP="000000D1">
      <w:pPr>
        <w:ind w:left="1440"/>
        <w:contextualSpacing/>
        <w:rPr>
          <w:rFonts w:eastAsia="Calibri" w:cs="Times New Roman"/>
        </w:rPr>
      </w:pPr>
      <w:r w:rsidRPr="000000D1">
        <w:rPr>
          <w:rFonts w:eastAsia="Calibri" w:cs="Times New Roman"/>
        </w:rPr>
        <w:t>a)         In General.</w:t>
      </w:r>
    </w:p>
    <w:p w14:paraId="52B46D21" w14:textId="77777777" w:rsidR="000000D1" w:rsidRPr="000000D1" w:rsidRDefault="000000D1" w:rsidP="000000D1">
      <w:pPr>
        <w:ind w:left="1440"/>
        <w:contextualSpacing/>
        <w:rPr>
          <w:rFonts w:eastAsia="Calibri" w:cs="Times New Roman"/>
        </w:rPr>
      </w:pPr>
      <w:r w:rsidRPr="000000D1">
        <w:rPr>
          <w:rFonts w:eastAsia="Calibri" w:cs="Times New Roman"/>
        </w:rPr>
        <w:t> </w:t>
      </w:r>
    </w:p>
    <w:p w14:paraId="6ECB62BA" w14:textId="77777777" w:rsidR="000000D1" w:rsidRPr="000000D1" w:rsidRDefault="000000D1" w:rsidP="000000D1">
      <w:pPr>
        <w:ind w:left="1440"/>
        <w:contextualSpacing/>
        <w:rPr>
          <w:rFonts w:eastAsia="Calibri" w:cs="Times New Roman"/>
        </w:rPr>
      </w:pPr>
      <w:r w:rsidRPr="000000D1">
        <w:rPr>
          <w:rFonts w:eastAsia="Calibri" w:cs="Times New Roman"/>
        </w:rPr>
        <w:t>1)         This Section provides guidance for allocation and apportionment of base income by nonresidents.  All base income of a resident is allocated to Illinois pursuant to IITA Section 301(a) . . .</w:t>
      </w:r>
    </w:p>
    <w:p w14:paraId="0B976E50" w14:textId="77777777" w:rsidR="000000D1" w:rsidRPr="000000D1" w:rsidRDefault="000000D1" w:rsidP="000000D1">
      <w:pPr>
        <w:ind w:left="1440"/>
        <w:contextualSpacing/>
        <w:rPr>
          <w:rFonts w:eastAsia="Calibri" w:cs="Times New Roman"/>
        </w:rPr>
      </w:pPr>
    </w:p>
    <w:p w14:paraId="4B6FA68A" w14:textId="77777777" w:rsidR="000000D1" w:rsidRPr="000000D1" w:rsidRDefault="000000D1" w:rsidP="000000D1">
      <w:pPr>
        <w:ind w:left="1440"/>
        <w:contextualSpacing/>
        <w:rPr>
          <w:rFonts w:eastAsia="Calibri" w:cs="Times New Roman"/>
        </w:rPr>
      </w:pPr>
      <w:r w:rsidRPr="000000D1">
        <w:rPr>
          <w:rFonts w:eastAsia="Calibri" w:cs="Times New Roman"/>
        </w:rPr>
        <w:t>3)         Unitary partners.  This Section shall not apply to the apportionment of business income of a nonresident partner who is engaged in a unitary business with the partnership.  Such partners shall apportion their unitary business income derived from the partnership in accordance with IITA Section 304(e) and Section 100.3380(d) of this Part.</w:t>
      </w:r>
    </w:p>
    <w:p w14:paraId="1554CDCF" w14:textId="77777777" w:rsidR="000000D1" w:rsidRPr="000000D1" w:rsidRDefault="000000D1" w:rsidP="000000D1">
      <w:pPr>
        <w:ind w:left="1440"/>
        <w:contextualSpacing/>
        <w:rPr>
          <w:rFonts w:eastAsia="Calibri" w:cs="Times New Roman"/>
        </w:rPr>
      </w:pPr>
      <w:r w:rsidRPr="000000D1">
        <w:rPr>
          <w:rFonts w:eastAsia="Calibri" w:cs="Times New Roman"/>
        </w:rPr>
        <w:t> </w:t>
      </w:r>
    </w:p>
    <w:p w14:paraId="71683139" w14:textId="77777777" w:rsidR="000000D1" w:rsidRPr="000000D1" w:rsidRDefault="000000D1" w:rsidP="000000D1">
      <w:pPr>
        <w:ind w:left="1440"/>
        <w:contextualSpacing/>
        <w:rPr>
          <w:rFonts w:eastAsia="Calibri" w:cs="Times New Roman"/>
        </w:rPr>
      </w:pPr>
      <w:r w:rsidRPr="000000D1">
        <w:rPr>
          <w:rFonts w:eastAsia="Calibri" w:cs="Times New Roman"/>
        </w:rPr>
        <w:t>4)         Except as provided in this subsection (a), all items of base income of a partner that are derived from the partnership shall be allocated or apportioned pursuant to this Section, including all items required to be separately stated to the partner under IRC section 703(a)(1), all guaranteed payments under IRC section 707(c), and all addition and subtraction modifications, but excluding items described in IRC section 707(a).</w:t>
      </w:r>
    </w:p>
    <w:p w14:paraId="45354C4C" w14:textId="77777777" w:rsidR="000000D1" w:rsidRPr="000000D1" w:rsidRDefault="000000D1" w:rsidP="000000D1">
      <w:pPr>
        <w:ind w:left="1440"/>
        <w:contextualSpacing/>
        <w:rPr>
          <w:rFonts w:eastAsia="Calibri" w:cs="Times New Roman"/>
        </w:rPr>
      </w:pPr>
      <w:r w:rsidRPr="000000D1">
        <w:rPr>
          <w:rFonts w:eastAsia="Calibri" w:cs="Times New Roman"/>
        </w:rPr>
        <w:t> </w:t>
      </w:r>
    </w:p>
    <w:p w14:paraId="28BCCB5D" w14:textId="77777777" w:rsidR="000000D1" w:rsidRPr="000000D1" w:rsidRDefault="000000D1" w:rsidP="000000D1">
      <w:pPr>
        <w:ind w:left="1440"/>
        <w:contextualSpacing/>
        <w:rPr>
          <w:rFonts w:eastAsia="Calibri" w:cs="Times New Roman"/>
        </w:rPr>
      </w:pPr>
      <w:r w:rsidRPr="000000D1">
        <w:rPr>
          <w:rFonts w:eastAsia="Calibri" w:cs="Times New Roman"/>
        </w:rPr>
        <w:t>b)         Business Income.  The respective shares of partners other than residents in so much of the business income of the partnership as is apportioned to this State in the possession of the partnership shall be taken into account by such partners pro rata in accordance with their respective distributive shares of such partnership income for the partnership's taxable year and allocated to this State.  (IITA Section 305(a))</w:t>
      </w:r>
    </w:p>
    <w:p w14:paraId="6DD27AC3" w14:textId="77777777" w:rsidR="000000D1" w:rsidRPr="000000D1" w:rsidRDefault="000000D1" w:rsidP="000000D1">
      <w:pPr>
        <w:ind w:left="1440"/>
        <w:contextualSpacing/>
        <w:rPr>
          <w:rFonts w:eastAsia="Calibri" w:cs="Times New Roman"/>
        </w:rPr>
      </w:pPr>
      <w:r w:rsidRPr="000000D1">
        <w:rPr>
          <w:rFonts w:eastAsia="Calibri" w:cs="Times New Roman"/>
        </w:rPr>
        <w:t> </w:t>
      </w:r>
    </w:p>
    <w:p w14:paraId="3EBC6BB9" w14:textId="77777777" w:rsidR="000000D1" w:rsidRPr="000000D1" w:rsidRDefault="000000D1" w:rsidP="000000D1">
      <w:pPr>
        <w:ind w:left="1440"/>
        <w:contextualSpacing/>
        <w:rPr>
          <w:rFonts w:eastAsia="Calibri" w:cs="Times New Roman"/>
        </w:rPr>
      </w:pPr>
      <w:r w:rsidRPr="000000D1">
        <w:rPr>
          <w:rFonts w:eastAsia="Calibri" w:cs="Times New Roman"/>
        </w:rPr>
        <w:t>1)         For purposes of this subsection (b), the determination of whether an item of base income is business income or nonbusiness income shall be based on the facts and circumstances of the partnership itself.  Trade or business activities of a partner or of any related party are irrelevant.</w:t>
      </w:r>
    </w:p>
    <w:p w14:paraId="5D7D6CCD" w14:textId="77777777" w:rsidR="000000D1" w:rsidRPr="000000D1" w:rsidRDefault="000000D1" w:rsidP="000000D1">
      <w:pPr>
        <w:ind w:left="1440"/>
        <w:contextualSpacing/>
        <w:rPr>
          <w:rFonts w:eastAsia="Calibri" w:cs="Times New Roman"/>
        </w:rPr>
      </w:pPr>
      <w:r w:rsidRPr="000000D1">
        <w:rPr>
          <w:rFonts w:eastAsia="Calibri" w:cs="Times New Roman"/>
        </w:rPr>
        <w:t> </w:t>
      </w:r>
    </w:p>
    <w:p w14:paraId="2FC3D116" w14:textId="77777777" w:rsidR="000000D1" w:rsidRPr="000000D1" w:rsidRDefault="000000D1" w:rsidP="000000D1">
      <w:pPr>
        <w:ind w:left="1440"/>
        <w:contextualSpacing/>
        <w:rPr>
          <w:rFonts w:eastAsia="Calibri" w:cs="Times New Roman"/>
        </w:rPr>
      </w:pPr>
      <w:r w:rsidRPr="000000D1">
        <w:rPr>
          <w:rFonts w:eastAsia="Calibri" w:cs="Times New Roman"/>
        </w:rPr>
        <w:t>2)         Business income of the partnership shall be apportioned to this State pursuant to IITA Section 304, in the same manner as it is allocated or apportioned for any other nonresident.  (IITA Section 305(c))</w:t>
      </w:r>
    </w:p>
    <w:p w14:paraId="0638FFF4" w14:textId="77777777" w:rsidR="000000D1" w:rsidRPr="000000D1" w:rsidRDefault="000000D1" w:rsidP="000000D1">
      <w:pPr>
        <w:ind w:left="1440"/>
        <w:contextualSpacing/>
        <w:rPr>
          <w:rFonts w:eastAsia="Calibri" w:cs="Times New Roman"/>
        </w:rPr>
      </w:pPr>
      <w:r w:rsidRPr="000000D1">
        <w:rPr>
          <w:rFonts w:eastAsia="Calibri" w:cs="Times New Roman"/>
        </w:rPr>
        <w:t> </w:t>
      </w:r>
    </w:p>
    <w:p w14:paraId="53BFE7A4" w14:textId="77777777" w:rsidR="000000D1" w:rsidRPr="000000D1" w:rsidRDefault="000000D1" w:rsidP="000000D1">
      <w:pPr>
        <w:ind w:left="1440"/>
        <w:contextualSpacing/>
        <w:rPr>
          <w:rFonts w:eastAsia="Calibri" w:cs="Times New Roman"/>
        </w:rPr>
      </w:pPr>
      <w:r w:rsidRPr="000000D1">
        <w:rPr>
          <w:rFonts w:eastAsia="Calibri" w:cs="Times New Roman"/>
        </w:rPr>
        <w:t>3)         Lower-tier partnerships.  In the case of a partnership that is itself a partner in a second partnership, a partner in the first partnership shall include in net income its partnership share of the first partnership's share of the items of business income of the second partnership, as apportioned to Illinois by that second partnership.  If the second partnership is itself a partner in a third partnership, a partner in the first partnership shall include in net income its partnership share of the first partnership's share of the items of business income of the third partnership as determined under the preceding sentence, and so on through all partnerships that are themselves partners in other partnerships.</w:t>
      </w:r>
    </w:p>
    <w:p w14:paraId="04265AAB" w14:textId="77777777" w:rsidR="000000D1" w:rsidRPr="000000D1" w:rsidRDefault="000000D1" w:rsidP="000000D1">
      <w:pPr>
        <w:ind w:left="1440"/>
        <w:contextualSpacing/>
        <w:rPr>
          <w:rFonts w:eastAsia="Calibri" w:cs="Times New Roman"/>
        </w:rPr>
      </w:pPr>
      <w:r w:rsidRPr="000000D1">
        <w:rPr>
          <w:rFonts w:eastAsia="Calibri" w:cs="Times New Roman"/>
        </w:rPr>
        <w:t> </w:t>
      </w:r>
    </w:p>
    <w:p w14:paraId="4E710EAA" w14:textId="77777777" w:rsidR="000000D1" w:rsidRPr="000000D1" w:rsidRDefault="000000D1" w:rsidP="000000D1">
      <w:pPr>
        <w:ind w:left="1440"/>
        <w:contextualSpacing/>
        <w:rPr>
          <w:rFonts w:eastAsia="Calibri" w:cs="Times New Roman"/>
        </w:rPr>
      </w:pPr>
      <w:r w:rsidRPr="000000D1">
        <w:rPr>
          <w:rFonts w:eastAsia="Calibri" w:cs="Times New Roman"/>
        </w:rPr>
        <w:t>c)         Nonbusiness Income.  The respective shares of partners other than residents in the items of partnership income and deduction not taken into account in computing the business income of a partnership shall be taken into account by such partners pro rata in accordance with their respective distributive shares of such partnership income for the partnership's taxable year, and allocated as if such items had been paid, incurred or accrued directly to such partners in their separate capacities.  (IITA Section 305(b))</w:t>
      </w:r>
    </w:p>
    <w:p w14:paraId="624C609B" w14:textId="77777777" w:rsidR="000000D1" w:rsidRPr="000000D1" w:rsidRDefault="000000D1" w:rsidP="000000D1">
      <w:pPr>
        <w:contextualSpacing/>
        <w:rPr>
          <w:rFonts w:eastAsia="Calibri" w:cs="Times New Roman"/>
        </w:rPr>
      </w:pPr>
    </w:p>
    <w:p w14:paraId="2722F3C6" w14:textId="77777777" w:rsidR="000000D1" w:rsidRPr="000000D1" w:rsidRDefault="000000D1" w:rsidP="000000D1">
      <w:pPr>
        <w:ind w:firstLine="720"/>
        <w:contextualSpacing/>
        <w:rPr>
          <w:rFonts w:eastAsia="Calibri" w:cs="Times New Roman"/>
        </w:rPr>
      </w:pPr>
      <w:r w:rsidRPr="000000D1">
        <w:rPr>
          <w:rFonts w:eastAsia="Calibri" w:cs="Times New Roman"/>
        </w:rPr>
        <w:t xml:space="preserve">Ill. Admin. Code tit. 86, § 100.3380(d) </w:t>
      </w:r>
    </w:p>
    <w:p w14:paraId="02EEC821" w14:textId="77777777" w:rsidR="000000D1" w:rsidRPr="000000D1" w:rsidRDefault="000000D1" w:rsidP="000000D1">
      <w:pPr>
        <w:contextualSpacing/>
        <w:rPr>
          <w:rFonts w:eastAsia="Calibri" w:cs="Times New Roman"/>
        </w:rPr>
      </w:pPr>
    </w:p>
    <w:p w14:paraId="1D803B42" w14:textId="77777777" w:rsidR="000000D1" w:rsidRPr="000000D1" w:rsidRDefault="000000D1" w:rsidP="000000D1">
      <w:pPr>
        <w:ind w:left="1440"/>
        <w:rPr>
          <w:rFonts w:eastAsia="Calibri" w:cs="Times New Roman"/>
        </w:rPr>
      </w:pPr>
      <w:r w:rsidRPr="000000D1">
        <w:rPr>
          <w:rFonts w:eastAsia="Calibri" w:cs="Times New Roman"/>
        </w:rPr>
        <w:lastRenderedPageBreak/>
        <w:t>Unitary Partners: Inclusion of Shares of Partnership Unitary Business Income and Factors in Combined Unitary Business Income and Factors of Partners</w:t>
      </w:r>
    </w:p>
    <w:p w14:paraId="5B6E1F54" w14:textId="77777777" w:rsidR="000000D1" w:rsidRPr="000000D1" w:rsidRDefault="000000D1" w:rsidP="000000D1">
      <w:pPr>
        <w:ind w:left="1440"/>
        <w:rPr>
          <w:rFonts w:eastAsia="Calibri" w:cs="Times New Roman"/>
        </w:rPr>
      </w:pPr>
      <w:r w:rsidRPr="000000D1">
        <w:rPr>
          <w:rFonts w:eastAsia="Calibri" w:cs="Times New Roman"/>
        </w:rPr>
        <w:t>1) IITA Section 304(e) provides that whenever 2 or more persons are engaged in a unitary business as described in IITA Section 1501(a)(27), a part of which is conducted in this State by one or more members of the group, the business income attributable to this State by any member or members shall be apportioned by means of the combined apportionment method. Because partnerships may be members of a unitary business group within the meaning of IITA Section 1501(a)(27), this provision requires a partnership to use combined apportionment when it is engaged in a unitary business with one or more of its partners. However, partners who are not engaged in a unitary business with the partnership shall include their shares of the partnership's business income apportioned to Illinois in their Illinois net incomes under IITA Section 305(a), and those partners' business activities or share of the partnership's market in Illinois would not be represented fairly by their shares of partnership income computed by combining the business income and apportionment factors of the partnership with the business income and apportionment factors of its unitary partners.</w:t>
      </w:r>
    </w:p>
    <w:p w14:paraId="2AB4CDE2" w14:textId="77777777" w:rsidR="000000D1" w:rsidRPr="000000D1" w:rsidRDefault="000000D1" w:rsidP="000000D1">
      <w:pPr>
        <w:ind w:left="1440"/>
        <w:rPr>
          <w:rFonts w:eastAsia="Calibri" w:cs="Times New Roman"/>
        </w:rPr>
      </w:pPr>
      <w:r w:rsidRPr="000000D1">
        <w:rPr>
          <w:rFonts w:eastAsia="Calibri" w:cs="Times New Roman"/>
        </w:rPr>
        <w:t>2) Accordingly, except in a case in which substantially all of the interests in the partnership (other than a publicly-traded partnership under IRC section 7704) are owned or controlled by members of the same unitary business group, when the business activities of a partnership and any of its partners' business activities constitute a unitary business:</w:t>
      </w:r>
    </w:p>
    <w:p w14:paraId="754B0DF2" w14:textId="77777777" w:rsidR="000000D1" w:rsidRPr="000000D1" w:rsidRDefault="000000D1" w:rsidP="000000D1">
      <w:pPr>
        <w:ind w:left="1440"/>
        <w:rPr>
          <w:rFonts w:eastAsia="Calibri" w:cs="Times New Roman"/>
        </w:rPr>
      </w:pPr>
      <w:r w:rsidRPr="000000D1">
        <w:rPr>
          <w:rFonts w:eastAsia="Calibri" w:cs="Times New Roman"/>
        </w:rPr>
        <w:t>A) The partner's distributive share of the business income and apportionment factors of the partnership shall be included in that partner's business income and apportionment factors. Also, for taxable years ending on or after December 31, 2017, the partner's distributive share of the everywhere sales of the partnership shall be included in the partner's everywhere sales for purposes of applying Section 100.3600. In determining the business income of the partnership, transactions between the unitary partner (or members of its unitary business group) and the partnership shall not be eliminated. However, all transactions between the unitary business group and the partnership shall be eliminated for purposes of computing the apportionment factors of the partner and of any other member of the unitary business group.</w:t>
      </w:r>
    </w:p>
    <w:p w14:paraId="5B62FB9E" w14:textId="77777777" w:rsidR="000000D1" w:rsidRPr="000000D1" w:rsidRDefault="000000D1" w:rsidP="000000D1">
      <w:pPr>
        <w:ind w:left="1440"/>
        <w:rPr>
          <w:rFonts w:eastAsia="Calibri" w:cs="Times New Roman"/>
        </w:rPr>
      </w:pPr>
      <w:r w:rsidRPr="000000D1">
        <w:rPr>
          <w:rFonts w:eastAsia="Calibri" w:cs="Times New Roman"/>
        </w:rPr>
        <w:t>EXAMPLE: Partner and Partnership are engaged in a unitary business. Partner owns a 20% interest in Partnership. Partnership has $10,000,000 in sales everywhere, $3,000,000 of which are to Partner, and $4,000,000 in Illinois sales, $1,000,000 of which are to Partner. In computing its apportionment factor, Partner shall include $1,400,000 from Partnership in its everywhere sales (20% of Partnership's $10,000,000 in everywhere sales, after eliminating the $3,000,000 in sales to Partner) and $600,000 from Partnership in its Illinois sales (20% of Partnership's $4,000,000 in Illinois sales, after eliminating the $1,000,000 in sales to Partner). Also, Partner must eliminate any sales it made to Partnership.</w:t>
      </w:r>
    </w:p>
    <w:p w14:paraId="7F5BBC3A" w14:textId="77777777" w:rsidR="000000D1" w:rsidRPr="000000D1" w:rsidRDefault="000000D1" w:rsidP="000000D1">
      <w:pPr>
        <w:ind w:left="1440"/>
        <w:rPr>
          <w:rFonts w:eastAsia="Calibri" w:cs="Times New Roman"/>
        </w:rPr>
      </w:pPr>
      <w:r w:rsidRPr="000000D1">
        <w:rPr>
          <w:rFonts w:eastAsia="Calibri" w:cs="Times New Roman"/>
        </w:rPr>
        <w:t>B) If a partnership and one of its partners are engaged in a unitary business and the partnership is itself a partner in a second partnership:</w:t>
      </w:r>
    </w:p>
    <w:p w14:paraId="7D51097C" w14:textId="77777777" w:rsidR="000000D1" w:rsidRPr="000000D1" w:rsidRDefault="000000D1" w:rsidP="000000D1">
      <w:pPr>
        <w:ind w:left="1440"/>
        <w:rPr>
          <w:rFonts w:eastAsia="Calibri" w:cs="Times New Roman"/>
        </w:rPr>
      </w:pPr>
      <w:r w:rsidRPr="000000D1">
        <w:rPr>
          <w:rFonts w:eastAsia="Calibri" w:cs="Times New Roman"/>
        </w:rPr>
        <w:t>i) If the partner is not engaged in a unitary business with the second partnership, the partner's share of the first partnership's share of the business income and apportionment factors of the second partnership shall not be included in the partner's business income and apportionment factors. Instead, the partner's share of the first partnership's share of the base income apportioned to Illinois by the second partnership shall be included in the partner's Illinois net income.</w:t>
      </w:r>
    </w:p>
    <w:p w14:paraId="28E5C32C" w14:textId="77777777" w:rsidR="000000D1" w:rsidRPr="000000D1" w:rsidRDefault="000000D1" w:rsidP="000000D1">
      <w:pPr>
        <w:ind w:left="1440"/>
        <w:rPr>
          <w:rFonts w:eastAsia="Calibri" w:cs="Times New Roman"/>
        </w:rPr>
      </w:pPr>
      <w:r w:rsidRPr="000000D1">
        <w:rPr>
          <w:rFonts w:eastAsia="Calibri" w:cs="Times New Roman"/>
        </w:rPr>
        <w:t xml:space="preserve">ii) If the partner is engaged in a unitary business with the second partnership, the partner's share of the first partnership's share of the business income and apportionment </w:t>
      </w:r>
      <w:r w:rsidRPr="000000D1">
        <w:rPr>
          <w:rFonts w:eastAsia="Calibri" w:cs="Times New Roman"/>
        </w:rPr>
        <w:lastRenderedPageBreak/>
        <w:t>factors of the second partnership shall be included in the partner's business income and apportionment factors.</w:t>
      </w:r>
    </w:p>
    <w:p w14:paraId="117D42D5" w14:textId="77777777" w:rsidR="000000D1" w:rsidRPr="000000D1" w:rsidRDefault="000000D1" w:rsidP="000000D1">
      <w:pPr>
        <w:ind w:left="1440"/>
        <w:rPr>
          <w:rFonts w:eastAsia="Calibri" w:cs="Times New Roman"/>
        </w:rPr>
      </w:pPr>
      <w:r w:rsidRPr="000000D1">
        <w:rPr>
          <w:rFonts w:eastAsia="Calibri" w:cs="Times New Roman"/>
        </w:rPr>
        <w:t>C) If, for taxable years ending on or after December 31, 2017, a partner and a partnership engaged in a unitary business apportion their business income using different apportionment formulas under IITA Section 304:</w:t>
      </w:r>
    </w:p>
    <w:p w14:paraId="0D79A2AC" w14:textId="77777777" w:rsidR="000000D1" w:rsidRPr="000000D1" w:rsidRDefault="000000D1" w:rsidP="000000D1">
      <w:pPr>
        <w:ind w:left="1440"/>
        <w:rPr>
          <w:rFonts w:eastAsia="Calibri" w:cs="Times New Roman"/>
        </w:rPr>
      </w:pPr>
      <w:r w:rsidRPr="000000D1">
        <w:rPr>
          <w:rFonts w:eastAsia="Calibri" w:cs="Times New Roman"/>
        </w:rPr>
        <w:t>i) The apportionment percentage of the partnership shall computed under Section 100.3600 by treating the partnership as a member of the unitary business group, but using only that partner's distributive share of the partnership's apportionment factors and sales. That partner's apportionment percentage is equal to that partner's apportionment percentage computed under Section 100.3600 plus the partnership's apportionment percentage computed under Section 100.3600.</w:t>
      </w:r>
    </w:p>
    <w:p w14:paraId="0E626A4B" w14:textId="77777777" w:rsidR="000000D1" w:rsidRPr="000000D1" w:rsidRDefault="000000D1" w:rsidP="000000D1">
      <w:pPr>
        <w:ind w:left="1440"/>
        <w:rPr>
          <w:rFonts w:eastAsia="Calibri" w:cs="Times New Roman"/>
        </w:rPr>
      </w:pPr>
      <w:r w:rsidRPr="000000D1">
        <w:rPr>
          <w:rFonts w:eastAsia="Calibri" w:cs="Times New Roman"/>
        </w:rPr>
        <w:t>ii) If a partnership has more than one partner in the same unitary business group, and the partnership uses a different apportionment formula than one or more of the partners, each partner that uses the same apportionment formula as the partnership shall compute its apportionment factor as provided in subsection (d)(2)(A) and each partner that uses a different apportionment formula shall compute its apportionment factor as provided in subsection (d)(2)(C)(i).</w:t>
      </w:r>
    </w:p>
    <w:p w14:paraId="70946F7F" w14:textId="77777777" w:rsidR="000000D1" w:rsidRPr="000000D1" w:rsidRDefault="000000D1" w:rsidP="000000D1">
      <w:pPr>
        <w:ind w:left="1440"/>
        <w:rPr>
          <w:rFonts w:eastAsia="Calibri" w:cs="Times New Roman"/>
        </w:rPr>
      </w:pPr>
      <w:r w:rsidRPr="000000D1">
        <w:rPr>
          <w:rFonts w:eastAsia="Calibri" w:cs="Times New Roman"/>
        </w:rPr>
        <w:t>3) This subsection (d) does not apply to a partner's shares of business income and apportionment factors from any partnership that cannot be included in a unitary business group with that partner.</w:t>
      </w:r>
    </w:p>
    <w:p w14:paraId="09865A72" w14:textId="77777777" w:rsidR="000000D1" w:rsidRPr="000000D1" w:rsidRDefault="000000D1" w:rsidP="000000D1">
      <w:pPr>
        <w:ind w:left="1440"/>
        <w:rPr>
          <w:rFonts w:eastAsia="Calibri" w:cs="Times New Roman"/>
        </w:rPr>
      </w:pPr>
      <w:r w:rsidRPr="000000D1">
        <w:rPr>
          <w:rFonts w:eastAsia="Calibri" w:cs="Times New Roman"/>
        </w:rPr>
        <w:t>A) This subsection (d) does not apply because:</w:t>
      </w:r>
    </w:p>
    <w:p w14:paraId="02486BE9" w14:textId="77777777" w:rsidR="000000D1" w:rsidRPr="000000D1" w:rsidRDefault="000000D1" w:rsidP="000000D1">
      <w:pPr>
        <w:ind w:left="1440"/>
        <w:rPr>
          <w:rFonts w:eastAsia="Calibri" w:cs="Times New Roman"/>
        </w:rPr>
      </w:pPr>
      <w:r w:rsidRPr="000000D1">
        <w:rPr>
          <w:rFonts w:eastAsia="Calibri" w:cs="Times New Roman"/>
        </w:rPr>
        <w:t>i) for taxable years ending prior to December 31, 2017, the partner and the partnership are required to apportion their business income using different apportionment formulas under IITA Section 304, and therefore cannot be members of a unitary business group under IITA Section 1501(a)(27); or</w:t>
      </w:r>
    </w:p>
    <w:p w14:paraId="2F60685E" w14:textId="77777777" w:rsidR="000000D1" w:rsidRPr="000000D1" w:rsidRDefault="000000D1" w:rsidP="000000D1">
      <w:pPr>
        <w:ind w:left="1440"/>
        <w:rPr>
          <w:rFonts w:eastAsia="Calibri" w:cs="Times New Roman"/>
        </w:rPr>
      </w:pPr>
      <w:r w:rsidRPr="000000D1">
        <w:rPr>
          <w:rFonts w:eastAsia="Calibri" w:cs="Times New Roman"/>
        </w:rPr>
        <w:t>ii) the business activities of either the partner or the partnership outside the United States are equal to or greater than 80% of the total worldwide business activities of that partner or partnership, as determined under IITA Section 1502(a)(27). In applying this 80/20 test to a taxpayer, no apportionment factors of any partnership shall be included in the apportionment factors of that taxpayer pursuant to this subsection (d).</w:t>
      </w:r>
    </w:p>
    <w:p w14:paraId="2090A3C3" w14:textId="77777777" w:rsidR="000000D1" w:rsidRPr="000000D1" w:rsidRDefault="000000D1" w:rsidP="000000D1">
      <w:pPr>
        <w:ind w:left="1440"/>
        <w:rPr>
          <w:rFonts w:eastAsia="Calibri" w:cs="Times New Roman"/>
        </w:rPr>
      </w:pPr>
      <w:r w:rsidRPr="000000D1">
        <w:rPr>
          <w:rFonts w:eastAsia="Calibri" w:cs="Times New Roman"/>
        </w:rPr>
        <w:t>B) For taxable years ending prior to December 31, 2017, if the partnership is itself a partner in a second partnership, and one of its partners is engaged in a unitary business with the second partnership and is not prohibited from being a member of a unitary business group that includes the second partnership under subsection (d)(3)(A)(i) or (ii), that partner shall include in its business income and apportionment factors its share of the partnership's share of the second partnership's business income and apportionment factors.</w:t>
      </w:r>
    </w:p>
    <w:p w14:paraId="67E73080" w14:textId="77777777" w:rsidR="000000D1" w:rsidRPr="000000D1" w:rsidRDefault="000000D1" w:rsidP="000000D1">
      <w:pPr>
        <w:ind w:left="1440"/>
        <w:rPr>
          <w:rFonts w:eastAsia="Calibri" w:cs="Times New Roman"/>
        </w:rPr>
      </w:pPr>
      <w:r w:rsidRPr="000000D1">
        <w:rPr>
          <w:rFonts w:eastAsia="Calibri" w:cs="Times New Roman"/>
        </w:rPr>
        <w:t>4) If substantially all of the interests in a partnership (other than a publicly-traded partnership under IRC section 7704) are owned or controlled by members of the same unitary business group as the partnership, the partnership shall be treated as a member of the unitary business group for all purposes, and, for purposes of applying IITA Section 305(a) to any nonresident partner who is not a member of the same unitary business group, the business income of the partnership apportioned to this State shall be determined using the combined apportionment method prescribed by IITA Section 304(e). For purposes of this subsection (d), substantially all of the interests in a partnership are owned or controlled by members of the same unitary business group if more than 90% of the federal taxable income of the partnership is allocable to one or more of the following persons:</w:t>
      </w:r>
    </w:p>
    <w:p w14:paraId="2B3C9556" w14:textId="77777777" w:rsidR="000000D1" w:rsidRPr="000000D1" w:rsidRDefault="000000D1" w:rsidP="000000D1">
      <w:pPr>
        <w:ind w:left="1440"/>
        <w:rPr>
          <w:rFonts w:eastAsia="Calibri" w:cs="Times New Roman"/>
        </w:rPr>
      </w:pPr>
      <w:r w:rsidRPr="000000D1">
        <w:rPr>
          <w:rFonts w:eastAsia="Calibri" w:cs="Times New Roman"/>
        </w:rPr>
        <w:lastRenderedPageBreak/>
        <w:t>A) any member of the unitary business group;</w:t>
      </w:r>
    </w:p>
    <w:p w14:paraId="4E39E13A" w14:textId="77777777" w:rsidR="000000D1" w:rsidRPr="000000D1" w:rsidRDefault="000000D1" w:rsidP="000000D1">
      <w:pPr>
        <w:ind w:left="1440"/>
        <w:rPr>
          <w:rFonts w:eastAsia="Calibri" w:cs="Times New Roman"/>
        </w:rPr>
      </w:pPr>
      <w:r w:rsidRPr="000000D1">
        <w:rPr>
          <w:rFonts w:eastAsia="Calibri" w:cs="Times New Roman"/>
        </w:rPr>
        <w:t>B) any person who would be a member of the unitary business group if not for the fact that 80% or more of that person's business activities are conducted outside the United States;</w:t>
      </w:r>
    </w:p>
    <w:p w14:paraId="1D8257DF" w14:textId="77777777" w:rsidR="000000D1" w:rsidRPr="000000D1" w:rsidRDefault="000000D1" w:rsidP="000000D1">
      <w:pPr>
        <w:ind w:left="1440"/>
        <w:rPr>
          <w:rFonts w:eastAsia="Calibri" w:cs="Times New Roman"/>
        </w:rPr>
      </w:pPr>
      <w:r w:rsidRPr="000000D1">
        <w:rPr>
          <w:rFonts w:eastAsia="Calibri" w:cs="Times New Roman"/>
        </w:rPr>
        <w:t>C) any person who would be a member of the unitary business group except for the fact that the person and the partnership apportion their business incomes under different subsections of IITA Section 304 and, therefore, for taxable years ending prior to December 31, 2017, would be excluded from a unitary business group in which the partnership is a member; or</w:t>
      </w:r>
    </w:p>
    <w:p w14:paraId="2C71CBC5" w14:textId="77777777" w:rsidR="000000D1" w:rsidRPr="000000D1" w:rsidRDefault="000000D1" w:rsidP="000000D1">
      <w:pPr>
        <w:ind w:left="1440"/>
        <w:rPr>
          <w:rFonts w:eastAsia="Calibri" w:cs="Times New Roman"/>
        </w:rPr>
      </w:pPr>
      <w:r w:rsidRPr="000000D1">
        <w:rPr>
          <w:rFonts w:eastAsia="Calibri" w:cs="Times New Roman"/>
        </w:rPr>
        <w:t>D) any person who would be disallowed a deduction for losses by IRC section 267(b), (c) and (f)(1) by virtue of being related to any person described in subsection (d)(4)(A), (B) or (C), as well as any partnership in which a person described in subsection (d)(4)(A), (B) or (C) is a partner.</w:t>
      </w:r>
    </w:p>
    <w:p w14:paraId="24A32287" w14:textId="77777777" w:rsidR="000000D1" w:rsidRPr="000000D1" w:rsidRDefault="000000D1" w:rsidP="000000D1">
      <w:pPr>
        <w:ind w:left="1440"/>
        <w:rPr>
          <w:rFonts w:eastAsia="Calibri" w:cs="Times New Roman"/>
        </w:rPr>
      </w:pPr>
      <w:r w:rsidRPr="000000D1">
        <w:rPr>
          <w:rFonts w:eastAsia="Calibri" w:cs="Times New Roman"/>
        </w:rPr>
        <w:t>5) Examples</w:t>
      </w:r>
    </w:p>
    <w:p w14:paraId="21706658" w14:textId="77777777" w:rsidR="000000D1" w:rsidRPr="000000D1" w:rsidRDefault="000000D1" w:rsidP="000000D1">
      <w:pPr>
        <w:ind w:left="1440"/>
        <w:rPr>
          <w:rFonts w:eastAsia="Calibri" w:cs="Times New Roman"/>
        </w:rPr>
      </w:pPr>
      <w:r w:rsidRPr="000000D1">
        <w:rPr>
          <w:rFonts w:eastAsia="Calibri" w:cs="Times New Roman"/>
        </w:rPr>
        <w:t>EXAMPLE 1: Corporation A owns a 50% interest in P-1, a partnership. Corporation A and P-1 are engaged in a unitary business within the meaning of IITA Section 1501(a)(27). P-1 itself conducts no business activities in Illinois, and the Illinois numerator of its apportionment factor is zero. P-1 holds a 50% interest in P-2, a partnership doing business exclusively in Illinois. P-1 has $1.4 million of taxable business income, not including any income from P-2. P-2 has base income of $1 million, all of which is business income, and on a separate-entity basis, all of its business income would be apportioned to Illinois.</w:t>
      </w:r>
    </w:p>
    <w:p w14:paraId="7012F484" w14:textId="77777777" w:rsidR="000000D1" w:rsidRPr="000000D1" w:rsidRDefault="000000D1" w:rsidP="000000D1">
      <w:pPr>
        <w:ind w:left="1440"/>
        <w:rPr>
          <w:rFonts w:eastAsia="Calibri" w:cs="Times New Roman"/>
        </w:rPr>
      </w:pPr>
      <w:r w:rsidRPr="000000D1">
        <w:rPr>
          <w:rFonts w:eastAsia="Calibri" w:cs="Times New Roman"/>
        </w:rPr>
        <w:t>EXAMPLE 2: If Corporation A and P-2 are not members of the same unitary business group, Corporation A would compute its business income apportioned to Illinois by including $700,000 (50% of $1.4 million) of P-1's business income in Corporation A's business income, and 50% of P-1's apportionment factors in its apportionment factors. Corporation A also would include in its Illinois net income its 50% share of P-1's 50% share of the base of P-2 apportionable to Illinois, or $250,000 (50% of 50% of $1 million).</w:t>
      </w:r>
    </w:p>
    <w:p w14:paraId="223B4EC9" w14:textId="77777777" w:rsidR="000000D1" w:rsidRPr="000000D1" w:rsidRDefault="000000D1" w:rsidP="000000D1">
      <w:pPr>
        <w:ind w:left="1440"/>
        <w:rPr>
          <w:rFonts w:eastAsia="Calibri" w:cs="Times New Roman"/>
        </w:rPr>
      </w:pPr>
      <w:r w:rsidRPr="000000D1">
        <w:rPr>
          <w:rFonts w:eastAsia="Calibri" w:cs="Times New Roman"/>
        </w:rPr>
        <w:t>EXAMPLE 3: If Corporation A, P-1 and P-2 are members of the same unitary business group, P-1 shall include 50% of P-2's business income and 50% of P-2's apportionment factors in its own business income and apportionment factors. Accordingly, P-1's business income will be $1.9 million (the $1.4 million it earned directly plus its 50% share of P-2's $1 million in business income). Corporation A will then compute its business income apportioned to Illinois by including its 50% share of P-1's business income, or $950,000 (50% of $1.9 million) with its business income and its 50% share of P-1's apportionment factors (which will include P-1's share of P-2's apportionment factors) in its apportionment factors.</w:t>
      </w:r>
    </w:p>
    <w:p w14:paraId="584A3EF9" w14:textId="77777777" w:rsidR="000000D1" w:rsidRPr="000000D1" w:rsidRDefault="000000D1" w:rsidP="000000D1">
      <w:pPr>
        <w:ind w:left="1440"/>
        <w:rPr>
          <w:rFonts w:eastAsia="Calibri" w:cs="Times New Roman"/>
        </w:rPr>
      </w:pPr>
      <w:r w:rsidRPr="000000D1">
        <w:rPr>
          <w:rFonts w:eastAsia="Calibri" w:cs="Times New Roman"/>
        </w:rPr>
        <w:t xml:space="preserve">EXAMPLE 4: If Corporation A, P-1 and P-2 are unitary, but P-1 is excluded from the unitary business group of Corporation A and P-2 because those entities apportion their business income under IITA Section 304(a) and P-1 is a financial organization that apportions its business income under IITA Section 304(c) and the taxable year ends prior to December 31, 2017, Corporation A shall include in its business income and apportionment factors its 50% share of P-1's 50% share of the business income and apportionment factors of P-2. Also, Corporation A's Illinois net income includes 50% of the business income of P-1 apportioned to Illinois by P-1 using its own apportionment factors. Because, in this example, P-1 is not doing business in Illinois, none of its business income is included in Corporation A's Illinois net income . . . </w:t>
      </w:r>
    </w:p>
    <w:p w14:paraId="335EBB03" w14:textId="77777777" w:rsidR="000000D1" w:rsidRPr="000000D1" w:rsidRDefault="000000D1" w:rsidP="000000D1">
      <w:pPr>
        <w:ind w:left="720"/>
        <w:contextualSpacing/>
        <w:rPr>
          <w:rFonts w:eastAsia="Calibri" w:cs="Times New Roman"/>
        </w:rPr>
      </w:pPr>
      <w:r w:rsidRPr="000000D1">
        <w:rPr>
          <w:rFonts w:eastAsia="Calibri" w:cs="Times New Roman"/>
        </w:rPr>
        <w:lastRenderedPageBreak/>
        <w:t>IT 24-0002-GIL  (03/18/2024) (denial of a partnership’s request for alternative apportionment)</w:t>
      </w:r>
    </w:p>
    <w:p w14:paraId="543932C9" w14:textId="77777777" w:rsidR="000000D1" w:rsidRPr="000000D1" w:rsidRDefault="000000D1" w:rsidP="000000D1">
      <w:pPr>
        <w:ind w:left="720"/>
        <w:contextualSpacing/>
        <w:rPr>
          <w:rFonts w:eastAsia="Calibri" w:cs="Times New Roman"/>
        </w:rPr>
      </w:pPr>
    </w:p>
    <w:p w14:paraId="315E3AE9" w14:textId="77777777" w:rsidR="000000D1" w:rsidRPr="000000D1" w:rsidRDefault="000000D1" w:rsidP="000000D1">
      <w:pPr>
        <w:ind w:left="1440"/>
        <w:contextualSpacing/>
        <w:rPr>
          <w:rFonts w:eastAsia="Calibri" w:cs="Times New Roman"/>
        </w:rPr>
      </w:pPr>
      <w:r w:rsidRPr="000000D1">
        <w:rPr>
          <w:rFonts w:eastAsia="Calibri" w:cs="Times New Roman"/>
        </w:rPr>
        <w:t>Because your request merely states that separate accounting for the taxpayer’s Illinois income more accurately reflects its Illinois activity, your petition for alternative apportionment does not meet the regulatory requirement and cannot be granted at this time.</w:t>
      </w:r>
      <w:r w:rsidRPr="000000D1">
        <w:rPr>
          <w:rFonts w:eastAsia="Calibri" w:cs="Times New Roman"/>
        </w:rPr>
        <w:tab/>
      </w:r>
    </w:p>
    <w:p w14:paraId="0706DA15" w14:textId="77777777" w:rsidR="000000D1" w:rsidRPr="000000D1" w:rsidRDefault="000000D1" w:rsidP="000000D1">
      <w:pPr>
        <w:ind w:firstLine="720"/>
        <w:contextualSpacing/>
        <w:rPr>
          <w:rFonts w:eastAsia="Calibri" w:cs="Times New Roman"/>
        </w:rPr>
      </w:pPr>
      <w:r w:rsidRPr="000000D1">
        <w:rPr>
          <w:rFonts w:eastAsia="Calibri" w:cs="Times New Roman"/>
        </w:rPr>
        <w:t>IT 93-0107-PLR (05/11/1993)</w:t>
      </w:r>
    </w:p>
    <w:p w14:paraId="2CE91E83" w14:textId="77777777" w:rsidR="000000D1" w:rsidRPr="000000D1" w:rsidRDefault="000000D1" w:rsidP="000000D1">
      <w:pPr>
        <w:ind w:left="720"/>
        <w:contextualSpacing/>
        <w:rPr>
          <w:rFonts w:eastAsia="Calibri" w:cs="Times New Roman"/>
        </w:rPr>
      </w:pPr>
    </w:p>
    <w:p w14:paraId="06445AFD" w14:textId="77777777" w:rsidR="000000D1" w:rsidRPr="000000D1" w:rsidRDefault="000000D1" w:rsidP="000000D1">
      <w:pPr>
        <w:ind w:left="1440"/>
        <w:contextualSpacing/>
        <w:rPr>
          <w:rFonts w:eastAsia="Calibri" w:cs="Times New Roman"/>
        </w:rPr>
      </w:pPr>
      <w:r w:rsidRPr="000000D1">
        <w:rPr>
          <w:rFonts w:eastAsia="Calibri" w:cs="Times New Roman"/>
        </w:rPr>
        <w:t>The above-named partnership is filing this petition to seek permission from the Department of Revenue to use an alternative apportionment method as allowed under IITA Section 304(f). The partnership believes that the allocation and apportionment provisions of IITA Section 304(a) through (d) do not fairly represent the partnership's business activity in Illinois.</w:t>
      </w:r>
    </w:p>
    <w:p w14:paraId="076355C2" w14:textId="77777777" w:rsidR="000000D1" w:rsidRPr="000000D1" w:rsidRDefault="000000D1" w:rsidP="000000D1">
      <w:pPr>
        <w:ind w:left="1440"/>
        <w:contextualSpacing/>
        <w:rPr>
          <w:rFonts w:eastAsia="Calibri" w:cs="Times New Roman"/>
        </w:rPr>
      </w:pPr>
    </w:p>
    <w:p w14:paraId="08DDAFA6" w14:textId="77777777" w:rsidR="000000D1" w:rsidRPr="000000D1" w:rsidRDefault="000000D1" w:rsidP="000000D1">
      <w:pPr>
        <w:ind w:left="1440"/>
        <w:contextualSpacing/>
        <w:rPr>
          <w:rFonts w:eastAsia="Calibri" w:cs="Times New Roman"/>
        </w:rPr>
      </w:pPr>
      <w:r w:rsidRPr="000000D1">
        <w:rPr>
          <w:rFonts w:eastAsia="Calibri" w:cs="Times New Roman"/>
        </w:rPr>
        <w:t>The partnership believes the use of the standard formulary apportionment will significantly distort its income or loss from its activities in this state. Since this partnership's business activity is the ownership and management of rental real property located in various states, this partnership believes that a separate reporting of income or loss to each state based on the rental activity occurring in the state is the most equitable method for reporting corporate income . . .</w:t>
      </w:r>
    </w:p>
    <w:p w14:paraId="3BA82150" w14:textId="77777777" w:rsidR="000000D1" w:rsidRPr="000000D1" w:rsidRDefault="000000D1" w:rsidP="000000D1">
      <w:pPr>
        <w:ind w:left="1440"/>
        <w:contextualSpacing/>
        <w:rPr>
          <w:rFonts w:eastAsia="Calibri" w:cs="Times New Roman"/>
        </w:rPr>
      </w:pPr>
    </w:p>
    <w:p w14:paraId="3C12C1C5" w14:textId="77777777" w:rsidR="000000D1" w:rsidRPr="000000D1" w:rsidRDefault="000000D1" w:rsidP="000000D1">
      <w:pPr>
        <w:ind w:left="1440"/>
        <w:contextualSpacing/>
        <w:rPr>
          <w:rFonts w:eastAsia="Calibri" w:cs="Times New Roman"/>
        </w:rPr>
      </w:pPr>
      <w:r w:rsidRPr="000000D1">
        <w:rPr>
          <w:rFonts w:eastAsia="Calibri" w:cs="Times New Roman"/>
        </w:rPr>
        <w:t>We have reviewed your letter and are unable to conclude that you have met the burden of demonstrating that the three factor formula operates unreasonably and arbitrarily in attributing to Illinois a percentage of income that is out of all proportion to the business transacted in this State.</w:t>
      </w:r>
    </w:p>
    <w:p w14:paraId="36A075E3" w14:textId="77777777" w:rsidR="000000D1" w:rsidRPr="000000D1" w:rsidRDefault="000000D1" w:rsidP="000000D1">
      <w:pPr>
        <w:contextualSpacing/>
        <w:rPr>
          <w:rFonts w:eastAsia="Calibri" w:cs="Times New Roman"/>
        </w:rPr>
      </w:pPr>
    </w:p>
    <w:p w14:paraId="44D75EB4" w14:textId="77777777" w:rsidR="000000D1" w:rsidRPr="000000D1" w:rsidRDefault="000000D1" w:rsidP="000000D1">
      <w:pPr>
        <w:ind w:left="720"/>
        <w:contextualSpacing/>
        <w:rPr>
          <w:rFonts w:eastAsia="Calibri" w:cs="Times New Roman"/>
        </w:rPr>
      </w:pPr>
      <w:r w:rsidRPr="000000D1">
        <w:rPr>
          <w:rFonts w:eastAsia="Calibri" w:cs="Times New Roman"/>
          <w:i/>
          <w:iCs/>
        </w:rPr>
        <w:t>Rockwood Holding Co. v. Department of Revenue</w:t>
      </w:r>
      <w:r w:rsidRPr="000000D1">
        <w:rPr>
          <w:rFonts w:eastAsia="Calibri" w:cs="Times New Roman"/>
        </w:rPr>
        <w:t>, 728 N.E.2d 519 (App. 1st Dist. 2000) (denying alternative apportionment in connection with a partnership loss deduction).</w:t>
      </w:r>
    </w:p>
    <w:p w14:paraId="1559060C" w14:textId="77777777" w:rsidR="000000D1" w:rsidRPr="000000D1" w:rsidRDefault="000000D1" w:rsidP="000000D1">
      <w:pPr>
        <w:ind w:left="720"/>
        <w:contextualSpacing/>
        <w:rPr>
          <w:rFonts w:eastAsia="Calibri" w:cs="Times New Roman"/>
        </w:rPr>
      </w:pPr>
    </w:p>
    <w:p w14:paraId="1349A7FE" w14:textId="77777777" w:rsidR="000000D1" w:rsidRPr="000000D1" w:rsidRDefault="000000D1" w:rsidP="000000D1">
      <w:pPr>
        <w:ind w:left="1440"/>
        <w:contextualSpacing/>
        <w:rPr>
          <w:rFonts w:eastAsia="Calibri" w:cs="Times New Roman"/>
        </w:rPr>
      </w:pPr>
      <w:r w:rsidRPr="000000D1">
        <w:rPr>
          <w:rFonts w:eastAsia="Calibri" w:cs="Times New Roman"/>
        </w:rPr>
        <w:t xml:space="preserve">The plain language of section 304(f) seeks to achieve a fair representation of "the extent of a person's business activity" in Illinois. It does not address the calculation of the taxpayer's tax liability. </w:t>
      </w:r>
    </w:p>
    <w:p w14:paraId="0BBE8681" w14:textId="77777777" w:rsidR="000000D1" w:rsidRPr="000000D1" w:rsidRDefault="000000D1" w:rsidP="000000D1">
      <w:pPr>
        <w:ind w:left="1440"/>
        <w:contextualSpacing/>
        <w:rPr>
          <w:rFonts w:eastAsia="Calibri" w:cs="Times New Roman"/>
        </w:rPr>
      </w:pPr>
    </w:p>
    <w:p w14:paraId="273AC46D" w14:textId="77777777" w:rsidR="000000D1" w:rsidRPr="000000D1" w:rsidRDefault="000000D1" w:rsidP="000000D1">
      <w:pPr>
        <w:ind w:left="720"/>
        <w:contextualSpacing/>
        <w:rPr>
          <w:rFonts w:eastAsia="Calibri" w:cs="Times New Roman"/>
        </w:rPr>
      </w:pPr>
      <w:r w:rsidRPr="000000D1">
        <w:rPr>
          <w:rFonts w:eastAsia="Calibri" w:cs="Times New Roman"/>
        </w:rPr>
        <w:t>Illinois IL-1065 Instructions(2022)</w:t>
      </w:r>
    </w:p>
    <w:p w14:paraId="148E60F8" w14:textId="77777777" w:rsidR="000000D1" w:rsidRPr="000000D1" w:rsidRDefault="000000D1" w:rsidP="000000D1">
      <w:pPr>
        <w:contextualSpacing/>
        <w:rPr>
          <w:rFonts w:eastAsia="Calibri" w:cs="Times New Roman"/>
        </w:rPr>
      </w:pPr>
    </w:p>
    <w:p w14:paraId="352AB5A1" w14:textId="77777777" w:rsidR="000000D1" w:rsidRPr="000000D1" w:rsidRDefault="000000D1" w:rsidP="000000D1">
      <w:pPr>
        <w:ind w:left="1440"/>
      </w:pPr>
      <w:r w:rsidRPr="000000D1">
        <w:rPr>
          <w:rFonts w:eastAsia="Calibri" w:cs="Times New Roman"/>
        </w:rPr>
        <w:t xml:space="preserve">Partnerships may not join in the filing of a combined return. However, you may be required to file a separate unitary return, and file a Schedule UB, Combined Apportionment for Unitary Business Group, to apportion your business income. If the following applies, do not file a Schedule UB: If a partnership is engaged in a unitary business with one or more of its partners, but the unitary partners do not own substantially all of the interest in the partnership, the partnership should not be included on a Schedule UB with the partners. Substantial ownership is defined as owning more than 90 percent of all the interest in the partnership. If a Schedule UB should not be filed, each unitary partner must determine the portion of its business income taxed by Illinois by adding its share of that partnership’s business income and apportionment factors (Illinois and everywhere) to its own business income and apportionment factors (Illinois and everywhere). This rule applies to you if you are unitary with one or more of your partners </w:t>
      </w:r>
      <w:r w:rsidRPr="000000D1">
        <w:t>or if you are a partner in another partnership and are engaged in a unitary business with that partnership. See 86 Ill. Adm. Code Section 100.3380(d), for more information.</w:t>
      </w:r>
    </w:p>
    <w:p w14:paraId="4286A96B" w14:textId="77777777" w:rsidR="000000D1" w:rsidRPr="000000D1" w:rsidRDefault="000000D1" w:rsidP="000000D1">
      <w:pPr>
        <w:ind w:left="1440"/>
        <w:rPr>
          <w:rFonts w:eastAsia="Calibri" w:cs="Times New Roman"/>
        </w:rPr>
      </w:pPr>
      <w:r w:rsidRPr="000000D1">
        <w:rPr>
          <w:rFonts w:eastAsia="Calibri" w:cs="Times New Roman"/>
        </w:rPr>
        <w:t xml:space="preserve">If the following applies, you must file a Schedule UB: If you are a partnership who is a shareholder in a corporation and are engaged in a unitary business with that corporation, or if you are owned more than 90 percent by members of your unitary business group (determined without regard to the rule prohibiting taxpayers who use different apportionment formulas from being included in a unitary business group and the rule </w:t>
      </w:r>
      <w:r w:rsidRPr="000000D1">
        <w:rPr>
          <w:rFonts w:eastAsia="Calibri" w:cs="Times New Roman"/>
        </w:rPr>
        <w:lastRenderedPageBreak/>
        <w:t>prohibiting taxpayers conducting 80 percent or more of their business activities outside the United States from being included in a unitary business group), and you:</w:t>
      </w:r>
    </w:p>
    <w:p w14:paraId="431E5619" w14:textId="77777777" w:rsidR="000000D1" w:rsidRPr="000000D1" w:rsidRDefault="000000D1" w:rsidP="000000D1">
      <w:pPr>
        <w:ind w:left="1440"/>
        <w:rPr>
          <w:rFonts w:eastAsia="Calibri" w:cs="Times New Roman"/>
        </w:rPr>
      </w:pPr>
      <w:r w:rsidRPr="000000D1">
        <w:rPr>
          <w:rFonts w:eastAsia="Calibri" w:cs="Times New Roman"/>
        </w:rPr>
        <w:t xml:space="preserve"> • use the same taxable year as a combined group that includes your partners or your subsidiary, you should use the Schedule UB prepared by the combined group in completing your Form IL-1065; </w:t>
      </w:r>
    </w:p>
    <w:p w14:paraId="7DD9C9F4" w14:textId="77777777" w:rsidR="000000D1" w:rsidRPr="000000D1" w:rsidRDefault="000000D1" w:rsidP="000000D1">
      <w:pPr>
        <w:ind w:left="1440"/>
        <w:rPr>
          <w:rFonts w:eastAsia="Calibri" w:cs="Times New Roman"/>
        </w:rPr>
      </w:pPr>
      <w:r w:rsidRPr="000000D1">
        <w:rPr>
          <w:rFonts w:eastAsia="Calibri" w:cs="Times New Roman"/>
        </w:rPr>
        <w:t>• use a different taxable year from the combined group that includes your partners or your subsidiary, or there is no combined group, you must complete your own Schedule UB using your own taxable year.</w:t>
      </w:r>
    </w:p>
    <w:p w14:paraId="2725A3C8" w14:textId="77777777" w:rsidR="000000D1" w:rsidRPr="000000D1" w:rsidRDefault="000000D1" w:rsidP="000000D1">
      <w:pPr>
        <w:pBdr>
          <w:bottom w:val="single" w:sz="4" w:space="0" w:color="auto"/>
        </w:pBdr>
        <w:rPr>
          <w:rFonts w:eastAsia="Calibri" w:cs="Times New Roman"/>
        </w:rPr>
      </w:pPr>
    </w:p>
    <w:p w14:paraId="6A08F929"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10" w:name="_Toc198480777"/>
      <w:r w:rsidRPr="000000D1">
        <w:rPr>
          <w:rFonts w:ascii="Californian FB" w:eastAsia="Times New Roman" w:hAnsi="Californian FB" w:cs="Times New Roman"/>
          <w:b/>
          <w:color w:val="851C00"/>
          <w:sz w:val="24"/>
          <w:szCs w:val="24"/>
          <w:u w:val="single"/>
        </w:rPr>
        <w:t>Indiana</w:t>
      </w:r>
      <w:bookmarkEnd w:id="110"/>
    </w:p>
    <w:p w14:paraId="754B7B00" w14:textId="77777777" w:rsidR="000000D1" w:rsidRPr="000000D1" w:rsidRDefault="000000D1" w:rsidP="000000D1">
      <w:pPr>
        <w:ind w:left="720"/>
        <w:contextualSpacing/>
        <w:rPr>
          <w:rFonts w:eastAsia="Calibri" w:cs="Times New Roman"/>
        </w:rPr>
      </w:pPr>
      <w:r w:rsidRPr="000000D1">
        <w:rPr>
          <w:rFonts w:eastAsia="Calibri" w:cs="Times New Roman"/>
        </w:rPr>
        <w:t xml:space="preserve">Ind. Code § 6-3-2-2(a) </w:t>
      </w:r>
    </w:p>
    <w:p w14:paraId="6BBA986C" w14:textId="77777777" w:rsidR="000000D1" w:rsidRPr="000000D1" w:rsidRDefault="000000D1" w:rsidP="000000D1">
      <w:pPr>
        <w:contextualSpacing/>
        <w:rPr>
          <w:rFonts w:eastAsia="Calibri" w:cs="Times New Roman"/>
        </w:rPr>
      </w:pPr>
    </w:p>
    <w:p w14:paraId="707656F3" w14:textId="77777777" w:rsidR="000000D1" w:rsidRPr="000000D1" w:rsidRDefault="000000D1" w:rsidP="000000D1">
      <w:pPr>
        <w:ind w:left="1440"/>
        <w:rPr>
          <w:rFonts w:eastAsia="Calibri" w:cs="Times New Roman"/>
        </w:rPr>
      </w:pPr>
      <w:r w:rsidRPr="000000D1">
        <w:rPr>
          <w:rFonts w:eastAsia="Calibri" w:cs="Times New Roman"/>
        </w:rPr>
        <w:t>Income from a pass through entity shall be characterized in a manner consistent with the income's characterization for federal income tax purposes and shall be considered Indiana source income as if the person, corporation, or pass through entity that received the income had directly engaged in the income producing activity. Income that is derived from one (1) pass through entity and is considered to pass through to another pass through entity does not change these characteristics or attribution provisions. In the case of nonbusiness income described in subsection (g), only so much of such income as is allocated to this state under the provisions of subsections (h) through (k) shall be deemed to be derived from sources within Indiana. In the case of business income, only so much of such income as is apportioned to this state under the provision of subsection (b) shall be deemed to be derived from sources within the state of Indiana. In the case of compensation of a team member (as defined in section 2.7 of this chapter), only the portion of income determined to be Indiana income under section 2.7 of this chapter is considered derived from sources within Indiana. In the case of a corporation that is a life insurance company (as defined in Section 816(a) of the Internal Revenue Code) or an insurance company that is subject to tax under Section 831 of the Internal Revenue Code, only so much of the income as is apportioned to Indiana under subsection (s) is considered derived from sources within Indiana. Income derived from Indiana shall be taxable to the fullest extent permitted by the Constitution of the United States and federal law, regardless of whether the taxpayer has a physical presence in Indiana.</w:t>
      </w:r>
    </w:p>
    <w:p w14:paraId="06F2A1E4" w14:textId="77777777" w:rsidR="000000D1" w:rsidRPr="000000D1" w:rsidRDefault="000000D1" w:rsidP="00366E17">
      <w:pPr>
        <w:numPr>
          <w:ilvl w:val="0"/>
          <w:numId w:val="22"/>
        </w:numPr>
        <w:contextualSpacing/>
        <w:rPr>
          <w:rFonts w:eastAsia="Calibri" w:cs="Times New Roman"/>
        </w:rPr>
      </w:pPr>
      <w:r w:rsidRPr="000000D1">
        <w:rPr>
          <w:rFonts w:eastAsia="Calibri" w:cs="Times New Roman"/>
        </w:rPr>
        <w:t xml:space="preserve">Ind. Admin. Code 3.1-1-106(b)(2) </w:t>
      </w:r>
    </w:p>
    <w:p w14:paraId="253953D0" w14:textId="77777777" w:rsidR="000000D1" w:rsidRPr="000000D1" w:rsidRDefault="000000D1" w:rsidP="000000D1">
      <w:pPr>
        <w:ind w:left="1080"/>
        <w:contextualSpacing/>
        <w:rPr>
          <w:rFonts w:eastAsia="Calibri" w:cs="Times New Roman"/>
        </w:rPr>
      </w:pPr>
    </w:p>
    <w:p w14:paraId="23511DF1" w14:textId="77777777" w:rsidR="000000D1" w:rsidRPr="000000D1" w:rsidRDefault="000000D1" w:rsidP="000000D1">
      <w:pPr>
        <w:ind w:left="1440"/>
        <w:contextualSpacing/>
        <w:rPr>
          <w:rFonts w:eastAsia="Calibri" w:cs="Times New Roman"/>
        </w:rPr>
      </w:pPr>
      <w:r w:rsidRPr="000000D1">
        <w:rPr>
          <w:rFonts w:eastAsia="Calibri" w:cs="Times New Roman"/>
        </w:rPr>
        <w:t>The distributive share of a nonresident partner will be reported after apportionment to determine the partnership income derived from sources within Indiana. This determination will be accomplished by use of the apportionment formula described in IC 6-3-2-2(b).</w:t>
      </w:r>
    </w:p>
    <w:p w14:paraId="79F6760C" w14:textId="77777777" w:rsidR="000000D1" w:rsidRPr="000000D1" w:rsidRDefault="000000D1" w:rsidP="000000D1">
      <w:pPr>
        <w:ind w:left="720"/>
        <w:rPr>
          <w:rFonts w:eastAsia="Calibri" w:cs="Times New Roman"/>
        </w:rPr>
      </w:pPr>
      <w:r w:rsidRPr="000000D1">
        <w:rPr>
          <w:rFonts w:eastAsia="Calibri" w:cs="Times New Roman"/>
        </w:rPr>
        <w:t xml:space="preserve">45 Ind. Admin. Code 3.1-1-153 </w:t>
      </w:r>
    </w:p>
    <w:p w14:paraId="7F1B9FD8" w14:textId="77777777" w:rsidR="000000D1" w:rsidRPr="000000D1" w:rsidRDefault="000000D1" w:rsidP="000000D1">
      <w:pPr>
        <w:ind w:left="1440"/>
        <w:rPr>
          <w:rFonts w:eastAsia="Calibri" w:cs="Times New Roman"/>
        </w:rPr>
      </w:pPr>
      <w:r w:rsidRPr="000000D1">
        <w:rPr>
          <w:rFonts w:eastAsia="Calibri" w:cs="Times New Roman"/>
        </w:rPr>
        <w:t>(a) A corporate partner's share of profit or loss from a partnership will be included in its federal taxable income and therefore generally subject to the same rules as any other adjusted gross income.</w:t>
      </w:r>
    </w:p>
    <w:p w14:paraId="61D01A7A" w14:textId="77777777" w:rsidR="000000D1" w:rsidRPr="000000D1" w:rsidRDefault="000000D1" w:rsidP="000000D1">
      <w:pPr>
        <w:ind w:left="1440"/>
        <w:rPr>
          <w:rFonts w:eastAsia="Calibri" w:cs="Times New Roman"/>
        </w:rPr>
      </w:pPr>
      <w:r w:rsidRPr="000000D1">
        <w:rPr>
          <w:rFonts w:eastAsia="Calibri" w:cs="Times New Roman"/>
        </w:rPr>
        <w:t>(b) If the corporate partner's activities and the partnership's activities constitute a unitary business under established standards, disregarding ownership requirements, the business income of the unitary business attributable to Indiana shall be determined by a three (3) factor formula consisting of property, payroll, and sales of the corporate partner and its share of the partnership's factors for any partnership year ending within or with the corporate partner's income year, with the following modifications:</w:t>
      </w:r>
    </w:p>
    <w:p w14:paraId="0794A1A6" w14:textId="77777777" w:rsidR="000000D1" w:rsidRPr="000000D1" w:rsidRDefault="000000D1" w:rsidP="000000D1">
      <w:pPr>
        <w:ind w:left="1440"/>
        <w:rPr>
          <w:rFonts w:eastAsia="Calibri" w:cs="Times New Roman"/>
        </w:rPr>
      </w:pPr>
      <w:r w:rsidRPr="000000D1">
        <w:rPr>
          <w:rFonts w:eastAsia="Calibri" w:cs="Times New Roman"/>
        </w:rPr>
        <w:lastRenderedPageBreak/>
        <w:t xml:space="preserve"> (b)(1) The value of property which is rented or leased by the corporate partner to the partnership or vice versa shall, with respect to the corporate partner, be excluded from the property factor of the partnership or eliminated to the extent of the corporate partner's interest in the partnership, whichever the case may be, in order to avoid duplication.</w:t>
      </w:r>
    </w:p>
    <w:p w14:paraId="6C0A2349" w14:textId="77777777" w:rsidR="000000D1" w:rsidRPr="000000D1" w:rsidRDefault="000000D1" w:rsidP="000000D1">
      <w:pPr>
        <w:ind w:left="1440"/>
        <w:rPr>
          <w:rFonts w:eastAsia="Calibri" w:cs="Times New Roman"/>
        </w:rPr>
      </w:pPr>
      <w:r w:rsidRPr="000000D1">
        <w:rPr>
          <w:rFonts w:eastAsia="Calibri" w:cs="Times New Roman"/>
        </w:rPr>
        <w:t xml:space="preserve"> (b)(2) Intercompany sales between the corporate partner and the partnership shall be eliminated from the corporate partner's sales factor as follows:</w:t>
      </w:r>
    </w:p>
    <w:p w14:paraId="5BF89A62" w14:textId="77777777" w:rsidR="000000D1" w:rsidRPr="000000D1" w:rsidRDefault="000000D1" w:rsidP="000000D1">
      <w:pPr>
        <w:ind w:left="1440"/>
        <w:rPr>
          <w:rFonts w:eastAsia="Calibri" w:cs="Times New Roman"/>
        </w:rPr>
      </w:pPr>
      <w:r w:rsidRPr="000000D1">
        <w:rPr>
          <w:rFonts w:eastAsia="Calibri" w:cs="Times New Roman"/>
        </w:rPr>
        <w:t xml:space="preserve"> (b)(2)(A) Sales by the corporate partner to the partnership to the extent of the corporate partner's interest in the partnership.</w:t>
      </w:r>
    </w:p>
    <w:p w14:paraId="6B478CF9" w14:textId="77777777" w:rsidR="000000D1" w:rsidRPr="000000D1" w:rsidRDefault="000000D1" w:rsidP="000000D1">
      <w:pPr>
        <w:ind w:left="1440" w:firstLine="40"/>
        <w:rPr>
          <w:rFonts w:eastAsia="Calibri" w:cs="Times New Roman"/>
        </w:rPr>
      </w:pPr>
      <w:r w:rsidRPr="000000D1">
        <w:rPr>
          <w:rFonts w:eastAsia="Calibri" w:cs="Times New Roman"/>
        </w:rPr>
        <w:t>(b)(2)(B) Sales by the partnership to the corporate partner not to exceed the corporate partner's interest in all partnership sales.</w:t>
      </w:r>
    </w:p>
    <w:p w14:paraId="32F81176" w14:textId="77777777" w:rsidR="000000D1" w:rsidRPr="000000D1" w:rsidRDefault="000000D1" w:rsidP="000000D1">
      <w:pPr>
        <w:ind w:left="1440"/>
        <w:rPr>
          <w:rFonts w:eastAsia="Calibri" w:cs="Times New Roman"/>
        </w:rPr>
      </w:pPr>
      <w:r w:rsidRPr="000000D1">
        <w:rPr>
          <w:rFonts w:eastAsia="Calibri" w:cs="Times New Roman"/>
        </w:rPr>
        <w:t>(c) If the corporate partner's activities and the partnership's activities do not constitute a unitary business under established standards, disregarding ownership requirements, the corporate partner's share of the partnership income attributable to Indiana shall be determined as follows:</w:t>
      </w:r>
    </w:p>
    <w:p w14:paraId="71C2B002" w14:textId="77777777" w:rsidR="000000D1" w:rsidRPr="000000D1" w:rsidRDefault="000000D1" w:rsidP="000000D1">
      <w:pPr>
        <w:ind w:left="1440"/>
        <w:rPr>
          <w:rFonts w:eastAsia="Calibri" w:cs="Times New Roman"/>
        </w:rPr>
      </w:pPr>
      <w:r w:rsidRPr="000000D1">
        <w:rPr>
          <w:rFonts w:eastAsia="Calibri" w:cs="Times New Roman"/>
        </w:rPr>
        <w:t>(c)(1) If the partnership derives business income from sources within and without Indiana, the business income derived from sources within Indiana shall be determined by a three (3) factor formula consisting of property, payroll, and sales of the partnership.</w:t>
      </w:r>
    </w:p>
    <w:p w14:paraId="54E73C41" w14:textId="77777777" w:rsidR="000000D1" w:rsidRPr="000000D1" w:rsidRDefault="000000D1" w:rsidP="000000D1">
      <w:pPr>
        <w:ind w:left="1440"/>
        <w:rPr>
          <w:rFonts w:eastAsia="Calibri" w:cs="Times New Roman"/>
        </w:rPr>
      </w:pPr>
      <w:r w:rsidRPr="000000D1">
        <w:rPr>
          <w:rFonts w:eastAsia="Calibri" w:cs="Times New Roman"/>
        </w:rPr>
        <w:t xml:space="preserve"> (c)(2) If the partnership derives business income from sources entirely within Indiana, or entirely without Indiana, such income shall not be subject to formula apportionment.</w:t>
      </w:r>
    </w:p>
    <w:p w14:paraId="45FF6972" w14:textId="77777777" w:rsidR="000000D1" w:rsidRPr="000000D1" w:rsidRDefault="000000D1" w:rsidP="000000D1">
      <w:pPr>
        <w:ind w:left="1440"/>
        <w:rPr>
          <w:rFonts w:eastAsia="Calibri" w:cs="Times New Roman"/>
        </w:rPr>
      </w:pPr>
      <w:r w:rsidRPr="000000D1">
        <w:rPr>
          <w:rFonts w:eastAsia="Calibri" w:cs="Times New Roman"/>
        </w:rPr>
        <w:t>(d) A partner's distributive share of income will be adjusted by the partner's proportionate share of the partnership's income that is exempt from taxation under the Constitution and statutes of the United States and by the partner's proportionate share of the partnership's deductions allowed or allowable under Section 63 of the Internal Revenue Code for taxes based on or measured by income and levied at the state level by any state of the United States or for taxes on property levied by any subdivision of any state of the United States.</w:t>
      </w:r>
    </w:p>
    <w:p w14:paraId="727D2077" w14:textId="77777777" w:rsidR="000000D1" w:rsidRPr="000000D1" w:rsidRDefault="000000D1" w:rsidP="000000D1">
      <w:pPr>
        <w:ind w:left="1440"/>
        <w:rPr>
          <w:rFonts w:eastAsia="Calibri" w:cs="Times New Roman"/>
        </w:rPr>
      </w:pPr>
      <w:r w:rsidRPr="000000D1">
        <w:rPr>
          <w:rFonts w:eastAsia="Calibri" w:cs="Times New Roman"/>
        </w:rPr>
        <w:t>(e) After determining the amount of business income attributable to Indiana under subsection (c), the corporate partner's distributive share of such income shall be added to the corporate partner's other business income apportioned to Indiana and its nonbusiness income, if any, allocable to Indiana, in determining the corporate partner's total taxable income.</w:t>
      </w:r>
    </w:p>
    <w:p w14:paraId="45535E34" w14:textId="77777777" w:rsidR="000000D1" w:rsidRPr="000000D1" w:rsidRDefault="000000D1" w:rsidP="000000D1">
      <w:pPr>
        <w:ind w:left="720"/>
        <w:contextualSpacing/>
        <w:rPr>
          <w:rFonts w:eastAsia="Calibri" w:cs="Times New Roman"/>
        </w:rPr>
      </w:pPr>
      <w:r w:rsidRPr="000000D1">
        <w:rPr>
          <w:rFonts w:eastAsia="Calibri" w:cs="Times New Roman"/>
        </w:rPr>
        <w:t xml:space="preserve">Indiana Letters of Findings: 02-20130024 (October 29, 2014) </w:t>
      </w:r>
    </w:p>
    <w:p w14:paraId="2A51DD2A" w14:textId="77777777" w:rsidR="000000D1" w:rsidRPr="000000D1" w:rsidRDefault="000000D1" w:rsidP="000000D1">
      <w:pPr>
        <w:contextualSpacing/>
        <w:rPr>
          <w:rFonts w:eastAsia="Calibri" w:cs="Times New Roman"/>
        </w:rPr>
      </w:pPr>
    </w:p>
    <w:p w14:paraId="219E59CB" w14:textId="77777777" w:rsidR="000000D1" w:rsidRPr="000000D1" w:rsidRDefault="000000D1" w:rsidP="000000D1">
      <w:pPr>
        <w:ind w:left="1440"/>
        <w:rPr>
          <w:rFonts w:eastAsia="Calibri" w:cs="Times New Roman"/>
        </w:rPr>
      </w:pPr>
      <w:r w:rsidRPr="000000D1">
        <w:rPr>
          <w:rFonts w:eastAsia="Calibri" w:cs="Times New Roman"/>
        </w:rPr>
        <w:t xml:space="preserve">The Indiana Supreme Court discussed such a form-over-function situation in Park 100 Dev. Co. v. Ind. Dep't of State Revenue, 429 N.E.2d 220 (Ind. 1981). In Park 100, the Indiana Supreme Court was faced with a situation in which a partnership was itself a partner in a partnership and, on that ground sought to avoid Indiana taxes. Id. at 223. In other words, one pass-through entity was owned by another pass-through entity. The Indiana Supreme Court held that a partnership could not avoid its Indiana tax obligations by becoming a partner in a different partnership (essentially stacking partnerships to avoid tax) and funneling the business receipts through these pass-through entities. Id. at 223. Thus, using tiered pass-through entities to funnel income to another partner did not obviate the taxpayer's tax obligation. Id. The court reasoned that passing income through multiple layers of partnerships does not cancel the tax liability associated with the original partnership's income. Id. As the court explained, "[T]he legislature did not intend for a corporation to escape the corporate tax liability indirectly </w:t>
      </w:r>
      <w:r w:rsidRPr="000000D1">
        <w:rPr>
          <w:rFonts w:eastAsia="Calibri" w:cs="Times New Roman"/>
        </w:rPr>
        <w:lastRenderedPageBreak/>
        <w:t>by forming a two-tiered partnership when it did not allow a corporation to escape that liability as a direct or first-tier partner." Id.</w:t>
      </w:r>
    </w:p>
    <w:p w14:paraId="52E789CD" w14:textId="77777777" w:rsidR="000000D1" w:rsidRPr="000000D1" w:rsidRDefault="000000D1" w:rsidP="000000D1">
      <w:pPr>
        <w:ind w:left="1440"/>
        <w:rPr>
          <w:rFonts w:eastAsia="Calibri" w:cs="Times New Roman"/>
        </w:rPr>
      </w:pPr>
      <w:r w:rsidRPr="000000D1">
        <w:rPr>
          <w:rFonts w:eastAsia="Calibri" w:cs="Times New Roman"/>
        </w:rPr>
        <w:t>Like the taxpayer in Riverboat Development, Inc., the taxpayers in Park 100 owned a minority ownership interest in the pass-through entity generating the taxable income. Nevertheless, the tax liability still passed through to the owners. Moreover, the court was not persuaded by the fact that the tax liability stemmed from the taxpayer's intangible interest in a partnership. The court's ultimate concern was avoiding the creation of law that would lead to untenable results, such as avoiding tax liabilities by funneling income through a partnership. At no point in the Park 100 decision did the court suggest that the character of the income, and resulting tax liability, was dependent upon whether the taxpayer's ownership interest in the partnership was tangible or intangible in nature. Nor was there any reason for the court to consider the tangible or intangible nature of the ownership, because the focus was the character of the business income earned by the pass-through entity.</w:t>
      </w:r>
    </w:p>
    <w:p w14:paraId="179E5B23" w14:textId="77777777" w:rsidR="000000D1" w:rsidRPr="000000D1" w:rsidRDefault="000000D1" w:rsidP="000000D1">
      <w:pPr>
        <w:ind w:left="1440"/>
        <w:rPr>
          <w:rFonts w:eastAsia="Calibri" w:cs="Times New Roman"/>
        </w:rPr>
      </w:pPr>
      <w:r w:rsidRPr="000000D1">
        <w:rPr>
          <w:rFonts w:eastAsia="Calibri" w:cs="Times New Roman"/>
        </w:rPr>
        <w:t>Additionally, in Five Star Concrete, L.L.C. v. Klink, Inc. 693 N.E.2d 583 (Ind. Ct. App. 1998), the Indiana Court of Appeals explained that LLCs are like partnerships, and like partnerships the "income 'passes through' the entity and is taxed to the member, an owner of an interest in the company." Id. at 586. The court was very specific–LLCs, like partnerships, pass-through income to their members to be taxed in the same manner as partnerships. The court also noted that there was no dispute that the company properly passed its income and tax liability to its owners. Id. Therefore, like the Park 100 decision, the end result is that the income and the related tax liability of flow through entities that are taxed as partnerships are the responsibility of the partners/members, and the manner in which the taxpayer chooses to define its ownership interest in the company is not relevant for purposes of applying the tax liability . . .</w:t>
      </w:r>
    </w:p>
    <w:p w14:paraId="311B0324" w14:textId="77777777" w:rsidR="000000D1" w:rsidRPr="000000D1" w:rsidRDefault="000000D1" w:rsidP="000000D1">
      <w:pPr>
        <w:ind w:left="1440"/>
        <w:rPr>
          <w:rFonts w:eastAsia="Calibri" w:cs="Times New Roman"/>
        </w:rPr>
      </w:pPr>
      <w:r w:rsidRPr="000000D1">
        <w:rPr>
          <w:rFonts w:eastAsia="Calibri" w:cs="Times New Roman"/>
        </w:rPr>
        <w:t>In conclusion, the Department adjusted Taxpayer's adjusted gross income tax return because Taxpayer had failed to include the activities from the two Indiana fabrication plants (one operated by Taxpayer's Division and the other operated by Partnership) in its apportionment factors. Taxpayer, as the reporting entity for Taxpayer's Division, must include the income and activities of the Indiana fabrication plant operated by Taxpayer's Division in its adjusted gross income tax return, including the apportionment factors. IC § 6-3-2-2. In addition, Taxpayer, as the reporting entity for Taxpayer's Division, is a corporate partner in Partnership. Taxpayer, as the corporate partner, is liable for Partnership's adjusted gross income tax in its separate or individual capacity and is required to report its portion of Partnership's Indiana business activity on Taxpayer's Indiana adjusted gross income tax return, pursuant to IC § 6-3-4-11(a). Since Taxpayer owns ninety-nine percent of Partnership, Taxpayer is required to report its ninety-nine percent partner share of Partnership's income and activities in its apportionment factors, as provided in 45 IAC 3.1-1-153. Therefore, Taxpayer's protest of the Department's adjustments to its return to include the operational business income and activities of the two Indiana fabrication plants in Taxpayer's apportionment factors is denied.</w:t>
      </w:r>
    </w:p>
    <w:p w14:paraId="7454431B" w14:textId="77777777" w:rsidR="000000D1" w:rsidRPr="000000D1" w:rsidRDefault="000000D1" w:rsidP="000000D1">
      <w:pPr>
        <w:ind w:left="720"/>
        <w:contextualSpacing/>
        <w:rPr>
          <w:rFonts w:eastAsia="Calibri" w:cs="Times New Roman"/>
        </w:rPr>
      </w:pPr>
      <w:r w:rsidRPr="000000D1">
        <w:rPr>
          <w:rFonts w:eastAsia="Calibri" w:cs="Times New Roman"/>
        </w:rPr>
        <w:t xml:space="preserve">Indiana Letters of Findings: 02-20241179 (August 30, 2024) </w:t>
      </w:r>
    </w:p>
    <w:p w14:paraId="5F9F6A81" w14:textId="77777777" w:rsidR="000000D1" w:rsidRPr="000000D1" w:rsidRDefault="000000D1" w:rsidP="000000D1">
      <w:pPr>
        <w:contextualSpacing/>
        <w:rPr>
          <w:rFonts w:eastAsia="Calibri" w:cs="Times New Roman"/>
        </w:rPr>
      </w:pPr>
    </w:p>
    <w:p w14:paraId="01C5AEE8" w14:textId="77777777" w:rsidR="000000D1" w:rsidRPr="000000D1" w:rsidRDefault="000000D1" w:rsidP="000000D1">
      <w:pPr>
        <w:ind w:left="1440"/>
        <w:contextualSpacing/>
        <w:rPr>
          <w:rFonts w:eastAsia="Calibri" w:cs="Times New Roman"/>
        </w:rPr>
      </w:pPr>
      <w:r w:rsidRPr="000000D1">
        <w:rPr>
          <w:rFonts w:eastAsia="Calibri" w:cs="Times New Roman"/>
        </w:rPr>
        <w:t>An out of state LLC that was a partner in an Indiana partnership was required to file a composite return in Indiana.</w:t>
      </w:r>
    </w:p>
    <w:p w14:paraId="17D3BE2B" w14:textId="77777777" w:rsidR="000000D1" w:rsidRPr="000000D1" w:rsidRDefault="000000D1" w:rsidP="000000D1">
      <w:pPr>
        <w:ind w:left="720"/>
        <w:contextualSpacing/>
        <w:rPr>
          <w:rFonts w:eastAsia="Calibri" w:cs="Times New Roman"/>
        </w:rPr>
      </w:pPr>
    </w:p>
    <w:p w14:paraId="313340D4" w14:textId="77777777" w:rsidR="000000D1" w:rsidRPr="000000D1" w:rsidRDefault="000000D1" w:rsidP="000000D1">
      <w:pPr>
        <w:ind w:left="720"/>
        <w:contextualSpacing/>
        <w:rPr>
          <w:rFonts w:eastAsia="Calibri" w:cs="Times New Roman"/>
        </w:rPr>
      </w:pPr>
      <w:r w:rsidRPr="000000D1">
        <w:rPr>
          <w:rFonts w:eastAsia="Calibri" w:cs="Times New Roman"/>
        </w:rPr>
        <w:t xml:space="preserve">Indiana Revenue Ruling 2001-04IT (February 19, 2001) </w:t>
      </w:r>
    </w:p>
    <w:p w14:paraId="164AE141" w14:textId="77777777" w:rsidR="000000D1" w:rsidRPr="000000D1" w:rsidRDefault="000000D1" w:rsidP="000000D1">
      <w:pPr>
        <w:contextualSpacing/>
        <w:rPr>
          <w:rFonts w:eastAsia="Calibri" w:cs="Times New Roman"/>
        </w:rPr>
      </w:pPr>
    </w:p>
    <w:p w14:paraId="51B04517" w14:textId="77777777" w:rsidR="000000D1" w:rsidRPr="000000D1" w:rsidRDefault="000000D1" w:rsidP="000000D1">
      <w:pPr>
        <w:ind w:left="1440"/>
        <w:rPr>
          <w:rFonts w:eastAsia="Calibri" w:cs="Times New Roman"/>
        </w:rPr>
      </w:pPr>
      <w:r w:rsidRPr="000000D1">
        <w:rPr>
          <w:rFonts w:eastAsia="Calibri" w:cs="Times New Roman"/>
        </w:rPr>
        <w:t xml:space="preserve">It is clear from the above regulations that all of a partnership's income is subject to apportionment. Portfolio interest, net Internal Revenue Code Section 1231 loss, longterm capital gain from the sale of securities and from the sale or exchange of goodwill </w:t>
      </w:r>
      <w:r w:rsidRPr="000000D1">
        <w:rPr>
          <w:rFonts w:eastAsia="Calibri" w:cs="Times New Roman"/>
        </w:rPr>
        <w:lastRenderedPageBreak/>
        <w:t>and going concern value, as components of partnership income, therefore, are subject to apportionment at the partnership level.</w:t>
      </w:r>
    </w:p>
    <w:p w14:paraId="72577252" w14:textId="77777777" w:rsidR="000000D1" w:rsidRPr="000000D1" w:rsidRDefault="000000D1" w:rsidP="000000D1">
      <w:pPr>
        <w:ind w:firstLine="720"/>
        <w:rPr>
          <w:rFonts w:eastAsia="Calibri" w:cs="Times New Roman"/>
        </w:rPr>
      </w:pPr>
      <w:r w:rsidRPr="000000D1">
        <w:rPr>
          <w:rFonts w:eastAsia="Calibri" w:cs="Times New Roman"/>
        </w:rPr>
        <w:t>Indiana Letter of Findings 06-0524 (01/01/2006)</w:t>
      </w:r>
    </w:p>
    <w:p w14:paraId="1FC9B45E" w14:textId="77777777" w:rsidR="000000D1" w:rsidRPr="000000D1" w:rsidRDefault="000000D1" w:rsidP="000000D1">
      <w:pPr>
        <w:ind w:left="1440"/>
        <w:rPr>
          <w:rFonts w:eastAsia="Calibri" w:cs="Times New Roman"/>
        </w:rPr>
      </w:pPr>
      <w:r w:rsidRPr="000000D1">
        <w:rPr>
          <w:rFonts w:eastAsia="Calibri" w:cs="Times New Roman"/>
        </w:rPr>
        <w:t>Taxpayer properly deducted “704(c) property” depreciation in reporting its distributive share of partnership income.</w:t>
      </w:r>
    </w:p>
    <w:p w14:paraId="1819484D" w14:textId="77777777" w:rsidR="000000D1" w:rsidRPr="000000D1" w:rsidRDefault="000000D1" w:rsidP="000000D1">
      <w:pPr>
        <w:pBdr>
          <w:bottom w:val="single" w:sz="4" w:space="0" w:color="auto"/>
        </w:pBdr>
        <w:rPr>
          <w:rFonts w:eastAsia="Calibri" w:cs="Times New Roman"/>
        </w:rPr>
      </w:pPr>
    </w:p>
    <w:p w14:paraId="1CF776C2"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11" w:name="_Toc198480778"/>
      <w:r w:rsidRPr="000000D1">
        <w:rPr>
          <w:rFonts w:ascii="Californian FB" w:eastAsia="Times New Roman" w:hAnsi="Californian FB" w:cs="Times New Roman"/>
          <w:b/>
          <w:color w:val="851C00"/>
          <w:sz w:val="24"/>
          <w:szCs w:val="24"/>
          <w:u w:val="single"/>
        </w:rPr>
        <w:t>Iowa</w:t>
      </w:r>
      <w:bookmarkEnd w:id="111"/>
    </w:p>
    <w:p w14:paraId="5C93C093" w14:textId="77777777" w:rsidR="000000D1" w:rsidRPr="000000D1" w:rsidRDefault="000000D1" w:rsidP="000000D1">
      <w:pPr>
        <w:ind w:left="720"/>
        <w:contextualSpacing/>
        <w:rPr>
          <w:rFonts w:eastAsia="Calibri" w:cs="Times New Roman"/>
        </w:rPr>
      </w:pPr>
      <w:r w:rsidRPr="000000D1">
        <w:rPr>
          <w:rFonts w:eastAsia="Calibri" w:cs="Times New Roman"/>
        </w:rPr>
        <w:t xml:space="preserve">Iowa Admin. Code r. 701-503.6(5) </w:t>
      </w:r>
    </w:p>
    <w:p w14:paraId="2B4FA7E9" w14:textId="77777777" w:rsidR="000000D1" w:rsidRPr="000000D1" w:rsidRDefault="000000D1" w:rsidP="000000D1">
      <w:pPr>
        <w:contextualSpacing/>
        <w:rPr>
          <w:rFonts w:eastAsia="Calibri" w:cs="Times New Roman"/>
        </w:rPr>
      </w:pPr>
    </w:p>
    <w:p w14:paraId="29E96DB0" w14:textId="77777777" w:rsidR="000000D1" w:rsidRPr="000000D1" w:rsidRDefault="000000D1" w:rsidP="000000D1">
      <w:pPr>
        <w:ind w:left="1440"/>
        <w:contextualSpacing/>
        <w:rPr>
          <w:rFonts w:eastAsia="Calibri" w:cs="Times New Roman"/>
        </w:rPr>
      </w:pPr>
      <w:r w:rsidRPr="000000D1">
        <w:rPr>
          <w:rFonts w:eastAsia="Calibri" w:cs="Times New Roman"/>
        </w:rPr>
        <w:t xml:space="preserve">A corporation’s distributive share of net income or loss from a joint venture, limited liability company, or partnership is subject to apportionment within and without the state. If the income of the partnership, limited liability company, or joint venture is received in </w:t>
      </w:r>
      <w:bookmarkStart w:id="112" w:name="_Hlk176784673"/>
      <w:r w:rsidRPr="000000D1">
        <w:rPr>
          <w:rFonts w:eastAsia="Calibri" w:cs="Times New Roman"/>
        </w:rPr>
        <w:t>connection with the taxpayer’s regular trade or business operations</w:t>
      </w:r>
      <w:bookmarkEnd w:id="112"/>
      <w:r w:rsidRPr="000000D1">
        <w:rPr>
          <w:rFonts w:eastAsia="Calibri" w:cs="Times New Roman"/>
        </w:rPr>
        <w:t>, the partnership, limited liability company, or joint venture income shall be apportioned within and without Iowa on the basis of the taxpayer’s business activity ratio. The corporation’s distributive share of the gross receipts of the partnership, limited liability company, or joint venture shall be included in the computation of the business activity ratio in accordance with the provisions of this chapter.</w:t>
      </w:r>
    </w:p>
    <w:p w14:paraId="7B21BCD2" w14:textId="77777777" w:rsidR="000000D1" w:rsidRPr="000000D1" w:rsidRDefault="000000D1" w:rsidP="000000D1">
      <w:pPr>
        <w:ind w:left="1440"/>
        <w:contextualSpacing/>
        <w:rPr>
          <w:rFonts w:eastAsia="Calibri" w:cs="Times New Roman"/>
        </w:rPr>
      </w:pPr>
    </w:p>
    <w:p w14:paraId="5855B3DB" w14:textId="77777777" w:rsidR="000000D1" w:rsidRPr="000000D1" w:rsidRDefault="000000D1" w:rsidP="000000D1">
      <w:pPr>
        <w:ind w:left="1440"/>
        <w:contextualSpacing/>
        <w:rPr>
          <w:rFonts w:eastAsia="Calibri" w:cs="Times New Roman"/>
        </w:rPr>
      </w:pPr>
      <w:r w:rsidRPr="000000D1">
        <w:rPr>
          <w:rFonts w:eastAsia="Calibri" w:cs="Times New Roman"/>
        </w:rPr>
        <w:t>EXAMPLE 1: A, a corporation with a commercial domicile in State X, is engaged in business within and without Iowa whereby A sells tangible personal property. A also has an interest in a limited partnership whose business is conducted within and without Iowa. Five percent of the limited partnership’s gross receipts are derived from the sale of tangible personal property to Iowa purchasers and 95 percent are derived from sales and deliveries to purchasers outside of Iowa. A will include 5 percent of its distributive share of the gross receipts of the partnership in the numerator along with A’s destination Iowa sales in calculating its business activity ratio. A will include 100 percent of its</w:t>
      </w:r>
    </w:p>
    <w:p w14:paraId="6AE1C43A" w14:textId="77777777" w:rsidR="000000D1" w:rsidRPr="000000D1" w:rsidRDefault="000000D1" w:rsidP="000000D1">
      <w:pPr>
        <w:ind w:left="1440"/>
        <w:contextualSpacing/>
        <w:rPr>
          <w:rFonts w:eastAsia="Calibri" w:cs="Times New Roman"/>
        </w:rPr>
      </w:pPr>
      <w:r w:rsidRPr="000000D1">
        <w:rPr>
          <w:rFonts w:eastAsia="Calibri" w:cs="Times New Roman"/>
        </w:rPr>
        <w:t>distributive share of the gross receipts in the denominator along with A’s total sales in calculating its business activity ratio.</w:t>
      </w:r>
    </w:p>
    <w:p w14:paraId="7231E5F2" w14:textId="77777777" w:rsidR="000000D1" w:rsidRPr="000000D1" w:rsidRDefault="000000D1" w:rsidP="000000D1">
      <w:pPr>
        <w:ind w:left="1440"/>
        <w:contextualSpacing/>
        <w:rPr>
          <w:rFonts w:eastAsia="Calibri" w:cs="Times New Roman"/>
        </w:rPr>
      </w:pPr>
    </w:p>
    <w:p w14:paraId="7F4F5EEF" w14:textId="77777777" w:rsidR="000000D1" w:rsidRPr="000000D1" w:rsidRDefault="000000D1" w:rsidP="000000D1">
      <w:pPr>
        <w:ind w:left="1440"/>
        <w:contextualSpacing/>
        <w:rPr>
          <w:rFonts w:eastAsia="Calibri" w:cs="Times New Roman"/>
        </w:rPr>
      </w:pPr>
      <w:r w:rsidRPr="000000D1">
        <w:rPr>
          <w:rFonts w:eastAsia="Calibri" w:cs="Times New Roman"/>
        </w:rPr>
        <w:t>EXAMPLE 2: B, a corporation with a commercial domicile in State X, has no physical presence in the state of Iowa. B’s only contact with Iowa is B’s interest in a limited partnership whose business is conducted within and without Iowa. Ten percent of the limited partnership’s gross receipts are derived from the sale of tangible personal property to Iowa purchasers and 90 percent are derived from sales and deliveries to purchasers outside of Iowa. B will include 10 percent of its distributive share of the</w:t>
      </w:r>
    </w:p>
    <w:p w14:paraId="22F9F7EE" w14:textId="77777777" w:rsidR="000000D1" w:rsidRPr="000000D1" w:rsidRDefault="000000D1" w:rsidP="000000D1">
      <w:pPr>
        <w:ind w:left="1440"/>
        <w:contextualSpacing/>
        <w:rPr>
          <w:rFonts w:eastAsia="Calibri" w:cs="Times New Roman"/>
        </w:rPr>
      </w:pPr>
      <w:r w:rsidRPr="000000D1">
        <w:rPr>
          <w:rFonts w:eastAsia="Calibri" w:cs="Times New Roman"/>
        </w:rPr>
        <w:t>gross receipts of the partnership in the numerator in calculating its business activity ratio. B will include 100 percent of its distributive share of the gross receipts in the denominator along with B’s total sales in calculating its business activity ratio.</w:t>
      </w:r>
    </w:p>
    <w:p w14:paraId="6AA917BC" w14:textId="77777777" w:rsidR="000000D1" w:rsidRPr="000000D1" w:rsidRDefault="000000D1" w:rsidP="000000D1">
      <w:pPr>
        <w:ind w:left="720"/>
        <w:contextualSpacing/>
        <w:rPr>
          <w:rFonts w:eastAsia="Calibri" w:cs="Times New Roman"/>
        </w:rPr>
      </w:pPr>
    </w:p>
    <w:p w14:paraId="740082ED" w14:textId="77777777" w:rsidR="000000D1" w:rsidRPr="000000D1" w:rsidRDefault="000000D1" w:rsidP="000000D1">
      <w:pPr>
        <w:ind w:left="720"/>
        <w:contextualSpacing/>
        <w:rPr>
          <w:rFonts w:eastAsia="Calibri" w:cs="Times New Roman"/>
        </w:rPr>
      </w:pPr>
      <w:r w:rsidRPr="000000D1">
        <w:rPr>
          <w:rFonts w:eastAsia="Calibri" w:cs="Times New Roman"/>
        </w:rPr>
        <w:t xml:space="preserve">Iowa Admin. Code r. 701-302.12 </w:t>
      </w:r>
    </w:p>
    <w:p w14:paraId="52ABB30F" w14:textId="77777777" w:rsidR="000000D1" w:rsidRPr="000000D1" w:rsidRDefault="000000D1" w:rsidP="000000D1">
      <w:pPr>
        <w:contextualSpacing/>
        <w:rPr>
          <w:rFonts w:eastAsia="Calibri" w:cs="Times New Roman"/>
        </w:rPr>
      </w:pPr>
    </w:p>
    <w:p w14:paraId="2001351F" w14:textId="77777777" w:rsidR="000000D1" w:rsidRPr="000000D1" w:rsidRDefault="000000D1" w:rsidP="000000D1">
      <w:pPr>
        <w:ind w:left="1440"/>
        <w:rPr>
          <w:rFonts w:eastAsia="Calibri" w:cs="Times New Roman"/>
        </w:rPr>
      </w:pPr>
      <w:r w:rsidRPr="000000D1">
        <w:rPr>
          <w:rFonts w:eastAsia="Calibri" w:cs="Times New Roman"/>
        </w:rPr>
        <w:t>Residents engaged in a partnership or limited liability company, even if located or doing business outside the state of Iowa, are taxable upon their distributive share of net income of such partnership or limited liability company, whether distributed or not, and are required to include such distributive share in their return. A nonresident individual who is a member of a partnership or limited liability company doing business in Iowa is taxable on that portion of net income which is applicable to the Iowa business activity whether distributed or not. See 701—Chapter 401.</w:t>
      </w:r>
    </w:p>
    <w:p w14:paraId="695FA49A" w14:textId="77777777" w:rsidR="000000D1" w:rsidRPr="000000D1" w:rsidRDefault="000000D1" w:rsidP="000000D1">
      <w:pPr>
        <w:ind w:left="720"/>
        <w:contextualSpacing/>
        <w:rPr>
          <w:rFonts w:eastAsia="Calibri" w:cs="Times New Roman"/>
          <w:i/>
          <w:iCs/>
        </w:rPr>
      </w:pPr>
      <w:r w:rsidRPr="000000D1">
        <w:rPr>
          <w:rFonts w:eastAsia="Calibri" w:cs="Times New Roman"/>
        </w:rPr>
        <w:t xml:space="preserve">Iowa Admin. Code r. 701-302.16(4)(a) </w:t>
      </w:r>
    </w:p>
    <w:p w14:paraId="153A8695" w14:textId="77777777" w:rsidR="000000D1" w:rsidRPr="000000D1" w:rsidRDefault="000000D1" w:rsidP="000000D1">
      <w:pPr>
        <w:contextualSpacing/>
        <w:rPr>
          <w:rFonts w:eastAsia="Calibri" w:cs="Times New Roman"/>
        </w:rPr>
      </w:pPr>
    </w:p>
    <w:p w14:paraId="0149C56B" w14:textId="77777777" w:rsidR="000000D1" w:rsidRPr="000000D1" w:rsidRDefault="000000D1" w:rsidP="000000D1">
      <w:pPr>
        <w:ind w:left="1440"/>
        <w:rPr>
          <w:rFonts w:eastAsia="Calibri" w:cs="Times New Roman"/>
        </w:rPr>
      </w:pPr>
      <w:r w:rsidRPr="000000D1">
        <w:rPr>
          <w:rFonts w:eastAsia="Calibri" w:cs="Times New Roman"/>
        </w:rPr>
        <w:lastRenderedPageBreak/>
        <w:t>If a nonresident, or a partnership or trust with a nonresident member, transacts business both within and without the state, the net income must be so apportioned as to allocate to Iowa a portion of the income on a fair and equitable basis, in accordance with approved methods of accounting.</w:t>
      </w:r>
    </w:p>
    <w:p w14:paraId="062751B2" w14:textId="77777777" w:rsidR="000000D1" w:rsidRPr="000000D1" w:rsidRDefault="000000D1" w:rsidP="000000D1">
      <w:pPr>
        <w:ind w:left="720"/>
        <w:contextualSpacing/>
        <w:rPr>
          <w:rFonts w:eastAsia="Calibri" w:cs="Times New Roman"/>
          <w:i/>
          <w:iCs/>
        </w:rPr>
      </w:pPr>
      <w:r w:rsidRPr="000000D1">
        <w:rPr>
          <w:rFonts w:eastAsia="Calibri" w:cs="Times New Roman"/>
        </w:rPr>
        <w:t xml:space="preserve">Iowa Admin. Code r. 701-302.16(6) </w:t>
      </w:r>
    </w:p>
    <w:p w14:paraId="2D75D981" w14:textId="77777777" w:rsidR="000000D1" w:rsidRPr="000000D1" w:rsidRDefault="000000D1" w:rsidP="000000D1">
      <w:pPr>
        <w:contextualSpacing/>
        <w:rPr>
          <w:rFonts w:eastAsia="Calibri" w:cs="Times New Roman"/>
        </w:rPr>
      </w:pPr>
    </w:p>
    <w:p w14:paraId="1D2605E9" w14:textId="77777777" w:rsidR="000000D1" w:rsidRPr="000000D1" w:rsidRDefault="000000D1" w:rsidP="000000D1">
      <w:pPr>
        <w:ind w:left="1440"/>
        <w:contextualSpacing/>
        <w:rPr>
          <w:rFonts w:eastAsia="Calibri" w:cs="Times New Roman"/>
        </w:rPr>
      </w:pPr>
      <w:r w:rsidRPr="000000D1">
        <w:rPr>
          <w:rFonts w:eastAsia="Calibri" w:cs="Times New Roman"/>
        </w:rPr>
        <w:t>When a partnership derives income from sources within this state as determined in 302.16(3) through 302.16(5), the nonresident members of the partnership are taxable only upon that portion of their distributive share of the partnership income which is derived from sources within this state.</w:t>
      </w:r>
    </w:p>
    <w:p w14:paraId="56BD803E" w14:textId="77777777" w:rsidR="000000D1" w:rsidRPr="000000D1" w:rsidRDefault="000000D1" w:rsidP="000000D1">
      <w:pPr>
        <w:ind w:left="720"/>
        <w:contextualSpacing/>
        <w:rPr>
          <w:rFonts w:eastAsia="Calibri" w:cs="Times New Roman"/>
        </w:rPr>
      </w:pPr>
    </w:p>
    <w:p w14:paraId="3EED9C62" w14:textId="77777777" w:rsidR="000000D1" w:rsidRPr="000000D1" w:rsidRDefault="000000D1" w:rsidP="000000D1">
      <w:pPr>
        <w:ind w:left="720"/>
        <w:contextualSpacing/>
        <w:rPr>
          <w:rFonts w:eastAsia="Calibri" w:cs="Times New Roman"/>
          <w:i/>
          <w:iCs/>
        </w:rPr>
      </w:pPr>
      <w:r w:rsidRPr="000000D1">
        <w:rPr>
          <w:rFonts w:eastAsia="Calibri" w:cs="Times New Roman"/>
        </w:rPr>
        <w:t xml:space="preserve">Iowa Admin. Code r. 701-302.16(9)(b) </w:t>
      </w:r>
    </w:p>
    <w:p w14:paraId="3C953345" w14:textId="77777777" w:rsidR="000000D1" w:rsidRPr="000000D1" w:rsidRDefault="000000D1" w:rsidP="000000D1">
      <w:pPr>
        <w:contextualSpacing/>
        <w:rPr>
          <w:rFonts w:eastAsia="Calibri" w:cs="Times New Roman"/>
        </w:rPr>
      </w:pPr>
    </w:p>
    <w:p w14:paraId="42DCA579" w14:textId="77777777" w:rsidR="000000D1" w:rsidRPr="000000D1" w:rsidRDefault="000000D1" w:rsidP="000000D1">
      <w:pPr>
        <w:ind w:left="1440"/>
        <w:contextualSpacing/>
        <w:rPr>
          <w:rFonts w:eastAsia="Calibri" w:cs="Times New Roman"/>
        </w:rPr>
      </w:pPr>
      <w:r w:rsidRPr="000000D1">
        <w:rPr>
          <w:rFonts w:eastAsia="Calibri" w:cs="Times New Roman"/>
        </w:rPr>
        <w:t>When a nonresident of Iowa sells or exchanges the individual’s interest in a partnership, the nonresident is actually selling an intangible since the partnership can continue without the nonresident partner and the assets used by the partnership are legally owned by the partnership and an individual retains only an equitable interest in the assets of the partnership by virtue of the partner’s ownership interest in the partnership. However, because of the unique attributes of partnerships, the owner’s interest in a partnership is considered to be localized or “sourced” at the situs of the partnership’s activities as a matter of law. Arizona Tractor Co. v. Arizona State Tax Com’n., 566 P.2d 1348, 1350 (Ariz. App. 1997); Iowa Code chapter 486 (unique attributes of a partnership defined). Therefore, if a partnership conducts all of its business in Iowa, 100 percent of the gain on the sale or exchange of a partnership interest would be attributable to Iowa. On the other hand, if the partnership conducts 100 percent of its business outside of Iowa, none of the gain would be attributable to Iowa for purposes of the Iowa income tax. In the situation where a partnership conducts business both in and out of Iowa, the capital gain from the sale or exchange of an interest in the partnership would be allocated or apportioned in and out of Iowa based upon the partnership’s activities in and out of Iowa in the year of the sale or exchange.</w:t>
      </w:r>
    </w:p>
    <w:p w14:paraId="25C4F0C5" w14:textId="77777777" w:rsidR="000000D1" w:rsidRPr="000000D1" w:rsidRDefault="000000D1" w:rsidP="000000D1">
      <w:pPr>
        <w:pBdr>
          <w:bottom w:val="single" w:sz="4" w:space="0" w:color="auto"/>
        </w:pBdr>
        <w:rPr>
          <w:rFonts w:eastAsia="Calibri" w:cs="Times New Roman"/>
        </w:rPr>
      </w:pPr>
    </w:p>
    <w:p w14:paraId="0F5578EE"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13" w:name="_Toc198480779"/>
      <w:r w:rsidRPr="000000D1">
        <w:rPr>
          <w:rFonts w:ascii="Californian FB" w:eastAsia="Times New Roman" w:hAnsi="Californian FB" w:cs="Times New Roman"/>
          <w:b/>
          <w:color w:val="851C00"/>
          <w:sz w:val="24"/>
          <w:szCs w:val="24"/>
          <w:u w:val="single"/>
        </w:rPr>
        <w:t>Kansas</w:t>
      </w:r>
      <w:bookmarkEnd w:id="113"/>
    </w:p>
    <w:p w14:paraId="5D0D0140" w14:textId="77777777" w:rsidR="000000D1" w:rsidRPr="000000D1" w:rsidRDefault="000000D1" w:rsidP="000000D1">
      <w:pPr>
        <w:ind w:firstLine="720"/>
        <w:rPr>
          <w:rFonts w:eastAsia="Calibri" w:cs="Times New Roman"/>
          <w:i/>
          <w:iCs/>
        </w:rPr>
      </w:pPr>
      <w:r w:rsidRPr="000000D1">
        <w:rPr>
          <w:rFonts w:eastAsia="Calibri" w:cs="Times New Roman"/>
        </w:rPr>
        <w:t>Kan. Stat. Ann. § 79-32, 133</w:t>
      </w:r>
    </w:p>
    <w:p w14:paraId="56F5D654" w14:textId="77777777" w:rsidR="000000D1" w:rsidRPr="000000D1" w:rsidRDefault="000000D1" w:rsidP="000000D1">
      <w:pPr>
        <w:ind w:left="1440"/>
        <w:rPr>
          <w:rFonts w:eastAsia="Calibri" w:cs="Times New Roman"/>
        </w:rPr>
      </w:pPr>
      <w:r w:rsidRPr="000000D1">
        <w:rPr>
          <w:rFonts w:eastAsia="Calibri" w:cs="Times New Roman"/>
        </w:rPr>
        <w:t>For purposes of this act, a partner's distributive share of partnership income or of any item of income, gain, loss or deduction shall be determined in accordance with his or her distributive share of such item or items as determined for federal income tax purposes: Provided, however, That where a partner's distributive share of an item of partnership income, gain, loss, deduction, or credit is determined for federal income tax purposes by special provision of the partnership agreement with respect to such item, and where the principal purpose of such provision is the avoidance or evasion of tax under this act, the partner's distributive share of such item, and any modification required with respect thereto, shall be determined as if the partnership agreement made no special provision with respect to such item.</w:t>
      </w:r>
    </w:p>
    <w:p w14:paraId="302C4BCE" w14:textId="77777777" w:rsidR="000000D1" w:rsidRPr="000000D1" w:rsidRDefault="000000D1" w:rsidP="000000D1">
      <w:pPr>
        <w:ind w:left="720"/>
        <w:contextualSpacing/>
        <w:rPr>
          <w:rFonts w:eastAsia="Calibri" w:cs="Times New Roman"/>
          <w:i/>
          <w:iCs/>
        </w:rPr>
      </w:pPr>
      <w:r w:rsidRPr="000000D1">
        <w:rPr>
          <w:rFonts w:eastAsia="Calibri" w:cs="Times New Roman"/>
        </w:rPr>
        <w:t xml:space="preserve">Kan. Stat. Ann. § 79-3272 </w:t>
      </w:r>
    </w:p>
    <w:p w14:paraId="2E64D7E8" w14:textId="77777777" w:rsidR="000000D1" w:rsidRPr="000000D1" w:rsidRDefault="000000D1" w:rsidP="000000D1">
      <w:pPr>
        <w:contextualSpacing/>
        <w:rPr>
          <w:rFonts w:eastAsia="Calibri" w:cs="Times New Roman"/>
        </w:rPr>
      </w:pPr>
    </w:p>
    <w:p w14:paraId="6DBBB05A" w14:textId="77777777" w:rsidR="000000D1" w:rsidRPr="000000D1" w:rsidRDefault="000000D1" w:rsidP="000000D1">
      <w:pPr>
        <w:ind w:left="1440"/>
        <w:rPr>
          <w:rFonts w:eastAsia="Calibri" w:cs="Times New Roman"/>
        </w:rPr>
      </w:pPr>
      <w:r w:rsidRPr="000000D1">
        <w:rPr>
          <w:rFonts w:eastAsia="Calibri" w:cs="Times New Roman"/>
        </w:rPr>
        <w:t>Any taxpayer having income from business activity which is taxable both within and without this state, other than activity as a financial organization or the rendering of purely personal services by an individual, shall allocate and apportion net income as provided in this act.</w:t>
      </w:r>
    </w:p>
    <w:p w14:paraId="54695B10" w14:textId="77777777" w:rsidR="000000D1" w:rsidRPr="000000D1" w:rsidRDefault="000000D1" w:rsidP="000000D1">
      <w:pPr>
        <w:ind w:firstLine="720"/>
        <w:rPr>
          <w:rFonts w:eastAsia="Calibri" w:cs="Times New Roman"/>
        </w:rPr>
      </w:pPr>
      <w:r w:rsidRPr="000000D1">
        <w:rPr>
          <w:rFonts w:eastAsia="Calibri" w:cs="Times New Roman"/>
        </w:rPr>
        <w:t xml:space="preserve">Kan. Admin. Regs. § 92-12-83 </w:t>
      </w:r>
    </w:p>
    <w:p w14:paraId="68D76414" w14:textId="77777777" w:rsidR="000000D1" w:rsidRPr="000000D1" w:rsidRDefault="000000D1" w:rsidP="000000D1">
      <w:pPr>
        <w:ind w:left="1440"/>
        <w:rPr>
          <w:rFonts w:eastAsia="Calibri" w:cs="Times New Roman"/>
        </w:rPr>
      </w:pPr>
      <w:r w:rsidRPr="000000D1">
        <w:rPr>
          <w:rFonts w:eastAsia="Calibri" w:cs="Times New Roman"/>
        </w:rPr>
        <w:lastRenderedPageBreak/>
        <w:t>All business income of each trade or business of the taxpayer shall be apportioned to this state by use of the apportionment formula set forth in K.S.A. 79-3279 and 79-4301, article IV.9. The elements of the apportionment formula are the property factor, the payroll factor and the sales factor of the trade or business of the taxpayer.</w:t>
      </w:r>
    </w:p>
    <w:p w14:paraId="2A27495B" w14:textId="77777777" w:rsidR="000000D1" w:rsidRPr="000000D1" w:rsidRDefault="000000D1" w:rsidP="000000D1">
      <w:pPr>
        <w:ind w:left="720"/>
        <w:contextualSpacing/>
        <w:rPr>
          <w:rFonts w:eastAsia="Calibri" w:cs="Times New Roman"/>
        </w:rPr>
      </w:pPr>
      <w:r w:rsidRPr="000000D1">
        <w:rPr>
          <w:rFonts w:eastAsia="Calibri" w:cs="Times New Roman"/>
        </w:rPr>
        <w:t xml:space="preserve">Kansas Department of Revenue Website </w:t>
      </w:r>
    </w:p>
    <w:p w14:paraId="4035E5BA" w14:textId="77777777" w:rsidR="000000D1" w:rsidRPr="000000D1" w:rsidRDefault="000000D1" w:rsidP="000000D1">
      <w:pPr>
        <w:contextualSpacing/>
        <w:rPr>
          <w:rFonts w:eastAsia="Calibri" w:cs="Times New Roman"/>
        </w:rPr>
      </w:pPr>
    </w:p>
    <w:p w14:paraId="6EBAD6DA" w14:textId="77777777" w:rsidR="000000D1" w:rsidRPr="000000D1" w:rsidRDefault="000000D1" w:rsidP="000000D1">
      <w:pPr>
        <w:ind w:left="1440"/>
        <w:rPr>
          <w:rFonts w:eastAsia="Calibri" w:cs="Times New Roman"/>
        </w:rPr>
      </w:pPr>
      <w:r w:rsidRPr="000000D1">
        <w:rPr>
          <w:rFonts w:eastAsia="Calibri" w:cs="Times New Roman"/>
        </w:rPr>
        <w:t>Information given to the partners receiving income should also include the partner’s share of the Kansas and everywhere property, payroll and sales factors of the partnership making the distribution. This information is necessary so the partner receiving the distribution can include those factors with their Kansas and everywhere property, payroll and sales factors in order to properly apportion income to Kansas in their returns when filed.</w:t>
      </w:r>
    </w:p>
    <w:p w14:paraId="10D15193" w14:textId="77777777" w:rsidR="000000D1" w:rsidRPr="000000D1" w:rsidRDefault="000000D1" w:rsidP="000000D1">
      <w:pPr>
        <w:ind w:firstLine="720"/>
        <w:rPr>
          <w:rFonts w:eastAsia="Calibri" w:cs="Times New Roman"/>
        </w:rPr>
      </w:pPr>
      <w:r w:rsidRPr="000000D1">
        <w:rPr>
          <w:rFonts w:eastAsia="Calibri" w:cs="Times New Roman"/>
        </w:rPr>
        <w:t xml:space="preserve">Kansas Department of Revenue Website and Instructions to Form K-120S </w:t>
      </w:r>
    </w:p>
    <w:p w14:paraId="493328ED" w14:textId="77777777" w:rsidR="000000D1" w:rsidRPr="000000D1" w:rsidRDefault="000000D1" w:rsidP="000000D1">
      <w:pPr>
        <w:ind w:left="1440"/>
        <w:rPr>
          <w:rFonts w:eastAsia="Calibri" w:cs="Times New Roman"/>
        </w:rPr>
      </w:pPr>
      <w:r w:rsidRPr="000000D1">
        <w:rPr>
          <w:rFonts w:eastAsia="Calibri" w:cs="Times New Roman"/>
        </w:rPr>
        <w:t>Business income is apportioned to Kansas generally using the average of the three factors of property, payroll, and sales. For instance, business income received from another partnership is included in your apportionable income and your share of that partnership is multiplied times the property, payroll and sales both in Kansas and everywhere of that partnership to add to your entity’s property, payroll and sales both in Kansas and everywhere. The apportionable income is then multiplied by the resulting factor. Any deviation from using the three factor method requires alternative qualifications. All the apportionment methods are listed in this section.</w:t>
      </w:r>
    </w:p>
    <w:p w14:paraId="4AB5F299" w14:textId="77777777" w:rsidR="000000D1" w:rsidRPr="000000D1" w:rsidRDefault="000000D1" w:rsidP="000000D1">
      <w:pPr>
        <w:ind w:left="1440"/>
        <w:rPr>
          <w:rFonts w:eastAsia="Calibri" w:cs="Times New Roman"/>
        </w:rPr>
      </w:pPr>
      <w:r w:rsidRPr="000000D1">
        <w:rPr>
          <w:rFonts w:eastAsia="Calibri" w:cs="Times New Roman"/>
        </w:rPr>
        <w:t>K.S.A. 79-3279 provides that the use of the three-factor method formula of property, payroll, and sales be used to apportion income to Kansas. Direct or segregated accounting methods will not be allowed unless the taxpayer has petitioned the Secretary of Revenue for use of direct or segregated accounting, and the petition is approved. Direct or segregated accounting will not be allowed only because that is the method used in another state or because partnership income is received from other entity.</w:t>
      </w:r>
    </w:p>
    <w:p w14:paraId="4128C401" w14:textId="77777777" w:rsidR="000000D1" w:rsidRPr="000000D1" w:rsidRDefault="000000D1" w:rsidP="000000D1">
      <w:pPr>
        <w:pBdr>
          <w:bottom w:val="single" w:sz="4" w:space="0" w:color="auto"/>
        </w:pBdr>
        <w:rPr>
          <w:rFonts w:eastAsia="Calibri" w:cs="Times New Roman"/>
        </w:rPr>
      </w:pPr>
    </w:p>
    <w:p w14:paraId="53F42DD5"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14" w:name="_Toc198480780"/>
      <w:r w:rsidRPr="000000D1">
        <w:rPr>
          <w:rFonts w:ascii="Californian FB" w:eastAsia="Times New Roman" w:hAnsi="Californian FB" w:cs="Times New Roman"/>
          <w:b/>
          <w:color w:val="851C00"/>
          <w:sz w:val="24"/>
          <w:szCs w:val="24"/>
          <w:u w:val="single"/>
        </w:rPr>
        <w:t>Kentucky</w:t>
      </w:r>
      <w:bookmarkEnd w:id="114"/>
      <w:r w:rsidRPr="000000D1">
        <w:rPr>
          <w:rFonts w:ascii="Californian FB" w:eastAsia="Times New Roman" w:hAnsi="Californian FB" w:cs="Times New Roman"/>
          <w:b/>
          <w:color w:val="851C00"/>
          <w:sz w:val="24"/>
          <w:szCs w:val="24"/>
          <w:u w:val="single"/>
        </w:rPr>
        <w:t xml:space="preserve"> </w:t>
      </w:r>
    </w:p>
    <w:p w14:paraId="598F2B8E" w14:textId="77777777" w:rsidR="000000D1" w:rsidRPr="000000D1" w:rsidRDefault="000000D1" w:rsidP="000000D1">
      <w:pPr>
        <w:ind w:left="720"/>
        <w:contextualSpacing/>
        <w:rPr>
          <w:rFonts w:eastAsia="Calibri" w:cs="Times New Roman"/>
        </w:rPr>
      </w:pPr>
      <w:r w:rsidRPr="000000D1">
        <w:rPr>
          <w:rFonts w:eastAsia="Calibri" w:cs="Times New Roman"/>
        </w:rPr>
        <w:t xml:space="preserve">Ky. Rev. Stat. Ann. § 141.206 </w:t>
      </w:r>
    </w:p>
    <w:p w14:paraId="6486C4FE" w14:textId="77777777" w:rsidR="000000D1" w:rsidRPr="000000D1" w:rsidRDefault="000000D1" w:rsidP="000000D1">
      <w:pPr>
        <w:ind w:left="720"/>
        <w:contextualSpacing/>
        <w:rPr>
          <w:rFonts w:eastAsia="Calibri" w:cs="Times New Roman"/>
        </w:rPr>
      </w:pPr>
    </w:p>
    <w:p w14:paraId="21403F62" w14:textId="77777777" w:rsidR="000000D1" w:rsidRPr="000000D1" w:rsidRDefault="000000D1" w:rsidP="000000D1">
      <w:pPr>
        <w:ind w:left="1800"/>
        <w:rPr>
          <w:rFonts w:eastAsia="Calibri" w:cs="Times New Roman"/>
        </w:rPr>
      </w:pPr>
      <w:r w:rsidRPr="000000D1">
        <w:rPr>
          <w:rFonts w:eastAsia="Calibri" w:cs="Times New Roman"/>
        </w:rPr>
        <w:t>(8) In determining the tax under this chapter, a nonresident individual, estate, or trust that is a partner, member, or shareholder in a pass-through entity required to file a return under subsection (1) of this section shall take into account: (a) 1. If the pass-through entity is doing business only in this state, the partner's, member's, or shareholder's total distributive share of the passthrough entity's items of income, loss, and deduction; or 2. If the pass-through entity is doing business both within and without this state, the partner's, member's, or shareholder's distributive share of the pass-through entity's items of income, loss, and deduction multiplied by the apportionment fraction of the pass-through entity as prescribed in subsection (11) of this section; and (b) The partner's, member's, or shareholder's total distributive share of credits of the pass-through entity.</w:t>
      </w:r>
    </w:p>
    <w:p w14:paraId="38CC56C9" w14:textId="77777777" w:rsidR="000000D1" w:rsidRPr="000000D1" w:rsidRDefault="000000D1" w:rsidP="000000D1">
      <w:pPr>
        <w:ind w:left="1800"/>
        <w:rPr>
          <w:rFonts w:eastAsia="Calibri" w:cs="Times New Roman"/>
        </w:rPr>
      </w:pPr>
      <w:r w:rsidRPr="000000D1">
        <w:rPr>
          <w:rFonts w:eastAsia="Calibri" w:cs="Times New Roman"/>
        </w:rPr>
        <w:t xml:space="preserve">(9) A corporation that is subject to tax under KRS 141.040 and is a partner or member in a pass-through entity shall take into account the corporation's distributive share of the pass-through entity's items of income, loss, and deduction and: </w:t>
      </w:r>
    </w:p>
    <w:p w14:paraId="122A421A" w14:textId="77777777" w:rsidR="000000D1" w:rsidRPr="000000D1" w:rsidRDefault="000000D1" w:rsidP="000000D1">
      <w:pPr>
        <w:ind w:left="1800"/>
        <w:rPr>
          <w:rFonts w:eastAsia="Calibri" w:cs="Times New Roman"/>
        </w:rPr>
      </w:pPr>
      <w:r w:rsidRPr="000000D1">
        <w:rPr>
          <w:rFonts w:eastAsia="Calibri" w:cs="Times New Roman"/>
        </w:rPr>
        <w:t xml:space="preserve">(a) </w:t>
      </w:r>
    </w:p>
    <w:p w14:paraId="7A369431" w14:textId="77777777" w:rsidR="000000D1" w:rsidRPr="000000D1" w:rsidRDefault="000000D1" w:rsidP="000000D1">
      <w:pPr>
        <w:ind w:left="1800"/>
        <w:rPr>
          <w:rFonts w:eastAsia="Calibri" w:cs="Times New Roman"/>
        </w:rPr>
      </w:pPr>
      <w:r w:rsidRPr="000000D1">
        <w:rPr>
          <w:rFonts w:eastAsia="Calibri" w:cs="Times New Roman"/>
        </w:rPr>
        <w:t xml:space="preserve">1. For taxable years beginning on or after January 1, 2007, but prior to January 1, 2018, shall include the proportionate share of the sales, property, and payroll of </w:t>
      </w:r>
      <w:r w:rsidRPr="000000D1">
        <w:rPr>
          <w:rFonts w:eastAsia="Calibri" w:cs="Times New Roman"/>
        </w:rPr>
        <w:lastRenderedPageBreak/>
        <w:t xml:space="preserve">the limited liability pass-through entity or general partnership in computing its own apportionment factor; and </w:t>
      </w:r>
    </w:p>
    <w:p w14:paraId="1AE01736" w14:textId="77777777" w:rsidR="000000D1" w:rsidRPr="000000D1" w:rsidRDefault="000000D1" w:rsidP="000000D1">
      <w:pPr>
        <w:ind w:left="1800"/>
        <w:contextualSpacing/>
        <w:rPr>
          <w:rFonts w:eastAsia="Calibri" w:cs="Times New Roman"/>
        </w:rPr>
      </w:pPr>
      <w:r w:rsidRPr="000000D1">
        <w:rPr>
          <w:rFonts w:eastAsia="Calibri" w:cs="Times New Roman"/>
        </w:rPr>
        <w:t xml:space="preserve">2. For taxable years beginning on or after January 1, 2018, shall include the proportionate share of the sales of the limited liability pass-through entity or general partnership in computing its own apportionment factor; and </w:t>
      </w:r>
    </w:p>
    <w:p w14:paraId="21E72C64" w14:textId="77777777" w:rsidR="000000D1" w:rsidRPr="000000D1" w:rsidRDefault="000000D1" w:rsidP="000000D1">
      <w:pPr>
        <w:ind w:left="1800"/>
        <w:contextualSpacing/>
        <w:rPr>
          <w:rFonts w:eastAsia="Calibri" w:cs="Times New Roman"/>
        </w:rPr>
      </w:pPr>
    </w:p>
    <w:p w14:paraId="3C9EAD87" w14:textId="77777777" w:rsidR="000000D1" w:rsidRPr="000000D1" w:rsidRDefault="000000D1" w:rsidP="000000D1">
      <w:pPr>
        <w:ind w:left="1800"/>
        <w:contextualSpacing/>
        <w:rPr>
          <w:rFonts w:eastAsia="Calibri" w:cs="Times New Roman"/>
        </w:rPr>
      </w:pPr>
      <w:r w:rsidRPr="000000D1">
        <w:rPr>
          <w:rFonts w:eastAsia="Calibri" w:cs="Times New Roman"/>
        </w:rPr>
        <w:t xml:space="preserve">(b) Credits from the partnership. </w:t>
      </w:r>
    </w:p>
    <w:p w14:paraId="2E73EC89" w14:textId="77777777" w:rsidR="000000D1" w:rsidRPr="000000D1" w:rsidRDefault="000000D1" w:rsidP="000000D1">
      <w:pPr>
        <w:ind w:left="1800"/>
        <w:contextualSpacing/>
        <w:rPr>
          <w:rFonts w:eastAsia="Calibri" w:cs="Times New Roman"/>
        </w:rPr>
      </w:pPr>
    </w:p>
    <w:p w14:paraId="30460B1A" w14:textId="77777777" w:rsidR="000000D1" w:rsidRPr="000000D1" w:rsidRDefault="000000D1" w:rsidP="000000D1">
      <w:pPr>
        <w:ind w:left="1800"/>
        <w:contextualSpacing/>
        <w:rPr>
          <w:rFonts w:eastAsia="Calibri" w:cs="Times New Roman"/>
        </w:rPr>
      </w:pPr>
      <w:r w:rsidRPr="000000D1">
        <w:rPr>
          <w:rFonts w:eastAsia="Calibri" w:cs="Times New Roman"/>
        </w:rPr>
        <w:t xml:space="preserve">(10) </w:t>
      </w:r>
    </w:p>
    <w:p w14:paraId="0A24BB4A" w14:textId="77777777" w:rsidR="000000D1" w:rsidRPr="000000D1" w:rsidRDefault="000000D1" w:rsidP="000000D1">
      <w:pPr>
        <w:ind w:left="1800"/>
        <w:contextualSpacing/>
        <w:rPr>
          <w:rFonts w:eastAsia="Calibri" w:cs="Times New Roman"/>
        </w:rPr>
      </w:pPr>
    </w:p>
    <w:p w14:paraId="3E31CD5D" w14:textId="77777777" w:rsidR="000000D1" w:rsidRPr="000000D1" w:rsidRDefault="000000D1" w:rsidP="000000D1">
      <w:pPr>
        <w:ind w:left="1800"/>
        <w:contextualSpacing/>
        <w:rPr>
          <w:rFonts w:eastAsia="Calibri" w:cs="Times New Roman"/>
        </w:rPr>
      </w:pPr>
      <w:r w:rsidRPr="000000D1">
        <w:rPr>
          <w:rFonts w:eastAsia="Calibri" w:cs="Times New Roman"/>
        </w:rPr>
        <w:t xml:space="preserve">(a) If a pass-through entity is doing business both within and without this state, the pass-through entity shall compute and furnish to each partner, member, or shareholder the numerator and denominator of each factor of the apportionment fraction determined in accordance with subsection (11) of this section. </w:t>
      </w:r>
    </w:p>
    <w:p w14:paraId="17A04D91" w14:textId="77777777" w:rsidR="000000D1" w:rsidRPr="000000D1" w:rsidRDefault="000000D1" w:rsidP="000000D1">
      <w:pPr>
        <w:ind w:left="1800"/>
        <w:contextualSpacing/>
        <w:rPr>
          <w:rFonts w:eastAsia="Calibri" w:cs="Times New Roman"/>
        </w:rPr>
      </w:pPr>
    </w:p>
    <w:p w14:paraId="7BCC72E9" w14:textId="77777777" w:rsidR="000000D1" w:rsidRPr="000000D1" w:rsidRDefault="000000D1" w:rsidP="000000D1">
      <w:pPr>
        <w:ind w:left="1800"/>
        <w:contextualSpacing/>
        <w:rPr>
          <w:rFonts w:eastAsia="Calibri" w:cs="Times New Roman"/>
        </w:rPr>
      </w:pPr>
      <w:r w:rsidRPr="000000D1">
        <w:rPr>
          <w:rFonts w:eastAsia="Calibri" w:cs="Times New Roman"/>
        </w:rPr>
        <w:t xml:space="preserve">(b) For purposes of determining an apportionment fraction under paragraph (a) of this subsection, if the pass-through entity is: 1. Doing business both within and without this state; and 2. A partner or member in another pass-through entity;  then the pass-through entity shall be deemed to own the pro rata share of the property owned or leased by the other pass-through entity, and shall also include its pro rata share of the other pass-through entity's payroll and sales. </w:t>
      </w:r>
    </w:p>
    <w:p w14:paraId="6D616089" w14:textId="77777777" w:rsidR="000000D1" w:rsidRPr="000000D1" w:rsidRDefault="000000D1" w:rsidP="000000D1">
      <w:pPr>
        <w:ind w:left="1800"/>
        <w:contextualSpacing/>
        <w:rPr>
          <w:rFonts w:eastAsia="Calibri" w:cs="Times New Roman"/>
        </w:rPr>
      </w:pPr>
    </w:p>
    <w:p w14:paraId="4BC14667" w14:textId="77777777" w:rsidR="000000D1" w:rsidRPr="000000D1" w:rsidRDefault="000000D1" w:rsidP="000000D1">
      <w:pPr>
        <w:ind w:left="1800"/>
        <w:contextualSpacing/>
        <w:rPr>
          <w:rFonts w:eastAsia="Calibri" w:cs="Times New Roman"/>
        </w:rPr>
      </w:pPr>
      <w:r w:rsidRPr="000000D1">
        <w:rPr>
          <w:rFonts w:eastAsia="Calibri" w:cs="Times New Roman"/>
        </w:rPr>
        <w:t>(c) The phrases "a partner or member in another pass-through entity" and "doing business both within and without this state" shall extend to each level of multiple-tiered pass-through entities.</w:t>
      </w:r>
    </w:p>
    <w:p w14:paraId="50B6C724" w14:textId="77777777" w:rsidR="000000D1" w:rsidRPr="000000D1" w:rsidRDefault="000000D1" w:rsidP="000000D1">
      <w:pPr>
        <w:ind w:left="1800"/>
        <w:contextualSpacing/>
        <w:rPr>
          <w:rFonts w:eastAsia="Calibri" w:cs="Times New Roman"/>
        </w:rPr>
      </w:pPr>
    </w:p>
    <w:p w14:paraId="0F02953C" w14:textId="77777777" w:rsidR="000000D1" w:rsidRPr="000000D1" w:rsidRDefault="000000D1" w:rsidP="000000D1">
      <w:pPr>
        <w:ind w:left="1800"/>
        <w:contextualSpacing/>
        <w:rPr>
          <w:rFonts w:eastAsia="Calibri" w:cs="Times New Roman"/>
        </w:rPr>
      </w:pPr>
      <w:r w:rsidRPr="000000D1">
        <w:rPr>
          <w:rFonts w:eastAsia="Calibri" w:cs="Times New Roman"/>
        </w:rPr>
        <w:t xml:space="preserve"> (d) The attribution to the pass-through entity of the pro rata share of property, payroll and sales from its role as a partner or member in another pass-through entity will also apply when determining the pass-through entity's ultimate apportionment factor for property, payroll and sales as required under subsection (11) of this section. </w:t>
      </w:r>
    </w:p>
    <w:p w14:paraId="7123DA83" w14:textId="77777777" w:rsidR="000000D1" w:rsidRPr="000000D1" w:rsidRDefault="000000D1" w:rsidP="000000D1">
      <w:pPr>
        <w:ind w:left="1800"/>
        <w:contextualSpacing/>
        <w:rPr>
          <w:rFonts w:eastAsia="Calibri" w:cs="Times New Roman"/>
        </w:rPr>
      </w:pPr>
    </w:p>
    <w:p w14:paraId="0782CAE1" w14:textId="77777777" w:rsidR="000000D1" w:rsidRPr="000000D1" w:rsidRDefault="000000D1" w:rsidP="000000D1">
      <w:pPr>
        <w:ind w:left="1800"/>
        <w:contextualSpacing/>
        <w:rPr>
          <w:rFonts w:eastAsia="Calibri" w:cs="Times New Roman"/>
        </w:rPr>
      </w:pPr>
      <w:r w:rsidRPr="000000D1">
        <w:rPr>
          <w:rFonts w:eastAsia="Calibri" w:cs="Times New Roman"/>
        </w:rPr>
        <w:t xml:space="preserve">(11) </w:t>
      </w:r>
    </w:p>
    <w:p w14:paraId="3FADD3CF" w14:textId="77777777" w:rsidR="000000D1" w:rsidRPr="000000D1" w:rsidRDefault="000000D1" w:rsidP="000000D1">
      <w:pPr>
        <w:ind w:left="1800"/>
        <w:contextualSpacing/>
        <w:rPr>
          <w:rFonts w:eastAsia="Calibri" w:cs="Times New Roman"/>
        </w:rPr>
      </w:pPr>
    </w:p>
    <w:p w14:paraId="0AA37D46" w14:textId="77777777" w:rsidR="000000D1" w:rsidRPr="000000D1" w:rsidRDefault="000000D1" w:rsidP="000000D1">
      <w:pPr>
        <w:ind w:left="1800"/>
        <w:contextualSpacing/>
        <w:rPr>
          <w:rFonts w:eastAsia="Calibri" w:cs="Times New Roman"/>
        </w:rPr>
      </w:pPr>
      <w:r w:rsidRPr="000000D1">
        <w:rPr>
          <w:rFonts w:eastAsia="Calibri" w:cs="Times New Roman"/>
        </w:rPr>
        <w:t xml:space="preserve">(a) For taxable years beginning prior to January 1, 2018, a pass-through entity doing business within and without the state shall compute an apportionment fraction, the numerator of which is the property factor, representing twenty-five percent (25%) of the fraction, plus the payroll factor, representing twenty-five percent (25%) of the fraction, plus the sales factor, representing fifty percent (50%) of the fraction, with each factor determined in the same manner as provided in KRS 141.901, and the denominator of which is four (4), reduced by the number of factors, if any, having no denominator, provided that if the sales factor has no denominator, then the denominator shall be reduced by two (2). </w:t>
      </w:r>
    </w:p>
    <w:p w14:paraId="3D09AE70" w14:textId="77777777" w:rsidR="000000D1" w:rsidRPr="000000D1" w:rsidRDefault="000000D1" w:rsidP="000000D1">
      <w:pPr>
        <w:ind w:left="1800"/>
        <w:contextualSpacing/>
        <w:rPr>
          <w:rFonts w:eastAsia="Calibri" w:cs="Times New Roman"/>
        </w:rPr>
      </w:pPr>
    </w:p>
    <w:p w14:paraId="3775C785" w14:textId="77777777" w:rsidR="000000D1" w:rsidRPr="000000D1" w:rsidRDefault="000000D1" w:rsidP="000000D1">
      <w:pPr>
        <w:ind w:left="1800"/>
        <w:contextualSpacing/>
        <w:rPr>
          <w:rFonts w:eastAsia="Calibri" w:cs="Times New Roman"/>
        </w:rPr>
      </w:pPr>
      <w:r w:rsidRPr="000000D1">
        <w:rPr>
          <w:rFonts w:eastAsia="Calibri" w:cs="Times New Roman"/>
        </w:rPr>
        <w:t>(b) For taxable years beginning on or after January 1, 2018, a pass-through entity doing business within and without the state shall compute an apportionment fraction as provided in KRS 141.120.</w:t>
      </w:r>
    </w:p>
    <w:p w14:paraId="3C740213" w14:textId="77777777" w:rsidR="000000D1" w:rsidRPr="000000D1" w:rsidRDefault="000000D1" w:rsidP="000000D1">
      <w:pPr>
        <w:ind w:left="720"/>
        <w:contextualSpacing/>
        <w:rPr>
          <w:rFonts w:eastAsia="Calibri" w:cs="Times New Roman"/>
          <w:i/>
          <w:iCs/>
        </w:rPr>
      </w:pPr>
      <w:r w:rsidRPr="000000D1">
        <w:rPr>
          <w:rFonts w:eastAsia="Calibri" w:cs="Times New Roman"/>
        </w:rPr>
        <w:t xml:space="preserve"> Ky. Rev. Stat. Ann. § 141.121(6) </w:t>
      </w:r>
    </w:p>
    <w:p w14:paraId="498054B0" w14:textId="77777777" w:rsidR="000000D1" w:rsidRPr="000000D1" w:rsidRDefault="000000D1" w:rsidP="000000D1">
      <w:pPr>
        <w:ind w:left="720"/>
        <w:contextualSpacing/>
        <w:rPr>
          <w:rFonts w:eastAsia="Calibri" w:cs="Times New Roman"/>
        </w:rPr>
      </w:pPr>
      <w:r w:rsidRPr="000000D1">
        <w:rPr>
          <w:rFonts w:eastAsia="Calibri" w:cs="Times New Roman"/>
          <w:i/>
          <w:iCs/>
        </w:rPr>
        <w:tab/>
      </w:r>
    </w:p>
    <w:p w14:paraId="5B3DD035" w14:textId="77777777" w:rsidR="000000D1" w:rsidRPr="000000D1" w:rsidRDefault="000000D1" w:rsidP="000000D1">
      <w:pPr>
        <w:ind w:left="720" w:firstLine="720"/>
        <w:rPr>
          <w:rFonts w:eastAsia="Calibri" w:cs="Times New Roman"/>
        </w:rPr>
      </w:pPr>
      <w:r w:rsidRPr="000000D1">
        <w:rPr>
          <w:rFonts w:eastAsia="Calibri" w:cs="Times New Roman"/>
        </w:rPr>
        <w:t>A corporation:</w:t>
      </w:r>
    </w:p>
    <w:p w14:paraId="6D696D26" w14:textId="77777777" w:rsidR="000000D1" w:rsidRPr="000000D1" w:rsidRDefault="000000D1" w:rsidP="00366E17">
      <w:pPr>
        <w:numPr>
          <w:ilvl w:val="0"/>
          <w:numId w:val="23"/>
        </w:numPr>
        <w:contextualSpacing/>
        <w:rPr>
          <w:rFonts w:eastAsia="Calibri" w:cs="Times New Roman"/>
        </w:rPr>
      </w:pPr>
      <w:r w:rsidRPr="000000D1">
        <w:rPr>
          <w:rFonts w:eastAsia="Calibri" w:cs="Times New Roman"/>
        </w:rPr>
        <w:t>That owns an interest in a limited liability pass-through entity; or</w:t>
      </w:r>
    </w:p>
    <w:p w14:paraId="008D3A3A" w14:textId="77777777" w:rsidR="000000D1" w:rsidRPr="000000D1" w:rsidRDefault="000000D1" w:rsidP="00366E17">
      <w:pPr>
        <w:numPr>
          <w:ilvl w:val="0"/>
          <w:numId w:val="23"/>
        </w:numPr>
        <w:contextualSpacing/>
        <w:rPr>
          <w:rFonts w:eastAsia="Calibri" w:cs="Times New Roman"/>
        </w:rPr>
      </w:pPr>
      <w:r w:rsidRPr="000000D1">
        <w:rPr>
          <w:rFonts w:eastAsia="Calibri" w:cs="Times New Roman"/>
        </w:rPr>
        <w:t>That owns an interest in a general partnership;</w:t>
      </w:r>
    </w:p>
    <w:p w14:paraId="44FF7A71" w14:textId="77777777" w:rsidR="000000D1" w:rsidRPr="000000D1" w:rsidRDefault="000000D1" w:rsidP="000000D1">
      <w:pPr>
        <w:ind w:left="1440"/>
        <w:contextualSpacing/>
        <w:rPr>
          <w:rFonts w:eastAsia="Calibri" w:cs="Times New Roman"/>
        </w:rPr>
      </w:pPr>
      <w:r w:rsidRPr="000000D1">
        <w:rPr>
          <w:rFonts w:eastAsia="Calibri" w:cs="Times New Roman"/>
        </w:rPr>
        <w:t xml:space="preserve">shall include the proportionate share of receipts of the limited liability pass-through entity or general partnership when apportioning income. The phrases “an interest in a </w:t>
      </w:r>
      <w:r w:rsidRPr="000000D1">
        <w:rPr>
          <w:rFonts w:eastAsia="Calibri" w:cs="Times New Roman"/>
        </w:rPr>
        <w:lastRenderedPageBreak/>
        <w:t>limited liability pass-through entity” and “an interest in a general partnership” shall extend to each level of multiple-tiered pass-through entities.</w:t>
      </w:r>
    </w:p>
    <w:p w14:paraId="180923CF" w14:textId="77777777" w:rsidR="000000D1" w:rsidRPr="000000D1" w:rsidRDefault="000000D1" w:rsidP="000000D1">
      <w:pPr>
        <w:pBdr>
          <w:bottom w:val="single" w:sz="4" w:space="0" w:color="auto"/>
        </w:pBdr>
        <w:rPr>
          <w:rFonts w:eastAsia="Calibri" w:cs="Times New Roman"/>
        </w:rPr>
      </w:pPr>
    </w:p>
    <w:p w14:paraId="31AF8A93"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15" w:name="_Toc198480781"/>
      <w:r w:rsidRPr="000000D1">
        <w:rPr>
          <w:rFonts w:ascii="Californian FB" w:eastAsia="Times New Roman" w:hAnsi="Californian FB" w:cs="Times New Roman"/>
          <w:b/>
          <w:color w:val="851C00"/>
          <w:sz w:val="24"/>
          <w:szCs w:val="24"/>
          <w:u w:val="single"/>
        </w:rPr>
        <w:t>Louisiana</w:t>
      </w:r>
      <w:bookmarkEnd w:id="115"/>
    </w:p>
    <w:p w14:paraId="36640318" w14:textId="77777777" w:rsidR="000000D1" w:rsidRPr="000000D1" w:rsidRDefault="000000D1" w:rsidP="000000D1">
      <w:pPr>
        <w:ind w:firstLine="720"/>
        <w:contextualSpacing/>
        <w:rPr>
          <w:rFonts w:eastAsia="Calibri" w:cs="Times New Roman"/>
        </w:rPr>
      </w:pPr>
      <w:r w:rsidRPr="000000D1">
        <w:rPr>
          <w:rFonts w:eastAsia="Calibri" w:cs="Times New Roman"/>
        </w:rPr>
        <w:t xml:space="preserve">La. Rev. Stat. Ann. § 47:243(A)(6) </w:t>
      </w:r>
    </w:p>
    <w:p w14:paraId="35D77374" w14:textId="77777777" w:rsidR="000000D1" w:rsidRPr="000000D1" w:rsidRDefault="000000D1" w:rsidP="000000D1">
      <w:pPr>
        <w:ind w:left="720"/>
        <w:contextualSpacing/>
        <w:rPr>
          <w:rFonts w:eastAsia="Calibri" w:cs="Times New Roman"/>
        </w:rPr>
      </w:pPr>
    </w:p>
    <w:p w14:paraId="25750AC6" w14:textId="77777777" w:rsidR="000000D1" w:rsidRPr="000000D1" w:rsidRDefault="000000D1" w:rsidP="000000D1">
      <w:pPr>
        <w:ind w:left="1440"/>
        <w:contextualSpacing/>
        <w:rPr>
          <w:rFonts w:eastAsia="Calibri" w:cs="Times New Roman"/>
        </w:rPr>
      </w:pPr>
      <w:r w:rsidRPr="000000D1">
        <w:rPr>
          <w:rFonts w:eastAsia="Calibri" w:cs="Times New Roman"/>
        </w:rPr>
        <w:t>Estates, trusts and partnerships having a non-resident individual or a corporation as a member or beneficiary shall allocate and apportion their income within and without this state in accordance with the processes and formulas prescribed in this Part, and the share of any such non-resident or corporation member or beneficiary in the net income from sources in this state as so computed, shall be allocated to this state in the return of such member or beneficiary.</w:t>
      </w:r>
    </w:p>
    <w:p w14:paraId="162B1B69" w14:textId="77777777" w:rsidR="000000D1" w:rsidRPr="000000D1" w:rsidRDefault="000000D1" w:rsidP="000000D1">
      <w:pPr>
        <w:contextualSpacing/>
        <w:rPr>
          <w:rFonts w:eastAsia="Calibri" w:cs="Times New Roman"/>
        </w:rPr>
      </w:pPr>
    </w:p>
    <w:p w14:paraId="0EC73795" w14:textId="77777777" w:rsidR="000000D1" w:rsidRPr="000000D1" w:rsidRDefault="000000D1" w:rsidP="000000D1">
      <w:pPr>
        <w:ind w:firstLine="720"/>
        <w:contextualSpacing/>
        <w:rPr>
          <w:rFonts w:eastAsia="Calibri" w:cs="Times New Roman"/>
        </w:rPr>
      </w:pPr>
      <w:r w:rsidRPr="000000D1">
        <w:rPr>
          <w:rFonts w:eastAsia="Calibri" w:cs="Times New Roman"/>
        </w:rPr>
        <w:t>La. Rev. Stat. Ann. § 47:287.93(A)(5)</w:t>
      </w:r>
    </w:p>
    <w:p w14:paraId="0BABF798" w14:textId="77777777" w:rsidR="000000D1" w:rsidRPr="000000D1" w:rsidRDefault="000000D1" w:rsidP="000000D1">
      <w:pPr>
        <w:contextualSpacing/>
        <w:rPr>
          <w:rFonts w:eastAsia="Calibri" w:cs="Times New Roman"/>
        </w:rPr>
      </w:pPr>
    </w:p>
    <w:p w14:paraId="5F4638FD" w14:textId="77777777" w:rsidR="000000D1" w:rsidRPr="000000D1" w:rsidRDefault="000000D1" w:rsidP="000000D1">
      <w:pPr>
        <w:ind w:left="1440"/>
        <w:contextualSpacing/>
        <w:rPr>
          <w:rFonts w:eastAsia="Calibri" w:cs="Times New Roman"/>
        </w:rPr>
      </w:pPr>
      <w:r w:rsidRPr="000000D1">
        <w:rPr>
          <w:rFonts w:eastAsia="Calibri" w:cs="Times New Roman"/>
        </w:rPr>
        <w:t>For purposes of this Part only, estates, trusts, and partnerships having a corporation as a member or beneficiary shall compute, allocate, and apportion their income or loss within and without this state in accordance with the processes and formulas prescribed by this Part, and the share of any corporation member or beneficiary in the net income or loss from sources in this state so computed shall be allocated to this state in the return of such corporation.</w:t>
      </w:r>
    </w:p>
    <w:p w14:paraId="240539A6" w14:textId="77777777" w:rsidR="000000D1" w:rsidRPr="000000D1" w:rsidRDefault="000000D1" w:rsidP="000000D1">
      <w:pPr>
        <w:ind w:left="1440"/>
        <w:contextualSpacing/>
        <w:rPr>
          <w:rFonts w:eastAsia="Calibri" w:cs="Times New Roman"/>
        </w:rPr>
      </w:pPr>
    </w:p>
    <w:p w14:paraId="778152D1" w14:textId="77777777" w:rsidR="000000D1" w:rsidRPr="000000D1" w:rsidRDefault="000000D1" w:rsidP="000000D1">
      <w:pPr>
        <w:ind w:left="720"/>
        <w:contextualSpacing/>
        <w:rPr>
          <w:rFonts w:eastAsia="Calibri" w:cs="Times New Roman"/>
        </w:rPr>
      </w:pPr>
      <w:r w:rsidRPr="000000D1">
        <w:rPr>
          <w:rFonts w:eastAsia="Calibri" w:cs="Times New Roman"/>
        </w:rPr>
        <w:t xml:space="preserve">La. Rev. Stat. Ann. § 47:287.92 </w:t>
      </w:r>
    </w:p>
    <w:p w14:paraId="37532100" w14:textId="77777777" w:rsidR="000000D1" w:rsidRPr="000000D1" w:rsidRDefault="000000D1" w:rsidP="000000D1">
      <w:pPr>
        <w:contextualSpacing/>
        <w:rPr>
          <w:rFonts w:eastAsia="Calibri" w:cs="Times New Roman"/>
        </w:rPr>
      </w:pPr>
    </w:p>
    <w:p w14:paraId="0B25C742" w14:textId="77777777" w:rsidR="000000D1" w:rsidRPr="000000D1" w:rsidRDefault="000000D1" w:rsidP="000000D1">
      <w:pPr>
        <w:ind w:left="1440"/>
        <w:rPr>
          <w:rFonts w:eastAsia="Calibri" w:cs="Times New Roman"/>
        </w:rPr>
      </w:pPr>
      <w:r w:rsidRPr="000000D1">
        <w:rPr>
          <w:rFonts w:eastAsia="Calibri" w:cs="Times New Roman"/>
        </w:rPr>
        <w:t>A. All items of gross income, not otherwise exempt, shall be segregated into two general classes designated as allocable income and apportionable income.</w:t>
      </w:r>
    </w:p>
    <w:p w14:paraId="4359E2AD" w14:textId="77777777" w:rsidR="000000D1" w:rsidRPr="000000D1" w:rsidRDefault="000000D1" w:rsidP="000000D1">
      <w:pPr>
        <w:ind w:left="1440"/>
        <w:rPr>
          <w:rFonts w:eastAsia="Calibri" w:cs="Times New Roman"/>
        </w:rPr>
      </w:pPr>
      <w:r w:rsidRPr="000000D1">
        <w:rPr>
          <w:rFonts w:eastAsia="Calibri" w:cs="Times New Roman"/>
        </w:rPr>
        <w:t>B. Allocable income. The class of gross income to be designated as "allocable income" shall include only the following:</w:t>
      </w:r>
    </w:p>
    <w:p w14:paraId="6A59ED6C" w14:textId="77777777" w:rsidR="000000D1" w:rsidRPr="000000D1" w:rsidRDefault="000000D1" w:rsidP="000000D1">
      <w:pPr>
        <w:ind w:left="1440"/>
        <w:rPr>
          <w:rFonts w:eastAsia="Calibri" w:cs="Times New Roman"/>
        </w:rPr>
      </w:pPr>
      <w:r w:rsidRPr="000000D1">
        <w:rPr>
          <w:rFonts w:eastAsia="Calibri" w:cs="Times New Roman"/>
        </w:rPr>
        <w:t>(1) Rents and royalties from immovable or corporeal movable property.</w:t>
      </w:r>
    </w:p>
    <w:p w14:paraId="16F63BA0" w14:textId="77777777" w:rsidR="000000D1" w:rsidRPr="000000D1" w:rsidRDefault="000000D1" w:rsidP="000000D1">
      <w:pPr>
        <w:ind w:left="1440"/>
        <w:rPr>
          <w:rFonts w:eastAsia="Calibri" w:cs="Times New Roman"/>
        </w:rPr>
      </w:pPr>
      <w:r w:rsidRPr="000000D1">
        <w:rPr>
          <w:rFonts w:eastAsia="Calibri" w:cs="Times New Roman"/>
        </w:rPr>
        <w:t>(2) Royalties or similar revenue from the use of patents, trademarks, copyrights, secret processes, and other similar intangible rights.</w:t>
      </w:r>
    </w:p>
    <w:p w14:paraId="7F5A3878" w14:textId="77777777" w:rsidR="000000D1" w:rsidRPr="000000D1" w:rsidRDefault="000000D1" w:rsidP="000000D1">
      <w:pPr>
        <w:ind w:left="1440"/>
        <w:rPr>
          <w:rFonts w:eastAsia="Calibri" w:cs="Times New Roman"/>
        </w:rPr>
      </w:pPr>
      <w:r w:rsidRPr="000000D1">
        <w:rPr>
          <w:rFonts w:eastAsia="Calibri" w:cs="Times New Roman"/>
        </w:rPr>
        <w:t>(3) Income from estates, trusts, and partnerships.</w:t>
      </w:r>
    </w:p>
    <w:p w14:paraId="43356182" w14:textId="77777777" w:rsidR="000000D1" w:rsidRPr="000000D1" w:rsidRDefault="000000D1" w:rsidP="000000D1">
      <w:pPr>
        <w:ind w:left="1440"/>
        <w:rPr>
          <w:rFonts w:eastAsia="Calibri" w:cs="Times New Roman"/>
        </w:rPr>
      </w:pPr>
      <w:r w:rsidRPr="000000D1">
        <w:rPr>
          <w:rFonts w:eastAsia="Calibri" w:cs="Times New Roman"/>
        </w:rPr>
        <w:t>(4) Income from construction, repair, or other similar services.</w:t>
      </w:r>
    </w:p>
    <w:p w14:paraId="71EA9343" w14:textId="77777777" w:rsidR="000000D1" w:rsidRPr="000000D1" w:rsidRDefault="000000D1" w:rsidP="000000D1">
      <w:pPr>
        <w:ind w:left="1440"/>
        <w:rPr>
          <w:rFonts w:eastAsia="Calibri" w:cs="Times New Roman"/>
        </w:rPr>
      </w:pPr>
      <w:r w:rsidRPr="000000D1">
        <w:rPr>
          <w:rFonts w:eastAsia="Calibri" w:cs="Times New Roman"/>
        </w:rPr>
        <w:t>C. Apportionable income. The class of income to be designated as "apportionable income" shall include all items of gross income which are not properly includable in allocable income as defined in this Section.</w:t>
      </w:r>
    </w:p>
    <w:p w14:paraId="4F2065C7" w14:textId="77777777" w:rsidR="000000D1" w:rsidRPr="000000D1" w:rsidRDefault="000000D1" w:rsidP="000000D1">
      <w:pPr>
        <w:ind w:left="720"/>
        <w:contextualSpacing/>
        <w:rPr>
          <w:rFonts w:eastAsia="Calibri" w:cs="Times New Roman"/>
        </w:rPr>
      </w:pPr>
      <w:r w:rsidRPr="000000D1">
        <w:rPr>
          <w:rFonts w:eastAsia="Calibri" w:cs="Times New Roman"/>
        </w:rPr>
        <w:t>La. Rev. Stat. Ann. § 47:202(B)</w:t>
      </w:r>
      <w:r w:rsidRPr="000000D1">
        <w:rPr>
          <w:rFonts w:eastAsia="Calibri" w:cs="Times New Roman"/>
          <w:i/>
          <w:iCs/>
        </w:rPr>
        <w:t xml:space="preserve"> </w:t>
      </w:r>
    </w:p>
    <w:p w14:paraId="28ED67A0" w14:textId="77777777" w:rsidR="000000D1" w:rsidRPr="000000D1" w:rsidRDefault="000000D1" w:rsidP="000000D1">
      <w:pPr>
        <w:contextualSpacing/>
        <w:rPr>
          <w:rFonts w:eastAsia="Calibri" w:cs="Times New Roman"/>
        </w:rPr>
      </w:pPr>
    </w:p>
    <w:p w14:paraId="36AD20EB" w14:textId="77777777" w:rsidR="000000D1" w:rsidRPr="000000D1" w:rsidRDefault="000000D1" w:rsidP="000000D1">
      <w:pPr>
        <w:ind w:left="1440"/>
        <w:contextualSpacing/>
        <w:rPr>
          <w:rFonts w:eastAsia="Calibri" w:cs="Times New Roman"/>
        </w:rPr>
      </w:pPr>
      <w:r w:rsidRPr="000000D1">
        <w:rPr>
          <w:rFonts w:eastAsia="Calibri" w:cs="Times New Roman"/>
        </w:rPr>
        <w:t>The character of any item of income, gain, loss, deduction, or credit included in a partner's  distributive share under subsection A(1) through A(3) of this section shall be determined as if such item were realized directly from the source from which realized by the partnership, or incurred in the same manner as incurred by the partnership.</w:t>
      </w:r>
    </w:p>
    <w:p w14:paraId="2AD4AF43" w14:textId="77777777" w:rsidR="000000D1" w:rsidRPr="000000D1" w:rsidRDefault="000000D1" w:rsidP="000000D1">
      <w:pPr>
        <w:contextualSpacing/>
        <w:rPr>
          <w:rFonts w:eastAsia="Calibri" w:cs="Times New Roman"/>
        </w:rPr>
      </w:pPr>
    </w:p>
    <w:p w14:paraId="3C5479A7" w14:textId="77777777" w:rsidR="000000D1" w:rsidRPr="000000D1" w:rsidRDefault="000000D1" w:rsidP="000000D1">
      <w:pPr>
        <w:ind w:left="720"/>
        <w:contextualSpacing/>
        <w:rPr>
          <w:rFonts w:eastAsia="Calibri" w:cs="Times New Roman"/>
          <w:i/>
          <w:iCs/>
        </w:rPr>
      </w:pPr>
      <w:r w:rsidRPr="000000D1">
        <w:rPr>
          <w:rFonts w:eastAsia="Calibri" w:cs="Times New Roman"/>
        </w:rPr>
        <w:t>La. Rev. Stat. Ann. § 47:204</w:t>
      </w:r>
    </w:p>
    <w:p w14:paraId="0FCBCD1E" w14:textId="77777777" w:rsidR="000000D1" w:rsidRPr="000000D1" w:rsidRDefault="000000D1" w:rsidP="000000D1">
      <w:pPr>
        <w:contextualSpacing/>
        <w:rPr>
          <w:rFonts w:eastAsia="Calibri" w:cs="Times New Roman"/>
        </w:rPr>
      </w:pPr>
    </w:p>
    <w:p w14:paraId="1888BC63" w14:textId="77777777" w:rsidR="000000D1" w:rsidRPr="000000D1" w:rsidRDefault="000000D1" w:rsidP="000000D1">
      <w:pPr>
        <w:ind w:left="1440"/>
        <w:rPr>
          <w:rFonts w:eastAsia="Calibri" w:cs="Times New Roman"/>
        </w:rPr>
      </w:pPr>
      <w:r w:rsidRPr="000000D1">
        <w:rPr>
          <w:rFonts w:eastAsia="Calibri" w:cs="Times New Roman"/>
        </w:rPr>
        <w:t>A. Effect of partnership agreement. A partner's distributive share of income, gain, loss, deduction, or credit shall, except as otherwise provided in this section, be determined by the partnership agreement.</w:t>
      </w:r>
    </w:p>
    <w:p w14:paraId="50AFD630" w14:textId="77777777" w:rsidR="000000D1" w:rsidRPr="000000D1" w:rsidRDefault="000000D1" w:rsidP="000000D1">
      <w:pPr>
        <w:ind w:left="1440"/>
        <w:rPr>
          <w:rFonts w:eastAsia="Calibri" w:cs="Times New Roman"/>
        </w:rPr>
      </w:pPr>
      <w:r w:rsidRPr="000000D1">
        <w:rPr>
          <w:rFonts w:eastAsia="Calibri" w:cs="Times New Roman"/>
        </w:rPr>
        <w:lastRenderedPageBreak/>
        <w:t>B. Distributive share determined by income or loss ratio. A partner's distributive share of any item of income, gain, loss, or deduction shall be determined in accordance with his distributive share of taxable income or loss of the partnership, as described in R.S. 47:202A(4), for the taxable year, if:</w:t>
      </w:r>
    </w:p>
    <w:p w14:paraId="04B8E06F" w14:textId="77777777" w:rsidR="000000D1" w:rsidRPr="000000D1" w:rsidRDefault="000000D1" w:rsidP="000000D1">
      <w:pPr>
        <w:ind w:left="1440"/>
        <w:rPr>
          <w:rFonts w:eastAsia="Calibri" w:cs="Times New Roman"/>
        </w:rPr>
      </w:pPr>
      <w:r w:rsidRPr="000000D1">
        <w:rPr>
          <w:rFonts w:eastAsia="Calibri" w:cs="Times New Roman"/>
        </w:rPr>
        <w:t>(1) the partnership agreement does not provide as to the partner's distributive share of such item, or</w:t>
      </w:r>
    </w:p>
    <w:p w14:paraId="4386B281" w14:textId="77777777" w:rsidR="000000D1" w:rsidRPr="000000D1" w:rsidRDefault="000000D1" w:rsidP="000000D1">
      <w:pPr>
        <w:ind w:left="1440"/>
        <w:rPr>
          <w:rFonts w:eastAsia="Calibri" w:cs="Times New Roman"/>
        </w:rPr>
      </w:pPr>
      <w:r w:rsidRPr="000000D1">
        <w:rPr>
          <w:rFonts w:eastAsia="Calibri" w:cs="Times New Roman"/>
        </w:rPr>
        <w:t>(2) the principal purpose of any provision in the partnership agreement with respect to the partner's distributive share of such item is the avoidance or evasion of any tax imposed by this chapter.</w:t>
      </w:r>
    </w:p>
    <w:p w14:paraId="217AD0D6" w14:textId="77777777" w:rsidR="000000D1" w:rsidRPr="000000D1" w:rsidRDefault="000000D1" w:rsidP="000000D1">
      <w:pPr>
        <w:ind w:left="720" w:firstLine="720"/>
        <w:rPr>
          <w:rFonts w:eastAsia="Calibri" w:cs="Times New Roman"/>
        </w:rPr>
      </w:pPr>
      <w:r w:rsidRPr="000000D1">
        <w:rPr>
          <w:rFonts w:eastAsia="Calibri" w:cs="Times New Roman"/>
        </w:rPr>
        <w:t>C. Contributed property.</w:t>
      </w:r>
    </w:p>
    <w:p w14:paraId="7FAA70A3" w14:textId="77777777" w:rsidR="000000D1" w:rsidRPr="000000D1" w:rsidRDefault="000000D1" w:rsidP="000000D1">
      <w:pPr>
        <w:ind w:left="1440"/>
        <w:rPr>
          <w:rFonts w:eastAsia="Calibri" w:cs="Times New Roman"/>
        </w:rPr>
      </w:pPr>
      <w:r w:rsidRPr="000000D1">
        <w:rPr>
          <w:rFonts w:eastAsia="Calibri" w:cs="Times New Roman"/>
        </w:rPr>
        <w:t>(1) General rule. In determining a partner's distributive share of items described in R.S. 47:202A, depreciation, depletion, or gain or loss with respect to property contributed to the partnership by a partner shall, except to the extent otherwise provided in subsection C.(2) or C.(3) of this section be allocated among the partners in the same manner as if such property had been purchased by the partnership.</w:t>
      </w:r>
    </w:p>
    <w:p w14:paraId="48B027AF" w14:textId="77777777" w:rsidR="000000D1" w:rsidRPr="000000D1" w:rsidRDefault="000000D1" w:rsidP="000000D1">
      <w:pPr>
        <w:ind w:left="1440"/>
        <w:rPr>
          <w:rFonts w:eastAsia="Calibri" w:cs="Times New Roman"/>
        </w:rPr>
      </w:pPr>
      <w:r w:rsidRPr="000000D1">
        <w:rPr>
          <w:rFonts w:eastAsia="Calibri" w:cs="Times New Roman"/>
        </w:rPr>
        <w:t>(2) If the partnership agreement so provides, depreciation, depletion, or gain or loss with respect to property contributed to the partnership by a partner shall, under regulations prescribed by the Collector, be shared among the partners so as to take account of the variation between the basis of the property to the partnership and its fair market value at the time of contribution.</w:t>
      </w:r>
    </w:p>
    <w:p w14:paraId="28EF31D4" w14:textId="77777777" w:rsidR="000000D1" w:rsidRPr="000000D1" w:rsidRDefault="000000D1" w:rsidP="000000D1">
      <w:pPr>
        <w:ind w:left="1440"/>
        <w:rPr>
          <w:rFonts w:eastAsia="Calibri" w:cs="Times New Roman"/>
        </w:rPr>
      </w:pPr>
      <w:r w:rsidRPr="000000D1">
        <w:rPr>
          <w:rFonts w:eastAsia="Calibri" w:cs="Times New Roman"/>
        </w:rPr>
        <w:t>(3) Undivided interests. If the partnership agreement does not prove otherwise, depreciation, depletion, or gain or loss with respect to undivided interests in property contributed to a partnership shall be determined as though such undivided interests had not been contributed to the partnership. This paragraph shall apply only if all of the partners had undivided interests in such property prior to making the contribution and their interests in the capital and profits of the partnership correspond with such undivided interests.</w:t>
      </w:r>
    </w:p>
    <w:p w14:paraId="7B574FE7" w14:textId="77777777" w:rsidR="000000D1" w:rsidRPr="000000D1" w:rsidRDefault="000000D1" w:rsidP="000000D1">
      <w:pPr>
        <w:ind w:left="1440"/>
        <w:rPr>
          <w:rFonts w:eastAsia="Calibri" w:cs="Times New Roman"/>
        </w:rPr>
      </w:pPr>
      <w:r w:rsidRPr="000000D1">
        <w:rPr>
          <w:rFonts w:eastAsia="Calibri" w:cs="Times New Roman"/>
        </w:rPr>
        <w:t>D. Limitation on allowance of losses. A partner's distributive share partnership loss (including capital loss) shall be allowed only to the extent of the adjusted basis of such partner's interest in the partnership at the end of the partnership year in which such loss occurred. Any excess of such loss over such basis shall be allowed as a deduction at the end of the partnership year in which such excess is repaid to the partnership.</w:t>
      </w:r>
    </w:p>
    <w:p w14:paraId="5FA15278" w14:textId="77777777" w:rsidR="000000D1" w:rsidRPr="000000D1" w:rsidRDefault="000000D1" w:rsidP="000000D1">
      <w:pPr>
        <w:pBdr>
          <w:bottom w:val="single" w:sz="4" w:space="0" w:color="auto"/>
        </w:pBdr>
        <w:rPr>
          <w:rFonts w:eastAsia="Calibri" w:cs="Times New Roman"/>
        </w:rPr>
      </w:pPr>
    </w:p>
    <w:p w14:paraId="4AE5A1AE"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16" w:name="_Toc198480782"/>
      <w:r w:rsidRPr="000000D1">
        <w:rPr>
          <w:rFonts w:ascii="Californian FB" w:eastAsia="Times New Roman" w:hAnsi="Californian FB" w:cs="Times New Roman"/>
          <w:b/>
          <w:color w:val="851C00"/>
          <w:sz w:val="24"/>
          <w:szCs w:val="24"/>
          <w:u w:val="single"/>
        </w:rPr>
        <w:t>Maine</w:t>
      </w:r>
      <w:bookmarkEnd w:id="116"/>
    </w:p>
    <w:p w14:paraId="6678731D" w14:textId="77777777" w:rsidR="000000D1" w:rsidRPr="000000D1" w:rsidRDefault="000000D1" w:rsidP="000000D1">
      <w:pPr>
        <w:ind w:left="720"/>
        <w:contextualSpacing/>
        <w:rPr>
          <w:rFonts w:eastAsia="Calibri" w:cs="Times New Roman"/>
        </w:rPr>
      </w:pPr>
      <w:r w:rsidRPr="000000D1">
        <w:rPr>
          <w:rFonts w:eastAsia="Calibri" w:cs="Times New Roman"/>
        </w:rPr>
        <w:t xml:space="preserve">Me. Stat. tit. 36, § 5191(2) </w:t>
      </w:r>
    </w:p>
    <w:p w14:paraId="35E516BF" w14:textId="77777777" w:rsidR="000000D1" w:rsidRPr="000000D1" w:rsidRDefault="000000D1" w:rsidP="000000D1">
      <w:pPr>
        <w:contextualSpacing/>
        <w:rPr>
          <w:rFonts w:eastAsia="Calibri" w:cs="Times New Roman"/>
        </w:rPr>
      </w:pPr>
    </w:p>
    <w:p w14:paraId="30A676DA" w14:textId="77777777" w:rsidR="000000D1" w:rsidRPr="000000D1" w:rsidRDefault="000000D1" w:rsidP="000000D1">
      <w:pPr>
        <w:ind w:left="1440"/>
        <w:rPr>
          <w:rFonts w:eastAsia="Calibri" w:cs="Times New Roman"/>
        </w:rPr>
      </w:pPr>
      <w:r w:rsidRPr="000000D1">
        <w:rPr>
          <w:rFonts w:eastAsia="Calibri" w:cs="Times New Roman"/>
        </w:rPr>
        <w:t xml:space="preserve">Each item of partnership income, gain, loss or deduction shall have the same character for a partner under this Part as it has for federal income tax purposes. Where an item is not characterized for federal income tax purposes, it shall have the same character for a partner as if realized directly from the source from which realized by the partnership or incurred in the same manner as incurred by the partnership.  </w:t>
      </w:r>
    </w:p>
    <w:p w14:paraId="7D2A5E63" w14:textId="77777777" w:rsidR="000000D1" w:rsidRPr="000000D1" w:rsidRDefault="000000D1" w:rsidP="000000D1">
      <w:pPr>
        <w:ind w:left="720"/>
        <w:contextualSpacing/>
        <w:rPr>
          <w:rFonts w:eastAsia="Calibri" w:cs="Times New Roman"/>
        </w:rPr>
      </w:pPr>
      <w:r w:rsidRPr="000000D1">
        <w:rPr>
          <w:rFonts w:eastAsia="Calibri" w:cs="Times New Roman"/>
        </w:rPr>
        <w:t xml:space="preserve">Me. Stat. tit. 36, § 5191(3) </w:t>
      </w:r>
    </w:p>
    <w:p w14:paraId="5D73E9F5" w14:textId="77777777" w:rsidR="000000D1" w:rsidRPr="000000D1" w:rsidRDefault="000000D1" w:rsidP="000000D1">
      <w:pPr>
        <w:contextualSpacing/>
        <w:rPr>
          <w:rFonts w:eastAsia="Calibri" w:cs="Times New Roman"/>
        </w:rPr>
      </w:pPr>
    </w:p>
    <w:p w14:paraId="42E34EB8" w14:textId="77777777" w:rsidR="000000D1" w:rsidRPr="000000D1" w:rsidRDefault="000000D1" w:rsidP="000000D1">
      <w:pPr>
        <w:ind w:left="1440"/>
        <w:rPr>
          <w:rFonts w:eastAsia="Calibri" w:cs="Times New Roman"/>
        </w:rPr>
      </w:pPr>
      <w:r w:rsidRPr="000000D1">
        <w:rPr>
          <w:rFonts w:eastAsia="Calibri" w:cs="Times New Roman"/>
        </w:rPr>
        <w:t xml:space="preserve">If a partner's distributive share of an item of partnership income, gain, loss or deduction is determined for federal income tax purposes by a special provision in the partnership agreement, the principal purpose of which is the avoidance or evasion of tax under this Part, the partner's distributive share of that item and any modification required with </w:t>
      </w:r>
      <w:r w:rsidRPr="000000D1">
        <w:rPr>
          <w:rFonts w:eastAsia="Calibri" w:cs="Times New Roman"/>
        </w:rPr>
        <w:lastRenderedPageBreak/>
        <w:t>respect to that item must be determined in accordance with the partner's distributive share of the taxable income or loss of the partnership generally, exclusive of items that must be separately computed under the Code, Section 702.</w:t>
      </w:r>
    </w:p>
    <w:p w14:paraId="254FC635" w14:textId="77777777" w:rsidR="000000D1" w:rsidRPr="000000D1" w:rsidRDefault="000000D1" w:rsidP="000000D1">
      <w:pPr>
        <w:ind w:left="720"/>
        <w:contextualSpacing/>
        <w:rPr>
          <w:rFonts w:eastAsia="Calibri" w:cs="Times New Roman"/>
        </w:rPr>
      </w:pPr>
      <w:r w:rsidRPr="000000D1">
        <w:rPr>
          <w:rFonts w:eastAsia="Calibri" w:cs="Times New Roman"/>
        </w:rPr>
        <w:t xml:space="preserve">Me. Stat. tit. 36, § 5192(6) </w:t>
      </w:r>
    </w:p>
    <w:p w14:paraId="00739F2C" w14:textId="77777777" w:rsidR="000000D1" w:rsidRPr="000000D1" w:rsidRDefault="000000D1" w:rsidP="000000D1">
      <w:pPr>
        <w:contextualSpacing/>
        <w:rPr>
          <w:rFonts w:eastAsia="Calibri" w:cs="Times New Roman"/>
        </w:rPr>
      </w:pPr>
    </w:p>
    <w:p w14:paraId="6EAE0C23" w14:textId="77777777" w:rsidR="000000D1" w:rsidRPr="000000D1" w:rsidRDefault="000000D1" w:rsidP="000000D1">
      <w:pPr>
        <w:ind w:left="1440"/>
        <w:rPr>
          <w:rFonts w:eastAsia="Calibri" w:cs="Times New Roman"/>
        </w:rPr>
      </w:pPr>
      <w:r w:rsidRPr="000000D1">
        <w:t xml:space="preserve"> </w:t>
      </w:r>
      <w:r w:rsidRPr="000000D1">
        <w:rPr>
          <w:rFonts w:eastAsia="Calibri" w:cs="Times New Roman"/>
        </w:rPr>
        <w:t xml:space="preserve">A nonresident partner's distributive share of items of income, gain, loss or deduction shall be determined under section 5191, subsection 1. The character of partnership items for a nonresident partner shall be determined under section 5191, subsection 2. The effect of a special provision in a partnership agreement, other than a provision referred to in subsection 3, having as a principal purpose the avoidance or evasion of tax under this Part shall be determined under section 5191, subsection 3.  </w:t>
      </w:r>
    </w:p>
    <w:p w14:paraId="26147A8D" w14:textId="77777777" w:rsidR="000000D1" w:rsidRPr="000000D1" w:rsidRDefault="000000D1" w:rsidP="000000D1">
      <w:pPr>
        <w:ind w:left="720"/>
        <w:contextualSpacing/>
        <w:rPr>
          <w:rFonts w:eastAsia="Calibri" w:cs="Times New Roman"/>
        </w:rPr>
      </w:pPr>
      <w:r w:rsidRPr="000000D1">
        <w:rPr>
          <w:rFonts w:eastAsia="Calibri" w:cs="Times New Roman"/>
        </w:rPr>
        <w:t xml:space="preserve">Me. Stat. tit. 36, § 5211(1) </w:t>
      </w:r>
    </w:p>
    <w:p w14:paraId="7AAE3E86" w14:textId="77777777" w:rsidR="000000D1" w:rsidRPr="000000D1" w:rsidRDefault="000000D1" w:rsidP="000000D1">
      <w:pPr>
        <w:contextualSpacing/>
        <w:rPr>
          <w:rFonts w:eastAsia="Calibri" w:cs="Times New Roman"/>
        </w:rPr>
      </w:pPr>
    </w:p>
    <w:p w14:paraId="09A18994" w14:textId="77777777" w:rsidR="000000D1" w:rsidRPr="000000D1" w:rsidRDefault="000000D1" w:rsidP="000000D1">
      <w:pPr>
        <w:ind w:left="1440"/>
        <w:rPr>
          <w:rFonts w:eastAsia="Calibri" w:cs="Times New Roman"/>
        </w:rPr>
      </w:pPr>
      <w:r w:rsidRPr="000000D1">
        <w:rPr>
          <w:rFonts w:eastAsia="Calibri" w:cs="Times New Roman"/>
        </w:rPr>
        <w:t>Any taxpayer, other than a resident individual, estate, or trust, having income from business activity which is taxable both within and without this State, other than the rendering of purely personal services by an individual, shall apportion his net income as provided in this section. Any taxpayer having income solely from business activity taxable within this State shall apportion his entire net income to this State.</w:t>
      </w:r>
    </w:p>
    <w:p w14:paraId="15279FA7" w14:textId="77777777" w:rsidR="000000D1" w:rsidRPr="000000D1" w:rsidRDefault="000000D1" w:rsidP="000000D1">
      <w:pPr>
        <w:ind w:left="720"/>
        <w:contextualSpacing/>
        <w:rPr>
          <w:rFonts w:eastAsia="Calibri" w:cs="Times New Roman"/>
        </w:rPr>
      </w:pPr>
      <w:r w:rsidRPr="000000D1">
        <w:rPr>
          <w:rFonts w:eastAsia="Calibri" w:cs="Times New Roman"/>
        </w:rPr>
        <w:t xml:space="preserve">18-125 Me. Code R. 801 § .07 </w:t>
      </w:r>
    </w:p>
    <w:p w14:paraId="2C247594" w14:textId="77777777" w:rsidR="000000D1" w:rsidRPr="000000D1" w:rsidRDefault="000000D1" w:rsidP="000000D1">
      <w:pPr>
        <w:contextualSpacing/>
        <w:rPr>
          <w:rFonts w:eastAsia="Calibri" w:cs="Times New Roman"/>
        </w:rPr>
      </w:pPr>
    </w:p>
    <w:p w14:paraId="0DBF732E" w14:textId="77777777" w:rsidR="000000D1" w:rsidRPr="000000D1" w:rsidRDefault="000000D1" w:rsidP="000000D1">
      <w:pPr>
        <w:ind w:left="1440"/>
        <w:rPr>
          <w:rFonts w:eastAsia="Calibri" w:cs="Times New Roman"/>
        </w:rPr>
      </w:pPr>
      <w:r w:rsidRPr="000000D1">
        <w:rPr>
          <w:rFonts w:eastAsia="Calibri" w:cs="Times New Roman"/>
        </w:rPr>
        <w:t>A. Generally. A corporation with an interest in a pass-through entity, such as a partnership, limited partnership, limited liability partnership, limited liability company, S corporation, or other similar entity must include its distributive share of the pass-through entity income, loss, or deduction in calculating its income, in accordance with the Internal Revenue Code and 36 M.R.S. § 5102(8), and must apportion its income pursuant to paragraph D below. The character of any item included in the distributive share is determined as if it were realized or incurred directly by the corporation. The business of the pass-through entity is treated as the business of the corporation.</w:t>
      </w:r>
    </w:p>
    <w:p w14:paraId="04B258F9" w14:textId="77777777" w:rsidR="000000D1" w:rsidRPr="000000D1" w:rsidRDefault="000000D1" w:rsidP="000000D1">
      <w:pPr>
        <w:ind w:left="1440"/>
        <w:rPr>
          <w:rFonts w:eastAsia="Calibri" w:cs="Times New Roman"/>
        </w:rPr>
      </w:pPr>
      <w:r w:rsidRPr="000000D1">
        <w:rPr>
          <w:rFonts w:eastAsia="Calibri" w:cs="Times New Roman"/>
        </w:rPr>
        <w:t>B. Taxable in Maine. A corporation that is not otherwise subject to Maine's tax jurisdiction is nevertheless taxable in Maine if it is a partner, shareholder or member in a pass-through entity whose activities, if conducted directly by the corporation, would subject the corporation to the Maine corporate income tax.</w:t>
      </w:r>
    </w:p>
    <w:p w14:paraId="490BF0D8" w14:textId="77777777" w:rsidR="000000D1" w:rsidRPr="000000D1" w:rsidRDefault="000000D1" w:rsidP="000000D1">
      <w:pPr>
        <w:ind w:left="1440"/>
        <w:rPr>
          <w:rFonts w:eastAsia="Calibri" w:cs="Times New Roman"/>
        </w:rPr>
      </w:pPr>
      <w:r w:rsidRPr="000000D1">
        <w:rPr>
          <w:rFonts w:eastAsia="Calibri" w:cs="Times New Roman"/>
        </w:rPr>
        <w:t>C. Taxable in another state. A corporation is taxable in another state within the meaning of section .04 above if the corporation is a partner, shareholder or member in a passthrough entity with activities in that state that cause the pass-through entity or its partner, shareholder or member to be taxable in that state under the rules described in section .04 above.</w:t>
      </w:r>
    </w:p>
    <w:p w14:paraId="6A2364A2" w14:textId="77777777" w:rsidR="000000D1" w:rsidRPr="000000D1" w:rsidRDefault="000000D1" w:rsidP="000000D1">
      <w:pPr>
        <w:ind w:left="1440"/>
        <w:rPr>
          <w:rFonts w:eastAsia="Calibri" w:cs="Times New Roman"/>
        </w:rPr>
      </w:pPr>
      <w:r w:rsidRPr="000000D1">
        <w:rPr>
          <w:rFonts w:eastAsia="Calibri" w:cs="Times New Roman"/>
        </w:rPr>
        <w:t>D. Apportionment rules. In general, if a corporate partner, shareholder or member is taxable in another state, it must apportion its taxable net income using the sales factor in 36 M.R.S. § 5211(8).</w:t>
      </w:r>
    </w:p>
    <w:p w14:paraId="6AD896B5" w14:textId="77777777" w:rsidR="000000D1" w:rsidRPr="000000D1" w:rsidRDefault="000000D1" w:rsidP="000000D1">
      <w:pPr>
        <w:ind w:left="2160"/>
        <w:rPr>
          <w:rFonts w:eastAsia="Calibri" w:cs="Times New Roman"/>
        </w:rPr>
      </w:pPr>
      <w:r w:rsidRPr="000000D1">
        <w:rPr>
          <w:rFonts w:eastAsia="Calibri" w:cs="Times New Roman"/>
        </w:rPr>
        <w:t>(1) Sales factor. In determining the denominator of its sales factor, a corporate partner, shareholder or member must include its pro rata share of the passthrough entity's total sales during the pass-through entity's taxable year. In determining the numerator of its sales factor, a corporate partner, shareholder or member must include its pro rata share of such sales in Maine. To avoid duplication, however, the following sales must be eliminated from both the numerator and denominator of the sales factor:</w:t>
      </w:r>
    </w:p>
    <w:p w14:paraId="121A8143" w14:textId="77777777" w:rsidR="000000D1" w:rsidRPr="000000D1" w:rsidRDefault="000000D1" w:rsidP="000000D1">
      <w:pPr>
        <w:ind w:left="2880"/>
        <w:rPr>
          <w:rFonts w:eastAsia="Calibri" w:cs="Times New Roman"/>
        </w:rPr>
      </w:pPr>
      <w:r w:rsidRPr="000000D1">
        <w:rPr>
          <w:rFonts w:eastAsia="Calibri" w:cs="Times New Roman"/>
        </w:rPr>
        <w:lastRenderedPageBreak/>
        <w:t>(a) Sales by the corporation to the pass-through entity in an amount equal to the total of such sales multiplied by the corporation's interest in the passthrough entity; and</w:t>
      </w:r>
    </w:p>
    <w:p w14:paraId="1DDDA336" w14:textId="77777777" w:rsidR="000000D1" w:rsidRPr="000000D1" w:rsidRDefault="000000D1" w:rsidP="000000D1">
      <w:pPr>
        <w:ind w:left="2880"/>
        <w:rPr>
          <w:rFonts w:eastAsia="Calibri" w:cs="Times New Roman"/>
        </w:rPr>
      </w:pPr>
      <w:r w:rsidRPr="000000D1">
        <w:rPr>
          <w:rFonts w:eastAsia="Calibri" w:cs="Times New Roman"/>
        </w:rPr>
        <w:t>(b) Sales by the pass-through entity to the corporation in an amount not to exceed the total of all sales made by the pass-through entity multiplied by the corporation's interest in the pass-through entity.</w:t>
      </w:r>
    </w:p>
    <w:p w14:paraId="5ACB071D" w14:textId="77777777" w:rsidR="000000D1" w:rsidRPr="000000D1" w:rsidRDefault="000000D1" w:rsidP="000000D1">
      <w:pPr>
        <w:ind w:left="2160"/>
        <w:rPr>
          <w:rFonts w:eastAsia="Calibri" w:cs="Times New Roman"/>
        </w:rPr>
      </w:pPr>
      <w:r w:rsidRPr="000000D1">
        <w:rPr>
          <w:rFonts w:eastAsia="Calibri" w:cs="Times New Roman"/>
        </w:rPr>
        <w:t>(2) Pro rata share. For purposes of this section, a corporate partner's, shareholder's or member's pro rata share of a pass-through entity's sales shall be its percentage interest in pass-through entity profit or loss for the taxable year, as stated on the partner's, shareholder's or member's Schedule K-1. However, if, under the pass-through entity agreement, a partner's, shareholder's or member's share of gain or loss from the sale of particular pass-through entity assets is different from its profit or loss ratio stated on Schedule K-1, gross receipts from sales of such assets shall be attributed to its sales factor in the same proportion as the partner's, shareholder's or member's interest in gain or loss from the sale. In the event of a termination or other change in a partner's, shareholder's or member's interest during the taxable year, the partner's, shareholder's or member's pro rata share of sales must be modified to reflect pass-through entity sales during the actual period that the partner, shareholder or member held its interest.</w:t>
      </w:r>
    </w:p>
    <w:p w14:paraId="39DCBBBA" w14:textId="77777777" w:rsidR="000000D1" w:rsidRPr="000000D1" w:rsidRDefault="000000D1" w:rsidP="000000D1">
      <w:pPr>
        <w:pBdr>
          <w:bottom w:val="single" w:sz="4" w:space="0" w:color="auto"/>
        </w:pBdr>
        <w:rPr>
          <w:rFonts w:eastAsia="Calibri" w:cs="Times New Roman"/>
        </w:rPr>
      </w:pPr>
    </w:p>
    <w:p w14:paraId="641AA064"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17" w:name="_Toc198480783"/>
      <w:r w:rsidRPr="000000D1">
        <w:rPr>
          <w:rFonts w:ascii="Californian FB" w:eastAsia="Times New Roman" w:hAnsi="Californian FB" w:cs="Times New Roman"/>
          <w:b/>
          <w:color w:val="851C00"/>
          <w:sz w:val="24"/>
          <w:szCs w:val="24"/>
          <w:u w:val="single"/>
        </w:rPr>
        <w:t>Maryland</w:t>
      </w:r>
      <w:bookmarkEnd w:id="117"/>
    </w:p>
    <w:p w14:paraId="6C8803A7" w14:textId="77777777" w:rsidR="000000D1" w:rsidRPr="000000D1" w:rsidRDefault="000000D1" w:rsidP="000000D1">
      <w:pPr>
        <w:ind w:left="720"/>
        <w:contextualSpacing/>
        <w:rPr>
          <w:rFonts w:eastAsia="Calibri" w:cs="Times New Roman"/>
        </w:rPr>
      </w:pPr>
      <w:r w:rsidRPr="000000D1">
        <w:rPr>
          <w:rFonts w:eastAsia="Calibri" w:cs="Times New Roman"/>
        </w:rPr>
        <w:t xml:space="preserve">Maryland Income Tax Administrative Release No. 12 (2008) </w:t>
      </w:r>
    </w:p>
    <w:p w14:paraId="39010A04" w14:textId="77777777" w:rsidR="000000D1" w:rsidRPr="000000D1" w:rsidRDefault="000000D1" w:rsidP="000000D1">
      <w:pPr>
        <w:contextualSpacing/>
        <w:rPr>
          <w:rFonts w:eastAsia="Calibri" w:cs="Times New Roman"/>
        </w:rPr>
      </w:pPr>
    </w:p>
    <w:p w14:paraId="77EA081A" w14:textId="77777777" w:rsidR="000000D1" w:rsidRPr="000000D1" w:rsidRDefault="000000D1" w:rsidP="000000D1">
      <w:pPr>
        <w:ind w:left="1440"/>
        <w:rPr>
          <w:rFonts w:eastAsia="Calibri" w:cs="Times New Roman"/>
        </w:rPr>
      </w:pPr>
      <w:r w:rsidRPr="000000D1">
        <w:rPr>
          <w:rFonts w:eastAsia="Calibri" w:cs="Times New Roman"/>
        </w:rPr>
        <w:t>Corporate partners that are unitary businesses and have nexus with Maryland are required to allocate their share of partnership income using an appropriate apportionment method. The apportionment method applies if either the corporate partner or the partnership is conducting business in Maryland.</w:t>
      </w:r>
    </w:p>
    <w:p w14:paraId="6845C6AD" w14:textId="77777777" w:rsidR="000000D1" w:rsidRPr="000000D1" w:rsidRDefault="000000D1" w:rsidP="000000D1">
      <w:pPr>
        <w:ind w:left="1440"/>
        <w:rPr>
          <w:rFonts w:eastAsia="Calibri" w:cs="Times New Roman"/>
        </w:rPr>
      </w:pPr>
      <w:r w:rsidRPr="000000D1">
        <w:rPr>
          <w:rFonts w:eastAsia="Calibri" w:cs="Times New Roman"/>
        </w:rPr>
        <w:t>In general, the partnership share of income is apportioned in the same manner as other income allocable to this State. For example, a corporation using a three-factor apportionment formula includes in both the numerator and denominator of each of the factors not only its own property, payroll, and sales, but also adds to such amounts its share of the partnership's property, payroll, and sales. The sales factor is double weighted in the three-factor apportionment formula. The income allocation is then determined by applying the average of the ratios of all property, payroll, and sales (both corporate and partnership) to the corporation’s Maryland net income. In this manner, the corporation arrives at its Maryland taxable income attributable to business conducted in Maryland.</w:t>
      </w:r>
    </w:p>
    <w:p w14:paraId="57E3D727" w14:textId="77777777" w:rsidR="000000D1" w:rsidRPr="000000D1" w:rsidRDefault="000000D1" w:rsidP="000000D1">
      <w:pPr>
        <w:ind w:left="1440"/>
        <w:rPr>
          <w:rFonts w:ascii="Cambria Math" w:hAnsi="Cambria Math" w:cs="Cambria Math"/>
        </w:rPr>
      </w:pPr>
      <w:r w:rsidRPr="000000D1">
        <w:t xml:space="preserve">The above procedure applies if either the corporation or the partnership is conducting business in this State. For example, a foreign corporation, whose only connection with Maryland is a partnership interest in a partnership that is doing business in Maryland, will report on its Maryland tax return its federal taxable income and compute its Maryland taxable income by use of the apportionment formula that includes the foreign corporation’s share of the partnership's apportionment factors, both numerator (Maryland) and denominator (everywhere). </w:t>
      </w:r>
    </w:p>
    <w:p w14:paraId="5AC1DA1E" w14:textId="77777777" w:rsidR="000000D1" w:rsidRPr="000000D1" w:rsidRDefault="000000D1" w:rsidP="000000D1">
      <w:pPr>
        <w:ind w:left="1440"/>
        <w:rPr>
          <w:rFonts w:eastAsia="Calibri" w:cs="Times New Roman"/>
        </w:rPr>
      </w:pPr>
      <w:r w:rsidRPr="000000D1">
        <w:t>Similarly, a corporation (whether foreign or domestic) that carries on its trade or business in Maryland will compute its apportionment formula by adding to both the numerator and denominator of the corporation's property, payroll, and sales, the corporate partnership share of the partnership's property, payroll, and sales.</w:t>
      </w:r>
    </w:p>
    <w:p w14:paraId="59D9A0C4" w14:textId="77777777" w:rsidR="000000D1" w:rsidRPr="000000D1" w:rsidRDefault="000000D1" w:rsidP="000000D1">
      <w:pPr>
        <w:ind w:left="720"/>
        <w:contextualSpacing/>
        <w:rPr>
          <w:rFonts w:eastAsia="Calibri" w:cs="Times New Roman"/>
        </w:rPr>
      </w:pPr>
      <w:r w:rsidRPr="000000D1">
        <w:rPr>
          <w:rFonts w:eastAsia="Calibri" w:cs="Times New Roman"/>
        </w:rPr>
        <w:lastRenderedPageBreak/>
        <w:t xml:space="preserve">Md. Code Regs. 03.04.03.08(F)(2) </w:t>
      </w:r>
    </w:p>
    <w:p w14:paraId="0CF96050" w14:textId="77777777" w:rsidR="000000D1" w:rsidRPr="000000D1" w:rsidRDefault="000000D1" w:rsidP="000000D1">
      <w:pPr>
        <w:contextualSpacing/>
        <w:rPr>
          <w:rFonts w:eastAsia="Calibri" w:cs="Times New Roman"/>
        </w:rPr>
      </w:pPr>
    </w:p>
    <w:p w14:paraId="55F0A01F" w14:textId="77777777" w:rsidR="000000D1" w:rsidRPr="000000D1" w:rsidRDefault="000000D1" w:rsidP="000000D1">
      <w:pPr>
        <w:ind w:left="1440"/>
        <w:rPr>
          <w:rFonts w:eastAsia="Calibri" w:cs="Times New Roman"/>
        </w:rPr>
      </w:pPr>
      <w:r w:rsidRPr="000000D1">
        <w:rPr>
          <w:rFonts w:eastAsia="Calibri" w:cs="Times New Roman"/>
        </w:rPr>
        <w:t>A corporation's share of partnership or joint venture receipts, property, and wages shall be included in the apportionment formula:</w:t>
      </w:r>
    </w:p>
    <w:p w14:paraId="0B3BB4E9" w14:textId="77777777" w:rsidR="000000D1" w:rsidRPr="000000D1" w:rsidRDefault="000000D1" w:rsidP="000000D1">
      <w:pPr>
        <w:ind w:left="1440"/>
        <w:rPr>
          <w:rFonts w:eastAsia="Calibri" w:cs="Times New Roman"/>
        </w:rPr>
      </w:pPr>
      <w:r w:rsidRPr="000000D1">
        <w:rPr>
          <w:rFonts w:eastAsia="Calibri" w:cs="Times New Roman"/>
        </w:rPr>
        <w:t>(a) To the extent of the factors required; and</w:t>
      </w:r>
    </w:p>
    <w:p w14:paraId="0C97F47D" w14:textId="77777777" w:rsidR="000000D1" w:rsidRPr="000000D1" w:rsidRDefault="000000D1" w:rsidP="000000D1">
      <w:pPr>
        <w:ind w:left="1440"/>
        <w:rPr>
          <w:rFonts w:eastAsia="Calibri" w:cs="Times New Roman"/>
        </w:rPr>
      </w:pPr>
      <w:r w:rsidRPr="000000D1">
        <w:rPr>
          <w:rFonts w:eastAsia="Calibri" w:cs="Times New Roman"/>
        </w:rPr>
        <w:t>(b) In the same manner as if they were direct receipts, property, and wages of the corporation.</w:t>
      </w:r>
    </w:p>
    <w:p w14:paraId="3C8B0879" w14:textId="77777777" w:rsidR="000000D1" w:rsidRPr="000000D1" w:rsidRDefault="000000D1" w:rsidP="000000D1">
      <w:pPr>
        <w:ind w:left="720"/>
        <w:contextualSpacing/>
        <w:rPr>
          <w:rFonts w:eastAsia="Calibri" w:cs="Times New Roman"/>
        </w:rPr>
      </w:pPr>
      <w:r w:rsidRPr="000000D1">
        <w:rPr>
          <w:rFonts w:eastAsia="Calibri" w:cs="Times New Roman"/>
        </w:rPr>
        <w:t xml:space="preserve">Md. Code Regs. 03.04.07.02(D)(1) </w:t>
      </w:r>
    </w:p>
    <w:p w14:paraId="3CD0D21D" w14:textId="77777777" w:rsidR="000000D1" w:rsidRPr="000000D1" w:rsidRDefault="000000D1" w:rsidP="000000D1">
      <w:pPr>
        <w:contextualSpacing/>
        <w:rPr>
          <w:rFonts w:eastAsia="Calibri" w:cs="Times New Roman"/>
        </w:rPr>
      </w:pPr>
    </w:p>
    <w:p w14:paraId="3219794E" w14:textId="77777777" w:rsidR="000000D1" w:rsidRPr="000000D1" w:rsidRDefault="000000D1" w:rsidP="000000D1">
      <w:pPr>
        <w:ind w:left="1440"/>
        <w:contextualSpacing/>
        <w:rPr>
          <w:rFonts w:eastAsia="Calibri" w:cs="Times New Roman"/>
        </w:rPr>
      </w:pPr>
      <w:r w:rsidRPr="000000D1">
        <w:rPr>
          <w:rFonts w:eastAsia="Calibri" w:cs="Times New Roman"/>
        </w:rPr>
        <w:t>A multi-state pass-through entity that is a partnership (including a limited liability company taxed as a partnership and a business trust taxed as a partnership) shall allocate income to this State using:</w:t>
      </w:r>
    </w:p>
    <w:p w14:paraId="164F65DA" w14:textId="77777777" w:rsidR="000000D1" w:rsidRPr="000000D1" w:rsidRDefault="000000D1" w:rsidP="000000D1">
      <w:pPr>
        <w:ind w:left="720" w:firstLine="720"/>
        <w:contextualSpacing/>
        <w:rPr>
          <w:rFonts w:eastAsia="Calibri" w:cs="Times New Roman"/>
        </w:rPr>
      </w:pPr>
    </w:p>
    <w:p w14:paraId="7F031EBA" w14:textId="77777777" w:rsidR="000000D1" w:rsidRPr="000000D1" w:rsidRDefault="000000D1" w:rsidP="000000D1">
      <w:pPr>
        <w:ind w:left="720" w:firstLine="720"/>
        <w:contextualSpacing/>
        <w:rPr>
          <w:rFonts w:eastAsia="Calibri" w:cs="Times New Roman"/>
        </w:rPr>
      </w:pPr>
      <w:r w:rsidRPr="000000D1">
        <w:rPr>
          <w:rFonts w:eastAsia="Calibri" w:cs="Times New Roman"/>
        </w:rPr>
        <w:t>(a) The apportionment formula for corporations under COMAR 03.04.03.08A—E; or</w:t>
      </w:r>
    </w:p>
    <w:p w14:paraId="35BED12A" w14:textId="77777777" w:rsidR="000000D1" w:rsidRPr="000000D1" w:rsidRDefault="000000D1" w:rsidP="000000D1">
      <w:pPr>
        <w:ind w:left="720" w:firstLine="720"/>
        <w:contextualSpacing/>
        <w:rPr>
          <w:rFonts w:eastAsia="Calibri" w:cs="Times New Roman"/>
        </w:rPr>
      </w:pPr>
    </w:p>
    <w:p w14:paraId="746AFB04" w14:textId="77777777" w:rsidR="000000D1" w:rsidRPr="000000D1" w:rsidRDefault="000000D1" w:rsidP="000000D1">
      <w:pPr>
        <w:ind w:left="720" w:firstLine="720"/>
        <w:contextualSpacing/>
        <w:rPr>
          <w:rFonts w:eastAsia="Calibri" w:cs="Times New Roman"/>
        </w:rPr>
      </w:pPr>
      <w:r w:rsidRPr="000000D1">
        <w:rPr>
          <w:rFonts w:eastAsia="Calibri" w:cs="Times New Roman"/>
        </w:rPr>
        <w:t>(b) Separate accounting.</w:t>
      </w:r>
    </w:p>
    <w:p w14:paraId="472CC296" w14:textId="77777777" w:rsidR="000000D1" w:rsidRPr="000000D1" w:rsidRDefault="000000D1" w:rsidP="000000D1">
      <w:pPr>
        <w:ind w:left="720"/>
        <w:contextualSpacing/>
        <w:rPr>
          <w:rFonts w:eastAsia="Calibri" w:cs="Times New Roman"/>
        </w:rPr>
      </w:pPr>
    </w:p>
    <w:p w14:paraId="1B31D155" w14:textId="77777777" w:rsidR="000000D1" w:rsidRPr="000000D1" w:rsidRDefault="000000D1" w:rsidP="000000D1">
      <w:pPr>
        <w:ind w:left="720"/>
        <w:contextualSpacing/>
        <w:rPr>
          <w:rFonts w:eastAsia="Calibri" w:cs="Times New Roman"/>
        </w:rPr>
      </w:pPr>
      <w:r w:rsidRPr="000000D1">
        <w:rPr>
          <w:rFonts w:eastAsia="Calibri" w:cs="Times New Roman"/>
        </w:rPr>
        <w:t xml:space="preserve">Md. Code Ann., Tax-Gen § 10-401 </w:t>
      </w:r>
    </w:p>
    <w:p w14:paraId="61385F60" w14:textId="77777777" w:rsidR="000000D1" w:rsidRPr="000000D1" w:rsidRDefault="000000D1" w:rsidP="000000D1">
      <w:pPr>
        <w:contextualSpacing/>
        <w:rPr>
          <w:rFonts w:eastAsia="Calibri" w:cs="Times New Roman"/>
        </w:rPr>
      </w:pPr>
    </w:p>
    <w:p w14:paraId="4AAFDA3D" w14:textId="77777777" w:rsidR="000000D1" w:rsidRPr="000000D1" w:rsidRDefault="000000D1" w:rsidP="000000D1">
      <w:pPr>
        <w:ind w:left="1440"/>
        <w:rPr>
          <w:rFonts w:eastAsia="Calibri" w:cs="Times New Roman"/>
        </w:rPr>
      </w:pPr>
      <w:r w:rsidRPr="000000D1">
        <w:rPr>
          <w:rFonts w:eastAsia="Calibri" w:cs="Times New Roman"/>
        </w:rPr>
        <w:t>In computing the adjustments under §§ 10-206 and 10-210 of this title, a nonresident shall allocate to the State income, losses, or adjustments derived in connection with a business that is carried on both in and out of the State and of which the nonresident is a partner, shareholder of an S corporation, or proprietor, or in connection with an occupation, profession, or trade carried on both in and out of the State by:</w:t>
      </w:r>
    </w:p>
    <w:p w14:paraId="5754335F" w14:textId="77777777" w:rsidR="000000D1" w:rsidRPr="000000D1" w:rsidRDefault="000000D1" w:rsidP="000000D1">
      <w:pPr>
        <w:ind w:left="1440"/>
        <w:rPr>
          <w:rFonts w:eastAsia="Calibri" w:cs="Times New Roman"/>
        </w:rPr>
      </w:pPr>
      <w:r w:rsidRPr="000000D1">
        <w:rPr>
          <w:rFonts w:eastAsia="Calibri" w:cs="Times New Roman"/>
        </w:rPr>
        <w:t>(1) separate accounting, if the Comptroller allows; or</w:t>
      </w:r>
    </w:p>
    <w:p w14:paraId="54439BDA" w14:textId="77777777" w:rsidR="000000D1" w:rsidRPr="000000D1" w:rsidRDefault="000000D1" w:rsidP="000000D1">
      <w:pPr>
        <w:ind w:left="1440"/>
        <w:rPr>
          <w:rFonts w:eastAsia="Calibri" w:cs="Times New Roman"/>
        </w:rPr>
      </w:pPr>
      <w:r w:rsidRPr="000000D1">
        <w:rPr>
          <w:rFonts w:eastAsia="Calibri" w:cs="Times New Roman"/>
        </w:rPr>
        <w:t xml:space="preserve">(2) the method that the Comptroller requires to determine fairly the part of the income derived from or </w:t>
      </w:r>
      <w:r w:rsidRPr="000000D1">
        <w:rPr>
          <w:rFonts w:eastAsia="Calibri" w:cs="Times New Roman"/>
        </w:rPr>
        <w:tab/>
        <w:t>reasonably attributable to the trade, business, profession, or occupation carried on in the State.</w:t>
      </w:r>
    </w:p>
    <w:p w14:paraId="40BED9F4" w14:textId="77777777" w:rsidR="000000D1" w:rsidRPr="000000D1" w:rsidRDefault="000000D1" w:rsidP="000000D1">
      <w:pPr>
        <w:ind w:left="720"/>
        <w:contextualSpacing/>
        <w:rPr>
          <w:rFonts w:eastAsia="Calibri" w:cs="Times New Roman"/>
        </w:rPr>
      </w:pPr>
      <w:r w:rsidRPr="000000D1">
        <w:rPr>
          <w:rFonts w:eastAsia="Calibri" w:cs="Times New Roman"/>
        </w:rPr>
        <w:t>Form 511 - Electing Pass-through Entity Income Tax Return Instructions (2023)</w:t>
      </w:r>
    </w:p>
    <w:p w14:paraId="74BC44B9" w14:textId="77777777" w:rsidR="000000D1" w:rsidRPr="000000D1" w:rsidRDefault="000000D1" w:rsidP="000000D1">
      <w:pPr>
        <w:ind w:left="720"/>
        <w:contextualSpacing/>
        <w:rPr>
          <w:rFonts w:eastAsia="Calibri" w:cs="Times New Roman"/>
        </w:rPr>
      </w:pPr>
    </w:p>
    <w:p w14:paraId="75A55A4D" w14:textId="77777777" w:rsidR="000000D1" w:rsidRPr="000000D1" w:rsidRDefault="000000D1" w:rsidP="000000D1">
      <w:pPr>
        <w:ind w:left="1440"/>
        <w:contextualSpacing/>
        <w:rPr>
          <w:rFonts w:eastAsia="Calibri" w:cs="Times New Roman"/>
        </w:rPr>
      </w:pPr>
      <w:r w:rsidRPr="000000D1">
        <w:rPr>
          <w:rFonts w:eastAsia="Calibri" w:cs="Times New Roman"/>
        </w:rPr>
        <w:t xml:space="preserve"> Alternative Apportionment: If the apportionment formula does not fairly represent the extent of the PTE’s activity within Maryland, the Revenue Administration Division may alter the formula or components accordingly. The corporation may also request the Comptroller’s approval to use an Alternative Apportionment Formula.</w:t>
      </w:r>
    </w:p>
    <w:p w14:paraId="638627CB" w14:textId="77777777" w:rsidR="000000D1" w:rsidRPr="000000D1" w:rsidRDefault="000000D1" w:rsidP="000000D1">
      <w:pPr>
        <w:pBdr>
          <w:bottom w:val="single" w:sz="4" w:space="0" w:color="auto"/>
        </w:pBdr>
        <w:rPr>
          <w:rFonts w:eastAsia="Calibri" w:cs="Times New Roman"/>
        </w:rPr>
      </w:pPr>
    </w:p>
    <w:p w14:paraId="2CB17F46"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18" w:name="_Toc198480784"/>
      <w:r w:rsidRPr="000000D1">
        <w:rPr>
          <w:rFonts w:ascii="Californian FB" w:eastAsia="Times New Roman" w:hAnsi="Californian FB" w:cs="Times New Roman"/>
          <w:b/>
          <w:color w:val="851C00"/>
          <w:sz w:val="24"/>
          <w:szCs w:val="24"/>
          <w:u w:val="single"/>
        </w:rPr>
        <w:t>Massachusetts</w:t>
      </w:r>
      <w:bookmarkEnd w:id="118"/>
    </w:p>
    <w:p w14:paraId="306C62D1" w14:textId="77777777" w:rsidR="000000D1" w:rsidRPr="000000D1" w:rsidRDefault="000000D1" w:rsidP="000000D1">
      <w:pPr>
        <w:ind w:left="720"/>
        <w:rPr>
          <w:rFonts w:eastAsia="Calibri" w:cs="Times New Roman"/>
        </w:rPr>
      </w:pPr>
      <w:r w:rsidRPr="000000D1">
        <w:rPr>
          <w:rFonts w:eastAsia="Calibri" w:cs="Times New Roman"/>
        </w:rPr>
        <w:t xml:space="preserve">830 Mass. Code Regs. 63.38.1 </w:t>
      </w:r>
    </w:p>
    <w:p w14:paraId="4917C338" w14:textId="77777777" w:rsidR="000000D1" w:rsidRPr="000000D1" w:rsidRDefault="000000D1" w:rsidP="000000D1">
      <w:pPr>
        <w:ind w:left="1440"/>
        <w:contextualSpacing/>
        <w:rPr>
          <w:rFonts w:eastAsia="Calibri" w:cs="Times New Roman"/>
        </w:rPr>
      </w:pPr>
      <w:r w:rsidRPr="000000D1">
        <w:rPr>
          <w:rFonts w:eastAsia="Calibri" w:cs="Times New Roman"/>
        </w:rPr>
        <w:t>(1)(b) General Rule. All of a taxpayer's taxable net income is allocated to Massachusetts if the taxpayer does not have income from business activity which is taxable in another state. If a taxpayer has income from business activity which is taxable both in Massachusetts and in another state, then the part of its net income derived from business carried on in Massachusetts is determined by multiplying all of its taxable net income by the three factor apportionment percentage as provided in M.G.L. c. 63, § 38(c) through (g) and 830 CMR 63.38.1. If a taxpayer with a Massachusetts commercial domicile has income from business activity which is taxable both in Massachusetts and in another state but also has an income stream that is prohibited from being taxed in another non-domiciliary state by reason of the U.S. Constitution, that income stream shall be allocated in full to Massachusetts.</w:t>
      </w:r>
    </w:p>
    <w:p w14:paraId="2FA90646" w14:textId="77777777" w:rsidR="000000D1" w:rsidRPr="000000D1" w:rsidRDefault="000000D1" w:rsidP="000000D1">
      <w:pPr>
        <w:ind w:left="1440"/>
        <w:contextualSpacing/>
        <w:rPr>
          <w:rFonts w:eastAsia="Calibri" w:cs="Times New Roman"/>
        </w:rPr>
      </w:pPr>
      <w:r w:rsidRPr="000000D1">
        <w:rPr>
          <w:rFonts w:eastAsia="Calibri" w:cs="Times New Roman"/>
        </w:rPr>
        <w:lastRenderedPageBreak/>
        <w:t xml:space="preserve"> </w:t>
      </w:r>
    </w:p>
    <w:p w14:paraId="0262777C" w14:textId="77777777" w:rsidR="000000D1" w:rsidRPr="000000D1" w:rsidRDefault="000000D1" w:rsidP="000000D1">
      <w:pPr>
        <w:ind w:left="1440"/>
        <w:contextualSpacing/>
        <w:rPr>
          <w:rFonts w:eastAsia="Calibri" w:cs="Times New Roman"/>
        </w:rPr>
      </w:pPr>
      <w:r w:rsidRPr="000000D1">
        <w:rPr>
          <w:rFonts w:eastAsia="Calibri" w:cs="Times New Roman"/>
        </w:rPr>
        <w:t>(4)(c) Burden of Proof. Except as provided in 830 CMR 63.38.1(4)(d) (relating to corporate limited partners), all income of a single taxpayer (whether derived directly or through agents, partnerships, or other entities whose activities are attributed to the taxpayer) is presumed to be income from related business activities until the contrary is established. Either the taxpayer or the Commissioner may assert that an item of a taxpayer's income is derived from unrelated business activities. The party making such an assertion must prove by clear and cogent evidence that, in the aggregate, the related business factors at 830 CMR 63.38.1(4)(b), do not reasonably warrant a finding that the business activities are related. To demonstrate that income from cash, cash equivalents, or short-term securities is derived from unrelated business activities, a taxpayer must prove by clear and cogent evidence that the under</w:t>
      </w:r>
    </w:p>
    <w:p w14:paraId="168E9189" w14:textId="77777777" w:rsidR="000000D1" w:rsidRPr="000000D1" w:rsidRDefault="000000D1" w:rsidP="000000D1">
      <w:pPr>
        <w:ind w:left="1440"/>
        <w:contextualSpacing/>
        <w:rPr>
          <w:rFonts w:eastAsia="Calibri" w:cs="Times New Roman"/>
        </w:rPr>
      </w:pPr>
      <w:r w:rsidRPr="000000D1">
        <w:rPr>
          <w:rFonts w:eastAsia="Calibri" w:cs="Times New Roman"/>
        </w:rPr>
        <w:t>lying assets and their acquisition, maintenance, and management were, in fact, unrelated to the taxpayer's business activities in the Commonwealth.</w:t>
      </w:r>
    </w:p>
    <w:p w14:paraId="7672052B" w14:textId="77777777" w:rsidR="000000D1" w:rsidRPr="000000D1" w:rsidRDefault="000000D1" w:rsidP="000000D1">
      <w:pPr>
        <w:ind w:left="1440"/>
        <w:contextualSpacing/>
        <w:rPr>
          <w:rFonts w:eastAsia="Calibri" w:cs="Times New Roman"/>
        </w:rPr>
      </w:pPr>
    </w:p>
    <w:p w14:paraId="0F3D2FA5" w14:textId="77777777" w:rsidR="000000D1" w:rsidRPr="000000D1" w:rsidRDefault="000000D1" w:rsidP="000000D1">
      <w:pPr>
        <w:ind w:left="1440"/>
        <w:contextualSpacing/>
        <w:rPr>
          <w:rFonts w:eastAsia="Calibri" w:cs="Times New Roman"/>
        </w:rPr>
      </w:pPr>
      <w:r w:rsidRPr="000000D1">
        <w:rPr>
          <w:rFonts w:eastAsia="Calibri" w:cs="Times New Roman"/>
        </w:rPr>
        <w:t>(4)(d) Presumption of Unrelated Business Activity of Corporate Limited Partners. In cases where a corporate limited partner owns, either directly or indirectly (including all interests of any party whose direct or indirect stock ownership would be attributed to the corporate limited partner under the provisions of 26 U.S. Code § 318), less than 50% of either the capital or profit interests of a partnership and the business activity of the limited partnership is attributed to the corporate limited partner under 830 CMR 63.39.1(8), the business activity of the limited partnership is presumed to be unrelated to the corporation's other business activities unless the Commissioner or the taxpayer rebuts this presumption. If the business activities of the partnership and the corporate limited partner are unrelated, then the corporate limited partner must separately account for its income from the holding or disposition of its limited partnership interest and its other business income and must separately apportion to Massachusetts income from each unrelated activity (to the extent that Massachusetts has jurisdiction to tax income from each such activity), using only the apportionment factors applicable to that activity. The separate accounting shall apply both to the determination of income subject to apportionment under M.G.L. c. 63, § 2A, 38 or 42, and to the determination of the non-income measure under M.G.L. c. 63, § 39(a)(1).</w:t>
      </w:r>
    </w:p>
    <w:p w14:paraId="39598B82" w14:textId="77777777" w:rsidR="000000D1" w:rsidRPr="000000D1" w:rsidRDefault="000000D1" w:rsidP="000000D1">
      <w:pPr>
        <w:ind w:left="1440"/>
        <w:contextualSpacing/>
        <w:rPr>
          <w:rFonts w:eastAsia="Calibri" w:cs="Times New Roman"/>
        </w:rPr>
      </w:pPr>
    </w:p>
    <w:p w14:paraId="3B49C767" w14:textId="77777777" w:rsidR="000000D1" w:rsidRPr="000000D1" w:rsidRDefault="000000D1" w:rsidP="000000D1">
      <w:pPr>
        <w:ind w:left="1440"/>
        <w:contextualSpacing/>
        <w:rPr>
          <w:rFonts w:eastAsia="Calibri" w:cs="Times New Roman"/>
        </w:rPr>
      </w:pPr>
      <w:r w:rsidRPr="000000D1">
        <w:rPr>
          <w:rFonts w:eastAsia="Calibri" w:cs="Times New Roman"/>
        </w:rPr>
        <w:t>Either the Commissioner or a taxpayer may rebut the presumption of unrelated business activity by demonstrating that the corporate limited partner and the partnership are engaged in a unitary business. If a corporate limited partner has engaged in a unitary business with the partnership in one or more taxable years, the corporate limited partner may not separately account in any such taxable year for the income it derives from the partnership. Instead, the corporate limited partner shall apportion to Massachusetts all income derived from business activity carried on within the commonwealth, including income derived from its partnership interest, in accordance with the rules of M.G.L. c. 63, § 2A, 38 or 42 using the corporate limited partner's own property, payroll, and sales plus its pro rata portion of the partnership's property, payroll, and sales to determine an apportionment percentage.</w:t>
      </w:r>
    </w:p>
    <w:p w14:paraId="187397B5" w14:textId="77777777" w:rsidR="000000D1" w:rsidRPr="000000D1" w:rsidRDefault="000000D1" w:rsidP="000000D1">
      <w:pPr>
        <w:ind w:left="1440"/>
        <w:contextualSpacing/>
        <w:rPr>
          <w:rFonts w:eastAsia="Calibri" w:cs="Times New Roman"/>
        </w:rPr>
      </w:pPr>
    </w:p>
    <w:p w14:paraId="258FB3B4" w14:textId="77777777" w:rsidR="000000D1" w:rsidRPr="000000D1" w:rsidRDefault="000000D1" w:rsidP="000000D1">
      <w:pPr>
        <w:ind w:left="1440"/>
        <w:contextualSpacing/>
        <w:rPr>
          <w:rFonts w:eastAsia="Calibri" w:cs="Times New Roman"/>
        </w:rPr>
      </w:pPr>
      <w:r w:rsidRPr="000000D1">
        <w:rPr>
          <w:rFonts w:eastAsia="Calibri" w:cs="Times New Roman"/>
        </w:rPr>
        <w:t>Example 1. Corporation A, which is domiciled outside of Massachusetts, owns a minority limited partnership interest in Partnership A. Partnership A conducts business in Massachusetts. Apart from this partnership holding, Corporation A does not conduct business in Massachusetts. Neither Corporation A nor the Commissioner rebuts the presumption that the business activities of Corporation A and Partnership A are unrelated. Corporation A must separately apportion to Massachusetts income from the holding or disposition of its interest in Partnership A, using the apportionment factors derived from the partnership's activity. Income from Corporation A's other activities is not subject to Massachusetts tax jurisdiction and is excluded from the Corporation's taxable net income.</w:t>
      </w:r>
    </w:p>
    <w:p w14:paraId="14EDB5AB" w14:textId="77777777" w:rsidR="000000D1" w:rsidRPr="000000D1" w:rsidRDefault="000000D1" w:rsidP="000000D1">
      <w:pPr>
        <w:ind w:left="1440"/>
        <w:contextualSpacing/>
        <w:rPr>
          <w:rFonts w:eastAsia="Calibri" w:cs="Times New Roman"/>
        </w:rPr>
      </w:pPr>
    </w:p>
    <w:p w14:paraId="7E5F1A37" w14:textId="77777777" w:rsidR="000000D1" w:rsidRPr="000000D1" w:rsidRDefault="000000D1" w:rsidP="000000D1">
      <w:pPr>
        <w:ind w:left="1440"/>
        <w:contextualSpacing/>
        <w:rPr>
          <w:rFonts w:eastAsia="Calibri" w:cs="Times New Roman"/>
        </w:rPr>
      </w:pPr>
      <w:r w:rsidRPr="000000D1">
        <w:rPr>
          <w:rFonts w:eastAsia="Calibri" w:cs="Times New Roman"/>
        </w:rPr>
        <w:lastRenderedPageBreak/>
        <w:t>Example 2. Corporation B, which is domiciled outside of Massachusetts, conducts business in Massachusetts and, in addition, owns a minority limited partnership interest in Partnership B. Partnership B does not conduct business in Massachusetts. Neither Corporation B nor the Commissioner rebuts the presumption that the business activities of Corporation B and Partnership B are unrelated. Income from Corporation B's holding or disposition of its interest in Partnership B is not subject to Massachusetts tax jurisdiction and is excluded from the Corporation's taxable net income. Corporation B must apportion the balance of its income to Massachusetts using the apportionment factors derived from its other activities.</w:t>
      </w:r>
    </w:p>
    <w:p w14:paraId="217D998E" w14:textId="77777777" w:rsidR="000000D1" w:rsidRPr="000000D1" w:rsidRDefault="000000D1" w:rsidP="000000D1">
      <w:pPr>
        <w:ind w:left="1440"/>
        <w:contextualSpacing/>
        <w:rPr>
          <w:rFonts w:eastAsia="Calibri" w:cs="Times New Roman"/>
        </w:rPr>
      </w:pPr>
    </w:p>
    <w:p w14:paraId="6A78B3E0" w14:textId="77777777" w:rsidR="000000D1" w:rsidRPr="000000D1" w:rsidRDefault="000000D1" w:rsidP="000000D1">
      <w:pPr>
        <w:ind w:left="1440"/>
        <w:contextualSpacing/>
        <w:rPr>
          <w:rFonts w:eastAsia="Calibri" w:cs="Times New Roman"/>
        </w:rPr>
      </w:pPr>
      <w:r w:rsidRPr="000000D1">
        <w:rPr>
          <w:rFonts w:eastAsia="Calibri" w:cs="Times New Roman"/>
        </w:rPr>
        <w:t>Example 3. Corporation C is domiciled in Massachusetts and holds a minority limited partnership interest in Partnership C. Partnership C may or may not be engaged in business in Massachusetts. Neither Corporation C nor the Commissioner rebuts the presumption that the activities of Corporation C and Partnership C are unrelated. Corporation C must separately apportion to Massachusetts income derived from its interest in Partnership C, using the apportionment factors derived from the partnership's activity. Corporation C must apportion the balance of its income to Massachusetts using the apportionment factors derived from its other activities. The taxable net income of Corporation C is the sum of these separately apportioned amounts.</w:t>
      </w:r>
    </w:p>
    <w:p w14:paraId="339989AB" w14:textId="77777777" w:rsidR="000000D1" w:rsidRPr="000000D1" w:rsidRDefault="000000D1" w:rsidP="000000D1">
      <w:pPr>
        <w:ind w:left="1440"/>
        <w:contextualSpacing/>
        <w:rPr>
          <w:rFonts w:eastAsia="Calibri" w:cs="Times New Roman"/>
        </w:rPr>
      </w:pPr>
    </w:p>
    <w:p w14:paraId="2443312D" w14:textId="77777777" w:rsidR="000000D1" w:rsidRPr="000000D1" w:rsidRDefault="000000D1" w:rsidP="000000D1">
      <w:pPr>
        <w:ind w:left="1440"/>
        <w:contextualSpacing/>
        <w:rPr>
          <w:rFonts w:eastAsia="Calibri" w:cs="Times New Roman"/>
        </w:rPr>
      </w:pPr>
      <w:r w:rsidRPr="000000D1">
        <w:rPr>
          <w:rFonts w:eastAsia="Calibri" w:cs="Times New Roman"/>
        </w:rPr>
        <w:t>(12) Corporate Partners. A corporation with an interest in a partnership must include its distributive share of the partnership income, loss, or deduction in calculating its income, in accordance with 26 U.S. Code and M.G.L. c. 63. The character of any item included in the distributive share is determined as if it were realized or incurred directly by the corporation. Except as otherwise provided, the trade or business of the partnership is treated as the trade or business of the corporation. For purposes of determining whether the corporation is a mutual fund service corporation or a Section 38 manufacturer, the corporation's pro rata share (as defined in 830 CMR 63.38.1(12)(f)) of all of the partnership's items, factors and activities shall be taken into account to the extent relevant to the determination, whether or not the corporation and the partnership are engaged in related business activities. If the partnership and corporate partner are engaged in related business activities, the corporation's pro rata share (as defined in 830 CMR 63.38.1(12)(f)) of partnership property, payroll, and sales are included in the partner's apportionment factors, subject to the special rules provided in 830 CMR 63.38.1(12)(d). (Except as otherwise expressly stated, the partnership rules provided in 830 CMR 63.38.1(12) presume that a partnership and corporate partner are engaged in related business activities.)</w:t>
      </w:r>
    </w:p>
    <w:p w14:paraId="40C24CD6" w14:textId="77777777" w:rsidR="000000D1" w:rsidRPr="000000D1" w:rsidRDefault="000000D1" w:rsidP="000000D1">
      <w:pPr>
        <w:ind w:left="1440"/>
        <w:contextualSpacing/>
        <w:rPr>
          <w:rFonts w:eastAsia="Calibri" w:cs="Times New Roman"/>
        </w:rPr>
      </w:pPr>
    </w:p>
    <w:p w14:paraId="790A7E23" w14:textId="77777777" w:rsidR="000000D1" w:rsidRPr="000000D1" w:rsidRDefault="000000D1" w:rsidP="000000D1">
      <w:pPr>
        <w:ind w:left="1440"/>
        <w:contextualSpacing/>
        <w:rPr>
          <w:rFonts w:eastAsia="Calibri" w:cs="Times New Roman"/>
        </w:rPr>
      </w:pPr>
      <w:r w:rsidRPr="000000D1">
        <w:rPr>
          <w:rFonts w:eastAsia="Calibri" w:cs="Times New Roman"/>
        </w:rPr>
        <w:t>(a) Taxable in Massachusetts.</w:t>
      </w:r>
    </w:p>
    <w:p w14:paraId="22960119" w14:textId="77777777" w:rsidR="000000D1" w:rsidRPr="000000D1" w:rsidRDefault="000000D1" w:rsidP="000000D1">
      <w:pPr>
        <w:ind w:left="1440"/>
        <w:contextualSpacing/>
        <w:rPr>
          <w:rFonts w:eastAsia="Calibri" w:cs="Times New Roman"/>
        </w:rPr>
      </w:pPr>
    </w:p>
    <w:p w14:paraId="6FB4E3A3" w14:textId="77777777" w:rsidR="000000D1" w:rsidRPr="000000D1" w:rsidRDefault="000000D1" w:rsidP="000000D1">
      <w:pPr>
        <w:ind w:left="1440"/>
        <w:contextualSpacing/>
        <w:rPr>
          <w:rFonts w:eastAsia="Calibri" w:cs="Times New Roman"/>
        </w:rPr>
      </w:pPr>
      <w:r w:rsidRPr="000000D1">
        <w:rPr>
          <w:rFonts w:eastAsia="Calibri" w:cs="Times New Roman"/>
        </w:rPr>
        <w:t>1. A corporation that is not otherwise subject to Massachusetts tax jurisdiction is nevertheless taxable in Massachusetts if it is a general partner in a partnership whose activities, if conducted directly by the corporation, would subject the corporation to the excise under M.G.L. c. 63, § 39. See 830 CMR 63.39.1(8).</w:t>
      </w:r>
    </w:p>
    <w:p w14:paraId="098DCFF7" w14:textId="77777777" w:rsidR="000000D1" w:rsidRPr="000000D1" w:rsidRDefault="000000D1" w:rsidP="000000D1">
      <w:pPr>
        <w:ind w:left="1440"/>
        <w:contextualSpacing/>
        <w:rPr>
          <w:rFonts w:eastAsia="Calibri" w:cs="Times New Roman"/>
        </w:rPr>
      </w:pPr>
    </w:p>
    <w:p w14:paraId="206FF200" w14:textId="77777777" w:rsidR="000000D1" w:rsidRPr="000000D1" w:rsidRDefault="000000D1" w:rsidP="000000D1">
      <w:pPr>
        <w:ind w:left="1440"/>
        <w:contextualSpacing/>
        <w:rPr>
          <w:rFonts w:eastAsia="Calibri" w:cs="Times New Roman"/>
        </w:rPr>
      </w:pPr>
      <w:r w:rsidRPr="000000D1">
        <w:rPr>
          <w:rFonts w:eastAsia="Calibri" w:cs="Times New Roman"/>
        </w:rPr>
        <w:t xml:space="preserve">2. In general, a corporation that is not otherwise subject to Massachusetts tax jurisdiction is taxable in Massachusetts if it is a limited partner in a partnership whose activities, if conducted directly by the corporation, would subject the corporation to the excise under M.G.L. c. 63, § 39. However, as provided in 830 CMR 63.38.1(4)(d), the business activities of the partnership and the corporate limited partner are, in certain circumstances, presumed to be unrelated, so that unless the presumption is rebutted, such partner is taxable in Massachusetts only with respect to the partnership activity. Moreover, under the circumstances described in 830 CMR 63.39.1(8)(b) through (d) (relating to certain partnerships dealing in securities, publicly traded partnerships, and certain de minimis limited partnership holdings), the activities of the partnership are not </w:t>
      </w:r>
      <w:r w:rsidRPr="000000D1">
        <w:rPr>
          <w:rFonts w:eastAsia="Calibri" w:cs="Times New Roman"/>
        </w:rPr>
        <w:lastRenderedPageBreak/>
        <w:t>attributed to the corporation, and the corporation is not taxable in Massachusetts merely by virtue of holding such a limited partnership interest.</w:t>
      </w:r>
    </w:p>
    <w:p w14:paraId="01A3B77B" w14:textId="77777777" w:rsidR="000000D1" w:rsidRPr="000000D1" w:rsidRDefault="000000D1" w:rsidP="000000D1">
      <w:pPr>
        <w:ind w:left="1440"/>
        <w:contextualSpacing/>
        <w:rPr>
          <w:rFonts w:eastAsia="Calibri" w:cs="Times New Roman"/>
        </w:rPr>
      </w:pPr>
    </w:p>
    <w:p w14:paraId="00C2961F" w14:textId="77777777" w:rsidR="000000D1" w:rsidRPr="000000D1" w:rsidRDefault="000000D1" w:rsidP="000000D1">
      <w:pPr>
        <w:ind w:left="1440"/>
        <w:contextualSpacing/>
        <w:rPr>
          <w:rFonts w:eastAsia="Calibri" w:cs="Times New Roman"/>
        </w:rPr>
      </w:pPr>
      <w:r w:rsidRPr="000000D1">
        <w:rPr>
          <w:rFonts w:eastAsia="Calibri" w:cs="Times New Roman"/>
        </w:rPr>
        <w:t>(b) Taxable in Another State. A corporation is taxable in another state within the meaning of 830 CMR 63.38.1(5) if the corporation is a general partner in a partnership with business activities in that state that cause either the partnership or its partners to be taxable in that state described in 830 CMR 63.38.1(5). A corporation that is a limited partner in a partnership with business activity in another state is taxable in another state within the meaning of 830 CMR 63.38.1(5) if and to the extent that the corporation would be taxed in Massachusetts under the same facts and circumstances that exist in the other state. A corporation holding a limited partnership interest in a partnership that does business in another state is taxable in the other state for purposes of apportioning its partnership income, but not for purposes of apportioning income from its other business activities, unless the corporate partner and the partnership are engaged in related business activities, or unless the corporate partner is separately taxable in the other state on the basis of its other (unrelated) business activities.</w:t>
      </w:r>
    </w:p>
    <w:p w14:paraId="4405CBB9" w14:textId="77777777" w:rsidR="000000D1" w:rsidRPr="000000D1" w:rsidRDefault="000000D1" w:rsidP="000000D1">
      <w:pPr>
        <w:ind w:left="1440"/>
        <w:contextualSpacing/>
        <w:rPr>
          <w:rFonts w:eastAsia="Calibri" w:cs="Times New Roman"/>
        </w:rPr>
      </w:pPr>
    </w:p>
    <w:p w14:paraId="2D6560D8" w14:textId="77777777" w:rsidR="000000D1" w:rsidRPr="000000D1" w:rsidRDefault="000000D1" w:rsidP="000000D1">
      <w:pPr>
        <w:ind w:left="1440"/>
        <w:contextualSpacing/>
        <w:rPr>
          <w:rFonts w:eastAsia="Calibri" w:cs="Times New Roman"/>
        </w:rPr>
      </w:pPr>
      <w:r w:rsidRPr="000000D1">
        <w:rPr>
          <w:rFonts w:eastAsia="Calibri" w:cs="Times New Roman"/>
        </w:rPr>
        <w:t>(c) Income Measure of the Excise. When computing its net income for the taxable year, a corporation must include its distributive share of partnership items for any partnership year ending with or within its taxable year. The following examples illustrate the application of 830 CMR 63.38.1(12)(c):</w:t>
      </w:r>
    </w:p>
    <w:p w14:paraId="25410787" w14:textId="77777777" w:rsidR="000000D1" w:rsidRPr="000000D1" w:rsidRDefault="000000D1" w:rsidP="000000D1">
      <w:pPr>
        <w:ind w:left="1440"/>
        <w:contextualSpacing/>
        <w:rPr>
          <w:rFonts w:eastAsia="Calibri" w:cs="Times New Roman"/>
        </w:rPr>
      </w:pPr>
      <w:r w:rsidRPr="000000D1">
        <w:rPr>
          <w:rFonts w:eastAsia="Calibri" w:cs="Times New Roman"/>
        </w:rPr>
        <w:t>1. Corporation C holds a 20% profits interest in Partnership P. C's income for the year was $1,000,000 and P's income for the same year was $800,000. The income of C is $1,160,000 ($1,000,000 plus 20% of $800,000).</w:t>
      </w:r>
    </w:p>
    <w:p w14:paraId="4ACA7D57" w14:textId="77777777" w:rsidR="000000D1" w:rsidRPr="000000D1" w:rsidRDefault="000000D1" w:rsidP="000000D1">
      <w:pPr>
        <w:ind w:left="1440"/>
        <w:contextualSpacing/>
        <w:rPr>
          <w:rFonts w:eastAsia="Calibri" w:cs="Times New Roman"/>
        </w:rPr>
      </w:pPr>
      <w:r w:rsidRPr="000000D1">
        <w:rPr>
          <w:rFonts w:eastAsia="Calibri" w:cs="Times New Roman"/>
        </w:rPr>
        <w:t>2. Corporation C holds a 90% profits interest in Partnership P. C incurred a loss of $500,000 for the year but P's income was $1,000,000. The income of C is $400,000 (90% of $1,000,000 = $900,000 less the loss of $500,000).</w:t>
      </w:r>
    </w:p>
    <w:p w14:paraId="55374E64" w14:textId="77777777" w:rsidR="000000D1" w:rsidRPr="000000D1" w:rsidRDefault="000000D1" w:rsidP="000000D1">
      <w:pPr>
        <w:ind w:left="1440"/>
        <w:contextualSpacing/>
        <w:rPr>
          <w:rFonts w:eastAsia="Calibri" w:cs="Times New Roman"/>
        </w:rPr>
      </w:pPr>
      <w:r w:rsidRPr="000000D1">
        <w:rPr>
          <w:rFonts w:eastAsia="Calibri" w:cs="Times New Roman"/>
        </w:rPr>
        <w:t>(d) Special Apportionment Rules. In general, if a corporate partner is taxable in another state, it must apportion its taxable net income using the apportionment percentage in M.G.L. c. 63, § 38. However, the following shall apply:</w:t>
      </w:r>
    </w:p>
    <w:p w14:paraId="45C73FB9" w14:textId="77777777" w:rsidR="000000D1" w:rsidRPr="000000D1" w:rsidRDefault="000000D1" w:rsidP="000000D1">
      <w:pPr>
        <w:ind w:left="1440"/>
        <w:contextualSpacing/>
        <w:rPr>
          <w:rFonts w:eastAsia="Calibri" w:cs="Times New Roman"/>
        </w:rPr>
      </w:pPr>
      <w:r w:rsidRPr="000000D1">
        <w:rPr>
          <w:rFonts w:eastAsia="Calibri" w:cs="Times New Roman"/>
        </w:rPr>
        <w:t>1. Property Factor. In determining the denominator of its property factor, a corporate partner must include its pro rata share of the total value of the partnership's real and tangible personal property, owned or rented, used during the partnership's taxable year. In determining the numerator of its property factor, a corporate partner must include its pro rata share of the value of such property located in Massachusetts.</w:t>
      </w:r>
    </w:p>
    <w:p w14:paraId="07E47D8B" w14:textId="77777777" w:rsidR="000000D1" w:rsidRPr="000000D1" w:rsidRDefault="000000D1" w:rsidP="000000D1">
      <w:pPr>
        <w:ind w:left="1440"/>
        <w:contextualSpacing/>
        <w:rPr>
          <w:rFonts w:eastAsia="Calibri" w:cs="Times New Roman"/>
        </w:rPr>
      </w:pPr>
      <w:r w:rsidRPr="000000D1">
        <w:rPr>
          <w:rFonts w:eastAsia="Calibri" w:cs="Times New Roman"/>
        </w:rPr>
        <w:t>a. In order to avoid duplication, however, certain adjustments must be made to the value of any property leased or rented by the corporation to the partnership or vice versa.</w:t>
      </w:r>
    </w:p>
    <w:p w14:paraId="63B0EF19" w14:textId="77777777" w:rsidR="000000D1" w:rsidRPr="000000D1" w:rsidRDefault="000000D1" w:rsidP="000000D1">
      <w:pPr>
        <w:ind w:left="1440"/>
        <w:contextualSpacing/>
        <w:rPr>
          <w:rFonts w:eastAsia="Calibri" w:cs="Times New Roman"/>
        </w:rPr>
      </w:pPr>
      <w:r w:rsidRPr="000000D1">
        <w:rPr>
          <w:rFonts w:eastAsia="Calibri" w:cs="Times New Roman"/>
        </w:rPr>
        <w:t>i. Where a corporation rents property to the partnership, it must include the original cost of the property in its property factor. No portion of the value of this property as rental property of the partnership is included.</w:t>
      </w:r>
    </w:p>
    <w:p w14:paraId="15D1755D" w14:textId="77777777" w:rsidR="000000D1" w:rsidRPr="000000D1" w:rsidRDefault="000000D1" w:rsidP="000000D1">
      <w:pPr>
        <w:ind w:left="1440"/>
        <w:contextualSpacing/>
        <w:rPr>
          <w:rFonts w:eastAsia="Calibri" w:cs="Times New Roman"/>
        </w:rPr>
      </w:pPr>
      <w:r w:rsidRPr="000000D1">
        <w:rPr>
          <w:rFonts w:eastAsia="Calibri" w:cs="Times New Roman"/>
        </w:rPr>
        <w:t>ii. Where the partnership rents property to the corporation, the corporation includes in its property factor the sum of:</w:t>
      </w:r>
    </w:p>
    <w:p w14:paraId="1F903E1D" w14:textId="77777777" w:rsidR="000000D1" w:rsidRPr="000000D1" w:rsidRDefault="000000D1" w:rsidP="000000D1">
      <w:pPr>
        <w:ind w:left="1440"/>
        <w:contextualSpacing/>
        <w:rPr>
          <w:rFonts w:eastAsia="Calibri" w:cs="Times New Roman"/>
        </w:rPr>
      </w:pPr>
      <w:r w:rsidRPr="000000D1">
        <w:rPr>
          <w:rFonts w:eastAsia="Calibri" w:cs="Times New Roman"/>
        </w:rPr>
        <w:t>A. the original cost of the property multiplied by the corporation's percentage of interest in the partnership; plus</w:t>
      </w:r>
    </w:p>
    <w:p w14:paraId="7BABA364" w14:textId="77777777" w:rsidR="000000D1" w:rsidRPr="000000D1" w:rsidRDefault="000000D1" w:rsidP="000000D1">
      <w:pPr>
        <w:ind w:left="1440"/>
        <w:contextualSpacing/>
        <w:rPr>
          <w:rFonts w:eastAsia="Calibri" w:cs="Times New Roman"/>
        </w:rPr>
      </w:pPr>
      <w:r w:rsidRPr="000000D1">
        <w:rPr>
          <w:rFonts w:eastAsia="Calibri" w:cs="Times New Roman"/>
        </w:rPr>
        <w:t>B. eight times the net annual rental rate of the property, multiplied by the difference between 100% and the corporation's percentage of interest in the partnership.</w:t>
      </w:r>
    </w:p>
    <w:p w14:paraId="02A830C3" w14:textId="77777777" w:rsidR="000000D1" w:rsidRPr="000000D1" w:rsidRDefault="000000D1" w:rsidP="000000D1">
      <w:pPr>
        <w:ind w:left="1440"/>
        <w:contextualSpacing/>
        <w:rPr>
          <w:rFonts w:eastAsia="Calibri" w:cs="Times New Roman"/>
        </w:rPr>
      </w:pPr>
      <w:r w:rsidRPr="000000D1">
        <w:rPr>
          <w:rFonts w:eastAsia="Calibri" w:cs="Times New Roman"/>
        </w:rPr>
        <w:t>b. The following examples illustrate the application of 830 CMR 63.38.1(12)(d)1.:</w:t>
      </w:r>
    </w:p>
    <w:p w14:paraId="09635F04" w14:textId="77777777" w:rsidR="000000D1" w:rsidRPr="000000D1" w:rsidRDefault="000000D1" w:rsidP="000000D1">
      <w:pPr>
        <w:ind w:left="1440"/>
        <w:contextualSpacing/>
        <w:rPr>
          <w:rFonts w:eastAsia="Calibri" w:cs="Times New Roman"/>
        </w:rPr>
      </w:pPr>
      <w:r w:rsidRPr="000000D1">
        <w:rPr>
          <w:rFonts w:eastAsia="Calibri" w:cs="Times New Roman"/>
        </w:rPr>
        <w:t>i. Corporation C has a 20% profits interest in Partnership P. C owns a building (original cost $100,000) which it rents to Pat a fair market rate of $12,000 per year. C must include the $100,000 original cost of the building in its property factor. No portion of the value of the property as rental property of the partnership is included in C's property factor.</w:t>
      </w:r>
    </w:p>
    <w:p w14:paraId="4440DC72" w14:textId="77777777" w:rsidR="000000D1" w:rsidRPr="000000D1" w:rsidRDefault="000000D1" w:rsidP="000000D1">
      <w:pPr>
        <w:ind w:left="1440"/>
        <w:contextualSpacing/>
        <w:rPr>
          <w:rFonts w:eastAsia="Calibri" w:cs="Times New Roman"/>
        </w:rPr>
      </w:pPr>
      <w:r w:rsidRPr="000000D1">
        <w:rPr>
          <w:rFonts w:eastAsia="Calibri" w:cs="Times New Roman"/>
        </w:rPr>
        <w:t xml:space="preserve">ii. The facts are the same as in the previous example except that P owns the building and rents it to C. C will include $20,000 (20% of $100,000) in its property factor because of its interest in P. C will also include $76,800 ([$12,000 x 8] x 80%) in its </w:t>
      </w:r>
      <w:r w:rsidRPr="000000D1">
        <w:rPr>
          <w:rFonts w:eastAsia="Calibri" w:cs="Times New Roman"/>
        </w:rPr>
        <w:lastRenderedPageBreak/>
        <w:t>property factor to account for the rented building used in its operations. Thus, the building's value in C's property factor is $96,800 ($20,000, plus $76,800).</w:t>
      </w:r>
    </w:p>
    <w:p w14:paraId="0755D088" w14:textId="77777777" w:rsidR="000000D1" w:rsidRPr="000000D1" w:rsidRDefault="000000D1" w:rsidP="000000D1">
      <w:pPr>
        <w:ind w:left="1440"/>
        <w:contextualSpacing/>
        <w:rPr>
          <w:rFonts w:eastAsia="Calibri" w:cs="Times New Roman"/>
        </w:rPr>
      </w:pPr>
      <w:r w:rsidRPr="000000D1">
        <w:rPr>
          <w:rFonts w:eastAsia="Calibri" w:cs="Times New Roman"/>
        </w:rPr>
        <w:t>2. Payroll Factor. In determining the denominator of its payroll factor, a corporate partner must include its pro rata share of the total compensation paid by the partnership during the partnership's taxable year. In determining the numerator of its payroll factor, a corporate partner must include its pro rata share of such compensation paid in Massachusetts during the taxable year. The following example illustrates the application of 830 CMR 63.38.1(12)(d)2.:</w:t>
      </w:r>
    </w:p>
    <w:p w14:paraId="022DB4C5" w14:textId="77777777" w:rsidR="000000D1" w:rsidRPr="000000D1" w:rsidRDefault="000000D1" w:rsidP="000000D1">
      <w:pPr>
        <w:ind w:left="1440"/>
        <w:contextualSpacing/>
        <w:rPr>
          <w:rFonts w:eastAsia="Calibri" w:cs="Times New Roman"/>
        </w:rPr>
      </w:pPr>
      <w:r w:rsidRPr="000000D1">
        <w:rPr>
          <w:rFonts w:eastAsia="Calibri" w:cs="Times New Roman"/>
        </w:rPr>
        <w:t>Corporation C has a 20% profits interest in Partnership P. C's own payroll is $1,000,000, half of which is attributable to Massachusetts employees, and P's payroll is $800,000, one quarter of which is attributable to Massachusetts employees. The denominator of C's payroll factor is $1,160,000 ($1,000,000, plus 20% of $800,000, or $160,000). The numerator of C's payroll factor is $540,000 (50% of $1,000,000 plus 25% of $160,000).</w:t>
      </w:r>
    </w:p>
    <w:p w14:paraId="2E7CA85C" w14:textId="77777777" w:rsidR="000000D1" w:rsidRPr="000000D1" w:rsidRDefault="000000D1" w:rsidP="000000D1">
      <w:pPr>
        <w:ind w:left="1440"/>
        <w:contextualSpacing/>
        <w:rPr>
          <w:rFonts w:eastAsia="Calibri" w:cs="Times New Roman"/>
        </w:rPr>
      </w:pPr>
      <w:r w:rsidRPr="000000D1">
        <w:rPr>
          <w:rFonts w:eastAsia="Calibri" w:cs="Times New Roman"/>
        </w:rPr>
        <w:t>3. Sales Factor. In determining the denominator of its sales factor, a corporate partner must include its pro rata share of the partnership's total sales during the partnership's taxable year. In determining the numerator of its sales factor, a corporate partner must include its pro rata share of such sales in Massachusetts.</w:t>
      </w:r>
    </w:p>
    <w:p w14:paraId="7F538D23" w14:textId="77777777" w:rsidR="000000D1" w:rsidRPr="000000D1" w:rsidRDefault="000000D1" w:rsidP="000000D1">
      <w:pPr>
        <w:ind w:left="1440"/>
        <w:contextualSpacing/>
        <w:rPr>
          <w:rFonts w:eastAsia="Calibri" w:cs="Times New Roman"/>
        </w:rPr>
      </w:pPr>
      <w:r w:rsidRPr="000000D1">
        <w:rPr>
          <w:rFonts w:eastAsia="Calibri" w:cs="Times New Roman"/>
        </w:rPr>
        <w:t>a. In order to avoid duplication, however, the following sales must be eliminated from both the numerator and denominator of the sales factor:</w:t>
      </w:r>
    </w:p>
    <w:p w14:paraId="435A8601" w14:textId="77777777" w:rsidR="000000D1" w:rsidRPr="000000D1" w:rsidRDefault="000000D1" w:rsidP="000000D1">
      <w:pPr>
        <w:ind w:left="1440"/>
        <w:contextualSpacing/>
        <w:rPr>
          <w:rFonts w:eastAsia="Calibri" w:cs="Times New Roman"/>
        </w:rPr>
      </w:pPr>
      <w:r w:rsidRPr="000000D1">
        <w:rPr>
          <w:rFonts w:eastAsia="Calibri" w:cs="Times New Roman"/>
        </w:rPr>
        <w:t>i. sales by the corporation to the partnership in an amount equal to the total of such sales multiplied by the corporation's profits interest in the partnership; and</w:t>
      </w:r>
    </w:p>
    <w:p w14:paraId="02D3ABCF" w14:textId="77777777" w:rsidR="000000D1" w:rsidRPr="000000D1" w:rsidRDefault="000000D1" w:rsidP="000000D1">
      <w:pPr>
        <w:ind w:left="1440"/>
        <w:contextualSpacing/>
        <w:rPr>
          <w:rFonts w:eastAsia="Calibri" w:cs="Times New Roman"/>
        </w:rPr>
      </w:pPr>
      <w:r w:rsidRPr="000000D1">
        <w:rPr>
          <w:rFonts w:eastAsia="Calibri" w:cs="Times New Roman"/>
        </w:rPr>
        <w:t>ii. sales by the partnership to the corporation in an amount not to exceed the total of all sales made by the partnership multiplied by the corporation's profits interest in the partnership . . .</w:t>
      </w:r>
    </w:p>
    <w:p w14:paraId="0D72D6B4" w14:textId="77777777" w:rsidR="000000D1" w:rsidRPr="000000D1" w:rsidRDefault="000000D1" w:rsidP="000000D1">
      <w:pPr>
        <w:ind w:left="1440"/>
        <w:contextualSpacing/>
        <w:rPr>
          <w:rFonts w:eastAsia="Calibri" w:cs="Times New Roman"/>
        </w:rPr>
      </w:pPr>
      <w:r w:rsidRPr="000000D1">
        <w:rPr>
          <w:rFonts w:eastAsia="Calibri" w:cs="Times New Roman"/>
        </w:rPr>
        <w:t>(f) Pro Rata Share. For purposes of 830 CMR 63.38.1(12), a partner's pro rata share of a partnership's items, factors and activities shall be its percentage interest in partnership profit or loss for the taxable year, as stated on the partner's Schedule K-1, provided however, that if, under the partnership agreement, a partner's share of gain or loss from the sale of particular partnership assets is specially allocated in a manner different from its profit or loss ratio stated on Schedule K-1, and such special allocation has "substantial economic effect" as defined in Treas. Reg. § 1.704-1(b)(2), gross receipts from sales of such assets shall be assigned to its sales factor in the same proportion as the partner's interest in gain or loss from the sale. In the event of a termination or other change in a partner's interest during the taxable year, the partner's pro rata share of payroll and sales must be modified to reflect partnership payroll and sales during the actual period that the partner held its interest.</w:t>
      </w:r>
    </w:p>
    <w:p w14:paraId="09A37B35" w14:textId="77777777" w:rsidR="000000D1" w:rsidRPr="000000D1" w:rsidRDefault="000000D1" w:rsidP="000000D1">
      <w:pPr>
        <w:contextualSpacing/>
        <w:rPr>
          <w:rFonts w:eastAsia="Calibri" w:cs="Times New Roman"/>
        </w:rPr>
      </w:pPr>
    </w:p>
    <w:p w14:paraId="5FBA5321" w14:textId="77777777" w:rsidR="000000D1" w:rsidRPr="000000D1" w:rsidRDefault="000000D1" w:rsidP="000000D1">
      <w:pPr>
        <w:ind w:left="720"/>
        <w:rPr>
          <w:rFonts w:eastAsia="Calibri" w:cs="Times New Roman"/>
        </w:rPr>
      </w:pPr>
      <w:r w:rsidRPr="000000D1">
        <w:rPr>
          <w:rFonts w:eastAsia="Calibri" w:cs="Times New Roman"/>
        </w:rPr>
        <w:t xml:space="preserve">830 Mass. Code Regs. 62.5A.1(1) </w:t>
      </w:r>
    </w:p>
    <w:p w14:paraId="0A13FFA5" w14:textId="77777777" w:rsidR="000000D1" w:rsidRPr="000000D1" w:rsidRDefault="000000D1" w:rsidP="000000D1">
      <w:pPr>
        <w:ind w:left="1440"/>
        <w:contextualSpacing/>
        <w:rPr>
          <w:rFonts w:eastAsia="Calibri" w:cs="Times New Roman"/>
        </w:rPr>
      </w:pPr>
      <w:r w:rsidRPr="000000D1">
        <w:rPr>
          <w:rFonts w:eastAsia="Calibri" w:cs="Times New Roman"/>
          <w:highlight w:val="yellow"/>
        </w:rPr>
        <w:t>The income of a pass-through entity that derives from or is effectively connected with the conduct of a trade or business or the ownership of real or tangible personal property in Massachusetts retains its character as it passes through a tiered structure of pass-through entities before becoming income to the non-resident. Thus, income that is derived from a trade or business does not convert to non-business-related income as it passes through a series of entities. Similarly, Massachusetts source income of any pass-through entities engaged in a unitary business that conducts a trade or business in Massachusetts is taxable to a non-resident member to the extent it would be taxable if received directly by the non-resident.</w:t>
      </w:r>
    </w:p>
    <w:p w14:paraId="3C430A93" w14:textId="77777777" w:rsidR="000000D1" w:rsidRPr="000000D1" w:rsidRDefault="000000D1" w:rsidP="000000D1">
      <w:pPr>
        <w:ind w:left="1440"/>
        <w:contextualSpacing/>
        <w:rPr>
          <w:rFonts w:eastAsia="Calibri" w:cs="Times New Roman"/>
        </w:rPr>
      </w:pPr>
    </w:p>
    <w:p w14:paraId="72F974A1" w14:textId="77777777" w:rsidR="000000D1" w:rsidRPr="000000D1" w:rsidRDefault="000000D1" w:rsidP="000000D1">
      <w:pPr>
        <w:ind w:left="1440"/>
        <w:contextualSpacing/>
        <w:rPr>
          <w:rFonts w:eastAsia="Calibri" w:cs="Times New Roman"/>
        </w:rPr>
      </w:pPr>
      <w:r w:rsidRPr="000000D1">
        <w:rPr>
          <w:rFonts w:eastAsia="Calibri" w:cs="Times New Roman"/>
        </w:rPr>
        <w:t xml:space="preserve">In the case of multi-tiered unitary businesses where at least one entity in the structure is engaged in the conduct of a trade or business or the ownership of real or tangible personal property in Massachusetts, and income derived from one or more members of the unitary business is taxable in another state, the group of entities must apportion its income, as determined under this regulation. </w:t>
      </w:r>
    </w:p>
    <w:p w14:paraId="66FC2C69" w14:textId="77777777" w:rsidR="000000D1" w:rsidRPr="000000D1" w:rsidRDefault="000000D1" w:rsidP="000000D1">
      <w:pPr>
        <w:ind w:left="1440"/>
        <w:contextualSpacing/>
        <w:rPr>
          <w:rFonts w:eastAsia="Calibri" w:cs="Times New Roman"/>
        </w:rPr>
      </w:pPr>
    </w:p>
    <w:p w14:paraId="7340B5F2" w14:textId="77777777" w:rsidR="000000D1" w:rsidRPr="000000D1" w:rsidRDefault="000000D1" w:rsidP="000000D1">
      <w:pPr>
        <w:ind w:left="720"/>
        <w:rPr>
          <w:rFonts w:eastAsia="Calibri" w:cs="Times New Roman"/>
        </w:rPr>
      </w:pPr>
      <w:r w:rsidRPr="000000D1">
        <w:rPr>
          <w:rFonts w:eastAsia="Calibri" w:cs="Times New Roman"/>
        </w:rPr>
        <w:lastRenderedPageBreak/>
        <w:t xml:space="preserve">830 Mass. Code Regs. 62.5A.1(2) </w:t>
      </w:r>
    </w:p>
    <w:p w14:paraId="14910425" w14:textId="77777777" w:rsidR="000000D1" w:rsidRPr="000000D1" w:rsidRDefault="000000D1" w:rsidP="000000D1">
      <w:pPr>
        <w:ind w:left="1440"/>
        <w:rPr>
          <w:rFonts w:eastAsia="Calibri" w:cs="Times New Roman"/>
        </w:rPr>
      </w:pPr>
      <w:r w:rsidRPr="000000D1">
        <w:rPr>
          <w:rFonts w:eastAsia="Calibri" w:cs="Times New Roman"/>
        </w:rPr>
        <w:t>Tiered Structure, a pass-through entity that has a pass-through entity as a member. As between two entities, the pass-through entity that is a member is the upper-tier entity, and the entity of which it is a member is the lower-tier entity. A tiered pass-through entity arrangement may have two or more tiers; in such cases, a single entity can be both a lower-tier and an upper-tier entity.</w:t>
      </w:r>
    </w:p>
    <w:p w14:paraId="1A58C367" w14:textId="77777777" w:rsidR="000000D1" w:rsidRPr="000000D1" w:rsidRDefault="000000D1" w:rsidP="000000D1">
      <w:pPr>
        <w:ind w:left="720"/>
        <w:rPr>
          <w:rFonts w:eastAsia="Calibri" w:cs="Times New Roman"/>
        </w:rPr>
      </w:pPr>
      <w:r w:rsidRPr="000000D1">
        <w:rPr>
          <w:rFonts w:eastAsia="Calibri" w:cs="Times New Roman"/>
        </w:rPr>
        <w:t xml:space="preserve">830 Mass. Code Regs. 62.5A.1(3) </w:t>
      </w:r>
    </w:p>
    <w:p w14:paraId="5A4D1697" w14:textId="77777777" w:rsidR="000000D1" w:rsidRPr="000000D1" w:rsidRDefault="000000D1" w:rsidP="000000D1">
      <w:pPr>
        <w:ind w:left="1440"/>
        <w:rPr>
          <w:rFonts w:eastAsia="Calibri" w:cs="Times New Roman"/>
        </w:rPr>
      </w:pPr>
      <w:r w:rsidRPr="000000D1">
        <w:rPr>
          <w:rFonts w:eastAsia="Calibri" w:cs="Times New Roman"/>
        </w:rPr>
        <w:t>The Massachusetts income tax is imposed on the Massachusetts source income earned or derived by non-residents. Massachusetts source income includes the following types of income, but excludes items of income set forth in 830 CMR 62.5A.1(4):</w:t>
      </w:r>
    </w:p>
    <w:p w14:paraId="5A688655" w14:textId="77777777" w:rsidR="000000D1" w:rsidRPr="000000D1" w:rsidRDefault="000000D1" w:rsidP="000000D1">
      <w:pPr>
        <w:ind w:left="1440"/>
        <w:rPr>
          <w:rFonts w:eastAsia="Calibri" w:cs="Times New Roman"/>
        </w:rPr>
      </w:pPr>
      <w:r w:rsidRPr="000000D1">
        <w:rPr>
          <w:rFonts w:eastAsia="Calibri" w:cs="Times New Roman"/>
        </w:rPr>
        <w:t>(a) Income Derived from or Effectively Connected with a Trade or Business, Including Any Employment Carried on in Massachusetts. This income is defined as the income that is earned by, credited to, accumulated for or otherwise attributable to the taxpayer's trade or business in the Commonwealth in any year or part thereof, regardless of the year in which the income is actually received by the taxpayer and regardless of the taxpayer's residence or domicile in the year it is received. All types of income, including investment income, derived from or effectively connected with the carrying on of a trade or business within Massachusetts are Massachusetts source income. The term may include gain from the sale of a business or an interest in a business, distributive share income, separation, sick or vacation pay, deferred compensation and nonqualified pension income not prevented from state taxation by the laws of the United States, and income from a covenant not to compete.</w:t>
      </w:r>
    </w:p>
    <w:p w14:paraId="76F63ECC" w14:textId="77777777" w:rsidR="000000D1" w:rsidRPr="000000D1" w:rsidRDefault="000000D1" w:rsidP="000000D1">
      <w:pPr>
        <w:ind w:left="720" w:firstLine="720"/>
        <w:rPr>
          <w:rFonts w:eastAsia="Calibri" w:cs="Times New Roman"/>
        </w:rPr>
      </w:pPr>
      <w:r w:rsidRPr="000000D1">
        <w:rPr>
          <w:rFonts w:eastAsia="Calibri" w:cs="Times New Roman"/>
        </w:rPr>
        <w:t>1. "Trade or business, including any employment."</w:t>
      </w:r>
    </w:p>
    <w:p w14:paraId="5FD402BB" w14:textId="77777777" w:rsidR="000000D1" w:rsidRPr="000000D1" w:rsidRDefault="000000D1" w:rsidP="000000D1">
      <w:pPr>
        <w:ind w:left="1440"/>
        <w:rPr>
          <w:rFonts w:eastAsia="Calibri" w:cs="Times New Roman"/>
        </w:rPr>
      </w:pPr>
      <w:r w:rsidRPr="000000D1">
        <w:rPr>
          <w:rFonts w:eastAsia="Calibri" w:cs="Times New Roman"/>
        </w:rPr>
        <w:t>a. General Rule. Subject to the exception that applies to presence for business that is casual, isolated, or inconsequential, described at section 830 CMR 62.5A.1(3)(h), below, a non-resident has a trade or business, including any employment carried on in Massachusetts:</w:t>
      </w:r>
    </w:p>
    <w:p w14:paraId="6379AC0E" w14:textId="77777777" w:rsidR="000000D1" w:rsidRPr="000000D1" w:rsidRDefault="000000D1" w:rsidP="000000D1">
      <w:pPr>
        <w:ind w:left="1440"/>
        <w:rPr>
          <w:rFonts w:eastAsia="Calibri" w:cs="Times New Roman"/>
        </w:rPr>
      </w:pPr>
      <w:r w:rsidRPr="000000D1">
        <w:rPr>
          <w:rFonts w:eastAsia="Calibri" w:cs="Times New Roman"/>
        </w:rPr>
        <w:t>i. If the non-resident, directly or through representatives or employees, maintains or operates or shares in maintaining or operating any place in Massachusetts where business affairs are systematically and regularly conducted;</w:t>
      </w:r>
    </w:p>
    <w:p w14:paraId="4DCA730C" w14:textId="77777777" w:rsidR="000000D1" w:rsidRPr="000000D1" w:rsidRDefault="000000D1" w:rsidP="000000D1">
      <w:pPr>
        <w:ind w:left="1440"/>
        <w:rPr>
          <w:rFonts w:eastAsia="Calibri" w:cs="Times New Roman"/>
        </w:rPr>
      </w:pPr>
      <w:r w:rsidRPr="000000D1">
        <w:rPr>
          <w:rFonts w:eastAsia="Calibri" w:cs="Times New Roman"/>
        </w:rPr>
        <w:t>ii. If the non-resident owns an interest in a pass-through entity that, directly or through representatives or employees, or through other pass-through entities, maintains or operates or shares in maintaining or operating any place in Massachusetts where its business affairs are systematically and regularly conducted;</w:t>
      </w:r>
    </w:p>
    <w:p w14:paraId="6AAC64A7" w14:textId="77777777" w:rsidR="000000D1" w:rsidRPr="000000D1" w:rsidRDefault="000000D1" w:rsidP="000000D1">
      <w:pPr>
        <w:ind w:left="1440"/>
        <w:rPr>
          <w:rFonts w:eastAsia="Calibri" w:cs="Times New Roman"/>
        </w:rPr>
      </w:pPr>
      <w:r w:rsidRPr="000000D1">
        <w:rPr>
          <w:rFonts w:eastAsia="Calibri" w:cs="Times New Roman"/>
        </w:rPr>
        <w:t>iii. If the non-resident, directly or through representatives or employees, is present for business in Massachusetts either as an employee or as a sole proprietor or other self-employed individual, or if the non-resident owns an interest in a pass-through entity that, directly or through representatives or employees or through other pass-through entities, is present for business. All activities that are considered a "trade or business," including employment, under Massachusetts and/or federal tax law are subject to taxation in Massachusetts under G.L. c. 62, § 5A. Income from a trade or business generally includes that gross income against which trade or business expense deductions are allowable under sections 62 and 162 of the Code. See G.L. c. 62, § 1(l), IRC §§ 62, 162, Treas. Reg. §§ 1.161-1 - 1.162-29;</w:t>
      </w:r>
    </w:p>
    <w:p w14:paraId="729E5DF1" w14:textId="77777777" w:rsidR="000000D1" w:rsidRPr="000000D1" w:rsidRDefault="000000D1" w:rsidP="000000D1">
      <w:pPr>
        <w:ind w:left="1440"/>
        <w:rPr>
          <w:rFonts w:eastAsia="Calibri" w:cs="Times New Roman"/>
        </w:rPr>
      </w:pPr>
      <w:r w:rsidRPr="000000D1">
        <w:rPr>
          <w:rFonts w:eastAsia="Calibri" w:cs="Times New Roman"/>
        </w:rPr>
        <w:t>iv. If the non-resident licenses intangibles, including trademarks or patents, directly or through representatives or employees, for use in Massachusetts on an ongoing basis…</w:t>
      </w:r>
    </w:p>
    <w:p w14:paraId="4086C962" w14:textId="77777777" w:rsidR="000000D1" w:rsidRPr="000000D1" w:rsidRDefault="000000D1" w:rsidP="000000D1">
      <w:pPr>
        <w:ind w:left="1440"/>
        <w:rPr>
          <w:rFonts w:eastAsia="Calibri" w:cs="Times New Roman"/>
        </w:rPr>
      </w:pPr>
      <w:r w:rsidRPr="000000D1">
        <w:rPr>
          <w:rFonts w:eastAsia="Calibri" w:cs="Times New Roman"/>
        </w:rPr>
        <w:lastRenderedPageBreak/>
        <w:t>(b) Income from a Pass-Through Entity that is Derived from or Effectively Connected with a Trade or Business, Including Any Employment Carried on in Massachusetts.</w:t>
      </w:r>
    </w:p>
    <w:p w14:paraId="0DE87E8F" w14:textId="77777777" w:rsidR="000000D1" w:rsidRPr="000000D1" w:rsidRDefault="000000D1" w:rsidP="000000D1">
      <w:pPr>
        <w:ind w:left="1440"/>
        <w:rPr>
          <w:rFonts w:eastAsia="Calibri" w:cs="Times New Roman"/>
        </w:rPr>
      </w:pPr>
      <w:r w:rsidRPr="000000D1">
        <w:rPr>
          <w:rFonts w:eastAsia="Calibri" w:cs="Times New Roman"/>
        </w:rPr>
        <w:t xml:space="preserve">1. General rule. </w:t>
      </w:r>
      <w:r w:rsidRPr="000000D1">
        <w:rPr>
          <w:rFonts w:eastAsia="Calibri" w:cs="Times New Roman"/>
          <w:highlight w:val="yellow"/>
        </w:rPr>
        <w:t>The activities of a pass-through entity are attributed to its individual members. A non-resident member of a pass-through entity is therefore engaged in the conduct of the trade or business of the pass-through entity of which it is a member, and thus is taxable on the Massachusetts source income of the entity. The character of any item of income, loss, deduction or credit included in the member's distributive share is determined as if it were realized directly by the member from the source from which realized by the pass-through entity, or incurred in the same manner as incurred by the pass-through entity. The principles in this paragraph shall apply in the case of an ownership chain that runs through multiple pass-through entities.</w:t>
      </w:r>
      <w:r w:rsidRPr="000000D1">
        <w:rPr>
          <w:rFonts w:eastAsia="Calibri" w:cs="Times New Roman"/>
        </w:rPr>
        <w:t xml:space="preserve"> For example, if a non-resident individual is a member of a pass-through entity that, in turn, is a member of a lower-tier pass-through entity that is engaged in a trade or business in Massachusetts, then the non-resident will be taxable on its share of the Massachusetts source income derived from the trade or business conducted by the lower-tier entity.</w:t>
      </w:r>
    </w:p>
    <w:p w14:paraId="2B4BF224" w14:textId="77777777" w:rsidR="000000D1" w:rsidRPr="000000D1" w:rsidRDefault="000000D1" w:rsidP="000000D1">
      <w:pPr>
        <w:ind w:left="1440"/>
        <w:rPr>
          <w:rFonts w:eastAsia="Calibri" w:cs="Times New Roman"/>
        </w:rPr>
      </w:pPr>
      <w:r w:rsidRPr="000000D1">
        <w:rPr>
          <w:rFonts w:eastAsia="Calibri" w:cs="Times New Roman"/>
        </w:rPr>
        <w:t>The income derived by a non-resident limited partner of a Massachusetts limited partnership engaged exclusively in buying, selling, dealing in or holding securities on its own behalf and not as a broker, is not subject to the Massachusetts income tax. See G.L. c. 62, § 17(b). The Massachusetts source income derived by a non-resident general partner of such a partnership is subject to Massachusetts income tax, provided the partnership is engaged in the conduct of a trade or business in the Commonwealth, or owns or leases real property in the Commonwealth.</w:t>
      </w:r>
    </w:p>
    <w:p w14:paraId="1B951FC7" w14:textId="77777777" w:rsidR="000000D1" w:rsidRPr="000000D1" w:rsidRDefault="000000D1" w:rsidP="000000D1">
      <w:pPr>
        <w:ind w:left="1440"/>
        <w:rPr>
          <w:rFonts w:eastAsia="Calibri" w:cs="Times New Roman"/>
        </w:rPr>
      </w:pPr>
      <w:r w:rsidRPr="000000D1">
        <w:rPr>
          <w:rFonts w:eastAsia="Calibri" w:cs="Times New Roman"/>
        </w:rPr>
        <w:t>2. Multiple pass-through entities that are not engaged in a unitary business. In the case of multiple pass-through entities that are not engaged in a unitary business, the pass-through entities must identify the Massachusetts income or loss, reporting that amount to its members, allocated or apportioned as appropriate pursuant to 830 CMR 62.5A.1(6). That income must retain its identity as Massachusetts source income, and be reported as such to members as it passes through multiple pass-through entities, without further apportionment.</w:t>
      </w:r>
    </w:p>
    <w:p w14:paraId="42F0E0D2" w14:textId="77777777" w:rsidR="000000D1" w:rsidRPr="000000D1" w:rsidRDefault="000000D1" w:rsidP="000000D1">
      <w:pPr>
        <w:ind w:left="1440"/>
        <w:rPr>
          <w:rFonts w:eastAsia="Calibri" w:cs="Times New Roman"/>
        </w:rPr>
      </w:pPr>
      <w:r w:rsidRPr="000000D1">
        <w:rPr>
          <w:rFonts w:eastAsia="Calibri" w:cs="Times New Roman"/>
        </w:rPr>
        <w:t>Example (3)(b)(2). Florida domiciled LLC ("Florida LLC") has three non-resident members. Florida LLC owns a Massachusetts domiciled LLC ("Massachusetts LLC") that invests in securities on its own behalf and is not engaged in a trade or business. Florida LLC owns a New York domiciled LLC ("New York LLC") that has an office in Boston that offers management services and advice to Massachusetts LLC and receives a fee from Massachusetts LLC based on a percentage of the portfolio value of Massachusetts LLC. Florida LLC also owns Real Estate LLC, commercially domiciled in Utah, but which owns an office tower in Boston and collects rents on that. Real Estate LLC is not engaged in a unitary business with the other members of the group.</w:t>
      </w:r>
    </w:p>
    <w:p w14:paraId="2DEDB5BA" w14:textId="77777777" w:rsidR="000000D1" w:rsidRPr="000000D1" w:rsidRDefault="000000D1" w:rsidP="000000D1">
      <w:pPr>
        <w:ind w:left="1440"/>
        <w:rPr>
          <w:rFonts w:eastAsia="Calibri" w:cs="Times New Roman"/>
        </w:rPr>
      </w:pPr>
      <w:r w:rsidRPr="000000D1">
        <w:rPr>
          <w:rFonts w:eastAsia="Calibri" w:cs="Times New Roman"/>
        </w:rPr>
        <w:t>Taxation of non-resident members of Florida LLC. The Massachusetts source income of Real Estate LLC, determined pursuant to the allocation and apportionment rules of 830 CMR 62.5A.1(6), is identified and reported to Florida LLC, and is taxable to the non-resident members. It is not subject to further apportionment under 830 CMR 62.5A.1(6) at the level of Florida LLC. Income from Massachusetts LLC is not subject to Massachusetts taxation to the non-resident members, because Massachusetts LLC only invests in securities on its own behalf. The Massachusetts source income derived from New York LLC, determined pursuant to the allocation and apportionment rules of 830 CMR 62.5A.1(6)(a), is taxable because the management company is engaged in the conduct of a trade or business in Massachusetts. The income of the group is not subject to the apportionment provisions described at 830 CMR 62.5A.1(6)(b), below, because the entities subject to Massachusetts taxation are not engaged in a unitary business.</w:t>
      </w:r>
    </w:p>
    <w:p w14:paraId="13616775" w14:textId="77777777" w:rsidR="000000D1" w:rsidRPr="000000D1" w:rsidRDefault="000000D1" w:rsidP="000000D1">
      <w:pPr>
        <w:ind w:left="1440"/>
        <w:rPr>
          <w:rFonts w:eastAsia="Calibri" w:cs="Times New Roman"/>
        </w:rPr>
      </w:pPr>
      <w:r w:rsidRPr="000000D1">
        <w:rPr>
          <w:rFonts w:eastAsia="Calibri" w:cs="Times New Roman"/>
        </w:rPr>
        <w:lastRenderedPageBreak/>
        <w:t>3. Multiple pass-through entities engaged in a unitary business. In the case of multiple pass-through entities that are engaged in a unitary business, the income of any entity in the structure that derives from or is effectively connected with the conduct of a trade or business or the ownership of real or tangible personal property in Massachusetts retains its character as it passes through the structure. Thus, business income of a pass-through entity does not convert to non-business income as it passes through a series of pass-through entities engaged in related business activities, as that term is defined in 830 CMR 62.5A.1(2), and is further explained in 830 CMR 62.5A.1(6). Investment income of a pass-through entity that would be taxable as business income if received directly by a non-resident member engaged in business in Massachusetts is treated as taxable income of the non-resident. Note that business income can include investment income that the pass-through entity or entities derives from an operational function.</w:t>
      </w:r>
    </w:p>
    <w:p w14:paraId="1ACAA08A" w14:textId="77777777" w:rsidR="000000D1" w:rsidRPr="000000D1" w:rsidRDefault="000000D1" w:rsidP="000000D1">
      <w:pPr>
        <w:ind w:left="1440"/>
        <w:rPr>
          <w:rFonts w:eastAsia="Calibri" w:cs="Times New Roman"/>
        </w:rPr>
      </w:pPr>
      <w:r w:rsidRPr="000000D1">
        <w:rPr>
          <w:rFonts w:eastAsia="Calibri" w:cs="Times New Roman"/>
        </w:rPr>
        <w:t>Example (3)(b)(3). A non-resident is a member of a Nevada LLC. The Nevada LLC sells computer software, and has an 80% ownership interest in a Partnership that develops computer software in Massachusetts. The partnership is treated as a partnership for federal and Massachusetts tax purposes. The income of the Partnership flows through the LLC to non-resident members. The LLC and the Partnership are functionally integrated, and are a unitary business. Subject to the apportionment rules found at 830 CMR 62.5A.1(6), below, the income of the Partnership that is passed through to the non-resident shareholders is Massachusetts source income.</w:t>
      </w:r>
    </w:p>
    <w:p w14:paraId="6A7D87FA" w14:textId="77777777" w:rsidR="000000D1" w:rsidRPr="000000D1" w:rsidRDefault="000000D1" w:rsidP="000000D1">
      <w:pPr>
        <w:ind w:left="1440"/>
        <w:rPr>
          <w:rFonts w:eastAsia="Calibri" w:cs="Times New Roman"/>
        </w:rPr>
      </w:pPr>
      <w:r w:rsidRPr="000000D1">
        <w:rPr>
          <w:rFonts w:eastAsia="Calibri" w:cs="Times New Roman"/>
        </w:rPr>
        <w:t>(c) Specific types of Massachusetts source income. If a non-resident has a trade or business, including any employment, carried on in Massachusetts, Massachusetts source income includes, among other things . . .</w:t>
      </w:r>
    </w:p>
    <w:p w14:paraId="6CD66459" w14:textId="77777777" w:rsidR="000000D1" w:rsidRPr="000000D1" w:rsidRDefault="000000D1" w:rsidP="000000D1">
      <w:pPr>
        <w:ind w:left="720"/>
        <w:rPr>
          <w:rFonts w:eastAsia="Calibri" w:cs="Times New Roman"/>
          <w:i/>
          <w:iCs/>
        </w:rPr>
      </w:pPr>
      <w:r w:rsidRPr="000000D1">
        <w:rPr>
          <w:rFonts w:eastAsia="Calibri" w:cs="Times New Roman"/>
        </w:rPr>
        <w:t>830 Mass. Code Regs. 62.5A.1(6) Rules for Allocation or Apportionment of Income to Massachusetts for Non-Resident Members of Pass-Through Entities</w:t>
      </w:r>
    </w:p>
    <w:p w14:paraId="77D4A510" w14:textId="77777777" w:rsidR="000000D1" w:rsidRPr="000000D1" w:rsidRDefault="000000D1" w:rsidP="000000D1">
      <w:pPr>
        <w:ind w:left="1440"/>
        <w:rPr>
          <w:rFonts w:eastAsia="Calibri" w:cs="Times New Roman"/>
        </w:rPr>
      </w:pPr>
      <w:r w:rsidRPr="000000D1">
        <w:rPr>
          <w:rFonts w:eastAsia="Calibri" w:cs="Times New Roman"/>
        </w:rPr>
        <w:t>A pass-through entity that earns or derives income from sources both within Massachusetts and elsewhere must either allocate or apportion the income to determine the amount of Massachusetts source income of its non-resident members, using the following allocation and apportionment provisions. These rules apply to pass-through entities with non-resident members that have Massachusetts source income. Non-resident individuals use the rules at 830 CMR 62.5A.1(5). The Commissioner may by rule or other public statement create alternate allocation and apportionment methods.</w:t>
      </w:r>
    </w:p>
    <w:p w14:paraId="33CD4508" w14:textId="77777777" w:rsidR="000000D1" w:rsidRPr="000000D1" w:rsidRDefault="000000D1" w:rsidP="000000D1">
      <w:pPr>
        <w:ind w:left="1440"/>
        <w:rPr>
          <w:rFonts w:eastAsia="Calibri" w:cs="Times New Roman"/>
        </w:rPr>
      </w:pPr>
      <w:r w:rsidRPr="000000D1">
        <w:rPr>
          <w:rFonts w:eastAsia="Calibri" w:cs="Times New Roman"/>
        </w:rPr>
        <w:t>(a) General. A pass-through entity that has income that is taxable both within and outside of Massachusetts must report the member's apportioned share of income to the member. To arrive at the apportioned income figure, the pass-through entity must multiply its taxable net income by the apportionment percentage determined under G.L. c. 63, §38 and 830 CMR 63.38.1. For taxable years beginning on or after January 1, 2025, the apportionment percentage is equal to the sales factor except as otherwise required under G.L. c. 63, §38. For Massachusetts purposes, the pass-through entity's income subject to apportionment is its entire net income derived from its related business activities, as that term is defined at 830 CMR 62.5A.1(2), and further described at 830 CMR 62.5A.1(6)(d), within and outside of Massachusetts. The entity's income subject to Massachusetts tax is its apportioned net income derived from its related business activities, plus any other income subject to the tax jurisdiction of Massachusetts. Guaranteed payments made to pass-through entity members are treated as other income of the pass-through entity is treated, and are subject to the apportionment rules in this paragraph.</w:t>
      </w:r>
    </w:p>
    <w:p w14:paraId="64DE253C" w14:textId="77777777" w:rsidR="000000D1" w:rsidRPr="000000D1" w:rsidRDefault="000000D1" w:rsidP="000000D1">
      <w:pPr>
        <w:ind w:left="1440"/>
        <w:rPr>
          <w:rFonts w:eastAsia="Calibri" w:cs="Times New Roman"/>
        </w:rPr>
      </w:pPr>
      <w:r w:rsidRPr="000000D1">
        <w:rPr>
          <w:rFonts w:eastAsia="Calibri" w:cs="Times New Roman"/>
        </w:rPr>
        <w:t xml:space="preserve">(b) Treatment of multiple pass-through entities engaged in a unitary business. If a pass-through entity has Massachusetts source income and is related to one or more other pass-through entities in a unitary business, including non-Massachusetts businesses that are in a unitary relationship, the entire income derived from the related activities </w:t>
      </w:r>
      <w:r w:rsidRPr="000000D1">
        <w:rPr>
          <w:rFonts w:eastAsia="Calibri" w:cs="Times New Roman"/>
        </w:rPr>
        <w:lastRenderedPageBreak/>
        <w:t>of the members of the unitary business is subject to Massachusetts apportionment. The method of apportionment is to take the pro rata share of the applicable apportionment factor or factors of each entity in the unitary structure, and to aggregate the result for the entire group. The non-resident members will report as Massachusetts source income their apportioned share of income of the entire unitary business.</w:t>
      </w:r>
    </w:p>
    <w:p w14:paraId="39476D20" w14:textId="77777777" w:rsidR="000000D1" w:rsidRPr="000000D1" w:rsidRDefault="000000D1" w:rsidP="000000D1">
      <w:pPr>
        <w:ind w:left="1440"/>
        <w:rPr>
          <w:rFonts w:eastAsia="Calibri" w:cs="Times New Roman"/>
        </w:rPr>
      </w:pPr>
      <w:r w:rsidRPr="000000D1">
        <w:rPr>
          <w:rFonts w:eastAsia="Calibri" w:cs="Times New Roman"/>
        </w:rPr>
        <w:t>Example (6)(b)(1.1). In a taxable year beginning before January 1, 2025, General Partnership (General) has a 50% interest in Subsidiary Partnership (Subsidiary); the entities are engaged in a unitary business. General has the following apportionment factors attributable to Massachusetts, presented as a fraction of Massachusetts activity divided by activity everywhere: Property, 25/100; Payroll, 50/100; Sales, 1000/10,000. General has income of $1,000. Subsidiary has the following apportionment factors, presented as a fraction of Massachusetts activity divided by activity everywhere: Property, 10/100; Payroll, 50/100; Sales, 1000/10,000. Subsidiary has a loss of $500. The Massachusetts income of the unitary group is calculated as follows: Income = $1,000 (General's income) - $250 (representing half the loss of Subsidiary; half because General has a 50% interest in Subsidiary) = $750. The $750 income figure must be multiplied by the blended apportionment factors. The blended factors are determined by adding the full factor of General to half the value of Subsidiary's factors (again, because of the 50% ownership). Thus the blended property factor is (25 + 5)/(100 + 50) = 30/150; the blended payroll factor is (50 + 25)/(100 + 50) = 75/150; the blended sales factor (to be counted twice according to the double weighted sales factor rule) is [(1000 + 500)/(10,000 + 5,000)] = 1,500/15,000; the sum of these factors is then divided by four to yield the following result:.2 +.5 +.1 +.1 =.9 / 4 =.225.</w:t>
      </w:r>
    </w:p>
    <w:p w14:paraId="043247E9" w14:textId="77777777" w:rsidR="000000D1" w:rsidRPr="000000D1" w:rsidRDefault="000000D1" w:rsidP="000000D1">
      <w:pPr>
        <w:ind w:left="1440"/>
        <w:rPr>
          <w:rFonts w:eastAsia="Calibri" w:cs="Times New Roman"/>
        </w:rPr>
      </w:pPr>
      <w:r w:rsidRPr="000000D1">
        <w:rPr>
          <w:rFonts w:eastAsia="Calibri" w:cs="Times New Roman"/>
        </w:rPr>
        <w:t>Example (6)(b)(1.2). Assume the same facts as in Example (6)(b)(1.1), except that the taxable year begins on or after January 1, 2025. In this case, the $750 income figure must be multiplied by the blended sales factor. The blended sales factor is determined by adding the full sales factor of General to half the value of Subsidiary's sales factor (again, because of the 50% ownership). Thus, the blended sales factor is [(1000 + 500)/(10,000 + 5,000)] = 1,500/15,000 =.1.</w:t>
      </w:r>
    </w:p>
    <w:p w14:paraId="17FD5C9C" w14:textId="77777777" w:rsidR="000000D1" w:rsidRPr="000000D1" w:rsidRDefault="000000D1" w:rsidP="000000D1">
      <w:pPr>
        <w:ind w:left="1440"/>
        <w:rPr>
          <w:rFonts w:eastAsia="Calibri" w:cs="Times New Roman"/>
        </w:rPr>
      </w:pPr>
      <w:r w:rsidRPr="000000D1">
        <w:rPr>
          <w:rFonts w:eastAsia="Calibri" w:cs="Times New Roman"/>
        </w:rPr>
        <w:t>(c) Treatment of income derived from unrelated activities. If the unitary business subject to Massachusetts apportionment has income derived from unrelated business activities, as determined under 830 CMR 62.5A.1(6) (d), these items of income will be excluded from the taxpayer's taxable net income and will not be apportioned to Massachusetts if Massachusetts does not have jurisdiction to tax the items of income under the Constitution of the United States. Income derived from unrelated business activities will be allocated to Massachusetts when the entity's commercial domicile is Massachusetts. The unitary business must report to the non-resident taxpayer, and the non-resident taxpayer must disclose on his or her return, the nature and amount of any item of income that is derived from unrelated business activities and is excluded from (or is excludable from) taxable net income. The taxpayer must also disclose and exclude expenses allocable in whole or part to such unrelated business activities. Any property, payroll, or sales derived from unrelated business activity are excluded from the taxpayer's applicable apportionment factor or factors.</w:t>
      </w:r>
    </w:p>
    <w:p w14:paraId="6DD69187" w14:textId="77777777" w:rsidR="000000D1" w:rsidRPr="000000D1" w:rsidRDefault="000000D1" w:rsidP="000000D1">
      <w:pPr>
        <w:ind w:left="1440"/>
        <w:rPr>
          <w:rFonts w:eastAsia="Calibri" w:cs="Times New Roman"/>
        </w:rPr>
      </w:pPr>
    </w:p>
    <w:p w14:paraId="5B99E579" w14:textId="77777777" w:rsidR="000000D1" w:rsidRPr="000000D1" w:rsidRDefault="000000D1" w:rsidP="000000D1">
      <w:pPr>
        <w:ind w:left="1440"/>
        <w:rPr>
          <w:rFonts w:eastAsia="Calibri" w:cs="Times New Roman"/>
        </w:rPr>
      </w:pPr>
      <w:r w:rsidRPr="000000D1">
        <w:rPr>
          <w:rFonts w:eastAsia="Calibri" w:cs="Times New Roman"/>
        </w:rPr>
        <w:t xml:space="preserve">Example (6)(c)(1). In a taxable year beginning before January 1, 2025, Massachusetts LLC owns a commercial real estate property that it leases, both to its parent, a Partnership that gives investment advice to clients, and to other unrelated tenants. The Partnership, in turn, is owned by three Owner LLCs, all of which have a commercial domicile in other states. The Owner LLCs own the interests in the Partnership, as well as other business ventures, such as a manufacturing corporation in South Carolina and a public utility corporation in North Dakota. The manufacturing corporation and the utility corporation are not in a unitary business with other entities, nor do they have any contacts </w:t>
      </w:r>
      <w:r w:rsidRPr="000000D1">
        <w:rPr>
          <w:rFonts w:eastAsia="Calibri" w:cs="Times New Roman"/>
        </w:rPr>
        <w:lastRenderedPageBreak/>
        <w:t>with Massachusetts. The Massachusetts LLC and the Partnership have centralization of management and a flow of value between the entities, and comprise a unitary business. In determining the Massachusetts source income of the Owner LLC members, the Massachusetts LLC and the Partnership must combine their taxable net income and calculate the Massachusetts apportionment percentage based on their combined property, payroll, and sales. The unitary business will exclude the income of the manufacturing corporation and the public utility corporation from this determination, and will not take into account any of the property, payroll, or sales of the two corporations in calculating the Massachusetts apportionment percentage of the unitary business.</w:t>
      </w:r>
    </w:p>
    <w:p w14:paraId="3A052F7F" w14:textId="77777777" w:rsidR="000000D1" w:rsidRPr="000000D1" w:rsidRDefault="000000D1" w:rsidP="000000D1">
      <w:pPr>
        <w:ind w:left="1440"/>
        <w:rPr>
          <w:rFonts w:eastAsia="Calibri" w:cs="Times New Roman"/>
        </w:rPr>
      </w:pPr>
      <w:r w:rsidRPr="000000D1">
        <w:rPr>
          <w:rFonts w:eastAsia="Calibri" w:cs="Times New Roman"/>
        </w:rPr>
        <w:t>Example (6)(c)(2). Assume the same facts as in Example (6)(c)(1), except that the taxable year begins on or after January 1, 2025. In this case, the Massachusetts source income of the Owner LLC members, the Massachusetts LLC and the Partnership is determined by combining their taxable net income and calculating the Massachusetts apportionment percentage based on their combined sales. The unitary business will exclude the income of the manufacturing corporation and the public utility corporation from this determination, and will not take into account any of the sales of the two corporations in calculating the Massachusetts apportionment percentage of the unitary business.</w:t>
      </w:r>
    </w:p>
    <w:p w14:paraId="73FBDB1F" w14:textId="77777777" w:rsidR="000000D1" w:rsidRPr="000000D1" w:rsidRDefault="000000D1" w:rsidP="000000D1">
      <w:pPr>
        <w:ind w:left="1440"/>
        <w:rPr>
          <w:rFonts w:eastAsia="Calibri" w:cs="Times New Roman"/>
        </w:rPr>
      </w:pPr>
      <w:r w:rsidRPr="000000D1">
        <w:rPr>
          <w:rFonts w:eastAsia="Calibri" w:cs="Times New Roman"/>
        </w:rPr>
        <w:t>(d) Related Business Activities.</w:t>
      </w:r>
    </w:p>
    <w:p w14:paraId="2012391D" w14:textId="77777777" w:rsidR="000000D1" w:rsidRPr="000000D1" w:rsidRDefault="000000D1" w:rsidP="000000D1">
      <w:pPr>
        <w:ind w:left="1440"/>
        <w:rPr>
          <w:rFonts w:eastAsia="Calibri" w:cs="Times New Roman"/>
        </w:rPr>
      </w:pPr>
      <w:r w:rsidRPr="000000D1">
        <w:rPr>
          <w:rFonts w:eastAsia="Calibri" w:cs="Times New Roman"/>
        </w:rPr>
        <w:t>1. Definition.</w:t>
      </w:r>
    </w:p>
    <w:p w14:paraId="7625C2F5" w14:textId="50BE8B91" w:rsidR="000000D1" w:rsidRPr="000000D1" w:rsidRDefault="000000D1" w:rsidP="000000D1">
      <w:pPr>
        <w:ind w:left="1440"/>
        <w:rPr>
          <w:rFonts w:eastAsia="Calibri" w:cs="Times New Roman"/>
        </w:rPr>
      </w:pPr>
      <w:r w:rsidRPr="000000D1">
        <w:rPr>
          <w:rFonts w:eastAsia="Calibri" w:cs="Times New Roman"/>
        </w:rPr>
        <w:t>a. General Rule. Related business activities are activities where there is a sharing or exchange of value between the segments of a single entity or multiple entities such that the activities are mutually beneficial, interdependent, integrated, or such that they otherwise contribute to one another, as generally described under the discussion of the unitary business principle in Allied-Signal, Inc. v. Director, Division of Taxation, 504 U.S. 768 (1992). The rules that apply to corporations, found at 830 CMR 63.38.1(4), generally apply to pass-through entities as they are applicable, with certain modifications set forth in this regulation. In general, any two segments or activities of a single pass-th</w:t>
      </w:r>
      <w:r w:rsidR="00505B32">
        <w:rPr>
          <w:rFonts w:eastAsia="Calibri" w:cs="Times New Roman"/>
        </w:rPr>
        <w:t>r</w:t>
      </w:r>
      <w:r w:rsidRPr="000000D1">
        <w:rPr>
          <w:rFonts w:eastAsia="Calibri" w:cs="Times New Roman"/>
        </w:rPr>
        <w:t>ough entity are related business activities unless the two segments or activities are not unitary. In addition, the following activities are related business activities notwithstanding the absence of a unitary relationship:</w:t>
      </w:r>
    </w:p>
    <w:p w14:paraId="21B51E67" w14:textId="77777777" w:rsidR="000000D1" w:rsidRPr="000000D1" w:rsidRDefault="000000D1" w:rsidP="000000D1">
      <w:pPr>
        <w:ind w:left="1440"/>
        <w:rPr>
          <w:rFonts w:eastAsia="Calibri" w:cs="Times New Roman"/>
        </w:rPr>
      </w:pPr>
      <w:r w:rsidRPr="000000D1">
        <w:rPr>
          <w:rFonts w:eastAsia="Calibri" w:cs="Times New Roman"/>
        </w:rPr>
        <w:t>i. the short term investment of capital in a non-unitary business segment or activity; and</w:t>
      </w:r>
    </w:p>
    <w:p w14:paraId="3C5C1063" w14:textId="77777777" w:rsidR="000000D1" w:rsidRPr="000000D1" w:rsidRDefault="000000D1" w:rsidP="000000D1">
      <w:pPr>
        <w:ind w:left="1440"/>
        <w:rPr>
          <w:rFonts w:eastAsia="Calibri" w:cs="Times New Roman"/>
        </w:rPr>
      </w:pPr>
      <w:r w:rsidRPr="000000D1">
        <w:rPr>
          <w:rFonts w:eastAsia="Calibri" w:cs="Times New Roman"/>
        </w:rPr>
        <w:t>ii. any other investment of capital that serves an operational function.</w:t>
      </w:r>
    </w:p>
    <w:p w14:paraId="32ED7DEF" w14:textId="77777777" w:rsidR="000000D1" w:rsidRPr="000000D1" w:rsidRDefault="000000D1" w:rsidP="000000D1">
      <w:pPr>
        <w:ind w:left="1440"/>
        <w:rPr>
          <w:rFonts w:eastAsia="Calibri" w:cs="Times New Roman"/>
        </w:rPr>
      </w:pPr>
      <w:r w:rsidRPr="000000D1">
        <w:rPr>
          <w:rFonts w:eastAsia="Calibri" w:cs="Times New Roman"/>
        </w:rPr>
        <w:t>b. Income from Cash, Cash Equivalents, and Short-Term Securities. Interest or other income from cash deposits, cash equivalents, and short-term securities is considered related business income if such capital serves or performs an operational function. Without limitation, examples of operational functions include: the use or holding of funds as working capital or reserves; the use or holding of funds to maintain a favorable credit rating (e.g. by maintaining a strong current or quick asset ratio); the use or holding of funds to self-insure against business risks; and the interim investment of funds pending their future use in the taxpayer's business.</w:t>
      </w:r>
    </w:p>
    <w:p w14:paraId="5C04F6BD" w14:textId="313C1383" w:rsidR="000000D1" w:rsidRPr="000000D1" w:rsidRDefault="000000D1" w:rsidP="000000D1">
      <w:pPr>
        <w:ind w:left="1440"/>
        <w:rPr>
          <w:rFonts w:eastAsia="Calibri" w:cs="Times New Roman"/>
        </w:rPr>
      </w:pPr>
      <w:r w:rsidRPr="000000D1">
        <w:rPr>
          <w:rFonts w:eastAsia="Calibri" w:cs="Times New Roman"/>
        </w:rPr>
        <w:t>2. Burden of Proof. Except as provided in 830 CMR 62.5A.1(6)(d)(3) (relating to pass-through entity limited partners), all income of a single pass-th</w:t>
      </w:r>
      <w:r w:rsidR="00FE53E1">
        <w:rPr>
          <w:rFonts w:eastAsia="Calibri" w:cs="Times New Roman"/>
        </w:rPr>
        <w:t>r</w:t>
      </w:r>
      <w:r w:rsidRPr="000000D1">
        <w:rPr>
          <w:rFonts w:eastAsia="Calibri" w:cs="Times New Roman"/>
        </w:rPr>
        <w:t xml:space="preserve">ough entity (whether derived directly or through representatives, or other pass-through entities) is presumed to be income from related business activities until the contrary is established. Either the taxpayer or the Commissioner may assert that an item of a taxpayer's income is derived from unrelated business activities. The party making such an assertion must prove by clear and cogent evidence that the business activities do not reasonably </w:t>
      </w:r>
      <w:r w:rsidRPr="000000D1">
        <w:rPr>
          <w:rFonts w:eastAsia="Calibri" w:cs="Times New Roman"/>
        </w:rPr>
        <w:lastRenderedPageBreak/>
        <w:t>warrant a finding that the business activities are related. To demonstrate that income from cash, cash equivalents, or short-term securities is derived from unrelated business activities, a taxpayer must prove by clear and cogent evidence that the underlying assets and their acquisition, maintenance, and management were, in fact, unrelated to the pass-through entity's business activities in the Commonwealth.</w:t>
      </w:r>
    </w:p>
    <w:p w14:paraId="457AA459" w14:textId="77777777" w:rsidR="000000D1" w:rsidRPr="000000D1" w:rsidRDefault="000000D1" w:rsidP="000000D1">
      <w:pPr>
        <w:ind w:left="1440"/>
        <w:rPr>
          <w:rFonts w:eastAsia="Calibri" w:cs="Times New Roman"/>
        </w:rPr>
      </w:pPr>
      <w:r w:rsidRPr="000000D1">
        <w:rPr>
          <w:rFonts w:eastAsia="Calibri" w:cs="Times New Roman"/>
        </w:rPr>
        <w:t>3. Presumption of Unrelated Business Activity of Pass-Through Entity Limited Partners. In cases where a pass-through entity limited partner owns no more than 50% of the capital interests of a partnership, income that the pass-through entity limited partner derives from the holding or disposition of its limited partnership interest is presumed to be unrelated to the pass-through entity's other business activities unless the Commissioner or the taxpayer rebuts this presumption, as provided (and applicable) in 830 CMR 63.39.1(8)(f). If the business activities of the pass-through entity limited partner and the limited partnership are unrelated, then the pass-through entity limited partner must separately account for its limited partnership income and its other business income and must separately apportion to Massachusetts income from each unrelated activity (to the extent that Massachusetts has jurisdiction to tax income from each such activity), using only the apportionment factor or factors applicable to that activity.</w:t>
      </w:r>
    </w:p>
    <w:p w14:paraId="0CFFD58F" w14:textId="77777777" w:rsidR="000000D1" w:rsidRPr="000000D1" w:rsidRDefault="000000D1" w:rsidP="000000D1">
      <w:pPr>
        <w:ind w:left="1440"/>
        <w:rPr>
          <w:rFonts w:eastAsia="Calibri" w:cs="Times New Roman"/>
        </w:rPr>
      </w:pPr>
      <w:r w:rsidRPr="000000D1">
        <w:rPr>
          <w:rFonts w:eastAsia="Calibri" w:cs="Times New Roman"/>
        </w:rPr>
        <w:t>Example (6)(d)(3.1). Texas LLC owns a minority limited partnership interest in Partnership A. Partnership A conducts business in Massachusetts. Apart from this partnership holding, Texas LLC does not conduct business in Massachusetts. Texas LLC does conduct business in other jurisdictions, either directly or through ownership of other pass-through entities. Neither Texas LLC nor the Commissioner rebuts the presumption that the business activities of Texas LLC and Partnership A are unrelated. Texas LLC must separately apportion to Massachusetts income from the holding or disposition of its interest in Partnership A, using the apportionment factor or factors derived from the partnership's activity. Income from Texas LLC's other activities is not subject to Massachusetts tax jurisdiction and is excluded from the Massachusetts source income that it reports to its members.</w:t>
      </w:r>
    </w:p>
    <w:p w14:paraId="4DB07FA7" w14:textId="77777777" w:rsidR="000000D1" w:rsidRPr="000000D1" w:rsidRDefault="000000D1" w:rsidP="000000D1">
      <w:pPr>
        <w:ind w:left="1440"/>
        <w:rPr>
          <w:rFonts w:eastAsia="Calibri" w:cs="Times New Roman"/>
        </w:rPr>
      </w:pPr>
      <w:r w:rsidRPr="000000D1">
        <w:rPr>
          <w:rFonts w:eastAsia="Calibri" w:cs="Times New Roman"/>
        </w:rPr>
        <w:t>(e) Special apportionment rules for the gain on the sale of an ownership interest in a partnership that holds real property in Massachusetts.</w:t>
      </w:r>
    </w:p>
    <w:p w14:paraId="071E060F" w14:textId="77777777" w:rsidR="000000D1" w:rsidRPr="000000D1" w:rsidRDefault="000000D1" w:rsidP="000000D1">
      <w:pPr>
        <w:ind w:left="1440"/>
        <w:rPr>
          <w:rFonts w:eastAsia="Calibri" w:cs="Times New Roman"/>
        </w:rPr>
      </w:pPr>
      <w:r w:rsidRPr="000000D1">
        <w:rPr>
          <w:rFonts w:eastAsia="Calibri" w:cs="Times New Roman"/>
        </w:rPr>
        <w:t>1. Partnerships that are carrying on a trade or business in Massachusetts. A non-resident partner who sells an interest in a partnership that both holds an interest in real property in Massachusetts and is carrying on a trade or business in Massachusetts is subject to the general rule at 830 CMR 62.5A.1(3)(c)(8), particularly as illustrated at 830 CMR 62.5A.1, Example (3)(c)(8.2).</w:t>
      </w:r>
    </w:p>
    <w:p w14:paraId="25DB1F81" w14:textId="77777777" w:rsidR="000000D1" w:rsidRPr="000000D1" w:rsidRDefault="000000D1" w:rsidP="000000D1">
      <w:pPr>
        <w:ind w:left="1440"/>
        <w:rPr>
          <w:rFonts w:eastAsia="Calibri" w:cs="Times New Roman"/>
        </w:rPr>
      </w:pPr>
      <w:r w:rsidRPr="000000D1">
        <w:rPr>
          <w:rFonts w:eastAsia="Calibri" w:cs="Times New Roman"/>
        </w:rPr>
        <w:t>2. Partnerships that are not carrying on a trade or business in Massachusetts. A non-resident partner who sells an interest in a partnership that holds an interest in real property in Massachusetts but is not carrying on a trade or business in Massachusetts should apply the following rule. The non-resident partner selling his or her interest in the partnership must multiply the gain by a fraction, the numerator of which is the value of the Massachusetts real property and the denominator of which is the total value of the partnership. The value of real property to be used in the fraction is the current fair market value of the property reduced by the value of any lien or encumbrance remaining thereon at the time the partner sells his or her interest in the partnership.</w:t>
      </w:r>
    </w:p>
    <w:p w14:paraId="6254583A" w14:textId="77777777" w:rsidR="000000D1" w:rsidRPr="000000D1" w:rsidRDefault="000000D1" w:rsidP="000000D1">
      <w:pPr>
        <w:ind w:left="1440"/>
        <w:rPr>
          <w:rFonts w:eastAsia="Calibri" w:cs="Times New Roman"/>
        </w:rPr>
      </w:pPr>
    </w:p>
    <w:p w14:paraId="58C98408" w14:textId="77777777" w:rsidR="000000D1" w:rsidRPr="000000D1" w:rsidRDefault="000000D1" w:rsidP="000000D1">
      <w:pPr>
        <w:ind w:left="1440"/>
        <w:rPr>
          <w:rFonts w:eastAsia="Calibri" w:cs="Times New Roman"/>
        </w:rPr>
      </w:pPr>
      <w:r w:rsidRPr="000000D1">
        <w:rPr>
          <w:rFonts w:eastAsia="Calibri" w:cs="Times New Roman"/>
        </w:rPr>
        <w:t xml:space="preserve">Example (6)(e)(2). Non-resident is a partner in LandHold, a partnership that purchases land in several states and holds the land for subsequent sale to developers. The partnership was formed with an initial capital contribution from its partners, but was not engaged in the conduct of a trade or business in Massachusetts during the year that </w:t>
      </w:r>
      <w:r w:rsidRPr="000000D1">
        <w:rPr>
          <w:rFonts w:eastAsia="Calibri" w:cs="Times New Roman"/>
        </w:rPr>
        <w:lastRenderedPageBreak/>
        <w:t>Non-resident sells his interest in the partnership. The Massachusetts source income derived from the sale is the total gain from the sale, multiplied by fraction set forth in 830 CMR 62.5A.1(6)(e)(2).</w:t>
      </w:r>
    </w:p>
    <w:p w14:paraId="45DB1460" w14:textId="77777777" w:rsidR="000000D1" w:rsidRPr="000000D1" w:rsidRDefault="000000D1" w:rsidP="000000D1">
      <w:pPr>
        <w:ind w:left="720"/>
        <w:contextualSpacing/>
        <w:rPr>
          <w:rFonts w:eastAsia="Calibri" w:cs="Times New Roman"/>
        </w:rPr>
      </w:pPr>
      <w:r w:rsidRPr="000000D1">
        <w:rPr>
          <w:rFonts w:eastAsia="Calibri" w:cs="Times New Roman"/>
        </w:rPr>
        <w:t xml:space="preserve">830 Mass. Code Regs. 63.39.1(7)(a) </w:t>
      </w:r>
    </w:p>
    <w:p w14:paraId="00A98F2E" w14:textId="77777777" w:rsidR="000000D1" w:rsidRPr="000000D1" w:rsidRDefault="000000D1" w:rsidP="000000D1">
      <w:pPr>
        <w:ind w:left="720"/>
        <w:contextualSpacing/>
        <w:rPr>
          <w:rFonts w:eastAsia="Calibri" w:cs="Times New Roman"/>
        </w:rPr>
      </w:pPr>
      <w:r w:rsidRPr="000000D1">
        <w:rPr>
          <w:rFonts w:eastAsia="Calibri" w:cs="Times New Roman"/>
        </w:rPr>
        <w:tab/>
      </w:r>
    </w:p>
    <w:p w14:paraId="03E68532" w14:textId="77777777" w:rsidR="000000D1" w:rsidRPr="000000D1" w:rsidRDefault="000000D1" w:rsidP="000000D1">
      <w:pPr>
        <w:ind w:left="1440"/>
        <w:contextualSpacing/>
        <w:rPr>
          <w:rFonts w:eastAsia="Calibri" w:cs="Times New Roman"/>
        </w:rPr>
      </w:pPr>
      <w:r w:rsidRPr="000000D1">
        <w:rPr>
          <w:rFonts w:eastAsia="Calibri" w:cs="Times New Roman"/>
        </w:rPr>
        <w:t>Except as provided by 830 CMR 63.39.1(7)(b), infra, a business corporation is subject to the excise under M.G.L. c. 63, §§ 2, 2A or 39, if the corporation is a general or limited partner in a partnership whose activities, if conducted directly by the business corporation, would subject that corporation to the corporate excise under the provisions of M.G.L. c. 63, §§ 2, 2A or 39. In the case of a tiered partnership arrangement the activities of the partnership(s) occupying the lower tier(s) are imputed to all partners holding interests in partnership(s) occupying higher tier(s). In applying this provision, the Commissioner will consider whether the assertion of jurisdiction is limited by the provisions of the U.S Constitution or federal law.</w:t>
      </w:r>
    </w:p>
    <w:p w14:paraId="3D908C75" w14:textId="77777777" w:rsidR="000000D1" w:rsidRPr="000000D1" w:rsidRDefault="000000D1" w:rsidP="000000D1">
      <w:pPr>
        <w:pBdr>
          <w:bottom w:val="single" w:sz="4" w:space="0" w:color="auto"/>
        </w:pBdr>
        <w:rPr>
          <w:rFonts w:eastAsia="Calibri" w:cs="Times New Roman"/>
        </w:rPr>
      </w:pPr>
    </w:p>
    <w:p w14:paraId="6D6939CD"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19" w:name="_Toc198480785"/>
      <w:r w:rsidRPr="000000D1">
        <w:rPr>
          <w:rFonts w:ascii="Californian FB" w:eastAsia="Times New Roman" w:hAnsi="Californian FB" w:cs="Times New Roman"/>
          <w:b/>
          <w:color w:val="851C00"/>
          <w:sz w:val="24"/>
          <w:szCs w:val="24"/>
          <w:u w:val="single"/>
        </w:rPr>
        <w:t>Michigan</w:t>
      </w:r>
      <w:bookmarkEnd w:id="119"/>
    </w:p>
    <w:p w14:paraId="78DB717E" w14:textId="77777777" w:rsidR="000000D1" w:rsidRPr="000000D1" w:rsidRDefault="000000D1" w:rsidP="000000D1">
      <w:pPr>
        <w:ind w:left="720"/>
        <w:contextualSpacing/>
        <w:rPr>
          <w:rFonts w:eastAsia="Calibri" w:cs="Times New Roman"/>
        </w:rPr>
      </w:pPr>
      <w:bookmarkStart w:id="120" w:name="_Hlk155102832"/>
      <w:bookmarkStart w:id="121" w:name="_Hlk155102813"/>
      <w:r w:rsidRPr="000000D1">
        <w:rPr>
          <w:rFonts w:eastAsia="Calibri" w:cs="Times New Roman"/>
        </w:rPr>
        <w:t xml:space="preserve">Mich. Comp. Laws § 206.661(2) </w:t>
      </w:r>
    </w:p>
    <w:p w14:paraId="159DF114" w14:textId="77777777" w:rsidR="000000D1" w:rsidRPr="000000D1" w:rsidRDefault="000000D1" w:rsidP="000000D1">
      <w:pPr>
        <w:contextualSpacing/>
        <w:rPr>
          <w:rFonts w:eastAsia="Calibri" w:cs="Times New Roman"/>
        </w:rPr>
      </w:pPr>
      <w:r w:rsidRPr="000000D1">
        <w:rPr>
          <w:rFonts w:eastAsia="Calibri" w:cs="Times New Roman"/>
        </w:rPr>
        <w:tab/>
      </w:r>
    </w:p>
    <w:p w14:paraId="67363AF2" w14:textId="77777777" w:rsidR="000000D1" w:rsidRPr="000000D1" w:rsidRDefault="000000D1" w:rsidP="000000D1">
      <w:pPr>
        <w:ind w:left="1440"/>
        <w:rPr>
          <w:rFonts w:eastAsia="Calibri" w:cs="Times New Roman"/>
        </w:rPr>
      </w:pPr>
      <w:r w:rsidRPr="000000D1">
        <w:rPr>
          <w:rFonts w:eastAsia="Calibri" w:cs="Times New Roman"/>
        </w:rPr>
        <w:t>The tax base of a taxpayer whose business activities are confined solely to this state shall be allocated to this state. The tax base of a taxpayer whose business activities are subject to tax both within and outside of this state shall be apportioned to this state by multiplying the tax base by the sales factor calculated under section 663. For a taxpayer that has a direct, or indirect through 1 or more other flow-through entities, ownership interest or beneficial interest in a flow-through entity, the taxpayer's business income that is directly attributable to the business activity of the flow-through entity shall be apportioned to this state using an apportionment factor determined under section 663 based on the business activity of the flow-through entity unless the flow-through entity is unitary with the taxpayer for apportionment purposes as provided under section 663.</w:t>
      </w:r>
    </w:p>
    <w:p w14:paraId="268035F9" w14:textId="77777777" w:rsidR="000000D1" w:rsidRPr="000000D1" w:rsidRDefault="000000D1" w:rsidP="000000D1">
      <w:pPr>
        <w:ind w:left="720"/>
        <w:contextualSpacing/>
        <w:rPr>
          <w:rFonts w:eastAsia="Calibri" w:cs="Times New Roman"/>
        </w:rPr>
      </w:pPr>
      <w:r w:rsidRPr="000000D1">
        <w:rPr>
          <w:rFonts w:eastAsia="Calibri" w:cs="Times New Roman"/>
        </w:rPr>
        <w:t xml:space="preserve">Mich. Comp. Laws § 206.663 </w:t>
      </w:r>
    </w:p>
    <w:p w14:paraId="1FA3660E" w14:textId="77777777" w:rsidR="000000D1" w:rsidRPr="000000D1" w:rsidRDefault="000000D1" w:rsidP="00366E17">
      <w:pPr>
        <w:numPr>
          <w:ilvl w:val="0"/>
          <w:numId w:val="24"/>
        </w:numPr>
        <w:contextualSpacing/>
        <w:rPr>
          <w:rFonts w:eastAsia="Calibri" w:cs="Times New Roman"/>
        </w:rPr>
      </w:pPr>
      <w:r w:rsidRPr="000000D1">
        <w:rPr>
          <w:rFonts w:eastAsia="Calibri" w:cs="Times New Roman"/>
        </w:rPr>
        <w:t>Except as otherwise provided in subsection (2) and section 669, the sales factor is a fraction, the numerator of which is the total sales of the taxpayer in this state during the tax year and the denominator of which is the total sales of the taxpayer everywhere during the tax year. The numerator of a taxpayer shall include its proportionate share of the total sales in this state of a flow-through entity that is unitary with the taxpayer. The denominator of a taxpayer shall include its proportionate share of the total sales everywhere of a flow-through entity that is unitary with the taxpayer. A flow-through entity is unitary with a taxpayer when that taxpayer owns or controls, directly or indirectly, more than 50% of the ownership interests with voting rights or ownership interests that confer comparable rights to voting rights of the flow-through entity, and that has business activities or operations which result in a flow of value between the taxpayer and the flow-through entity, or between the flow-through entity and another flow-through entity unitary with the taxpayer, or has business activities or operations that are integrated with, are dependent upon, or contribute to each other.</w:t>
      </w:r>
    </w:p>
    <w:p w14:paraId="5A8EDD55" w14:textId="77777777" w:rsidR="000000D1" w:rsidRPr="000000D1" w:rsidRDefault="000000D1" w:rsidP="00366E17">
      <w:pPr>
        <w:numPr>
          <w:ilvl w:val="0"/>
          <w:numId w:val="24"/>
        </w:numPr>
        <w:contextualSpacing/>
        <w:rPr>
          <w:rFonts w:eastAsia="Calibri" w:cs="Times New Roman"/>
        </w:rPr>
      </w:pPr>
      <w:r w:rsidRPr="000000D1">
        <w:rPr>
          <w:rFonts w:eastAsia="Calibri" w:cs="Times New Roman"/>
        </w:rPr>
        <w:t>Except as otherwise provided under this subsection, for a taxpayer that is a unitary business group, sales include sales in this state of every person included in the unitary business group without regard to whether the person has nexus in this state. Sales between persons included in a unitary business group must be eliminated in calculating the sales factor. Sales between a taxpayer and a flow-through entity unitary with that taxpayer shall, to the extent of the taxpayer's interest in the flow-through entity, be eliminated in calculating the sales factor. Sales between a flow-</w:t>
      </w:r>
      <w:r w:rsidRPr="000000D1">
        <w:rPr>
          <w:rFonts w:eastAsia="Calibri" w:cs="Times New Roman"/>
        </w:rPr>
        <w:lastRenderedPageBreak/>
        <w:t>through entity unitary with a taxpayer and another flow-through entity unitary with that same taxpayer shall, to the extent of the taxpayer's interest in the selling flow-through entity, be eliminated in calculating the sales factor.</w:t>
      </w:r>
    </w:p>
    <w:p w14:paraId="35CDF333" w14:textId="77777777" w:rsidR="000000D1" w:rsidRPr="000000D1" w:rsidRDefault="000000D1" w:rsidP="00366E17">
      <w:pPr>
        <w:numPr>
          <w:ilvl w:val="0"/>
          <w:numId w:val="24"/>
        </w:numPr>
        <w:contextualSpacing/>
        <w:rPr>
          <w:rFonts w:eastAsia="Calibri" w:cs="Times New Roman"/>
        </w:rPr>
      </w:pPr>
      <w:r w:rsidRPr="000000D1">
        <w:rPr>
          <w:rFonts w:eastAsia="Calibri" w:cs="Times New Roman"/>
        </w:rPr>
        <w:t>It is the intent of the legislature that the tax base of a taxpayer is apportioned to this state by multiplying the tax base by the sales factor multiplied by 100% and that apportionment shall not be based on property, payroll, or any other factor notwithstanding section 1 of 1969 PA 343, MCL 205.581.</w:t>
      </w:r>
    </w:p>
    <w:p w14:paraId="38F7C5E4" w14:textId="77777777" w:rsidR="000000D1" w:rsidRPr="000000D1" w:rsidRDefault="000000D1" w:rsidP="000000D1">
      <w:pPr>
        <w:ind w:left="720"/>
        <w:rPr>
          <w:rFonts w:eastAsia="Calibri" w:cs="Times New Roman"/>
          <w:i/>
          <w:iCs/>
        </w:rPr>
      </w:pPr>
      <w:r w:rsidRPr="000000D1">
        <w:rPr>
          <w:rFonts w:eastAsia="Calibri" w:cs="Times New Roman"/>
          <w:i/>
          <w:iCs/>
        </w:rPr>
        <w:t>Malpass v. Dep’t of Treasury</w:t>
      </w:r>
      <w:r w:rsidRPr="000000D1">
        <w:rPr>
          <w:rFonts w:eastAsia="Calibri" w:cs="Times New Roman"/>
        </w:rPr>
        <w:t xml:space="preserve">, 833 N.W.2d 272 (Mich. 2013) </w:t>
      </w:r>
    </w:p>
    <w:p w14:paraId="146F97EB" w14:textId="77777777" w:rsidR="000000D1" w:rsidRPr="000000D1" w:rsidRDefault="000000D1" w:rsidP="000000D1">
      <w:pPr>
        <w:ind w:left="1440"/>
        <w:rPr>
          <w:rFonts w:eastAsia="Calibri" w:cs="Times New Roman"/>
        </w:rPr>
      </w:pPr>
      <w:r w:rsidRPr="000000D1">
        <w:rPr>
          <w:rFonts w:eastAsia="Calibri" w:cs="Times New Roman"/>
        </w:rPr>
        <w:t>The Michigan Supreme Court held “that the ITA does not prohibit individual taxpayers from combining the profits and losses from unitary flow-through businesses and then apportioning that income on the basis of the businesses' combined apportionment factors. Moreover, we hold that the ITA did not limit apportionment of income to domestic businesses during the 1994 and 1995 tax years, and that the apportionment could properly be applied to a foreign entity to the extent that the foreign entity and the individual taxpayer's in-state business were unitary.” This case allows individuals the freedom to choose combined or separate apportionment on a year-by-year basis.</w:t>
      </w:r>
    </w:p>
    <w:bookmarkEnd w:id="120"/>
    <w:p w14:paraId="1823CEEA" w14:textId="77777777" w:rsidR="000000D1" w:rsidRPr="000000D1" w:rsidRDefault="000000D1" w:rsidP="000000D1">
      <w:pPr>
        <w:pBdr>
          <w:bottom w:val="single" w:sz="4" w:space="0" w:color="auto"/>
        </w:pBdr>
        <w:rPr>
          <w:rFonts w:eastAsia="Calibri" w:cs="Times New Roman"/>
        </w:rPr>
      </w:pPr>
    </w:p>
    <w:p w14:paraId="30C5B7DB"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22" w:name="_Toc198480786"/>
      <w:bookmarkEnd w:id="121"/>
      <w:r w:rsidRPr="000000D1">
        <w:rPr>
          <w:rFonts w:ascii="Californian FB" w:eastAsia="Times New Roman" w:hAnsi="Californian FB" w:cs="Times New Roman"/>
          <w:b/>
          <w:color w:val="851C00"/>
          <w:sz w:val="24"/>
          <w:szCs w:val="24"/>
          <w:u w:val="single"/>
        </w:rPr>
        <w:t>Minnesota</w:t>
      </w:r>
      <w:bookmarkEnd w:id="122"/>
    </w:p>
    <w:p w14:paraId="2C2B2606" w14:textId="77777777" w:rsidR="000000D1" w:rsidRPr="000000D1" w:rsidRDefault="000000D1" w:rsidP="000000D1">
      <w:pPr>
        <w:ind w:left="720"/>
        <w:contextualSpacing/>
        <w:rPr>
          <w:rFonts w:eastAsia="Calibri" w:cs="Times New Roman"/>
        </w:rPr>
      </w:pPr>
      <w:r w:rsidRPr="000000D1">
        <w:rPr>
          <w:rFonts w:eastAsia="Calibri" w:cs="Times New Roman"/>
        </w:rPr>
        <w:t xml:space="preserve">Minn. Stat. § 290.014 </w:t>
      </w:r>
    </w:p>
    <w:p w14:paraId="0E5E8960" w14:textId="77777777" w:rsidR="000000D1" w:rsidRPr="000000D1" w:rsidRDefault="000000D1" w:rsidP="000000D1">
      <w:pPr>
        <w:contextualSpacing/>
        <w:rPr>
          <w:rFonts w:eastAsia="Calibri" w:cs="Times New Roman"/>
        </w:rPr>
      </w:pPr>
    </w:p>
    <w:p w14:paraId="5BC8EF81" w14:textId="77777777" w:rsidR="000000D1" w:rsidRPr="000000D1" w:rsidRDefault="000000D1" w:rsidP="000000D1">
      <w:pPr>
        <w:ind w:left="1440"/>
        <w:rPr>
          <w:rFonts w:eastAsia="Calibri" w:cs="Times New Roman"/>
        </w:rPr>
      </w:pPr>
      <w:r w:rsidRPr="000000D1">
        <w:rPr>
          <w:rFonts w:eastAsia="Calibri" w:cs="Times New Roman"/>
        </w:rPr>
        <w:t>Subd. 4: Except as provided in section 290.015, a partnership is subject to the return filing requirements and to tax as provided in this chapter if the income of the partnership is:</w:t>
      </w:r>
    </w:p>
    <w:p w14:paraId="46991A94" w14:textId="77777777" w:rsidR="000000D1" w:rsidRPr="000000D1" w:rsidRDefault="000000D1" w:rsidP="000000D1">
      <w:pPr>
        <w:ind w:left="1440"/>
        <w:rPr>
          <w:rFonts w:eastAsia="Calibri" w:cs="Times New Roman"/>
        </w:rPr>
      </w:pPr>
      <w:r w:rsidRPr="000000D1">
        <w:rPr>
          <w:rFonts w:eastAsia="Calibri" w:cs="Times New Roman"/>
        </w:rPr>
        <w:t>(1) allocable to this state under section 290.17, 290.191, or 290.20;</w:t>
      </w:r>
    </w:p>
    <w:p w14:paraId="7A9D7D1F" w14:textId="77777777" w:rsidR="000000D1" w:rsidRPr="000000D1" w:rsidRDefault="000000D1" w:rsidP="000000D1">
      <w:pPr>
        <w:ind w:left="1440"/>
        <w:rPr>
          <w:rFonts w:eastAsia="Calibri" w:cs="Times New Roman"/>
        </w:rPr>
      </w:pPr>
      <w:r w:rsidRPr="000000D1">
        <w:rPr>
          <w:rFonts w:eastAsia="Calibri" w:cs="Times New Roman"/>
        </w:rPr>
        <w:t>(2) taxed to the partnership under the Internal Revenue Code (or not taxed under the Internal Revenue Code by reason of its character but of a character which is taxable under this chapter) in its capacity as a beneficiary of an estate with income allocable to this state under section 290.17, 290.191, or 290.20 and the income, taking into account the income character provisions of section 662(b) of the Internal Revenue Code, would be allocable to this state under section 290.17, 290.191, or 290.20 if realized by the partnership directly from the source from which realized by the estate;</w:t>
      </w:r>
    </w:p>
    <w:p w14:paraId="06D61AE8" w14:textId="77777777" w:rsidR="000000D1" w:rsidRPr="000000D1" w:rsidRDefault="000000D1" w:rsidP="000000D1">
      <w:pPr>
        <w:ind w:left="1440"/>
        <w:rPr>
          <w:rFonts w:eastAsia="Calibri" w:cs="Times New Roman"/>
        </w:rPr>
      </w:pPr>
      <w:r w:rsidRPr="000000D1">
        <w:rPr>
          <w:rFonts w:eastAsia="Calibri" w:cs="Times New Roman"/>
        </w:rPr>
        <w:t>(3) taxed to the partnership under the Internal Revenue Code (or not taxed under the Internal Revenue Code by reason of its character but of a character which is taxable under this chapter) in its capacity as a beneficiary or grantor or other person treated as a substantial owner of a trust with income allocable to this state under section 290.17, 290.191, or 290.20 and the income, taking into account the income character provisions of section 652(b), 662(b), or 664(b) of the Internal Revenue Code, would be allocable to this state under section 290.17, 290.191, or 290.20 if realized by the partnership directly from the source from which realized by the trust; or</w:t>
      </w:r>
    </w:p>
    <w:p w14:paraId="5ED2E782" w14:textId="77777777" w:rsidR="000000D1" w:rsidRPr="000000D1" w:rsidRDefault="000000D1" w:rsidP="000000D1">
      <w:pPr>
        <w:ind w:left="1440"/>
        <w:rPr>
          <w:rFonts w:eastAsia="Calibri" w:cs="Times New Roman"/>
        </w:rPr>
      </w:pPr>
      <w:r w:rsidRPr="000000D1">
        <w:rPr>
          <w:rFonts w:eastAsia="Calibri" w:cs="Times New Roman"/>
        </w:rPr>
        <w:t>(4) taxed to the partnership under the Internal Revenue Code (or not taxed under the Internal Revenue Code by reason of its character but of a character which is taxable under this chapter) in its capacity as a limited or general partner in a partnership with income allocable to this state under section 290.17, 290.191, or 290.20 and the income, taking into account the income character provisions of section 702(b) of the Internal Revenue Code, would be allocable to this state under section 290.17, 290.191, or 290.20 if realized by the second tier partnership directly from the source from which realized by the first tier partnership.</w:t>
      </w:r>
    </w:p>
    <w:p w14:paraId="5C084D07" w14:textId="77777777" w:rsidR="000000D1" w:rsidRPr="000000D1" w:rsidRDefault="000000D1" w:rsidP="000000D1">
      <w:pPr>
        <w:ind w:left="1440"/>
        <w:rPr>
          <w:rFonts w:eastAsia="Calibri" w:cs="Times New Roman"/>
        </w:rPr>
      </w:pPr>
      <w:r w:rsidRPr="000000D1">
        <w:rPr>
          <w:rFonts w:eastAsia="Calibri" w:cs="Times New Roman"/>
        </w:rPr>
        <w:lastRenderedPageBreak/>
        <w:t>Subd. 5: Except as provided in section 290.015, corporations are subject to the return filing requirements and to tax as provided in this chapter if the corporation so exercises its franchise as to engage in such contacts with this state as to cause part of the income of the corporation to be:</w:t>
      </w:r>
    </w:p>
    <w:p w14:paraId="457FE779" w14:textId="77777777" w:rsidR="000000D1" w:rsidRPr="000000D1" w:rsidRDefault="000000D1" w:rsidP="000000D1">
      <w:pPr>
        <w:ind w:left="1440"/>
        <w:rPr>
          <w:rFonts w:eastAsia="Calibri" w:cs="Times New Roman"/>
        </w:rPr>
      </w:pPr>
      <w:r w:rsidRPr="000000D1">
        <w:rPr>
          <w:rFonts w:eastAsia="Calibri" w:cs="Times New Roman"/>
        </w:rPr>
        <w:t>(1) allocable to this state under section 290.17, 290.191, 290.20, or 290.36;</w:t>
      </w:r>
    </w:p>
    <w:p w14:paraId="56DFF64E" w14:textId="77777777" w:rsidR="000000D1" w:rsidRPr="000000D1" w:rsidRDefault="000000D1" w:rsidP="000000D1">
      <w:pPr>
        <w:ind w:left="1440"/>
        <w:rPr>
          <w:rFonts w:eastAsia="Calibri" w:cs="Times New Roman"/>
        </w:rPr>
      </w:pPr>
      <w:r w:rsidRPr="000000D1">
        <w:rPr>
          <w:rFonts w:eastAsia="Calibri" w:cs="Times New Roman"/>
        </w:rPr>
        <w:t>(2) taxed to the corporation under the Internal Revenue Code (or not taxed under the Internal Revenue Code by reason of its character but of a character which is taxable under this chapter) in its capacity as a beneficiary of an estate with income allocable to this state under section 290.17, 290.191, or 290.20 and the income, taking into account the income character provisions of section 662(b) of the Internal Revenue Code, would be allocable to this state under section 290.17, 290.191, or 290.20 if realized by the corporation directly from the source from which realized by the estate;</w:t>
      </w:r>
    </w:p>
    <w:p w14:paraId="68F8F702" w14:textId="77777777" w:rsidR="000000D1" w:rsidRPr="000000D1" w:rsidRDefault="000000D1" w:rsidP="000000D1">
      <w:pPr>
        <w:ind w:left="1440"/>
        <w:rPr>
          <w:rFonts w:eastAsia="Calibri" w:cs="Times New Roman"/>
        </w:rPr>
      </w:pPr>
      <w:r w:rsidRPr="000000D1">
        <w:rPr>
          <w:rFonts w:eastAsia="Calibri" w:cs="Times New Roman"/>
        </w:rPr>
        <w:t>(3) taxed to the corporation under the Internal Revenue Code (or not taxed under the Internal Revenue Code by reason of its character but of a character which is taxable under this chapter) in its capacity as a beneficiary or grantor or other person treated as a substantial owner of a trust with income allocable to this state under section 290.17, 290.191, or 290.20 and the income, taking into account the income character provisions of section 652(b), 662(b), or 664(b) of the Internal Revenue Code, would be allocable to this state under section 290.17, 290.191, or 290.20 if realized by the corporation directly from the source from which realized by the trust; or</w:t>
      </w:r>
    </w:p>
    <w:p w14:paraId="3228FE6A" w14:textId="77777777" w:rsidR="000000D1" w:rsidRPr="000000D1" w:rsidRDefault="000000D1" w:rsidP="000000D1">
      <w:pPr>
        <w:ind w:left="1440"/>
        <w:rPr>
          <w:rFonts w:eastAsia="Calibri" w:cs="Times New Roman"/>
        </w:rPr>
      </w:pPr>
      <w:r w:rsidRPr="000000D1">
        <w:rPr>
          <w:rFonts w:eastAsia="Calibri" w:cs="Times New Roman"/>
        </w:rPr>
        <w:t>(4) taxed to the corporation under the Internal Revenue Code (or not taxed under the Internal Revenue Code by reason of its character but of a character which is taxable under this chapter) in its capacity as a limited or general partner in a partnership with income allocable to this state under section 290.17, 290.191, or 290.20 and the income, taking into account the income character provisions of section 702(b) of the Internal Revenue Code, would be allocable to this state under section 290.17, 290.191, or 290.20 if realized by the corporation directly from the source from which realized by the partnership.</w:t>
      </w:r>
    </w:p>
    <w:p w14:paraId="69B4F78E" w14:textId="77777777" w:rsidR="000000D1" w:rsidRPr="000000D1" w:rsidRDefault="000000D1" w:rsidP="000000D1">
      <w:pPr>
        <w:ind w:left="720"/>
        <w:contextualSpacing/>
        <w:rPr>
          <w:rFonts w:eastAsia="Calibri" w:cs="Times New Roman"/>
        </w:rPr>
      </w:pPr>
      <w:r w:rsidRPr="000000D1">
        <w:rPr>
          <w:rFonts w:eastAsia="Calibri" w:cs="Times New Roman"/>
        </w:rPr>
        <w:t xml:space="preserve">Minn. Stat. § 290.17 </w:t>
      </w:r>
    </w:p>
    <w:p w14:paraId="5E89F4A0" w14:textId="77777777" w:rsidR="000000D1" w:rsidRPr="000000D1" w:rsidRDefault="000000D1" w:rsidP="000000D1">
      <w:pPr>
        <w:contextualSpacing/>
        <w:rPr>
          <w:rFonts w:eastAsia="Calibri" w:cs="Times New Roman"/>
        </w:rPr>
      </w:pPr>
    </w:p>
    <w:p w14:paraId="6D7A897F" w14:textId="77777777" w:rsidR="000000D1" w:rsidRPr="000000D1" w:rsidRDefault="000000D1" w:rsidP="000000D1">
      <w:pPr>
        <w:ind w:left="1440"/>
        <w:rPr>
          <w:rFonts w:eastAsia="Calibri" w:cs="Times New Roman"/>
        </w:rPr>
      </w:pPr>
      <w:r w:rsidRPr="000000D1">
        <w:rPr>
          <w:rFonts w:eastAsia="Calibri" w:cs="Times New Roman"/>
        </w:rPr>
        <w:t>Subd. 1(a) The income of resident individuals is not subject to allocation outside this state. The allocation rules apply to nonresident individuals, estates, trusts, nonresident partners of partnerships, nonresident shareholders of corporations treated as "S" corporations under section 290.9725, and all corporations not having such an election in effect. If a partnership or corporation would not otherwise be subject to the allocation rules, but conducts a trade or business that is part of a unitary business involving another legal entity that is subject to the allocation rules, the partnership or corporation is subject to the allocation rules.</w:t>
      </w:r>
    </w:p>
    <w:p w14:paraId="10F9B225" w14:textId="77777777" w:rsidR="000000D1" w:rsidRPr="000000D1" w:rsidRDefault="000000D1" w:rsidP="000000D1">
      <w:pPr>
        <w:ind w:left="1440"/>
        <w:rPr>
          <w:rFonts w:eastAsia="Calibri" w:cs="Times New Roman"/>
        </w:rPr>
      </w:pPr>
      <w:r w:rsidRPr="000000D1">
        <w:rPr>
          <w:rFonts w:eastAsia="Calibri" w:cs="Times New Roman"/>
        </w:rPr>
        <w:t>Subd 4(b) The term "unitary business" means business activities or operations which result in a flow of value between them. The term may be applied within a single legal entity or between multiple entities and without regard to whether each entity is a sole proprietorship, a corporation, a partnership or a trust.</w:t>
      </w:r>
    </w:p>
    <w:p w14:paraId="5633E339" w14:textId="77777777" w:rsidR="000000D1" w:rsidRPr="000000D1" w:rsidRDefault="000000D1" w:rsidP="000000D1">
      <w:pPr>
        <w:ind w:left="1440"/>
        <w:rPr>
          <w:rFonts w:eastAsia="Calibri" w:cs="Times New Roman"/>
        </w:rPr>
      </w:pPr>
      <w:r w:rsidRPr="000000D1">
        <w:rPr>
          <w:rFonts w:eastAsia="Calibri" w:cs="Times New Roman"/>
        </w:rPr>
        <w:t xml:space="preserve">Subd 4(g) For purposes of determining the net income of a unitary business and the factors to be used in the apportionment of net income pursuant to section 290.191 or 290.20, there must be included only the income and apportionment factors of domestic corporations or other domestic entities that are determined to be part of the unitary business pursuant to this subdivision, notwithstanding that foreign corporations or other foreign entities might be included in the unitary business; except that the income and apportionment factors of a foreign entity, other than an entity treated as a C corporation for federal income tax purposes, that is included in the federal taxable income, </w:t>
      </w:r>
      <w:r w:rsidRPr="000000D1">
        <w:rPr>
          <w:rFonts w:eastAsia="Calibri" w:cs="Times New Roman"/>
        </w:rPr>
        <w:lastRenderedPageBreak/>
        <w:t>as defined in section 63 of the Internal Revenue Code as amended through the date named in section 290.01, subdivision 19, of a domestic corporation, domestic entity, or individual must be included in determining net income and the factors to be used in the apportionment of net income pursuant to section 290.191 or 290.20.</w:t>
      </w:r>
    </w:p>
    <w:p w14:paraId="1FA0DAE0" w14:textId="77777777" w:rsidR="000000D1" w:rsidRPr="000000D1" w:rsidRDefault="000000D1" w:rsidP="000000D1">
      <w:pPr>
        <w:ind w:left="720"/>
        <w:contextualSpacing/>
        <w:rPr>
          <w:rFonts w:eastAsia="Calibri" w:cs="Times New Roman"/>
        </w:rPr>
      </w:pPr>
      <w:r w:rsidRPr="000000D1">
        <w:rPr>
          <w:rFonts w:eastAsia="Calibri" w:cs="Times New Roman"/>
        </w:rPr>
        <w:t xml:space="preserve">Minn. Stat. § 290.0922, subd. 4 (Minimum Fee) </w:t>
      </w:r>
    </w:p>
    <w:p w14:paraId="78F97CB1" w14:textId="77777777" w:rsidR="000000D1" w:rsidRPr="000000D1" w:rsidRDefault="000000D1" w:rsidP="000000D1">
      <w:pPr>
        <w:contextualSpacing/>
        <w:rPr>
          <w:rFonts w:eastAsia="Calibri" w:cs="Times New Roman"/>
        </w:rPr>
      </w:pPr>
    </w:p>
    <w:p w14:paraId="163190C8" w14:textId="77777777" w:rsidR="000000D1" w:rsidRPr="000000D1" w:rsidRDefault="000000D1" w:rsidP="000000D1">
      <w:pPr>
        <w:ind w:left="1440"/>
        <w:rPr>
          <w:rFonts w:eastAsia="Calibri" w:cs="Times New Roman"/>
        </w:rPr>
      </w:pPr>
      <w:r w:rsidRPr="000000D1">
        <w:rPr>
          <w:rFonts w:eastAsia="Calibri" w:cs="Times New Roman"/>
        </w:rPr>
        <w:t>For the purposes of this section, a partner's pro rata share of a partnership's property, payroll, and sales or receipts is not included in the property, payroll, and sales or receipts of the partner.</w:t>
      </w:r>
    </w:p>
    <w:p w14:paraId="068C1383" w14:textId="77777777" w:rsidR="000000D1" w:rsidRPr="000000D1" w:rsidRDefault="000000D1" w:rsidP="000000D1">
      <w:pPr>
        <w:ind w:left="720"/>
        <w:contextualSpacing/>
        <w:rPr>
          <w:rFonts w:eastAsia="Calibri" w:cs="Times New Roman"/>
        </w:rPr>
      </w:pPr>
      <w:r w:rsidRPr="000000D1">
        <w:rPr>
          <w:rFonts w:eastAsia="Calibri" w:cs="Times New Roman"/>
        </w:rPr>
        <w:t xml:space="preserve">Minnesota Revenue Notice 08-03 (February 19, 2008) </w:t>
      </w:r>
    </w:p>
    <w:p w14:paraId="46D54DAC" w14:textId="77777777" w:rsidR="000000D1" w:rsidRPr="000000D1" w:rsidRDefault="000000D1" w:rsidP="000000D1">
      <w:pPr>
        <w:contextualSpacing/>
        <w:rPr>
          <w:rFonts w:eastAsia="Calibri" w:cs="Times New Roman"/>
        </w:rPr>
      </w:pPr>
    </w:p>
    <w:p w14:paraId="0011AB76" w14:textId="77777777" w:rsidR="000000D1" w:rsidRPr="000000D1" w:rsidRDefault="000000D1" w:rsidP="000000D1">
      <w:pPr>
        <w:ind w:left="1440"/>
        <w:rPr>
          <w:rFonts w:eastAsia="Calibri" w:cs="Times New Roman"/>
        </w:rPr>
      </w:pPr>
      <w:r w:rsidRPr="000000D1">
        <w:rPr>
          <w:rFonts w:eastAsia="Calibri" w:cs="Times New Roman"/>
        </w:rPr>
        <w:t>Partnership income is included in the corporate partner’s Minnesota income in one of two ways.</w:t>
      </w:r>
    </w:p>
    <w:p w14:paraId="40EB7787" w14:textId="77777777" w:rsidR="000000D1" w:rsidRPr="000000D1" w:rsidRDefault="000000D1" w:rsidP="000000D1">
      <w:pPr>
        <w:ind w:left="1440"/>
        <w:rPr>
          <w:rFonts w:eastAsia="Calibri" w:cs="Times New Roman"/>
        </w:rPr>
      </w:pPr>
      <w:r w:rsidRPr="000000D1">
        <w:rPr>
          <w:rFonts w:eastAsia="Calibri" w:cs="Times New Roman"/>
        </w:rPr>
        <w:t>Partnership income is subject to apportionment as business income of the unitary business when a unitary business relationship exists between the corporation and the partnership. The determination of the existence of a unitary business must be made under Minnesota Statutes, section 290.17, subdivision 4, except that a corporation need not own more than 50% direct ownership in the partnership to be included in the unitary business. When a corporation and a partnership are engaged in a unitary business, the corporation must include its partnership income in its apportionable business income. The corporation must also include its pro-rata share of the partnership’s property, payroll, and sales/receipts located within and outside Minnesota in the corporation’s property, payroll, and sales/receipts numerator and denominator.</w:t>
      </w:r>
    </w:p>
    <w:p w14:paraId="24554F96" w14:textId="77777777" w:rsidR="000000D1" w:rsidRPr="000000D1" w:rsidRDefault="000000D1" w:rsidP="000000D1">
      <w:pPr>
        <w:ind w:left="1440"/>
        <w:rPr>
          <w:rFonts w:eastAsia="Calibri" w:cs="Times New Roman"/>
        </w:rPr>
      </w:pPr>
      <w:r w:rsidRPr="000000D1">
        <w:rPr>
          <w:rFonts w:eastAsia="Calibri" w:cs="Times New Roman"/>
        </w:rPr>
        <w:t>If the corporation and partnership are not engaged in a unitary business, the corporation must report its partnership income or loss as separately stated income or loss. If the partnership’s business is conducted wholly within Minnesota, the corporate partner’s share of partnership income or loss must be assigned entirely to Minnesota by the corporate partner. If the partnership business is conducted wholly outside Minnesota, the corporate partner’s share of partnership income or loss must be assigned entirely outside Minnesota. If the partnership conducts its business both within and without Minnesota, the corporate partner’s share of partnership income or loss is assigned to Minnesota based on the partnership’s property, payroll, and sales/receipts apportionment factors.</w:t>
      </w:r>
    </w:p>
    <w:p w14:paraId="77DAF0ED" w14:textId="77777777" w:rsidR="000000D1" w:rsidRPr="000000D1" w:rsidRDefault="000000D1" w:rsidP="000000D1">
      <w:pPr>
        <w:pBdr>
          <w:bottom w:val="single" w:sz="4" w:space="0" w:color="auto"/>
        </w:pBdr>
        <w:rPr>
          <w:rFonts w:eastAsia="Calibri" w:cs="Times New Roman"/>
        </w:rPr>
      </w:pPr>
    </w:p>
    <w:p w14:paraId="2559A039"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23" w:name="_Toc198480787"/>
      <w:r w:rsidRPr="000000D1">
        <w:rPr>
          <w:rFonts w:ascii="Californian FB" w:eastAsia="Times New Roman" w:hAnsi="Californian FB" w:cs="Times New Roman"/>
          <w:b/>
          <w:color w:val="851C00"/>
          <w:sz w:val="24"/>
          <w:szCs w:val="24"/>
          <w:u w:val="single"/>
        </w:rPr>
        <w:t>Mississippi</w:t>
      </w:r>
      <w:bookmarkEnd w:id="123"/>
    </w:p>
    <w:p w14:paraId="7A646260" w14:textId="77777777" w:rsidR="000000D1" w:rsidRPr="000000D1" w:rsidRDefault="000000D1" w:rsidP="000000D1">
      <w:pPr>
        <w:ind w:left="720"/>
        <w:contextualSpacing/>
        <w:rPr>
          <w:rFonts w:eastAsia="Calibri" w:cs="Times New Roman"/>
        </w:rPr>
      </w:pPr>
      <w:r w:rsidRPr="000000D1">
        <w:rPr>
          <w:rFonts w:eastAsia="Calibri" w:cs="Times New Roman"/>
        </w:rPr>
        <w:t xml:space="preserve">Miss. Code Ann. § 27-7-23(b)(2) </w:t>
      </w:r>
    </w:p>
    <w:p w14:paraId="781EFB80" w14:textId="77777777" w:rsidR="000000D1" w:rsidRPr="000000D1" w:rsidRDefault="000000D1" w:rsidP="000000D1">
      <w:pPr>
        <w:contextualSpacing/>
        <w:rPr>
          <w:rFonts w:eastAsia="Calibri" w:cs="Times New Roman"/>
        </w:rPr>
      </w:pPr>
    </w:p>
    <w:p w14:paraId="57A35CCD" w14:textId="77777777" w:rsidR="000000D1" w:rsidRPr="000000D1" w:rsidRDefault="000000D1" w:rsidP="000000D1">
      <w:pPr>
        <w:ind w:left="1440"/>
        <w:rPr>
          <w:rFonts w:eastAsia="Calibri" w:cs="Times New Roman"/>
        </w:rPr>
      </w:pPr>
      <w:r w:rsidRPr="000000D1">
        <w:rPr>
          <w:rFonts w:eastAsia="Calibri" w:cs="Times New Roman"/>
        </w:rPr>
        <w:t>Income derived from trade, business or other commercial activity shall be taxed to the extent that it is derived from such activity within this state. Mississippi net income shall be determined in the manner prescribed by the commissioner for the allocation and/or apportionment of income of foreign corporations having income from sources both within and without the state.</w:t>
      </w:r>
    </w:p>
    <w:p w14:paraId="312C15B1" w14:textId="77777777" w:rsidR="000000D1" w:rsidRPr="000000D1" w:rsidRDefault="000000D1" w:rsidP="000000D1">
      <w:pPr>
        <w:ind w:left="720"/>
        <w:contextualSpacing/>
        <w:rPr>
          <w:rFonts w:eastAsia="Calibri" w:cs="Times New Roman"/>
        </w:rPr>
      </w:pPr>
      <w:r w:rsidRPr="000000D1">
        <w:rPr>
          <w:rFonts w:eastAsia="Calibri" w:cs="Times New Roman"/>
        </w:rPr>
        <w:t xml:space="preserve">Miss. Code Ann. § 27-7-23(2)(2)(A) </w:t>
      </w:r>
    </w:p>
    <w:p w14:paraId="0348EC64" w14:textId="77777777" w:rsidR="000000D1" w:rsidRPr="000000D1" w:rsidRDefault="000000D1" w:rsidP="000000D1">
      <w:pPr>
        <w:contextualSpacing/>
        <w:rPr>
          <w:rFonts w:eastAsia="Calibri" w:cs="Times New Roman"/>
        </w:rPr>
      </w:pPr>
    </w:p>
    <w:p w14:paraId="1FA15793" w14:textId="77777777" w:rsidR="000000D1" w:rsidRPr="000000D1" w:rsidRDefault="000000D1" w:rsidP="000000D1">
      <w:pPr>
        <w:ind w:left="1440"/>
        <w:contextualSpacing/>
        <w:rPr>
          <w:rFonts w:eastAsia="Calibri" w:cs="Times New Roman"/>
        </w:rPr>
      </w:pPr>
      <w:r w:rsidRPr="000000D1">
        <w:rPr>
          <w:rFonts w:eastAsia="Calibri" w:cs="Times New Roman"/>
        </w:rPr>
        <w:t xml:space="preserve">Except as provided in Sections 27-7-24, 27-7-24.1, 27-7-24.3, 27-7-24.5, 27-7-24.7, 27-7-24.8 and 27-7-24.9, Mississippi Code of 1972, any corporation or organization having business income from business activity which is taxable both within and without this state shall allocate and apportion its net business income as prescribed by regulations enacted by the commissioner. If the business income of the corporation is derived </w:t>
      </w:r>
      <w:r w:rsidRPr="000000D1">
        <w:rPr>
          <w:rFonts w:eastAsia="Calibri" w:cs="Times New Roman"/>
        </w:rPr>
        <w:lastRenderedPageBreak/>
        <w:t>solely from property owned or business done in this state and the corporation is not taxable in another state, the entire business income shall be allocated to this state. A corporation is taxable in another state if, in that state the corporation is subject to a net income tax, or a franchise tax measured by net income, or if that state has jurisdiction to subject the corporation to a net income tax regardless of whether the state does or does not subject the corporation to a net income tax</w:t>
      </w:r>
    </w:p>
    <w:p w14:paraId="0BA9726E" w14:textId="77777777" w:rsidR="000000D1" w:rsidRPr="000000D1" w:rsidRDefault="000000D1" w:rsidP="000000D1">
      <w:pPr>
        <w:ind w:left="720"/>
        <w:contextualSpacing/>
        <w:rPr>
          <w:rFonts w:eastAsia="Calibri" w:cs="Times New Roman"/>
        </w:rPr>
      </w:pPr>
    </w:p>
    <w:p w14:paraId="7E97B023" w14:textId="77777777" w:rsidR="000000D1" w:rsidRPr="000000D1" w:rsidRDefault="000000D1" w:rsidP="000000D1">
      <w:pPr>
        <w:ind w:left="720"/>
        <w:contextualSpacing/>
        <w:rPr>
          <w:rFonts w:eastAsia="Calibri" w:cs="Times New Roman"/>
        </w:rPr>
      </w:pPr>
      <w:r w:rsidRPr="000000D1">
        <w:rPr>
          <w:rFonts w:eastAsia="Calibri" w:cs="Times New Roman"/>
        </w:rPr>
        <w:t>tit. no. 35 - pt. 3, subpt. 08, ch. 06, Miss. Code R. 302.01(8)</w:t>
      </w:r>
      <w:r w:rsidRPr="000000D1">
        <w:rPr>
          <w:rFonts w:eastAsia="Calibri" w:cs="Times New Roman"/>
          <w:i/>
          <w:iCs/>
        </w:rPr>
        <w:t xml:space="preserve"> </w:t>
      </w:r>
    </w:p>
    <w:p w14:paraId="1C4D282D" w14:textId="77777777" w:rsidR="000000D1" w:rsidRPr="000000D1" w:rsidRDefault="000000D1" w:rsidP="000000D1">
      <w:pPr>
        <w:contextualSpacing/>
        <w:rPr>
          <w:rFonts w:eastAsia="Calibri" w:cs="Times New Roman"/>
        </w:rPr>
      </w:pPr>
    </w:p>
    <w:p w14:paraId="570B0AC2" w14:textId="77777777" w:rsidR="000000D1" w:rsidRPr="000000D1" w:rsidRDefault="000000D1" w:rsidP="000000D1">
      <w:pPr>
        <w:ind w:left="1440"/>
        <w:rPr>
          <w:rFonts w:eastAsia="Calibri" w:cs="Times New Roman"/>
        </w:rPr>
      </w:pPr>
      <w:r w:rsidRPr="000000D1">
        <w:rPr>
          <w:rFonts w:eastAsia="Calibri" w:cs="Times New Roman"/>
        </w:rPr>
        <w:t>Royalty income from mineral production must be allocated to the state where production occurred. Partnership income is allocated directly to the state where the partnership gross income or loss occurred.</w:t>
      </w:r>
    </w:p>
    <w:p w14:paraId="5DA88818" w14:textId="77777777" w:rsidR="000000D1" w:rsidRPr="000000D1" w:rsidRDefault="000000D1" w:rsidP="000000D1">
      <w:pPr>
        <w:ind w:left="720"/>
        <w:contextualSpacing/>
        <w:rPr>
          <w:rFonts w:eastAsia="Calibri" w:cs="Times New Roman"/>
        </w:rPr>
      </w:pPr>
      <w:r w:rsidRPr="000000D1">
        <w:rPr>
          <w:rFonts w:eastAsia="Calibri" w:cs="Times New Roman"/>
        </w:rPr>
        <w:t xml:space="preserve">tit. no. 35 - pt. 3, subpt. 08, ch. 06, Miss. Code R. § 401.04 </w:t>
      </w:r>
    </w:p>
    <w:p w14:paraId="2579F5D5" w14:textId="77777777" w:rsidR="000000D1" w:rsidRPr="000000D1" w:rsidRDefault="000000D1" w:rsidP="000000D1">
      <w:pPr>
        <w:contextualSpacing/>
        <w:rPr>
          <w:rFonts w:eastAsia="Calibri" w:cs="Times New Roman"/>
        </w:rPr>
      </w:pPr>
    </w:p>
    <w:p w14:paraId="52D8C28C" w14:textId="77777777" w:rsidR="000000D1" w:rsidRPr="000000D1" w:rsidRDefault="000000D1" w:rsidP="000000D1">
      <w:pPr>
        <w:ind w:left="1440"/>
        <w:rPr>
          <w:rFonts w:eastAsia="Calibri" w:cs="Times New Roman"/>
        </w:rPr>
      </w:pPr>
      <w:r w:rsidRPr="000000D1">
        <w:rPr>
          <w:rFonts w:eastAsia="Calibri" w:cs="Times New Roman"/>
        </w:rPr>
        <w:t>If the business activity in respect to any trade or business of a taxpayer occurs both within and without this state, and if by reason of such business activity the taxpayer in another state, portion of the net income (or net loss) arising from such trade or business which is derived from sources within this state shall be determined by apportionment in accordance with the further provisions of this regulation, where direct or separate accounting of net income or loss is not feasible.</w:t>
      </w:r>
    </w:p>
    <w:p w14:paraId="60AC4A5A" w14:textId="77777777" w:rsidR="000000D1" w:rsidRPr="000000D1" w:rsidRDefault="000000D1" w:rsidP="000000D1">
      <w:pPr>
        <w:pBdr>
          <w:bottom w:val="single" w:sz="4" w:space="0" w:color="auto"/>
        </w:pBdr>
        <w:rPr>
          <w:rFonts w:eastAsia="Calibri" w:cs="Times New Roman"/>
        </w:rPr>
      </w:pPr>
    </w:p>
    <w:p w14:paraId="4CAD4233"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24" w:name="_Toc198480788"/>
      <w:r w:rsidRPr="000000D1">
        <w:rPr>
          <w:rFonts w:ascii="Californian FB" w:eastAsia="Times New Roman" w:hAnsi="Californian FB" w:cs="Times New Roman"/>
          <w:b/>
          <w:color w:val="851C00"/>
          <w:sz w:val="24"/>
          <w:szCs w:val="24"/>
          <w:u w:val="single"/>
        </w:rPr>
        <w:t>Missouri</w:t>
      </w:r>
      <w:bookmarkEnd w:id="124"/>
    </w:p>
    <w:p w14:paraId="2DD180C3" w14:textId="77777777" w:rsidR="000000D1" w:rsidRPr="000000D1" w:rsidRDefault="000000D1" w:rsidP="000000D1">
      <w:pPr>
        <w:ind w:left="720"/>
        <w:contextualSpacing/>
        <w:rPr>
          <w:rFonts w:eastAsia="Calibri" w:cs="Times New Roman"/>
        </w:rPr>
      </w:pPr>
      <w:r w:rsidRPr="000000D1">
        <w:rPr>
          <w:rFonts w:eastAsia="Calibri" w:cs="Times New Roman"/>
        </w:rPr>
        <w:t xml:space="preserve">Mo. Rev. Stat. § 143.421 </w:t>
      </w:r>
    </w:p>
    <w:p w14:paraId="59457156" w14:textId="77777777" w:rsidR="000000D1" w:rsidRPr="000000D1" w:rsidRDefault="000000D1" w:rsidP="00366E17">
      <w:pPr>
        <w:numPr>
          <w:ilvl w:val="0"/>
          <w:numId w:val="25"/>
        </w:numPr>
        <w:contextualSpacing/>
        <w:rPr>
          <w:rFonts w:eastAsia="Calibri" w:cs="Times New Roman"/>
        </w:rPr>
      </w:pPr>
      <w:r w:rsidRPr="000000D1">
        <w:rPr>
          <w:rFonts w:eastAsia="Calibri" w:cs="Times New Roman"/>
        </w:rPr>
        <w:t>In determining the adjusted gross income of a nonresident partner of any partnership, there shall be included only that part derived from or connected with sources in this state of the partner's distributive share of items of partnership income, gain, loss, and deduction entering into his federal adjusted gross income, as such part is determined under regulations prescribed by the director of revenue in accordance with the general rules in section 143.181 . . .</w:t>
      </w:r>
    </w:p>
    <w:p w14:paraId="5819C86F" w14:textId="77777777" w:rsidR="000000D1" w:rsidRPr="000000D1" w:rsidRDefault="000000D1" w:rsidP="00366E17">
      <w:pPr>
        <w:numPr>
          <w:ilvl w:val="0"/>
          <w:numId w:val="24"/>
        </w:numPr>
        <w:contextualSpacing/>
        <w:rPr>
          <w:rFonts w:eastAsia="Calibri" w:cs="Times New Roman"/>
        </w:rPr>
      </w:pPr>
      <w:r w:rsidRPr="000000D1">
        <w:rPr>
          <w:rFonts w:eastAsia="Calibri" w:cs="Times New Roman"/>
        </w:rPr>
        <w:t>The director of revenue may, on application, authorize the use of such other methods of determining a nonresident partner's portion of partnership items derived from or connected with sources in this state, and the modifications related thereto, as may be appropriate and equitable, on such terms and conditions as he may require.</w:t>
      </w:r>
    </w:p>
    <w:p w14:paraId="702B1C25" w14:textId="77777777" w:rsidR="000000D1" w:rsidRPr="000000D1" w:rsidRDefault="000000D1" w:rsidP="000000D1">
      <w:pPr>
        <w:ind w:left="720"/>
        <w:contextualSpacing/>
        <w:rPr>
          <w:rFonts w:eastAsia="Calibri" w:cs="Times New Roman"/>
        </w:rPr>
      </w:pPr>
      <w:r w:rsidRPr="000000D1">
        <w:rPr>
          <w:rFonts w:eastAsia="Calibri" w:cs="Times New Roman"/>
        </w:rPr>
        <w:t xml:space="preserve">Mo Rev. Stat. § 143.411(2) </w:t>
      </w:r>
    </w:p>
    <w:p w14:paraId="40E39EC5" w14:textId="77777777" w:rsidR="000000D1" w:rsidRPr="000000D1" w:rsidRDefault="000000D1" w:rsidP="000000D1">
      <w:pPr>
        <w:ind w:left="720"/>
        <w:contextualSpacing/>
        <w:rPr>
          <w:rFonts w:eastAsia="Calibri" w:cs="Times New Roman"/>
        </w:rPr>
      </w:pPr>
    </w:p>
    <w:p w14:paraId="774EB19F" w14:textId="77777777" w:rsidR="000000D1" w:rsidRPr="000000D1" w:rsidRDefault="000000D1" w:rsidP="000000D1">
      <w:pPr>
        <w:ind w:left="1440"/>
        <w:contextualSpacing/>
        <w:rPr>
          <w:rFonts w:eastAsia="Calibri" w:cs="Times New Roman"/>
        </w:rPr>
      </w:pPr>
      <w:r w:rsidRPr="000000D1">
        <w:rPr>
          <w:rFonts w:eastAsia="Calibri" w:cs="Times New Roman"/>
        </w:rPr>
        <w:t>Each item of partnership income, gain, loss, or deduction shall have the same character for a partner under sections </w:t>
      </w:r>
      <w:hyperlink r:id="rId37" w:history="1">
        <w:r w:rsidRPr="000000D1">
          <w:rPr>
            <w:rFonts w:eastAsia="Calibri" w:cs="Times New Roman"/>
            <w:color w:val="C00000"/>
            <w:u w:val="single"/>
          </w:rPr>
          <w:t>143.005 to 143.998</w:t>
        </w:r>
      </w:hyperlink>
      <w:r w:rsidRPr="000000D1">
        <w:rPr>
          <w:rFonts w:eastAsia="Calibri" w:cs="Times New Roman"/>
        </w:rPr>
        <w:t> as it has for federal income tax purposes.  Where an item is not characterized for federal income tax purposes, it shall have the same character for a partner as if realized directly from the source from which realized by the partnership or incurred in the same manner as incurred by the partnership.</w:t>
      </w:r>
    </w:p>
    <w:p w14:paraId="21011A99" w14:textId="77777777" w:rsidR="000000D1" w:rsidRPr="000000D1" w:rsidRDefault="000000D1" w:rsidP="000000D1">
      <w:pPr>
        <w:ind w:left="720" w:firstLine="720"/>
        <w:contextualSpacing/>
        <w:rPr>
          <w:rFonts w:eastAsia="Calibri" w:cs="Times New Roman"/>
        </w:rPr>
      </w:pPr>
    </w:p>
    <w:p w14:paraId="4266208C" w14:textId="77777777" w:rsidR="000000D1" w:rsidRPr="000000D1" w:rsidRDefault="000000D1" w:rsidP="000000D1">
      <w:pPr>
        <w:ind w:firstLine="720"/>
        <w:contextualSpacing/>
        <w:rPr>
          <w:rFonts w:eastAsia="Calibri" w:cs="Times New Roman"/>
        </w:rPr>
      </w:pPr>
      <w:r w:rsidRPr="000000D1">
        <w:rPr>
          <w:rFonts w:eastAsia="Calibri" w:cs="Times New Roman"/>
        </w:rPr>
        <w:t xml:space="preserve">Mo. Code Regs. Ann. tit. 12, § 10-2.190(2)(B) </w:t>
      </w:r>
    </w:p>
    <w:p w14:paraId="62FB60D7" w14:textId="77777777" w:rsidR="000000D1" w:rsidRPr="000000D1" w:rsidRDefault="000000D1" w:rsidP="000000D1">
      <w:pPr>
        <w:contextualSpacing/>
        <w:rPr>
          <w:rFonts w:eastAsia="Calibri" w:cs="Times New Roman"/>
        </w:rPr>
      </w:pPr>
    </w:p>
    <w:p w14:paraId="60BF0AF8" w14:textId="77777777" w:rsidR="000000D1" w:rsidRPr="000000D1" w:rsidRDefault="000000D1" w:rsidP="000000D1">
      <w:pPr>
        <w:ind w:left="1440"/>
        <w:rPr>
          <w:rFonts w:eastAsia="Calibri" w:cs="Times New Roman"/>
        </w:rPr>
      </w:pPr>
      <w:r w:rsidRPr="000000D1">
        <w:rPr>
          <w:rFonts w:eastAsia="Calibri" w:cs="Times New Roman"/>
        </w:rPr>
        <w:t xml:space="preserve">The partnership return or S corporation return shall reflect the total income of the partnership or S corporation from all sources and allocate to Missouri that portion of the total income which is derived from or connected with sources in Missouri by using the apportionment formula in sections 32.200 or 143.451, RSMo. The ratio with a numerator of that portion of the total income which is derived from or connected with sources in Missouri and a denominator of the total income of the partnership or S corporation shall be the basis of allocation of each nonresident partner's or nonresident </w:t>
      </w:r>
      <w:r w:rsidRPr="000000D1">
        <w:rPr>
          <w:rFonts w:eastAsia="Calibri" w:cs="Times New Roman"/>
        </w:rPr>
        <w:lastRenderedPageBreak/>
        <w:t>shareholder's income to Missouri by applying that percentage to the total distributable income of each nonresident partner or shareholder based upon his/her percentage of interest in the partnership or S corporation.</w:t>
      </w:r>
    </w:p>
    <w:p w14:paraId="1C14B765" w14:textId="77777777" w:rsidR="000000D1" w:rsidRPr="000000D1" w:rsidRDefault="000000D1" w:rsidP="000000D1">
      <w:pPr>
        <w:ind w:left="720"/>
        <w:contextualSpacing/>
        <w:rPr>
          <w:rFonts w:eastAsia="Calibri" w:cs="Times New Roman"/>
        </w:rPr>
      </w:pPr>
      <w:r w:rsidRPr="000000D1">
        <w:rPr>
          <w:rFonts w:eastAsia="Calibri" w:cs="Times New Roman"/>
        </w:rPr>
        <w:t xml:space="preserve">Missouri Private Letter Ruling No. LR 4970 (08/05/2008) </w:t>
      </w:r>
    </w:p>
    <w:p w14:paraId="61CC555D" w14:textId="77777777" w:rsidR="000000D1" w:rsidRPr="000000D1" w:rsidRDefault="000000D1" w:rsidP="000000D1">
      <w:pPr>
        <w:contextualSpacing/>
        <w:rPr>
          <w:rFonts w:eastAsia="Calibri" w:cs="Times New Roman"/>
        </w:rPr>
      </w:pPr>
    </w:p>
    <w:p w14:paraId="76F3A90C" w14:textId="77777777" w:rsidR="000000D1" w:rsidRPr="000000D1" w:rsidRDefault="000000D1" w:rsidP="000000D1">
      <w:pPr>
        <w:ind w:left="1440"/>
        <w:rPr>
          <w:rFonts w:eastAsia="Calibri" w:cs="Times New Roman"/>
        </w:rPr>
      </w:pPr>
      <w:r w:rsidRPr="000000D1">
        <w:rPr>
          <w:rFonts w:eastAsia="Calibri" w:cs="Times New Roman"/>
        </w:rPr>
        <w:t>By statutory definition, to be a partnership in Missouri, the entity has to be carrying on a business. Here, the Partnership's trade or business is investing in securities such as stocks, mutual funds, bonds and other investments, even if it has a contractual relationship with a bank to do so. The Partnership incurs income from carrying on its trade or business of investing in Missouri. This income is thus Missouri  source income. Because a partnership is a flow-through entity, partners  are deemed to be carrying on the trade or business of the partnership. Therefore, income from the Partnership's trade, investing, is Missouri  source income for the partners, including Applicant.</w:t>
      </w:r>
    </w:p>
    <w:p w14:paraId="7CA93082" w14:textId="77777777" w:rsidR="000000D1" w:rsidRPr="000000D1" w:rsidRDefault="000000D1" w:rsidP="000000D1">
      <w:pPr>
        <w:ind w:left="1440"/>
        <w:rPr>
          <w:rFonts w:eastAsia="Calibri" w:cs="Times New Roman"/>
        </w:rPr>
      </w:pPr>
      <w:r w:rsidRPr="000000D1">
        <w:rPr>
          <w:rFonts w:eastAsia="Calibri" w:cs="Times New Roman"/>
        </w:rPr>
        <w:t xml:space="preserve">Here, Applicant is a nonresident and general partner  in the Partnership. As a general partner, Applicant is deemed to be in the Partnership's trade or business. The income Applicant received as a partner is income derived from sources within this state, is attributable to a business carried on in this state, and is thus Missouri source income. </w:t>
      </w:r>
    </w:p>
    <w:p w14:paraId="01B6F4E0" w14:textId="77777777" w:rsidR="000000D1" w:rsidRPr="000000D1" w:rsidRDefault="000000D1" w:rsidP="000000D1">
      <w:pPr>
        <w:ind w:firstLine="720"/>
        <w:rPr>
          <w:rFonts w:eastAsia="Calibri" w:cs="Times New Roman"/>
        </w:rPr>
      </w:pPr>
      <w:r w:rsidRPr="000000D1">
        <w:rPr>
          <w:rFonts w:eastAsia="Calibri" w:cs="Times New Roman"/>
        </w:rPr>
        <w:t xml:space="preserve">Missouri Private Letter Ruling No. LR 2664 (12/21/2000) </w:t>
      </w:r>
    </w:p>
    <w:p w14:paraId="62DCDC69" w14:textId="77777777" w:rsidR="000000D1" w:rsidRPr="000000D1" w:rsidRDefault="000000D1" w:rsidP="000000D1">
      <w:pPr>
        <w:ind w:left="1440"/>
        <w:rPr>
          <w:rFonts w:eastAsia="Calibri" w:cs="Times New Roman"/>
        </w:rPr>
      </w:pPr>
      <w:r w:rsidRPr="000000D1">
        <w:rPr>
          <w:rFonts w:eastAsia="Calibri" w:cs="Times New Roman"/>
        </w:rPr>
        <w:t>Applicant is based in Texas. Applicant is a limited partner in a limited partnership (Limited Partnership A), which in turn is a limited partner  in another limited partnership (Limited Partnership B), which owns an interest in a hotel in Missouri. Over 99% of Applicant's income comes from Limited Partnership A, which does no business in Missouri. Different general partners  manage Limited Partnership A and Limited Partnership B, and none of the general partners  are located in Missouri.</w:t>
      </w:r>
    </w:p>
    <w:p w14:paraId="4E009A56" w14:textId="77777777" w:rsidR="000000D1" w:rsidRPr="000000D1" w:rsidRDefault="000000D1" w:rsidP="000000D1">
      <w:pPr>
        <w:ind w:left="720" w:firstLine="720"/>
        <w:rPr>
          <w:rFonts w:eastAsia="Calibri" w:cs="Times New Roman"/>
        </w:rPr>
      </w:pPr>
      <w:r w:rsidRPr="000000D1">
        <w:rPr>
          <w:rFonts w:eastAsia="Calibri" w:cs="Times New Roman"/>
        </w:rPr>
        <w:t>ISSUE:</w:t>
      </w:r>
    </w:p>
    <w:p w14:paraId="082DBF32" w14:textId="77777777" w:rsidR="000000D1" w:rsidRPr="000000D1" w:rsidRDefault="000000D1" w:rsidP="000000D1">
      <w:pPr>
        <w:ind w:left="1440"/>
        <w:rPr>
          <w:rFonts w:eastAsia="Calibri" w:cs="Times New Roman"/>
        </w:rPr>
      </w:pPr>
      <w:r w:rsidRPr="000000D1">
        <w:rPr>
          <w:rFonts w:eastAsia="Calibri" w:cs="Times New Roman"/>
        </w:rPr>
        <w:t>May Applicant apportion income to Missouri based on the actual amount of income generated in Missouri?</w:t>
      </w:r>
    </w:p>
    <w:p w14:paraId="5E0C8E7F" w14:textId="77777777" w:rsidR="000000D1" w:rsidRPr="000000D1" w:rsidRDefault="000000D1" w:rsidP="000000D1">
      <w:pPr>
        <w:ind w:left="720" w:firstLine="720"/>
        <w:rPr>
          <w:rFonts w:eastAsia="Calibri" w:cs="Times New Roman"/>
        </w:rPr>
      </w:pPr>
      <w:r w:rsidRPr="000000D1">
        <w:rPr>
          <w:rFonts w:eastAsia="Calibri" w:cs="Times New Roman"/>
        </w:rPr>
        <w:t>RESPONSE:</w:t>
      </w:r>
    </w:p>
    <w:p w14:paraId="22C373DB" w14:textId="77777777" w:rsidR="000000D1" w:rsidRPr="000000D1" w:rsidRDefault="000000D1" w:rsidP="000000D1">
      <w:pPr>
        <w:ind w:left="1440"/>
        <w:rPr>
          <w:rFonts w:eastAsia="Calibri" w:cs="Times New Roman"/>
        </w:rPr>
      </w:pPr>
      <w:r w:rsidRPr="000000D1">
        <w:rPr>
          <w:rFonts w:eastAsia="Calibri" w:cs="Times New Roman"/>
        </w:rPr>
        <w:t>Applicant may not apportion income to Missouri  based on the actual amount of income generated in Missouri.</w:t>
      </w:r>
    </w:p>
    <w:p w14:paraId="3F406A9B" w14:textId="77777777" w:rsidR="000000D1" w:rsidRPr="000000D1" w:rsidRDefault="000000D1" w:rsidP="000000D1">
      <w:pPr>
        <w:ind w:left="1440"/>
        <w:rPr>
          <w:rFonts w:eastAsia="Calibri" w:cs="Times New Roman"/>
        </w:rPr>
      </w:pPr>
      <w:r w:rsidRPr="000000D1">
        <w:rPr>
          <w:rFonts w:eastAsia="Calibri" w:cs="Times New Roman"/>
        </w:rPr>
        <w:t>The use of an apportionment formula within a special method that is predicated upon separate accounting is an inherent conflict of theories. Applicant states in its letter that over 99 percent of Applicant's income comes from Limited Partnership A, which does no business in Missouri. While on the surface, this contention makes separate accounting seem very reasonable, experience shows that the application of standard formula apportionment methods on a consistent year-in-year-out basis not only results in the fairest long-term treatment of a taxpayer, but results in the most equitable apportionment of the tax burden among the various taxpayers doing business within Missouri  and other states.</w:t>
      </w:r>
    </w:p>
    <w:p w14:paraId="2546922E" w14:textId="77777777" w:rsidR="000000D1" w:rsidRPr="000000D1" w:rsidRDefault="000000D1" w:rsidP="000000D1">
      <w:pPr>
        <w:ind w:left="720"/>
        <w:contextualSpacing/>
        <w:rPr>
          <w:rFonts w:eastAsia="Calibri" w:cs="Times New Roman"/>
          <w:i/>
          <w:iCs/>
        </w:rPr>
      </w:pPr>
      <w:r w:rsidRPr="000000D1">
        <w:rPr>
          <w:rFonts w:eastAsia="Calibri" w:cs="Times New Roman"/>
        </w:rPr>
        <w:t xml:space="preserve">Missouri Department of Revenue Partnership Tax FAQ </w:t>
      </w:r>
    </w:p>
    <w:p w14:paraId="1F62A855" w14:textId="77777777" w:rsidR="000000D1" w:rsidRPr="000000D1" w:rsidRDefault="000000D1" w:rsidP="000000D1">
      <w:pPr>
        <w:contextualSpacing/>
        <w:rPr>
          <w:rFonts w:eastAsia="Calibri" w:cs="Times New Roman"/>
        </w:rPr>
      </w:pPr>
    </w:p>
    <w:p w14:paraId="26E09282" w14:textId="77777777" w:rsidR="000000D1" w:rsidRPr="000000D1" w:rsidRDefault="000000D1" w:rsidP="000000D1">
      <w:pPr>
        <w:ind w:left="1440"/>
        <w:rPr>
          <w:rFonts w:eastAsia="Calibri" w:cs="Times New Roman"/>
          <w:b/>
          <w:bCs/>
        </w:rPr>
      </w:pPr>
      <w:r w:rsidRPr="000000D1">
        <w:rPr>
          <w:rFonts w:eastAsia="Calibri" w:cs="Times New Roman"/>
          <w:b/>
          <w:bCs/>
        </w:rPr>
        <w:t>What is considered Missouri source income?</w:t>
      </w:r>
    </w:p>
    <w:p w14:paraId="10613F99" w14:textId="77777777" w:rsidR="000000D1" w:rsidRPr="000000D1" w:rsidRDefault="000000D1" w:rsidP="000000D1">
      <w:pPr>
        <w:ind w:left="1440"/>
        <w:rPr>
          <w:rFonts w:eastAsia="Calibri" w:cs="Times New Roman"/>
        </w:rPr>
      </w:pPr>
      <w:r w:rsidRPr="000000D1">
        <w:rPr>
          <w:rFonts w:eastAsia="Calibri" w:cs="Times New Roman"/>
        </w:rPr>
        <w:t xml:space="preserve">Items of income, gain, loss and deduction derived from, or connected with, sources within Missouri are those items attributable to (1) the ownership or disposition of any interests in real or tangible personal property in Missouri or (2) a business, trade, profession or occupation carried on in Missouri. Income from intangible personal property, </w:t>
      </w:r>
      <w:r w:rsidRPr="000000D1">
        <w:rPr>
          <w:rFonts w:eastAsia="Calibri" w:cs="Times New Roman"/>
        </w:rPr>
        <w:lastRenderedPageBreak/>
        <w:t>to the extent that such property is employed in a business, trade, profession or occupation carried on in Missouri, constitutes income derived from sources within Missouri.</w:t>
      </w:r>
    </w:p>
    <w:p w14:paraId="7DD19729" w14:textId="77777777" w:rsidR="000000D1" w:rsidRPr="000000D1" w:rsidRDefault="000000D1" w:rsidP="000000D1">
      <w:pPr>
        <w:ind w:left="720"/>
        <w:contextualSpacing/>
        <w:rPr>
          <w:rFonts w:eastAsia="Calibri" w:cs="Times New Roman"/>
          <w:i/>
          <w:iCs/>
        </w:rPr>
      </w:pPr>
      <w:r w:rsidRPr="000000D1">
        <w:rPr>
          <w:rFonts w:eastAsia="Calibri" w:cs="Times New Roman"/>
        </w:rPr>
        <w:t>Mo Rev. Stat. § 143.411(3)</w:t>
      </w:r>
    </w:p>
    <w:p w14:paraId="6CA10424" w14:textId="77777777" w:rsidR="000000D1" w:rsidRPr="000000D1" w:rsidRDefault="000000D1" w:rsidP="000000D1">
      <w:pPr>
        <w:contextualSpacing/>
        <w:rPr>
          <w:rFonts w:eastAsia="Calibri" w:cs="Times New Roman"/>
        </w:rPr>
      </w:pPr>
    </w:p>
    <w:p w14:paraId="7828C9D8" w14:textId="77777777" w:rsidR="000000D1" w:rsidRPr="000000D1" w:rsidRDefault="000000D1" w:rsidP="000000D1">
      <w:pPr>
        <w:ind w:left="1440"/>
        <w:rPr>
          <w:rFonts w:eastAsia="Calibri" w:cs="Times New Roman"/>
        </w:rPr>
      </w:pPr>
      <w:r w:rsidRPr="000000D1">
        <w:rPr>
          <w:rFonts w:eastAsia="Calibri" w:cs="Times New Roman"/>
        </w:rPr>
        <w:t>Where a partner's distributive share of an item of partnership income, gain, loss, or deduction is determined for federal income tax purposes by a special provision in the partnership agreement with respect to such item, and the principal purpose of such provision is the avoidance of tax under sections 143.005 to 143.998, the partner's distributive share of such item and any modification required with respect thereto shall be determined in accordance with his distributive share of the taxable income or loss of the partnership generally (that is, exclusive of those items requiring separate computation under the provisions of Section 702 of the Internal Revenue Code).</w:t>
      </w:r>
    </w:p>
    <w:p w14:paraId="4FD44B8B" w14:textId="77777777" w:rsidR="000000D1" w:rsidRPr="000000D1" w:rsidRDefault="000000D1" w:rsidP="000000D1">
      <w:pPr>
        <w:pBdr>
          <w:bottom w:val="single" w:sz="4" w:space="0" w:color="auto"/>
        </w:pBdr>
        <w:rPr>
          <w:rFonts w:eastAsia="Calibri" w:cs="Times New Roman"/>
        </w:rPr>
      </w:pPr>
    </w:p>
    <w:p w14:paraId="1E62F8E0"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25" w:name="_Toc198480789"/>
      <w:r w:rsidRPr="000000D1">
        <w:rPr>
          <w:rFonts w:ascii="Californian FB" w:eastAsia="Times New Roman" w:hAnsi="Californian FB" w:cs="Times New Roman"/>
          <w:b/>
          <w:color w:val="851C00"/>
          <w:sz w:val="24"/>
          <w:szCs w:val="24"/>
          <w:u w:val="single"/>
        </w:rPr>
        <w:t>Montana</w:t>
      </w:r>
      <w:bookmarkEnd w:id="125"/>
    </w:p>
    <w:p w14:paraId="55F279FF" w14:textId="77777777" w:rsidR="000000D1" w:rsidRPr="000000D1" w:rsidRDefault="000000D1" w:rsidP="000000D1">
      <w:pPr>
        <w:ind w:left="720"/>
        <w:contextualSpacing/>
        <w:rPr>
          <w:rFonts w:eastAsia="Calibri" w:cs="Times New Roman"/>
        </w:rPr>
      </w:pPr>
      <w:r w:rsidRPr="000000D1">
        <w:t>Mont. Code Ann. §</w:t>
      </w:r>
      <w:r w:rsidRPr="000000D1">
        <w:rPr>
          <w:i/>
          <w:iCs/>
        </w:rPr>
        <w:t xml:space="preserve"> </w:t>
      </w:r>
      <w:r w:rsidRPr="000000D1">
        <w:t>15-30-3302</w:t>
      </w:r>
      <w:r w:rsidRPr="000000D1">
        <w:rPr>
          <w:i/>
          <w:iCs/>
        </w:rPr>
        <w:t xml:space="preserve"> </w:t>
      </w:r>
    </w:p>
    <w:p w14:paraId="523F168F" w14:textId="77777777" w:rsidR="000000D1" w:rsidRPr="000000D1" w:rsidRDefault="000000D1" w:rsidP="00366E17">
      <w:pPr>
        <w:numPr>
          <w:ilvl w:val="0"/>
          <w:numId w:val="25"/>
        </w:numPr>
        <w:contextualSpacing/>
        <w:rPr>
          <w:rFonts w:eastAsia="Calibri" w:cs="Times New Roman"/>
        </w:rPr>
      </w:pPr>
      <w:r w:rsidRPr="000000D1">
        <w:rPr>
          <w:rFonts w:eastAsia="Calibri" w:cs="Times New Roman"/>
        </w:rPr>
        <w:t> Except as otherwise provided, each partner of a partnership described in subsection (1)(a), each shareholder of an S. corporation described in subsection (1)(b), and each partner, shareholder, member, or other owner of an entity described in subsection (1)(c), the first-tier pass-through entity, is subject to the taxes provided in this chapter, if an individual, trust, or estate, and to the taxes provided in Title 15, chapter 31, if a C. corporation. If a partner, shareholder, member, or other owner of an entity described in subsection (1) is itself a pass-through entity, any individual, trust, or estate to which the first-tier pass-through entity's Montana source income is directly or indirectly passed through is subject to the taxes provided in this chapter and any C. corporation to which the first-tier pass-through entity's Montana source income is directly or indirectly passed through is subject to the taxes provided in Title 15, chapter 31 . . .</w:t>
      </w:r>
    </w:p>
    <w:p w14:paraId="59514D81" w14:textId="77777777" w:rsidR="000000D1" w:rsidRPr="000000D1" w:rsidRDefault="000000D1" w:rsidP="000000D1">
      <w:pPr>
        <w:ind w:left="1800"/>
        <w:contextualSpacing/>
        <w:rPr>
          <w:rFonts w:eastAsia="Calibri" w:cs="Times New Roman"/>
        </w:rPr>
      </w:pPr>
    </w:p>
    <w:p w14:paraId="1F173ABD" w14:textId="77777777" w:rsidR="000000D1" w:rsidRPr="000000D1" w:rsidRDefault="000000D1" w:rsidP="00366E17">
      <w:pPr>
        <w:numPr>
          <w:ilvl w:val="0"/>
          <w:numId w:val="24"/>
        </w:numPr>
        <w:contextualSpacing/>
        <w:rPr>
          <w:rFonts w:eastAsia="Calibri" w:cs="Times New Roman"/>
        </w:rPr>
      </w:pPr>
      <w:r w:rsidRPr="000000D1">
        <w:rPr>
          <w:rFonts w:eastAsia="Calibri" w:cs="Times New Roman"/>
        </w:rPr>
        <w:t>For purposes of this part:</w:t>
      </w:r>
    </w:p>
    <w:p w14:paraId="59351536" w14:textId="77777777" w:rsidR="000000D1" w:rsidRPr="000000D1" w:rsidRDefault="000000D1" w:rsidP="000000D1">
      <w:pPr>
        <w:ind w:left="1800"/>
        <w:contextualSpacing/>
        <w:rPr>
          <w:rFonts w:eastAsia="Calibri" w:cs="Times New Roman"/>
        </w:rPr>
      </w:pPr>
    </w:p>
    <w:p w14:paraId="647BAD6E" w14:textId="77777777" w:rsidR="000000D1" w:rsidRPr="000000D1" w:rsidRDefault="000000D1" w:rsidP="000000D1">
      <w:pPr>
        <w:ind w:left="1800"/>
        <w:contextualSpacing/>
        <w:rPr>
          <w:rFonts w:eastAsia="Calibri" w:cs="Times New Roman"/>
        </w:rPr>
      </w:pPr>
      <w:r w:rsidRPr="000000D1">
        <w:rPr>
          <w:rFonts w:eastAsia="Calibri" w:cs="Times New Roman"/>
        </w:rPr>
        <w:t>(a) a partnership or S. corporation with business activity occurring both within and outside of this state shall calculate its Montana source income pursuant to the allocation and apportionment provisions contained in Title 15, chapter 31, part 3; and</w:t>
      </w:r>
    </w:p>
    <w:p w14:paraId="77B9359E" w14:textId="77777777" w:rsidR="000000D1" w:rsidRPr="000000D1" w:rsidRDefault="000000D1" w:rsidP="000000D1">
      <w:pPr>
        <w:ind w:left="1800"/>
        <w:contextualSpacing/>
        <w:rPr>
          <w:rFonts w:eastAsia="Calibri" w:cs="Times New Roman"/>
        </w:rPr>
      </w:pPr>
    </w:p>
    <w:p w14:paraId="174AD461" w14:textId="77777777" w:rsidR="000000D1" w:rsidRPr="000000D1" w:rsidRDefault="000000D1" w:rsidP="000000D1">
      <w:pPr>
        <w:ind w:left="1800"/>
        <w:contextualSpacing/>
        <w:rPr>
          <w:rFonts w:eastAsia="Calibri" w:cs="Times New Roman"/>
        </w:rPr>
      </w:pPr>
      <w:r w:rsidRPr="000000D1">
        <w:rPr>
          <w:rFonts w:eastAsia="Calibri" w:cs="Times New Roman"/>
        </w:rPr>
        <w:t>(b) a disregarded entity that is not owned by an individual, estate, or trust and that has business activity occurring both within and outside of this state shall calculate its Montana source income pursuant to the allocation and apportionment provisions contained in Title 15, chapter 31, part 3.</w:t>
      </w:r>
    </w:p>
    <w:p w14:paraId="2CC248F5" w14:textId="77777777" w:rsidR="000000D1" w:rsidRPr="000000D1" w:rsidRDefault="000000D1" w:rsidP="000000D1">
      <w:pPr>
        <w:ind w:left="720"/>
        <w:contextualSpacing/>
        <w:rPr>
          <w:rFonts w:eastAsia="Calibri" w:cs="Times New Roman"/>
        </w:rPr>
      </w:pPr>
      <w:r w:rsidRPr="000000D1">
        <w:t xml:space="preserve">Mont. Admin. R. 42.9.107 </w:t>
      </w:r>
    </w:p>
    <w:p w14:paraId="3475AFED" w14:textId="77777777" w:rsidR="000000D1" w:rsidRPr="000000D1" w:rsidRDefault="000000D1" w:rsidP="000000D1">
      <w:pPr>
        <w:contextualSpacing/>
        <w:rPr>
          <w:rFonts w:eastAsia="Calibri" w:cs="Times New Roman"/>
        </w:rPr>
      </w:pPr>
    </w:p>
    <w:p w14:paraId="21EAF788" w14:textId="01B5492B" w:rsidR="000000D1" w:rsidRPr="000000D1" w:rsidRDefault="000000D1" w:rsidP="000000D1">
      <w:pPr>
        <w:ind w:left="1440"/>
        <w:rPr>
          <w:rFonts w:eastAsia="Calibri" w:cs="Times New Roman"/>
        </w:rPr>
      </w:pPr>
      <w:r w:rsidRPr="000000D1">
        <w:rPr>
          <w:rFonts w:eastAsia="Calibri" w:cs="Times New Roman"/>
        </w:rPr>
        <w:t xml:space="preserve">(1) A pass-through entity may have, in addition to income from its own operations or activities, income from one or more other pass-through entities. This rule describes how the pass-through entity must classify its income from its own operations or activities as apportionable or </w:t>
      </w:r>
      <w:r w:rsidR="00DD6753">
        <w:rPr>
          <w:rFonts w:eastAsia="Calibri" w:cs="Times New Roman"/>
        </w:rPr>
        <w:t>non-apportionable</w:t>
      </w:r>
      <w:r w:rsidRPr="000000D1">
        <w:rPr>
          <w:rFonts w:eastAsia="Calibri" w:cs="Times New Roman"/>
        </w:rPr>
        <w:t xml:space="preserve"> income and how it must report its income from other pass-through entities. For purposes of this rule, "operations income" means the income of a pass-through entity from its own operations or activities and "flow-through income" means its separately and nonseparately stated distributable share of income from other pass-through entities.</w:t>
      </w:r>
    </w:p>
    <w:p w14:paraId="4E26ED7A" w14:textId="68CE6CA8" w:rsidR="000000D1" w:rsidRPr="000000D1" w:rsidRDefault="000000D1" w:rsidP="000000D1">
      <w:pPr>
        <w:ind w:left="1440"/>
        <w:rPr>
          <w:rFonts w:eastAsia="Calibri" w:cs="Times New Roman"/>
        </w:rPr>
      </w:pPr>
      <w:r w:rsidRPr="000000D1">
        <w:rPr>
          <w:rFonts w:eastAsia="Calibri" w:cs="Times New Roman"/>
        </w:rPr>
        <w:t xml:space="preserve">(2) Except as provided in (5), each pass-through entity has to separately determine whether its operations income is apportionable or </w:t>
      </w:r>
      <w:r w:rsidR="00DD6753">
        <w:rPr>
          <w:rFonts w:eastAsia="Calibri" w:cs="Times New Roman"/>
        </w:rPr>
        <w:t>non-apportionable</w:t>
      </w:r>
      <w:r w:rsidRPr="000000D1">
        <w:rPr>
          <w:rFonts w:eastAsia="Calibri" w:cs="Times New Roman"/>
        </w:rPr>
        <w:t xml:space="preserve"> income as those terms are defined in ARM 42.26.206. Once a pass-through entity determines the apportionable or </w:t>
      </w:r>
      <w:r w:rsidR="00DD6753">
        <w:rPr>
          <w:rFonts w:eastAsia="Calibri" w:cs="Times New Roman"/>
        </w:rPr>
        <w:t>non-apportionable</w:t>
      </w:r>
      <w:r w:rsidRPr="000000D1">
        <w:rPr>
          <w:rFonts w:eastAsia="Calibri" w:cs="Times New Roman"/>
        </w:rPr>
        <w:t xml:space="preserve"> character of its operations income, the entity must then </w:t>
      </w:r>
      <w:r w:rsidRPr="000000D1">
        <w:rPr>
          <w:rFonts w:eastAsia="Calibri" w:cs="Times New Roman"/>
        </w:rPr>
        <w:lastRenderedPageBreak/>
        <w:t xml:space="preserve">determine what part of this apportionable and/or </w:t>
      </w:r>
      <w:r w:rsidR="00DD6753">
        <w:rPr>
          <w:rFonts w:eastAsia="Calibri" w:cs="Times New Roman"/>
        </w:rPr>
        <w:t>non-apportionable</w:t>
      </w:r>
      <w:r w:rsidRPr="000000D1">
        <w:rPr>
          <w:rFonts w:eastAsia="Calibri" w:cs="Times New Roman"/>
        </w:rPr>
        <w:t xml:space="preserve"> income is Montana source income. Except as provided in (5) and (6), the operations income retains its character as apportionable or </w:t>
      </w:r>
      <w:r w:rsidR="00DD6753">
        <w:rPr>
          <w:rFonts w:eastAsia="Calibri" w:cs="Times New Roman"/>
        </w:rPr>
        <w:t>non-apportionable</w:t>
      </w:r>
      <w:r w:rsidRPr="000000D1">
        <w:rPr>
          <w:rFonts w:eastAsia="Calibri" w:cs="Times New Roman"/>
        </w:rPr>
        <w:t xml:space="preserve"> income and as Montana source income regardless of how many other tiers of pass-through entities through which the income is passed.</w:t>
      </w:r>
    </w:p>
    <w:p w14:paraId="46714FB1" w14:textId="62E49D55" w:rsidR="000000D1" w:rsidRPr="000000D1" w:rsidRDefault="000000D1" w:rsidP="000000D1">
      <w:pPr>
        <w:ind w:left="1440"/>
        <w:rPr>
          <w:rFonts w:eastAsia="Calibri" w:cs="Times New Roman"/>
        </w:rPr>
      </w:pPr>
      <w:r w:rsidRPr="000000D1">
        <w:rPr>
          <w:rFonts w:eastAsia="Calibri" w:cs="Times New Roman"/>
        </w:rPr>
        <w:t xml:space="preserve">(3) Except as provided in (5) and (6), flow-through income of a pass-through entity, determined as provided in (1), retains its character as apportionable and/or </w:t>
      </w:r>
      <w:r w:rsidR="00DD6753">
        <w:rPr>
          <w:rFonts w:eastAsia="Calibri" w:cs="Times New Roman"/>
        </w:rPr>
        <w:t>non-apportionable</w:t>
      </w:r>
      <w:r w:rsidRPr="000000D1">
        <w:rPr>
          <w:rFonts w:eastAsia="Calibri" w:cs="Times New Roman"/>
        </w:rPr>
        <w:t xml:space="preserve"> income and its character as Montana source income.</w:t>
      </w:r>
    </w:p>
    <w:p w14:paraId="040B0223" w14:textId="77777777" w:rsidR="000000D1" w:rsidRPr="000000D1" w:rsidRDefault="000000D1" w:rsidP="000000D1">
      <w:pPr>
        <w:ind w:left="1440"/>
        <w:rPr>
          <w:rFonts w:eastAsia="Calibri" w:cs="Times New Roman"/>
        </w:rPr>
      </w:pPr>
      <w:r w:rsidRPr="000000D1">
        <w:rPr>
          <w:rFonts w:eastAsia="Calibri" w:cs="Times New Roman"/>
        </w:rPr>
        <w:t>(4) An entity in a multi-tiered pass-through entity structure may have flow-through income sourced to Montana under the subsections of the definition of "Montana source income" in 15-30-2101, MCA, that address partnership or S corporation income derived from Montana activity or property, reportable on Montana Schedule K-1, and also operations income sourced to Montana as a result of its own business activity under other subsections of that definition of "Montana source income," such as net income from a business, profession, or farming activities carried on in the state. If this occurs the entity must allocate to Montana the flow-through income sourced to Montana and the entity must determine the portion of its operations income that is sourced to Montana as provided in (1) and allocate or apportion that Montana source income under the provisions of ARM 42.9.112.</w:t>
      </w:r>
    </w:p>
    <w:p w14:paraId="355D9B1C" w14:textId="77777777" w:rsidR="000000D1" w:rsidRPr="000000D1" w:rsidRDefault="000000D1" w:rsidP="000000D1">
      <w:pPr>
        <w:ind w:left="1440"/>
        <w:rPr>
          <w:rFonts w:eastAsia="Calibri" w:cs="Times New Roman"/>
        </w:rPr>
      </w:pPr>
      <w:r w:rsidRPr="000000D1">
        <w:rPr>
          <w:rFonts w:eastAsia="Calibri" w:cs="Times New Roman"/>
        </w:rPr>
        <w:t>(5) This rule does not apply to a partnership or disregarded entity whose operations are unitary with the business operations of a corporate partner or disregarded entity owner that is a C corporation whose apportionment factors are included in the computation of the C corporation's apportionment factors as provided in ARM 42.26.228.</w:t>
      </w:r>
    </w:p>
    <w:p w14:paraId="631442F5" w14:textId="557E29B2" w:rsidR="000000D1" w:rsidRPr="000000D1" w:rsidRDefault="000000D1" w:rsidP="000000D1">
      <w:pPr>
        <w:ind w:left="1440"/>
        <w:rPr>
          <w:rFonts w:eastAsia="Calibri" w:cs="Times New Roman"/>
        </w:rPr>
      </w:pPr>
      <w:r w:rsidRPr="000000D1">
        <w:rPr>
          <w:rFonts w:eastAsia="Calibri" w:cs="Times New Roman"/>
        </w:rPr>
        <w:t xml:space="preserve">(6) Nothing in this rule prevents the department from determining the apportionable or </w:t>
      </w:r>
      <w:r w:rsidR="00DD6753">
        <w:rPr>
          <w:rFonts w:eastAsia="Calibri" w:cs="Times New Roman"/>
        </w:rPr>
        <w:t>non-apportionable</w:t>
      </w:r>
      <w:r w:rsidRPr="000000D1">
        <w:rPr>
          <w:rFonts w:eastAsia="Calibri" w:cs="Times New Roman"/>
        </w:rPr>
        <w:t xml:space="preserve"> character of an entity's operations income or the Montana source character of its Montana flow-through income sourced to Montana.</w:t>
      </w:r>
    </w:p>
    <w:p w14:paraId="1B599D47" w14:textId="77777777" w:rsidR="000000D1" w:rsidRPr="000000D1" w:rsidRDefault="000000D1" w:rsidP="000000D1">
      <w:pPr>
        <w:ind w:left="720"/>
        <w:contextualSpacing/>
        <w:rPr>
          <w:rFonts w:eastAsia="Calibri" w:cs="Times New Roman"/>
        </w:rPr>
      </w:pPr>
      <w:r w:rsidRPr="000000D1">
        <w:t xml:space="preserve">Mont. Admin. R. 42.9.112(5) </w:t>
      </w:r>
      <w:r w:rsidRPr="000000D1">
        <w:rPr>
          <w:i/>
          <w:iCs/>
        </w:rPr>
        <w:t>Sourcing</w:t>
      </w:r>
    </w:p>
    <w:p w14:paraId="57F37253" w14:textId="77777777" w:rsidR="000000D1" w:rsidRPr="000000D1" w:rsidRDefault="000000D1" w:rsidP="000000D1">
      <w:pPr>
        <w:contextualSpacing/>
        <w:rPr>
          <w:rFonts w:eastAsia="Calibri" w:cs="Times New Roman"/>
        </w:rPr>
      </w:pPr>
    </w:p>
    <w:p w14:paraId="3175C992" w14:textId="77777777" w:rsidR="000000D1" w:rsidRPr="000000D1" w:rsidRDefault="000000D1" w:rsidP="000000D1">
      <w:pPr>
        <w:ind w:left="1440"/>
        <w:rPr>
          <w:rFonts w:eastAsia="Calibri" w:cs="Times New Roman"/>
        </w:rPr>
      </w:pPr>
      <w:r w:rsidRPr="000000D1">
        <w:rPr>
          <w:rFonts w:eastAsia="Calibri" w:cs="Times New Roman"/>
        </w:rPr>
        <w:t>A partnership whose operations are unitary with the business operations of a direct or indirect corporate partner and whose apportionment factors are included in the computation of that corporate partner's apportionment factors, pursuant to ARM 42.26.228, are considered a part of the corporate group for the purpose of applying the Finnigan Rule described in ARM 42.26.260.</w:t>
      </w:r>
    </w:p>
    <w:p w14:paraId="0EC2C3B4" w14:textId="77777777" w:rsidR="000000D1" w:rsidRPr="000000D1" w:rsidRDefault="000000D1" w:rsidP="000000D1">
      <w:pPr>
        <w:ind w:left="720"/>
        <w:contextualSpacing/>
        <w:rPr>
          <w:rFonts w:eastAsia="Calibri" w:cs="Times New Roman"/>
        </w:rPr>
      </w:pPr>
      <w:r w:rsidRPr="000000D1">
        <w:t xml:space="preserve">Mont. Admin. R. 42.26.228 </w:t>
      </w:r>
    </w:p>
    <w:p w14:paraId="60DA85D0" w14:textId="77777777" w:rsidR="000000D1" w:rsidRPr="000000D1" w:rsidRDefault="000000D1" w:rsidP="000000D1">
      <w:pPr>
        <w:contextualSpacing/>
        <w:rPr>
          <w:rFonts w:eastAsia="Calibri" w:cs="Times New Roman"/>
        </w:rPr>
      </w:pPr>
    </w:p>
    <w:p w14:paraId="3A4C69F5" w14:textId="77777777" w:rsidR="000000D1" w:rsidRPr="000000D1" w:rsidRDefault="000000D1" w:rsidP="000000D1">
      <w:pPr>
        <w:ind w:left="1440"/>
        <w:rPr>
          <w:rFonts w:eastAsia="Calibri" w:cs="Times New Roman"/>
        </w:rPr>
      </w:pPr>
      <w:r w:rsidRPr="000000D1">
        <w:rPr>
          <w:rFonts w:eastAsia="Calibri" w:cs="Times New Roman"/>
        </w:rPr>
        <w:t>(1) If the operations of a partnership or disregarded entity are unitary with the business operations of a corporate partner or disregarded entity owner, the corporate partner's or owner's pro rata share of the property, payroll, and sales of the partnership or disregarded entity will be included in the computation of the apportionment factors.</w:t>
      </w:r>
    </w:p>
    <w:p w14:paraId="2089BD57" w14:textId="77777777" w:rsidR="000000D1" w:rsidRPr="000000D1" w:rsidRDefault="000000D1" w:rsidP="000000D1">
      <w:pPr>
        <w:ind w:left="1440"/>
        <w:rPr>
          <w:rFonts w:eastAsia="Calibri" w:cs="Times New Roman"/>
        </w:rPr>
      </w:pPr>
      <w:r w:rsidRPr="000000D1">
        <w:rPr>
          <w:rFonts w:eastAsia="Calibri" w:cs="Times New Roman"/>
        </w:rPr>
        <w:t>(2) The definition of unitary will be the same as the definition of a unitary business as outlined in 15-31-301, MCA.   However, the corporate partner or disregarded entity owner need not own in excess of 50% of the partnership or disregarded entity for the partnership or disregarded entity to be unitary.</w:t>
      </w:r>
    </w:p>
    <w:p w14:paraId="5F316435" w14:textId="77777777" w:rsidR="000000D1" w:rsidRPr="000000D1" w:rsidRDefault="000000D1" w:rsidP="000000D1">
      <w:pPr>
        <w:ind w:left="720"/>
        <w:contextualSpacing/>
        <w:rPr>
          <w:rFonts w:eastAsia="Calibri" w:cs="Times New Roman"/>
        </w:rPr>
      </w:pPr>
      <w:r w:rsidRPr="000000D1">
        <w:t xml:space="preserve">Mont. Admin. R. 42.26.229 </w:t>
      </w:r>
    </w:p>
    <w:p w14:paraId="04DE288A" w14:textId="77777777" w:rsidR="000000D1" w:rsidRPr="000000D1" w:rsidRDefault="000000D1" w:rsidP="000000D1">
      <w:pPr>
        <w:contextualSpacing/>
        <w:rPr>
          <w:rFonts w:eastAsia="Calibri" w:cs="Times New Roman"/>
        </w:rPr>
      </w:pPr>
    </w:p>
    <w:p w14:paraId="59C5DD18" w14:textId="77777777" w:rsidR="000000D1" w:rsidRPr="000000D1" w:rsidRDefault="000000D1" w:rsidP="000000D1">
      <w:pPr>
        <w:ind w:left="1440"/>
        <w:rPr>
          <w:rFonts w:eastAsia="Calibri" w:cs="Times New Roman"/>
        </w:rPr>
      </w:pPr>
      <w:r w:rsidRPr="000000D1">
        <w:rPr>
          <w:rFonts w:eastAsia="Calibri" w:cs="Times New Roman"/>
        </w:rPr>
        <w:t>A partnership or disregarded entity that is not part of a unitary business operation of a corporate partner or disregarded entity owner will be treated as follows:</w:t>
      </w:r>
    </w:p>
    <w:p w14:paraId="16BFCCF2" w14:textId="77777777" w:rsidR="000000D1" w:rsidRPr="000000D1" w:rsidRDefault="000000D1" w:rsidP="00366E17">
      <w:pPr>
        <w:numPr>
          <w:ilvl w:val="0"/>
          <w:numId w:val="32"/>
        </w:numPr>
        <w:contextualSpacing/>
        <w:rPr>
          <w:rFonts w:eastAsia="Calibri" w:cs="Times New Roman"/>
        </w:rPr>
      </w:pPr>
      <w:r w:rsidRPr="000000D1">
        <w:rPr>
          <w:rFonts w:eastAsia="Calibri" w:cs="Times New Roman"/>
        </w:rPr>
        <w:lastRenderedPageBreak/>
        <w:t>The corporate partner's or disregarded entity owner's share of partnership or disregarded entity income will not be included in apportionable income to be apportioned, but allocated to the states where the partnership or disregarded entity operates based upon the apportionment formula outlined in 15-31-305, MCA.</w:t>
      </w:r>
    </w:p>
    <w:p w14:paraId="5726109E" w14:textId="77777777" w:rsidR="000000D1" w:rsidRPr="000000D1" w:rsidRDefault="000000D1" w:rsidP="000000D1">
      <w:pPr>
        <w:ind w:left="720"/>
        <w:rPr>
          <w:rFonts w:eastAsia="Calibri" w:cs="Times New Roman"/>
          <w:i/>
          <w:iCs/>
        </w:rPr>
      </w:pPr>
      <w:r w:rsidRPr="000000D1">
        <w:rPr>
          <w:rFonts w:eastAsia="Calibri" w:cs="Times New Roman"/>
          <w:i/>
          <w:iCs/>
        </w:rPr>
        <w:t>Pioneer News Group, Co. and Subsidiaries v. State of Montana Dep’t of Revenue</w:t>
      </w:r>
      <w:r w:rsidRPr="000000D1">
        <w:rPr>
          <w:rFonts w:eastAsia="Calibri" w:cs="Times New Roman"/>
        </w:rPr>
        <w:t xml:space="preserve">, Montana Tax Appeal Board Case No. IT-2020-40 (January 20, 2022) </w:t>
      </w:r>
    </w:p>
    <w:p w14:paraId="6A5859C8" w14:textId="77777777" w:rsidR="000000D1" w:rsidRPr="000000D1" w:rsidRDefault="000000D1" w:rsidP="000000D1">
      <w:pPr>
        <w:ind w:left="1440"/>
        <w:rPr>
          <w:rFonts w:eastAsia="Calibri" w:cs="Times New Roman"/>
        </w:rPr>
      </w:pPr>
      <w:r w:rsidRPr="000000D1">
        <w:rPr>
          <w:rFonts w:eastAsia="Calibri" w:cs="Times New Roman"/>
        </w:rPr>
        <w:t>Under the facts of the case, the Board permitted the taxpayer to use the apportionment provisions of the Multistate Tax Compact to source pass-through income in a tiered structure. The Board noted “[w]hile ARM 42.9.107 may be applicable in other situations not at issue here, this Board declines to read this rule in a manner that contradicts or adds to the Compact.”</w:t>
      </w:r>
    </w:p>
    <w:p w14:paraId="5A794C6F" w14:textId="77777777" w:rsidR="000000D1" w:rsidRPr="000000D1" w:rsidRDefault="000000D1" w:rsidP="000000D1">
      <w:pPr>
        <w:ind w:left="720"/>
        <w:contextualSpacing/>
        <w:rPr>
          <w:rFonts w:eastAsia="Calibri" w:cs="Times New Roman"/>
          <w:i/>
          <w:iCs/>
        </w:rPr>
      </w:pPr>
      <w:r w:rsidRPr="000000D1">
        <w:rPr>
          <w:rFonts w:eastAsia="Calibri" w:cs="Times New Roman"/>
        </w:rPr>
        <w:t>MT common-errors-to-avoid-when-filing-Form-PTE 030824</w:t>
      </w:r>
    </w:p>
    <w:p w14:paraId="7A76250C" w14:textId="77777777" w:rsidR="000000D1" w:rsidRPr="000000D1" w:rsidRDefault="000000D1" w:rsidP="000000D1">
      <w:pPr>
        <w:contextualSpacing/>
        <w:rPr>
          <w:rFonts w:eastAsia="Calibri" w:cs="Times New Roman"/>
        </w:rPr>
      </w:pPr>
    </w:p>
    <w:p w14:paraId="21783EB0" w14:textId="77777777" w:rsidR="000000D1" w:rsidRPr="000000D1" w:rsidRDefault="000000D1" w:rsidP="000000D1">
      <w:pPr>
        <w:ind w:left="1440"/>
        <w:rPr>
          <w:rFonts w:eastAsia="Calibri" w:cs="Times New Roman"/>
        </w:rPr>
      </w:pPr>
      <w:r w:rsidRPr="000000D1">
        <w:rPr>
          <w:rFonts w:eastAsia="Calibri" w:cs="Times New Roman"/>
        </w:rPr>
        <w:t>Schedule K-1</w:t>
      </w:r>
    </w:p>
    <w:p w14:paraId="1D09AD32" w14:textId="77777777" w:rsidR="000000D1" w:rsidRPr="000000D1" w:rsidRDefault="000000D1" w:rsidP="000000D1">
      <w:pPr>
        <w:ind w:left="1440"/>
        <w:rPr>
          <w:rFonts w:eastAsia="Calibri" w:cs="Times New Roman"/>
        </w:rPr>
      </w:pPr>
      <w:r w:rsidRPr="000000D1">
        <w:rPr>
          <w:rFonts w:eastAsia="Calibri" w:cs="Times New Roman"/>
        </w:rPr>
        <w:t>Special Allocations. Special allocations must be specified on the Schedule K-1 for partners with a special allocation. Mark the Special Allocation checkbox on the Schedule K-1 for any partner that has a special allocation for income/loss that does not follow the profit/loss percentage.</w:t>
      </w:r>
    </w:p>
    <w:p w14:paraId="1746270A" w14:textId="77777777" w:rsidR="000000D1" w:rsidRPr="000000D1" w:rsidRDefault="000000D1" w:rsidP="000000D1">
      <w:pPr>
        <w:ind w:left="1440"/>
        <w:rPr>
          <w:rFonts w:eastAsia="Calibri" w:cs="Times New Roman"/>
        </w:rPr>
      </w:pPr>
    </w:p>
    <w:p w14:paraId="7954763B" w14:textId="77777777" w:rsidR="000000D1" w:rsidRPr="000000D1" w:rsidRDefault="000000D1" w:rsidP="000000D1">
      <w:pPr>
        <w:pBdr>
          <w:bottom w:val="single" w:sz="4" w:space="0" w:color="auto"/>
        </w:pBdr>
        <w:rPr>
          <w:rFonts w:eastAsia="Calibri" w:cs="Times New Roman"/>
        </w:rPr>
      </w:pPr>
    </w:p>
    <w:p w14:paraId="3848C034"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26" w:name="_Toc198480790"/>
      <w:r w:rsidRPr="000000D1">
        <w:rPr>
          <w:rFonts w:ascii="Californian FB" w:eastAsia="Times New Roman" w:hAnsi="Californian FB" w:cs="Times New Roman"/>
          <w:b/>
          <w:color w:val="851C00"/>
          <w:sz w:val="24"/>
          <w:szCs w:val="24"/>
          <w:u w:val="single"/>
        </w:rPr>
        <w:t>Nebraska</w:t>
      </w:r>
      <w:bookmarkEnd w:id="126"/>
    </w:p>
    <w:p w14:paraId="5A024DA7" w14:textId="77777777" w:rsidR="000000D1" w:rsidRPr="000000D1" w:rsidRDefault="000000D1" w:rsidP="000000D1">
      <w:pPr>
        <w:ind w:left="720"/>
        <w:contextualSpacing/>
        <w:rPr>
          <w:rFonts w:eastAsia="Calibri" w:cs="Times New Roman"/>
        </w:rPr>
      </w:pPr>
      <w:r w:rsidRPr="000000D1">
        <w:rPr>
          <w:rFonts w:eastAsia="Calibri" w:cs="Times New Roman"/>
        </w:rPr>
        <w:t xml:space="preserve">Neb. Rev. Stat. § 77-2728 </w:t>
      </w:r>
    </w:p>
    <w:p w14:paraId="2569D371" w14:textId="77777777" w:rsidR="000000D1" w:rsidRPr="000000D1" w:rsidRDefault="000000D1" w:rsidP="000000D1">
      <w:pPr>
        <w:ind w:left="720"/>
        <w:contextualSpacing/>
        <w:rPr>
          <w:rFonts w:eastAsia="Calibri" w:cs="Times New Roman"/>
        </w:rPr>
      </w:pPr>
    </w:p>
    <w:p w14:paraId="67E14C5F" w14:textId="77777777" w:rsidR="000000D1" w:rsidRPr="000000D1" w:rsidRDefault="000000D1" w:rsidP="000000D1">
      <w:pPr>
        <w:ind w:left="1440"/>
        <w:contextualSpacing/>
        <w:rPr>
          <w:rFonts w:eastAsia="Calibri" w:cs="Times New Roman"/>
        </w:rPr>
      </w:pPr>
      <w:r w:rsidRPr="000000D1">
        <w:rPr>
          <w:rFonts w:eastAsia="Calibri" w:cs="Times New Roman"/>
        </w:rPr>
        <w:t>Each item of partnership income, gain, loss, or deduction shall have the same character for a partner under the provisions of the Nebraska Revenue Act of 1967 as it has for federal income tax purposes. Where an item is not characterized for federal income tax purposes, it shall have the same character for a partner as if realized directly from the source from which realized by the partnership or incurred in the same manner as incurred by the partnership.</w:t>
      </w:r>
    </w:p>
    <w:p w14:paraId="493BCCCD" w14:textId="77777777" w:rsidR="000000D1" w:rsidRPr="000000D1" w:rsidRDefault="000000D1" w:rsidP="000000D1">
      <w:pPr>
        <w:ind w:left="720"/>
        <w:contextualSpacing/>
        <w:rPr>
          <w:rFonts w:eastAsia="Calibri" w:cs="Times New Roman"/>
        </w:rPr>
      </w:pPr>
    </w:p>
    <w:p w14:paraId="162CAAB8" w14:textId="77777777" w:rsidR="000000D1" w:rsidRPr="000000D1" w:rsidRDefault="000000D1" w:rsidP="000000D1">
      <w:pPr>
        <w:ind w:left="720"/>
        <w:contextualSpacing/>
        <w:rPr>
          <w:rFonts w:eastAsia="Calibri" w:cs="Times New Roman"/>
        </w:rPr>
      </w:pPr>
      <w:r w:rsidRPr="000000D1">
        <w:rPr>
          <w:rFonts w:eastAsia="Calibri" w:cs="Times New Roman"/>
        </w:rPr>
        <w:t xml:space="preserve">316 Neb. Admin. Code § 24-301 </w:t>
      </w:r>
    </w:p>
    <w:p w14:paraId="4A9E0AF1" w14:textId="77777777" w:rsidR="000000D1" w:rsidRPr="000000D1" w:rsidRDefault="000000D1" w:rsidP="000000D1">
      <w:pPr>
        <w:contextualSpacing/>
        <w:rPr>
          <w:rFonts w:eastAsia="Calibri" w:cs="Times New Roman"/>
        </w:rPr>
      </w:pPr>
      <w:r w:rsidRPr="000000D1">
        <w:rPr>
          <w:rFonts w:eastAsia="Calibri" w:cs="Times New Roman"/>
        </w:rPr>
        <w:tab/>
      </w:r>
      <w:r w:rsidRPr="000000D1">
        <w:rPr>
          <w:rFonts w:eastAsia="Calibri" w:cs="Times New Roman"/>
        </w:rPr>
        <w:tab/>
      </w:r>
    </w:p>
    <w:p w14:paraId="2C169EF0" w14:textId="77777777" w:rsidR="000000D1" w:rsidRPr="000000D1" w:rsidRDefault="000000D1" w:rsidP="000000D1">
      <w:pPr>
        <w:contextualSpacing/>
        <w:rPr>
          <w:rFonts w:eastAsia="Calibri" w:cs="Times New Roman"/>
        </w:rPr>
      </w:pPr>
      <w:r w:rsidRPr="000000D1">
        <w:rPr>
          <w:rFonts w:eastAsia="Calibri" w:cs="Times New Roman"/>
        </w:rPr>
        <w:tab/>
      </w:r>
      <w:r w:rsidRPr="000000D1">
        <w:rPr>
          <w:rFonts w:eastAsia="Calibri" w:cs="Times New Roman"/>
        </w:rPr>
        <w:tab/>
      </w:r>
      <w:bookmarkStart w:id="127" w:name="section301.01_0"/>
      <w:r w:rsidRPr="000000D1">
        <w:rPr>
          <w:rFonts w:eastAsia="Calibri" w:cs="Times New Roman"/>
        </w:rPr>
        <w:t>301.01</w:t>
      </w:r>
      <w:bookmarkEnd w:id="127"/>
      <w:r w:rsidRPr="000000D1">
        <w:rPr>
          <w:rFonts w:eastAsia="Calibri" w:cs="Times New Roman"/>
        </w:rPr>
        <w:t> In General</w:t>
      </w:r>
    </w:p>
    <w:p w14:paraId="7ADC196D" w14:textId="77777777" w:rsidR="000000D1" w:rsidRPr="000000D1" w:rsidRDefault="000000D1" w:rsidP="000000D1">
      <w:pPr>
        <w:ind w:left="1440"/>
        <w:contextualSpacing/>
        <w:rPr>
          <w:rFonts w:eastAsia="Calibri" w:cs="Times New Roman"/>
        </w:rPr>
      </w:pPr>
      <w:r w:rsidRPr="000000D1">
        <w:rPr>
          <w:rFonts w:eastAsia="Calibri" w:cs="Times New Roman"/>
        </w:rPr>
        <w:t>A business entity or unitary group generating income from a business activity that is taxable within Nebraska and subject to tax in at least one other state must apportion its income. The income is apportioned using the sales factor only, as provided in Reg-24-301 through Reg-24-350.</w:t>
      </w:r>
    </w:p>
    <w:p w14:paraId="68C86C4C" w14:textId="77777777" w:rsidR="000000D1" w:rsidRPr="000000D1" w:rsidRDefault="000000D1" w:rsidP="000000D1">
      <w:pPr>
        <w:ind w:left="720" w:firstLine="720"/>
        <w:contextualSpacing/>
        <w:rPr>
          <w:rFonts w:eastAsia="Calibri" w:cs="Times New Roman"/>
        </w:rPr>
      </w:pPr>
      <w:bookmarkStart w:id="128" w:name="section301.02_0"/>
      <w:r w:rsidRPr="000000D1">
        <w:rPr>
          <w:rFonts w:eastAsia="Calibri" w:cs="Times New Roman"/>
        </w:rPr>
        <w:t>301.02</w:t>
      </w:r>
      <w:bookmarkEnd w:id="128"/>
      <w:r w:rsidRPr="000000D1">
        <w:rPr>
          <w:rFonts w:eastAsia="Calibri" w:cs="Times New Roman"/>
        </w:rPr>
        <w:t> Apportionable Income</w:t>
      </w:r>
    </w:p>
    <w:p w14:paraId="6BEF89A1" w14:textId="77777777" w:rsidR="000000D1" w:rsidRPr="000000D1" w:rsidRDefault="000000D1" w:rsidP="000000D1">
      <w:pPr>
        <w:ind w:left="1440"/>
        <w:contextualSpacing/>
        <w:rPr>
          <w:rFonts w:eastAsia="Calibri" w:cs="Times New Roman"/>
        </w:rPr>
      </w:pPr>
      <w:r w:rsidRPr="000000D1">
        <w:rPr>
          <w:rFonts w:eastAsia="Calibri" w:cs="Times New Roman"/>
        </w:rPr>
        <w:t>The entire federal taxable income of a corporation, a unitary group, or a partnership is presumed to be apportionable income. The apportionable income includes income arising from transactions and activity of the business, and income arising from tangible and intangible property if the acquisition, management, employment, development, or disposition of the property was related to the operation of the business entity's trade or business.</w:t>
      </w:r>
    </w:p>
    <w:p w14:paraId="5F7FE683" w14:textId="77777777" w:rsidR="000000D1" w:rsidRPr="000000D1" w:rsidRDefault="000000D1" w:rsidP="000000D1">
      <w:pPr>
        <w:contextualSpacing/>
        <w:rPr>
          <w:rFonts w:eastAsia="Calibri" w:cs="Times New Roman"/>
        </w:rPr>
      </w:pPr>
    </w:p>
    <w:p w14:paraId="48BB27B3" w14:textId="77777777" w:rsidR="000000D1" w:rsidRPr="000000D1" w:rsidRDefault="000000D1" w:rsidP="000000D1">
      <w:pPr>
        <w:ind w:left="720"/>
        <w:contextualSpacing/>
        <w:rPr>
          <w:rFonts w:eastAsia="Calibri" w:cs="Times New Roman"/>
        </w:rPr>
      </w:pPr>
      <w:r w:rsidRPr="000000D1">
        <w:rPr>
          <w:rFonts w:eastAsia="Calibri" w:cs="Times New Roman"/>
        </w:rPr>
        <w:t xml:space="preserve">316 Neb. Admin. Code § 24-305 </w:t>
      </w:r>
      <w:bookmarkStart w:id="129" w:name="section.01_0"/>
    </w:p>
    <w:p w14:paraId="4EEEDE62" w14:textId="77777777" w:rsidR="000000D1" w:rsidRPr="000000D1" w:rsidRDefault="000000D1" w:rsidP="000000D1">
      <w:pPr>
        <w:ind w:left="720"/>
        <w:contextualSpacing/>
        <w:rPr>
          <w:rFonts w:eastAsia="Calibri" w:cs="Times New Roman"/>
        </w:rPr>
      </w:pPr>
    </w:p>
    <w:p w14:paraId="3CD64612" w14:textId="77777777" w:rsidR="000000D1" w:rsidRPr="000000D1" w:rsidRDefault="000000D1" w:rsidP="000000D1">
      <w:pPr>
        <w:ind w:left="720" w:firstLine="720"/>
        <w:contextualSpacing/>
        <w:rPr>
          <w:rFonts w:eastAsia="Calibri" w:cs="Times New Roman"/>
        </w:rPr>
      </w:pPr>
      <w:r w:rsidRPr="000000D1">
        <w:rPr>
          <w:rFonts w:eastAsia="Calibri" w:cs="Times New Roman"/>
        </w:rPr>
        <w:t>305.01</w:t>
      </w:r>
      <w:bookmarkEnd w:id="129"/>
      <w:r w:rsidRPr="000000D1">
        <w:rPr>
          <w:rFonts w:eastAsia="Calibri" w:cs="Times New Roman"/>
        </w:rPr>
        <w:t> Corporations or Partnerships; Apportionment Formula</w:t>
      </w:r>
    </w:p>
    <w:p w14:paraId="034AECAC" w14:textId="77777777" w:rsidR="000000D1" w:rsidRPr="000000D1" w:rsidRDefault="000000D1" w:rsidP="000000D1">
      <w:pPr>
        <w:ind w:left="1440"/>
        <w:contextualSpacing/>
        <w:rPr>
          <w:rFonts w:eastAsia="Calibri" w:cs="Times New Roman"/>
        </w:rPr>
      </w:pPr>
      <w:r w:rsidRPr="000000D1">
        <w:rPr>
          <w:rFonts w:eastAsia="Calibri" w:cs="Times New Roman"/>
        </w:rPr>
        <w:t xml:space="preserve">The federal taxable income, as adjusted under Reg-24-155, Nebraska Adjustments to Taxable Income, of a corporation or partnership operating both within and outside </w:t>
      </w:r>
      <w:r w:rsidRPr="000000D1">
        <w:rPr>
          <w:rFonts w:eastAsia="Calibri" w:cs="Times New Roman"/>
        </w:rPr>
        <w:lastRenderedPageBreak/>
        <w:t>Nebraska is apportioned to Nebraska by using the sales factor of the corporation or partnership. The income of the taxpayer apportioned to Nebraska is determined by calculating the ratio of the taxpayer's sales in Nebraska compared to the total sales of the taxpayer and applying the computed ratio to the federal taxable income, as adjusted, of the taxpayer.</w:t>
      </w:r>
    </w:p>
    <w:p w14:paraId="6C662493" w14:textId="77777777" w:rsidR="000000D1" w:rsidRPr="000000D1" w:rsidRDefault="000000D1" w:rsidP="000000D1">
      <w:pPr>
        <w:ind w:left="720"/>
        <w:contextualSpacing/>
        <w:rPr>
          <w:rFonts w:eastAsia="Calibri" w:cs="Times New Roman"/>
        </w:rPr>
      </w:pPr>
    </w:p>
    <w:p w14:paraId="25960E0C" w14:textId="77777777" w:rsidR="000000D1" w:rsidRPr="000000D1" w:rsidRDefault="000000D1" w:rsidP="000000D1">
      <w:pPr>
        <w:ind w:left="720"/>
        <w:contextualSpacing/>
        <w:rPr>
          <w:rFonts w:eastAsia="Calibri" w:cs="Times New Roman"/>
        </w:rPr>
      </w:pPr>
      <w:r w:rsidRPr="000000D1">
        <w:rPr>
          <w:rFonts w:eastAsia="Calibri" w:cs="Times New Roman"/>
        </w:rPr>
        <w:t xml:space="preserve">316 Neb. Admin. Code § 24-315 </w:t>
      </w:r>
    </w:p>
    <w:p w14:paraId="08A5A978" w14:textId="77777777" w:rsidR="000000D1" w:rsidRPr="000000D1" w:rsidRDefault="000000D1" w:rsidP="000000D1">
      <w:pPr>
        <w:contextualSpacing/>
        <w:rPr>
          <w:rFonts w:eastAsia="Calibri" w:cs="Times New Roman"/>
        </w:rPr>
      </w:pPr>
    </w:p>
    <w:p w14:paraId="56632288" w14:textId="77777777" w:rsidR="000000D1" w:rsidRPr="000000D1" w:rsidRDefault="000000D1" w:rsidP="000000D1">
      <w:pPr>
        <w:ind w:left="1440"/>
        <w:rPr>
          <w:rFonts w:eastAsia="Calibri" w:cs="Times New Roman"/>
        </w:rPr>
      </w:pPr>
      <w:r w:rsidRPr="000000D1">
        <w:rPr>
          <w:rFonts w:eastAsia="Calibri" w:cs="Times New Roman"/>
        </w:rPr>
        <w:t>315.01 A business entity which is required to apportion income and has income from a partnership or joint venture (partnership), will calculate its Nebraska sales factor under this regulation. The entire federal taxable income of a corporate taxpayer is subject to apportionment in this state. Nebraska apportionable income includes any income or loss received due to a business entity's interest in a partnership. If neither the corporation nor the partnership is subject to tax in another state, the entire federal taxable income of the business entity is subject to Nebraska tax and will not be apportioned.</w:t>
      </w:r>
    </w:p>
    <w:p w14:paraId="34308F41" w14:textId="77777777" w:rsidR="000000D1" w:rsidRPr="000000D1" w:rsidRDefault="000000D1" w:rsidP="000000D1">
      <w:pPr>
        <w:ind w:left="1440"/>
        <w:rPr>
          <w:rFonts w:eastAsia="Calibri" w:cs="Times New Roman"/>
        </w:rPr>
      </w:pPr>
      <w:r w:rsidRPr="000000D1">
        <w:rPr>
          <w:rFonts w:eastAsia="Calibri" w:cs="Times New Roman"/>
        </w:rPr>
        <w:t>315.02 When a business entity is an owner in a partnership, the business entity's apportionment factor must be calculated based on whether or not the business entity and partnership are considered unitary. A unitary determination must be made for each business entity.</w:t>
      </w:r>
    </w:p>
    <w:p w14:paraId="45F46DE8" w14:textId="77777777" w:rsidR="000000D1" w:rsidRPr="000000D1" w:rsidRDefault="000000D1" w:rsidP="000000D1">
      <w:pPr>
        <w:ind w:left="1440"/>
        <w:rPr>
          <w:rFonts w:eastAsia="Calibri" w:cs="Times New Roman"/>
        </w:rPr>
      </w:pPr>
      <w:r w:rsidRPr="000000D1">
        <w:rPr>
          <w:rFonts w:eastAsia="Calibri" w:cs="Times New Roman"/>
        </w:rPr>
        <w:t>315.02A When a partnership has sufficient contacts with a business entity to be considered unitary if it were a corporation, the partnership will be considered unitary with the business entity regardless of the ownership share of the business entity.</w:t>
      </w:r>
    </w:p>
    <w:p w14:paraId="4D292716" w14:textId="77777777" w:rsidR="000000D1" w:rsidRPr="000000D1" w:rsidRDefault="000000D1" w:rsidP="000000D1">
      <w:pPr>
        <w:ind w:left="1440"/>
        <w:rPr>
          <w:rFonts w:eastAsia="Calibri" w:cs="Times New Roman"/>
        </w:rPr>
      </w:pPr>
      <w:r w:rsidRPr="000000D1">
        <w:rPr>
          <w:rFonts w:eastAsia="Calibri" w:cs="Times New Roman"/>
        </w:rPr>
        <w:t>315.02A(1) When a business entity and a partnership are considered unitary, the sales factor of the business entity must include the business entity's share of the partnership's sales determined by multiplying the partnership's sales factor numerator and denominator by the business entity's ownership percentage.</w:t>
      </w:r>
    </w:p>
    <w:p w14:paraId="3ECD4D9C" w14:textId="77777777" w:rsidR="000000D1" w:rsidRPr="000000D1" w:rsidRDefault="000000D1" w:rsidP="000000D1">
      <w:pPr>
        <w:ind w:left="1440"/>
        <w:rPr>
          <w:rFonts w:eastAsia="Calibri" w:cs="Times New Roman"/>
        </w:rPr>
      </w:pPr>
      <w:r w:rsidRPr="000000D1">
        <w:rPr>
          <w:rFonts w:eastAsia="Calibri" w:cs="Times New Roman"/>
        </w:rPr>
        <w:t>315.02A(2) Intercompany sales will be eliminated using calculations made in the following order:</w:t>
      </w:r>
    </w:p>
    <w:p w14:paraId="6527329C" w14:textId="77777777" w:rsidR="000000D1" w:rsidRPr="000000D1" w:rsidRDefault="000000D1" w:rsidP="000000D1">
      <w:pPr>
        <w:ind w:left="1440"/>
        <w:rPr>
          <w:rFonts w:eastAsia="Calibri" w:cs="Times New Roman"/>
        </w:rPr>
      </w:pPr>
      <w:r w:rsidRPr="000000D1">
        <w:rPr>
          <w:rFonts w:eastAsia="Calibri" w:cs="Times New Roman"/>
        </w:rPr>
        <w:t>315.02A(2)(a) Intercompany sales will be eliminated based on the percentage of the business entity's ownership of the partnership; except that sales from the partnership to the business entity or members of the unitary group will be eliminated only to the extent of the business entity's or unitary group's share of total sales of the partnership (See Reg</w:t>
      </w:r>
      <w:r w:rsidRPr="000000D1">
        <w:rPr>
          <w:rFonts w:eastAsia="Calibri" w:cs="Times New Roman"/>
        </w:rPr>
        <w:noBreakHyphen/>
        <w:t>24</w:t>
      </w:r>
      <w:r w:rsidRPr="000000D1">
        <w:rPr>
          <w:rFonts w:eastAsia="Calibri" w:cs="Times New Roman"/>
        </w:rPr>
        <w:noBreakHyphen/>
        <w:t>315.02A(4)); and</w:t>
      </w:r>
    </w:p>
    <w:p w14:paraId="2BCD7BD1" w14:textId="77777777" w:rsidR="000000D1" w:rsidRPr="000000D1" w:rsidRDefault="000000D1" w:rsidP="000000D1">
      <w:pPr>
        <w:ind w:left="1440"/>
        <w:rPr>
          <w:rFonts w:eastAsia="Calibri" w:cs="Times New Roman"/>
        </w:rPr>
      </w:pPr>
      <w:r w:rsidRPr="000000D1">
        <w:rPr>
          <w:rFonts w:eastAsia="Calibri" w:cs="Times New Roman"/>
        </w:rPr>
        <w:t>315.02A(2)(b) If all of the sales from the partnership to the business entity or unitary group are not eliminated based on Reg-24-315.02A(2)(a), the remaining sales in each state will be the same percentage of the sales in the state before any eliminations. (See Reg-24-315.02A(6))</w:t>
      </w:r>
    </w:p>
    <w:p w14:paraId="0513BF0C" w14:textId="77777777" w:rsidR="000000D1" w:rsidRPr="000000D1" w:rsidRDefault="000000D1" w:rsidP="000000D1">
      <w:pPr>
        <w:ind w:left="1440"/>
        <w:rPr>
          <w:rFonts w:eastAsia="Calibri" w:cs="Times New Roman"/>
        </w:rPr>
      </w:pPr>
      <w:r w:rsidRPr="000000D1">
        <w:rPr>
          <w:rFonts w:eastAsia="Calibri" w:cs="Times New Roman"/>
        </w:rPr>
        <w:t>315.02A(2)(c) Any partnership agreements that identify particular activities to a specific owner will not be considered when determining the income of each owner subject to tax in Nebraska . . .</w:t>
      </w:r>
    </w:p>
    <w:p w14:paraId="6194D2B9" w14:textId="77777777" w:rsidR="000000D1" w:rsidRPr="000000D1" w:rsidRDefault="000000D1" w:rsidP="000000D1">
      <w:pPr>
        <w:ind w:left="1440"/>
        <w:rPr>
          <w:rFonts w:eastAsia="Calibri" w:cs="Times New Roman"/>
        </w:rPr>
      </w:pPr>
      <w:r w:rsidRPr="000000D1">
        <w:rPr>
          <w:rFonts w:eastAsia="Calibri" w:cs="Times New Roman"/>
        </w:rPr>
        <w:t>315.02B When a partnership does not have sufficient contacts with a business entity to be considered unitary, the business entity's sales factor must include its share of income from the partnership. The net income distributed from the partnership to the business entity will be included in the denominator and the Nebraska source net income distributed from the partnership to the business entity will be included in the numerator . . .</w:t>
      </w:r>
    </w:p>
    <w:p w14:paraId="2564F939" w14:textId="77777777" w:rsidR="000000D1" w:rsidRPr="000000D1" w:rsidRDefault="000000D1" w:rsidP="000000D1">
      <w:pPr>
        <w:ind w:left="1440"/>
        <w:rPr>
          <w:rFonts w:eastAsia="Calibri" w:cs="Times New Roman"/>
        </w:rPr>
      </w:pPr>
      <w:r w:rsidRPr="000000D1">
        <w:rPr>
          <w:rFonts w:eastAsia="Calibri" w:cs="Times New Roman"/>
        </w:rPr>
        <w:lastRenderedPageBreak/>
        <w:t>315.02B(2) The business entity's sales factor does not include sales made by the partnership. Therefore, the business entity's sales factor is not adjusted to eliminate sales made between the business entity and the partnership.</w:t>
      </w:r>
    </w:p>
    <w:p w14:paraId="2DB9B668" w14:textId="77777777" w:rsidR="000000D1" w:rsidRPr="000000D1" w:rsidRDefault="000000D1" w:rsidP="000000D1">
      <w:pPr>
        <w:ind w:left="720"/>
        <w:contextualSpacing/>
        <w:rPr>
          <w:rFonts w:eastAsia="Calibri" w:cs="Times New Roman"/>
        </w:rPr>
      </w:pPr>
      <w:r w:rsidRPr="000000D1">
        <w:rPr>
          <w:rFonts w:eastAsia="Calibri" w:cs="Times New Roman"/>
        </w:rPr>
        <w:t xml:space="preserve">Nebraska Return of Partnership Instructions (2022) </w:t>
      </w:r>
    </w:p>
    <w:p w14:paraId="48977E2F" w14:textId="77777777" w:rsidR="000000D1" w:rsidRPr="000000D1" w:rsidRDefault="000000D1" w:rsidP="000000D1">
      <w:pPr>
        <w:contextualSpacing/>
        <w:rPr>
          <w:rFonts w:eastAsia="Calibri" w:cs="Times New Roman"/>
        </w:rPr>
      </w:pPr>
    </w:p>
    <w:p w14:paraId="76D0B912" w14:textId="77777777" w:rsidR="000000D1" w:rsidRPr="000000D1" w:rsidRDefault="000000D1" w:rsidP="000000D1">
      <w:pPr>
        <w:ind w:left="1440"/>
        <w:rPr>
          <w:rFonts w:eastAsia="Calibri" w:cs="Times New Roman"/>
        </w:rPr>
      </w:pPr>
      <w:r w:rsidRPr="000000D1">
        <w:rPr>
          <w:rFonts w:eastAsia="Calibri" w:cs="Times New Roman"/>
        </w:rPr>
        <w:t xml:space="preserve">Nebraska source income is determined by apportioning the partnership or LLC income using a single, sales-only factor. Apportionment refers to the division of income between states by the use of a formula containing one or more apportionment factors . . . </w:t>
      </w:r>
      <w:r w:rsidRPr="000000D1">
        <w:t>For partnerships that are only subject to income tax in Nebraska, the amounts entered on lines 1-14 will come directly from the partner’s Federal Schedule K-1. For partnerships that are subject to income tax in another state, the amounts entered on lines 1-14 will be the result of the Federal Schedule K-1 amounts multiplied by the partnership’s Nebraska apportionment factor.</w:t>
      </w:r>
    </w:p>
    <w:p w14:paraId="4058EC3D" w14:textId="77777777" w:rsidR="000000D1" w:rsidRPr="000000D1" w:rsidRDefault="000000D1" w:rsidP="000000D1">
      <w:pPr>
        <w:pBdr>
          <w:bottom w:val="single" w:sz="4" w:space="0" w:color="auto"/>
        </w:pBdr>
        <w:rPr>
          <w:rFonts w:eastAsia="Calibri" w:cs="Times New Roman"/>
        </w:rPr>
      </w:pPr>
    </w:p>
    <w:p w14:paraId="2E6BAE03"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30" w:name="_Toc198480791"/>
      <w:r w:rsidRPr="000000D1">
        <w:rPr>
          <w:rFonts w:ascii="Californian FB" w:eastAsia="Times New Roman" w:hAnsi="Californian FB" w:cs="Times New Roman"/>
          <w:b/>
          <w:color w:val="851C00"/>
          <w:sz w:val="24"/>
          <w:szCs w:val="24"/>
          <w:u w:val="single"/>
        </w:rPr>
        <w:t>New Hampshire</w:t>
      </w:r>
      <w:bookmarkEnd w:id="130"/>
    </w:p>
    <w:p w14:paraId="73FF785C" w14:textId="77777777" w:rsidR="000000D1" w:rsidRPr="000000D1" w:rsidRDefault="000000D1" w:rsidP="000000D1">
      <w:pPr>
        <w:ind w:left="720"/>
        <w:contextualSpacing/>
        <w:rPr>
          <w:rFonts w:eastAsia="Calibri" w:cs="Times New Roman"/>
        </w:rPr>
      </w:pPr>
      <w:r w:rsidRPr="000000D1">
        <w:rPr>
          <w:rFonts w:eastAsia="Calibri" w:cs="Times New Roman"/>
        </w:rPr>
        <w:t>New Hampshire taxes partnership income at the entity level, rather than allocating each partner their distributive share.</w:t>
      </w:r>
    </w:p>
    <w:p w14:paraId="2AB9685F" w14:textId="77777777" w:rsidR="000000D1" w:rsidRPr="000000D1" w:rsidRDefault="000000D1" w:rsidP="000000D1">
      <w:pPr>
        <w:ind w:left="720"/>
        <w:contextualSpacing/>
        <w:rPr>
          <w:rFonts w:eastAsia="Calibri" w:cs="Times New Roman"/>
        </w:rPr>
      </w:pPr>
    </w:p>
    <w:p w14:paraId="25E5BD3C" w14:textId="77777777" w:rsidR="000000D1" w:rsidRPr="000000D1" w:rsidRDefault="000000D1" w:rsidP="000000D1">
      <w:pPr>
        <w:ind w:left="720"/>
        <w:contextualSpacing/>
        <w:rPr>
          <w:rFonts w:eastAsia="Calibri" w:cs="Times New Roman"/>
        </w:rPr>
      </w:pPr>
      <w:r w:rsidRPr="000000D1">
        <w:rPr>
          <w:rFonts w:eastAsia="Calibri" w:cs="Times New Roman"/>
        </w:rPr>
        <w:tab/>
        <w:t>N.H. Constitution, Part II, Art. 5 Requirements:</w:t>
      </w:r>
    </w:p>
    <w:p w14:paraId="79996D87" w14:textId="77777777" w:rsidR="000000D1" w:rsidRPr="000000D1" w:rsidRDefault="000000D1" w:rsidP="000000D1">
      <w:pPr>
        <w:ind w:left="720"/>
        <w:contextualSpacing/>
        <w:rPr>
          <w:rFonts w:eastAsia="Calibri" w:cs="Times New Roman"/>
        </w:rPr>
      </w:pPr>
      <w:r w:rsidRPr="000000D1">
        <w:rPr>
          <w:rFonts w:eastAsia="Calibri" w:cs="Times New Roman"/>
        </w:rPr>
        <w:t xml:space="preserve"> </w:t>
      </w:r>
    </w:p>
    <w:p w14:paraId="0E0BBFDE" w14:textId="77777777" w:rsidR="000000D1" w:rsidRPr="000000D1" w:rsidRDefault="000000D1" w:rsidP="000000D1">
      <w:pPr>
        <w:ind w:left="2160"/>
        <w:contextualSpacing/>
        <w:rPr>
          <w:rFonts w:eastAsia="Calibri" w:cs="Times New Roman"/>
        </w:rPr>
      </w:pPr>
      <w:r w:rsidRPr="000000D1">
        <w:rPr>
          <w:rFonts w:eastAsia="Calibri" w:cs="Times New Roman"/>
        </w:rPr>
        <w:t>“And farther, full power and authority are hereby given and granted to the said general court, from time to time…to impose and levy proportional and reasonable assessments, rates, and taxes, upon all the inhabitants of, and residents within, the said state; and upon all estates within the same….”</w:t>
      </w:r>
    </w:p>
    <w:p w14:paraId="73CC69CF" w14:textId="77777777" w:rsidR="000000D1" w:rsidRPr="000000D1" w:rsidRDefault="000000D1" w:rsidP="000000D1">
      <w:pPr>
        <w:ind w:left="720"/>
        <w:contextualSpacing/>
        <w:rPr>
          <w:rFonts w:eastAsia="Calibri" w:cs="Times New Roman"/>
        </w:rPr>
      </w:pPr>
      <w:r w:rsidRPr="000000D1">
        <w:rPr>
          <w:rFonts w:eastAsia="Calibri" w:cs="Times New Roman"/>
        </w:rPr>
        <w:t xml:space="preserve"> </w:t>
      </w:r>
    </w:p>
    <w:p w14:paraId="040412F4" w14:textId="77777777" w:rsidR="000000D1" w:rsidRPr="000000D1" w:rsidRDefault="000000D1" w:rsidP="000000D1">
      <w:pPr>
        <w:ind w:left="720" w:firstLine="720"/>
        <w:contextualSpacing/>
        <w:rPr>
          <w:rFonts w:eastAsia="Calibri" w:cs="Times New Roman"/>
        </w:rPr>
      </w:pPr>
      <w:r w:rsidRPr="000000D1">
        <w:rPr>
          <w:rFonts w:eastAsia="Calibri" w:cs="Times New Roman"/>
        </w:rPr>
        <w:t>Opinion of the Justices, 111 N.H. 206, 209 (1971).</w:t>
      </w:r>
    </w:p>
    <w:p w14:paraId="2B57CBB8" w14:textId="77777777" w:rsidR="000000D1" w:rsidRPr="000000D1" w:rsidRDefault="000000D1" w:rsidP="000000D1">
      <w:pPr>
        <w:ind w:left="720"/>
        <w:contextualSpacing/>
        <w:rPr>
          <w:rFonts w:eastAsia="Calibri" w:cs="Times New Roman"/>
        </w:rPr>
      </w:pPr>
      <w:r w:rsidRPr="000000D1">
        <w:rPr>
          <w:rFonts w:eastAsia="Calibri" w:cs="Times New Roman"/>
        </w:rPr>
        <w:t xml:space="preserve"> </w:t>
      </w:r>
    </w:p>
    <w:p w14:paraId="622F2AB5" w14:textId="77777777" w:rsidR="000000D1" w:rsidRPr="000000D1" w:rsidRDefault="000000D1" w:rsidP="000000D1">
      <w:pPr>
        <w:ind w:left="2160"/>
        <w:contextualSpacing/>
        <w:rPr>
          <w:rFonts w:eastAsia="Calibri" w:cs="Times New Roman"/>
        </w:rPr>
      </w:pPr>
      <w:r w:rsidRPr="000000D1">
        <w:rPr>
          <w:rFonts w:eastAsia="Calibri" w:cs="Times New Roman"/>
        </w:rPr>
        <w:t xml:space="preserve">“[I]t is our view that if corporations are to be taxed upon the receipt of income, the tax burden must be shared by others enjoying like privileges.” </w:t>
      </w:r>
    </w:p>
    <w:p w14:paraId="46864BED" w14:textId="77777777" w:rsidR="000000D1" w:rsidRPr="000000D1" w:rsidRDefault="000000D1" w:rsidP="000000D1">
      <w:pPr>
        <w:ind w:left="720"/>
        <w:contextualSpacing/>
        <w:rPr>
          <w:rFonts w:eastAsia="Calibri" w:cs="Times New Roman"/>
        </w:rPr>
      </w:pPr>
      <w:r w:rsidRPr="000000D1">
        <w:rPr>
          <w:rFonts w:eastAsia="Calibri" w:cs="Times New Roman"/>
        </w:rPr>
        <w:t xml:space="preserve"> </w:t>
      </w:r>
    </w:p>
    <w:p w14:paraId="291BABB3" w14:textId="77777777" w:rsidR="000000D1" w:rsidRPr="000000D1" w:rsidRDefault="000000D1" w:rsidP="000000D1">
      <w:pPr>
        <w:ind w:left="720" w:firstLine="720"/>
        <w:contextualSpacing/>
        <w:rPr>
          <w:rFonts w:eastAsia="Calibri" w:cs="Times New Roman"/>
        </w:rPr>
      </w:pPr>
      <w:r w:rsidRPr="000000D1">
        <w:rPr>
          <w:rFonts w:eastAsia="Calibri" w:cs="Times New Roman"/>
        </w:rPr>
        <w:t xml:space="preserve">N.H. Rev. Stat. Ann. § 77-A:1, I </w:t>
      </w:r>
    </w:p>
    <w:p w14:paraId="2596BB62" w14:textId="77777777" w:rsidR="000000D1" w:rsidRPr="000000D1" w:rsidRDefault="000000D1" w:rsidP="000000D1">
      <w:pPr>
        <w:ind w:left="720"/>
        <w:contextualSpacing/>
        <w:rPr>
          <w:rFonts w:eastAsia="Calibri" w:cs="Times New Roman"/>
        </w:rPr>
      </w:pPr>
      <w:r w:rsidRPr="000000D1">
        <w:rPr>
          <w:rFonts w:eastAsia="Calibri" w:cs="Times New Roman"/>
        </w:rPr>
        <w:t xml:space="preserve"> </w:t>
      </w:r>
    </w:p>
    <w:p w14:paraId="229F71C6" w14:textId="77777777" w:rsidR="000000D1" w:rsidRPr="000000D1" w:rsidRDefault="000000D1" w:rsidP="000000D1">
      <w:pPr>
        <w:ind w:left="2160"/>
        <w:contextualSpacing/>
        <w:rPr>
          <w:rFonts w:eastAsia="Calibri" w:cs="Times New Roman"/>
        </w:rPr>
      </w:pPr>
      <w:r w:rsidRPr="000000D1">
        <w:rPr>
          <w:rFonts w:eastAsia="Calibri" w:cs="Times New Roman"/>
        </w:rPr>
        <w:t>“Business organization” means any enterprise, whether corporation, partnership, limited liability company, proprietorship, association, business trust, real estate trust or other form of organization….</w:t>
      </w:r>
    </w:p>
    <w:p w14:paraId="59DC843B" w14:textId="77777777" w:rsidR="000000D1" w:rsidRPr="000000D1" w:rsidRDefault="000000D1" w:rsidP="000000D1">
      <w:pPr>
        <w:contextualSpacing/>
        <w:rPr>
          <w:rFonts w:eastAsia="Calibri" w:cs="Times New Roman"/>
        </w:rPr>
      </w:pPr>
    </w:p>
    <w:p w14:paraId="7BC9BA53" w14:textId="77777777" w:rsidR="000000D1" w:rsidRPr="000000D1" w:rsidRDefault="000000D1" w:rsidP="000000D1">
      <w:pPr>
        <w:ind w:left="720"/>
        <w:contextualSpacing/>
        <w:rPr>
          <w:rFonts w:eastAsia="Calibri" w:cs="Times New Roman"/>
          <w:i/>
          <w:iCs/>
        </w:rPr>
      </w:pPr>
      <w:r w:rsidRPr="000000D1">
        <w:rPr>
          <w:rFonts w:eastAsia="Calibri" w:cs="Times New Roman"/>
        </w:rPr>
        <w:t xml:space="preserve">N.H. Rev. Stat. Ann. § 77-A:3, III </w:t>
      </w:r>
    </w:p>
    <w:p w14:paraId="04FDFBC4" w14:textId="77777777" w:rsidR="000000D1" w:rsidRPr="000000D1" w:rsidRDefault="000000D1" w:rsidP="000000D1">
      <w:pPr>
        <w:contextualSpacing/>
        <w:rPr>
          <w:rFonts w:eastAsia="Calibri" w:cs="Times New Roman"/>
        </w:rPr>
      </w:pPr>
    </w:p>
    <w:p w14:paraId="1EB03A30" w14:textId="77777777" w:rsidR="000000D1" w:rsidRPr="000000D1" w:rsidRDefault="000000D1" w:rsidP="000000D1">
      <w:pPr>
        <w:ind w:left="1440"/>
        <w:rPr>
          <w:rFonts w:eastAsia="Calibri" w:cs="Times New Roman"/>
        </w:rPr>
      </w:pPr>
      <w:r w:rsidRPr="000000D1">
        <w:rPr>
          <w:rFonts w:eastAsia="Calibri" w:cs="Times New Roman"/>
        </w:rPr>
        <w:t>When 2 or more related business organizations are engaged in a unitary business, as defined in RSA 77-A:1, XIV, a part of which is conducted in this state by one or more members of the group, the income attributable to this state shall be determined by means of the applicable combined apportionment factors of the unitary business group in accordance with paragraphs I and II.</w:t>
      </w:r>
    </w:p>
    <w:p w14:paraId="69B50ED0" w14:textId="77777777" w:rsidR="000000D1" w:rsidRPr="000000D1" w:rsidRDefault="000000D1" w:rsidP="000000D1">
      <w:pPr>
        <w:ind w:left="720"/>
        <w:contextualSpacing/>
        <w:rPr>
          <w:rFonts w:eastAsia="Calibri" w:cs="Times New Roman"/>
        </w:rPr>
      </w:pPr>
      <w:r w:rsidRPr="000000D1">
        <w:rPr>
          <w:rFonts w:eastAsia="Calibri" w:cs="Times New Roman"/>
        </w:rPr>
        <w:t xml:space="preserve">New Hampshire Department of Revenue Website </w:t>
      </w:r>
    </w:p>
    <w:p w14:paraId="6206376C" w14:textId="77777777" w:rsidR="000000D1" w:rsidRPr="000000D1" w:rsidRDefault="000000D1" w:rsidP="000000D1">
      <w:pPr>
        <w:contextualSpacing/>
        <w:rPr>
          <w:rFonts w:eastAsia="Calibri" w:cs="Times New Roman"/>
        </w:rPr>
      </w:pPr>
    </w:p>
    <w:p w14:paraId="23891FB9" w14:textId="77777777" w:rsidR="000000D1" w:rsidRPr="000000D1" w:rsidRDefault="000000D1" w:rsidP="000000D1">
      <w:pPr>
        <w:ind w:left="1440"/>
        <w:rPr>
          <w:rFonts w:eastAsia="Calibri" w:cs="Times New Roman"/>
        </w:rPr>
      </w:pPr>
      <w:r w:rsidRPr="000000D1">
        <w:rPr>
          <w:rFonts w:eastAsia="Calibri" w:cs="Times New Roman"/>
        </w:rPr>
        <w:t>For taxable periods ending on or after December 31, 2023, a 7.5% tax is assessed on income from conducting business activity within the State of New Hampshire. For taxable periods ending on or after December 31, 2022, a business organization deriving gross business profits from business activity both within and outside of the State shall apportion gross business profits using the single sales factor. Organizations operating a unitary business must use combined reporting in filing their New Hampshire business tax return.</w:t>
      </w:r>
    </w:p>
    <w:p w14:paraId="5E92CEDA" w14:textId="77777777" w:rsidR="000000D1" w:rsidRPr="000000D1" w:rsidRDefault="000000D1" w:rsidP="000000D1">
      <w:pPr>
        <w:pBdr>
          <w:bottom w:val="single" w:sz="4" w:space="0" w:color="auto"/>
        </w:pBdr>
        <w:rPr>
          <w:rFonts w:eastAsia="Calibri" w:cs="Times New Roman"/>
        </w:rPr>
      </w:pPr>
    </w:p>
    <w:p w14:paraId="41166872"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31" w:name="_Toc198480792"/>
      <w:r w:rsidRPr="000000D1">
        <w:rPr>
          <w:rFonts w:ascii="Californian FB" w:eastAsia="Times New Roman" w:hAnsi="Californian FB" w:cs="Times New Roman"/>
          <w:b/>
          <w:color w:val="851C00"/>
          <w:sz w:val="24"/>
          <w:szCs w:val="24"/>
          <w:u w:val="single"/>
        </w:rPr>
        <w:t>New Jersey</w:t>
      </w:r>
      <w:bookmarkEnd w:id="131"/>
    </w:p>
    <w:p w14:paraId="13B1C2CC" w14:textId="77777777" w:rsidR="000000D1" w:rsidRPr="000000D1" w:rsidRDefault="000000D1" w:rsidP="000000D1">
      <w:pPr>
        <w:ind w:left="720"/>
        <w:contextualSpacing/>
        <w:rPr>
          <w:rFonts w:eastAsia="Calibri" w:cs="Times New Roman"/>
        </w:rPr>
      </w:pPr>
      <w:r w:rsidRPr="000000D1">
        <w:rPr>
          <w:rFonts w:eastAsia="Calibri" w:cs="Times New Roman"/>
        </w:rPr>
        <w:t xml:space="preserve">N.J. Admin. Code § 18:35-1.3(d)(6) </w:t>
      </w:r>
    </w:p>
    <w:p w14:paraId="258AB65F" w14:textId="77777777" w:rsidR="000000D1" w:rsidRPr="000000D1" w:rsidRDefault="000000D1" w:rsidP="000000D1">
      <w:pPr>
        <w:ind w:left="720"/>
        <w:contextualSpacing/>
        <w:rPr>
          <w:rFonts w:eastAsia="Calibri" w:cs="Times New Roman"/>
        </w:rPr>
      </w:pPr>
    </w:p>
    <w:p w14:paraId="55831F12" w14:textId="77777777" w:rsidR="000000D1" w:rsidRPr="000000D1" w:rsidRDefault="000000D1" w:rsidP="000000D1">
      <w:pPr>
        <w:ind w:left="1440"/>
        <w:rPr>
          <w:rFonts w:eastAsia="Calibri" w:cs="Times New Roman"/>
        </w:rPr>
      </w:pPr>
      <w:r w:rsidRPr="000000D1">
        <w:rPr>
          <w:rFonts w:eastAsia="Calibri" w:cs="Times New Roman"/>
        </w:rPr>
        <w:t>A tiered partnership shall take into account its distributive share of partnership income from any partnership of which it is a member. Once income has been allocated by a partnership, it shall not be reallocated by the partners.</w:t>
      </w:r>
    </w:p>
    <w:p w14:paraId="224BD719" w14:textId="77777777" w:rsidR="000000D1" w:rsidRPr="000000D1" w:rsidRDefault="000000D1" w:rsidP="000000D1">
      <w:pPr>
        <w:ind w:left="720"/>
        <w:contextualSpacing/>
        <w:rPr>
          <w:rFonts w:eastAsia="Calibri" w:cs="Times New Roman"/>
        </w:rPr>
      </w:pPr>
      <w:r w:rsidRPr="000000D1">
        <w:rPr>
          <w:rFonts w:eastAsia="Calibri" w:cs="Times New Roman"/>
        </w:rPr>
        <w:t xml:space="preserve">N.J. Admin. Code § 18:7-7.6 </w:t>
      </w:r>
    </w:p>
    <w:p w14:paraId="5287A097" w14:textId="77777777" w:rsidR="000000D1" w:rsidRPr="000000D1" w:rsidRDefault="000000D1" w:rsidP="000000D1">
      <w:pPr>
        <w:contextualSpacing/>
        <w:rPr>
          <w:rFonts w:eastAsia="Calibri" w:cs="Times New Roman"/>
        </w:rPr>
      </w:pPr>
    </w:p>
    <w:p w14:paraId="382897C6" w14:textId="77777777" w:rsidR="000000D1" w:rsidRPr="000000D1" w:rsidRDefault="000000D1" w:rsidP="000000D1">
      <w:pPr>
        <w:ind w:left="1440"/>
        <w:rPr>
          <w:rFonts w:eastAsia="Calibri" w:cs="Times New Roman"/>
        </w:rPr>
      </w:pPr>
      <w:r w:rsidRPr="000000D1">
        <w:rPr>
          <w:rFonts w:eastAsia="Calibri" w:cs="Times New Roman"/>
        </w:rPr>
        <w:t>(g) For purposes of apportionment (allocation) of corporate income, where the subject corporation and the partnership are not part of a single unitary business, including a business carried on directly by the foreign corporate partner, separate accounting apportionment should be used to arrive at corporate income. If the New Jersey business of the partnership is part of a single unitary business including a business carried on directly by the foreign corporate partner, flow through accounting apportionment should be used with respect to the incomes of the two entities.</w:t>
      </w:r>
    </w:p>
    <w:p w14:paraId="08535562" w14:textId="77777777" w:rsidR="000000D1" w:rsidRPr="000000D1" w:rsidRDefault="000000D1" w:rsidP="000000D1">
      <w:pPr>
        <w:ind w:left="1440"/>
        <w:rPr>
          <w:rFonts w:eastAsia="Calibri" w:cs="Times New Roman"/>
        </w:rPr>
      </w:pPr>
      <w:r w:rsidRPr="000000D1">
        <w:rPr>
          <w:rFonts w:eastAsia="Calibri" w:cs="Times New Roman"/>
        </w:rPr>
        <w:t>(1) Separate accounting apportionment, for purposes of this subsection only, means use of the following method: The corporation's distributive share of the partnership's business income would be apportioned to New Jersey by computing the applicable N.J.S.A. 54:10A-6 apportionment factor for that business by only taking into account the corporate partner's share of the receipts of the business that the partnership carries on directly. Second, the corporation's entire net income, excluding its distributive share of the partnership's income is apportioned to New Jersey by computing the applicable N.J.S.A. 54:10A-6 apportionment factor for that business by only taking into account the receipts (excluding receipts from the partnership namely, receipts from intercompany transactions) of the business that the corporation carries on directly. Third, these two amounts would be added together to arrive at the corporation's entire net income apportioned to New Jersey.</w:t>
      </w:r>
    </w:p>
    <w:p w14:paraId="7FFF4AE4" w14:textId="77777777" w:rsidR="000000D1" w:rsidRPr="000000D1" w:rsidRDefault="000000D1" w:rsidP="000000D1">
      <w:pPr>
        <w:ind w:left="1440"/>
        <w:rPr>
          <w:rFonts w:eastAsia="Calibri" w:cs="Times New Roman"/>
        </w:rPr>
      </w:pPr>
      <w:r w:rsidRPr="000000D1">
        <w:rPr>
          <w:rFonts w:eastAsia="Calibri" w:cs="Times New Roman"/>
        </w:rPr>
        <w:t>(2) “Flow through accounting apportionment,” for the purpose of this section only, means use of the following method: Taxpayer shall separately compute the receipts fractions attributable to the partnership activity. The taxpayer next computes the receipts fractions attributable to the corporate activity. An allocation factor combining the factors of the corporation and the partnership is then applied to the corporation's entire net income including its distributive share of the partnership's income.</w:t>
      </w:r>
    </w:p>
    <w:p w14:paraId="7FE9192A" w14:textId="77777777" w:rsidR="000000D1" w:rsidRPr="000000D1" w:rsidRDefault="000000D1" w:rsidP="000000D1">
      <w:pPr>
        <w:ind w:left="1440"/>
        <w:rPr>
          <w:rFonts w:eastAsia="Calibri" w:cs="Times New Roman"/>
        </w:rPr>
      </w:pPr>
      <w:r w:rsidRPr="000000D1">
        <w:rPr>
          <w:rFonts w:eastAsia="Calibri" w:cs="Times New Roman"/>
        </w:rPr>
        <w:t>(3) Facts that either singly or in combination may suggest that the corporation and partnership are part of a unitary business and hence that a flow through approach may be appropriate include, without limitation thereto:</w:t>
      </w:r>
    </w:p>
    <w:p w14:paraId="2C7768B4" w14:textId="77777777" w:rsidR="000000D1" w:rsidRPr="000000D1" w:rsidRDefault="000000D1" w:rsidP="000000D1">
      <w:pPr>
        <w:ind w:left="1440"/>
        <w:rPr>
          <w:rFonts w:eastAsia="Calibri" w:cs="Times New Roman"/>
        </w:rPr>
      </w:pPr>
      <w:r w:rsidRPr="000000D1">
        <w:rPr>
          <w:rFonts w:eastAsia="Calibri" w:cs="Times New Roman"/>
        </w:rPr>
        <w:t>i. Substantial intercompany-partnership transactions;</w:t>
      </w:r>
    </w:p>
    <w:p w14:paraId="7BF89263" w14:textId="77777777" w:rsidR="000000D1" w:rsidRPr="000000D1" w:rsidRDefault="000000D1" w:rsidP="000000D1">
      <w:pPr>
        <w:ind w:left="1440"/>
        <w:rPr>
          <w:rFonts w:eastAsia="Calibri" w:cs="Times New Roman"/>
        </w:rPr>
      </w:pPr>
      <w:r w:rsidRPr="000000D1">
        <w:rPr>
          <w:rFonts w:eastAsia="Calibri" w:cs="Times New Roman"/>
        </w:rPr>
        <w:t>ii. The partnership interest is the only or the most substantial asset of the corporation;</w:t>
      </w:r>
    </w:p>
    <w:p w14:paraId="0A14C75F" w14:textId="77777777" w:rsidR="000000D1" w:rsidRPr="000000D1" w:rsidRDefault="000000D1" w:rsidP="000000D1">
      <w:pPr>
        <w:ind w:left="1440"/>
        <w:rPr>
          <w:rFonts w:eastAsia="Calibri" w:cs="Times New Roman"/>
        </w:rPr>
      </w:pPr>
      <w:r w:rsidRPr="000000D1">
        <w:rPr>
          <w:rFonts w:eastAsia="Calibri" w:cs="Times New Roman"/>
        </w:rPr>
        <w:t>iii. The partnership interest produces all or most of the income of the corporation;</w:t>
      </w:r>
    </w:p>
    <w:p w14:paraId="5A312E19" w14:textId="77777777" w:rsidR="000000D1" w:rsidRPr="000000D1" w:rsidRDefault="000000D1" w:rsidP="000000D1">
      <w:pPr>
        <w:ind w:left="1440"/>
        <w:rPr>
          <w:rFonts w:eastAsia="Calibri" w:cs="Times New Roman"/>
        </w:rPr>
      </w:pPr>
      <w:r w:rsidRPr="000000D1">
        <w:rPr>
          <w:rFonts w:eastAsia="Calibri" w:cs="Times New Roman"/>
        </w:rPr>
        <w:t>iv. The corporation and the partnership are in the same line of business;</w:t>
      </w:r>
    </w:p>
    <w:p w14:paraId="2BC263D4" w14:textId="77777777" w:rsidR="000000D1" w:rsidRPr="000000D1" w:rsidRDefault="000000D1" w:rsidP="000000D1">
      <w:pPr>
        <w:ind w:left="1440"/>
        <w:rPr>
          <w:rFonts w:eastAsia="Calibri" w:cs="Times New Roman"/>
        </w:rPr>
      </w:pPr>
      <w:r w:rsidRPr="000000D1">
        <w:rPr>
          <w:rFonts w:eastAsia="Calibri" w:cs="Times New Roman"/>
        </w:rPr>
        <w:t>v. There is substantial overlapping of employees and offices; and/or</w:t>
      </w:r>
    </w:p>
    <w:p w14:paraId="5B7C8153" w14:textId="77777777" w:rsidR="000000D1" w:rsidRPr="000000D1" w:rsidRDefault="000000D1" w:rsidP="000000D1">
      <w:pPr>
        <w:ind w:left="1440"/>
        <w:rPr>
          <w:rFonts w:eastAsia="Calibri" w:cs="Times New Roman"/>
        </w:rPr>
      </w:pPr>
      <w:r w:rsidRPr="000000D1">
        <w:rPr>
          <w:rFonts w:eastAsia="Calibri" w:cs="Times New Roman"/>
        </w:rPr>
        <w:t>vi. There is sharing of operational facilities, technology, and/or know-how.</w:t>
      </w:r>
    </w:p>
    <w:p w14:paraId="527A27AA" w14:textId="77777777" w:rsidR="000000D1" w:rsidRPr="000000D1" w:rsidRDefault="000000D1" w:rsidP="00366E17">
      <w:pPr>
        <w:numPr>
          <w:ilvl w:val="0"/>
          <w:numId w:val="21"/>
        </w:numPr>
        <w:contextualSpacing/>
        <w:rPr>
          <w:rFonts w:eastAsia="Calibri" w:cs="Times New Roman"/>
        </w:rPr>
      </w:pPr>
      <w:r w:rsidRPr="000000D1">
        <w:rPr>
          <w:rFonts w:eastAsia="Calibri" w:cs="Times New Roman"/>
        </w:rPr>
        <w:t>For further information about combined returns and unitary businesses, see N.J.A.C. 18:7-21.</w:t>
      </w:r>
    </w:p>
    <w:p w14:paraId="33508EC8" w14:textId="77777777" w:rsidR="000000D1" w:rsidRPr="000000D1" w:rsidRDefault="000000D1" w:rsidP="000000D1">
      <w:pPr>
        <w:ind w:left="1440"/>
        <w:rPr>
          <w:rFonts w:eastAsia="Calibri" w:cs="Times New Roman"/>
        </w:rPr>
      </w:pPr>
      <w:r w:rsidRPr="000000D1">
        <w:rPr>
          <w:rFonts w:eastAsia="Calibri" w:cs="Times New Roman"/>
        </w:rPr>
        <w:lastRenderedPageBreak/>
        <w:t>(h) The accounting methods described at (g) above are also applied to domestic corporate partners. If a domestic corporation is a partner in a foreign partnership that does not conduct business in New Jersey, and the corporation's own business and that of the partnership are not unitary, then the corporation's income from the partnership shall not be included in the corporation's tax base, and the partnership's receipts, payroll, and property shall not be considered in determining the apportionment factor to apply to the corporation's income from its own business. If, however, the two businesses are unitary, then the flow through method should be used in apportioning the corporation's income. For further information about combined returns and unitary businesses, see N.J.A.C. 18:7-21 .</w:t>
      </w:r>
    </w:p>
    <w:p w14:paraId="34826952" w14:textId="77777777" w:rsidR="000000D1" w:rsidRPr="000000D1" w:rsidRDefault="000000D1" w:rsidP="000000D1">
      <w:pPr>
        <w:ind w:left="1440"/>
        <w:rPr>
          <w:rFonts w:eastAsia="Calibri" w:cs="Times New Roman"/>
        </w:rPr>
      </w:pPr>
      <w:r w:rsidRPr="000000D1">
        <w:rPr>
          <w:rFonts w:eastAsia="Calibri" w:cs="Times New Roman"/>
        </w:rPr>
        <w:t>(1) Solely for purposes of this section, each regular place of business of a partnership that is unitary with a corporate partner is to be treated as a regular place of business of the corporate partner. Relief pursuant to N.J.A.C. 18:7-8.3 is permitted to domestic partners with respect to partnership income duplicated on a return of a domestic corporate partner filed with another state. By virtue of its subjectivity under the Corporation Business Tax Act, a corporate partner may seek relief under N.J.S.A. 54:10A-8 if the taxpayer believes that tax computed does not result in a fair apportionment.</w:t>
      </w:r>
    </w:p>
    <w:p w14:paraId="0A0F4064" w14:textId="77777777" w:rsidR="000000D1" w:rsidRPr="000000D1" w:rsidRDefault="000000D1" w:rsidP="000000D1">
      <w:pPr>
        <w:ind w:left="1440"/>
        <w:rPr>
          <w:rFonts w:eastAsia="Calibri" w:cs="Times New Roman"/>
        </w:rPr>
      </w:pPr>
      <w:r w:rsidRPr="000000D1">
        <w:rPr>
          <w:rFonts w:eastAsia="Calibri" w:cs="Times New Roman"/>
        </w:rPr>
        <w:t>(i) A “tiered partnership,” for the purposes of this section, is a partnership whose partners are partnerships. A corporation that is a partner in a partnership that in turn is a partner in yet another partnership is not immune from New Jersey taxation simply because of the tiered partnership. The ultimate tax burden and loss benefit falls on the corporate partner. The corporation shall file a New Jersey corporation business tax return taking account of its ultimate distributive share of the tiered partnership's income or loss from New Jersey activities.</w:t>
      </w:r>
    </w:p>
    <w:p w14:paraId="0625E864" w14:textId="77777777" w:rsidR="000000D1" w:rsidRPr="000000D1" w:rsidRDefault="000000D1" w:rsidP="000000D1">
      <w:pPr>
        <w:ind w:left="1440"/>
        <w:rPr>
          <w:rFonts w:eastAsia="Calibri" w:cs="Times New Roman"/>
        </w:rPr>
      </w:pPr>
      <w:r w:rsidRPr="000000D1">
        <w:rPr>
          <w:rFonts w:eastAsia="Calibri" w:cs="Times New Roman"/>
        </w:rPr>
        <w:t>(j) The classification of partnership items of income, expense, or loss as operational or nonoperational is to be determined in accordance with N.J.S.A. 54:10A-6.1. Whether or not a partnership is unitary or nonunitary with its corporate partner is a different issue from the issue of taxability of operational or nonoperational income or the deductibility of operational or nonoperational expenses or losses.</w:t>
      </w:r>
    </w:p>
    <w:p w14:paraId="7750F04F" w14:textId="77777777" w:rsidR="000000D1" w:rsidRPr="000000D1" w:rsidRDefault="000000D1" w:rsidP="000000D1">
      <w:pPr>
        <w:ind w:left="720"/>
        <w:contextualSpacing/>
        <w:rPr>
          <w:rFonts w:eastAsia="Calibri" w:cs="Times New Roman"/>
        </w:rPr>
      </w:pPr>
    </w:p>
    <w:p w14:paraId="771FF870" w14:textId="77777777" w:rsidR="000000D1" w:rsidRPr="000000D1" w:rsidRDefault="000000D1" w:rsidP="000000D1">
      <w:pPr>
        <w:ind w:left="720"/>
        <w:contextualSpacing/>
        <w:rPr>
          <w:rFonts w:eastAsia="Calibri" w:cs="Times New Roman"/>
          <w:i/>
          <w:iCs/>
        </w:rPr>
      </w:pPr>
      <w:r w:rsidRPr="000000D1">
        <w:rPr>
          <w:rFonts w:eastAsia="Calibri" w:cs="Times New Roman"/>
        </w:rPr>
        <w:t xml:space="preserve">New Jersey Technical Bulletin 112(R) (May 3, 2024) </w:t>
      </w:r>
      <w:r w:rsidRPr="000000D1">
        <w:rPr>
          <w:rFonts w:eastAsia="Calibri" w:cs="Times New Roman"/>
          <w:i/>
          <w:iCs/>
        </w:rPr>
        <w:t>Sourcing</w:t>
      </w:r>
    </w:p>
    <w:p w14:paraId="208AD6B4" w14:textId="77777777" w:rsidR="000000D1" w:rsidRPr="000000D1" w:rsidRDefault="000000D1" w:rsidP="000000D1">
      <w:pPr>
        <w:ind w:left="720"/>
        <w:contextualSpacing/>
        <w:rPr>
          <w:rFonts w:eastAsia="Calibri" w:cs="Times New Roman"/>
          <w:i/>
          <w:iCs/>
        </w:rPr>
      </w:pPr>
    </w:p>
    <w:p w14:paraId="095B6E2B" w14:textId="77777777" w:rsidR="000000D1" w:rsidRPr="000000D1" w:rsidRDefault="000000D1" w:rsidP="000000D1">
      <w:pPr>
        <w:ind w:left="720"/>
        <w:contextualSpacing/>
        <w:rPr>
          <w:rFonts w:eastAsia="Calibri" w:cs="Times New Roman"/>
          <w:b/>
          <w:bCs/>
        </w:rPr>
      </w:pPr>
      <w:r w:rsidRPr="000000D1">
        <w:rPr>
          <w:rFonts w:eastAsia="Calibri" w:cs="Times New Roman"/>
          <w:i/>
          <w:iCs/>
        </w:rPr>
        <w:tab/>
      </w:r>
      <w:r w:rsidRPr="000000D1">
        <w:rPr>
          <w:rFonts w:eastAsia="Calibri" w:cs="Times New Roman"/>
          <w:b/>
          <w:bCs/>
        </w:rPr>
        <w:t>Tiered Partnerships</w:t>
      </w:r>
    </w:p>
    <w:p w14:paraId="139E12A2" w14:textId="77777777" w:rsidR="000000D1" w:rsidRPr="000000D1" w:rsidRDefault="000000D1" w:rsidP="000000D1">
      <w:pPr>
        <w:ind w:left="720"/>
        <w:contextualSpacing/>
        <w:rPr>
          <w:rFonts w:eastAsia="Calibri" w:cs="Times New Roman"/>
        </w:rPr>
      </w:pPr>
    </w:p>
    <w:p w14:paraId="323D8E5E" w14:textId="77777777" w:rsidR="000000D1" w:rsidRPr="000000D1" w:rsidRDefault="000000D1" w:rsidP="000000D1">
      <w:pPr>
        <w:ind w:left="1440"/>
        <w:contextualSpacing/>
        <w:rPr>
          <w:rFonts w:eastAsia="Calibri" w:cs="Times New Roman"/>
        </w:rPr>
      </w:pPr>
      <w:r w:rsidRPr="000000D1">
        <w:rPr>
          <w:rFonts w:eastAsia="Calibri" w:cs="Times New Roman"/>
        </w:rPr>
        <w:t>A tiered partnership in which the lower-tiered partnership is unitary with the upper-tiered partnership (as outlined in N.J.A.C. 18:7-21.2) must use the flow-through method of accounting and sourcing for unitary partnerships as described in N.J.A.C. 18:7-7.6. For a unitary relationship to exist, there must be common ownership between the entities whereby the ownership in the entities, directly or indirectly, is more than a 50% ownership interest. A tiered partnership that is a nonunitary business uses the separate method of accounting and sourcing for nonunitary partnerships as described in N.J.A.C. 18:7-7.6.</w:t>
      </w:r>
    </w:p>
    <w:p w14:paraId="7E8B8ADB" w14:textId="77777777" w:rsidR="000000D1" w:rsidRPr="000000D1" w:rsidRDefault="000000D1" w:rsidP="000000D1">
      <w:pPr>
        <w:pBdr>
          <w:bottom w:val="single" w:sz="4" w:space="0" w:color="auto"/>
        </w:pBdr>
        <w:rPr>
          <w:rFonts w:eastAsia="Calibri" w:cs="Times New Roman"/>
        </w:rPr>
      </w:pPr>
    </w:p>
    <w:p w14:paraId="4A5AE42D"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32" w:name="_Toc198480793"/>
      <w:r w:rsidRPr="000000D1">
        <w:rPr>
          <w:rFonts w:ascii="Californian FB" w:eastAsia="Times New Roman" w:hAnsi="Californian FB" w:cs="Times New Roman"/>
          <w:b/>
          <w:color w:val="851C00"/>
          <w:sz w:val="24"/>
          <w:szCs w:val="24"/>
          <w:u w:val="single"/>
        </w:rPr>
        <w:t>New Mexico</w:t>
      </w:r>
      <w:bookmarkEnd w:id="132"/>
    </w:p>
    <w:p w14:paraId="1BF06C7D" w14:textId="77777777" w:rsidR="000000D1" w:rsidRPr="000000D1" w:rsidRDefault="000000D1" w:rsidP="000000D1">
      <w:pPr>
        <w:ind w:left="720"/>
        <w:contextualSpacing/>
        <w:rPr>
          <w:rFonts w:eastAsia="Calibri" w:cs="Times New Roman"/>
        </w:rPr>
      </w:pPr>
      <w:r w:rsidRPr="000000D1">
        <w:rPr>
          <w:rFonts w:eastAsia="Calibri" w:cs="Times New Roman"/>
        </w:rPr>
        <w:t xml:space="preserve">NMSA 1978 § 7-4-10(a) </w:t>
      </w:r>
    </w:p>
    <w:p w14:paraId="717EBE97" w14:textId="77777777" w:rsidR="000000D1" w:rsidRPr="000000D1" w:rsidRDefault="000000D1" w:rsidP="000000D1">
      <w:pPr>
        <w:contextualSpacing/>
        <w:rPr>
          <w:rFonts w:eastAsia="Calibri" w:cs="Times New Roman"/>
        </w:rPr>
      </w:pPr>
    </w:p>
    <w:p w14:paraId="26629620" w14:textId="77777777" w:rsidR="000000D1" w:rsidRPr="000000D1" w:rsidRDefault="000000D1" w:rsidP="000000D1">
      <w:pPr>
        <w:ind w:left="1440"/>
        <w:rPr>
          <w:rFonts w:eastAsia="Calibri" w:cs="Times New Roman"/>
        </w:rPr>
      </w:pPr>
      <w:r w:rsidRPr="000000D1">
        <w:rPr>
          <w:rFonts w:eastAsia="Calibri" w:cs="Times New Roman"/>
        </w:rPr>
        <w:t>Except as provided in Subsections B and C of this section, all business income shall be apportioned to this state by multiplying the income by a fraction, the numerator of which is the property factor plus the payroll factor plus the sales factor and the denominator of which is three.</w:t>
      </w:r>
    </w:p>
    <w:p w14:paraId="2F26196D" w14:textId="77777777" w:rsidR="000000D1" w:rsidRPr="000000D1" w:rsidRDefault="000000D1" w:rsidP="000000D1">
      <w:pPr>
        <w:ind w:left="720"/>
        <w:contextualSpacing/>
        <w:rPr>
          <w:rFonts w:eastAsia="Calibri" w:cs="Times New Roman"/>
        </w:rPr>
      </w:pPr>
      <w:r w:rsidRPr="000000D1">
        <w:rPr>
          <w:rFonts w:eastAsia="Calibri" w:cs="Times New Roman"/>
        </w:rPr>
        <w:lastRenderedPageBreak/>
        <w:t xml:space="preserve">N.M. Code R. § 3.3.11.12 </w:t>
      </w:r>
    </w:p>
    <w:p w14:paraId="63AA2F3B" w14:textId="77777777" w:rsidR="000000D1" w:rsidRPr="000000D1" w:rsidRDefault="000000D1" w:rsidP="000000D1">
      <w:pPr>
        <w:contextualSpacing/>
        <w:rPr>
          <w:rFonts w:eastAsia="Calibri" w:cs="Times New Roman"/>
        </w:rPr>
      </w:pPr>
    </w:p>
    <w:p w14:paraId="12E2D2F6" w14:textId="77777777" w:rsidR="000000D1" w:rsidRPr="000000D1" w:rsidRDefault="000000D1" w:rsidP="000000D1">
      <w:pPr>
        <w:ind w:left="1440"/>
        <w:contextualSpacing/>
        <w:rPr>
          <w:rFonts w:eastAsia="Calibri" w:cs="Times New Roman"/>
        </w:rPr>
      </w:pPr>
      <w:r w:rsidRPr="000000D1">
        <w:rPr>
          <w:rFonts w:eastAsia="Calibri" w:cs="Times New Roman"/>
        </w:rPr>
        <w:t>B. A taxpayer's distributive share of nonbusiness and business income shall be allocated and apportioned in accordance with this section (3.3.11.12 NMAC) to determine the portion of the distributive share of income taxable under the New Mexico Income Tax Act unless the taxpayer is qualified to elect, and has elected, to report the income in accordance with 3.3.11.8 NMAC . . .</w:t>
      </w:r>
    </w:p>
    <w:p w14:paraId="22C3E9C1" w14:textId="77777777" w:rsidR="000000D1" w:rsidRPr="000000D1" w:rsidRDefault="000000D1" w:rsidP="000000D1">
      <w:pPr>
        <w:ind w:left="1440"/>
        <w:contextualSpacing/>
        <w:rPr>
          <w:rFonts w:eastAsia="Calibri" w:cs="Times New Roman"/>
        </w:rPr>
      </w:pPr>
    </w:p>
    <w:p w14:paraId="50EB6867" w14:textId="77777777" w:rsidR="000000D1" w:rsidRPr="000000D1" w:rsidRDefault="000000D1" w:rsidP="000000D1">
      <w:pPr>
        <w:ind w:left="1440"/>
        <w:contextualSpacing/>
        <w:rPr>
          <w:rFonts w:eastAsia="Calibri" w:cs="Times New Roman"/>
        </w:rPr>
      </w:pPr>
      <w:r w:rsidRPr="000000D1">
        <w:rPr>
          <w:rFonts w:eastAsia="Calibri" w:cs="Times New Roman"/>
        </w:rPr>
        <w:t>D. The taxpayer shall apportion the taxpayer's distributive share of the unincorporated business entity's business income to New Mexico by multiplying the taxpayer's distributive share times the New Mexico apportionment percentage determined by application of the Uniform Division of Income for Tax Purposes Act to the entire business income of the unincorporated business entity. If the unincorporated business entity fails to provide the taxpayer with the necessary New Mexico apportionment percentage or information sufficient to enable the taxpayer to calculate the percentage, the taxpayer shall apportion the taxpayer's entire distributive share of business income as if all of the entity's activities, property, payroll and sales were in New Mexico.</w:t>
      </w:r>
    </w:p>
    <w:p w14:paraId="721128B5" w14:textId="77777777" w:rsidR="000000D1" w:rsidRPr="000000D1" w:rsidRDefault="000000D1" w:rsidP="000000D1">
      <w:pPr>
        <w:pBdr>
          <w:bottom w:val="single" w:sz="4" w:space="0" w:color="auto"/>
        </w:pBdr>
        <w:rPr>
          <w:rFonts w:eastAsia="Calibri" w:cs="Times New Roman"/>
        </w:rPr>
      </w:pPr>
    </w:p>
    <w:p w14:paraId="17539A2C"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33" w:name="_Toc198480794"/>
      <w:r w:rsidRPr="000000D1">
        <w:rPr>
          <w:rFonts w:ascii="Californian FB" w:eastAsia="Times New Roman" w:hAnsi="Californian FB" w:cs="Times New Roman"/>
          <w:b/>
          <w:color w:val="851C00"/>
          <w:sz w:val="24"/>
          <w:szCs w:val="24"/>
          <w:u w:val="single"/>
        </w:rPr>
        <w:t>New York</w:t>
      </w:r>
      <w:bookmarkEnd w:id="133"/>
    </w:p>
    <w:p w14:paraId="7D4E4B8B" w14:textId="77777777" w:rsidR="000000D1" w:rsidRPr="000000D1" w:rsidRDefault="000000D1" w:rsidP="000000D1">
      <w:pPr>
        <w:ind w:left="720"/>
        <w:contextualSpacing/>
        <w:rPr>
          <w:rFonts w:eastAsia="Calibri" w:cs="Times New Roman"/>
        </w:rPr>
      </w:pPr>
      <w:r w:rsidRPr="000000D1">
        <w:rPr>
          <w:rFonts w:eastAsia="Calibri" w:cs="Times New Roman"/>
        </w:rPr>
        <w:t xml:space="preserve">N.Y. Tax Law § 210(3) </w:t>
      </w:r>
    </w:p>
    <w:p w14:paraId="3FB5113A" w14:textId="77777777" w:rsidR="000000D1" w:rsidRPr="000000D1" w:rsidRDefault="000000D1" w:rsidP="000000D1">
      <w:pPr>
        <w:ind w:left="720"/>
        <w:contextualSpacing/>
        <w:rPr>
          <w:rFonts w:eastAsia="Calibri" w:cs="Times New Roman"/>
        </w:rPr>
      </w:pPr>
    </w:p>
    <w:p w14:paraId="2062B01E" w14:textId="77777777" w:rsidR="000000D1" w:rsidRPr="000000D1" w:rsidRDefault="000000D1" w:rsidP="000000D1">
      <w:pPr>
        <w:ind w:left="1440"/>
        <w:contextualSpacing/>
        <w:rPr>
          <w:rFonts w:eastAsia="Calibri" w:cs="Times New Roman"/>
        </w:rPr>
      </w:pPr>
      <w:r w:rsidRPr="000000D1">
        <w:rPr>
          <w:rFonts w:eastAsia="Calibri" w:cs="Times New Roman"/>
        </w:rPr>
        <w:t>A corporation that is a partner in a partnership shall compute tax under this article using the aggregate method as defined in the regulations of the commissioner, unless another method for computing such tax is required or allowed by such regulations. Under the aggregate method, a corporation that is a partner in a partnership is viewed as having an undivided interest in the partnership's assets, liabilities, and items of receipts, income, gain, loss and deduction. Under the aggregate method, the corporation that is a partner in a partnership is treated as participating in the partnership's transactions and activities.</w:t>
      </w:r>
    </w:p>
    <w:p w14:paraId="050B44C5" w14:textId="77777777" w:rsidR="000000D1" w:rsidRPr="000000D1" w:rsidRDefault="000000D1" w:rsidP="000000D1">
      <w:pPr>
        <w:ind w:left="720"/>
        <w:contextualSpacing/>
        <w:rPr>
          <w:rFonts w:eastAsia="Calibri" w:cs="Times New Roman"/>
        </w:rPr>
      </w:pPr>
    </w:p>
    <w:p w14:paraId="1C59F330" w14:textId="77777777" w:rsidR="000000D1" w:rsidRPr="000000D1" w:rsidRDefault="000000D1" w:rsidP="000000D1">
      <w:pPr>
        <w:ind w:left="720"/>
        <w:contextualSpacing/>
        <w:rPr>
          <w:rFonts w:eastAsia="Calibri" w:cs="Times New Roman"/>
          <w:i/>
          <w:iCs/>
        </w:rPr>
      </w:pPr>
      <w:r w:rsidRPr="000000D1">
        <w:rPr>
          <w:rFonts w:eastAsia="Calibri" w:cs="Times New Roman"/>
        </w:rPr>
        <w:t xml:space="preserve">N.Y. Comp. Codes R. &amp; Regs. tit. 20, § 9-2.3 </w:t>
      </w:r>
    </w:p>
    <w:p w14:paraId="41D34610" w14:textId="77777777" w:rsidR="000000D1" w:rsidRPr="000000D1" w:rsidRDefault="000000D1" w:rsidP="000000D1">
      <w:pPr>
        <w:ind w:left="720"/>
        <w:contextualSpacing/>
        <w:rPr>
          <w:rFonts w:eastAsia="Calibri" w:cs="Times New Roman"/>
        </w:rPr>
      </w:pPr>
    </w:p>
    <w:p w14:paraId="6133B48B" w14:textId="77777777" w:rsidR="000000D1" w:rsidRPr="000000D1" w:rsidRDefault="000000D1" w:rsidP="000000D1">
      <w:pPr>
        <w:ind w:left="1440"/>
        <w:contextualSpacing/>
        <w:rPr>
          <w:rFonts w:eastAsia="Calibri" w:cs="Times New Roman"/>
        </w:rPr>
      </w:pPr>
      <w:r w:rsidRPr="000000D1">
        <w:rPr>
          <w:rFonts w:eastAsia="Calibri" w:cs="Times New Roman"/>
        </w:rPr>
        <w:t>(a)(1) Under the aggregate method, the corporation's distributive share (see IRC section 704) of each partnership item of receipts, income, gain, loss, and deduction and the corporation's proportionate part of each partnership asset and liability and each partnership activity are included in the computation of the corporation's business income base, capital base, and the fixed dollar minimum tax and will have the same source and character in the hands of the corporate partner for article 9-A purposes as such item has in the hands of the partnership for Federal income tax purposes. Where an item, amount or activity of the partnership is not characterized for Federal income tax purposes or is not required to be taken into account for Federal income tax purposes, the source and character of each item, amount or activity of the partnership will be determined as if such item, amount or activity realized, incurred or experienced by the partnership were realized, incurred or experienced directly by the corporate partner . . .</w:t>
      </w:r>
    </w:p>
    <w:p w14:paraId="17A22572" w14:textId="77777777" w:rsidR="000000D1" w:rsidRPr="000000D1" w:rsidRDefault="000000D1" w:rsidP="000000D1">
      <w:pPr>
        <w:ind w:left="1440"/>
        <w:contextualSpacing/>
        <w:rPr>
          <w:rFonts w:eastAsia="Calibri" w:cs="Times New Roman"/>
        </w:rPr>
      </w:pPr>
    </w:p>
    <w:p w14:paraId="42833DF0" w14:textId="77777777" w:rsidR="000000D1" w:rsidRPr="000000D1" w:rsidRDefault="000000D1" w:rsidP="000000D1">
      <w:pPr>
        <w:ind w:left="1440"/>
        <w:contextualSpacing/>
        <w:rPr>
          <w:rFonts w:eastAsia="Calibri" w:cs="Times New Roman"/>
        </w:rPr>
      </w:pPr>
      <w:r w:rsidRPr="000000D1">
        <w:rPr>
          <w:rFonts w:eastAsia="Calibri" w:cs="Times New Roman"/>
        </w:rPr>
        <w:t>(a)(4) Where a corporation is a partner in an upper tier partnership that is a partner in a lower tier partnership, the source and character of such corporation's distributive share or proportionate part, as the case may be, of each partnership item of receipts, income, gain, loss, deduction, asset, liability, and activity of the upper tier partnership that is attributable to the lower tier partnership retains the source and character determined at the level of the lower tier partnership. Such source and character are not changed by reason of the fact that such item flows through the upper tier partnership to such partner . . .</w:t>
      </w:r>
    </w:p>
    <w:p w14:paraId="3FEBEA84" w14:textId="77777777" w:rsidR="000000D1" w:rsidRPr="000000D1" w:rsidRDefault="000000D1" w:rsidP="000000D1">
      <w:pPr>
        <w:ind w:left="1440"/>
        <w:contextualSpacing/>
        <w:rPr>
          <w:rFonts w:eastAsia="Calibri" w:cs="Times New Roman"/>
        </w:rPr>
      </w:pPr>
    </w:p>
    <w:p w14:paraId="5890AAFC" w14:textId="77777777" w:rsidR="000000D1" w:rsidRPr="000000D1" w:rsidRDefault="000000D1" w:rsidP="000000D1">
      <w:pPr>
        <w:ind w:left="1440"/>
        <w:contextualSpacing/>
        <w:rPr>
          <w:rFonts w:eastAsia="Calibri" w:cs="Times New Roman"/>
        </w:rPr>
      </w:pPr>
      <w:r w:rsidRPr="000000D1">
        <w:rPr>
          <w:rFonts w:eastAsia="Calibri" w:cs="Times New Roman"/>
        </w:rPr>
        <w:lastRenderedPageBreak/>
        <w:t xml:space="preserve">(b) Business income base. The corporation's distributive share of each partnership item of income, gain, loss, and deduction must be taken into account in the computation of entire net income and the business income base. These amounts must be taken into account in determining the corporation's business income, investment income, and other exempt income. </w:t>
      </w:r>
    </w:p>
    <w:p w14:paraId="40FC6801" w14:textId="77777777" w:rsidR="000000D1" w:rsidRPr="000000D1" w:rsidRDefault="000000D1" w:rsidP="000000D1">
      <w:pPr>
        <w:ind w:left="1440"/>
        <w:contextualSpacing/>
        <w:rPr>
          <w:rFonts w:eastAsia="Calibri" w:cs="Times New Roman"/>
        </w:rPr>
      </w:pPr>
    </w:p>
    <w:p w14:paraId="2E2EBBC4" w14:textId="77777777" w:rsidR="000000D1" w:rsidRPr="000000D1" w:rsidRDefault="000000D1" w:rsidP="000000D1">
      <w:pPr>
        <w:ind w:left="1440"/>
        <w:contextualSpacing/>
        <w:rPr>
          <w:rFonts w:eastAsia="Calibri" w:cs="Times New Roman"/>
        </w:rPr>
      </w:pPr>
      <w:r w:rsidRPr="000000D1">
        <w:rPr>
          <w:rFonts w:eastAsia="Calibri" w:cs="Times New Roman"/>
        </w:rPr>
        <w:t>(c) Capital base. The corporation's proportionate part of each asset and liability of the partnership must be taken into account in the computation of the capital base. These amounts must be taken into account when determining business capital and investment capital. The capital base does not include any amount with respect to the corporation's interest in the partnership itself . . .</w:t>
      </w:r>
    </w:p>
    <w:p w14:paraId="51E61A08" w14:textId="77777777" w:rsidR="000000D1" w:rsidRPr="000000D1" w:rsidRDefault="000000D1" w:rsidP="000000D1">
      <w:pPr>
        <w:ind w:left="1440"/>
        <w:contextualSpacing/>
        <w:rPr>
          <w:rFonts w:eastAsia="Calibri" w:cs="Times New Roman"/>
        </w:rPr>
      </w:pPr>
    </w:p>
    <w:p w14:paraId="038177DB" w14:textId="77777777" w:rsidR="000000D1" w:rsidRPr="000000D1" w:rsidRDefault="000000D1" w:rsidP="000000D1">
      <w:pPr>
        <w:ind w:left="1440"/>
        <w:contextualSpacing/>
        <w:rPr>
          <w:rFonts w:eastAsia="Calibri" w:cs="Times New Roman"/>
        </w:rPr>
      </w:pPr>
      <w:r w:rsidRPr="000000D1">
        <w:rPr>
          <w:rFonts w:eastAsia="Calibri" w:cs="Times New Roman"/>
        </w:rPr>
        <w:t xml:space="preserve">(f)(1) A corporation must include its distributive share of the partnership’s business receipts when computing its BAF. Its distributive share of the partnership’s business receipts during the applicable partnership year should be combined with the corporation’s own receipts for the taxable year. The corporation must apportion such combined amounts using the rules specified in section 210-A and of this Subchapter. To the extent an apportionment rule uses a fraction to determine the amount of New York receipts, a corporation must include the distributive share or proportionate parts of any partnership amounts with the corporation’s own amounts in such fraction. In addition, netting of gains and losses must be computed on the combined corporation and partnership amounts. </w:t>
      </w:r>
    </w:p>
    <w:p w14:paraId="18DFC2F6" w14:textId="77777777" w:rsidR="000000D1" w:rsidRPr="000000D1" w:rsidRDefault="000000D1" w:rsidP="000000D1">
      <w:pPr>
        <w:ind w:left="1440"/>
        <w:contextualSpacing/>
        <w:rPr>
          <w:rFonts w:eastAsia="Calibri" w:cs="Times New Roman"/>
        </w:rPr>
      </w:pPr>
    </w:p>
    <w:p w14:paraId="5B4705E5" w14:textId="77777777" w:rsidR="000000D1" w:rsidRPr="000000D1" w:rsidRDefault="000000D1" w:rsidP="000000D1">
      <w:pPr>
        <w:ind w:left="1440"/>
        <w:contextualSpacing/>
        <w:rPr>
          <w:rFonts w:eastAsia="Calibri" w:cs="Times New Roman"/>
        </w:rPr>
      </w:pPr>
      <w:r w:rsidRPr="000000D1">
        <w:rPr>
          <w:rFonts w:eastAsia="Calibri" w:cs="Times New Roman"/>
        </w:rPr>
        <w:t>(f)(2) Where a corporation has receipts from sales to a partnership in which it is a partner, the corporation must reduce its receipts from its sales to the partnership by its distributive share of such purchases by the partnership. Where a partnership has receipts from sales to a corporation that is a partner in the partnership, the corporation does not include its distributive share of the partnership receipts from sales to the corporation in its BAF.</w:t>
      </w:r>
    </w:p>
    <w:p w14:paraId="4EBA1AAD" w14:textId="77777777" w:rsidR="000000D1" w:rsidRPr="000000D1" w:rsidRDefault="000000D1" w:rsidP="000000D1">
      <w:pPr>
        <w:ind w:left="1440"/>
        <w:contextualSpacing/>
        <w:rPr>
          <w:rFonts w:eastAsia="Calibri" w:cs="Times New Roman"/>
        </w:rPr>
      </w:pPr>
    </w:p>
    <w:p w14:paraId="549E3BAF" w14:textId="77777777" w:rsidR="000000D1" w:rsidRPr="000000D1" w:rsidRDefault="000000D1" w:rsidP="000000D1">
      <w:pPr>
        <w:ind w:left="1440"/>
        <w:contextualSpacing/>
        <w:rPr>
          <w:rFonts w:eastAsia="Calibri" w:cs="Times New Roman"/>
        </w:rPr>
      </w:pPr>
      <w:r w:rsidRPr="000000D1">
        <w:rPr>
          <w:rFonts w:eastAsia="Calibri" w:cs="Times New Roman"/>
        </w:rPr>
        <w:t>(f)(4) In instances where an apportionment rule requires the use of a fraction to compute New York receipts, the corporation must use the sum of its own amounts for the taxable year and its distributive share or proportionate part, as the case may be, of partnership amounts during the applicable partnership year when computing such fractions</w:t>
      </w:r>
    </w:p>
    <w:p w14:paraId="5564846F" w14:textId="77777777" w:rsidR="000000D1" w:rsidRPr="000000D1" w:rsidRDefault="000000D1" w:rsidP="000000D1">
      <w:pPr>
        <w:contextualSpacing/>
        <w:rPr>
          <w:rFonts w:eastAsia="Calibri" w:cs="Times New Roman"/>
        </w:rPr>
      </w:pPr>
    </w:p>
    <w:p w14:paraId="0C398AB1" w14:textId="77777777" w:rsidR="000000D1" w:rsidRPr="000000D1" w:rsidRDefault="000000D1" w:rsidP="000000D1">
      <w:pPr>
        <w:ind w:left="720"/>
        <w:contextualSpacing/>
        <w:rPr>
          <w:rFonts w:eastAsia="Calibri" w:cs="Times New Roman"/>
          <w:i/>
          <w:iCs/>
        </w:rPr>
      </w:pPr>
      <w:r w:rsidRPr="000000D1">
        <w:rPr>
          <w:rFonts w:eastAsia="Calibri" w:cs="Times New Roman"/>
        </w:rPr>
        <w:t xml:space="preserve">N.Y. Comp. Codes R. &amp; Regs. tit. 20, § 9-2.2(c) </w:t>
      </w:r>
    </w:p>
    <w:p w14:paraId="168A5F27" w14:textId="77777777" w:rsidR="000000D1" w:rsidRPr="000000D1" w:rsidRDefault="000000D1" w:rsidP="000000D1">
      <w:pPr>
        <w:ind w:left="720"/>
        <w:contextualSpacing/>
        <w:rPr>
          <w:rFonts w:eastAsia="Calibri" w:cs="Times New Roman"/>
        </w:rPr>
      </w:pPr>
    </w:p>
    <w:p w14:paraId="55710D25" w14:textId="77777777" w:rsidR="000000D1" w:rsidRPr="000000D1" w:rsidRDefault="000000D1" w:rsidP="000000D1">
      <w:pPr>
        <w:ind w:left="1440"/>
        <w:rPr>
          <w:rFonts w:eastAsia="Calibri" w:cs="Times New Roman"/>
        </w:rPr>
      </w:pPr>
      <w:r w:rsidRPr="000000D1">
        <w:rPr>
          <w:rFonts w:eastAsia="Calibri" w:cs="Times New Roman"/>
        </w:rPr>
        <w:t xml:space="preserve">If a corporation is a partner in a partnership ("upper tier partnership") and such partnership is a partner in another partnership ("lower tier partnership") and the corporation has the necessary information to use the aggregate method with respect to the items of receipts, income, gain, loss, deduction, assets and 374 liabilities, and activities of the upper tier partnership that are not attributable to the lower tier partnership, but does not have the necessary information to use the aggregate method with respect to such items that are attributable to the lower tier partnership, then such corporation must use the aggregate method with respect to the items of receipts, income, gain, loss, deduction, assets and liabilities, and activities of the upper tier partnership that are not attributable to the lower tier partnership and must use the entity method with respect to such items that are attributable to the lower tier partnership. If there are additional tiers of partnerships, this methodology must be employed at each tier. The corporation will be presumed to have access to the necessary information with respect to a lower tier partnership and will be subject to the provisions of paragraph (2) of subdivision (b) of this section with respect to a lower tier partnership if one or more of the presumptions set forth in subdivision (a) of this section are met at each tier. If the corporation does not meet any of the presumptions set forth in subdivision (a) of this section </w:t>
      </w:r>
      <w:r w:rsidRPr="000000D1">
        <w:rPr>
          <w:rFonts w:eastAsia="Calibri" w:cs="Times New Roman"/>
        </w:rPr>
        <w:lastRenderedPageBreak/>
        <w:t>and does not have access to the necessary information with respect to a lower tier partnership the provisions of paragraph (1) of subdivision (b) of this section will apply.</w:t>
      </w:r>
    </w:p>
    <w:p w14:paraId="6D122433" w14:textId="77777777" w:rsidR="000000D1" w:rsidRPr="000000D1" w:rsidRDefault="000000D1" w:rsidP="000000D1">
      <w:pPr>
        <w:ind w:left="720"/>
        <w:contextualSpacing/>
        <w:rPr>
          <w:rFonts w:eastAsia="Calibri" w:cs="Times New Roman"/>
          <w:i/>
          <w:iCs/>
        </w:rPr>
      </w:pPr>
      <w:r w:rsidRPr="000000D1">
        <w:rPr>
          <w:rFonts w:eastAsia="Calibri" w:cs="Times New Roman"/>
        </w:rPr>
        <w:t xml:space="preserve">N.Y. Comp. Codes R. &amp; Regs. tit. 20, § 9-2.4(e) Computation of tax under the entity method. </w:t>
      </w:r>
    </w:p>
    <w:p w14:paraId="6C03979C" w14:textId="77777777" w:rsidR="000000D1" w:rsidRPr="000000D1" w:rsidRDefault="000000D1" w:rsidP="000000D1">
      <w:pPr>
        <w:ind w:left="720"/>
        <w:contextualSpacing/>
        <w:rPr>
          <w:rFonts w:eastAsia="Calibri" w:cs="Times New Roman"/>
          <w:i/>
          <w:iCs/>
        </w:rPr>
      </w:pPr>
    </w:p>
    <w:p w14:paraId="60DC28D7" w14:textId="77777777" w:rsidR="000000D1" w:rsidRPr="000000D1" w:rsidRDefault="000000D1" w:rsidP="000000D1">
      <w:pPr>
        <w:ind w:left="1440"/>
        <w:contextualSpacing/>
        <w:rPr>
          <w:rFonts w:eastAsia="Calibri" w:cs="Times New Roman"/>
        </w:rPr>
      </w:pPr>
      <w:r w:rsidRPr="000000D1">
        <w:rPr>
          <w:rFonts w:eastAsia="Calibri" w:cs="Times New Roman"/>
        </w:rPr>
        <w:t xml:space="preserve">A corporation must apportion its distributive share of partnership items of income, gain, loss and deduction included in its business income and its interest in the partnership included in its business capital by its BAF determined under Part 4 of this Subchapter, computed without regard to its distributive share of any partnership items of income, gain, loss or deduction. </w:t>
      </w:r>
    </w:p>
    <w:p w14:paraId="7917B2F8" w14:textId="77777777" w:rsidR="000000D1" w:rsidRPr="000000D1" w:rsidRDefault="000000D1" w:rsidP="000000D1">
      <w:pPr>
        <w:ind w:left="720"/>
        <w:contextualSpacing/>
        <w:rPr>
          <w:rFonts w:eastAsia="Calibri" w:cs="Times New Roman"/>
        </w:rPr>
      </w:pPr>
    </w:p>
    <w:p w14:paraId="1D39BF65" w14:textId="77777777" w:rsidR="000000D1" w:rsidRPr="000000D1" w:rsidRDefault="000000D1" w:rsidP="000000D1">
      <w:pPr>
        <w:ind w:left="720"/>
        <w:contextualSpacing/>
        <w:rPr>
          <w:rFonts w:eastAsia="Calibri" w:cs="Times New Roman"/>
        </w:rPr>
      </w:pPr>
      <w:r w:rsidRPr="000000D1">
        <w:rPr>
          <w:rFonts w:eastAsia="Calibri" w:cs="Times New Roman"/>
        </w:rPr>
        <w:t xml:space="preserve">Recent New York Regulations providing more detail on aggregate and entity methods </w:t>
      </w:r>
    </w:p>
    <w:p w14:paraId="4B703D5D" w14:textId="77777777" w:rsidR="000000D1" w:rsidRPr="000000D1" w:rsidRDefault="000000D1" w:rsidP="000000D1">
      <w:pPr>
        <w:contextualSpacing/>
        <w:rPr>
          <w:rFonts w:eastAsia="Calibri" w:cs="Times New Roman"/>
        </w:rPr>
      </w:pPr>
      <w:r w:rsidRPr="000000D1">
        <w:rPr>
          <w:rFonts w:eastAsia="Calibri" w:cs="Times New Roman"/>
        </w:rPr>
        <w:tab/>
      </w:r>
      <w:r w:rsidRPr="000000D1">
        <w:rPr>
          <w:rFonts w:eastAsia="Calibri" w:cs="Times New Roman"/>
        </w:rPr>
        <w:tab/>
      </w:r>
      <w:hyperlink r:id="rId38" w:history="1">
        <w:r w:rsidRPr="000000D1">
          <w:rPr>
            <w:rFonts w:eastAsia="Calibri" w:cs="Times New Roman"/>
            <w:color w:val="C00000"/>
            <w:u w:val="single"/>
          </w:rPr>
          <w:t>https://www.tax.ny.gov/pdf/rulemaking/dec1123/corpreform/text.pdf</w:t>
        </w:r>
      </w:hyperlink>
    </w:p>
    <w:p w14:paraId="2BEEF10D" w14:textId="77777777" w:rsidR="000000D1" w:rsidRPr="000000D1" w:rsidRDefault="000000D1" w:rsidP="000000D1">
      <w:pPr>
        <w:ind w:left="720"/>
        <w:contextualSpacing/>
        <w:rPr>
          <w:rFonts w:eastAsia="Calibri" w:cs="Times New Roman"/>
        </w:rPr>
      </w:pPr>
    </w:p>
    <w:p w14:paraId="08A25884" w14:textId="77777777" w:rsidR="000000D1" w:rsidRPr="000000D1" w:rsidRDefault="000000D1" w:rsidP="000000D1">
      <w:pPr>
        <w:ind w:left="720"/>
        <w:contextualSpacing/>
        <w:rPr>
          <w:rFonts w:eastAsia="Calibri" w:cs="Times New Roman"/>
        </w:rPr>
      </w:pPr>
      <w:r w:rsidRPr="000000D1">
        <w:rPr>
          <w:rFonts w:eastAsia="Calibri" w:cs="Times New Roman"/>
        </w:rPr>
        <w:t xml:space="preserve">New York </w:t>
      </w:r>
      <w:r w:rsidRPr="000000D1">
        <w:t xml:space="preserve">Instructions for Form IT-204 (2024) </w:t>
      </w:r>
    </w:p>
    <w:p w14:paraId="572A7CCB" w14:textId="77777777" w:rsidR="000000D1" w:rsidRPr="000000D1" w:rsidRDefault="000000D1" w:rsidP="000000D1">
      <w:pPr>
        <w:contextualSpacing/>
        <w:rPr>
          <w:rFonts w:eastAsia="Calibri" w:cs="Times New Roman"/>
        </w:rPr>
      </w:pPr>
    </w:p>
    <w:p w14:paraId="14026478" w14:textId="77777777" w:rsidR="000000D1" w:rsidRPr="000000D1" w:rsidRDefault="000000D1" w:rsidP="000000D1">
      <w:pPr>
        <w:ind w:left="1440"/>
        <w:rPr>
          <w:rFonts w:eastAsia="Calibri" w:cs="Times New Roman"/>
        </w:rPr>
      </w:pPr>
      <w:r w:rsidRPr="000000D1">
        <w:rPr>
          <w:rFonts w:eastAsia="Calibri" w:cs="Times New Roman"/>
        </w:rPr>
        <w:t xml:space="preserve">Tiered partnerships (Regulation section 137.6) </w:t>
      </w:r>
    </w:p>
    <w:p w14:paraId="3AD51893" w14:textId="77777777" w:rsidR="000000D1" w:rsidRPr="000000D1" w:rsidRDefault="000000D1" w:rsidP="000000D1">
      <w:pPr>
        <w:ind w:left="1440"/>
        <w:rPr>
          <w:rFonts w:eastAsia="Calibri" w:cs="Times New Roman"/>
        </w:rPr>
      </w:pPr>
      <w:r w:rsidRPr="000000D1">
        <w:rPr>
          <w:rFonts w:eastAsia="Calibri" w:cs="Times New Roman"/>
        </w:rPr>
        <w:t xml:space="preserve">If your partnership is a partner in another partnership (a lower-tier partnership), the source and character of the distributive share of each item of your partnership to any partner of your partnership that is attributable to the lower-tier partnership retains the source and character determined at the level of the lower-tier partnership. Any such item that flows through your partnership to such partner does not change the source and character of that item. </w:t>
      </w:r>
    </w:p>
    <w:p w14:paraId="1C1C9619" w14:textId="77777777" w:rsidR="000000D1" w:rsidRPr="000000D1" w:rsidRDefault="000000D1" w:rsidP="000000D1">
      <w:pPr>
        <w:ind w:left="1440"/>
        <w:rPr>
          <w:rFonts w:eastAsia="Calibri" w:cs="Times New Roman"/>
        </w:rPr>
      </w:pPr>
      <w:r w:rsidRPr="000000D1">
        <w:rPr>
          <w:rFonts w:eastAsia="Calibri" w:cs="Times New Roman"/>
        </w:rPr>
        <w:t xml:space="preserve">Example: Partnership A was a partner in another partnership, B. A is referred to as the upper tier partnership while B is referred to as the lower-tier partnership. P was a nonresident individual partner of A. </w:t>
      </w:r>
    </w:p>
    <w:p w14:paraId="0FB6F6A1" w14:textId="77777777" w:rsidR="000000D1" w:rsidRPr="000000D1" w:rsidRDefault="000000D1" w:rsidP="000000D1">
      <w:pPr>
        <w:ind w:left="1440"/>
        <w:rPr>
          <w:rFonts w:eastAsia="Calibri" w:cs="Times New Roman"/>
        </w:rPr>
      </w:pPr>
      <w:r w:rsidRPr="000000D1">
        <w:rPr>
          <w:rFonts w:eastAsia="Calibri" w:cs="Times New Roman"/>
        </w:rPr>
        <w:t>Partnership A was not engaged in a trade or business in New York, but partnership B was. Even though partnership A was not carrying on business in New York, it had New York source income from the distributive shares it received from partnership B. The source and character of each item that partnership A received from partnership B retains the source and character determined at the level of partnership B. For instance, if P was a partner of A, and A was a partner of B, nonresident individual partner P would allocate its share of the NY income from B at B’s business allocation percentage. Further, if A was engaged in a trade or business in NY, then P would allocate its share of A’s income using A’s business allocation percentage and P would allocate its share of B’s income (which flows to A) at B’s business allocation percentage. This allocation method should be reflected on Forms IT-204 and IT-204-IP.</w:t>
      </w:r>
    </w:p>
    <w:p w14:paraId="79204524" w14:textId="77777777" w:rsidR="000000D1" w:rsidRPr="000000D1" w:rsidRDefault="000000D1" w:rsidP="000000D1">
      <w:pPr>
        <w:ind w:left="720"/>
        <w:contextualSpacing/>
        <w:rPr>
          <w:rFonts w:eastAsia="Calibri" w:cs="Times New Roman"/>
        </w:rPr>
      </w:pPr>
      <w:r w:rsidRPr="000000D1">
        <w:rPr>
          <w:rFonts w:eastAsia="Calibri" w:cs="Times New Roman"/>
        </w:rPr>
        <w:t>N.Y. Tax Law § 617(c)</w:t>
      </w:r>
    </w:p>
    <w:p w14:paraId="6609814B" w14:textId="77777777" w:rsidR="000000D1" w:rsidRPr="000000D1" w:rsidRDefault="000000D1" w:rsidP="000000D1">
      <w:pPr>
        <w:ind w:left="720"/>
        <w:contextualSpacing/>
        <w:rPr>
          <w:rFonts w:eastAsia="Calibri" w:cs="Times New Roman"/>
        </w:rPr>
      </w:pPr>
      <w:r w:rsidRPr="000000D1">
        <w:rPr>
          <w:rFonts w:eastAsia="Calibri" w:cs="Times New Roman"/>
        </w:rPr>
        <w:tab/>
      </w:r>
    </w:p>
    <w:p w14:paraId="15B206F8" w14:textId="77777777" w:rsidR="000000D1" w:rsidRPr="000000D1" w:rsidRDefault="000000D1" w:rsidP="000000D1">
      <w:pPr>
        <w:ind w:left="1440"/>
        <w:contextualSpacing/>
        <w:rPr>
          <w:rFonts w:eastAsia="Calibri" w:cs="Times New Roman"/>
        </w:rPr>
      </w:pPr>
      <w:r w:rsidRPr="000000D1">
        <w:rPr>
          <w:rFonts w:eastAsia="Calibri" w:cs="Times New Roman"/>
        </w:rPr>
        <w:t>(c)</w:t>
      </w:r>
      <w:r w:rsidRPr="000000D1">
        <w:rPr>
          <w:rFonts w:eastAsia="Calibri" w:cs="Times New Roman"/>
        </w:rPr>
        <w:t> </w:t>
      </w:r>
      <w:r w:rsidRPr="000000D1">
        <w:rPr>
          <w:rFonts w:eastAsia="Calibri" w:cs="Times New Roman"/>
        </w:rPr>
        <w:t xml:space="preserve">New York tax avoidance or evasion. </w:t>
      </w:r>
      <w:r w:rsidRPr="000000D1">
        <w:rPr>
          <w:rFonts w:eastAsia="Calibri" w:cs="Times New Roman"/>
        </w:rPr>
        <w:t> </w:t>
      </w:r>
      <w:r w:rsidRPr="000000D1">
        <w:rPr>
          <w:rFonts w:eastAsia="Calibri" w:cs="Times New Roman"/>
        </w:rPr>
        <w:t>Where a partner's distributive share of an item of partnership income, gain, loss or deduction is determined for federal income tax purposes by special provision in the partnership agreement with respect to such item, and where the principal purpose of such provision is the avoidance or evasion of tax under this article, the partner's distributive share of such item, and any modification required with respect thereto, shall be determined as if the partnership agreement made no special provision with respect to such item.</w:t>
      </w:r>
    </w:p>
    <w:p w14:paraId="69C22112" w14:textId="77777777" w:rsidR="000000D1" w:rsidRPr="000000D1" w:rsidRDefault="000000D1" w:rsidP="000000D1">
      <w:pPr>
        <w:ind w:left="720"/>
        <w:contextualSpacing/>
        <w:rPr>
          <w:rFonts w:eastAsia="Calibri" w:cs="Times New Roman"/>
        </w:rPr>
      </w:pPr>
    </w:p>
    <w:p w14:paraId="577BAC98" w14:textId="77777777" w:rsidR="000000D1" w:rsidRPr="000000D1" w:rsidRDefault="000000D1" w:rsidP="000000D1">
      <w:pPr>
        <w:ind w:left="720"/>
        <w:contextualSpacing/>
        <w:rPr>
          <w:rFonts w:eastAsia="Calibri" w:cs="Times New Roman"/>
          <w:i/>
          <w:iCs/>
        </w:rPr>
      </w:pPr>
      <w:r w:rsidRPr="000000D1">
        <w:rPr>
          <w:rFonts w:eastAsia="Calibri" w:cs="Times New Roman"/>
        </w:rPr>
        <w:t>N.Y. Comp. Codes R. &amp; Regs. Tit. 20 § 117.5</w:t>
      </w:r>
    </w:p>
    <w:p w14:paraId="3E992321" w14:textId="77777777" w:rsidR="000000D1" w:rsidRPr="000000D1" w:rsidRDefault="000000D1" w:rsidP="000000D1">
      <w:pPr>
        <w:contextualSpacing/>
        <w:rPr>
          <w:rFonts w:eastAsia="Calibri" w:cs="Times New Roman"/>
        </w:rPr>
      </w:pPr>
    </w:p>
    <w:p w14:paraId="13E56FA6" w14:textId="77777777" w:rsidR="000000D1" w:rsidRPr="000000D1" w:rsidRDefault="000000D1" w:rsidP="000000D1">
      <w:pPr>
        <w:ind w:left="1440"/>
        <w:rPr>
          <w:rFonts w:eastAsia="Calibri" w:cs="Times New Roman"/>
        </w:rPr>
      </w:pPr>
      <w:r w:rsidRPr="000000D1">
        <w:rPr>
          <w:rFonts w:eastAsia="Calibri" w:cs="Times New Roman"/>
        </w:rPr>
        <w:t xml:space="preserve">(a) If a partnership agreement provides for an allocation of any item of partnership income, gain, loss or deduction to a partner but the allocation does not have substantial economic effect in accordance with section 704(b) of the Internal Revenue Code, the allocation shall be disregarded for Federal income tax purposes. In such a case, a </w:t>
      </w:r>
      <w:r w:rsidRPr="000000D1">
        <w:rPr>
          <w:rFonts w:eastAsia="Calibri" w:cs="Times New Roman"/>
        </w:rPr>
        <w:lastRenderedPageBreak/>
        <w:t>partner's distributive share of such item is determined in accordance with the partner's interest in the partnership (determined by taking into account all facts and circumstances). This treatment and distribution of the item is reflected in each partner's Federal adjusted gross income and therefore in each partner's New York adjusted gross income, even if no New York State personal income tax avoidance or evasion may be involved.</w:t>
      </w:r>
    </w:p>
    <w:p w14:paraId="63F8F1CB" w14:textId="77777777" w:rsidR="000000D1" w:rsidRPr="000000D1" w:rsidRDefault="000000D1" w:rsidP="000000D1">
      <w:pPr>
        <w:ind w:left="1440"/>
        <w:rPr>
          <w:rFonts w:eastAsia="Calibri" w:cs="Times New Roman"/>
        </w:rPr>
      </w:pPr>
      <w:r w:rsidRPr="000000D1">
        <w:rPr>
          <w:rFonts w:eastAsia="Calibri" w:cs="Times New Roman"/>
        </w:rPr>
        <w:t>(b) An allocation of an item, amount or activity, even if recognized for Federal income tax purposes, will not be recognized where it has as a principal purpose the avoidance or evasion of New York State personal income tax. Where an allocation is not recognized, the partner's distributive share shall be determined in accordance with the partner's interest in the partnership (determined by taking into account all facts and circumstances).</w:t>
      </w:r>
    </w:p>
    <w:p w14:paraId="6060E551" w14:textId="77777777" w:rsidR="000000D1" w:rsidRPr="000000D1" w:rsidRDefault="000000D1" w:rsidP="000000D1">
      <w:pPr>
        <w:ind w:left="1440"/>
        <w:rPr>
          <w:rFonts w:eastAsia="Calibri" w:cs="Times New Roman"/>
        </w:rPr>
      </w:pPr>
      <w:r w:rsidRPr="000000D1">
        <w:rPr>
          <w:rFonts w:eastAsia="Calibri" w:cs="Times New Roman"/>
        </w:rPr>
        <w:t>(c) The determination of whether a principal purpose of an allocation of an item, amount or activity is the avoidance or evasion of New York State personal income tax depends on all the surrounding facts and circumstances. Among the relevant circumstances to be considered are the following:</w:t>
      </w:r>
    </w:p>
    <w:p w14:paraId="004A35D6" w14:textId="77777777" w:rsidR="000000D1" w:rsidRPr="000000D1" w:rsidRDefault="000000D1" w:rsidP="000000D1">
      <w:pPr>
        <w:ind w:left="1440"/>
        <w:rPr>
          <w:rFonts w:eastAsia="Calibri" w:cs="Times New Roman"/>
        </w:rPr>
      </w:pPr>
      <w:r w:rsidRPr="000000D1">
        <w:rPr>
          <w:rFonts w:eastAsia="Calibri" w:cs="Times New Roman"/>
        </w:rPr>
        <w:t>(1) whether the partnership or a partner individually has a business purpose for the allocation;</w:t>
      </w:r>
    </w:p>
    <w:p w14:paraId="3A000B50" w14:textId="77777777" w:rsidR="000000D1" w:rsidRPr="000000D1" w:rsidRDefault="000000D1" w:rsidP="000000D1">
      <w:pPr>
        <w:ind w:left="1440"/>
        <w:rPr>
          <w:rFonts w:eastAsia="Calibri" w:cs="Times New Roman"/>
        </w:rPr>
      </w:pPr>
      <w:r w:rsidRPr="000000D1">
        <w:rPr>
          <w:rFonts w:eastAsia="Calibri" w:cs="Times New Roman"/>
        </w:rPr>
        <w:t>(2) whether the allocation has substantial economic effect, that is, whether the allocation may actually affect the dollar amount of the partners' shares of the total partnership income or loss independently of the New York State personal income tax consequences;</w:t>
      </w:r>
    </w:p>
    <w:p w14:paraId="2EBEDB39" w14:textId="77777777" w:rsidR="000000D1" w:rsidRPr="000000D1" w:rsidRDefault="000000D1" w:rsidP="000000D1">
      <w:pPr>
        <w:ind w:left="1440"/>
        <w:rPr>
          <w:rFonts w:eastAsia="Calibri" w:cs="Times New Roman"/>
        </w:rPr>
      </w:pPr>
      <w:r w:rsidRPr="000000D1">
        <w:rPr>
          <w:rFonts w:eastAsia="Calibri" w:cs="Times New Roman"/>
        </w:rPr>
        <w:t>(3) whether the related items of partnership income, gain, loss or deduction from the same source are subject to the same allocation;</w:t>
      </w:r>
    </w:p>
    <w:p w14:paraId="6AECF5CB" w14:textId="77777777" w:rsidR="000000D1" w:rsidRPr="000000D1" w:rsidRDefault="000000D1" w:rsidP="000000D1">
      <w:pPr>
        <w:ind w:left="1440"/>
        <w:rPr>
          <w:rFonts w:eastAsia="Calibri" w:cs="Times New Roman"/>
        </w:rPr>
      </w:pPr>
      <w:r w:rsidRPr="000000D1">
        <w:rPr>
          <w:rFonts w:eastAsia="Calibri" w:cs="Times New Roman"/>
        </w:rPr>
        <w:t>(4) whether the allocation was made without recognition of normal business factors and only after the amount of the allocated item could reasonably be estimated;</w:t>
      </w:r>
    </w:p>
    <w:p w14:paraId="1F9E4FA7" w14:textId="77777777" w:rsidR="000000D1" w:rsidRPr="000000D1" w:rsidRDefault="000000D1" w:rsidP="000000D1">
      <w:pPr>
        <w:ind w:left="1440"/>
        <w:rPr>
          <w:rFonts w:eastAsia="Calibri" w:cs="Times New Roman"/>
        </w:rPr>
      </w:pPr>
      <w:r w:rsidRPr="000000D1">
        <w:rPr>
          <w:rFonts w:eastAsia="Calibri" w:cs="Times New Roman"/>
        </w:rPr>
        <w:t>(5) the duration of the allocation; and</w:t>
      </w:r>
    </w:p>
    <w:p w14:paraId="17628A85" w14:textId="77777777" w:rsidR="000000D1" w:rsidRPr="000000D1" w:rsidRDefault="000000D1" w:rsidP="000000D1">
      <w:pPr>
        <w:ind w:left="1440"/>
        <w:rPr>
          <w:rFonts w:eastAsia="Calibri" w:cs="Times New Roman"/>
        </w:rPr>
      </w:pPr>
      <w:r w:rsidRPr="000000D1">
        <w:rPr>
          <w:rFonts w:eastAsia="Calibri" w:cs="Times New Roman"/>
        </w:rPr>
        <w:t>(6) the overall New York State personal income tax consequences of the allocation.</w:t>
      </w:r>
    </w:p>
    <w:p w14:paraId="3A68C36B" w14:textId="77777777" w:rsidR="000000D1" w:rsidRPr="000000D1" w:rsidRDefault="000000D1" w:rsidP="000000D1">
      <w:pPr>
        <w:ind w:left="720"/>
        <w:contextualSpacing/>
        <w:rPr>
          <w:rFonts w:eastAsia="Calibri" w:cs="Times New Roman"/>
          <w:i/>
          <w:iCs/>
        </w:rPr>
      </w:pPr>
      <w:r w:rsidRPr="000000D1">
        <w:rPr>
          <w:rFonts w:eastAsia="Calibri" w:cs="Times New Roman"/>
        </w:rPr>
        <w:t>N.Y. Comp. Codes R. &amp; Regs. Tit. 20 § 137.5</w:t>
      </w:r>
    </w:p>
    <w:p w14:paraId="601DB510" w14:textId="77777777" w:rsidR="000000D1" w:rsidRPr="000000D1" w:rsidRDefault="000000D1" w:rsidP="000000D1">
      <w:pPr>
        <w:ind w:left="1440"/>
        <w:contextualSpacing/>
        <w:rPr>
          <w:rFonts w:eastAsia="Calibri" w:cs="Times New Roman"/>
        </w:rPr>
      </w:pPr>
    </w:p>
    <w:p w14:paraId="6EB814CE" w14:textId="77777777" w:rsidR="000000D1" w:rsidRPr="000000D1" w:rsidRDefault="000000D1" w:rsidP="000000D1">
      <w:pPr>
        <w:ind w:left="1440"/>
        <w:rPr>
          <w:rFonts w:eastAsia="Calibri" w:cs="Times New Roman"/>
        </w:rPr>
      </w:pPr>
      <w:r w:rsidRPr="000000D1">
        <w:rPr>
          <w:rFonts w:eastAsia="Calibri" w:cs="Times New Roman"/>
        </w:rPr>
        <w:t>(c) Where a special provision in a partnership agreement (other than the provision referred to in section 137.2 of this Part) has as its principal purpose the avoidance or evasion of New York State personal income tax, each partner's distributive share must be determined in accordance with the provisions of section 117.5 of this Title.</w:t>
      </w:r>
    </w:p>
    <w:p w14:paraId="2703158E" w14:textId="77777777" w:rsidR="000000D1" w:rsidRPr="000000D1" w:rsidRDefault="000000D1" w:rsidP="000000D1">
      <w:pPr>
        <w:ind w:left="720"/>
        <w:contextualSpacing/>
        <w:rPr>
          <w:rFonts w:eastAsia="Calibri" w:cs="Times New Roman"/>
        </w:rPr>
      </w:pPr>
      <w:r w:rsidRPr="000000D1">
        <w:rPr>
          <w:rFonts w:eastAsia="Calibri" w:cs="Times New Roman"/>
        </w:rPr>
        <w:t>New York TSB-A-09(7)C (May 13. 2009)</w:t>
      </w:r>
    </w:p>
    <w:p w14:paraId="3C5E9FA9" w14:textId="77777777" w:rsidR="000000D1" w:rsidRPr="000000D1" w:rsidRDefault="000000D1" w:rsidP="000000D1">
      <w:pPr>
        <w:ind w:left="720"/>
        <w:contextualSpacing/>
        <w:rPr>
          <w:rFonts w:eastAsia="Calibri" w:cs="Times New Roman"/>
        </w:rPr>
      </w:pPr>
      <w:r w:rsidRPr="000000D1">
        <w:rPr>
          <w:rFonts w:eastAsia="Calibri" w:cs="Times New Roman"/>
        </w:rPr>
        <w:tab/>
      </w:r>
    </w:p>
    <w:p w14:paraId="151FDD48" w14:textId="77777777" w:rsidR="000000D1" w:rsidRPr="000000D1" w:rsidRDefault="000000D1" w:rsidP="000000D1">
      <w:pPr>
        <w:ind w:left="1440"/>
        <w:contextualSpacing/>
        <w:rPr>
          <w:rFonts w:eastAsia="Calibri" w:cs="Times New Roman"/>
        </w:rPr>
      </w:pPr>
      <w:r w:rsidRPr="000000D1">
        <w:rPr>
          <w:rFonts w:eastAsia="Calibri" w:cs="Times New Roman"/>
        </w:rPr>
        <w:t>If Petitioner's special allocation of 99.99% of the depreciation deductions to Investor has substantial economic effect and is valid for federal and state tax purposes, then the same allocation of the tangible property component of the Brownfield Redevelopment Tax Credit to Investor is a valid allocation.</w:t>
      </w:r>
    </w:p>
    <w:p w14:paraId="0278C031" w14:textId="77777777" w:rsidR="000000D1" w:rsidRPr="000000D1" w:rsidRDefault="000000D1" w:rsidP="000000D1">
      <w:pPr>
        <w:pBdr>
          <w:bottom w:val="single" w:sz="4" w:space="0" w:color="auto"/>
        </w:pBdr>
        <w:rPr>
          <w:rFonts w:eastAsia="Calibri" w:cs="Times New Roman"/>
        </w:rPr>
      </w:pPr>
    </w:p>
    <w:p w14:paraId="6D71D1A5"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34" w:name="_Toc198480795"/>
      <w:r w:rsidRPr="000000D1">
        <w:rPr>
          <w:rFonts w:ascii="Californian FB" w:eastAsia="Times New Roman" w:hAnsi="Californian FB" w:cs="Times New Roman"/>
          <w:b/>
          <w:color w:val="851C00"/>
          <w:sz w:val="24"/>
          <w:szCs w:val="24"/>
          <w:u w:val="single"/>
        </w:rPr>
        <w:t>North Carolina</w:t>
      </w:r>
      <w:bookmarkEnd w:id="134"/>
    </w:p>
    <w:p w14:paraId="4284897A" w14:textId="77777777" w:rsidR="000000D1" w:rsidRPr="000000D1" w:rsidRDefault="000000D1" w:rsidP="000000D1">
      <w:pPr>
        <w:ind w:left="720"/>
        <w:contextualSpacing/>
        <w:rPr>
          <w:rFonts w:eastAsia="Calibri" w:cs="Times New Roman"/>
        </w:rPr>
      </w:pPr>
      <w:r w:rsidRPr="000000D1">
        <w:rPr>
          <w:rFonts w:eastAsia="Calibri" w:cs="Times New Roman"/>
        </w:rPr>
        <w:t xml:space="preserve">N.C. Gen. Stat. § 105-153.4(d) </w:t>
      </w:r>
    </w:p>
    <w:p w14:paraId="719AD254" w14:textId="77777777" w:rsidR="000000D1" w:rsidRPr="000000D1" w:rsidRDefault="000000D1" w:rsidP="000000D1">
      <w:pPr>
        <w:contextualSpacing/>
        <w:rPr>
          <w:rFonts w:eastAsia="Calibri" w:cs="Times New Roman"/>
        </w:rPr>
      </w:pPr>
    </w:p>
    <w:p w14:paraId="5B83C585" w14:textId="77777777" w:rsidR="000000D1" w:rsidRPr="000000D1" w:rsidRDefault="000000D1" w:rsidP="000000D1">
      <w:pPr>
        <w:ind w:left="1440"/>
        <w:rPr>
          <w:rFonts w:eastAsia="Calibri" w:cs="Times New Roman"/>
        </w:rPr>
      </w:pPr>
      <w:r w:rsidRPr="000000D1">
        <w:rPr>
          <w:rFonts w:eastAsia="Calibri" w:cs="Times New Roman"/>
        </w:rPr>
        <w:t xml:space="preserve">In order to calculate the numerator of the fraction provided in subsection (b) of this section for a partner in a partnership or a member of another unincorporated business </w:t>
      </w:r>
      <w:r w:rsidRPr="000000D1">
        <w:rPr>
          <w:rFonts w:eastAsia="Calibri" w:cs="Times New Roman"/>
        </w:rPr>
        <w:lastRenderedPageBreak/>
        <w:t>that has one or more nonresident partners or members and operates in one or more other states, the amount of the partner's or member's distributive share of the total net income of the business, as modified in </w:t>
      </w:r>
      <w:bookmarkStart w:id="135" w:name="SLCODN:1316.24-1"/>
      <w:r w:rsidRPr="000000D1">
        <w:rPr>
          <w:rFonts w:eastAsia="Calibri" w:cs="Times New Roman"/>
        </w:rPr>
        <w:fldChar w:fldCharType="begin"/>
      </w:r>
      <w:r w:rsidRPr="000000D1">
        <w:rPr>
          <w:rFonts w:eastAsia="Calibri" w:cs="Times New Roman"/>
        </w:rPr>
        <w:instrText>HYPERLINK "https://checkpoint.riag.com/app/main/docLinkNew?usid=4fa289r15ac72&amp;DocID=iSLCODN%3A1317.1&amp;SrcDocId=T0SLCODN%3A1316.1-1&amp;feature=ttools&amp;lastCpReqId=42454f&amp;tabPg=4000" \t ""</w:instrText>
      </w:r>
      <w:r w:rsidRPr="000000D1">
        <w:rPr>
          <w:rFonts w:eastAsia="Calibri" w:cs="Times New Roman"/>
        </w:rPr>
      </w:r>
      <w:r w:rsidRPr="000000D1">
        <w:rPr>
          <w:rFonts w:eastAsia="Calibri" w:cs="Times New Roman"/>
        </w:rPr>
        <w:fldChar w:fldCharType="separate"/>
      </w:r>
      <w:r w:rsidRPr="000000D1">
        <w:rPr>
          <w:rFonts w:eastAsia="Calibri" w:cs="Times New Roman"/>
          <w:b/>
          <w:bCs/>
          <w:u w:val="single"/>
        </w:rPr>
        <w:t>G.S. 105-153.5</w:t>
      </w:r>
      <w:r w:rsidRPr="000000D1">
        <w:rPr>
          <w:rFonts w:eastAsia="Calibri" w:cs="Times New Roman"/>
        </w:rPr>
        <w:fldChar w:fldCharType="end"/>
      </w:r>
      <w:bookmarkEnd w:id="135"/>
      <w:r w:rsidRPr="000000D1">
        <w:rPr>
          <w:rFonts w:eastAsia="Calibri" w:cs="Times New Roman"/>
        </w:rPr>
        <w:t> and </w:t>
      </w:r>
      <w:bookmarkStart w:id="136" w:name="SLCODN:1316.25-1"/>
      <w:r w:rsidRPr="000000D1">
        <w:rPr>
          <w:rFonts w:eastAsia="Calibri" w:cs="Times New Roman"/>
        </w:rPr>
        <w:fldChar w:fldCharType="begin"/>
      </w:r>
      <w:r w:rsidRPr="000000D1">
        <w:rPr>
          <w:rFonts w:eastAsia="Calibri" w:cs="Times New Roman"/>
        </w:rPr>
        <w:instrText>HYPERLINK "https://checkpoint.riag.com/app/main/docLinkNew?usid=4fa289r15ac72&amp;DocID=iSLCODN%3A1318.1&amp;SrcDocId=T0SLCODN%3A1316.1-1&amp;feature=ttools&amp;lastCpReqId=42454f&amp;tabPg=4000" \t ""</w:instrText>
      </w:r>
      <w:r w:rsidRPr="000000D1">
        <w:rPr>
          <w:rFonts w:eastAsia="Calibri" w:cs="Times New Roman"/>
        </w:rPr>
      </w:r>
      <w:r w:rsidRPr="000000D1">
        <w:rPr>
          <w:rFonts w:eastAsia="Calibri" w:cs="Times New Roman"/>
        </w:rPr>
        <w:fldChar w:fldCharType="separate"/>
      </w:r>
      <w:r w:rsidRPr="000000D1">
        <w:rPr>
          <w:rFonts w:eastAsia="Calibri" w:cs="Times New Roman"/>
          <w:b/>
          <w:bCs/>
          <w:u w:val="single"/>
        </w:rPr>
        <w:t>G.S. 105-153.6</w:t>
      </w:r>
      <w:r w:rsidRPr="000000D1">
        <w:rPr>
          <w:rFonts w:eastAsia="Calibri" w:cs="Times New Roman"/>
        </w:rPr>
        <w:fldChar w:fldCharType="end"/>
      </w:r>
      <w:bookmarkEnd w:id="136"/>
      <w:r w:rsidRPr="000000D1">
        <w:rPr>
          <w:rFonts w:eastAsia="Calibri" w:cs="Times New Roman"/>
        </w:rPr>
        <w:t>, plus any guaranteed payments made to a partner from the partnership that is includable in the numerator is determined in accordance with the provisions of </w:t>
      </w:r>
      <w:bookmarkStart w:id="137" w:name="SLCODN:1316.16-1"/>
      <w:r w:rsidRPr="000000D1">
        <w:rPr>
          <w:rFonts w:eastAsia="Calibri" w:cs="Times New Roman"/>
        </w:rPr>
        <w:fldChar w:fldCharType="begin"/>
      </w:r>
      <w:r w:rsidRPr="000000D1">
        <w:rPr>
          <w:rFonts w:eastAsia="Calibri" w:cs="Times New Roman"/>
        </w:rPr>
        <w:instrText>HYPERLINK "https://checkpoint.riag.com/app/main/docLinkNew?usid=4fa289r15ac72&amp;DocID=iSLCODN%3A1203.1&amp;SrcDocId=T0SLCODN%3A1316.1-1&amp;feature=ttools&amp;lastCpReqId=42454f&amp;tabPg=4000" \t ""</w:instrText>
      </w:r>
      <w:r w:rsidRPr="000000D1">
        <w:rPr>
          <w:rFonts w:eastAsia="Calibri" w:cs="Times New Roman"/>
        </w:rPr>
      </w:r>
      <w:r w:rsidRPr="000000D1">
        <w:rPr>
          <w:rFonts w:eastAsia="Calibri" w:cs="Times New Roman"/>
        </w:rPr>
        <w:fldChar w:fldCharType="separate"/>
      </w:r>
      <w:r w:rsidRPr="000000D1">
        <w:rPr>
          <w:rFonts w:eastAsia="Calibri" w:cs="Times New Roman"/>
          <w:b/>
          <w:bCs/>
          <w:u w:val="single"/>
        </w:rPr>
        <w:t>G.S. 105-130.4</w:t>
      </w:r>
      <w:r w:rsidRPr="000000D1">
        <w:rPr>
          <w:rFonts w:eastAsia="Calibri" w:cs="Times New Roman"/>
        </w:rPr>
        <w:fldChar w:fldCharType="end"/>
      </w:r>
      <w:bookmarkEnd w:id="137"/>
      <w:r w:rsidRPr="000000D1">
        <w:rPr>
          <w:rFonts w:eastAsia="Calibri" w:cs="Times New Roman"/>
        </w:rPr>
        <w:t>. As used in this subsection, total net income means the entire gross income of the business less all expenses, taxes, interest, and other deductions allowable under the Code that were incurred in the operation of the business.</w:t>
      </w:r>
    </w:p>
    <w:p w14:paraId="693D5375" w14:textId="77777777" w:rsidR="000000D1" w:rsidRPr="000000D1" w:rsidRDefault="000000D1" w:rsidP="000000D1">
      <w:pPr>
        <w:ind w:left="720"/>
        <w:contextualSpacing/>
        <w:rPr>
          <w:rFonts w:eastAsia="Calibri" w:cs="Times New Roman"/>
        </w:rPr>
      </w:pPr>
      <w:r w:rsidRPr="000000D1">
        <w:rPr>
          <w:rFonts w:eastAsia="Calibri" w:cs="Times New Roman"/>
        </w:rPr>
        <w:t xml:space="preserve">17 N.C. Admin. Code 5C.1701 </w:t>
      </w:r>
    </w:p>
    <w:p w14:paraId="70B7AF07" w14:textId="77777777" w:rsidR="000000D1" w:rsidRPr="000000D1" w:rsidRDefault="000000D1" w:rsidP="000000D1">
      <w:pPr>
        <w:contextualSpacing/>
        <w:rPr>
          <w:rFonts w:eastAsia="Calibri" w:cs="Times New Roman"/>
        </w:rPr>
      </w:pPr>
    </w:p>
    <w:p w14:paraId="51C2A597" w14:textId="77777777" w:rsidR="000000D1" w:rsidRPr="000000D1" w:rsidRDefault="000000D1" w:rsidP="000000D1">
      <w:pPr>
        <w:ind w:left="1440"/>
        <w:rPr>
          <w:rFonts w:eastAsia="Calibri" w:cs="Times New Roman"/>
        </w:rPr>
      </w:pPr>
      <w:r w:rsidRPr="000000D1">
        <w:rPr>
          <w:rFonts w:eastAsia="Calibri" w:cs="Times New Roman"/>
        </w:rPr>
        <w:t>A corporation which is a member of a partnership or joint venture doing business in North Carolina is subject to North Carolina income tax and is required to include in the total net income subject to apportionment and allocation its share of the partnership's net income or net loss to the same extent required for federal income tax purposes.</w:t>
      </w:r>
    </w:p>
    <w:p w14:paraId="33576A0C" w14:textId="77777777" w:rsidR="000000D1" w:rsidRPr="000000D1" w:rsidRDefault="000000D1" w:rsidP="000000D1">
      <w:pPr>
        <w:ind w:left="720"/>
        <w:contextualSpacing/>
        <w:rPr>
          <w:rFonts w:eastAsia="Calibri" w:cs="Times New Roman"/>
        </w:rPr>
      </w:pPr>
      <w:r w:rsidRPr="000000D1">
        <w:rPr>
          <w:rFonts w:eastAsia="Calibri" w:cs="Times New Roman"/>
        </w:rPr>
        <w:t xml:space="preserve">17 N.C. Admin. Code 05C .1702 </w:t>
      </w:r>
    </w:p>
    <w:p w14:paraId="3B8C202F" w14:textId="77777777" w:rsidR="000000D1" w:rsidRPr="000000D1" w:rsidRDefault="000000D1" w:rsidP="000000D1">
      <w:pPr>
        <w:contextualSpacing/>
        <w:rPr>
          <w:rFonts w:eastAsia="Calibri" w:cs="Times New Roman"/>
        </w:rPr>
      </w:pPr>
    </w:p>
    <w:p w14:paraId="09BB6C0A" w14:textId="0F9FDFA1" w:rsidR="000000D1" w:rsidRPr="000000D1" w:rsidRDefault="000000D1" w:rsidP="000000D1">
      <w:pPr>
        <w:ind w:left="1440"/>
        <w:contextualSpacing/>
        <w:rPr>
          <w:rFonts w:eastAsia="Calibri" w:cs="Times New Roman"/>
        </w:rPr>
      </w:pPr>
      <w:r w:rsidRPr="000000D1">
        <w:rPr>
          <w:rFonts w:eastAsia="Calibri" w:cs="Times New Roman"/>
        </w:rPr>
        <w:t xml:space="preserve">Income shall be classified as </w:t>
      </w:r>
      <w:r w:rsidR="00DD6753">
        <w:rPr>
          <w:rFonts w:eastAsia="Calibri" w:cs="Times New Roman"/>
        </w:rPr>
        <w:t>non-apportionable</w:t>
      </w:r>
      <w:r w:rsidRPr="000000D1">
        <w:rPr>
          <w:rFonts w:eastAsia="Calibri" w:cs="Times New Roman"/>
        </w:rPr>
        <w:t xml:space="preserve"> income where the corporate partner limits its connection to the partnership to the investment of funds or property and does not regularly or materially participate in the day-to-day operation of the partnership. Where the business of the partnership is directly or integrally related to the business of the corporate partner, the corporate partner's share of the partnership net income is classified as apportionable income. When classified as apportionable income, the corporate partner's apportionment factors shall include its proportionate share of the partnership's property, payroll, and sales. If the income is classified as </w:t>
      </w:r>
      <w:r w:rsidR="00DD6753">
        <w:rPr>
          <w:rFonts w:eastAsia="Calibri" w:cs="Times New Roman"/>
        </w:rPr>
        <w:t>non-apportionable</w:t>
      </w:r>
      <w:r w:rsidRPr="000000D1">
        <w:rPr>
          <w:rFonts w:eastAsia="Calibri" w:cs="Times New Roman"/>
        </w:rPr>
        <w:t xml:space="preserve"> income, it shall be included in the corporate partner's net taxable income and allocated in accordance with the allocation provisions of G.S. 105-130.4.</w:t>
      </w:r>
    </w:p>
    <w:p w14:paraId="762C819D" w14:textId="77777777" w:rsidR="000000D1" w:rsidRPr="000000D1" w:rsidRDefault="000000D1" w:rsidP="000000D1">
      <w:pPr>
        <w:ind w:left="720"/>
        <w:contextualSpacing/>
        <w:rPr>
          <w:rFonts w:eastAsia="Calibri" w:cs="Times New Roman"/>
        </w:rPr>
      </w:pPr>
    </w:p>
    <w:p w14:paraId="247556E7" w14:textId="77777777" w:rsidR="000000D1" w:rsidRPr="000000D1" w:rsidRDefault="000000D1" w:rsidP="000000D1">
      <w:pPr>
        <w:ind w:left="720"/>
        <w:contextualSpacing/>
        <w:rPr>
          <w:rFonts w:eastAsia="Calibri" w:cs="Times New Roman"/>
          <w:i/>
          <w:iCs/>
        </w:rPr>
      </w:pPr>
      <w:r w:rsidRPr="000000D1">
        <w:rPr>
          <w:rFonts w:eastAsia="Calibri" w:cs="Times New Roman"/>
        </w:rPr>
        <w:t xml:space="preserve">North Carolina Administrative Decision No. 97-548 (April 24, 1998) </w:t>
      </w:r>
    </w:p>
    <w:p w14:paraId="4493A0ED" w14:textId="77777777" w:rsidR="000000D1" w:rsidRPr="000000D1" w:rsidRDefault="000000D1" w:rsidP="000000D1">
      <w:pPr>
        <w:ind w:left="720"/>
        <w:contextualSpacing/>
        <w:rPr>
          <w:rFonts w:eastAsia="Calibri" w:cs="Times New Roman"/>
          <w:i/>
          <w:iCs/>
        </w:rPr>
      </w:pPr>
    </w:p>
    <w:p w14:paraId="6E918919" w14:textId="77777777" w:rsidR="000000D1" w:rsidRPr="000000D1" w:rsidRDefault="000000D1" w:rsidP="000000D1">
      <w:pPr>
        <w:ind w:left="1440"/>
        <w:contextualSpacing/>
        <w:rPr>
          <w:rFonts w:eastAsia="Calibri" w:cs="Times New Roman"/>
        </w:rPr>
      </w:pPr>
      <w:r w:rsidRPr="000000D1">
        <w:rPr>
          <w:rFonts w:eastAsia="Calibri" w:cs="Times New Roman"/>
        </w:rPr>
        <w:t>Similar to most states, our law and rules do not distinguish between general and limited partners of a partnership. Furthermore, the rules are applicable for all tiers of the partnership structure. Hence, a corporate partner, which otherwise has no activities in this State, is subject to a corporate income and franchise tax on its distributive share of the partnership income if the partnership is “doing business” in North Carolina. The facts of this case clearly establish that the taxpayer is “doing business” in this State under the Department's rules. Here, [Limited Partnership One] is “doing business” in North Carolina by virtue of its ownership interest in [Limited Partnership Two] which operates in this State. The taxpayer, in turn, is “doing business” in North Carolina by virtue of its ownership interest in the [Limited Partnership One] partnership and is therefore subject to the corporate franchise and income tax imposed under G.S. 105-122 and G.S. 105-130.3, respectively.</w:t>
      </w:r>
    </w:p>
    <w:p w14:paraId="60457E97" w14:textId="77777777" w:rsidR="000000D1" w:rsidRPr="000000D1" w:rsidRDefault="000000D1" w:rsidP="000000D1">
      <w:pPr>
        <w:ind w:left="720"/>
        <w:contextualSpacing/>
        <w:rPr>
          <w:rFonts w:eastAsia="Calibri" w:cs="Times New Roman"/>
        </w:rPr>
      </w:pPr>
    </w:p>
    <w:p w14:paraId="65164018" w14:textId="77777777" w:rsidR="000000D1" w:rsidRPr="000000D1" w:rsidRDefault="000000D1" w:rsidP="000000D1">
      <w:pPr>
        <w:ind w:left="1440"/>
        <w:contextualSpacing/>
        <w:rPr>
          <w:rFonts w:eastAsia="Calibri" w:cs="Times New Roman"/>
        </w:rPr>
      </w:pPr>
      <w:r w:rsidRPr="000000D1">
        <w:rPr>
          <w:rFonts w:eastAsia="Calibri" w:cs="Times New Roman"/>
        </w:rPr>
        <w:t>Regarding the second issue, I find that the pass-through income derived from [Limited Partnership One] is properly classified as apportionable business income to the taxpayer. N.C. ADMIN. CODE tit. 17, r. 5C.1702 states, in pertinent part, that: “. . . Where the business of the partnership is directly or integrally related to the business of the corporate partner, the corporate partner's share of the partnership net income is classified as business income. When classified as business income, the corporate partner's apportionment factors shall include its proportionate share of the partnership's property, payrolls and sales.”</w:t>
      </w:r>
    </w:p>
    <w:p w14:paraId="21A5BF5F" w14:textId="77777777" w:rsidR="000000D1" w:rsidRPr="000000D1" w:rsidRDefault="000000D1" w:rsidP="000000D1">
      <w:pPr>
        <w:ind w:left="720"/>
        <w:contextualSpacing/>
        <w:rPr>
          <w:rFonts w:eastAsia="Calibri" w:cs="Times New Roman"/>
        </w:rPr>
      </w:pPr>
    </w:p>
    <w:p w14:paraId="6EAB7381" w14:textId="77777777" w:rsidR="000000D1" w:rsidRPr="000000D1" w:rsidRDefault="000000D1" w:rsidP="000000D1">
      <w:pPr>
        <w:ind w:left="1440"/>
        <w:contextualSpacing/>
        <w:rPr>
          <w:rFonts w:eastAsia="Calibri" w:cs="Times New Roman"/>
        </w:rPr>
      </w:pPr>
      <w:r w:rsidRPr="000000D1">
        <w:rPr>
          <w:rFonts w:eastAsia="Calibri" w:cs="Times New Roman"/>
        </w:rPr>
        <w:t xml:space="preserve">The taxpayer asserts that, in the event a filing requirement is established, the business of [Limited Partnership One] is not directly or integrally related to its business because the taxpayer does not have a unitary relationship with the general partner of the </w:t>
      </w:r>
      <w:r w:rsidRPr="000000D1">
        <w:rPr>
          <w:rFonts w:eastAsia="Calibri" w:cs="Times New Roman"/>
        </w:rPr>
        <w:lastRenderedPageBreak/>
        <w:t>partnership, [Limited Partnership Two], and therefore, the income is properly classified as nonbusiness income. The evidence of record clearly shows that the taxpayer is a passive holding company with a [percentage] limited partnership interest in [Limited Partnership One] and a [percentage] ownership in [Corporation One], the general partner of [Limited Partnership One] and [Limited Partnership Two]. The evidence also shows that [Limited Partnership One] owns a [percentage] limited partnership interest in the operating partnership, [Limited Partnership Two], which owns and operates restaurants in North Carolina. Therefore, the taxpayer and [Limited Partnership One] are directly and integrally related by common ownership. The issues of whether the corporate partner manages the operations of the partnership, or whether the general partner and the limited partner have a unitary relationship are irrelevant to the question of whether the businesses of the taxpayer and [Limited Partnership One] are directly or integrally related. I find that the businesses of the taxpayer and [Limited Partnership One] are directly or integrally related and therefore the income from [Limited Partnership One] constitutes business income to the taxpayer.</w:t>
      </w:r>
    </w:p>
    <w:p w14:paraId="427B0D74" w14:textId="77777777" w:rsidR="000000D1" w:rsidRPr="000000D1" w:rsidRDefault="000000D1" w:rsidP="000000D1">
      <w:pPr>
        <w:ind w:left="720"/>
        <w:contextualSpacing/>
        <w:rPr>
          <w:rFonts w:eastAsia="Calibri" w:cs="Times New Roman"/>
        </w:rPr>
      </w:pPr>
    </w:p>
    <w:p w14:paraId="05C00312" w14:textId="77777777" w:rsidR="000000D1" w:rsidRPr="000000D1" w:rsidRDefault="000000D1" w:rsidP="000000D1">
      <w:pPr>
        <w:ind w:left="1440"/>
        <w:contextualSpacing/>
        <w:rPr>
          <w:rFonts w:eastAsia="Calibri" w:cs="Times New Roman"/>
        </w:rPr>
      </w:pPr>
      <w:r w:rsidRPr="000000D1">
        <w:rPr>
          <w:rFonts w:eastAsia="Calibri" w:cs="Times New Roman"/>
        </w:rPr>
        <w:t>The taxpayer further asserts that its pro-rata share of [Limited Partnership One]'s net income should be classified as nonbusiness income allocable to [state other than North Carolina], the state of its commercial domicile, because it limits its connection to [Limited Partnership One] to the mere investment of funds and does not materially participate in the day-to-day operations of the partnerships. However, I am unpersuaded by this argument, which implies that a passive holding company is not a business and does not produce any business income anywhere. A company of this type engages in no other business activity apart from its ownership interest in its investments. Therefore, its principal business activity is its investments, and income derived from those investments is business income.</w:t>
      </w:r>
    </w:p>
    <w:p w14:paraId="32427A8B" w14:textId="77777777" w:rsidR="000000D1" w:rsidRPr="000000D1" w:rsidRDefault="000000D1" w:rsidP="000000D1">
      <w:pPr>
        <w:ind w:left="720"/>
        <w:contextualSpacing/>
        <w:rPr>
          <w:rFonts w:eastAsia="Calibri" w:cs="Times New Roman"/>
        </w:rPr>
      </w:pPr>
    </w:p>
    <w:p w14:paraId="3B63F865" w14:textId="77777777" w:rsidR="000000D1" w:rsidRPr="000000D1" w:rsidRDefault="000000D1" w:rsidP="000000D1">
      <w:pPr>
        <w:ind w:left="1440"/>
        <w:contextualSpacing/>
        <w:rPr>
          <w:rFonts w:eastAsia="Calibri" w:cs="Times New Roman"/>
        </w:rPr>
      </w:pPr>
      <w:r w:rsidRPr="000000D1">
        <w:rPr>
          <w:rFonts w:eastAsia="Calibri" w:cs="Times New Roman"/>
        </w:rPr>
        <w:t>In any event, under no circumstance would the income from [Limited Partnership One] be allocated to the commercial domicile of the taxpayer as it contends. N.C. ADMIN. CODE tit. 17, r. 5C.1702 provides that the corporate partner's net taxable income be apportioned and/or allocated to this State in accordance with the apportionment and allocation provisions of G.S. 105-130.4. Section (h) of the statute states that: “The income less related expenses from any other nonbusiness activities or investments not otherwise specified in this section is allocable to this State if the business situs of the activities or investments are located in this State.” Therefore, even if such income were classified as nonbusiness income to the taxpayer, it would be at least partly allocable to this State and subject to taxation in this State because the situs of some of the restaurants giving rise to the pass-through income is in North Carolina. Under the applicable statute and rules, however, the income from [Limited Partnership One] to is clearly apportionable business income.</w:t>
      </w:r>
    </w:p>
    <w:p w14:paraId="053D02A0" w14:textId="77777777" w:rsidR="000000D1" w:rsidRPr="000000D1" w:rsidRDefault="000000D1" w:rsidP="000000D1">
      <w:pPr>
        <w:ind w:left="720"/>
        <w:contextualSpacing/>
        <w:rPr>
          <w:rFonts w:eastAsia="Calibri" w:cs="Times New Roman"/>
        </w:rPr>
      </w:pPr>
    </w:p>
    <w:p w14:paraId="109A75FD" w14:textId="77777777" w:rsidR="000000D1" w:rsidRPr="000000D1" w:rsidRDefault="000000D1" w:rsidP="000000D1">
      <w:pPr>
        <w:ind w:left="1440"/>
        <w:contextualSpacing/>
        <w:rPr>
          <w:rFonts w:eastAsia="Calibri" w:cs="Times New Roman"/>
        </w:rPr>
      </w:pPr>
      <w:r w:rsidRPr="000000D1">
        <w:rPr>
          <w:rFonts w:eastAsia="Calibri" w:cs="Times New Roman"/>
        </w:rPr>
        <w:t>Finally, the Department submitted an Attorney General's Opinion dated January 7, 1947 as evidence and support of its long-standing position concerning its treatment of the corporate partner and the identification of the pass-through income of a partnership “doing business” in this State. In addition, the Department has formulated and issued rules to instruct the corporate partner of a partnership “doing business” in this State of its filing requirements and the proper treatment of the pass-through income from the partnership. These rules clearly establish that the taxpayer is required to file corporate franchise and income tax returns and apportion its business income to this State. Therefore, I find that the denial of the refunds requested on the amended corporate franchise and income tax returns and the proposed assessment for unpaid franchise tax were proper under the facts and law.</w:t>
      </w:r>
    </w:p>
    <w:p w14:paraId="10AD37CA" w14:textId="77777777" w:rsidR="000000D1" w:rsidRPr="000000D1" w:rsidRDefault="000000D1" w:rsidP="000000D1">
      <w:pPr>
        <w:contextualSpacing/>
        <w:rPr>
          <w:rFonts w:eastAsia="Calibri" w:cs="Times New Roman"/>
        </w:rPr>
      </w:pPr>
      <w:r w:rsidRPr="000000D1">
        <w:rPr>
          <w:rFonts w:eastAsia="Calibri" w:cs="Times New Roman"/>
        </w:rPr>
        <w:tab/>
      </w:r>
    </w:p>
    <w:p w14:paraId="604201CB" w14:textId="77777777" w:rsidR="000000D1" w:rsidRPr="000000D1" w:rsidRDefault="000000D1" w:rsidP="000000D1">
      <w:pPr>
        <w:contextualSpacing/>
        <w:rPr>
          <w:rFonts w:eastAsia="Calibri" w:cs="Times New Roman"/>
          <w:i/>
          <w:iCs/>
        </w:rPr>
      </w:pPr>
      <w:r w:rsidRPr="000000D1">
        <w:rPr>
          <w:rFonts w:eastAsia="Calibri" w:cs="Times New Roman"/>
        </w:rPr>
        <w:tab/>
        <w:t xml:space="preserve">North Carolina Corporate Income Tax Directive PD-14-02 (October 10, 2014) </w:t>
      </w:r>
    </w:p>
    <w:p w14:paraId="5F4BB88A" w14:textId="77777777" w:rsidR="000000D1" w:rsidRPr="000000D1" w:rsidRDefault="000000D1" w:rsidP="000000D1">
      <w:pPr>
        <w:contextualSpacing/>
        <w:rPr>
          <w:rFonts w:eastAsia="Calibri" w:cs="Times New Roman"/>
          <w:i/>
          <w:iCs/>
        </w:rPr>
      </w:pPr>
    </w:p>
    <w:p w14:paraId="76F36045" w14:textId="77777777" w:rsidR="000000D1" w:rsidRPr="000000D1" w:rsidRDefault="000000D1" w:rsidP="000000D1">
      <w:pPr>
        <w:ind w:left="1440"/>
        <w:contextualSpacing/>
        <w:rPr>
          <w:rFonts w:eastAsia="Calibri" w:cs="Times New Roman"/>
        </w:rPr>
      </w:pPr>
      <w:r w:rsidRPr="000000D1">
        <w:rPr>
          <w:rFonts w:eastAsia="Calibri" w:cs="Times New Roman"/>
        </w:rPr>
        <w:lastRenderedPageBreak/>
        <w:t>The Department has recently reviewed its position on apportionment and allocation of partnership income. The Department has determined that the requirement in G.S. 105-153.4(d) to use the ratio calculated under the corporate apportionment formula in G.S. 105-130.4 necessarily includes use of an alternative apportionment method approved by the Secretary as well as use of the statutory apportionment formulas set out in G.S. 105-130.4(i) and G.S. 105-130.4(m) through (s1). The Department has also concluded that it imprudently exercised its authority under G.S. 105-262 and G.S. 105-264 when it required or allowed partnerships to separately account for business activities that were segregated from other business activities. Finally, the Department has determined that in many cases a partnership misconstrued the Department's guidance by segregating a portion of its apportionable income because it employed a method of accounting that clearly reflected the income of a specific activity.</w:t>
      </w:r>
    </w:p>
    <w:p w14:paraId="71C1249C" w14:textId="77777777" w:rsidR="000000D1" w:rsidRPr="000000D1" w:rsidRDefault="000000D1" w:rsidP="000000D1">
      <w:pPr>
        <w:contextualSpacing/>
        <w:rPr>
          <w:rFonts w:eastAsia="Calibri" w:cs="Times New Roman"/>
        </w:rPr>
      </w:pPr>
    </w:p>
    <w:p w14:paraId="19A66418" w14:textId="1F0FF0BF" w:rsidR="000000D1" w:rsidRPr="000000D1" w:rsidRDefault="000000D1" w:rsidP="000000D1">
      <w:pPr>
        <w:ind w:left="1440"/>
        <w:contextualSpacing/>
        <w:rPr>
          <w:rFonts w:eastAsia="Calibri" w:cs="Times New Roman"/>
        </w:rPr>
      </w:pPr>
      <w:r w:rsidRPr="000000D1">
        <w:rPr>
          <w:rFonts w:eastAsia="Calibri" w:cs="Times New Roman"/>
        </w:rPr>
        <w:t xml:space="preserve">As a result of the review, the Department will revise its partnership income tax return form and instructions for 2014 to remove provisions for reporting income from segregated activities. The Department believes that, under a constitutionally sound apportionment method, income from unitary business activities is apportionable and income from an activity that is not part of the unitary business activities is allocated to the business situs of the activity. Consequently, the partnership tax return form will also be revised to include a line for reporting </w:t>
      </w:r>
      <w:r w:rsidR="00DD6753">
        <w:rPr>
          <w:rFonts w:eastAsia="Calibri" w:cs="Times New Roman"/>
        </w:rPr>
        <w:t>non-apportionable</w:t>
      </w:r>
      <w:r w:rsidRPr="000000D1">
        <w:rPr>
          <w:rFonts w:eastAsia="Calibri" w:cs="Times New Roman"/>
        </w:rPr>
        <w:t xml:space="preserve"> income from North Carolina sources and a line for reporting apportionable income subject to North Carolina's apportionment factor.</w:t>
      </w:r>
    </w:p>
    <w:p w14:paraId="1F5AA418" w14:textId="77777777" w:rsidR="000000D1" w:rsidRPr="000000D1" w:rsidRDefault="000000D1" w:rsidP="000000D1">
      <w:pPr>
        <w:contextualSpacing/>
        <w:rPr>
          <w:rFonts w:eastAsia="Calibri" w:cs="Times New Roman"/>
        </w:rPr>
      </w:pPr>
    </w:p>
    <w:p w14:paraId="7355E91C" w14:textId="77777777" w:rsidR="000000D1" w:rsidRPr="000000D1" w:rsidRDefault="000000D1" w:rsidP="000000D1">
      <w:pPr>
        <w:ind w:left="1440"/>
        <w:contextualSpacing/>
        <w:rPr>
          <w:rFonts w:eastAsia="Calibri" w:cs="Times New Roman"/>
        </w:rPr>
      </w:pPr>
      <w:r w:rsidRPr="000000D1">
        <w:rPr>
          <w:rFonts w:eastAsia="Calibri" w:cs="Times New Roman"/>
        </w:rPr>
        <w:t>If a partnership believes that the statutory apportionment formula attributes a greater portion of its income to North Carolina tax than is reasonably attributable to its business in this State, it may make a written request with the Secretary of Revenue for permission to use an apportionment formula that it believes is a better method to attribute its income to North Carolina. The procedures set forth in administrative rule T17 NCAC Chapter 5D .0107 through .0115 for a corporation to request an alternative apportionment formula will also apply to a partnership seeking an alternative apportionment formula.</w:t>
      </w:r>
    </w:p>
    <w:p w14:paraId="41DCC072" w14:textId="77777777" w:rsidR="000000D1" w:rsidRPr="000000D1" w:rsidRDefault="000000D1" w:rsidP="000000D1">
      <w:pPr>
        <w:ind w:left="720"/>
        <w:contextualSpacing/>
        <w:rPr>
          <w:rFonts w:eastAsia="Calibri" w:cs="Times New Roman"/>
        </w:rPr>
      </w:pPr>
    </w:p>
    <w:p w14:paraId="4CCFB732" w14:textId="77777777" w:rsidR="000000D1" w:rsidRPr="000000D1" w:rsidRDefault="000000D1" w:rsidP="000000D1">
      <w:pPr>
        <w:ind w:left="720"/>
        <w:contextualSpacing/>
        <w:rPr>
          <w:rFonts w:eastAsia="Calibri" w:cs="Times New Roman"/>
        </w:rPr>
      </w:pPr>
      <w:r w:rsidRPr="000000D1">
        <w:rPr>
          <w:rFonts w:eastAsia="Calibri" w:cs="Times New Roman"/>
        </w:rPr>
        <w:t xml:space="preserve">North Carolina Form D-403A Instructions (2022) </w:t>
      </w:r>
    </w:p>
    <w:p w14:paraId="57B3D493" w14:textId="77777777" w:rsidR="000000D1" w:rsidRPr="000000D1" w:rsidRDefault="000000D1" w:rsidP="000000D1">
      <w:pPr>
        <w:contextualSpacing/>
        <w:rPr>
          <w:rFonts w:eastAsia="Calibri" w:cs="Times New Roman"/>
        </w:rPr>
      </w:pPr>
    </w:p>
    <w:p w14:paraId="28EEFC52" w14:textId="77777777" w:rsidR="000000D1" w:rsidRPr="000000D1" w:rsidRDefault="000000D1" w:rsidP="000000D1">
      <w:pPr>
        <w:ind w:left="1440"/>
        <w:rPr>
          <w:rFonts w:eastAsia="Calibri" w:cs="Times New Roman"/>
        </w:rPr>
      </w:pPr>
      <w:r w:rsidRPr="000000D1">
        <w:rPr>
          <w:rFonts w:eastAsia="Calibri" w:cs="Times New Roman"/>
        </w:rPr>
        <w:t>A partnership with one or more nonresident partners whose business activities in N.C. are unified and integrated with its business activities in other states is required to apportion its partnership income to N.C. by multiplying the income by a fraction, the numerator of which is the total sales of the partnership within N.C., and the denominator of which is the total sales of the partnership everywhere during the income year.</w:t>
      </w:r>
    </w:p>
    <w:p w14:paraId="7352A55C" w14:textId="77777777" w:rsidR="000000D1" w:rsidRPr="000000D1" w:rsidRDefault="000000D1" w:rsidP="000000D1">
      <w:pPr>
        <w:pBdr>
          <w:bottom w:val="single" w:sz="4" w:space="0" w:color="auto"/>
        </w:pBdr>
        <w:rPr>
          <w:rFonts w:eastAsia="Calibri" w:cs="Times New Roman"/>
        </w:rPr>
      </w:pPr>
    </w:p>
    <w:p w14:paraId="449EB6E1"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38" w:name="_Toc198480796"/>
      <w:r w:rsidRPr="000000D1">
        <w:rPr>
          <w:rFonts w:ascii="Californian FB" w:eastAsia="Times New Roman" w:hAnsi="Californian FB" w:cs="Times New Roman"/>
          <w:b/>
          <w:color w:val="851C00"/>
          <w:sz w:val="24"/>
          <w:szCs w:val="24"/>
          <w:u w:val="single"/>
        </w:rPr>
        <w:t>North Dakota</w:t>
      </w:r>
      <w:bookmarkEnd w:id="138"/>
    </w:p>
    <w:p w14:paraId="17DAA457" w14:textId="77777777" w:rsidR="000000D1" w:rsidRPr="000000D1" w:rsidRDefault="000000D1" w:rsidP="000000D1">
      <w:pPr>
        <w:ind w:left="720"/>
        <w:contextualSpacing/>
        <w:rPr>
          <w:rFonts w:eastAsia="Calibri" w:cs="Times New Roman"/>
        </w:rPr>
      </w:pPr>
      <w:r w:rsidRPr="000000D1">
        <w:rPr>
          <w:rFonts w:eastAsia="Calibri" w:cs="Times New Roman"/>
        </w:rPr>
        <w:t xml:space="preserve">N.D. Cent. Code § 57-38-08.1 </w:t>
      </w:r>
    </w:p>
    <w:p w14:paraId="39DF65D6" w14:textId="77777777" w:rsidR="000000D1" w:rsidRPr="000000D1" w:rsidRDefault="000000D1" w:rsidP="00366E17">
      <w:pPr>
        <w:numPr>
          <w:ilvl w:val="0"/>
          <w:numId w:val="26"/>
        </w:numPr>
        <w:contextualSpacing/>
        <w:rPr>
          <w:rFonts w:eastAsia="Calibri" w:cs="Times New Roman"/>
        </w:rPr>
      </w:pPr>
      <w:r w:rsidRPr="000000D1">
        <w:rPr>
          <w:rFonts w:eastAsia="Calibri" w:cs="Times New Roman"/>
        </w:rPr>
        <w:t>A partnership that carries on its business activity entirely within this state shall report all of its income or loss to this state. A partnership that carries on its business activity within and without this state shall allocate and apportion its income or loss to this state in the same manner as the income or loss of a corporation is allocated and apportioned to the state under chapter 57-38.1.</w:t>
      </w:r>
    </w:p>
    <w:p w14:paraId="4A52A07A" w14:textId="77777777" w:rsidR="000000D1" w:rsidRPr="000000D1" w:rsidRDefault="000000D1" w:rsidP="00366E17">
      <w:pPr>
        <w:numPr>
          <w:ilvl w:val="0"/>
          <w:numId w:val="26"/>
        </w:numPr>
        <w:contextualSpacing/>
        <w:rPr>
          <w:rFonts w:eastAsia="Calibri" w:cs="Times New Roman"/>
        </w:rPr>
      </w:pPr>
      <w:r w:rsidRPr="000000D1">
        <w:rPr>
          <w:rFonts w:eastAsia="Calibri" w:cs="Times New Roman"/>
        </w:rPr>
        <w:t>Resident partners, limited to individuals, estates, and trusts, must report their entire distributive share to this state as provided in subdivision b of subsection 6 of section 57-38-04, and may claim a credit for taxes paid to another state on that portion of their distributive share attributable to and taxed by another state, as provided in subdivision j of subsection 1 of section 57-38-30.</w:t>
      </w:r>
    </w:p>
    <w:p w14:paraId="5EE34B13" w14:textId="77777777" w:rsidR="000000D1" w:rsidRPr="000000D1" w:rsidRDefault="000000D1" w:rsidP="00366E17">
      <w:pPr>
        <w:numPr>
          <w:ilvl w:val="0"/>
          <w:numId w:val="26"/>
        </w:numPr>
        <w:contextualSpacing/>
        <w:rPr>
          <w:rFonts w:eastAsia="Calibri" w:cs="Times New Roman"/>
        </w:rPr>
      </w:pPr>
      <w:r w:rsidRPr="000000D1">
        <w:rPr>
          <w:rFonts w:eastAsia="Calibri" w:cs="Times New Roman"/>
        </w:rPr>
        <w:lastRenderedPageBreak/>
        <w:t>(a) In determining the gross income of a nonresident partner, limited to individuals, estates, and trusts, there must be included only that part derived from or connected with sources in this state of the partner's distributive share of items of partnership income, gain, loss and deduction, or item thereof, entering into the federal taxable income of the partner, as determined under section 57-38-04 . . .</w:t>
      </w:r>
    </w:p>
    <w:p w14:paraId="50C4012D" w14:textId="77777777" w:rsidR="000000D1" w:rsidRPr="000000D1" w:rsidRDefault="000000D1" w:rsidP="000000D1">
      <w:pPr>
        <w:ind w:left="1800"/>
        <w:contextualSpacing/>
        <w:rPr>
          <w:rFonts w:eastAsia="Calibri" w:cs="Times New Roman"/>
        </w:rPr>
      </w:pPr>
      <w:r w:rsidRPr="000000D1">
        <w:rPr>
          <w:rFonts w:eastAsia="Calibri" w:cs="Times New Roman"/>
        </w:rPr>
        <w:t>(c)Any modification to federal taxable income described in this chapter that relates to an item of partnership income, gain, loss, or deduction, or item thereof, must be made in accordance with the partner's distributive share, for federal income tax purposes, of the item to which the modification relates, but limited to the partner's portion of the item derived from or connected with sources in this state.</w:t>
      </w:r>
    </w:p>
    <w:p w14:paraId="0A6DFD0F" w14:textId="77777777" w:rsidR="000000D1" w:rsidRPr="000000D1" w:rsidRDefault="000000D1" w:rsidP="000000D1">
      <w:pPr>
        <w:ind w:left="1800"/>
        <w:contextualSpacing/>
        <w:rPr>
          <w:rFonts w:eastAsia="Calibri" w:cs="Times New Roman"/>
        </w:rPr>
      </w:pPr>
      <w:r w:rsidRPr="000000D1">
        <w:rPr>
          <w:rFonts w:eastAsia="Calibri" w:cs="Times New Roman"/>
        </w:rPr>
        <w:t>(d) On application, the commissioner may authorize the use of other methods of determining a nonresident partner's portion of partnership items derived from or connected with sources in this state, and the related modifications, as may be appropriate and equitable, on the terms and conditions as it may require.</w:t>
      </w:r>
    </w:p>
    <w:p w14:paraId="3891D688" w14:textId="77777777" w:rsidR="000000D1" w:rsidRPr="000000D1" w:rsidRDefault="000000D1" w:rsidP="000000D1">
      <w:pPr>
        <w:ind w:left="720"/>
        <w:contextualSpacing/>
        <w:rPr>
          <w:rFonts w:eastAsia="Calibri" w:cs="Times New Roman"/>
          <w:i/>
          <w:iCs/>
        </w:rPr>
      </w:pPr>
      <w:r w:rsidRPr="000000D1">
        <w:rPr>
          <w:rFonts w:eastAsia="Calibri" w:cs="Times New Roman"/>
        </w:rPr>
        <w:t xml:space="preserve">N.D. Cent. Code § 57-38-04 </w:t>
      </w:r>
    </w:p>
    <w:p w14:paraId="4DDFEE15" w14:textId="77777777" w:rsidR="000000D1" w:rsidRPr="000000D1" w:rsidRDefault="000000D1" w:rsidP="000000D1">
      <w:pPr>
        <w:ind w:left="720"/>
        <w:contextualSpacing/>
        <w:rPr>
          <w:rFonts w:eastAsia="Calibri" w:cs="Times New Roman"/>
        </w:rPr>
      </w:pPr>
    </w:p>
    <w:p w14:paraId="22BD6AD5" w14:textId="77777777" w:rsidR="000000D1" w:rsidRPr="000000D1" w:rsidRDefault="000000D1" w:rsidP="000000D1">
      <w:pPr>
        <w:ind w:left="1440"/>
        <w:contextualSpacing/>
        <w:rPr>
          <w:rFonts w:eastAsia="Calibri" w:cs="Times New Roman"/>
        </w:rPr>
      </w:pPr>
      <w:r w:rsidRPr="000000D1">
        <w:rPr>
          <w:rFonts w:eastAsia="Calibri" w:cs="Times New Roman"/>
        </w:rPr>
        <w:t>(4) Income derived from business activity carried on by an individual as a sole proprietorship, or through a partnership, subchapter S corporation, or other passthrough entity, must be assigned to this state without regard to the residence of the individual if the business activity is conducted wholly within this state. Income derived from gaming activity carried on in this state by an individual must be assigned to this state without regard to the residence of the individual.</w:t>
      </w:r>
    </w:p>
    <w:p w14:paraId="57B820A1" w14:textId="77777777" w:rsidR="000000D1" w:rsidRPr="000000D1" w:rsidRDefault="000000D1" w:rsidP="000000D1">
      <w:pPr>
        <w:ind w:left="1440"/>
        <w:contextualSpacing/>
        <w:rPr>
          <w:rFonts w:eastAsia="Calibri" w:cs="Times New Roman"/>
        </w:rPr>
      </w:pPr>
      <w:r w:rsidRPr="000000D1">
        <w:rPr>
          <w:rFonts w:eastAsia="Calibri" w:cs="Times New Roman"/>
        </w:rPr>
        <w:t>(5) Whenever business activity is carried on partly within and partly without this state by a nonresident of this state as a sole proprietorship, or through a partnership, subchapter S corporation, or other passthrough entity, the entire income therefrom must be allocated to this state and to other states, according to the provisions of chapter </w:t>
      </w:r>
      <w:hyperlink r:id="rId39" w:anchor="jcite" w:history="1">
        <w:r w:rsidRPr="000000D1">
          <w:rPr>
            <w:rFonts w:eastAsia="Calibri" w:cs="Times New Roman"/>
            <w:color w:val="C00000"/>
            <w:u w:val="single"/>
          </w:rPr>
          <w:t>57-38.1</w:t>
        </w:r>
      </w:hyperlink>
      <w:r w:rsidRPr="000000D1">
        <w:rPr>
          <w:rFonts w:eastAsia="Calibri" w:cs="Times New Roman"/>
        </w:rPr>
        <w:t> but only according to the apportionment method provided under subsection 1 of section </w:t>
      </w:r>
      <w:hyperlink r:id="rId40" w:anchor="jcite" w:history="1">
        <w:r w:rsidRPr="000000D1">
          <w:rPr>
            <w:rFonts w:eastAsia="Calibri" w:cs="Times New Roman"/>
            <w:color w:val="C00000"/>
            <w:u w:val="single"/>
          </w:rPr>
          <w:t>57-38.1-09</w:t>
        </w:r>
      </w:hyperlink>
      <w:r w:rsidRPr="000000D1">
        <w:rPr>
          <w:rFonts w:eastAsia="Calibri" w:cs="Times New Roman"/>
        </w:rPr>
        <w:t>, providing for allocation and apportionment of income of corporations doing business within and without this state.</w:t>
      </w:r>
    </w:p>
    <w:p w14:paraId="4DC8A39E" w14:textId="77777777" w:rsidR="000000D1" w:rsidRPr="000000D1" w:rsidRDefault="000000D1" w:rsidP="000000D1">
      <w:pPr>
        <w:ind w:left="720" w:firstLine="720"/>
        <w:contextualSpacing/>
        <w:rPr>
          <w:rFonts w:eastAsia="Calibri" w:cs="Times New Roman"/>
        </w:rPr>
      </w:pPr>
      <w:r w:rsidRPr="000000D1">
        <w:rPr>
          <w:rFonts w:eastAsia="Calibri" w:cs="Times New Roman"/>
        </w:rPr>
        <w:t>(6)</w:t>
      </w:r>
    </w:p>
    <w:p w14:paraId="2539CA27" w14:textId="77777777" w:rsidR="000000D1" w:rsidRPr="000000D1" w:rsidRDefault="000000D1" w:rsidP="000000D1">
      <w:pPr>
        <w:ind w:left="1440"/>
        <w:contextualSpacing/>
        <w:rPr>
          <w:rFonts w:eastAsia="Calibri" w:cs="Times New Roman"/>
        </w:rPr>
      </w:pPr>
      <w:r w:rsidRPr="000000D1">
        <w:rPr>
          <w:rFonts w:eastAsia="Calibri" w:cs="Times New Roman"/>
        </w:rPr>
        <w:t>(a) Income and gains received by a resident of this state from tangible property not employed in the business and from tangible property employed in the business of the taxpayer, if the business consists principally of the holding of the property and the collection of income and gains from the business, must be assigned to this state without regard to the situs of the property.</w:t>
      </w:r>
    </w:p>
    <w:p w14:paraId="350D0745" w14:textId="77777777" w:rsidR="000000D1" w:rsidRPr="000000D1" w:rsidRDefault="000000D1" w:rsidP="000000D1">
      <w:pPr>
        <w:ind w:left="1440"/>
        <w:contextualSpacing/>
        <w:rPr>
          <w:rFonts w:eastAsia="Calibri" w:cs="Times New Roman"/>
        </w:rPr>
      </w:pPr>
      <w:r w:rsidRPr="000000D1">
        <w:rPr>
          <w:rFonts w:eastAsia="Calibri" w:cs="Times New Roman"/>
        </w:rPr>
        <w:t>(b) Income derived from business activity carried on by residents of this state, whether the business activity is conducted as a sole proprietorship, or through a partnership, subchapter S corporation, or other passthrough entity, must be assigned to this state without regard to where the business activity is conducted, and the provisions of chapter </w:t>
      </w:r>
      <w:hyperlink r:id="rId41" w:anchor="jcite" w:history="1">
        <w:r w:rsidRPr="000000D1">
          <w:rPr>
            <w:rFonts w:eastAsia="Calibri" w:cs="Times New Roman"/>
            <w:color w:val="C00000"/>
            <w:u w:val="single"/>
          </w:rPr>
          <w:t>57-38.1</w:t>
        </w:r>
      </w:hyperlink>
      <w:r w:rsidRPr="000000D1">
        <w:rPr>
          <w:rFonts w:eastAsia="Calibri" w:cs="Times New Roman"/>
        </w:rPr>
        <w:t> do not apply. If the taxpayer believes the operation of this subdivision with respect to the taxpayer's income is unjust, the taxpayer may petition the tax commissioner who may allow use of another method of reporting income, including separate accounting.</w:t>
      </w:r>
    </w:p>
    <w:p w14:paraId="4FDCB862" w14:textId="77777777" w:rsidR="000000D1" w:rsidRPr="000000D1" w:rsidRDefault="000000D1" w:rsidP="000000D1">
      <w:pPr>
        <w:contextualSpacing/>
        <w:rPr>
          <w:rFonts w:eastAsia="Calibri" w:cs="Times New Roman"/>
        </w:rPr>
      </w:pPr>
    </w:p>
    <w:p w14:paraId="619A6B08" w14:textId="77777777" w:rsidR="000000D1" w:rsidRPr="000000D1" w:rsidRDefault="000000D1" w:rsidP="000000D1">
      <w:pPr>
        <w:ind w:left="720"/>
        <w:contextualSpacing/>
        <w:rPr>
          <w:rFonts w:eastAsia="Calibri" w:cs="Times New Roman"/>
        </w:rPr>
      </w:pPr>
      <w:r w:rsidRPr="000000D1">
        <w:rPr>
          <w:rFonts w:eastAsia="Calibri" w:cs="Times New Roman"/>
        </w:rPr>
        <w:t>N.D. Admin. Code 81-03-05.3-03(2)(d) (worldwide)</w:t>
      </w:r>
      <w:r w:rsidRPr="000000D1">
        <w:rPr>
          <w:rFonts w:eastAsia="Calibri" w:cs="Times New Roman"/>
          <w:i/>
          <w:iCs/>
        </w:rPr>
        <w:t xml:space="preserve"> </w:t>
      </w:r>
    </w:p>
    <w:p w14:paraId="7C08ED2A" w14:textId="77777777" w:rsidR="000000D1" w:rsidRPr="000000D1" w:rsidRDefault="000000D1" w:rsidP="000000D1">
      <w:pPr>
        <w:contextualSpacing/>
        <w:rPr>
          <w:rFonts w:eastAsia="Calibri" w:cs="Times New Roman"/>
        </w:rPr>
      </w:pPr>
    </w:p>
    <w:p w14:paraId="7D7F6D99" w14:textId="77777777" w:rsidR="000000D1" w:rsidRPr="000000D1" w:rsidRDefault="000000D1" w:rsidP="000000D1">
      <w:pPr>
        <w:ind w:left="1440"/>
        <w:rPr>
          <w:rFonts w:eastAsia="Calibri" w:cs="Times New Roman"/>
        </w:rPr>
      </w:pPr>
      <w:r w:rsidRPr="000000D1">
        <w:rPr>
          <w:rFonts w:eastAsia="Calibri" w:cs="Times New Roman"/>
        </w:rPr>
        <w:t>When apportionable income includes income from a corporation's ownership interest in a general partnership, the corporate partner's share of the partnership's property, payroll, and sales must be included in the group's apportionment factors.</w:t>
      </w:r>
    </w:p>
    <w:p w14:paraId="1C9C84D7" w14:textId="77777777" w:rsidR="000000D1" w:rsidRPr="000000D1" w:rsidRDefault="000000D1" w:rsidP="000000D1">
      <w:pPr>
        <w:ind w:left="1440"/>
        <w:rPr>
          <w:rFonts w:eastAsia="Calibri" w:cs="Times New Roman"/>
        </w:rPr>
      </w:pPr>
      <w:r w:rsidRPr="000000D1">
        <w:rPr>
          <w:rFonts w:eastAsia="Calibri" w:cs="Times New Roman"/>
          <w:i/>
          <w:iCs/>
        </w:rPr>
        <w:t>Administrative Practice</w:t>
      </w:r>
      <w:r w:rsidRPr="000000D1">
        <w:rPr>
          <w:rFonts w:eastAsia="Calibri" w:cs="Times New Roman"/>
        </w:rPr>
        <w:t xml:space="preserve">: For ND, it is our administrative practice that flow through factors should be included in any situation where the passthrough income is considered apportionable business income to the partner/owner. Our interpretation is that the administrative rule above (which identifies a general partnership interest) is but one example of when flow through factors would be appropriate, but not the only circumstance.  Our practice is that the propriety of flow through apportionment does not hinge </w:t>
      </w:r>
      <w:r w:rsidRPr="000000D1">
        <w:rPr>
          <w:rFonts w:eastAsia="Calibri" w:cs="Times New Roman"/>
        </w:rPr>
        <w:lastRenderedPageBreak/>
        <w:t>on the “form” of arrangement (general partner versus limited partner), but rather the specific facts and circumstances. As a result, ownership interests in limited partnerships and LLCs may also require flow through apportionment.</w:t>
      </w:r>
    </w:p>
    <w:p w14:paraId="3BA0E221" w14:textId="77777777" w:rsidR="000000D1" w:rsidRPr="000000D1" w:rsidRDefault="000000D1" w:rsidP="000000D1">
      <w:pPr>
        <w:ind w:left="720"/>
        <w:contextualSpacing/>
        <w:rPr>
          <w:rFonts w:eastAsia="Calibri" w:cs="Times New Roman"/>
        </w:rPr>
      </w:pPr>
      <w:r w:rsidRPr="000000D1">
        <w:rPr>
          <w:rFonts w:eastAsia="Calibri" w:cs="Times New Roman"/>
        </w:rPr>
        <w:t xml:space="preserve">North Dakota Tax Website </w:t>
      </w:r>
    </w:p>
    <w:p w14:paraId="260FE468" w14:textId="77777777" w:rsidR="000000D1" w:rsidRPr="000000D1" w:rsidRDefault="000000D1" w:rsidP="000000D1">
      <w:pPr>
        <w:contextualSpacing/>
        <w:rPr>
          <w:rFonts w:eastAsia="Calibri" w:cs="Times New Roman"/>
        </w:rPr>
      </w:pPr>
    </w:p>
    <w:p w14:paraId="4ABA2A25" w14:textId="77777777" w:rsidR="000000D1" w:rsidRPr="000000D1" w:rsidRDefault="000000D1" w:rsidP="000000D1">
      <w:pPr>
        <w:ind w:left="1440"/>
        <w:rPr>
          <w:rFonts w:eastAsia="Calibri" w:cs="Times New Roman"/>
        </w:rPr>
      </w:pPr>
      <w:r w:rsidRPr="000000D1">
        <w:rPr>
          <w:rFonts w:eastAsia="Calibri" w:cs="Times New Roman"/>
        </w:rPr>
        <w:t xml:space="preserve">Apportionment - All income derived from the partnership’s activity is business income and is subject to apportionment. For the definitions of business and nonbusiness income, see North Dakota Administrative Code § 81-03-09. North Dakota does not allow for separate accounting. </w:t>
      </w:r>
    </w:p>
    <w:p w14:paraId="62EFA867" w14:textId="77777777" w:rsidR="000000D1" w:rsidRPr="000000D1" w:rsidRDefault="000000D1" w:rsidP="000000D1">
      <w:pPr>
        <w:pBdr>
          <w:bottom w:val="single" w:sz="4" w:space="0" w:color="auto"/>
        </w:pBdr>
        <w:rPr>
          <w:rFonts w:eastAsia="Calibri" w:cs="Times New Roman"/>
        </w:rPr>
      </w:pPr>
    </w:p>
    <w:p w14:paraId="1F1C64E4"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39" w:name="_Toc198480797"/>
      <w:r w:rsidRPr="000000D1">
        <w:rPr>
          <w:rFonts w:ascii="Californian FB" w:eastAsia="Times New Roman" w:hAnsi="Californian FB" w:cs="Times New Roman"/>
          <w:b/>
          <w:color w:val="851C00"/>
          <w:sz w:val="24"/>
          <w:szCs w:val="24"/>
          <w:u w:val="single"/>
        </w:rPr>
        <w:t>Ohio</w:t>
      </w:r>
      <w:bookmarkEnd w:id="139"/>
    </w:p>
    <w:p w14:paraId="1F5740C4" w14:textId="77777777" w:rsidR="000000D1" w:rsidRPr="000000D1" w:rsidRDefault="000000D1" w:rsidP="000000D1">
      <w:pPr>
        <w:ind w:left="720"/>
        <w:contextualSpacing/>
        <w:rPr>
          <w:rFonts w:eastAsia="Calibri" w:cs="Times New Roman"/>
        </w:rPr>
      </w:pPr>
      <w:r w:rsidRPr="000000D1">
        <w:rPr>
          <w:rFonts w:eastAsia="Calibri" w:cs="Times New Roman"/>
        </w:rPr>
        <w:t xml:space="preserve">Ohio Rev. Code Ann. § 5733.05(B) </w:t>
      </w:r>
    </w:p>
    <w:p w14:paraId="715C730C" w14:textId="77777777" w:rsidR="000000D1" w:rsidRPr="000000D1" w:rsidRDefault="000000D1" w:rsidP="000000D1">
      <w:pPr>
        <w:ind w:left="720"/>
        <w:contextualSpacing/>
        <w:rPr>
          <w:rFonts w:eastAsia="Calibri" w:cs="Times New Roman"/>
        </w:rPr>
      </w:pPr>
    </w:p>
    <w:p w14:paraId="02B67705" w14:textId="77777777" w:rsidR="000000D1" w:rsidRPr="000000D1" w:rsidRDefault="000000D1" w:rsidP="000000D1">
      <w:pPr>
        <w:ind w:left="1440"/>
        <w:contextualSpacing/>
        <w:rPr>
          <w:rFonts w:eastAsia="Calibri" w:cs="Times New Roman"/>
        </w:rPr>
      </w:pPr>
      <w:r w:rsidRPr="000000D1">
        <w:rPr>
          <w:rFonts w:eastAsia="Calibri" w:cs="Times New Roman"/>
        </w:rPr>
        <w:t>The sum of the corporation's net income during the corporation's taxable year, allocated or apportioned to this state as prescribed in divisions (B)(1) and (2) of this section, and subject to sections 5733.052, 5733.053, 5733.057, 5733.058, 5733.059, and 5733.0510 of the Revised Code:</w:t>
      </w:r>
    </w:p>
    <w:p w14:paraId="2D009E69" w14:textId="77777777" w:rsidR="000000D1" w:rsidRPr="000000D1" w:rsidRDefault="000000D1" w:rsidP="000000D1">
      <w:pPr>
        <w:ind w:left="720"/>
        <w:contextualSpacing/>
        <w:rPr>
          <w:rFonts w:eastAsia="Calibri" w:cs="Times New Roman"/>
        </w:rPr>
      </w:pPr>
    </w:p>
    <w:p w14:paraId="0BC9E057" w14:textId="77777777" w:rsidR="000000D1" w:rsidRPr="000000D1" w:rsidRDefault="000000D1" w:rsidP="000000D1">
      <w:pPr>
        <w:ind w:left="1440"/>
        <w:contextualSpacing/>
        <w:rPr>
          <w:rFonts w:eastAsia="Calibri" w:cs="Times New Roman"/>
        </w:rPr>
      </w:pPr>
      <w:r w:rsidRPr="000000D1">
        <w:rPr>
          <w:rFonts w:eastAsia="Calibri" w:cs="Times New Roman"/>
        </w:rPr>
        <w:t>(1) The net nonbusiness income allocated or apportioned to this state as provided by section 5733.051 of the Revised Code.</w:t>
      </w:r>
    </w:p>
    <w:p w14:paraId="5AB02AF1" w14:textId="77777777" w:rsidR="000000D1" w:rsidRPr="000000D1" w:rsidRDefault="000000D1" w:rsidP="000000D1">
      <w:pPr>
        <w:ind w:left="720"/>
        <w:contextualSpacing/>
        <w:rPr>
          <w:rFonts w:eastAsia="Calibri" w:cs="Times New Roman"/>
        </w:rPr>
      </w:pPr>
    </w:p>
    <w:p w14:paraId="336C4860" w14:textId="77777777" w:rsidR="000000D1" w:rsidRPr="000000D1" w:rsidRDefault="000000D1" w:rsidP="000000D1">
      <w:pPr>
        <w:ind w:left="1440"/>
        <w:contextualSpacing/>
        <w:rPr>
          <w:rFonts w:eastAsia="Calibri" w:cs="Times New Roman"/>
        </w:rPr>
      </w:pPr>
      <w:r w:rsidRPr="000000D1">
        <w:rPr>
          <w:rFonts w:eastAsia="Calibri" w:cs="Times New Roman"/>
        </w:rPr>
        <w:t>(2) The amount of Ohio apportioned net business income, which shall be calculated by multiplying the corporation's net business income by a fraction. The numerator of the fraction is the sum of the following products: the property factor multiplied by twenty, the payroll factor multiplied by twenty, and the sales factor multiplied by sixty. The denominator of the fraction is one hundred, provided that the denominator shall be reduced by twenty if the property factor has a denominator of zero, by twenty if the payroll factor has a denominator of zero, and by sixty if the sales factor has a denominator of zero.</w:t>
      </w:r>
    </w:p>
    <w:p w14:paraId="5C216922" w14:textId="77777777" w:rsidR="000000D1" w:rsidRPr="000000D1" w:rsidRDefault="000000D1" w:rsidP="000000D1">
      <w:pPr>
        <w:ind w:left="720"/>
        <w:contextualSpacing/>
        <w:rPr>
          <w:rFonts w:eastAsia="Calibri" w:cs="Times New Roman"/>
        </w:rPr>
      </w:pPr>
    </w:p>
    <w:p w14:paraId="08CB2A87" w14:textId="77777777" w:rsidR="000000D1" w:rsidRPr="000000D1" w:rsidRDefault="000000D1" w:rsidP="000000D1">
      <w:pPr>
        <w:ind w:left="1440"/>
        <w:contextualSpacing/>
        <w:rPr>
          <w:rFonts w:eastAsia="Calibri" w:cs="Times New Roman"/>
        </w:rPr>
      </w:pPr>
      <w:r w:rsidRPr="000000D1">
        <w:rPr>
          <w:rFonts w:eastAsia="Calibri" w:cs="Times New Roman"/>
        </w:rPr>
        <w:t>The property, payroll, and sales factors shall be determined as follows, but the numerator and the denominator of the factors shall not include the portion of any property, payroll, and sales otherwise includible in the factors to the extent that the portion relates to, or is used in connection with, the production of nonbusiness income allocated under section 5733.051 of the Revised Code . . .</w:t>
      </w:r>
    </w:p>
    <w:p w14:paraId="752B231B" w14:textId="77777777" w:rsidR="000000D1" w:rsidRPr="000000D1" w:rsidRDefault="000000D1" w:rsidP="000000D1">
      <w:pPr>
        <w:contextualSpacing/>
        <w:rPr>
          <w:rFonts w:eastAsia="Calibri" w:cs="Times New Roman"/>
        </w:rPr>
      </w:pPr>
    </w:p>
    <w:p w14:paraId="12EEA724" w14:textId="77777777" w:rsidR="000000D1" w:rsidRPr="000000D1" w:rsidRDefault="000000D1" w:rsidP="000000D1">
      <w:pPr>
        <w:contextualSpacing/>
        <w:rPr>
          <w:rFonts w:eastAsia="Calibri" w:cs="Times New Roman"/>
          <w:i/>
          <w:iCs/>
        </w:rPr>
      </w:pPr>
      <w:r w:rsidRPr="000000D1">
        <w:rPr>
          <w:rFonts w:eastAsia="Calibri" w:cs="Times New Roman"/>
        </w:rPr>
        <w:tab/>
        <w:t>Ohio Rev. Code Ann. § 5733.057</w:t>
      </w:r>
    </w:p>
    <w:p w14:paraId="688ECBF2" w14:textId="77777777" w:rsidR="000000D1" w:rsidRPr="000000D1" w:rsidRDefault="000000D1" w:rsidP="000000D1">
      <w:pPr>
        <w:contextualSpacing/>
        <w:rPr>
          <w:rFonts w:eastAsia="Calibri" w:cs="Times New Roman"/>
          <w:i/>
          <w:iCs/>
        </w:rPr>
      </w:pPr>
    </w:p>
    <w:p w14:paraId="4932E1C6" w14:textId="77777777" w:rsidR="000000D1" w:rsidRPr="000000D1" w:rsidRDefault="000000D1" w:rsidP="000000D1">
      <w:pPr>
        <w:ind w:left="1440"/>
        <w:contextualSpacing/>
        <w:rPr>
          <w:rFonts w:eastAsia="Calibri" w:cs="Times New Roman"/>
        </w:rPr>
      </w:pPr>
      <w:r w:rsidRPr="000000D1">
        <w:rPr>
          <w:rFonts w:eastAsia="Calibri" w:cs="Times New Roman"/>
        </w:rPr>
        <w:t>As used in this section, "adjusted qualifying amount" has the same meaning as in section 5733.40 of the Revised Code.</w:t>
      </w:r>
    </w:p>
    <w:p w14:paraId="400C411F" w14:textId="77777777" w:rsidR="000000D1" w:rsidRPr="000000D1" w:rsidRDefault="000000D1" w:rsidP="000000D1">
      <w:pPr>
        <w:contextualSpacing/>
        <w:rPr>
          <w:rFonts w:eastAsia="Calibri" w:cs="Times New Roman"/>
        </w:rPr>
      </w:pPr>
    </w:p>
    <w:p w14:paraId="312B1416" w14:textId="77777777" w:rsidR="000000D1" w:rsidRPr="000000D1" w:rsidRDefault="000000D1" w:rsidP="000000D1">
      <w:pPr>
        <w:ind w:left="1440"/>
        <w:contextualSpacing/>
        <w:rPr>
          <w:rFonts w:eastAsia="Calibri" w:cs="Times New Roman"/>
        </w:rPr>
      </w:pPr>
      <w:r w:rsidRPr="000000D1">
        <w:rPr>
          <w:rFonts w:eastAsia="Calibri" w:cs="Times New Roman"/>
        </w:rPr>
        <w:t>This section does not apply to divisions (E) and (F) of section 5733.051 of the Revised Code.</w:t>
      </w:r>
    </w:p>
    <w:p w14:paraId="5CAE50F4" w14:textId="77777777" w:rsidR="000000D1" w:rsidRPr="000000D1" w:rsidRDefault="000000D1" w:rsidP="000000D1">
      <w:pPr>
        <w:contextualSpacing/>
        <w:rPr>
          <w:rFonts w:eastAsia="Calibri" w:cs="Times New Roman"/>
        </w:rPr>
      </w:pPr>
    </w:p>
    <w:p w14:paraId="26648CFD" w14:textId="77777777" w:rsidR="000000D1" w:rsidRPr="000000D1" w:rsidRDefault="000000D1" w:rsidP="000000D1">
      <w:pPr>
        <w:ind w:left="1440"/>
        <w:contextualSpacing/>
        <w:rPr>
          <w:rFonts w:eastAsia="Calibri" w:cs="Times New Roman"/>
        </w:rPr>
      </w:pPr>
      <w:r w:rsidRPr="000000D1">
        <w:rPr>
          <w:rFonts w:eastAsia="Calibri" w:cs="Times New Roman"/>
        </w:rPr>
        <w:t xml:space="preserve">Except as otherwise provided in divisions (A) and (B) of section 5733.401 and in sections 5733.058 and 5747.401 of the Revised Code, in making all apportionment, allocation, income, gain, loss, deduction, tax, and credit computations under this chapter and under sections 5747.41 and 5747.43 of the Revised Code, each person shall include in that person's items of business income, nonbusiness income, adjusted qualifying amounts, allocable income or loss, if any, apportionable income or loss, property, compensation, and sales, the person's entire distributive share or proportionate share of the items of business income, nonbusiness income, adjusted qualifying amounts, </w:t>
      </w:r>
      <w:r w:rsidRPr="000000D1">
        <w:rPr>
          <w:rFonts w:eastAsia="Calibri" w:cs="Times New Roman"/>
        </w:rPr>
        <w:lastRenderedPageBreak/>
        <w:t xml:space="preserve">allocable income or loss, apportionable income or loss, property, compensation, and sales of any pass-through entity in which the person has a direct or indirect ownership interest at any time during the pass-through entity's calendar or fiscal year ending within, or with the last day of the person's taxable year. A pass-through entity's direct or indirect distributive share or proportionate share of any other pass-through entity's items of business income, nonbusiness income, adjusted qualifying amounts, allocable income or loss, apportionable income or loss, property, compensation, and sales shall be included for the purposes of computing the person's distributive share or proportionate share of the pass-through entity's items of business income, nonbusiness income, adjusted qualifying amounts, allocable income or loss, apportionable income or loss, property, compensation, and sales under this section. Those items shall be in the same form as was recognized by the pass-through entity. </w:t>
      </w:r>
    </w:p>
    <w:p w14:paraId="7A819269" w14:textId="77777777" w:rsidR="000000D1" w:rsidRPr="000000D1" w:rsidRDefault="000000D1" w:rsidP="000000D1">
      <w:pPr>
        <w:ind w:left="720"/>
        <w:contextualSpacing/>
        <w:rPr>
          <w:rFonts w:eastAsia="Calibri" w:cs="Times New Roman"/>
        </w:rPr>
      </w:pPr>
    </w:p>
    <w:p w14:paraId="57DAB171" w14:textId="77777777" w:rsidR="000000D1" w:rsidRPr="000000D1" w:rsidRDefault="000000D1" w:rsidP="000000D1">
      <w:pPr>
        <w:ind w:left="720"/>
        <w:contextualSpacing/>
        <w:rPr>
          <w:rFonts w:eastAsia="Calibri" w:cs="Times New Roman"/>
          <w:i/>
          <w:iCs/>
        </w:rPr>
      </w:pPr>
      <w:r w:rsidRPr="000000D1">
        <w:rPr>
          <w:rFonts w:eastAsia="Calibri" w:cs="Times New Roman"/>
        </w:rPr>
        <w:t xml:space="preserve">Ohio Rev. Code Ann. § 5747.21 </w:t>
      </w:r>
    </w:p>
    <w:p w14:paraId="7BD61A15" w14:textId="77777777" w:rsidR="000000D1" w:rsidRPr="000000D1" w:rsidRDefault="000000D1" w:rsidP="000000D1">
      <w:pPr>
        <w:ind w:left="720"/>
        <w:contextualSpacing/>
        <w:rPr>
          <w:rFonts w:eastAsia="Calibri" w:cs="Times New Roman"/>
        </w:rPr>
      </w:pPr>
    </w:p>
    <w:p w14:paraId="5FB39642" w14:textId="77777777" w:rsidR="000000D1" w:rsidRPr="000000D1" w:rsidRDefault="000000D1" w:rsidP="000000D1">
      <w:pPr>
        <w:ind w:left="1440"/>
        <w:rPr>
          <w:rFonts w:eastAsia="Calibri" w:cs="Times New Roman"/>
        </w:rPr>
      </w:pPr>
      <w:r w:rsidRPr="000000D1">
        <w:rPr>
          <w:rFonts w:eastAsia="Calibri" w:cs="Times New Roman"/>
        </w:rPr>
        <w:t>(B) Except as otherwise provided under section 5747.212 of the Revised Code, all items of business income and business deduction shall be apportioned to this state by multiplying business income by the fraction calculated under division (B)(2) of section 5733.05 and section 5733.057 of the Revised Code as if the taxpayer's business were a corporation subject to the tax imposed by section 5733.06 of the Revised Code.</w:t>
      </w:r>
    </w:p>
    <w:p w14:paraId="07983AEC" w14:textId="77777777" w:rsidR="000000D1" w:rsidRPr="000000D1" w:rsidRDefault="000000D1" w:rsidP="000000D1">
      <w:pPr>
        <w:ind w:left="1440"/>
        <w:rPr>
          <w:rFonts w:eastAsia="Calibri" w:cs="Times New Roman"/>
        </w:rPr>
      </w:pPr>
      <w:r w:rsidRPr="000000D1">
        <w:rPr>
          <w:rFonts w:eastAsia="Calibri" w:cs="Times New Roman"/>
        </w:rPr>
        <w:t xml:space="preserve">(C) If the allocation and apportionment provisions of sections 5747.20 to 5747.23 of the Revised Code or of any rule adopted by the tax commissioner, do not fairly represent the extent of business activity in this state of a taxpayer or pass-through entity, the taxpayer or pass-through entity may request, which request must be in writing accompanying a timely filed return or timely filed amended return, or the tax commissioner may require, in respect of all or any part of the business activity, if reasonable, any one or more of the following </w:t>
      </w:r>
    </w:p>
    <w:p w14:paraId="76191426" w14:textId="77777777" w:rsidR="000000D1" w:rsidRPr="000000D1" w:rsidRDefault="000000D1" w:rsidP="000000D1">
      <w:pPr>
        <w:ind w:left="1440"/>
        <w:rPr>
          <w:rFonts w:eastAsia="Calibri" w:cs="Times New Roman"/>
        </w:rPr>
      </w:pPr>
      <w:r w:rsidRPr="000000D1">
        <w:rPr>
          <w:rFonts w:eastAsia="Calibri" w:cs="Times New Roman"/>
        </w:rPr>
        <w:t>(1)</w:t>
      </w:r>
      <w:bookmarkStart w:id="140" w:name="SLCODOS:49879.13"/>
      <w:bookmarkEnd w:id="140"/>
      <w:r w:rsidRPr="000000D1">
        <w:rPr>
          <w:rFonts w:eastAsia="Calibri" w:cs="Times New Roman"/>
        </w:rPr>
        <w:t xml:space="preserve"> Separate accounting;</w:t>
      </w:r>
    </w:p>
    <w:p w14:paraId="3B26DA49" w14:textId="77777777" w:rsidR="000000D1" w:rsidRPr="000000D1" w:rsidRDefault="000000D1" w:rsidP="000000D1">
      <w:pPr>
        <w:ind w:left="1440"/>
        <w:rPr>
          <w:rFonts w:eastAsia="Calibri" w:cs="Times New Roman"/>
        </w:rPr>
      </w:pPr>
      <w:bookmarkStart w:id="141" w:name="5747.21(C)(2)"/>
      <w:bookmarkEnd w:id="141"/>
      <w:r w:rsidRPr="000000D1">
        <w:rPr>
          <w:rFonts w:eastAsia="Calibri" w:cs="Times New Roman"/>
        </w:rPr>
        <w:t>(2)</w:t>
      </w:r>
      <w:bookmarkStart w:id="142" w:name="SLCODOS:49879.14"/>
      <w:bookmarkEnd w:id="142"/>
      <w:r w:rsidRPr="000000D1">
        <w:rPr>
          <w:rFonts w:eastAsia="Calibri" w:cs="Times New Roman"/>
        </w:rPr>
        <w:t xml:space="preserve"> The exclusion of one or more factors;</w:t>
      </w:r>
    </w:p>
    <w:p w14:paraId="5C90EC53" w14:textId="77777777" w:rsidR="000000D1" w:rsidRPr="000000D1" w:rsidRDefault="000000D1" w:rsidP="000000D1">
      <w:pPr>
        <w:ind w:left="1440"/>
        <w:rPr>
          <w:rFonts w:eastAsia="Calibri" w:cs="Times New Roman"/>
        </w:rPr>
      </w:pPr>
      <w:bookmarkStart w:id="143" w:name="5747.21(C)(3)"/>
      <w:bookmarkEnd w:id="143"/>
      <w:r w:rsidRPr="000000D1">
        <w:rPr>
          <w:rFonts w:eastAsia="Calibri" w:cs="Times New Roman"/>
        </w:rPr>
        <w:t>(3)</w:t>
      </w:r>
      <w:bookmarkStart w:id="144" w:name="SLCODOS:49879.15"/>
      <w:bookmarkEnd w:id="144"/>
      <w:r w:rsidRPr="000000D1">
        <w:rPr>
          <w:rFonts w:eastAsia="Calibri" w:cs="Times New Roman"/>
        </w:rPr>
        <w:t xml:space="preserve"> The inclusion of one or more additional factors which will fairly represent the business activity in this state;</w:t>
      </w:r>
    </w:p>
    <w:p w14:paraId="3EC702C5" w14:textId="77777777" w:rsidR="000000D1" w:rsidRPr="000000D1" w:rsidRDefault="000000D1" w:rsidP="000000D1">
      <w:pPr>
        <w:ind w:left="1440"/>
        <w:rPr>
          <w:rFonts w:eastAsia="Calibri" w:cs="Times New Roman"/>
        </w:rPr>
      </w:pPr>
      <w:bookmarkStart w:id="145" w:name="5747.21(C)(4)"/>
      <w:bookmarkEnd w:id="145"/>
      <w:r w:rsidRPr="000000D1">
        <w:rPr>
          <w:rFonts w:eastAsia="Calibri" w:cs="Times New Roman"/>
        </w:rPr>
        <w:t>(4)</w:t>
      </w:r>
      <w:bookmarkStart w:id="146" w:name="SLCODOS:49879.16"/>
      <w:bookmarkEnd w:id="146"/>
      <w:r w:rsidRPr="000000D1">
        <w:rPr>
          <w:rFonts w:eastAsia="Calibri" w:cs="Times New Roman"/>
        </w:rPr>
        <w:t xml:space="preserve"> The employment of any other method to effectuate an equitable allocation and apportionment of such business in this state. An alternative method will be effective only with approval of the tax commissioner.</w:t>
      </w:r>
    </w:p>
    <w:p w14:paraId="73C21881" w14:textId="77777777" w:rsidR="000000D1" w:rsidRPr="000000D1" w:rsidRDefault="000000D1" w:rsidP="000000D1">
      <w:pPr>
        <w:ind w:left="1440"/>
        <w:rPr>
          <w:rFonts w:eastAsia="Calibri" w:cs="Times New Roman"/>
        </w:rPr>
      </w:pPr>
      <w:r w:rsidRPr="000000D1">
        <w:rPr>
          <w:rFonts w:eastAsia="Calibri" w:cs="Times New Roman"/>
        </w:rPr>
        <w:t>The tax commissioner may adopt rules in the manner provided by </w:t>
      </w:r>
      <w:bookmarkStart w:id="147" w:name="SLCODOS:49879.17-1"/>
      <w:r w:rsidRPr="000000D1">
        <w:rPr>
          <w:rFonts w:eastAsia="Calibri" w:cs="Times New Roman"/>
        </w:rPr>
        <w:fldChar w:fldCharType="begin"/>
      </w:r>
      <w:r w:rsidRPr="000000D1">
        <w:rPr>
          <w:rFonts w:eastAsia="Calibri" w:cs="Times New Roman"/>
        </w:rPr>
        <w:instrText>HYPERLINK "https://checkpoint.riag.com/app/main/docLinkNew?usid=4fa289o186a3e&amp;DocID=iSLCODOS%3A48525.1&amp;SrcDocId=T0SLCODOS%3A49879.1-1&amp;feature=ttools&amp;lastCpReqId=4c7932&amp;tabPg=4000" \t ""</w:instrText>
      </w:r>
      <w:r w:rsidRPr="000000D1">
        <w:rPr>
          <w:rFonts w:eastAsia="Calibri" w:cs="Times New Roman"/>
        </w:rPr>
      </w:r>
      <w:r w:rsidRPr="000000D1">
        <w:rPr>
          <w:rFonts w:eastAsia="Calibri" w:cs="Times New Roman"/>
        </w:rPr>
        <w:fldChar w:fldCharType="separate"/>
      </w:r>
      <w:r w:rsidRPr="000000D1">
        <w:rPr>
          <w:rFonts w:eastAsia="Calibri" w:cs="Times New Roman"/>
          <w:color w:val="C00000"/>
          <w:u w:val="single"/>
        </w:rPr>
        <w:t>sections 5703.14</w:t>
      </w:r>
      <w:r w:rsidRPr="000000D1">
        <w:rPr>
          <w:rFonts w:eastAsia="Calibri" w:cs="Times New Roman"/>
        </w:rPr>
        <w:fldChar w:fldCharType="end"/>
      </w:r>
      <w:bookmarkEnd w:id="147"/>
      <w:r w:rsidRPr="000000D1">
        <w:rPr>
          <w:rFonts w:eastAsia="Calibri" w:cs="Times New Roman"/>
        </w:rPr>
        <w:t> and </w:t>
      </w:r>
      <w:bookmarkStart w:id="148" w:name="SLCODOS:49879.18-1"/>
      <w:r w:rsidRPr="000000D1">
        <w:rPr>
          <w:rFonts w:eastAsia="Calibri" w:cs="Times New Roman"/>
        </w:rPr>
        <w:fldChar w:fldCharType="begin"/>
      </w:r>
      <w:r w:rsidRPr="000000D1">
        <w:rPr>
          <w:rFonts w:eastAsia="Calibri" w:cs="Times New Roman"/>
        </w:rPr>
        <w:instrText>HYPERLINK "https://checkpoint.riag.com/app/main/docLinkNew?usid=4fa289o186a3e&amp;DocID=iSLCODOS%3A49875.1&amp;SrcDocId=T0SLCODOS%3A49879.1-1&amp;feature=ttools&amp;lastCpReqId=4c7932&amp;tabPg=4000" \t ""</w:instrText>
      </w:r>
      <w:r w:rsidRPr="000000D1">
        <w:rPr>
          <w:rFonts w:eastAsia="Calibri" w:cs="Times New Roman"/>
        </w:rPr>
      </w:r>
      <w:r w:rsidRPr="000000D1">
        <w:rPr>
          <w:rFonts w:eastAsia="Calibri" w:cs="Times New Roman"/>
        </w:rPr>
        <w:fldChar w:fldCharType="separate"/>
      </w:r>
      <w:r w:rsidRPr="000000D1">
        <w:rPr>
          <w:rFonts w:eastAsia="Calibri" w:cs="Times New Roman"/>
          <w:color w:val="C00000"/>
          <w:u w:val="single"/>
        </w:rPr>
        <w:t>5747.18</w:t>
      </w:r>
      <w:r w:rsidRPr="000000D1">
        <w:rPr>
          <w:rFonts w:eastAsia="Calibri" w:cs="Times New Roman"/>
        </w:rPr>
        <w:fldChar w:fldCharType="end"/>
      </w:r>
      <w:bookmarkEnd w:id="148"/>
      <w:r w:rsidRPr="000000D1">
        <w:rPr>
          <w:rFonts w:eastAsia="Calibri" w:cs="Times New Roman"/>
        </w:rPr>
        <w:t> of the Revised Code providing for alternative methods of calculating business income and nonbusiness income applicable to all taxpayers and pass-through entities, to classes of taxpayers and pass-through entities, or only to taxpayers and pass-through entities within a certain industry</w:t>
      </w:r>
    </w:p>
    <w:p w14:paraId="7832FE00" w14:textId="77777777" w:rsidR="000000D1" w:rsidRPr="000000D1" w:rsidRDefault="000000D1" w:rsidP="000000D1">
      <w:pPr>
        <w:ind w:left="720"/>
        <w:contextualSpacing/>
        <w:rPr>
          <w:rFonts w:eastAsia="Calibri" w:cs="Times New Roman"/>
        </w:rPr>
      </w:pPr>
      <w:r w:rsidRPr="000000D1">
        <w:rPr>
          <w:rFonts w:eastAsia="Calibri" w:cs="Times New Roman"/>
        </w:rPr>
        <w:t xml:space="preserve">Ohio Rev. Code Ann. § 5747.231 </w:t>
      </w:r>
    </w:p>
    <w:p w14:paraId="574750FE" w14:textId="77777777" w:rsidR="000000D1" w:rsidRPr="000000D1" w:rsidRDefault="000000D1" w:rsidP="000000D1">
      <w:pPr>
        <w:contextualSpacing/>
        <w:rPr>
          <w:rFonts w:eastAsia="Calibri" w:cs="Times New Roman"/>
        </w:rPr>
      </w:pPr>
    </w:p>
    <w:p w14:paraId="65FAF803" w14:textId="77777777" w:rsidR="000000D1" w:rsidRPr="000000D1" w:rsidRDefault="000000D1" w:rsidP="000000D1">
      <w:pPr>
        <w:ind w:left="1440"/>
        <w:rPr>
          <w:rFonts w:eastAsia="Calibri" w:cs="Times New Roman"/>
        </w:rPr>
      </w:pPr>
      <w:r w:rsidRPr="000000D1">
        <w:rPr>
          <w:rFonts w:eastAsia="Calibri" w:cs="Times New Roman"/>
        </w:rPr>
        <w:t>For As used in this section, “adjusted qualifying amount” has the same meaning as in section 5733.40 of the Revised Code.</w:t>
      </w:r>
    </w:p>
    <w:p w14:paraId="68097FD3" w14:textId="77777777" w:rsidR="000000D1" w:rsidRPr="000000D1" w:rsidRDefault="000000D1" w:rsidP="000000D1">
      <w:pPr>
        <w:ind w:left="1440"/>
        <w:rPr>
          <w:rFonts w:eastAsia="Calibri" w:cs="Times New Roman"/>
        </w:rPr>
      </w:pPr>
      <w:r w:rsidRPr="000000D1">
        <w:rPr>
          <w:rFonts w:eastAsia="Calibri" w:cs="Times New Roman"/>
        </w:rPr>
        <w:t>This section does not apply to division (AA)(5)(a)(ii) of section 5747.01 of the Revised Code.</w:t>
      </w:r>
    </w:p>
    <w:p w14:paraId="4F79C1B4" w14:textId="77777777" w:rsidR="000000D1" w:rsidRPr="000000D1" w:rsidRDefault="000000D1" w:rsidP="000000D1">
      <w:pPr>
        <w:ind w:left="1440"/>
        <w:rPr>
          <w:rFonts w:eastAsia="Calibri" w:cs="Times New Roman"/>
        </w:rPr>
      </w:pPr>
      <w:r w:rsidRPr="000000D1">
        <w:rPr>
          <w:rFonts w:eastAsia="Calibri" w:cs="Times New Roman"/>
        </w:rPr>
        <w:t xml:space="preserve">Except as set forth in this section and except as otherwise provided in divisions (A) and (B) of section 5733.401 of the Revised Code, in making all apportionment, allocation, income, gain, loss, deduction, tax, and credit computations under this chapter, each </w:t>
      </w:r>
      <w:r w:rsidRPr="000000D1">
        <w:rPr>
          <w:rFonts w:eastAsia="Calibri" w:cs="Times New Roman"/>
        </w:rPr>
        <w:lastRenderedPageBreak/>
        <w:t>person shall include in that person's items of business income, nonbusiness income, adjusted qualifying amounts, allocable income or loss, apportionable income or loss, property, compensation, and sales, the person's entire distributive share or proportionate share of the items of business income, nonbusiness income, adjusted qualifying amounts, allocable income or loss, *apportionable income or loss, property, compensation, and sales of any pass-through entity in which the person has a direct or indirect ownership interest at any time during the person's taxable year. A pass-through entity's direct or indirect distributive share or proportionate share of any other pass-through entity's items of business income, nonbusiness income, adjusted qualifying amounts, allocable income or loss, apportionable income or loss, property, compensation, and sales shall be included for the purposes of computing the person's distributive share or proportionate share of the pass-through entity's items of business income, nonbusiness income, adjusted qualifying amounts, allocable income or loss, apportionable income or loss, property, compensation, and sales under this section. Those items shall be in the same form as was recognized by the pass-through entity.</w:t>
      </w:r>
    </w:p>
    <w:p w14:paraId="0D09007E" w14:textId="77777777" w:rsidR="000000D1" w:rsidRPr="000000D1" w:rsidRDefault="000000D1" w:rsidP="000000D1">
      <w:pPr>
        <w:pBdr>
          <w:bottom w:val="single" w:sz="4" w:space="0" w:color="auto"/>
        </w:pBdr>
        <w:rPr>
          <w:rFonts w:eastAsia="Calibri" w:cs="Times New Roman"/>
        </w:rPr>
      </w:pPr>
    </w:p>
    <w:p w14:paraId="2D649D0B"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49" w:name="_Toc198480798"/>
      <w:r w:rsidRPr="000000D1">
        <w:rPr>
          <w:rFonts w:ascii="Californian FB" w:eastAsia="Times New Roman" w:hAnsi="Californian FB" w:cs="Times New Roman"/>
          <w:b/>
          <w:color w:val="851C00"/>
          <w:sz w:val="24"/>
          <w:szCs w:val="24"/>
          <w:u w:val="single"/>
        </w:rPr>
        <w:t>Oklahoma</w:t>
      </w:r>
      <w:bookmarkEnd w:id="149"/>
    </w:p>
    <w:p w14:paraId="07E97C7A" w14:textId="77777777" w:rsidR="000000D1" w:rsidRPr="000000D1" w:rsidRDefault="000000D1" w:rsidP="000000D1">
      <w:pPr>
        <w:ind w:left="720"/>
        <w:contextualSpacing/>
        <w:rPr>
          <w:rFonts w:eastAsia="Calibri" w:cs="Times New Roman"/>
        </w:rPr>
      </w:pPr>
      <w:r w:rsidRPr="000000D1">
        <w:rPr>
          <w:rFonts w:eastAsia="Calibri" w:cs="Times New Roman"/>
        </w:rPr>
        <w:t xml:space="preserve">Okla. Stat. tit. 68, § 2358(A) </w:t>
      </w:r>
    </w:p>
    <w:p w14:paraId="235900C1" w14:textId="77777777" w:rsidR="000000D1" w:rsidRPr="000000D1" w:rsidRDefault="000000D1" w:rsidP="000000D1">
      <w:pPr>
        <w:contextualSpacing/>
        <w:rPr>
          <w:rFonts w:eastAsia="Calibri" w:cs="Times New Roman"/>
        </w:rPr>
      </w:pPr>
    </w:p>
    <w:p w14:paraId="287EBAF1" w14:textId="77777777" w:rsidR="000000D1" w:rsidRPr="000000D1" w:rsidRDefault="000000D1" w:rsidP="000000D1">
      <w:pPr>
        <w:ind w:left="1440"/>
        <w:rPr>
          <w:rFonts w:eastAsia="Calibri" w:cs="Times New Roman"/>
        </w:rPr>
      </w:pPr>
      <w:r w:rsidRPr="000000D1">
        <w:rPr>
          <w:rFonts w:eastAsia="Calibri" w:cs="Times New Roman"/>
        </w:rPr>
        <w:t>(4)(c) income or loss from a business activity which is not a part of business carried on within or without the state of a unitary character shall be separately allocated to the state in which such activity is conducted . . .</w:t>
      </w:r>
    </w:p>
    <w:p w14:paraId="20D66653" w14:textId="77777777" w:rsidR="000000D1" w:rsidRPr="000000D1" w:rsidRDefault="000000D1" w:rsidP="000000D1">
      <w:pPr>
        <w:ind w:left="1440"/>
        <w:rPr>
          <w:rFonts w:eastAsia="Calibri" w:cs="Times New Roman"/>
        </w:rPr>
      </w:pPr>
      <w:r w:rsidRPr="000000D1">
        <w:rPr>
          <w:rFonts w:eastAsia="Calibri" w:cs="Times New Roman"/>
        </w:rPr>
        <w:t>(5) The net income or loss remaining after the separate allocation in paragraph 4 of this subsection, being that which is derived from a unitary business enterprise, shall be apportioned to this state on the basis of the arithmetical average of three factors consisting of property, payroll and sales or gross revenue enumerated as subparagraphs a, b and c of this paragraph.</w:t>
      </w:r>
    </w:p>
    <w:p w14:paraId="5C204F86" w14:textId="77777777" w:rsidR="000000D1" w:rsidRPr="000000D1" w:rsidRDefault="000000D1" w:rsidP="000000D1">
      <w:pPr>
        <w:ind w:left="720"/>
        <w:contextualSpacing/>
        <w:rPr>
          <w:rFonts w:eastAsia="Calibri" w:cs="Times New Roman"/>
        </w:rPr>
      </w:pPr>
      <w:r w:rsidRPr="000000D1">
        <w:rPr>
          <w:rFonts w:eastAsia="Calibri" w:cs="Times New Roman"/>
        </w:rPr>
        <w:t xml:space="preserve">Okla. Admin. Code § 710:50-19-1(a) </w:t>
      </w:r>
    </w:p>
    <w:p w14:paraId="5E97AB8F" w14:textId="77777777" w:rsidR="000000D1" w:rsidRPr="000000D1" w:rsidRDefault="000000D1" w:rsidP="000000D1">
      <w:pPr>
        <w:contextualSpacing/>
        <w:rPr>
          <w:rFonts w:eastAsia="Calibri" w:cs="Times New Roman"/>
        </w:rPr>
      </w:pPr>
    </w:p>
    <w:p w14:paraId="7B9D6BA8" w14:textId="77777777" w:rsidR="000000D1" w:rsidRPr="000000D1" w:rsidRDefault="000000D1" w:rsidP="000000D1">
      <w:pPr>
        <w:ind w:left="1440"/>
        <w:rPr>
          <w:rFonts w:eastAsia="Calibri" w:cs="Times New Roman"/>
        </w:rPr>
      </w:pPr>
      <w:r w:rsidRPr="000000D1">
        <w:rPr>
          <w:rFonts w:eastAsia="Calibri" w:cs="Times New Roman"/>
        </w:rPr>
        <w:t>(1) Oklahoma source income or loss. When a partnership has source income or loss then that partnership must file a return showing the income or loss applicable to Oklahoma. The partnership shall also furnish a detailed schedule stating the amount of income distributable to each partner from Oklahoma sources.</w:t>
      </w:r>
    </w:p>
    <w:p w14:paraId="6137FCA6" w14:textId="77777777" w:rsidR="000000D1" w:rsidRPr="000000D1" w:rsidRDefault="000000D1" w:rsidP="000000D1">
      <w:pPr>
        <w:ind w:left="1440"/>
        <w:rPr>
          <w:rFonts w:eastAsia="Calibri" w:cs="Times New Roman"/>
        </w:rPr>
      </w:pPr>
      <w:r w:rsidRPr="000000D1">
        <w:rPr>
          <w:rFonts w:eastAsia="Calibri" w:cs="Times New Roman"/>
        </w:rPr>
        <w:t>(2) Duty to file and report; determination of shares. All resident partners must file individual income tax returns with Oklahoma if they are required to file individual Federal Income Tax Returns. All nonresident partners that have gross income of $1,000.00 must file an Oklahoma Return even though their net may actually be a loss. The partnership income for Oklahoma may be apportioned using the three factor formula unless its operations are from real and tangible personal property, such as rents, oil and mining production or royalties, and gains or losses from sales of such property; then the income or loss shall be allocated in accordance with the situs of such property. The partner's distributive share of Oklahoma income or loss shall be the same proportion to the partner's distributive share of income or loss shown on the Federal Partnership Return.</w:t>
      </w:r>
    </w:p>
    <w:p w14:paraId="3BE44672" w14:textId="77777777" w:rsidR="000000D1" w:rsidRPr="000000D1" w:rsidRDefault="000000D1" w:rsidP="000000D1">
      <w:pPr>
        <w:ind w:left="720"/>
        <w:contextualSpacing/>
        <w:rPr>
          <w:rFonts w:eastAsia="Calibri" w:cs="Times New Roman"/>
        </w:rPr>
      </w:pPr>
      <w:r w:rsidRPr="000000D1">
        <w:rPr>
          <w:rFonts w:eastAsia="Calibri" w:cs="Times New Roman"/>
        </w:rPr>
        <w:t xml:space="preserve">Okla. Admin. Code § 710:50-19-1(a)(15) </w:t>
      </w:r>
    </w:p>
    <w:p w14:paraId="3F6F4A99" w14:textId="77777777" w:rsidR="000000D1" w:rsidRPr="000000D1" w:rsidRDefault="000000D1" w:rsidP="000000D1">
      <w:pPr>
        <w:contextualSpacing/>
        <w:rPr>
          <w:rFonts w:eastAsia="Calibri" w:cs="Times New Roman"/>
        </w:rPr>
      </w:pPr>
    </w:p>
    <w:p w14:paraId="2B8D987D" w14:textId="77777777" w:rsidR="000000D1" w:rsidRPr="000000D1" w:rsidRDefault="000000D1" w:rsidP="000000D1">
      <w:pPr>
        <w:ind w:left="1440"/>
        <w:rPr>
          <w:rFonts w:eastAsia="Calibri" w:cs="Times New Roman"/>
        </w:rPr>
      </w:pPr>
      <w:r w:rsidRPr="000000D1">
        <w:rPr>
          <w:rFonts w:eastAsia="Calibri" w:cs="Times New Roman"/>
        </w:rPr>
        <w:t>(A) Partnership income or loss shall be separately allocated. [See: 68 O.S. § 2358(A)(4)]</w:t>
      </w:r>
    </w:p>
    <w:p w14:paraId="721FC322" w14:textId="77777777" w:rsidR="000000D1" w:rsidRPr="000000D1" w:rsidRDefault="000000D1" w:rsidP="000000D1">
      <w:pPr>
        <w:ind w:left="1440"/>
        <w:rPr>
          <w:rFonts w:eastAsia="Calibri" w:cs="Times New Roman"/>
        </w:rPr>
      </w:pPr>
      <w:r w:rsidRPr="000000D1">
        <w:rPr>
          <w:rFonts w:eastAsia="Calibri" w:cs="Times New Roman"/>
        </w:rPr>
        <w:t>(B) The Oklahoma distributive share of partnership income as determined under 68 O.S. § 2358 and 68 O.S. § 2362 shall be allocated to Oklahoma.</w:t>
      </w:r>
    </w:p>
    <w:p w14:paraId="478DD361" w14:textId="77777777" w:rsidR="000000D1" w:rsidRPr="000000D1" w:rsidRDefault="000000D1" w:rsidP="000000D1">
      <w:pPr>
        <w:pBdr>
          <w:bottom w:val="single" w:sz="4" w:space="0" w:color="auto"/>
        </w:pBdr>
        <w:rPr>
          <w:rFonts w:eastAsia="Calibri" w:cs="Times New Roman"/>
        </w:rPr>
      </w:pPr>
    </w:p>
    <w:p w14:paraId="26F31CF6"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50" w:name="_Toc198480799"/>
      <w:r w:rsidRPr="000000D1">
        <w:rPr>
          <w:rFonts w:ascii="Californian FB" w:eastAsia="Times New Roman" w:hAnsi="Californian FB" w:cs="Times New Roman"/>
          <w:b/>
          <w:color w:val="851C00"/>
          <w:sz w:val="24"/>
          <w:szCs w:val="24"/>
          <w:u w:val="single"/>
        </w:rPr>
        <w:t>Oregon</w:t>
      </w:r>
      <w:bookmarkEnd w:id="150"/>
    </w:p>
    <w:p w14:paraId="57AAD259" w14:textId="77777777" w:rsidR="000000D1" w:rsidRPr="000000D1" w:rsidRDefault="000000D1" w:rsidP="000000D1">
      <w:pPr>
        <w:ind w:firstLine="720"/>
        <w:rPr>
          <w:rFonts w:eastAsia="Calibri" w:cs="Times New Roman"/>
          <w:i/>
          <w:iCs/>
        </w:rPr>
      </w:pPr>
      <w:r w:rsidRPr="000000D1">
        <w:rPr>
          <w:rFonts w:eastAsia="Calibri" w:cs="Times New Roman"/>
        </w:rPr>
        <w:t xml:space="preserve">Or. Rev. Stat. § 316.124 </w:t>
      </w:r>
    </w:p>
    <w:p w14:paraId="4F547706" w14:textId="77777777" w:rsidR="000000D1" w:rsidRPr="000000D1" w:rsidRDefault="000000D1" w:rsidP="00366E17">
      <w:pPr>
        <w:numPr>
          <w:ilvl w:val="0"/>
          <w:numId w:val="28"/>
        </w:numPr>
        <w:contextualSpacing/>
        <w:rPr>
          <w:rFonts w:eastAsia="Calibri" w:cs="Times New Roman"/>
        </w:rPr>
      </w:pPr>
      <w:r w:rsidRPr="000000D1">
        <w:rPr>
          <w:rFonts w:eastAsia="Calibri" w:cs="Times New Roman"/>
        </w:rPr>
        <w:t>In determining the adjusted gross income of a nonresident partner of any partnership, there shall be included only that part derived from or connected with sources in this state of the partner's distributive share of items of partnership income, gain, loss and deduction (or item thereof) entering into the federal adjusted gross income of the partner, as such part is determined under rules adopted by the department in accordance with the general rules in ORS 316.127 . . .</w:t>
      </w:r>
    </w:p>
    <w:p w14:paraId="76670116" w14:textId="77777777" w:rsidR="000000D1" w:rsidRPr="000000D1" w:rsidRDefault="000000D1" w:rsidP="00366E17">
      <w:pPr>
        <w:numPr>
          <w:ilvl w:val="0"/>
          <w:numId w:val="26"/>
        </w:numPr>
        <w:contextualSpacing/>
        <w:rPr>
          <w:rFonts w:eastAsia="Calibri" w:cs="Times New Roman"/>
        </w:rPr>
      </w:pPr>
      <w:r w:rsidRPr="000000D1">
        <w:rPr>
          <w:rFonts w:eastAsia="Calibri" w:cs="Times New Roman"/>
        </w:rPr>
        <w:t>The department may, on application, authorize the use of such other methods of determining a nonresident partner's portion of partnership items derived from or connected with sources in this state, and the modifications related thereto, as may be appropriate and equitable, on such terms and conditions as it may require.</w:t>
      </w:r>
    </w:p>
    <w:p w14:paraId="68A19603" w14:textId="77777777" w:rsidR="000000D1" w:rsidRPr="000000D1" w:rsidRDefault="000000D1" w:rsidP="000000D1">
      <w:pPr>
        <w:ind w:firstLine="720"/>
        <w:rPr>
          <w:rFonts w:eastAsia="Calibri" w:cs="Times New Roman"/>
          <w:i/>
          <w:iCs/>
        </w:rPr>
      </w:pPr>
      <w:r w:rsidRPr="000000D1">
        <w:rPr>
          <w:rFonts w:eastAsia="Calibri" w:cs="Times New Roman"/>
        </w:rPr>
        <w:t xml:space="preserve">Or. Rev. Stat. § 314.714(1) </w:t>
      </w:r>
    </w:p>
    <w:p w14:paraId="1A04D605" w14:textId="77777777" w:rsidR="000000D1" w:rsidRPr="000000D1" w:rsidRDefault="000000D1" w:rsidP="000000D1">
      <w:pPr>
        <w:ind w:left="1440"/>
        <w:rPr>
          <w:rFonts w:eastAsia="Calibri" w:cs="Times New Roman"/>
        </w:rPr>
      </w:pPr>
      <w:r w:rsidRPr="000000D1">
        <w:rPr>
          <w:rFonts w:eastAsia="Calibri" w:cs="Times New Roman"/>
        </w:rPr>
        <w:t>Each item of partnership income, gain, loss or deduction has the same character for a partner as it has for federal income tax purposes. If an item is not characterized for federal income tax purposes, it has the same character for a partner as if realized directly from the source from which realized by the partnership or incurred in the same manner as incurred by the partnership.</w:t>
      </w:r>
    </w:p>
    <w:p w14:paraId="46934AFE" w14:textId="77777777" w:rsidR="000000D1" w:rsidRPr="000000D1" w:rsidRDefault="000000D1" w:rsidP="000000D1">
      <w:pPr>
        <w:ind w:firstLine="720"/>
        <w:rPr>
          <w:rFonts w:eastAsia="Calibri" w:cs="Times New Roman"/>
          <w:i/>
          <w:iCs/>
        </w:rPr>
      </w:pPr>
      <w:r w:rsidRPr="000000D1">
        <w:rPr>
          <w:rFonts w:eastAsia="Calibri" w:cs="Times New Roman"/>
        </w:rPr>
        <w:t xml:space="preserve">Or. Admin. R. 150-314-0385 </w:t>
      </w:r>
    </w:p>
    <w:p w14:paraId="1BB0CF90" w14:textId="77777777" w:rsidR="000000D1" w:rsidRPr="000000D1" w:rsidRDefault="000000D1" w:rsidP="00366E17">
      <w:pPr>
        <w:numPr>
          <w:ilvl w:val="0"/>
          <w:numId w:val="27"/>
        </w:numPr>
        <w:contextualSpacing/>
        <w:rPr>
          <w:rFonts w:eastAsia="Calibri" w:cs="Times New Roman"/>
        </w:rPr>
      </w:pPr>
      <w:r w:rsidRPr="000000D1">
        <w:rPr>
          <w:rFonts w:eastAsia="Calibri" w:cs="Times New Roman"/>
        </w:rPr>
        <w:t>The apportionment factors of a corporation that is a member of a partnership, limited liability company treated as a partnership, or unincorporated joint venture (i.e. the "related entity"), that is a part of the corporation's overall business operations, must include the corporation's share of the property, payroll, and sales of the related entity. For the purpose of computing the apportionment factors, transactions between the corporation and the related entity must be eliminated to the extent of the corporation's percentage of interest in the related entity. The corporation's share of the related entity's property, payroll, and sales are based on its percentage of interest in the related entity that is equal to the ratio of its capital account plus its share of the related entity's debt to the total of the capital accounts of all members of the related entity plus total related entity debt. The capital accounts of the members must reflect the average of the accounts for the period of the tax return. The average of the capital accounts may be computed by averaging the beginning and ending balances or monthly balances. Capital accounts of a related entity must be adjusted to reflect a member's adjusted basis in contributed property, rather than fair market value. The corporation's share of a related entity's debt is determined under IRC 752(a) and 752(b) and the regulations thereunder, irrespective of whether or not the related entity is a true partnership.</w:t>
      </w:r>
    </w:p>
    <w:p w14:paraId="69178041" w14:textId="77777777" w:rsidR="000000D1" w:rsidRPr="000000D1" w:rsidRDefault="000000D1" w:rsidP="00366E17">
      <w:pPr>
        <w:numPr>
          <w:ilvl w:val="0"/>
          <w:numId w:val="27"/>
        </w:numPr>
        <w:contextualSpacing/>
        <w:rPr>
          <w:rFonts w:eastAsia="Calibri" w:cs="Times New Roman"/>
        </w:rPr>
      </w:pPr>
      <w:r w:rsidRPr="000000D1">
        <w:rPr>
          <w:rFonts w:eastAsia="Calibri" w:cs="Times New Roman"/>
        </w:rPr>
        <w:t> For the purpose of computing the apportionment factors for a consolidated Oregon return, intercompany transactions between a unitary affiliate of a partner or member and the related entity described in section (8) of this rule are treated the same as intercompany transactions directly between the affiliated corporations, to the extent of the corporate partner's or member's ownership share of the related entity. Intercompany transactions between affiliated corporations filing a consolidated Oregon return are eliminated as provided in section (3) of OAR 150-317-0620.</w:t>
      </w:r>
    </w:p>
    <w:p w14:paraId="45A03F9D" w14:textId="77777777" w:rsidR="000000D1" w:rsidRPr="000000D1" w:rsidRDefault="000000D1" w:rsidP="000000D1">
      <w:pPr>
        <w:ind w:left="1800"/>
        <w:rPr>
          <w:rFonts w:eastAsia="Calibri" w:cs="Times New Roman"/>
        </w:rPr>
      </w:pPr>
      <w:r w:rsidRPr="000000D1">
        <w:rPr>
          <w:rFonts w:eastAsia="Calibri" w:cs="Times New Roman"/>
          <w:b/>
          <w:bCs/>
        </w:rPr>
        <w:t>Example:</w:t>
      </w:r>
      <w:r w:rsidRPr="000000D1">
        <w:rPr>
          <w:rFonts w:eastAsia="Calibri" w:cs="Times New Roman"/>
        </w:rPr>
        <w:t xml:space="preserve"> Corporations A, B, and C file a consolidated Oregon return. A and B each own 50 percent of partnership P. P is part of the overall business operations of the three corporations. P buys 80 percent of its raw materials from C. The intercompany sales between P and C must be eliminated from the apportionment formula </w:t>
      </w:r>
      <w:r w:rsidRPr="000000D1">
        <w:rPr>
          <w:rFonts w:eastAsia="Calibri" w:cs="Times New Roman"/>
        </w:rPr>
        <w:lastRenderedPageBreak/>
        <w:t>for the consolidated Oregon return of the corporations. Transactions between C and P are considered to be directly between the three corporations.</w:t>
      </w:r>
    </w:p>
    <w:p w14:paraId="2FB5497F" w14:textId="77777777" w:rsidR="000000D1" w:rsidRPr="000000D1" w:rsidRDefault="000000D1" w:rsidP="000000D1">
      <w:pPr>
        <w:ind w:left="720"/>
        <w:contextualSpacing/>
        <w:rPr>
          <w:rFonts w:eastAsia="Calibri" w:cs="Times New Roman"/>
        </w:rPr>
      </w:pPr>
      <w:r w:rsidRPr="000000D1">
        <w:rPr>
          <w:rFonts w:eastAsia="Calibri" w:cs="Times New Roman"/>
        </w:rPr>
        <w:t xml:space="preserve">Or. Admin. R. 150-314-0510(7) </w:t>
      </w:r>
    </w:p>
    <w:p w14:paraId="58D15059" w14:textId="77777777" w:rsidR="000000D1" w:rsidRPr="000000D1" w:rsidRDefault="000000D1" w:rsidP="000000D1">
      <w:pPr>
        <w:contextualSpacing/>
        <w:rPr>
          <w:rFonts w:eastAsia="Calibri" w:cs="Times New Roman"/>
        </w:rPr>
      </w:pPr>
    </w:p>
    <w:p w14:paraId="71043D8C" w14:textId="77777777" w:rsidR="000000D1" w:rsidRPr="000000D1" w:rsidRDefault="000000D1" w:rsidP="000000D1">
      <w:pPr>
        <w:ind w:left="1440"/>
        <w:rPr>
          <w:rFonts w:eastAsia="Calibri" w:cs="Times New Roman"/>
        </w:rPr>
      </w:pPr>
      <w:r w:rsidRPr="000000D1">
        <w:rPr>
          <w:rFonts w:eastAsia="Calibri" w:cs="Times New Roman"/>
        </w:rPr>
        <w:t>"Oregon-source distributive income" means the portion of the PTE's modified distributive income that is derived from or connected with Oregon sources. For PTEs operating in Oregon and one or more other states, Oregon-source distributive income is determined by attributing to Oregon sources that portion of the modified distributive income of the PTE, as defined in section (6) of this rule, determined in accordance with the allocation and apportionment provisions of ORS 314.280 or ORS 314.610 to 314.675.</w:t>
      </w:r>
    </w:p>
    <w:p w14:paraId="4ABA0E2F" w14:textId="77777777" w:rsidR="000000D1" w:rsidRPr="000000D1" w:rsidRDefault="000000D1" w:rsidP="000000D1">
      <w:pPr>
        <w:rPr>
          <w:rFonts w:eastAsia="Calibri" w:cs="Times New Roman"/>
          <w:i/>
          <w:iCs/>
        </w:rPr>
      </w:pPr>
      <w:r w:rsidRPr="000000D1">
        <w:rPr>
          <w:rFonts w:eastAsia="Calibri" w:cs="Times New Roman"/>
        </w:rPr>
        <w:tab/>
        <w:t xml:space="preserve">Oregon Revenue Bulletin 2010-02 (March 29, 2010) </w:t>
      </w:r>
    </w:p>
    <w:p w14:paraId="5EBEF152" w14:textId="77777777" w:rsidR="000000D1" w:rsidRPr="000000D1" w:rsidRDefault="000000D1" w:rsidP="000000D1">
      <w:pPr>
        <w:ind w:left="1440"/>
        <w:rPr>
          <w:rFonts w:eastAsia="Calibri"/>
        </w:rPr>
      </w:pPr>
      <w:r w:rsidRPr="000000D1">
        <w:rPr>
          <w:rFonts w:eastAsia="Calibri"/>
        </w:rPr>
        <w:t>Tiered entities: A partnership that isn't otherwise doing business in Oregon may owe the partnership minimum tax if it owns an interest in another partnership—including an LLC classified as a partnership—that is doing business in Oregon. If the partnership is involved in the Oregon business or acts on behalf of the Oregon business, the partnership is doing business in Oregon and subject to the partnership minimum tax. Generally, limited partners aren't involved in a partnership's activities and don't act on behalf of the partnership. Each partnership must look at the facts and circumstances to determine if it's doing business in Oregon for a particular tax year.</w:t>
      </w:r>
    </w:p>
    <w:p w14:paraId="5E3CC53B" w14:textId="77777777" w:rsidR="000000D1" w:rsidRPr="000000D1" w:rsidRDefault="000000D1" w:rsidP="000000D1">
      <w:pPr>
        <w:ind w:left="1440"/>
        <w:rPr>
          <w:rFonts w:eastAsia="Calibri" w:cs="Times New Roman"/>
        </w:rPr>
      </w:pPr>
      <w:r w:rsidRPr="000000D1">
        <w:rPr>
          <w:rFonts w:eastAsia="Calibri" w:cs="Times New Roman"/>
        </w:rPr>
        <w:t>Example 4: Albany Associates is a limited partnership doing business in Oregon. Phoenix LLC is classified as a partnership and owns 20 percent of Albany Associates as a limited partner. Phoenix LLC has no other activity, property, or ties to Oregon and doesn't own an interest in any other entity doing business in Oregon. Phoenix LLC isn't involved in the operation of Albany Associates and doesn't perform any actions on behalf of Albany Associates. Phoenix LLC is not doing business in Oregon. Although Phoenix LLC still has Oregon-source income taxable to its owners and must file an Oregon partnership return, it doesn't owe the partnership minimum tax.</w:t>
      </w:r>
    </w:p>
    <w:p w14:paraId="5C675E98" w14:textId="77777777" w:rsidR="000000D1" w:rsidRPr="000000D1" w:rsidRDefault="000000D1" w:rsidP="000000D1">
      <w:pPr>
        <w:ind w:left="1440"/>
        <w:rPr>
          <w:rFonts w:eastAsia="Calibri" w:cs="Times New Roman"/>
        </w:rPr>
      </w:pPr>
      <w:r w:rsidRPr="000000D1">
        <w:rPr>
          <w:rFonts w:eastAsia="Calibri" w:cs="Times New Roman"/>
        </w:rPr>
        <w:t>Example 5: Detroit LLC owns a 40-percent stake in Ontario Enterprises, an Oregon partnership doing business in Oregon. Detroit LLC files as a partnership and is involved in the operation of Ontario Enterprises. Detroit LLC owes the partnership minimum tax. Bend Associates owns 20 percent of Detroit LLC and manages Detroit LLC's affairs, including its actions as a general partner of Ontario Enterprises. Bend Associates is involved in the activities of Ontario Enterprises; therefore, Bend Associates also owes the partnership minimum tax.</w:t>
      </w:r>
    </w:p>
    <w:p w14:paraId="04A4D838" w14:textId="77777777" w:rsidR="000000D1" w:rsidRPr="000000D1" w:rsidRDefault="000000D1" w:rsidP="000000D1">
      <w:pPr>
        <w:ind w:left="1440"/>
        <w:rPr>
          <w:rFonts w:eastAsia="Calibri" w:cs="Times New Roman"/>
        </w:rPr>
      </w:pPr>
      <w:r w:rsidRPr="000000D1">
        <w:rPr>
          <w:rFonts w:eastAsia="Calibri" w:cs="Times New Roman"/>
        </w:rPr>
        <w:t>Example 6: Pittsburgh LLC owns 40 percent of Waldport LLC, an Oregon LLC classified as a partnership and doing business in Oregon. Pittsburgh LLC has no involvement in Waldport LLC, which is operated by the other owners. Pittsburgh LLC is not otherwise doing business in Oregon. Pittsburgh LLC doesn't owe the partnership minimum tax. However, Pittsburgh LLC must file a partnership return for Oregon because it has Oregon-source income that flows through to its owners.</w:t>
      </w:r>
    </w:p>
    <w:p w14:paraId="43079E81" w14:textId="77777777" w:rsidR="000000D1" w:rsidRPr="000000D1" w:rsidRDefault="000000D1" w:rsidP="000000D1">
      <w:pPr>
        <w:rPr>
          <w:rFonts w:eastAsia="Calibri" w:cs="Times New Roman"/>
        </w:rPr>
      </w:pPr>
      <w:r w:rsidRPr="000000D1">
        <w:rPr>
          <w:rFonts w:eastAsia="Calibri" w:cs="Times New Roman"/>
        </w:rPr>
        <w:tab/>
      </w:r>
      <w:r w:rsidRPr="000000D1">
        <w:rPr>
          <w:rFonts w:eastAsia="Calibri" w:cs="Times New Roman"/>
          <w:i/>
          <w:iCs/>
        </w:rPr>
        <w:t>Cook v. Oregon Dept. of Rev</w:t>
      </w:r>
      <w:r w:rsidRPr="000000D1">
        <w:rPr>
          <w:rFonts w:eastAsia="Calibri" w:cs="Times New Roman"/>
        </w:rPr>
        <w:t xml:space="preserve">., No. TC 5298 (Or. Tax Ct. Aug. 17, 2018). </w:t>
      </w:r>
    </w:p>
    <w:p w14:paraId="1658A39E" w14:textId="77777777" w:rsidR="000000D1" w:rsidRPr="000000D1" w:rsidRDefault="000000D1" w:rsidP="000000D1">
      <w:pPr>
        <w:ind w:left="1440"/>
        <w:rPr>
          <w:rFonts w:eastAsia="Calibri" w:cs="Times New Roman"/>
        </w:rPr>
      </w:pPr>
      <w:r w:rsidRPr="000000D1">
        <w:rPr>
          <w:rFonts w:eastAsia="Calibri" w:cs="Times New Roman"/>
        </w:rPr>
        <w:t>“The obligation for the PTE to withhold is triggered when the PTE has "distributive income from Oregon sources." That, of course, requires the entity to determine, at the entity level, whether it has income from Oregon sources. The entity cannot rely on some later recalculation by an owner or an auditor, done at the owner level, to determine if the owner has distributive income from Oregon sources in respect of which it has a withholding obligation . . .</w:t>
      </w:r>
      <w:r w:rsidRPr="000000D1">
        <w:rPr>
          <w:rFonts w:ascii="Open Sans" w:hAnsi="Open Sans" w:cs="Open Sans"/>
          <w:color w:val="333333"/>
          <w:sz w:val="22"/>
          <w:shd w:val="clear" w:color="auto" w:fill="FFFFFF"/>
        </w:rPr>
        <w:t xml:space="preserve"> </w:t>
      </w:r>
      <w:r w:rsidRPr="000000D1">
        <w:rPr>
          <w:rFonts w:eastAsia="Calibri" w:cs="Times New Roman"/>
        </w:rPr>
        <w:t xml:space="preserve"> Nothing in the rule addresses the critical step in the department's method that combines incomes and apportionment factors. In the case of </w:t>
      </w:r>
      <w:r w:rsidRPr="000000D1">
        <w:rPr>
          <w:rFonts w:eastAsia="Calibri" w:cs="Times New Roman"/>
        </w:rPr>
        <w:lastRenderedPageBreak/>
        <w:t>corporate partners, the combination of income and factors from partnerships with other income and factors </w:t>
      </w:r>
      <w:r w:rsidRPr="000000D1">
        <w:rPr>
          <w:rFonts w:eastAsia="Calibri" w:cs="Times New Roman"/>
          <w:b/>
          <w:bCs/>
        </w:rPr>
        <w:t>[*28]</w:t>
      </w:r>
      <w:r w:rsidRPr="000000D1">
        <w:rPr>
          <w:rFonts w:eastAsia="Calibri" w:cs="Times New Roman"/>
        </w:rPr>
        <w:t> occurs, if at all, based on the combination requirements effectively included in </w:t>
      </w:r>
      <w:hyperlink r:id="rId42" w:anchor="jcite" w:history="1">
        <w:r w:rsidRPr="000000D1">
          <w:rPr>
            <w:rFonts w:eastAsia="Calibri" w:cs="Times New Roman"/>
            <w:color w:val="C00000"/>
            <w:u w:val="single"/>
          </w:rPr>
          <w:t>ORS 317.705 to 317.715</w:t>
        </w:r>
      </w:hyperlink>
      <w:r w:rsidRPr="000000D1">
        <w:rPr>
          <w:rFonts w:eastAsia="Calibri" w:cs="Times New Roman"/>
        </w:rPr>
        <w:t>. However, as discussed, such combination requires statutory authority beyond UDITPA and no such statutory authority exists in respect of nonresident individuals . . .</w:t>
      </w:r>
      <w:r w:rsidRPr="000000D1">
        <w:rPr>
          <w:rFonts w:ascii="Open Sans" w:hAnsi="Open Sans" w:cs="Open Sans"/>
          <w:color w:val="333333"/>
          <w:sz w:val="22"/>
          <w:shd w:val="clear" w:color="auto" w:fill="FFFFFF"/>
        </w:rPr>
        <w:t xml:space="preserve"> </w:t>
      </w:r>
      <w:r w:rsidRPr="000000D1">
        <w:rPr>
          <w:rFonts w:eastAsia="Calibri" w:cs="Times New Roman"/>
        </w:rPr>
        <w:t>The court has considered the text of the partnership tax statutes, the context of those statutes, especially the provisions of the PTE statutes and rules, the history of combined reporting in Oregon and the text and context of UDITPA. None of these is consistent with the department position in this case—a position requiring what is essentially combined reporting and apportionment at the owner level. </w:t>
      </w:r>
      <w:r w:rsidRPr="000000D1">
        <w:rPr>
          <w:rFonts w:eastAsia="Calibri" w:cs="Times New Roman"/>
        </w:rPr>
        <w:tab/>
      </w:r>
    </w:p>
    <w:p w14:paraId="61899553" w14:textId="77777777" w:rsidR="000000D1" w:rsidRPr="000000D1" w:rsidRDefault="000000D1" w:rsidP="000000D1">
      <w:pPr>
        <w:pBdr>
          <w:bottom w:val="single" w:sz="4" w:space="0" w:color="auto"/>
        </w:pBdr>
        <w:rPr>
          <w:rFonts w:eastAsia="Calibri" w:cs="Times New Roman"/>
        </w:rPr>
      </w:pPr>
    </w:p>
    <w:p w14:paraId="76328271"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51" w:name="_Toc198480800"/>
      <w:r w:rsidRPr="000000D1">
        <w:rPr>
          <w:rFonts w:ascii="Californian FB" w:eastAsia="Times New Roman" w:hAnsi="Californian FB" w:cs="Times New Roman"/>
          <w:b/>
          <w:color w:val="851C00"/>
          <w:sz w:val="24"/>
          <w:szCs w:val="24"/>
          <w:u w:val="single"/>
        </w:rPr>
        <w:t>Pennsylvania</w:t>
      </w:r>
      <w:bookmarkEnd w:id="151"/>
    </w:p>
    <w:p w14:paraId="0AC31B78" w14:textId="77777777" w:rsidR="000000D1" w:rsidRPr="000000D1" w:rsidRDefault="000000D1" w:rsidP="000000D1">
      <w:pPr>
        <w:ind w:left="720"/>
        <w:contextualSpacing/>
        <w:rPr>
          <w:rFonts w:eastAsia="Calibri" w:cs="Times New Roman"/>
        </w:rPr>
      </w:pPr>
      <w:r w:rsidRPr="000000D1">
        <w:rPr>
          <w:rFonts w:eastAsia="Calibri" w:cs="Times New Roman"/>
        </w:rPr>
        <w:t xml:space="preserve">72 P.S. § 7402.2(a) </w:t>
      </w:r>
    </w:p>
    <w:p w14:paraId="7A018C27" w14:textId="77777777" w:rsidR="000000D1" w:rsidRPr="000000D1" w:rsidRDefault="000000D1" w:rsidP="000000D1">
      <w:pPr>
        <w:ind w:left="720"/>
        <w:contextualSpacing/>
        <w:rPr>
          <w:rFonts w:eastAsia="Calibri" w:cs="Times New Roman"/>
        </w:rPr>
      </w:pPr>
    </w:p>
    <w:p w14:paraId="286AB1E6" w14:textId="77777777" w:rsidR="000000D1" w:rsidRPr="000000D1" w:rsidRDefault="000000D1" w:rsidP="000000D1">
      <w:pPr>
        <w:ind w:left="1440"/>
        <w:contextualSpacing/>
        <w:rPr>
          <w:rFonts w:eastAsia="Calibri" w:cs="Times New Roman"/>
        </w:rPr>
      </w:pPr>
      <w:r w:rsidRPr="000000D1">
        <w:rPr>
          <w:rFonts w:eastAsia="Calibri" w:cs="Times New Roman"/>
        </w:rPr>
        <w:t>Except as set forth in subsection (b), for purposes of this article, a corporation's interest in an entity which is not a corporation shall be considered a direct ownership interest in the assets of the entity rather than an intangible interest.</w:t>
      </w:r>
      <w:r w:rsidRPr="000000D1">
        <w:rPr>
          <w:rFonts w:eastAsia="Calibri" w:cs="Times New Roman"/>
        </w:rPr>
        <w:tab/>
      </w:r>
    </w:p>
    <w:p w14:paraId="2037969A" w14:textId="77777777" w:rsidR="000000D1" w:rsidRPr="000000D1" w:rsidRDefault="000000D1" w:rsidP="000000D1">
      <w:pPr>
        <w:ind w:left="720"/>
        <w:contextualSpacing/>
        <w:rPr>
          <w:rFonts w:eastAsia="Calibri" w:cs="Times New Roman"/>
        </w:rPr>
      </w:pPr>
    </w:p>
    <w:p w14:paraId="0F9967D1" w14:textId="77777777" w:rsidR="000000D1" w:rsidRPr="000000D1" w:rsidRDefault="000000D1" w:rsidP="000000D1">
      <w:pPr>
        <w:ind w:left="720"/>
        <w:contextualSpacing/>
        <w:rPr>
          <w:rFonts w:eastAsia="Calibri" w:cs="Times New Roman"/>
        </w:rPr>
      </w:pPr>
      <w:r w:rsidRPr="000000D1">
        <w:rPr>
          <w:rFonts w:eastAsia="Calibri" w:cs="Times New Roman"/>
        </w:rPr>
        <w:t xml:space="preserve">61 Pa. Code § 153.29 </w:t>
      </w:r>
    </w:p>
    <w:p w14:paraId="0B30768D" w14:textId="77777777" w:rsidR="000000D1" w:rsidRPr="000000D1" w:rsidRDefault="000000D1" w:rsidP="000000D1">
      <w:pPr>
        <w:contextualSpacing/>
        <w:rPr>
          <w:rFonts w:eastAsia="Calibri" w:cs="Times New Roman"/>
        </w:rPr>
      </w:pPr>
    </w:p>
    <w:p w14:paraId="5D40A67C" w14:textId="77777777" w:rsidR="000000D1" w:rsidRPr="000000D1" w:rsidRDefault="000000D1" w:rsidP="000000D1">
      <w:pPr>
        <w:ind w:left="1440"/>
        <w:rPr>
          <w:rFonts w:eastAsia="Calibri" w:cs="Times New Roman"/>
        </w:rPr>
      </w:pPr>
      <w:r w:rsidRPr="000000D1">
        <w:rPr>
          <w:rFonts w:eastAsia="Calibri" w:cs="Times New Roman"/>
        </w:rPr>
        <w:t>(a)(1) When a taxpayer has an interest in a partnership, joint venture, association or other unincorporated enterprise (hereinafter referred to in this section as partnership), the amount of its distributive share of partnership income shall be determined in accordance with the IRC. The taxpayer's interest in the partnership shall, for purposes of Commonwealth corporate taxation, be considered a direct interest in the assets of the partnership rather than an intangible interest. Accordingly, the taxpayer's share of the partnership's payroll, property and sales—as hereafter determined—shall be included in the apportionment factors of the taxpayer unless otherwise excluded by this section.</w:t>
      </w:r>
    </w:p>
    <w:p w14:paraId="143FC3C8" w14:textId="77777777" w:rsidR="000000D1" w:rsidRPr="000000D1" w:rsidRDefault="000000D1" w:rsidP="000000D1">
      <w:pPr>
        <w:ind w:left="1440"/>
        <w:rPr>
          <w:rFonts w:eastAsia="Calibri" w:cs="Times New Roman"/>
        </w:rPr>
      </w:pPr>
      <w:r w:rsidRPr="000000D1">
        <w:rPr>
          <w:rFonts w:eastAsia="Calibri" w:cs="Times New Roman"/>
        </w:rPr>
        <w:t>(a)(2) A taxpayer's partnership interest for the purpose of computing the portion of the partnership's property, payroll and sales to be included in the taxpayer's property, payroll and sales factors shall be determined under the partnership agreement and in accordance with the IRC.</w:t>
      </w:r>
    </w:p>
    <w:p w14:paraId="6D46963C" w14:textId="77777777" w:rsidR="000000D1" w:rsidRPr="000000D1" w:rsidRDefault="000000D1" w:rsidP="000000D1">
      <w:pPr>
        <w:ind w:left="1440"/>
        <w:rPr>
          <w:rFonts w:eastAsia="Calibri" w:cs="Times New Roman"/>
        </w:rPr>
      </w:pPr>
      <w:r w:rsidRPr="000000D1">
        <w:rPr>
          <w:rFonts w:eastAsia="Calibri" w:cs="Times New Roman"/>
        </w:rPr>
        <w:t>(b)(1) If the separate activities of the taxpayer or the activities of the partnership are sufficient to meet the conditions of section 401(1) of the TRC (72 P.S. § 7404(1)) relating to doing business, carrying on activities, having capital or property employed or used or owning property within this Commonwealth, then the taxpayer will be subject to corporate taxation by the Commonwealth.</w:t>
      </w:r>
    </w:p>
    <w:p w14:paraId="47FE800C" w14:textId="77777777" w:rsidR="000000D1" w:rsidRPr="000000D1" w:rsidRDefault="000000D1" w:rsidP="000000D1">
      <w:pPr>
        <w:ind w:left="1440"/>
        <w:rPr>
          <w:rFonts w:eastAsia="Calibri" w:cs="Times New Roman"/>
        </w:rPr>
      </w:pPr>
      <w:r w:rsidRPr="000000D1">
        <w:rPr>
          <w:rFonts w:eastAsia="Calibri" w:cs="Times New Roman"/>
        </w:rPr>
        <w:t>(b)(2) If the separate activities of the taxpayer or the activities of the partnership are sufficient to constitute transacting business outside this Commonwealth and render the taxpayer taxable to another state under section 401(3)2.(a)(2) and (3) of the TRC (72 P.S. § 7401(3)2.(a)(2) and (3)), then the taxpayer will be allowed to apportion and allocate its income.</w:t>
      </w:r>
    </w:p>
    <w:p w14:paraId="098316C4" w14:textId="77777777" w:rsidR="000000D1" w:rsidRPr="000000D1" w:rsidRDefault="000000D1" w:rsidP="000000D1">
      <w:pPr>
        <w:ind w:left="1440"/>
        <w:rPr>
          <w:rFonts w:eastAsia="Calibri" w:cs="Times New Roman"/>
        </w:rPr>
      </w:pPr>
      <w:r w:rsidRPr="000000D1">
        <w:rPr>
          <w:rFonts w:eastAsia="Calibri" w:cs="Times New Roman"/>
        </w:rPr>
        <w:t>(c)(1) Income arising from transactions and activity in the regular course of the taxpayer's trade or business constitutes business income. The determination of whether a corporate partner's distributive share of partnership income is business income depends upon whether the income arose in the regular course of the taxpayer's trade or business, determined in accordance with § 153.24 (reserved). The taxpayer's trade or business shall include activities performed in partnership.</w:t>
      </w:r>
    </w:p>
    <w:p w14:paraId="050D1ED8" w14:textId="77777777" w:rsidR="000000D1" w:rsidRPr="000000D1" w:rsidRDefault="000000D1" w:rsidP="000000D1">
      <w:pPr>
        <w:ind w:left="1440"/>
        <w:rPr>
          <w:rFonts w:eastAsia="Calibri" w:cs="Times New Roman"/>
        </w:rPr>
      </w:pPr>
      <w:r w:rsidRPr="000000D1">
        <w:rPr>
          <w:rFonts w:eastAsia="Calibri" w:cs="Times New Roman"/>
        </w:rPr>
        <w:lastRenderedPageBreak/>
        <w:t>(c)(2) The classification of income by the labels customarily given such as interest, rents, royalties, and capital gains, is of no aid in determining whether distributive partnership income is business or nonbusiness income. The income is determined to be either business or nonbusiness income depending upon the relationship to the trade or business of the corporate partner, not of the partnership, as determined by paragraph (1).</w:t>
      </w:r>
    </w:p>
    <w:p w14:paraId="6364FC70" w14:textId="77777777" w:rsidR="000000D1" w:rsidRPr="000000D1" w:rsidRDefault="000000D1" w:rsidP="000000D1">
      <w:pPr>
        <w:ind w:left="1440"/>
        <w:rPr>
          <w:rFonts w:eastAsia="Calibri" w:cs="Times New Roman"/>
        </w:rPr>
      </w:pPr>
      <w:r w:rsidRPr="000000D1">
        <w:rPr>
          <w:rFonts w:eastAsia="Calibri" w:cs="Times New Roman"/>
        </w:rPr>
        <w:t>(d) A corporate partner entitled to apportionment under subsection (b)(2) shall determine the business income attributable to this Commonwealth by use of a three-factor formula consisting of property, payroll, and sales of the taxpayer including its share of the partnership's property, payroll, and sales for a partnership year ending within or with the taxpayer's tax year as follows. . .</w:t>
      </w:r>
    </w:p>
    <w:p w14:paraId="343548D4" w14:textId="77777777" w:rsidR="000000D1" w:rsidRPr="000000D1" w:rsidRDefault="000000D1" w:rsidP="000000D1">
      <w:pPr>
        <w:ind w:left="720"/>
        <w:contextualSpacing/>
        <w:rPr>
          <w:rFonts w:eastAsia="Calibri" w:cs="Times New Roman"/>
        </w:rPr>
      </w:pPr>
      <w:r w:rsidRPr="000000D1">
        <w:rPr>
          <w:rFonts w:eastAsia="Calibri" w:cs="Times New Roman"/>
        </w:rPr>
        <w:t>61 Pa. Code § 109.5(a)</w:t>
      </w:r>
    </w:p>
    <w:p w14:paraId="7B37B551" w14:textId="77777777" w:rsidR="000000D1" w:rsidRPr="000000D1" w:rsidRDefault="000000D1" w:rsidP="000000D1">
      <w:pPr>
        <w:contextualSpacing/>
        <w:rPr>
          <w:rFonts w:eastAsia="Calibri" w:cs="Times New Roman"/>
        </w:rPr>
      </w:pPr>
    </w:p>
    <w:p w14:paraId="2333EF7F" w14:textId="77777777" w:rsidR="000000D1" w:rsidRPr="000000D1" w:rsidRDefault="000000D1" w:rsidP="000000D1">
      <w:pPr>
        <w:ind w:left="1440"/>
        <w:rPr>
          <w:rFonts w:eastAsia="Calibri" w:cs="Times New Roman"/>
        </w:rPr>
      </w:pPr>
      <w:r w:rsidRPr="000000D1">
        <w:rPr>
          <w:rFonts w:eastAsia="Calibri" w:cs="Times New Roman"/>
        </w:rPr>
        <w:t>If a nonresident individual, or a partnership of which a nonresident individual is a member, carries on a business, trade, profession, or occupation both within and without this Commonwealth, the items of income, gain, loss and deduction attributable to such business, trade, profession, or occupation shall be apportioned and allocated to this Commonwealth on a fair and equitable basis in accordance with approved methods of accounting.</w:t>
      </w:r>
    </w:p>
    <w:p w14:paraId="1A779369" w14:textId="77777777" w:rsidR="000000D1" w:rsidRPr="000000D1" w:rsidRDefault="000000D1" w:rsidP="000000D1">
      <w:pPr>
        <w:ind w:left="720"/>
        <w:contextualSpacing/>
        <w:rPr>
          <w:rFonts w:eastAsia="Calibri" w:cs="Times New Roman"/>
          <w:i/>
          <w:iCs/>
        </w:rPr>
      </w:pPr>
      <w:r w:rsidRPr="000000D1">
        <w:rPr>
          <w:rFonts w:eastAsia="Calibri" w:cs="Times New Roman"/>
          <w:i/>
          <w:iCs/>
        </w:rPr>
        <w:t>IN RE: Global Equity Shareholder</w:t>
      </w:r>
      <w:r w:rsidRPr="000000D1">
        <w:rPr>
          <w:rFonts w:eastAsia="Calibri" w:cs="Times New Roman"/>
        </w:rPr>
        <w:t xml:space="preserve">, Pennsylvania Board of Finance and Revenue Decision No. 1617207 (April 9, 2021) </w:t>
      </w:r>
    </w:p>
    <w:p w14:paraId="785EE66D" w14:textId="77777777" w:rsidR="000000D1" w:rsidRPr="000000D1" w:rsidRDefault="000000D1" w:rsidP="000000D1">
      <w:pPr>
        <w:ind w:left="720"/>
        <w:contextualSpacing/>
        <w:rPr>
          <w:rFonts w:eastAsia="Calibri" w:cs="Times New Roman"/>
          <w:i/>
          <w:iCs/>
        </w:rPr>
      </w:pPr>
    </w:p>
    <w:p w14:paraId="6BBAE825" w14:textId="77777777" w:rsidR="000000D1" w:rsidRPr="000000D1" w:rsidRDefault="000000D1" w:rsidP="000000D1">
      <w:pPr>
        <w:ind w:left="1440"/>
        <w:rPr>
          <w:rFonts w:eastAsia="Calibri"/>
        </w:rPr>
      </w:pPr>
      <w:r w:rsidRPr="000000D1">
        <w:rPr>
          <w:rFonts w:eastAsia="Calibri" w:cs="Times New Roman"/>
        </w:rPr>
        <w:t>“</w:t>
      </w:r>
      <w:r w:rsidRPr="000000D1">
        <w:rPr>
          <w:rFonts w:eastAsia="Calibri"/>
        </w:rPr>
        <w:t>Petitioner filed the instant petitioner for review of reassessment at the Board of Finance and Revenue on November 28, 2016, again, claiming the above-listed issue. Petitioner contends that its apportionment factor should be [REDACTED]% because it does not conduct any activities or employ anyone in Pennsylvania. Petitioner explains that its ownership in publicly traded pass-through partnerships that do business in Pennsylvania is minimal but it is unable to obtain Pennsylvania-related property and payroll factors.</w:t>
      </w:r>
    </w:p>
    <w:p w14:paraId="7C68B9B7" w14:textId="77777777" w:rsidR="000000D1" w:rsidRPr="000000D1" w:rsidRDefault="000000D1" w:rsidP="000000D1">
      <w:pPr>
        <w:ind w:left="1440"/>
        <w:rPr>
          <w:rFonts w:eastAsia="Calibri" w:cs="Times New Roman"/>
          <w:b/>
          <w:bCs/>
        </w:rPr>
      </w:pPr>
      <w:r w:rsidRPr="000000D1">
        <w:rPr>
          <w:rFonts w:eastAsia="Calibri" w:cs="Times New Roman"/>
          <w:b/>
          <w:bCs/>
        </w:rPr>
        <w:t>Conclusion</w:t>
      </w:r>
    </w:p>
    <w:p w14:paraId="58A99F6F" w14:textId="77777777" w:rsidR="000000D1" w:rsidRPr="000000D1" w:rsidRDefault="000000D1" w:rsidP="000000D1">
      <w:pPr>
        <w:ind w:left="1440"/>
        <w:rPr>
          <w:rFonts w:eastAsia="Calibri" w:cs="Times New Roman"/>
        </w:rPr>
      </w:pPr>
      <w:r w:rsidRPr="000000D1">
        <w:rPr>
          <w:rFonts w:eastAsia="Calibri" w:cs="Times New Roman"/>
        </w:rPr>
        <w:t>Petitioner's request for relied is denied because Petitioner failed to meet its burden of proof pursuant to 72 P.S. § 9705.</w:t>
      </w:r>
    </w:p>
    <w:p w14:paraId="7E564C33" w14:textId="77777777" w:rsidR="000000D1" w:rsidRPr="000000D1" w:rsidRDefault="000000D1" w:rsidP="000000D1">
      <w:pPr>
        <w:ind w:left="1440"/>
        <w:rPr>
          <w:rFonts w:eastAsia="Calibri" w:cs="Times New Roman"/>
        </w:rPr>
      </w:pPr>
      <w:r w:rsidRPr="000000D1">
        <w:rPr>
          <w:rFonts w:eastAsia="Calibri" w:cs="Times New Roman"/>
        </w:rPr>
        <w:t>If a corporation carries on a business both within and without Pennsylvania, the items of income, gain, loss and deduction attributable to such business can be apportioned and allocated to Pennsylvania on a fair and equitable basis in accordance with approved methods of accounting. </w:t>
      </w:r>
      <w:r w:rsidRPr="000000D1">
        <w:rPr>
          <w:rFonts w:eastAsia="Calibri" w:cs="Times New Roman"/>
          <w:i/>
          <w:iCs/>
        </w:rPr>
        <w:t>See</w:t>
      </w:r>
      <w:r w:rsidRPr="000000D1">
        <w:rPr>
          <w:rFonts w:eastAsia="Calibri" w:cs="Times New Roman"/>
        </w:rPr>
        <w:t> </w:t>
      </w:r>
      <w:hyperlink r:id="rId43" w:anchor="jcite" w:history="1">
        <w:r w:rsidRPr="000000D1">
          <w:rPr>
            <w:rFonts w:eastAsia="Calibri" w:cs="Times New Roman"/>
          </w:rPr>
          <w:t>72 P.S. § 7401 (3)</w:t>
        </w:r>
      </w:hyperlink>
      <w:r w:rsidRPr="000000D1">
        <w:rPr>
          <w:rFonts w:eastAsia="Calibri" w:cs="Times New Roman"/>
        </w:rPr>
        <w:t>(2.(a)(2)-(3); </w:t>
      </w:r>
      <w:hyperlink r:id="rId44" w:anchor="jcite" w:history="1">
        <w:r w:rsidRPr="000000D1">
          <w:rPr>
            <w:rFonts w:eastAsia="Calibri" w:cs="Times New Roman"/>
          </w:rPr>
          <w:t>61 Pa. Code § 109.5</w:t>
        </w:r>
      </w:hyperlink>
      <w:r w:rsidRPr="000000D1">
        <w:rPr>
          <w:rFonts w:eastAsia="Calibri" w:cs="Times New Roman"/>
        </w:rPr>
        <w:t>. Corporations having income from business activity within and without the state are entitled to use three-factor apportionment. </w:t>
      </w:r>
      <w:r w:rsidRPr="000000D1">
        <w:rPr>
          <w:rFonts w:eastAsia="Calibri" w:cs="Times New Roman"/>
          <w:i/>
          <w:iCs/>
        </w:rPr>
        <w:t>Id.</w:t>
      </w:r>
    </w:p>
    <w:p w14:paraId="4FB6296D" w14:textId="77777777" w:rsidR="000000D1" w:rsidRPr="000000D1" w:rsidRDefault="000000D1" w:rsidP="000000D1">
      <w:pPr>
        <w:ind w:left="1440"/>
        <w:rPr>
          <w:rFonts w:eastAsia="Calibri" w:cs="Times New Roman"/>
        </w:rPr>
      </w:pPr>
      <w:r w:rsidRPr="000000D1">
        <w:rPr>
          <w:rFonts w:eastAsia="Calibri" w:cs="Times New Roman"/>
        </w:rPr>
        <w:t>When a taxpayer has an interest in a partnership, joint venture, association or other unincorporated enterprise the interest in the partnership shall be considered a direct interest in the assets of the partnership rather than an intangible interest. </w:t>
      </w:r>
      <w:r w:rsidRPr="000000D1">
        <w:rPr>
          <w:rFonts w:eastAsia="Calibri" w:cs="Times New Roman"/>
          <w:i/>
          <w:iCs/>
        </w:rPr>
        <w:t>See</w:t>
      </w:r>
      <w:r w:rsidRPr="000000D1">
        <w:rPr>
          <w:rFonts w:eastAsia="Calibri" w:cs="Times New Roman"/>
        </w:rPr>
        <w:t> </w:t>
      </w:r>
      <w:hyperlink r:id="rId45" w:anchor="jcite" w:history="1">
        <w:r w:rsidRPr="000000D1">
          <w:rPr>
            <w:rFonts w:eastAsia="Calibri" w:cs="Times New Roman"/>
          </w:rPr>
          <w:t>72 P.S. § 7602.6</w:t>
        </w:r>
      </w:hyperlink>
      <w:r w:rsidRPr="000000D1">
        <w:rPr>
          <w:rFonts w:eastAsia="Calibri" w:cs="Times New Roman"/>
        </w:rPr>
        <w:t>; </w:t>
      </w:r>
      <w:hyperlink r:id="rId46" w:anchor="jcite" w:history="1">
        <w:r w:rsidRPr="000000D1">
          <w:rPr>
            <w:rFonts w:eastAsia="Calibri" w:cs="Times New Roman"/>
          </w:rPr>
          <w:t>61 Pa. Code § 153.29</w:t>
        </w:r>
      </w:hyperlink>
      <w:r w:rsidRPr="000000D1">
        <w:rPr>
          <w:rFonts w:eastAsia="Calibri" w:cs="Times New Roman"/>
        </w:rPr>
        <w:t>. Accordingly, the taxpayer's share of the partnership's payroll, property, and sales shall be included in the apportionment factors of the taxpayers. </w:t>
      </w:r>
      <w:r w:rsidRPr="000000D1">
        <w:rPr>
          <w:rFonts w:eastAsia="Calibri" w:cs="Times New Roman"/>
          <w:i/>
          <w:iCs/>
        </w:rPr>
        <w:t>Id.</w:t>
      </w:r>
    </w:p>
    <w:p w14:paraId="1A601FD4" w14:textId="77777777" w:rsidR="000000D1" w:rsidRPr="000000D1" w:rsidRDefault="000000D1" w:rsidP="000000D1">
      <w:pPr>
        <w:ind w:left="1440"/>
        <w:rPr>
          <w:rFonts w:eastAsia="Calibri" w:cs="Times New Roman"/>
        </w:rPr>
      </w:pPr>
      <w:r w:rsidRPr="000000D1">
        <w:rPr>
          <w:rFonts w:eastAsia="Calibri" w:cs="Times New Roman"/>
        </w:rPr>
        <w:t>Every petition for refund or review filed with the Board shall set forth the facts and points of law which the petitioner relies and Petitioner has the burden of proof to supply sufficient evidence to support its claim. </w:t>
      </w:r>
      <w:hyperlink r:id="rId47" w:anchor="jcite" w:history="1">
        <w:r w:rsidRPr="000000D1">
          <w:rPr>
            <w:rFonts w:eastAsia="Calibri" w:cs="Times New Roman"/>
          </w:rPr>
          <w:t>72 P.S. § 9705</w:t>
        </w:r>
      </w:hyperlink>
      <w:r w:rsidRPr="000000D1">
        <w:rPr>
          <w:rFonts w:eastAsia="Calibri" w:cs="Times New Roman"/>
        </w:rPr>
        <w:t xml:space="preserve">. Petitioner has not submitted the proportionate share of the property, payroll, and sales factors of all of its investee </w:t>
      </w:r>
      <w:r w:rsidRPr="000000D1">
        <w:rPr>
          <w:rFonts w:eastAsia="Calibri" w:cs="Times New Roman"/>
        </w:rPr>
        <w:lastRenderedPageBreak/>
        <w:t>partnerships in which it has an ownership interest. Therefore, there is not sufficient evidence to grant this claim.”</w:t>
      </w:r>
    </w:p>
    <w:p w14:paraId="74B1CAB3" w14:textId="77777777" w:rsidR="000000D1" w:rsidRPr="000000D1" w:rsidRDefault="000000D1" w:rsidP="000000D1">
      <w:pPr>
        <w:ind w:left="720"/>
        <w:contextualSpacing/>
        <w:rPr>
          <w:rFonts w:eastAsia="Calibri" w:cs="Times New Roman"/>
          <w:i/>
          <w:iCs/>
        </w:rPr>
      </w:pPr>
      <w:r w:rsidRPr="000000D1">
        <w:rPr>
          <w:rFonts w:eastAsia="Calibri" w:cs="Times New Roman"/>
          <w:i/>
          <w:iCs/>
        </w:rPr>
        <w:t>IN RE: Starfire Holding Corporation</w:t>
      </w:r>
      <w:r w:rsidRPr="000000D1">
        <w:rPr>
          <w:rFonts w:eastAsia="Calibri" w:cs="Times New Roman"/>
        </w:rPr>
        <w:t xml:space="preserve">, Pennsylvania Board of Finance and Revenue Decision No. 2004864 (April 9, 2021) </w:t>
      </w:r>
    </w:p>
    <w:p w14:paraId="63BA2831" w14:textId="77777777" w:rsidR="000000D1" w:rsidRPr="000000D1" w:rsidRDefault="000000D1" w:rsidP="000000D1">
      <w:pPr>
        <w:ind w:left="720"/>
        <w:contextualSpacing/>
        <w:rPr>
          <w:rFonts w:eastAsia="Calibri" w:cs="Times New Roman"/>
          <w:i/>
          <w:iCs/>
        </w:rPr>
      </w:pPr>
    </w:p>
    <w:p w14:paraId="77A4C0AE" w14:textId="7B25FC0D" w:rsidR="000000D1" w:rsidRPr="000000D1" w:rsidRDefault="000000D1" w:rsidP="000000D1">
      <w:pPr>
        <w:ind w:left="1440"/>
        <w:contextualSpacing/>
        <w:rPr>
          <w:rFonts w:eastAsia="Calibri" w:cs="Times New Roman"/>
        </w:rPr>
      </w:pPr>
      <w:r w:rsidRPr="000000D1">
        <w:rPr>
          <w:rFonts w:eastAsia="Calibri" w:cs="Times New Roman"/>
        </w:rPr>
        <w:t>“Petitioner's lower-tier entity income share is not entitled to nonbusiness income treatment. Under the transactional test, the pass-through income is business income because this income was derived from transactions in which Petitioner regularly engaged, investment in securities and in pass-through entities. Welded Tube Company of America v. Com., 101 Pa. Commw. 32, 515 A.2d 988 (1986); 61 Pa. Code § 153.29(c)(1) (taxpayer's regular trade or business include those performed in a partnership). When deriving income from lower-tier entities is viewed in light of Petitioner's past business history, the lower-tier income was derived from the conduct of Petitioner's regular business. Ross-Araco Corp. v. Com., 165 Pa. Commw. 49, 644 A.2d 235 (1994), aff'd, 544 Pa. 74, 674 A.2d 691 (1996) (holding that gain from land sale was nonbusiness income when transaction was only land sale by taxpayer; gain was used to buy government bonds; and land was used only to obtain performance bid bonds, but did not directly produce business income). Petitioner regularly engaged in investment including the acquisition of partnerships and limited liability companies to accomplish Petitioner's business purposes</w:t>
      </w:r>
      <w:r w:rsidRPr="000000D1">
        <w:rPr>
          <w:rFonts w:eastAsia="Calibri" w:cs="Times New Roman"/>
          <w:i/>
          <w:iCs/>
        </w:rPr>
        <w:t>.</w:t>
      </w:r>
    </w:p>
    <w:p w14:paraId="0680CE19" w14:textId="77777777" w:rsidR="000000D1" w:rsidRPr="000000D1" w:rsidRDefault="000000D1" w:rsidP="000000D1">
      <w:pPr>
        <w:ind w:left="1440"/>
        <w:contextualSpacing/>
        <w:rPr>
          <w:rFonts w:eastAsia="Calibri" w:cs="Times New Roman"/>
        </w:rPr>
      </w:pPr>
    </w:p>
    <w:p w14:paraId="166F445D" w14:textId="77777777" w:rsidR="000000D1" w:rsidRPr="000000D1" w:rsidRDefault="000000D1" w:rsidP="000000D1">
      <w:pPr>
        <w:ind w:left="1440"/>
        <w:contextualSpacing/>
        <w:rPr>
          <w:rFonts w:eastAsia="Calibri" w:cs="Times New Roman"/>
        </w:rPr>
      </w:pPr>
      <w:r w:rsidRPr="000000D1">
        <w:rPr>
          <w:rFonts w:eastAsia="Calibri" w:cs="Times New Roman"/>
        </w:rPr>
        <w:t>Petitioner did not prove that the acquisition and management of the lower-tier entities producing the income at issue were not integral parts of Petitioner's investment trade or business. Under the clarified functional test, the lower-tier income was business income because the acquisition and management of other entities constituted an integral part of Petitioner's regular trade or business. See 72 P.S. § 7401(3)2.(a)(1)(A); Glatfelter Pulpwood Company v. Com., 61 A.3d 993 (Pa. 2013) (affirming the Commonwealth Court decision). These lower-tier entities were acquired or formed because of Petitioner's investment business and when sold, the gains remained business income.</w:t>
      </w:r>
    </w:p>
    <w:p w14:paraId="459E6EDD" w14:textId="77777777" w:rsidR="000000D1" w:rsidRPr="000000D1" w:rsidRDefault="000000D1" w:rsidP="000000D1">
      <w:pPr>
        <w:ind w:left="1440"/>
        <w:contextualSpacing/>
        <w:rPr>
          <w:rFonts w:eastAsia="Calibri" w:cs="Times New Roman"/>
        </w:rPr>
      </w:pPr>
    </w:p>
    <w:p w14:paraId="6A0FEE46" w14:textId="77777777" w:rsidR="000000D1" w:rsidRPr="000000D1" w:rsidRDefault="000000D1" w:rsidP="000000D1">
      <w:pPr>
        <w:ind w:left="1440"/>
        <w:contextualSpacing/>
        <w:rPr>
          <w:rFonts w:eastAsia="Calibri" w:cs="Times New Roman"/>
        </w:rPr>
      </w:pPr>
      <w:r w:rsidRPr="000000D1">
        <w:rPr>
          <w:rFonts w:eastAsia="Calibri" w:cs="Times New Roman"/>
        </w:rPr>
        <w:t>Petitioner has not shown that it is entitled to multiform/unrelated income treatment. When multistate businesses are conducted in a way that some of the business operations outside Pennsylvania are independent of and do not contribute to the business operations within Pennsylvania, the business may exclude the factors attributable to the outside activity. Com, v. ACF Indus., Inc., 271 A.2d 273, at 280 (Pa. 1970). The burden of proof in a multiform/unrelated income case lies with the taxpayer who must clearly show the unrelated nature of the income it seeks to exclude. See Container Corp. of America v. Franchise Tax Bd. of Cal., 463 U.S. 159, at 180-81 (1983). Petitioner has not demonstrated it is a multiform business and has not proved how its share of lower-tier entity income was unrelated to its Pennsylvania income when these entities were also Petitioner's investments and, thus, Petitioner's request for multiform/unrelated income treatment is denied. See id.”</w:t>
      </w:r>
    </w:p>
    <w:p w14:paraId="0034D30B" w14:textId="77777777" w:rsidR="000000D1" w:rsidRPr="000000D1" w:rsidRDefault="000000D1" w:rsidP="000000D1">
      <w:pPr>
        <w:ind w:left="1440"/>
        <w:contextualSpacing/>
        <w:rPr>
          <w:rFonts w:eastAsia="Calibri" w:cs="Times New Roman"/>
        </w:rPr>
      </w:pPr>
    </w:p>
    <w:p w14:paraId="0590F7C9" w14:textId="77777777" w:rsidR="000000D1" w:rsidRPr="000000D1" w:rsidRDefault="000000D1" w:rsidP="000000D1">
      <w:pPr>
        <w:ind w:left="720"/>
        <w:contextualSpacing/>
        <w:rPr>
          <w:rFonts w:eastAsia="Calibri" w:cs="Times New Roman"/>
        </w:rPr>
      </w:pPr>
      <w:r w:rsidRPr="000000D1">
        <w:rPr>
          <w:rFonts w:eastAsia="Calibri" w:cs="Times New Roman"/>
          <w:i/>
          <w:iCs/>
        </w:rPr>
        <w:t>IN RE: New SR Capital Associates LLC</w:t>
      </w:r>
      <w:r w:rsidRPr="000000D1">
        <w:rPr>
          <w:rFonts w:eastAsia="Calibri" w:cs="Times New Roman"/>
        </w:rPr>
        <w:t xml:space="preserve">, Pennsylvania Board of Finance and Revenue Decision No. 1513962 (July 13, 2016) </w:t>
      </w:r>
    </w:p>
    <w:p w14:paraId="257E82A2" w14:textId="77777777" w:rsidR="000000D1" w:rsidRPr="000000D1" w:rsidRDefault="000000D1" w:rsidP="000000D1">
      <w:pPr>
        <w:contextualSpacing/>
        <w:rPr>
          <w:rFonts w:eastAsia="Calibri" w:cs="Times New Roman"/>
        </w:rPr>
      </w:pPr>
    </w:p>
    <w:p w14:paraId="016653F0" w14:textId="77777777" w:rsidR="000000D1" w:rsidRPr="000000D1" w:rsidRDefault="000000D1" w:rsidP="000000D1">
      <w:pPr>
        <w:ind w:left="1440"/>
        <w:rPr>
          <w:rFonts w:eastAsia="Calibri" w:cs="Times New Roman"/>
        </w:rPr>
      </w:pPr>
      <w:r w:rsidRPr="000000D1">
        <w:rPr>
          <w:rFonts w:eastAsia="Calibri" w:cs="Times New Roman"/>
        </w:rPr>
        <w:t xml:space="preserve">The Petitioner held an interest in more than 150 tiered partnerships or limited liability companies. Five of those entities had Pennsylvania-sourced income. Petitioner appealed the assessment to the Board of Appeals claiming that it did not conduct business in Pennsylvania. Petitioner argued that, although it is had an ownership interest in five entities with Pennsylvania sourced income and expenses, it did not own or rent property or have any employees in the Commonwealth. Consequently, Petitioner argued, it properly reported its apportionment. </w:t>
      </w:r>
    </w:p>
    <w:p w14:paraId="4DAECBA2" w14:textId="77777777" w:rsidR="000000D1" w:rsidRPr="000000D1" w:rsidRDefault="000000D1" w:rsidP="000000D1">
      <w:pPr>
        <w:ind w:left="1440"/>
        <w:rPr>
          <w:rFonts w:eastAsia="Calibri" w:cs="Times New Roman"/>
        </w:rPr>
      </w:pPr>
      <w:r w:rsidRPr="000000D1">
        <w:rPr>
          <w:rFonts w:eastAsia="Calibri" w:cs="Times New Roman"/>
        </w:rPr>
        <w:lastRenderedPageBreak/>
        <w:t>The Board ruled “[i]n the instant case, Petitioner indicates it has interests in five entities with Pennsylvania source income. Two of these entities are partnerships. However, Petitioner failed to include the source income amounts from these partnerships in its apportionment factors. While Petitioner has submitted a revised RCT-101, amending the denominators of its three apportionment factors from “[REDACTED]” to “[REDACTED],” this Board finds that Petitioner has failed to prove its proposed apportionment factor denominator of “[REDACTED].” Importantly, Petitioner has failed to provide federal returns of investee entities to support its proposal. Petitioner failed to provide source documents to reconcile the difference between the factors reported on its two RCT-101's, or any supporting documentation with respect to its total property, payroll or sales figures. Consequently, this Board finds that Petitioner has failed to satisfy its burden of proof pursuant to 72 P.S. § 9705.”</w:t>
      </w:r>
    </w:p>
    <w:p w14:paraId="45C6D2D7" w14:textId="77777777" w:rsidR="000000D1" w:rsidRPr="000000D1" w:rsidRDefault="000000D1" w:rsidP="000000D1">
      <w:pPr>
        <w:ind w:left="720"/>
        <w:contextualSpacing/>
        <w:rPr>
          <w:rFonts w:eastAsia="Calibri" w:cs="Times New Roman"/>
          <w:i/>
          <w:iCs/>
        </w:rPr>
      </w:pPr>
      <w:hyperlink r:id="rId48" w:history="1">
        <w:r w:rsidRPr="000000D1">
          <w:rPr>
            <w:rFonts w:eastAsia="Calibri" w:cs="Times New Roman"/>
            <w:u w:val="single"/>
          </w:rPr>
          <w:t>Pennsylvania Personal Income Tax Guide – Pass Through Entities</w:t>
        </w:r>
      </w:hyperlink>
      <w:r w:rsidRPr="000000D1">
        <w:rPr>
          <w:rFonts w:eastAsia="Calibri" w:cs="Times New Roman"/>
        </w:rPr>
        <w:t xml:space="preserve"> </w:t>
      </w:r>
    </w:p>
    <w:p w14:paraId="77936CA7" w14:textId="77777777" w:rsidR="000000D1" w:rsidRPr="000000D1" w:rsidRDefault="000000D1" w:rsidP="000000D1">
      <w:pPr>
        <w:contextualSpacing/>
        <w:rPr>
          <w:rFonts w:eastAsia="Calibri" w:cs="Times New Roman"/>
        </w:rPr>
      </w:pPr>
    </w:p>
    <w:p w14:paraId="6DBC27BE" w14:textId="77777777" w:rsidR="000000D1" w:rsidRPr="000000D1" w:rsidRDefault="000000D1" w:rsidP="000000D1">
      <w:pPr>
        <w:ind w:left="1440"/>
        <w:rPr>
          <w:rFonts w:eastAsia="Calibri" w:cs="Times New Roman"/>
        </w:rPr>
      </w:pPr>
      <w:r w:rsidRPr="000000D1">
        <w:rPr>
          <w:rFonts w:eastAsia="Calibri" w:cs="Times New Roman"/>
        </w:rPr>
        <w:t>§ 704(b) Special allocations with substantial economic effect. Pennsylvania follows federal treatment.</w:t>
      </w:r>
    </w:p>
    <w:p w14:paraId="664DA593" w14:textId="77777777" w:rsidR="000000D1" w:rsidRPr="000000D1" w:rsidRDefault="000000D1" w:rsidP="000000D1">
      <w:pPr>
        <w:ind w:left="1440"/>
        <w:rPr>
          <w:rFonts w:eastAsia="Calibri" w:cs="Times New Roman"/>
        </w:rPr>
      </w:pPr>
      <w:r w:rsidRPr="000000D1">
        <w:rPr>
          <w:rFonts w:eastAsia="Calibri" w:cs="Times New Roman"/>
        </w:rPr>
        <w:t>§ 704(c) Allocations with respect to pre-contribution gain inherent in contributed assets. Pennsylvania follows federal treatment.</w:t>
      </w:r>
    </w:p>
    <w:p w14:paraId="4BD5D47D" w14:textId="77777777" w:rsidR="000000D1" w:rsidRPr="000000D1" w:rsidRDefault="000000D1" w:rsidP="000000D1">
      <w:pPr>
        <w:pBdr>
          <w:bottom w:val="single" w:sz="4" w:space="0" w:color="auto"/>
        </w:pBdr>
        <w:rPr>
          <w:rFonts w:eastAsia="Calibri" w:cs="Times New Roman"/>
        </w:rPr>
      </w:pPr>
    </w:p>
    <w:p w14:paraId="6545A250"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52" w:name="_Toc198480801"/>
      <w:r w:rsidRPr="000000D1">
        <w:rPr>
          <w:rFonts w:ascii="Californian FB" w:eastAsia="Times New Roman" w:hAnsi="Californian FB" w:cs="Times New Roman"/>
          <w:b/>
          <w:color w:val="851C00"/>
          <w:sz w:val="24"/>
          <w:szCs w:val="24"/>
          <w:u w:val="single"/>
        </w:rPr>
        <w:t>Rhode Island</w:t>
      </w:r>
      <w:bookmarkEnd w:id="152"/>
      <w:r w:rsidRPr="000000D1">
        <w:rPr>
          <w:rFonts w:ascii="Californian FB" w:eastAsia="Times New Roman" w:hAnsi="Californian FB" w:cs="Times New Roman"/>
          <w:b/>
          <w:color w:val="851C00"/>
          <w:sz w:val="24"/>
          <w:szCs w:val="24"/>
          <w:u w:val="single"/>
        </w:rPr>
        <w:t xml:space="preserve"> </w:t>
      </w:r>
    </w:p>
    <w:p w14:paraId="3B70CE46" w14:textId="77777777" w:rsidR="000000D1" w:rsidRPr="000000D1" w:rsidRDefault="000000D1" w:rsidP="000000D1">
      <w:pPr>
        <w:ind w:left="720"/>
        <w:contextualSpacing/>
        <w:rPr>
          <w:rFonts w:eastAsia="Calibri" w:cs="Times New Roman"/>
          <w:i/>
          <w:iCs/>
        </w:rPr>
      </w:pPr>
      <w:r w:rsidRPr="000000D1">
        <w:rPr>
          <w:rFonts w:eastAsia="Calibri" w:cs="Times New Roman"/>
        </w:rPr>
        <w:t xml:space="preserve">R.I. Gen. Laws § 44-30-15(a) </w:t>
      </w:r>
    </w:p>
    <w:p w14:paraId="71A62CE4" w14:textId="77777777" w:rsidR="000000D1" w:rsidRPr="000000D1" w:rsidRDefault="000000D1" w:rsidP="000000D1">
      <w:pPr>
        <w:contextualSpacing/>
        <w:rPr>
          <w:rFonts w:eastAsia="Calibri" w:cs="Times New Roman"/>
        </w:rPr>
      </w:pPr>
    </w:p>
    <w:p w14:paraId="0F152263" w14:textId="77777777" w:rsidR="000000D1" w:rsidRPr="000000D1" w:rsidRDefault="000000D1" w:rsidP="000000D1">
      <w:pPr>
        <w:ind w:left="1440"/>
        <w:contextualSpacing/>
        <w:rPr>
          <w:rFonts w:eastAsia="Calibri" w:cs="Times New Roman"/>
        </w:rPr>
      </w:pPr>
      <w:r w:rsidRPr="000000D1">
        <w:rPr>
          <w:rFonts w:eastAsia="Calibri" w:cs="Times New Roman"/>
        </w:rPr>
        <w:t>Partners’ modifications. In determining Rhode Island income of a resident partner, any modification described in subsection (b), (c), or (d) of § 44-30-12, which related to an item of partnership income or deduction shall be made in accordance with the partner’s distributive share, for federal income tax purposes, of the item to which the modification relates. Where a partner’s distributive share of any item is not required to be taken into account separately for federal income tax purposes, the partner’s distributive share of the item shall be determined in accordance with his distributive share for federal income tax purposes of partnership taxable income or loss generally.</w:t>
      </w:r>
    </w:p>
    <w:p w14:paraId="38D4F7AC" w14:textId="77777777" w:rsidR="000000D1" w:rsidRPr="000000D1" w:rsidRDefault="000000D1" w:rsidP="000000D1">
      <w:pPr>
        <w:ind w:left="720"/>
        <w:contextualSpacing/>
        <w:rPr>
          <w:rFonts w:eastAsia="Calibri" w:cs="Times New Roman"/>
        </w:rPr>
      </w:pPr>
    </w:p>
    <w:p w14:paraId="5D2E54CE" w14:textId="77777777" w:rsidR="000000D1" w:rsidRPr="000000D1" w:rsidRDefault="000000D1" w:rsidP="000000D1">
      <w:pPr>
        <w:ind w:left="720"/>
        <w:contextualSpacing/>
        <w:rPr>
          <w:rFonts w:eastAsia="Calibri" w:cs="Times New Roman"/>
          <w:i/>
          <w:iCs/>
        </w:rPr>
      </w:pPr>
      <w:r w:rsidRPr="000000D1">
        <w:rPr>
          <w:rFonts w:eastAsia="Calibri" w:cs="Times New Roman"/>
        </w:rPr>
        <w:t>R.I. Gen. Laws § 44-30-15(b)</w:t>
      </w:r>
    </w:p>
    <w:p w14:paraId="55783C13" w14:textId="77777777" w:rsidR="000000D1" w:rsidRPr="000000D1" w:rsidRDefault="000000D1" w:rsidP="000000D1">
      <w:pPr>
        <w:contextualSpacing/>
        <w:rPr>
          <w:rFonts w:eastAsia="Calibri" w:cs="Times New Roman"/>
        </w:rPr>
      </w:pPr>
    </w:p>
    <w:p w14:paraId="00A58B8F" w14:textId="77777777" w:rsidR="000000D1" w:rsidRPr="000000D1" w:rsidRDefault="000000D1" w:rsidP="000000D1">
      <w:pPr>
        <w:ind w:left="1440"/>
        <w:rPr>
          <w:rFonts w:eastAsia="Calibri" w:cs="Times New Roman"/>
        </w:rPr>
      </w:pPr>
      <w:r w:rsidRPr="000000D1">
        <w:rPr>
          <w:rFonts w:eastAsia="Calibri" w:cs="Times New Roman"/>
        </w:rPr>
        <w:t>Each item of partnership income or deduction shall have the same character for a partner as for federal income tax purposes. Where an item is not characterized for federal income tax purposes, it shall have the same character for a partner as if realized directly from the source from which realized by the partnership or incurred in the same manner as incurred by the partnership.</w:t>
      </w:r>
    </w:p>
    <w:p w14:paraId="69E79A94" w14:textId="77777777" w:rsidR="000000D1" w:rsidRPr="000000D1" w:rsidRDefault="000000D1" w:rsidP="000000D1">
      <w:pPr>
        <w:ind w:left="720"/>
        <w:contextualSpacing/>
        <w:rPr>
          <w:rFonts w:eastAsia="Calibri" w:cs="Times New Roman"/>
          <w:i/>
          <w:iCs/>
        </w:rPr>
      </w:pPr>
      <w:r w:rsidRPr="000000D1">
        <w:rPr>
          <w:rFonts w:eastAsia="Calibri" w:cs="Times New Roman"/>
        </w:rPr>
        <w:t>R.I. Gen. Laws § 44-30-15(c)</w:t>
      </w:r>
    </w:p>
    <w:p w14:paraId="7522115B" w14:textId="77777777" w:rsidR="000000D1" w:rsidRPr="000000D1" w:rsidRDefault="000000D1" w:rsidP="000000D1">
      <w:pPr>
        <w:contextualSpacing/>
        <w:rPr>
          <w:rFonts w:eastAsia="Calibri" w:cs="Times New Roman"/>
        </w:rPr>
      </w:pPr>
    </w:p>
    <w:p w14:paraId="3700C373" w14:textId="77777777" w:rsidR="000000D1" w:rsidRPr="000000D1" w:rsidRDefault="000000D1" w:rsidP="000000D1">
      <w:pPr>
        <w:ind w:left="1440"/>
        <w:rPr>
          <w:rFonts w:eastAsia="Calibri" w:cs="Times New Roman"/>
        </w:rPr>
      </w:pPr>
      <w:r w:rsidRPr="000000D1">
        <w:rPr>
          <w:rFonts w:eastAsia="Calibri" w:cs="Times New Roman"/>
        </w:rPr>
        <w:t>Where an owner's distributive shares of an item of pass-through entity income, gain, loss or deduction is determined for federal income tax purposes by special provision in the pass-through entity agreement with respect to such item, and where the principal purpose of such provision is the avoidance or evasion of tax under this chapter, the owner's distributive share of such item, and any modification required with respect thereto, shall be determined as if the pass-through entity agreement made no special provision with respect to such item.</w:t>
      </w:r>
    </w:p>
    <w:p w14:paraId="3356E221" w14:textId="77777777" w:rsidR="000000D1" w:rsidRPr="000000D1" w:rsidRDefault="000000D1" w:rsidP="000000D1">
      <w:pPr>
        <w:ind w:left="720"/>
        <w:contextualSpacing/>
        <w:rPr>
          <w:rFonts w:eastAsia="Calibri" w:cs="Times New Roman"/>
        </w:rPr>
      </w:pPr>
      <w:r w:rsidRPr="000000D1">
        <w:rPr>
          <w:rFonts w:eastAsia="Calibri" w:cs="Times New Roman"/>
        </w:rPr>
        <w:t xml:space="preserve">R.I. Gen. Laws § 44-30-34(a) </w:t>
      </w:r>
    </w:p>
    <w:p w14:paraId="272DCD2E" w14:textId="77777777" w:rsidR="000000D1" w:rsidRPr="000000D1" w:rsidRDefault="000000D1" w:rsidP="000000D1">
      <w:pPr>
        <w:contextualSpacing/>
        <w:rPr>
          <w:rFonts w:eastAsia="Calibri" w:cs="Times New Roman"/>
        </w:rPr>
      </w:pPr>
    </w:p>
    <w:p w14:paraId="2325123D" w14:textId="77777777" w:rsidR="000000D1" w:rsidRPr="000000D1" w:rsidRDefault="000000D1" w:rsidP="000000D1">
      <w:pPr>
        <w:ind w:left="1440"/>
        <w:rPr>
          <w:rFonts w:eastAsia="Calibri" w:cs="Times New Roman"/>
        </w:rPr>
      </w:pPr>
      <w:r w:rsidRPr="000000D1">
        <w:rPr>
          <w:rFonts w:eastAsia="Calibri" w:cs="Times New Roman"/>
        </w:rPr>
        <w:lastRenderedPageBreak/>
        <w:t>In determining Rhode Island income of a nonresident partner of any partnership, there shall be included only the portion derived from or connected with Rhode Island sources of the partner's distributive share of items of partnership income and deduction entering into his or her federal adjusted gross income, as such portion shall be determined under regulations of the tax administrator consistent with the applicable rules of § 44-30-32.</w:t>
      </w:r>
    </w:p>
    <w:p w14:paraId="60396E4C" w14:textId="77777777" w:rsidR="000000D1" w:rsidRPr="000000D1" w:rsidRDefault="000000D1" w:rsidP="000000D1">
      <w:pPr>
        <w:ind w:left="720"/>
        <w:contextualSpacing/>
        <w:rPr>
          <w:rFonts w:eastAsia="Calibri" w:cs="Times New Roman"/>
        </w:rPr>
      </w:pPr>
      <w:r w:rsidRPr="000000D1">
        <w:rPr>
          <w:rFonts w:eastAsia="Calibri" w:cs="Times New Roman"/>
        </w:rPr>
        <w:t xml:space="preserve">R.I. Gen. Laws § 44-30-34(c) </w:t>
      </w:r>
    </w:p>
    <w:p w14:paraId="16494609" w14:textId="77777777" w:rsidR="000000D1" w:rsidRPr="000000D1" w:rsidRDefault="000000D1" w:rsidP="000000D1">
      <w:pPr>
        <w:contextualSpacing/>
        <w:rPr>
          <w:rFonts w:eastAsia="Calibri" w:cs="Times New Roman"/>
        </w:rPr>
      </w:pPr>
    </w:p>
    <w:p w14:paraId="14107461" w14:textId="77777777" w:rsidR="000000D1" w:rsidRPr="000000D1" w:rsidRDefault="000000D1" w:rsidP="000000D1">
      <w:pPr>
        <w:ind w:left="1440"/>
        <w:rPr>
          <w:rFonts w:eastAsia="Calibri" w:cs="Times New Roman"/>
        </w:rPr>
      </w:pPr>
      <w:r w:rsidRPr="000000D1">
        <w:rPr>
          <w:rFonts w:eastAsia="Calibri" w:cs="Times New Roman"/>
        </w:rPr>
        <w:t>Partner’s modifications. Any modification described in subsection (b) or (c) of § 44-30-12 which relates to an item of partnership income or deduction, shall be made in accordance with the partner’s distributive share for federal income tax purposes of the item to which the modification relates, but limited to the portion of the item derived from or connected with Rhode Island sources.</w:t>
      </w:r>
    </w:p>
    <w:p w14:paraId="564D6E0D" w14:textId="77777777" w:rsidR="000000D1" w:rsidRPr="000000D1" w:rsidRDefault="000000D1" w:rsidP="000000D1">
      <w:pPr>
        <w:ind w:left="720"/>
        <w:contextualSpacing/>
        <w:rPr>
          <w:rFonts w:eastAsia="Calibri" w:cs="Times New Roman"/>
        </w:rPr>
      </w:pPr>
      <w:bookmarkStart w:id="153" w:name="_Hlk176793131"/>
      <w:r w:rsidRPr="000000D1">
        <w:rPr>
          <w:rFonts w:eastAsia="Calibri" w:cs="Times New Roman"/>
        </w:rPr>
        <w:t>R.I. Gen. Laws § 44-30-34(d)</w:t>
      </w:r>
    </w:p>
    <w:bookmarkEnd w:id="153"/>
    <w:p w14:paraId="7383C721" w14:textId="77777777" w:rsidR="000000D1" w:rsidRPr="000000D1" w:rsidRDefault="000000D1" w:rsidP="000000D1">
      <w:pPr>
        <w:ind w:left="720"/>
        <w:contextualSpacing/>
        <w:rPr>
          <w:rFonts w:eastAsia="Calibri" w:cs="Times New Roman"/>
        </w:rPr>
      </w:pPr>
    </w:p>
    <w:p w14:paraId="217B3819" w14:textId="77777777" w:rsidR="000000D1" w:rsidRPr="000000D1" w:rsidRDefault="000000D1" w:rsidP="000000D1">
      <w:pPr>
        <w:ind w:left="1440"/>
        <w:contextualSpacing/>
        <w:rPr>
          <w:rFonts w:eastAsia="Calibri" w:cs="Times New Roman"/>
        </w:rPr>
      </w:pPr>
      <w:r w:rsidRPr="000000D1">
        <w:rPr>
          <w:rFonts w:eastAsia="Calibri" w:cs="Times New Roman"/>
        </w:rPr>
        <w:t>Alternate methods. The tax administrator may, on application, authorize the use of any other methods of determining a nonresident’s portion of partnership items derived from or connected with Rhode Island sources, and the modifications related thereto, that may be appropriate and equitable, on any terms and conditions that the tax administrator may require.</w:t>
      </w:r>
    </w:p>
    <w:p w14:paraId="0F23DB58" w14:textId="77777777" w:rsidR="000000D1" w:rsidRPr="000000D1" w:rsidRDefault="000000D1" w:rsidP="000000D1">
      <w:pPr>
        <w:ind w:left="720"/>
        <w:contextualSpacing/>
        <w:rPr>
          <w:rFonts w:eastAsia="Calibri" w:cs="Times New Roman"/>
        </w:rPr>
      </w:pPr>
    </w:p>
    <w:p w14:paraId="6DA284A6" w14:textId="77777777" w:rsidR="000000D1" w:rsidRPr="000000D1" w:rsidRDefault="000000D1" w:rsidP="000000D1">
      <w:pPr>
        <w:ind w:left="720"/>
        <w:contextualSpacing/>
        <w:rPr>
          <w:rFonts w:eastAsia="Calibri" w:cs="Times New Roman"/>
        </w:rPr>
      </w:pPr>
      <w:r w:rsidRPr="000000D1">
        <w:rPr>
          <w:rFonts w:eastAsia="Calibri" w:cs="Times New Roman"/>
        </w:rPr>
        <w:t>R.I. Gen. Laws § 44-30-34(e)</w:t>
      </w:r>
    </w:p>
    <w:p w14:paraId="0EC7D1AA" w14:textId="77777777" w:rsidR="000000D1" w:rsidRPr="000000D1" w:rsidRDefault="000000D1" w:rsidP="000000D1">
      <w:pPr>
        <w:ind w:left="720" w:firstLine="720"/>
        <w:contextualSpacing/>
        <w:rPr>
          <w:rFonts w:eastAsia="Calibri" w:cs="Times New Roman"/>
        </w:rPr>
      </w:pPr>
      <w:r w:rsidRPr="000000D1">
        <w:rPr>
          <w:rFonts w:eastAsia="Calibri" w:cs="Times New Roman"/>
        </w:rPr>
        <w:t>Application of rules for resident partners to nonresident partners.</w:t>
      </w:r>
    </w:p>
    <w:p w14:paraId="22C315E4" w14:textId="77777777" w:rsidR="000000D1" w:rsidRPr="000000D1" w:rsidRDefault="000000D1" w:rsidP="000000D1">
      <w:pPr>
        <w:ind w:left="720"/>
        <w:contextualSpacing/>
        <w:rPr>
          <w:rFonts w:eastAsia="Calibri" w:cs="Times New Roman"/>
        </w:rPr>
      </w:pPr>
    </w:p>
    <w:p w14:paraId="312B88F9" w14:textId="77777777" w:rsidR="000000D1" w:rsidRPr="000000D1" w:rsidRDefault="000000D1" w:rsidP="000000D1">
      <w:pPr>
        <w:ind w:left="720" w:firstLine="720"/>
        <w:contextualSpacing/>
        <w:rPr>
          <w:rFonts w:eastAsia="Calibri" w:cs="Times New Roman"/>
        </w:rPr>
      </w:pPr>
      <w:r w:rsidRPr="000000D1">
        <w:rPr>
          <w:rFonts w:eastAsia="Calibri" w:cs="Times New Roman"/>
        </w:rPr>
        <w:t>(1) A partner’s distributive share of items shall be determined under § 44-30-15(a).</w:t>
      </w:r>
    </w:p>
    <w:p w14:paraId="6E327452" w14:textId="77777777" w:rsidR="000000D1" w:rsidRPr="000000D1" w:rsidRDefault="000000D1" w:rsidP="000000D1">
      <w:pPr>
        <w:ind w:left="720"/>
        <w:contextualSpacing/>
        <w:rPr>
          <w:rFonts w:eastAsia="Calibri" w:cs="Times New Roman"/>
        </w:rPr>
      </w:pPr>
    </w:p>
    <w:p w14:paraId="20A57304" w14:textId="77777777" w:rsidR="000000D1" w:rsidRPr="000000D1" w:rsidRDefault="000000D1" w:rsidP="000000D1">
      <w:pPr>
        <w:ind w:left="1440"/>
        <w:contextualSpacing/>
        <w:rPr>
          <w:rFonts w:eastAsia="Calibri" w:cs="Times New Roman"/>
        </w:rPr>
      </w:pPr>
      <w:r w:rsidRPr="000000D1">
        <w:rPr>
          <w:rFonts w:eastAsia="Calibri" w:cs="Times New Roman"/>
        </w:rPr>
        <w:t>(2) The character of partnership items for a nonresident partner shall be determined under § 44-30-15(b).</w:t>
      </w:r>
    </w:p>
    <w:p w14:paraId="063A126F" w14:textId="77777777" w:rsidR="000000D1" w:rsidRPr="000000D1" w:rsidRDefault="000000D1" w:rsidP="000000D1">
      <w:pPr>
        <w:ind w:left="720"/>
        <w:contextualSpacing/>
        <w:rPr>
          <w:rFonts w:eastAsia="Calibri" w:cs="Times New Roman"/>
        </w:rPr>
      </w:pPr>
    </w:p>
    <w:p w14:paraId="7CE1E5B7" w14:textId="77777777" w:rsidR="000000D1" w:rsidRPr="000000D1" w:rsidRDefault="000000D1" w:rsidP="000000D1">
      <w:pPr>
        <w:ind w:left="1440"/>
        <w:contextualSpacing/>
        <w:rPr>
          <w:rFonts w:eastAsia="Calibri" w:cs="Times New Roman"/>
        </w:rPr>
      </w:pPr>
      <w:r w:rsidRPr="000000D1">
        <w:rPr>
          <w:rFonts w:eastAsia="Calibri" w:cs="Times New Roman"/>
        </w:rPr>
        <w:t>(3) The effect of a special provision in a partnership agreement having the principal purpose of avoidance or evasion of Rhode Island personal income tax shall be determined under § 44-30-15(c).</w:t>
      </w:r>
    </w:p>
    <w:p w14:paraId="0136A2EF" w14:textId="77777777" w:rsidR="000000D1" w:rsidRPr="000000D1" w:rsidRDefault="000000D1" w:rsidP="000000D1">
      <w:pPr>
        <w:ind w:left="1440"/>
        <w:contextualSpacing/>
        <w:rPr>
          <w:rFonts w:eastAsia="Calibri" w:cs="Times New Roman"/>
        </w:rPr>
      </w:pPr>
    </w:p>
    <w:p w14:paraId="28154B45" w14:textId="77777777" w:rsidR="000000D1" w:rsidRPr="000000D1" w:rsidRDefault="000000D1" w:rsidP="000000D1">
      <w:pPr>
        <w:ind w:left="720"/>
        <w:contextualSpacing/>
        <w:rPr>
          <w:rFonts w:eastAsia="Calibri" w:cs="Times New Roman"/>
        </w:rPr>
      </w:pPr>
      <w:r w:rsidRPr="000000D1">
        <w:rPr>
          <w:rFonts w:eastAsia="Calibri" w:cs="Times New Roman"/>
        </w:rPr>
        <w:t xml:space="preserve">R.I. Gen. Laws § 7-16-73(c)(1) </w:t>
      </w:r>
    </w:p>
    <w:p w14:paraId="53F5627E" w14:textId="77777777" w:rsidR="000000D1" w:rsidRPr="000000D1" w:rsidRDefault="000000D1" w:rsidP="000000D1">
      <w:pPr>
        <w:contextualSpacing/>
        <w:rPr>
          <w:rFonts w:eastAsia="Calibri" w:cs="Times New Roman"/>
        </w:rPr>
      </w:pPr>
    </w:p>
    <w:p w14:paraId="07D06B9C" w14:textId="77777777" w:rsidR="000000D1" w:rsidRPr="000000D1" w:rsidRDefault="000000D1" w:rsidP="000000D1">
      <w:pPr>
        <w:ind w:left="1440"/>
        <w:rPr>
          <w:rFonts w:eastAsia="Calibri" w:cs="Times New Roman"/>
        </w:rPr>
      </w:pPr>
      <w:r w:rsidRPr="000000D1">
        <w:rPr>
          <w:rFonts w:eastAsia="Calibri" w:cs="Times New Roman"/>
        </w:rPr>
        <w:t>Any member of the limited liability company during any part of the limited liability company’s taxable year shall file a Rhode Island income tax return and shall include in Rhode Island gross income that portion of the limited liability company’s Rhode Island income allocable to the member’s interest in the limited liability company.</w:t>
      </w:r>
    </w:p>
    <w:p w14:paraId="61BCE3C9" w14:textId="77777777" w:rsidR="000000D1" w:rsidRPr="000000D1" w:rsidRDefault="000000D1" w:rsidP="000000D1">
      <w:pPr>
        <w:ind w:left="720"/>
        <w:contextualSpacing/>
        <w:rPr>
          <w:rFonts w:eastAsia="Calibri" w:cs="Times New Roman"/>
        </w:rPr>
      </w:pPr>
      <w:r w:rsidRPr="000000D1">
        <w:rPr>
          <w:rFonts w:eastAsia="Calibri" w:cs="Times New Roman"/>
        </w:rPr>
        <w:t xml:space="preserve">R.I. Gen. Laws § 7-16-73(c)(4) </w:t>
      </w:r>
    </w:p>
    <w:p w14:paraId="267B84FD" w14:textId="77777777" w:rsidR="000000D1" w:rsidRPr="000000D1" w:rsidRDefault="000000D1" w:rsidP="000000D1">
      <w:pPr>
        <w:contextualSpacing/>
        <w:rPr>
          <w:rFonts w:eastAsia="Calibri" w:cs="Times New Roman"/>
        </w:rPr>
      </w:pPr>
    </w:p>
    <w:p w14:paraId="6BA9B81F" w14:textId="77777777" w:rsidR="000000D1" w:rsidRPr="000000D1" w:rsidRDefault="000000D1" w:rsidP="000000D1">
      <w:pPr>
        <w:ind w:left="1440"/>
        <w:rPr>
          <w:rFonts w:eastAsia="Calibri" w:cs="Times New Roman"/>
        </w:rPr>
      </w:pPr>
      <w:r w:rsidRPr="000000D1">
        <w:rPr>
          <w:rFonts w:eastAsia="Calibri" w:cs="Times New Roman"/>
        </w:rPr>
        <w:t>A non-resident member is required to file a Rhode Island income tax return even though the member’s only source of Rhode Island income was that member’s share of the limited liability company’s income that was derived from or attributable to sources within this state, and the amount of remittance by the limited liability company on behalf of the non-resident member shall be allowed as a credit against that member’s Rhode Island income tax liability.</w:t>
      </w:r>
    </w:p>
    <w:p w14:paraId="690971C6" w14:textId="77777777" w:rsidR="000000D1" w:rsidRPr="000000D1" w:rsidRDefault="000000D1" w:rsidP="000000D1">
      <w:pPr>
        <w:ind w:left="720"/>
        <w:contextualSpacing/>
        <w:rPr>
          <w:rFonts w:eastAsia="Calibri" w:cs="Times New Roman"/>
        </w:rPr>
      </w:pPr>
      <w:r w:rsidRPr="000000D1">
        <w:rPr>
          <w:rFonts w:eastAsia="Calibri" w:cs="Times New Roman"/>
          <w:i/>
          <w:iCs/>
        </w:rPr>
        <w:t>Homart Development Co. v. Norberg</w:t>
      </w:r>
      <w:r w:rsidRPr="000000D1">
        <w:rPr>
          <w:rFonts w:eastAsia="Calibri" w:cs="Times New Roman"/>
        </w:rPr>
        <w:t>, 529 A2d 115 (R.I. 1987)</w:t>
      </w:r>
      <w:r w:rsidRPr="000000D1">
        <w:rPr>
          <w:rFonts w:eastAsia="Calibri" w:cs="Times New Roman"/>
          <w:i/>
          <w:iCs/>
        </w:rPr>
        <w:t xml:space="preserve"> </w:t>
      </w:r>
    </w:p>
    <w:p w14:paraId="2A5EA427" w14:textId="77777777" w:rsidR="000000D1" w:rsidRPr="000000D1" w:rsidRDefault="000000D1" w:rsidP="000000D1">
      <w:pPr>
        <w:contextualSpacing/>
        <w:rPr>
          <w:rFonts w:eastAsia="Calibri" w:cs="Times New Roman"/>
        </w:rPr>
      </w:pPr>
    </w:p>
    <w:p w14:paraId="0BCC433D" w14:textId="77777777" w:rsidR="000000D1" w:rsidRPr="000000D1" w:rsidRDefault="000000D1" w:rsidP="000000D1">
      <w:pPr>
        <w:ind w:left="1440"/>
        <w:rPr>
          <w:rFonts w:eastAsia="Calibri" w:cs="Times New Roman"/>
        </w:rPr>
      </w:pPr>
      <w:r w:rsidRPr="000000D1">
        <w:rPr>
          <w:rFonts w:eastAsia="Calibri" w:cs="Times New Roman"/>
        </w:rPr>
        <w:t xml:space="preserve">“The inclusion of this income in Homart's net-income calculation for apportionment purposes necessarily requires that the payroll, property, and receipt factors that gave rise to it be included in the apportionment equation also. Otherwise, the net income is </w:t>
      </w:r>
      <w:r w:rsidRPr="000000D1">
        <w:rPr>
          <w:rFonts w:eastAsia="Calibri" w:cs="Times New Roman"/>
        </w:rPr>
        <w:lastRenderedPageBreak/>
        <w:t>subject to an apportionment ratio that reflects only Homart's in-state and everywhere business activity when, in fact, this income did not arise from Homart's corporate business activity but instead arose out of the partnerships' business activities that were not reflected in the apportionment ratio. Such an inherent and manifest distortion as applied to this taxpayer should have been acknowledged and remedied by the tax administrator as provided for under § 44-11-15.”</w:t>
      </w:r>
    </w:p>
    <w:p w14:paraId="363C312F" w14:textId="77777777" w:rsidR="000000D1" w:rsidRPr="000000D1" w:rsidRDefault="000000D1" w:rsidP="000000D1">
      <w:pPr>
        <w:rPr>
          <w:rFonts w:eastAsia="Calibri" w:cs="Times New Roman"/>
          <w:i/>
          <w:iCs/>
        </w:rPr>
      </w:pPr>
      <w:r w:rsidRPr="000000D1">
        <w:rPr>
          <w:rFonts w:eastAsia="Calibri" w:cs="Times New Roman"/>
        </w:rPr>
        <w:tab/>
        <w:t xml:space="preserve">280 R.I. Code R. § 20-25-9.7(B) </w:t>
      </w:r>
    </w:p>
    <w:p w14:paraId="3E37B07D" w14:textId="77777777" w:rsidR="000000D1" w:rsidRPr="000000D1" w:rsidRDefault="000000D1" w:rsidP="000000D1">
      <w:pPr>
        <w:ind w:left="1440"/>
        <w:rPr>
          <w:rFonts w:eastAsia="Calibri" w:cs="Times New Roman"/>
        </w:rPr>
      </w:pPr>
      <w:r w:rsidRPr="000000D1">
        <w:rPr>
          <w:rFonts w:eastAsia="Calibri" w:cs="Times New Roman"/>
        </w:rPr>
        <w:t xml:space="preserve">Treatment of C Corporation's Pass-Through Entity Income. When a partnership or other pass-through entity does not elect to be taxed as a corporation for federal tax purposes and is directly or indirectly held by a corporation, including any member in a combined group, then the business conducted by the partnership or pass-through entity shall be considered the business of the corporation to the extent of the corporation's distributive share of the partnership or pass-through entity income. Such distributive share shall be included in the net income calculations of the corporation and the combined group, and shall be apportioned to Rhode Island for corporate income tax purposes as set forth in this Regulation, consistent with the decision reached by the Rhode Island Supreme Court in </w:t>
      </w:r>
      <w:r w:rsidRPr="000000D1">
        <w:rPr>
          <w:rFonts w:eastAsia="Calibri" w:cs="Times New Roman"/>
          <w:i/>
          <w:iCs/>
        </w:rPr>
        <w:t>Homart Dev. Co. v. Norberg</w:t>
      </w:r>
      <w:r w:rsidRPr="000000D1">
        <w:rPr>
          <w:rFonts w:eastAsia="Calibri" w:cs="Times New Roman"/>
        </w:rPr>
        <w:t>, 529 A.2d 115 (R.I. 1987).</w:t>
      </w:r>
    </w:p>
    <w:p w14:paraId="797A9222" w14:textId="77777777" w:rsidR="000000D1" w:rsidRPr="000000D1" w:rsidRDefault="000000D1" w:rsidP="000000D1">
      <w:pPr>
        <w:pBdr>
          <w:bottom w:val="single" w:sz="4" w:space="0" w:color="auto"/>
        </w:pBdr>
        <w:rPr>
          <w:rFonts w:eastAsia="Calibri" w:cs="Times New Roman"/>
        </w:rPr>
      </w:pPr>
    </w:p>
    <w:p w14:paraId="6E4523AD"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54" w:name="_Toc198480802"/>
      <w:r w:rsidRPr="000000D1">
        <w:rPr>
          <w:rFonts w:ascii="Californian FB" w:eastAsia="Times New Roman" w:hAnsi="Californian FB" w:cs="Times New Roman"/>
          <w:b/>
          <w:color w:val="851C00"/>
          <w:sz w:val="24"/>
          <w:szCs w:val="24"/>
          <w:u w:val="single"/>
        </w:rPr>
        <w:t>South Carolina</w:t>
      </w:r>
      <w:bookmarkEnd w:id="154"/>
    </w:p>
    <w:p w14:paraId="6D769177" w14:textId="77777777" w:rsidR="000000D1" w:rsidRPr="000000D1" w:rsidRDefault="000000D1" w:rsidP="000000D1">
      <w:pPr>
        <w:ind w:left="720"/>
        <w:contextualSpacing/>
        <w:rPr>
          <w:rFonts w:eastAsia="Calibri" w:cs="Times New Roman"/>
        </w:rPr>
      </w:pPr>
      <w:r w:rsidRPr="000000D1">
        <w:rPr>
          <w:rFonts w:eastAsia="Calibri" w:cs="Times New Roman"/>
        </w:rPr>
        <w:t xml:space="preserve">S.C. Code Ann. § 12-6-600 </w:t>
      </w:r>
    </w:p>
    <w:p w14:paraId="78B7788A" w14:textId="77777777" w:rsidR="000000D1" w:rsidRPr="000000D1" w:rsidRDefault="000000D1" w:rsidP="000000D1">
      <w:pPr>
        <w:contextualSpacing/>
        <w:rPr>
          <w:rFonts w:eastAsia="Calibri" w:cs="Times New Roman"/>
        </w:rPr>
      </w:pPr>
    </w:p>
    <w:p w14:paraId="31983F25" w14:textId="77777777" w:rsidR="000000D1" w:rsidRPr="000000D1" w:rsidRDefault="000000D1" w:rsidP="000000D1">
      <w:pPr>
        <w:ind w:left="1440"/>
        <w:rPr>
          <w:rFonts w:eastAsia="Calibri" w:cs="Times New Roman"/>
        </w:rPr>
      </w:pPr>
      <w:r w:rsidRPr="000000D1">
        <w:rPr>
          <w:rFonts w:eastAsia="Calibri" w:cs="Times New Roman"/>
        </w:rPr>
        <w:t>An entity treated as a partnership for federal income tax purposes is not subject to tax under this chapter. Each partner shall include its share of South Carolina partnership income on the partner's respective income tax return. All of the provisions of the Internal Revenue Code apply to determine the gross income, adjusted gross income, and taxable income of a partnership and its partners, subject to the modifications provided in Article 9 of this chapter and subject to allocation and apportionment as provided in Article 17 of this chapter.</w:t>
      </w:r>
    </w:p>
    <w:p w14:paraId="38BB2F68" w14:textId="77777777" w:rsidR="000000D1" w:rsidRPr="000000D1" w:rsidRDefault="000000D1" w:rsidP="000000D1">
      <w:pPr>
        <w:ind w:left="720"/>
        <w:contextualSpacing/>
        <w:rPr>
          <w:rFonts w:eastAsia="Calibri" w:cs="Times New Roman"/>
        </w:rPr>
      </w:pPr>
      <w:r w:rsidRPr="000000D1">
        <w:rPr>
          <w:rFonts w:eastAsia="Calibri" w:cs="Times New Roman"/>
        </w:rPr>
        <w:t xml:space="preserve">S.C. Code Ann. Regs. 117-705.1 </w:t>
      </w:r>
    </w:p>
    <w:p w14:paraId="00166EC5" w14:textId="77777777" w:rsidR="000000D1" w:rsidRPr="000000D1" w:rsidRDefault="000000D1" w:rsidP="000000D1">
      <w:pPr>
        <w:contextualSpacing/>
        <w:rPr>
          <w:rFonts w:eastAsia="Calibri" w:cs="Times New Roman"/>
        </w:rPr>
      </w:pPr>
    </w:p>
    <w:p w14:paraId="77A421B4" w14:textId="77777777" w:rsidR="000000D1" w:rsidRPr="000000D1" w:rsidRDefault="000000D1" w:rsidP="000000D1">
      <w:pPr>
        <w:ind w:left="1440"/>
        <w:rPr>
          <w:rFonts w:eastAsia="Calibri" w:cs="Times New Roman"/>
        </w:rPr>
      </w:pPr>
      <w:r w:rsidRPr="000000D1">
        <w:rPr>
          <w:rFonts w:eastAsia="Calibri" w:cs="Times New Roman"/>
        </w:rPr>
        <w:t>Income or loss realized by resident individuals or partnerships from an established business, or from the lease or rental of tangible personal property or real property, the situs of which is in another state, shall be allocated to the state in which the business or property is located. Except, income of a resident individual or partnership, derived from personal services, is allocated to this State as provided in Section 12-6-2220(6).</w:t>
      </w:r>
    </w:p>
    <w:p w14:paraId="6EADE1B0" w14:textId="77777777" w:rsidR="000000D1" w:rsidRPr="000000D1" w:rsidRDefault="000000D1" w:rsidP="000000D1">
      <w:pPr>
        <w:ind w:left="1440"/>
        <w:rPr>
          <w:rFonts w:eastAsia="Calibri" w:cs="Times New Roman"/>
        </w:rPr>
      </w:pPr>
      <w:r w:rsidRPr="000000D1">
        <w:rPr>
          <w:rFonts w:eastAsia="Calibri" w:cs="Times New Roman"/>
        </w:rPr>
        <w:t>However, in the case of a resident individual or partnership, conducting a business of a unitary or homogenous nature, partly within and partly without this State, such income or loss is apportioned in accordance with the provisions of Sections 12-6-2250 through 12-6-3360.</w:t>
      </w:r>
    </w:p>
    <w:p w14:paraId="1FB808C3" w14:textId="77777777" w:rsidR="000000D1" w:rsidRPr="000000D1" w:rsidRDefault="000000D1" w:rsidP="000000D1">
      <w:pPr>
        <w:ind w:left="720"/>
        <w:contextualSpacing/>
        <w:rPr>
          <w:rFonts w:eastAsia="Calibri" w:cs="Times New Roman"/>
        </w:rPr>
      </w:pPr>
      <w:r w:rsidRPr="000000D1">
        <w:rPr>
          <w:rFonts w:eastAsia="Calibri" w:cs="Times New Roman"/>
          <w:i/>
          <w:iCs/>
        </w:rPr>
        <w:t>Ellis v. S. C. Tax Comm'n</w:t>
      </w:r>
      <w:r w:rsidRPr="000000D1">
        <w:rPr>
          <w:rFonts w:eastAsia="Calibri" w:cs="Times New Roman"/>
        </w:rPr>
        <w:t xml:space="preserve">, 309 S.E.2d 761 (S.C. 1983) </w:t>
      </w:r>
    </w:p>
    <w:p w14:paraId="7234E300" w14:textId="77777777" w:rsidR="000000D1" w:rsidRPr="000000D1" w:rsidRDefault="000000D1" w:rsidP="000000D1">
      <w:pPr>
        <w:contextualSpacing/>
        <w:rPr>
          <w:rFonts w:eastAsia="Calibri" w:cs="Times New Roman"/>
        </w:rPr>
      </w:pPr>
    </w:p>
    <w:p w14:paraId="71F55FBF" w14:textId="77777777" w:rsidR="000000D1" w:rsidRPr="000000D1" w:rsidRDefault="000000D1" w:rsidP="000000D1">
      <w:pPr>
        <w:ind w:left="1440"/>
        <w:rPr>
          <w:rFonts w:eastAsia="Calibri" w:cs="Times New Roman"/>
        </w:rPr>
      </w:pPr>
      <w:r w:rsidRPr="000000D1">
        <w:rPr>
          <w:rFonts w:eastAsia="Calibri" w:cs="Times New Roman"/>
        </w:rPr>
        <w:t>By reason of the "pass through" rule, the character of any item of income, gain, loss deduction or credit included in a partner's distributive share of gains and losses shall be the same as if such item was realized directly from the source from which realized or incurred by the partnership. In other words, each item of income, gain, [**763] loss, deduction or credit is treated as if it were realized or incurred by the partner directly from the source without ever having passed through the partnership. If this were not the case, then partners in real estate or other business ventures could not take advantage of depreciation write-offs and other operating expenses or losses.</w:t>
      </w:r>
    </w:p>
    <w:p w14:paraId="6D672030" w14:textId="77777777" w:rsidR="000000D1" w:rsidRPr="000000D1" w:rsidRDefault="000000D1" w:rsidP="000000D1">
      <w:pPr>
        <w:rPr>
          <w:rFonts w:eastAsia="Calibri" w:cs="Times New Roman"/>
          <w:i/>
          <w:iCs/>
        </w:rPr>
      </w:pPr>
      <w:r w:rsidRPr="000000D1">
        <w:rPr>
          <w:rFonts w:eastAsia="Calibri" w:cs="Times New Roman"/>
        </w:rPr>
        <w:lastRenderedPageBreak/>
        <w:tab/>
        <w:t xml:space="preserve">South Carolina Private Letter Ruling #24-1 (February 21, 2024) </w:t>
      </w:r>
    </w:p>
    <w:p w14:paraId="284AD0BE" w14:textId="77777777" w:rsidR="000000D1" w:rsidRPr="000000D1" w:rsidRDefault="000000D1" w:rsidP="000000D1">
      <w:pPr>
        <w:ind w:left="1440"/>
        <w:rPr>
          <w:rFonts w:eastAsia="Calibri" w:cs="Times New Roman"/>
        </w:rPr>
      </w:pPr>
      <w:r w:rsidRPr="000000D1">
        <w:rPr>
          <w:rFonts w:eastAsia="Calibri" w:cs="Times New Roman"/>
        </w:rPr>
        <w:t>How should the Taxpayer’s sale of an interest in a multistate partnership that does business in South Carolina be reported to South Carolina for income tax purposes . . .</w:t>
      </w:r>
    </w:p>
    <w:p w14:paraId="5936D3E0" w14:textId="77777777" w:rsidR="000000D1" w:rsidRPr="000000D1" w:rsidRDefault="000000D1" w:rsidP="000000D1">
      <w:pPr>
        <w:ind w:left="1440"/>
        <w:rPr>
          <w:rFonts w:eastAsia="Calibri" w:cs="Times New Roman"/>
        </w:rPr>
      </w:pPr>
      <w:r w:rsidRPr="000000D1">
        <w:rPr>
          <w:rFonts w:eastAsia="Calibri" w:cs="Times New Roman"/>
        </w:rPr>
        <w:t xml:space="preserve">The Taxpayer, a South Carolina resident individual, was an active owner of a tiered pass through entity structure comprised of two limited liability companies that are treated as partnerships for tax purposes. The Taxpayer was a partner in “Management Partnership,” which owned 49% of “Operating Partnership” (“Management Partnership” and “Operating Partnership” are together referred to as the “Partnerships”) . . .                                                        </w:t>
      </w:r>
    </w:p>
    <w:p w14:paraId="276B23D3" w14:textId="77777777" w:rsidR="000000D1" w:rsidRPr="000000D1" w:rsidRDefault="000000D1" w:rsidP="000000D1">
      <w:pPr>
        <w:ind w:left="1440"/>
        <w:rPr>
          <w:rFonts w:eastAsia="Calibri" w:cs="Times New Roman"/>
        </w:rPr>
      </w:pPr>
      <w:r w:rsidRPr="000000D1">
        <w:rPr>
          <w:rFonts w:eastAsia="Calibri" w:cs="Times New Roman"/>
        </w:rPr>
        <w:t xml:space="preserve">The Partnerships conducted business in multiple states, including South Carolina. Operating Partnership was in the business of buying and selling metal alloys. Management Partnership was responsible for carrying out managerial functions for Operating Partnership’s business. These functions included business performance reviews; strategic planning; personnel development; and managing supplier and customer relations. Management Partnership received pass through income from Operating Partnership, which was in turn passed through to its partners (including the Taxpayer).  </w:t>
      </w:r>
    </w:p>
    <w:p w14:paraId="544A1B43" w14:textId="77777777" w:rsidR="000000D1" w:rsidRPr="000000D1" w:rsidRDefault="000000D1" w:rsidP="000000D1">
      <w:pPr>
        <w:ind w:left="1440"/>
        <w:rPr>
          <w:rFonts w:eastAsia="Calibri" w:cs="Times New Roman"/>
        </w:rPr>
      </w:pPr>
      <w:r w:rsidRPr="000000D1">
        <w:rPr>
          <w:rFonts w:eastAsia="Calibri" w:cs="Times New Roman"/>
        </w:rPr>
        <w:t xml:space="preserve">The Taxpayer worked full time as president and executive officer of Management Partnership until he retired at the end of 2013. After retirement, he continued to take part in certain managerial functions on a more limited basis until 2021. In 2021, the Taxpayer sold his interest in Management Partnership. As a result of the sale, the Taxpayer reported a $2.6 million long term capital gain entirely to South Carolina.   </w:t>
      </w:r>
    </w:p>
    <w:p w14:paraId="3A04A95D" w14:textId="77777777" w:rsidR="000000D1" w:rsidRPr="000000D1" w:rsidRDefault="000000D1" w:rsidP="000000D1">
      <w:pPr>
        <w:ind w:left="1440"/>
        <w:rPr>
          <w:rFonts w:eastAsia="Calibri" w:cs="Times New Roman"/>
        </w:rPr>
      </w:pPr>
      <w:r w:rsidRPr="000000D1">
        <w:rPr>
          <w:rFonts w:eastAsia="Calibri" w:cs="Times New Roman"/>
        </w:rPr>
        <w:t xml:space="preserve">In the year of the sale, the Partnerships’ South Carolina apportionment ratio was 2.4%. No information was provided about the assets the Partnerships owned at the time of the sale.     </w:t>
      </w:r>
    </w:p>
    <w:p w14:paraId="5FE22E53" w14:textId="77777777" w:rsidR="000000D1" w:rsidRPr="000000D1" w:rsidRDefault="000000D1" w:rsidP="000000D1">
      <w:pPr>
        <w:ind w:left="1440"/>
        <w:rPr>
          <w:rFonts w:eastAsia="Calibri" w:cs="Times New Roman"/>
        </w:rPr>
      </w:pPr>
      <w:r w:rsidRPr="000000D1">
        <w:rPr>
          <w:rFonts w:eastAsia="Calibri" w:cs="Times New Roman"/>
        </w:rPr>
        <w:t>The Taxpayer asks if the entire $2.6 million gain on the sale of his partnership interest is a South Carolina gain, or whether a portion of the gain is “out-of-state income/gain.” . . .</w:t>
      </w:r>
    </w:p>
    <w:p w14:paraId="03180251" w14:textId="77777777" w:rsidR="000000D1" w:rsidRPr="000000D1" w:rsidRDefault="000000D1" w:rsidP="000000D1">
      <w:pPr>
        <w:ind w:left="1440"/>
        <w:rPr>
          <w:rFonts w:eastAsia="Calibri" w:cs="Times New Roman"/>
        </w:rPr>
      </w:pPr>
      <w:r w:rsidRPr="000000D1">
        <w:rPr>
          <w:rFonts w:eastAsia="Calibri" w:cs="Times New Roman"/>
        </w:rPr>
        <w:t xml:space="preserve"> As a partner, the Taxpayer is in the business of the partnership by reason of the pass through principle. Under this principle, partnership income or loss is not taxed at the entity level, but is passed through to the partners to be included on the partners’ returns. The court in </w:t>
      </w:r>
      <w:r w:rsidRPr="000000D1">
        <w:rPr>
          <w:rFonts w:eastAsia="Calibri" w:cs="Times New Roman"/>
          <w:i/>
          <w:iCs/>
        </w:rPr>
        <w:t>Ellis v. South Carolina Tax Commission</w:t>
      </w:r>
      <w:r w:rsidRPr="000000D1">
        <w:rPr>
          <w:rFonts w:eastAsia="Calibri" w:cs="Times New Roman"/>
        </w:rPr>
        <w:t xml:space="preserve"> relied on the pass through principle and held “…the character of any item of income, gain, loss deduction or credit included in a partner’s distributive share of gains and losses shall be the same as if such item was realized directly from the source from which realized or incurred by the partnership. In other words, each item… is treated as if it were realized or incurred by the partner directly from the source without ever having passed through the partnership.” The partnership interest therefore was connected with the Taxpayer’s business. Accordingly, the gain from the sale is not allocated to South Carolina under S.C. Code Ann. § 126-2220(5).   </w:t>
      </w:r>
    </w:p>
    <w:p w14:paraId="4B1DA0F0" w14:textId="77777777" w:rsidR="000000D1" w:rsidRPr="000000D1" w:rsidRDefault="000000D1" w:rsidP="000000D1">
      <w:pPr>
        <w:ind w:left="1440"/>
        <w:rPr>
          <w:rFonts w:eastAsia="Calibri" w:cs="Times New Roman"/>
        </w:rPr>
      </w:pPr>
      <w:r w:rsidRPr="000000D1">
        <w:rPr>
          <w:rFonts w:eastAsia="Calibri" w:cs="Times New Roman"/>
        </w:rPr>
        <w:t xml:space="preserve">It is not possible to determine whether any part of the gain is otherwise allocable under S.C. Code Ann. §§ 12-6-2220 and -2230 because no information is available about the nature of the assets owned by the Partnerships. However, any amount of gain that is not allocated should be apportioned among the states where the business was conducted, including South Carolina, as required by S.C. Code Ann. § 12-6-2240.   </w:t>
      </w:r>
    </w:p>
    <w:p w14:paraId="4AB3E3EB" w14:textId="77777777" w:rsidR="000000D1" w:rsidRPr="000000D1" w:rsidRDefault="000000D1" w:rsidP="000000D1">
      <w:pPr>
        <w:ind w:left="1440"/>
        <w:rPr>
          <w:rFonts w:eastAsia="Calibri" w:cs="Times New Roman"/>
        </w:rPr>
      </w:pPr>
      <w:r w:rsidRPr="000000D1">
        <w:rPr>
          <w:rFonts w:eastAsia="Calibri" w:cs="Times New Roman"/>
        </w:rPr>
        <w:t xml:space="preserve">The proportion of the business carried on within this State was 2.4% in the year of the sale, so the Taxpayer should apportion 2.4% of the non-allocated gain on the sale of his partnership interest to South Carolina.  </w:t>
      </w:r>
    </w:p>
    <w:p w14:paraId="723B78D9" w14:textId="77777777" w:rsidR="000000D1" w:rsidRPr="000000D1" w:rsidRDefault="000000D1" w:rsidP="000000D1">
      <w:pPr>
        <w:pBdr>
          <w:bottom w:val="single" w:sz="4" w:space="0" w:color="auto"/>
        </w:pBdr>
        <w:rPr>
          <w:rFonts w:eastAsia="Calibri" w:cs="Times New Roman"/>
        </w:rPr>
      </w:pPr>
    </w:p>
    <w:p w14:paraId="6E980BCC"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55" w:name="_Toc198480803"/>
      <w:r w:rsidRPr="000000D1">
        <w:rPr>
          <w:rFonts w:ascii="Californian FB" w:eastAsia="Times New Roman" w:hAnsi="Californian FB" w:cs="Times New Roman"/>
          <w:b/>
          <w:color w:val="851C00"/>
          <w:sz w:val="24"/>
          <w:szCs w:val="24"/>
          <w:u w:val="single"/>
        </w:rPr>
        <w:lastRenderedPageBreak/>
        <w:t>Tennessee</w:t>
      </w:r>
      <w:bookmarkEnd w:id="155"/>
    </w:p>
    <w:p w14:paraId="5A0991C3" w14:textId="77777777" w:rsidR="000000D1" w:rsidRPr="000000D1" w:rsidRDefault="000000D1" w:rsidP="000000D1">
      <w:pPr>
        <w:ind w:left="720"/>
        <w:contextualSpacing/>
        <w:rPr>
          <w:rFonts w:eastAsia="Calibri" w:cs="Times New Roman"/>
        </w:rPr>
      </w:pPr>
      <w:r w:rsidRPr="000000D1">
        <w:rPr>
          <w:rFonts w:eastAsia="Calibri" w:cs="Times New Roman"/>
        </w:rPr>
        <w:t xml:space="preserve">Tenn. Code Ann. § 67-4-2012 </w:t>
      </w:r>
    </w:p>
    <w:p w14:paraId="3C29BB09" w14:textId="77777777" w:rsidR="000000D1" w:rsidRPr="000000D1" w:rsidRDefault="000000D1" w:rsidP="000000D1">
      <w:pPr>
        <w:contextualSpacing/>
        <w:rPr>
          <w:rFonts w:eastAsia="Calibri" w:cs="Times New Roman"/>
        </w:rPr>
      </w:pPr>
    </w:p>
    <w:p w14:paraId="27F90FE7" w14:textId="77777777" w:rsidR="000000D1" w:rsidRPr="000000D1" w:rsidRDefault="000000D1" w:rsidP="000000D1">
      <w:pPr>
        <w:ind w:left="1440"/>
        <w:rPr>
          <w:rFonts w:eastAsia="Calibri" w:cs="Times New Roman"/>
        </w:rPr>
      </w:pPr>
      <w:r w:rsidRPr="000000D1">
        <w:rPr>
          <w:rFonts w:eastAsia="Calibri" w:cs="Times New Roman"/>
        </w:rPr>
        <w:t>(a)(3) Except as otherwise provided in this part, for tax years ending on or after December 31, 2023, but before December 31, 2024, net earnings must be apportioned to this state by multiplying the earnings by a fraction, the numerator of which is the property factor plus the payroll factor plus five (5) times the receipts factor, and the denominator of the fraction is seven (7).</w:t>
      </w:r>
    </w:p>
    <w:p w14:paraId="18E3DD46" w14:textId="77777777" w:rsidR="000000D1" w:rsidRPr="000000D1" w:rsidRDefault="000000D1" w:rsidP="000000D1">
      <w:pPr>
        <w:ind w:left="1440"/>
        <w:rPr>
          <w:rFonts w:eastAsia="Calibri" w:cs="Times New Roman"/>
        </w:rPr>
      </w:pPr>
      <w:r w:rsidRPr="000000D1">
        <w:rPr>
          <w:rFonts w:eastAsia="Calibri" w:cs="Times New Roman"/>
        </w:rPr>
        <w:t>(a)(4) Except as otherwise provided in this part, for tax years ending on or after December 31, 2024, but before December 31, 2025, net earnings must be apportioned to this state by multiplying the earnings by a fraction, the numerator of which is the property factor plus the payroll factor plus eleven (11) times the receipts factor, and the denominator of the fraction is thirteen (13).</w:t>
      </w:r>
    </w:p>
    <w:p w14:paraId="78AC7D6D" w14:textId="77777777" w:rsidR="000000D1" w:rsidRPr="000000D1" w:rsidRDefault="000000D1" w:rsidP="000000D1">
      <w:pPr>
        <w:ind w:left="1440"/>
        <w:rPr>
          <w:rFonts w:eastAsia="Calibri" w:cs="Times New Roman"/>
        </w:rPr>
      </w:pPr>
      <w:r w:rsidRPr="000000D1">
        <w:rPr>
          <w:rFonts w:eastAsia="Calibri" w:cs="Times New Roman"/>
        </w:rPr>
        <w:t>(a)(5) Except as otherwise provided in this part, for tax years ending on or after December 31, 2025, net earnings must be apportioned to this state by multiplying the earnings by the receipts factor only.</w:t>
      </w:r>
    </w:p>
    <w:p w14:paraId="0C54A4E1" w14:textId="77777777" w:rsidR="000000D1" w:rsidRPr="000000D1" w:rsidRDefault="000000D1" w:rsidP="000000D1">
      <w:pPr>
        <w:ind w:left="1440"/>
        <w:rPr>
          <w:rFonts w:eastAsia="Calibri" w:cs="Times New Roman"/>
        </w:rPr>
      </w:pPr>
      <w:r w:rsidRPr="000000D1">
        <w:rPr>
          <w:rFonts w:eastAsia="Calibri" w:cs="Times New Roman"/>
        </w:rPr>
        <w:t>(a)(6) If the application of subdivision (a)(3), (a)(4), or (a)(5) to a tax year results in a lower apportionment ratio than under the application of the apportionment method in subdivision (a)(2) as it applied to tax years ending before December 31, 2023, then a taxpayer may annually elect to apply the apportionment method in subdivision (a)(2) as it applied to tax years ending before December 31, 2023; provided, however, the election must result in a higher apportionment ratio for the tax year, and the taxpayer must have net earnings, rather than a net loss, for that tax year as computed under § 67-4-2006 . . .</w:t>
      </w:r>
    </w:p>
    <w:p w14:paraId="2645FCF8" w14:textId="77777777" w:rsidR="000000D1" w:rsidRPr="000000D1" w:rsidRDefault="000000D1" w:rsidP="000000D1">
      <w:pPr>
        <w:ind w:left="1440"/>
        <w:rPr>
          <w:rFonts w:eastAsia="Calibri" w:cs="Times New Roman"/>
        </w:rPr>
      </w:pPr>
      <w:r w:rsidRPr="000000D1">
        <w:rPr>
          <w:rFonts w:eastAsia="Calibri" w:cs="Times New Roman"/>
        </w:rPr>
        <w:t>(b) The property factor is a fraction, the numerator of which is the average value of the taxpayer's real and tangible personal property owned or rented and used in this state during the tax period, and the denominator of which is the average value of all the taxpayer's real and tangible personal property owned or rented and used during the tax period. For this purpose, "property" includes a taxpayer's ownership share of the real or tangible property owned or rented by any general partnership, or entity treated as a general partnership for federal income tax purposes, in which such taxpayer has an ownership interest. A return being filed by a limited liability company that has a general partnership as its single member shall include in its property factor only the real and tangible property owned or used by the limited liability company. "Property" also includes a taxpayer's ownership share of the real or tangible property owned or rented by any limited partnership, subchapter S corporation, limited liability company or other entity treated as a partnership for federal income tax purposes, in which the taxpayer has an ownership interest, directly or indirectly through one (1) or more such entities, and that is not doing business in Tennessee and, therefore, is not subject to Tennessee excise tax. The cost value or rental value of such property shall be determined from the books and records of the entity in which the taxpayer has an interest and such property shall be valued in accordance with subsection (c) . . .</w:t>
      </w:r>
    </w:p>
    <w:p w14:paraId="66067688" w14:textId="77777777" w:rsidR="000000D1" w:rsidRPr="000000D1" w:rsidRDefault="000000D1" w:rsidP="000000D1">
      <w:pPr>
        <w:ind w:left="1440"/>
        <w:rPr>
          <w:rFonts w:eastAsia="Calibri" w:cs="Times New Roman"/>
        </w:rPr>
      </w:pPr>
      <w:r w:rsidRPr="000000D1">
        <w:rPr>
          <w:rFonts w:eastAsia="Calibri" w:cs="Times New Roman"/>
        </w:rPr>
        <w:t xml:space="preserve">(e) The payroll factor is a fraction, the numerator of which is the total amount paid in this state during the tax period by the taxpayer for compensation, and the denominator of which is the total compensation paid everywhere during the tax period. For this purpose, "compensation" includes a taxpayer's ownership share of the compensation of any general partnership, or entity treated as a general partnership for federal income tax purposes, in which such taxpayer has an ownership interest. A return being filed by a limited liability company that has a general partnership as its single member shall include in its payroll factor only the compensation attributed to the limited liability company. "Compensation" also includes a taxpayer's share of any specific </w:t>
      </w:r>
      <w:r w:rsidRPr="000000D1">
        <w:rPr>
          <w:rFonts w:eastAsia="Calibri" w:cs="Times New Roman"/>
        </w:rPr>
        <w:lastRenderedPageBreak/>
        <w:t>compensation of any limited partnership, subchapter S corporation, limited liability company or other entity treated as a partnership for federal income tax purposes, in which the taxpayer has an ownership interest, directly or indirectly through one (1) or more such entities, and which is not doing business in Tennessee and thus is not subject to Tennessee excise tax . . .</w:t>
      </w:r>
    </w:p>
    <w:p w14:paraId="20FE2157" w14:textId="77777777" w:rsidR="000000D1" w:rsidRPr="000000D1" w:rsidRDefault="000000D1" w:rsidP="000000D1">
      <w:pPr>
        <w:ind w:left="1440"/>
        <w:rPr>
          <w:rFonts w:eastAsia="Calibri" w:cs="Times New Roman"/>
        </w:rPr>
      </w:pPr>
      <w:r w:rsidRPr="000000D1">
        <w:rPr>
          <w:rFonts w:eastAsia="Calibri" w:cs="Times New Roman"/>
        </w:rPr>
        <w:t>(g) The receipts factor is a fraction, the numerator of which is the total receipts of the taxpayer in this state during the tax period, and the denominator of which is the total receipts of the taxpayer everywhere during the tax period. For this purpose, "gross receipts" includes a taxpayer's ownership share of the gross receipts of any general partnership, or entity treated as a general partnership for federal income tax purposes, in which such taxpayer has an ownership interest. A return being filed by a limited liability company that has a general partnership as its single member shall include in its receipts factor only the gross receipts attributed to the limited liability company. "Gross receipts" also includes a taxpayer's ownership share of gross receipts of any limited partnership, subchapter S corporation, limited liability company, or other entity treated as a partnership for federal income tax purposes, in which the taxpayer has an ownership interest, directly or indirectly through one (1) or more such entities, and that is not doing business in Tennessee and thus is not subject to Tennessee excise tax.</w:t>
      </w:r>
    </w:p>
    <w:p w14:paraId="5051C997" w14:textId="77777777" w:rsidR="000000D1" w:rsidRPr="000000D1" w:rsidRDefault="000000D1" w:rsidP="000000D1">
      <w:pPr>
        <w:ind w:left="720"/>
        <w:contextualSpacing/>
        <w:rPr>
          <w:rFonts w:eastAsia="Calibri" w:cs="Times New Roman"/>
        </w:rPr>
      </w:pPr>
      <w:r w:rsidRPr="000000D1">
        <w:rPr>
          <w:rFonts w:eastAsia="Calibri" w:cs="Times New Roman"/>
        </w:rPr>
        <w:t xml:space="preserve">Tennessee Revenue Ruling No. 06-06 (March 14, 2006) </w:t>
      </w:r>
    </w:p>
    <w:p w14:paraId="6CAF8E87" w14:textId="77777777" w:rsidR="000000D1" w:rsidRPr="000000D1" w:rsidRDefault="000000D1" w:rsidP="000000D1">
      <w:pPr>
        <w:contextualSpacing/>
        <w:rPr>
          <w:rFonts w:eastAsia="Calibri" w:cs="Times New Roman"/>
        </w:rPr>
      </w:pPr>
    </w:p>
    <w:p w14:paraId="25FBC7BB" w14:textId="77777777" w:rsidR="000000D1" w:rsidRPr="000000D1" w:rsidRDefault="000000D1" w:rsidP="000000D1">
      <w:pPr>
        <w:ind w:left="1440"/>
        <w:rPr>
          <w:rFonts w:eastAsia="Calibri" w:cs="Times New Roman"/>
          <w:b/>
          <w:bCs/>
        </w:rPr>
      </w:pPr>
      <w:r w:rsidRPr="000000D1">
        <w:rPr>
          <w:rFonts w:eastAsia="Calibri" w:cs="Times New Roman"/>
          <w:b/>
          <w:bCs/>
        </w:rPr>
        <w:t>For Application of Franchise, Excise Tax Apportionment Formula Statutes to [LP2]</w:t>
      </w:r>
    </w:p>
    <w:p w14:paraId="472A1FFC" w14:textId="77777777" w:rsidR="000000D1" w:rsidRPr="000000D1" w:rsidRDefault="000000D1" w:rsidP="000000D1">
      <w:pPr>
        <w:ind w:left="1440"/>
        <w:rPr>
          <w:rFonts w:eastAsia="Calibri" w:cs="Times New Roman"/>
        </w:rPr>
      </w:pPr>
      <w:r w:rsidRPr="000000D1">
        <w:rPr>
          <w:rFonts w:eastAsia="Calibri" w:cs="Times New Roman"/>
        </w:rPr>
        <w:t>If [LP2] also has tax nexus in another state(s), it will apportion its net earnings and net worth to Tennessee for franchise, excise tax purposes using the property, payroll compensation and receipts apportionment formula previously described.</w:t>
      </w:r>
    </w:p>
    <w:p w14:paraId="3619D23A" w14:textId="77777777" w:rsidR="000000D1" w:rsidRPr="000000D1" w:rsidRDefault="000000D1" w:rsidP="000000D1">
      <w:pPr>
        <w:ind w:left="1440"/>
        <w:rPr>
          <w:rFonts w:eastAsia="Calibri" w:cs="Times New Roman"/>
        </w:rPr>
      </w:pPr>
      <w:r w:rsidRPr="000000D1">
        <w:rPr>
          <w:rFonts w:eastAsia="Calibri" w:cs="Times New Roman"/>
        </w:rPr>
        <w:t>In addition to its own property, payroll compensation and receipts, [LP2] will include in its apportionment formula for franchise, excise tax purposes, its ownership share of the property, payroll compensation and gross receipts of any limited partnership, subchapter S corporation, limited liability company, or other entity treated as a partnership for federal income tax purposes, in which the taxpayer has an ownership interest, directly or indirectly through one (1) or more such entities, and that is not doing business in Tennessee and thus is not subject to Tennessee franchise, excise tax.</w:t>
      </w:r>
    </w:p>
    <w:p w14:paraId="17A2C015" w14:textId="77777777" w:rsidR="000000D1" w:rsidRPr="000000D1" w:rsidRDefault="000000D1" w:rsidP="000000D1">
      <w:pPr>
        <w:ind w:left="1440"/>
        <w:rPr>
          <w:rFonts w:eastAsia="Calibri" w:cs="Times New Roman"/>
          <w:b/>
          <w:bCs/>
        </w:rPr>
      </w:pPr>
      <w:r w:rsidRPr="000000D1">
        <w:rPr>
          <w:rFonts w:eastAsia="Calibri" w:cs="Times New Roman"/>
          <w:b/>
          <w:bCs/>
        </w:rPr>
        <w:t>Application of Franchise, Excise Tax Apportionment Formula Statutes to [LP1]</w:t>
      </w:r>
    </w:p>
    <w:p w14:paraId="59AFA445" w14:textId="77777777" w:rsidR="000000D1" w:rsidRPr="000000D1" w:rsidRDefault="000000D1" w:rsidP="000000D1">
      <w:pPr>
        <w:ind w:left="1440"/>
        <w:rPr>
          <w:rFonts w:eastAsia="Calibri" w:cs="Times New Roman"/>
        </w:rPr>
      </w:pPr>
      <w:r w:rsidRPr="000000D1">
        <w:rPr>
          <w:rFonts w:eastAsia="Calibri" w:cs="Times New Roman"/>
        </w:rPr>
        <w:t>The facts presented state that [LP1] has no Tennessee tax nexus. Therefore, it is not subject to franchise, excise tax and will not compute an apportionment formula.</w:t>
      </w:r>
    </w:p>
    <w:p w14:paraId="423DBF36" w14:textId="77777777" w:rsidR="000000D1" w:rsidRPr="000000D1" w:rsidRDefault="000000D1" w:rsidP="000000D1">
      <w:pPr>
        <w:ind w:left="1440"/>
        <w:rPr>
          <w:rFonts w:eastAsia="Calibri" w:cs="Times New Roman"/>
          <w:b/>
          <w:bCs/>
        </w:rPr>
      </w:pPr>
      <w:r w:rsidRPr="000000D1">
        <w:rPr>
          <w:rFonts w:eastAsia="Calibri" w:cs="Times New Roman"/>
          <w:b/>
          <w:bCs/>
        </w:rPr>
        <w:t>Application of Franchise, Excise Tax Apportionment Formula Statutes to the Taxpayer</w:t>
      </w:r>
    </w:p>
    <w:p w14:paraId="55DD53C8" w14:textId="77777777" w:rsidR="000000D1" w:rsidRPr="000000D1" w:rsidRDefault="000000D1" w:rsidP="000000D1">
      <w:pPr>
        <w:ind w:left="1440"/>
        <w:rPr>
          <w:rFonts w:eastAsia="Calibri" w:cs="Times New Roman"/>
        </w:rPr>
      </w:pPr>
      <w:r w:rsidRPr="000000D1">
        <w:rPr>
          <w:rFonts w:eastAsia="Calibri" w:cs="Times New Roman"/>
        </w:rPr>
        <w:t>If the Taxpayer also has tax nexus in another state(s), it will apportion its net earnings and net worth to Tennessee for franchise, excise tax purposes using the property, payroll compensation and receipts apportionment formula previously described.</w:t>
      </w:r>
    </w:p>
    <w:p w14:paraId="26E3FF57" w14:textId="77777777" w:rsidR="000000D1" w:rsidRPr="000000D1" w:rsidRDefault="000000D1" w:rsidP="000000D1">
      <w:pPr>
        <w:ind w:left="1440"/>
        <w:rPr>
          <w:rFonts w:eastAsia="Calibri" w:cs="Times New Roman"/>
        </w:rPr>
      </w:pPr>
      <w:r w:rsidRPr="000000D1">
        <w:rPr>
          <w:rFonts w:eastAsia="Calibri" w:cs="Times New Roman"/>
        </w:rPr>
        <w:t xml:space="preserve">In addition to its own property, payroll compensation and receipts, the Taxpayer will include in its apportionment formula for franchise, excise tax purposes, its ownership share of the property, payroll compensation and gross receipts of any limited partnership, subchapter S corporation, limited liability company, or other entity treated as a partnership for federal income tax purposes, in which the taxpayer has an ownership interest, directly or indirectly through one (1) or more such entities, and that is not doing business in Tennessee and thus is not subject to Tennessee franchise excise tax. </w:t>
      </w:r>
    </w:p>
    <w:p w14:paraId="13C784B9" w14:textId="77777777" w:rsidR="000000D1" w:rsidRPr="000000D1" w:rsidRDefault="000000D1" w:rsidP="000000D1">
      <w:pPr>
        <w:ind w:left="1440"/>
        <w:rPr>
          <w:rFonts w:eastAsia="Calibri" w:cs="Times New Roman"/>
        </w:rPr>
      </w:pPr>
      <w:r w:rsidRPr="000000D1">
        <w:rPr>
          <w:rFonts w:eastAsia="Calibri" w:cs="Times New Roman"/>
        </w:rPr>
        <w:t>This will include the following:</w:t>
      </w:r>
    </w:p>
    <w:p w14:paraId="683B780F" w14:textId="77777777" w:rsidR="000000D1" w:rsidRPr="000000D1" w:rsidRDefault="000000D1" w:rsidP="000000D1">
      <w:pPr>
        <w:ind w:left="1440"/>
        <w:rPr>
          <w:rFonts w:eastAsia="Calibri" w:cs="Times New Roman"/>
        </w:rPr>
      </w:pPr>
      <w:r w:rsidRPr="000000D1">
        <w:rPr>
          <w:rFonts w:eastAsia="Calibri" w:cs="Times New Roman"/>
        </w:rPr>
        <w:lastRenderedPageBreak/>
        <w:t>1. 100% of its own property, payroll compensation and receipts.</w:t>
      </w:r>
    </w:p>
    <w:p w14:paraId="4C79C2E5" w14:textId="77777777" w:rsidR="000000D1" w:rsidRPr="000000D1" w:rsidRDefault="000000D1" w:rsidP="000000D1">
      <w:pPr>
        <w:ind w:left="1440"/>
        <w:rPr>
          <w:rFonts w:eastAsia="Calibri" w:cs="Times New Roman"/>
        </w:rPr>
      </w:pPr>
      <w:r w:rsidRPr="000000D1">
        <w:rPr>
          <w:rFonts w:eastAsia="Calibri" w:cs="Times New Roman"/>
        </w:rPr>
        <w:t>2. 49.49% of [LP1's] property, payroll compensation and receipts.</w:t>
      </w:r>
    </w:p>
    <w:p w14:paraId="7636B729" w14:textId="77777777" w:rsidR="000000D1" w:rsidRPr="000000D1" w:rsidRDefault="000000D1" w:rsidP="000000D1">
      <w:pPr>
        <w:ind w:left="1440"/>
        <w:rPr>
          <w:rFonts w:eastAsia="Calibri" w:cs="Times New Roman"/>
        </w:rPr>
      </w:pPr>
      <w:r w:rsidRPr="000000D1">
        <w:rPr>
          <w:rFonts w:eastAsia="Calibri" w:cs="Times New Roman"/>
        </w:rPr>
        <w:t>3. 49.49% of property, payroll compensation and gross receipts passed-through to [LP1] by any limited partnership, subchapter S corporation, limited liability company, or other entity treated as a partnership for federal income tax purposes, in which the Taxpayer has an ownership interest, directly or indirectly through [LP1] and that is not doing business in Tennessee and thus is not subject to Tennessee franchise excise tax.</w:t>
      </w:r>
    </w:p>
    <w:p w14:paraId="2C1D9648" w14:textId="77777777" w:rsidR="000000D1" w:rsidRPr="000000D1" w:rsidRDefault="000000D1" w:rsidP="000000D1">
      <w:pPr>
        <w:ind w:left="1440"/>
        <w:rPr>
          <w:rFonts w:eastAsia="Calibri" w:cs="Times New Roman"/>
        </w:rPr>
      </w:pPr>
      <w:r w:rsidRPr="000000D1">
        <w:rPr>
          <w:rFonts w:eastAsia="Calibri" w:cs="Times New Roman"/>
        </w:rPr>
        <w:t>It is important to note that the Taxpayer's indirect ownership share (49.49% of 99%) of property, payroll compensation and receipts of [LP2] will be excluded from the Taxpayer's apportionment formula because, although the Taxpayer indirectly has an ownership interest in [LP2] through [LP1], [LP2] is doing business in Tennessee and Is subject to Tennessee franchise, excise tax. Thus, none of [LP2's] property, payroll compensation and receipts are passed-through to the Taxpayer.</w:t>
      </w:r>
    </w:p>
    <w:p w14:paraId="061B21B3" w14:textId="77777777" w:rsidR="000000D1" w:rsidRPr="000000D1" w:rsidRDefault="000000D1" w:rsidP="000000D1">
      <w:pPr>
        <w:ind w:left="720"/>
        <w:contextualSpacing/>
        <w:rPr>
          <w:rFonts w:eastAsia="Calibri" w:cs="Times New Roman"/>
        </w:rPr>
      </w:pPr>
      <w:r w:rsidRPr="000000D1">
        <w:rPr>
          <w:rFonts w:eastAsia="Calibri" w:cs="Times New Roman"/>
          <w:i/>
          <w:iCs/>
        </w:rPr>
        <w:t>Vodafone Americas Holdings, Inc. v. Roberts</w:t>
      </w:r>
      <w:r w:rsidRPr="000000D1">
        <w:rPr>
          <w:rFonts w:eastAsia="Calibri" w:cs="Times New Roman"/>
        </w:rPr>
        <w:t xml:space="preserve">, 486 SW3d 496 (Tenn. 2016) (applying alternative apportionment to a corporate partner). </w:t>
      </w:r>
    </w:p>
    <w:p w14:paraId="59E885D3" w14:textId="77777777" w:rsidR="000000D1" w:rsidRPr="000000D1" w:rsidRDefault="000000D1" w:rsidP="000000D1">
      <w:pPr>
        <w:pBdr>
          <w:bottom w:val="single" w:sz="4" w:space="0" w:color="auto"/>
        </w:pBdr>
        <w:rPr>
          <w:rFonts w:eastAsia="Calibri" w:cs="Times New Roman"/>
        </w:rPr>
      </w:pPr>
    </w:p>
    <w:p w14:paraId="4862D987"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56" w:name="_Toc198480804"/>
      <w:r w:rsidRPr="000000D1">
        <w:rPr>
          <w:rFonts w:ascii="Californian FB" w:eastAsia="Times New Roman" w:hAnsi="Californian FB" w:cs="Times New Roman"/>
          <w:b/>
          <w:color w:val="851C00"/>
          <w:sz w:val="24"/>
          <w:szCs w:val="24"/>
          <w:u w:val="single"/>
        </w:rPr>
        <w:t>Texas</w:t>
      </w:r>
      <w:bookmarkEnd w:id="156"/>
    </w:p>
    <w:p w14:paraId="133FDCC6" w14:textId="77777777" w:rsidR="000000D1" w:rsidRPr="000000D1" w:rsidRDefault="000000D1" w:rsidP="000000D1">
      <w:pPr>
        <w:ind w:left="720"/>
        <w:contextualSpacing/>
        <w:rPr>
          <w:rFonts w:eastAsia="Calibri" w:cs="Times New Roman"/>
        </w:rPr>
      </w:pPr>
      <w:r w:rsidRPr="000000D1">
        <w:rPr>
          <w:rFonts w:eastAsia="Calibri" w:cs="Times New Roman"/>
        </w:rPr>
        <w:t xml:space="preserve">Tex. Tax Code Ann. § 171.106(a) </w:t>
      </w:r>
    </w:p>
    <w:p w14:paraId="14054B69" w14:textId="77777777" w:rsidR="000000D1" w:rsidRPr="000000D1" w:rsidRDefault="000000D1" w:rsidP="000000D1">
      <w:pPr>
        <w:contextualSpacing/>
        <w:rPr>
          <w:rFonts w:eastAsia="Calibri" w:cs="Times New Roman"/>
        </w:rPr>
      </w:pPr>
    </w:p>
    <w:p w14:paraId="2A2AA674" w14:textId="77777777" w:rsidR="000000D1" w:rsidRPr="000000D1" w:rsidRDefault="000000D1" w:rsidP="000000D1">
      <w:pPr>
        <w:ind w:left="1440"/>
        <w:rPr>
          <w:rFonts w:eastAsia="Calibri" w:cs="Times New Roman"/>
        </w:rPr>
      </w:pPr>
      <w:r w:rsidRPr="000000D1">
        <w:rPr>
          <w:rFonts w:eastAsia="Calibri" w:cs="Times New Roman"/>
        </w:rPr>
        <w:t>Except as provided by this section, a taxable entity's margin is apportioned to this state to determine the amount of tax imposed under Section 171.002 by multiplying the margin by a fraction, the numerator of which is the taxable entity's gross receipts from business done in this state, as determined under Section 171.103, and the denominator of which is the taxable entity's gross receipts from its entire business, as determined under Section 171.105.</w:t>
      </w:r>
    </w:p>
    <w:p w14:paraId="41408988" w14:textId="77777777" w:rsidR="000000D1" w:rsidRPr="000000D1" w:rsidRDefault="000000D1" w:rsidP="000000D1">
      <w:pPr>
        <w:ind w:left="720"/>
        <w:contextualSpacing/>
        <w:rPr>
          <w:rFonts w:eastAsia="Calibri" w:cs="Times New Roman"/>
        </w:rPr>
      </w:pPr>
      <w:r w:rsidRPr="000000D1">
        <w:rPr>
          <w:rFonts w:eastAsia="Calibri" w:cs="Times New Roman"/>
        </w:rPr>
        <w:t xml:space="preserve">Tex. Tax Code § 171.1015 </w:t>
      </w:r>
    </w:p>
    <w:p w14:paraId="63E8F4A1" w14:textId="77777777" w:rsidR="000000D1" w:rsidRPr="000000D1" w:rsidRDefault="000000D1" w:rsidP="00366E17">
      <w:pPr>
        <w:numPr>
          <w:ilvl w:val="0"/>
          <w:numId w:val="29"/>
        </w:numPr>
        <w:contextualSpacing/>
        <w:rPr>
          <w:rFonts w:eastAsia="Calibri" w:cs="Times New Roman"/>
        </w:rPr>
      </w:pPr>
      <w:r w:rsidRPr="000000D1">
        <w:rPr>
          <w:rFonts w:eastAsia="Calibri" w:cs="Times New Roman"/>
        </w:rPr>
        <w:t>In this section, "tiered partnership arrangement" means an ownership structure in which any of the interests in one taxable entity treated as a partnership or an S corporation for federal income tax purposes (a "lower tier entity") are owned by one or more other taxable entities (an "upper tier entity"). A tiered partnership arrangement may have two or more tiers.</w:t>
      </w:r>
    </w:p>
    <w:p w14:paraId="7AFDB69A" w14:textId="77777777" w:rsidR="000000D1" w:rsidRPr="000000D1" w:rsidRDefault="000000D1" w:rsidP="000000D1">
      <w:pPr>
        <w:ind w:left="1800"/>
        <w:contextualSpacing/>
        <w:rPr>
          <w:rFonts w:eastAsia="Calibri" w:cs="Times New Roman"/>
        </w:rPr>
      </w:pPr>
    </w:p>
    <w:p w14:paraId="72532448" w14:textId="77777777" w:rsidR="000000D1" w:rsidRPr="000000D1" w:rsidRDefault="000000D1" w:rsidP="00366E17">
      <w:pPr>
        <w:numPr>
          <w:ilvl w:val="0"/>
          <w:numId w:val="29"/>
        </w:numPr>
        <w:rPr>
          <w:rFonts w:eastAsia="Calibri" w:cs="Times New Roman"/>
        </w:rPr>
      </w:pPr>
      <w:r w:rsidRPr="000000D1">
        <w:rPr>
          <w:rFonts w:eastAsia="Calibri" w:cs="Times New Roman"/>
        </w:rPr>
        <w:t>In addition to the tax it is required to pay under this chapter on its own taxable margin, a taxable entity that is an upper tier entity may include, for purposes of calculating its own taxable margin, the total revenue of a lower tier entity if the lower tier entity submits a report to the comptroller showing the amount of total revenue that each upper tier entity that owns it should include within the upper tier entity's own taxable margin calculation, according to the ownership interest of the upper tier entity.</w:t>
      </w:r>
    </w:p>
    <w:p w14:paraId="7AA3E58C" w14:textId="77777777" w:rsidR="000000D1" w:rsidRPr="000000D1" w:rsidRDefault="000000D1" w:rsidP="00366E17">
      <w:pPr>
        <w:numPr>
          <w:ilvl w:val="0"/>
          <w:numId w:val="29"/>
        </w:numPr>
        <w:contextualSpacing/>
        <w:rPr>
          <w:rFonts w:eastAsia="Calibri" w:cs="Times New Roman"/>
        </w:rPr>
      </w:pPr>
      <w:r w:rsidRPr="000000D1">
        <w:rPr>
          <w:rFonts w:eastAsia="Calibri" w:cs="Times New Roman"/>
        </w:rPr>
        <w:t>This section does not apply to that percentage of the total revenue attributable to an upper tier entity by a lower tier entity if the upper tier entity is not subject to the tax under this chapter. In this case, the lower tier entity is liable for the tax on its taxable margin.</w:t>
      </w:r>
    </w:p>
    <w:p w14:paraId="7CAA34C0" w14:textId="77777777" w:rsidR="000000D1" w:rsidRPr="000000D1" w:rsidRDefault="000000D1" w:rsidP="000000D1">
      <w:pPr>
        <w:ind w:left="1800"/>
        <w:contextualSpacing/>
        <w:rPr>
          <w:rFonts w:eastAsia="Calibri" w:cs="Times New Roman"/>
        </w:rPr>
      </w:pPr>
    </w:p>
    <w:p w14:paraId="28B6A48F" w14:textId="77777777" w:rsidR="000000D1" w:rsidRPr="000000D1" w:rsidRDefault="000000D1" w:rsidP="00366E17">
      <w:pPr>
        <w:numPr>
          <w:ilvl w:val="0"/>
          <w:numId w:val="29"/>
        </w:numPr>
        <w:contextualSpacing/>
        <w:rPr>
          <w:rFonts w:eastAsia="Calibri" w:cs="Times New Roman"/>
        </w:rPr>
      </w:pPr>
      <w:r w:rsidRPr="000000D1">
        <w:rPr>
          <w:rFonts w:eastAsia="Calibri" w:cs="Times New Roman"/>
        </w:rPr>
        <w:t>Section 171.002(d) does not apply to an upper tier entity if, before the attribution of any total revenue by a lower tier entity to an upper tier entity under this section, the lower tier entity does not meet the criteria of Section 171.002(d)(1) or (d)(2).</w:t>
      </w:r>
    </w:p>
    <w:p w14:paraId="01D3D0B4" w14:textId="77777777" w:rsidR="000000D1" w:rsidRPr="000000D1" w:rsidRDefault="000000D1" w:rsidP="00366E17">
      <w:pPr>
        <w:numPr>
          <w:ilvl w:val="0"/>
          <w:numId w:val="29"/>
        </w:numPr>
        <w:contextualSpacing/>
        <w:rPr>
          <w:rFonts w:eastAsia="Calibri" w:cs="Times New Roman"/>
        </w:rPr>
      </w:pPr>
      <w:r w:rsidRPr="000000D1">
        <w:rPr>
          <w:rFonts w:eastAsia="Calibri" w:cs="Times New Roman"/>
        </w:rPr>
        <w:t>The comptroller shall adopt rules to administer this section.</w:t>
      </w:r>
    </w:p>
    <w:p w14:paraId="35FA3932" w14:textId="77777777" w:rsidR="000000D1" w:rsidRPr="000000D1" w:rsidRDefault="000000D1" w:rsidP="000000D1">
      <w:pPr>
        <w:ind w:left="720"/>
        <w:contextualSpacing/>
        <w:rPr>
          <w:rFonts w:eastAsia="Calibri" w:cs="Times New Roman"/>
        </w:rPr>
      </w:pPr>
      <w:r w:rsidRPr="000000D1">
        <w:rPr>
          <w:rFonts w:eastAsia="Calibri" w:cs="Times New Roman"/>
        </w:rPr>
        <w:t xml:space="preserve">34 Tex. Admin. Code § 3.591(e)(20) </w:t>
      </w:r>
    </w:p>
    <w:p w14:paraId="5B7108A9" w14:textId="77777777" w:rsidR="000000D1" w:rsidRPr="000000D1" w:rsidRDefault="000000D1" w:rsidP="000000D1">
      <w:pPr>
        <w:ind w:left="720"/>
        <w:contextualSpacing/>
        <w:rPr>
          <w:rFonts w:eastAsia="Calibri" w:cs="Times New Roman"/>
        </w:rPr>
      </w:pPr>
    </w:p>
    <w:p w14:paraId="1A660F8B" w14:textId="77777777" w:rsidR="000000D1" w:rsidRPr="000000D1" w:rsidRDefault="000000D1" w:rsidP="000000D1">
      <w:pPr>
        <w:ind w:left="1440"/>
        <w:contextualSpacing/>
        <w:rPr>
          <w:rFonts w:eastAsia="Calibri" w:cs="Times New Roman"/>
        </w:rPr>
      </w:pPr>
      <w:r w:rsidRPr="000000D1">
        <w:rPr>
          <w:rFonts w:eastAsia="Calibri" w:cs="Times New Roman"/>
        </w:rPr>
        <w:t>The net distributive income or loss from a passive entity that is included in total revenue is sourced to the principal place of business of the passive entity.</w:t>
      </w:r>
    </w:p>
    <w:p w14:paraId="586EFA4C" w14:textId="77777777" w:rsidR="000000D1" w:rsidRPr="000000D1" w:rsidRDefault="000000D1" w:rsidP="000000D1">
      <w:pPr>
        <w:ind w:left="1440"/>
        <w:contextualSpacing/>
        <w:rPr>
          <w:rFonts w:eastAsia="Calibri" w:cs="Times New Roman"/>
        </w:rPr>
      </w:pPr>
    </w:p>
    <w:p w14:paraId="3485154B" w14:textId="77777777" w:rsidR="000000D1" w:rsidRPr="000000D1" w:rsidRDefault="000000D1" w:rsidP="000000D1">
      <w:pPr>
        <w:ind w:firstLine="720"/>
        <w:rPr>
          <w:rFonts w:eastAsia="Calibri" w:cs="Times New Roman"/>
          <w:i/>
          <w:iCs/>
        </w:rPr>
      </w:pPr>
      <w:r w:rsidRPr="000000D1">
        <w:rPr>
          <w:rFonts w:eastAsia="Calibri" w:cs="Times New Roman"/>
        </w:rPr>
        <w:t xml:space="preserve">Texas Comptroller's Letter No. 202104018L (April 14, 2021) </w:t>
      </w:r>
    </w:p>
    <w:p w14:paraId="708EB65C" w14:textId="77777777" w:rsidR="000000D1" w:rsidRPr="000000D1" w:rsidRDefault="000000D1" w:rsidP="000000D1">
      <w:pPr>
        <w:rPr>
          <w:rFonts w:eastAsia="Calibri" w:cs="Times New Roman"/>
          <w:bCs/>
          <w:i/>
          <w:iCs/>
        </w:rPr>
      </w:pPr>
      <w:r w:rsidRPr="000000D1">
        <w:rPr>
          <w:rFonts w:eastAsia="Calibri" w:cs="Times New Roman"/>
          <w:i/>
          <w:iCs/>
        </w:rPr>
        <w:tab/>
      </w:r>
      <w:r w:rsidRPr="000000D1">
        <w:rPr>
          <w:rFonts w:eastAsia="Calibri" w:cs="Times New Roman"/>
          <w:i/>
          <w:iCs/>
        </w:rPr>
        <w:tab/>
      </w:r>
      <w:r w:rsidRPr="000000D1">
        <w:rPr>
          <w:rFonts w:eastAsia="Calibri" w:cs="Times New Roman"/>
          <w:bCs/>
          <w:i/>
          <w:iCs/>
        </w:rPr>
        <w:t>Tiered Partnership Provisions</w:t>
      </w:r>
    </w:p>
    <w:p w14:paraId="2DF6D8A4" w14:textId="77777777" w:rsidR="000000D1" w:rsidRPr="000000D1" w:rsidRDefault="000000D1" w:rsidP="000000D1">
      <w:pPr>
        <w:ind w:left="1440"/>
        <w:rPr>
          <w:rFonts w:eastAsia="Calibri" w:cs="Times New Roman"/>
          <w:b/>
          <w:bCs/>
        </w:rPr>
      </w:pPr>
      <w:r w:rsidRPr="000000D1">
        <w:rPr>
          <w:rFonts w:eastAsia="Calibri" w:cs="Times New Roman"/>
          <w:b/>
          <w:bCs/>
        </w:rPr>
        <w:t>Can a lower tier entity exclude from total revenue the amount of total revenue that it reports to an upper tier entity under the tiered partnership provisions?</w:t>
      </w:r>
    </w:p>
    <w:p w14:paraId="71E1D0BC" w14:textId="77777777" w:rsidR="000000D1" w:rsidRPr="000000D1" w:rsidRDefault="000000D1" w:rsidP="000000D1">
      <w:pPr>
        <w:ind w:left="1440"/>
        <w:rPr>
          <w:rFonts w:eastAsia="Calibri" w:cs="Times New Roman"/>
        </w:rPr>
      </w:pPr>
      <w:r w:rsidRPr="000000D1">
        <w:rPr>
          <w:rFonts w:eastAsia="Calibri" w:cs="Times New Roman"/>
        </w:rPr>
        <w:t>Yes. However, a lower tier entity may not report total revenue to an upper tier entity if the upper tier entity is not subject to the franchise tax. (Texas Tax Code (TTC) 171.1015.)</w:t>
      </w:r>
    </w:p>
    <w:p w14:paraId="7F11AF3C" w14:textId="77777777" w:rsidR="000000D1" w:rsidRPr="000000D1" w:rsidRDefault="000000D1" w:rsidP="000000D1">
      <w:pPr>
        <w:ind w:left="1440"/>
        <w:rPr>
          <w:rFonts w:eastAsia="Calibri" w:cs="Times New Roman"/>
          <w:b/>
          <w:bCs/>
        </w:rPr>
      </w:pPr>
      <w:r w:rsidRPr="000000D1">
        <w:rPr>
          <w:rFonts w:eastAsia="Calibri" w:cs="Times New Roman"/>
          <w:b/>
          <w:bCs/>
        </w:rPr>
        <w:t>Are there any special reports that must be filed if the tiered partnership provision is used?</w:t>
      </w:r>
    </w:p>
    <w:p w14:paraId="647C8336" w14:textId="77777777" w:rsidR="000000D1" w:rsidRPr="000000D1" w:rsidRDefault="000000D1" w:rsidP="000000D1">
      <w:pPr>
        <w:ind w:left="1440"/>
        <w:rPr>
          <w:rFonts w:eastAsia="Calibri" w:cs="Times New Roman"/>
        </w:rPr>
      </w:pPr>
      <w:r w:rsidRPr="000000D1">
        <w:rPr>
          <w:rFonts w:eastAsia="Calibri" w:cs="Times New Roman"/>
        </w:rPr>
        <w:t>Each entity (lower and upper tier) that is filing under the tiered partnership provision must submit, along with its franchise tax report, Form 05-175, Texas Franchise Tax Tiered Partnership Report, to show the amount of total revenue that each upper tier entity should include with the upper tier entity's own total revenue.</w:t>
      </w:r>
    </w:p>
    <w:p w14:paraId="17C2968C" w14:textId="77777777" w:rsidR="000000D1" w:rsidRPr="000000D1" w:rsidRDefault="000000D1" w:rsidP="000000D1">
      <w:pPr>
        <w:ind w:left="1440"/>
        <w:rPr>
          <w:rFonts w:eastAsia="Calibri" w:cs="Times New Roman"/>
          <w:b/>
          <w:bCs/>
        </w:rPr>
      </w:pPr>
      <w:r w:rsidRPr="000000D1">
        <w:rPr>
          <w:rFonts w:eastAsia="Calibri" w:cs="Times New Roman"/>
          <w:b/>
          <w:bCs/>
        </w:rPr>
        <w:t>Is an upper tier entity eligible for the E-Z computation or no tax due report?</w:t>
      </w:r>
    </w:p>
    <w:p w14:paraId="1F1629DD" w14:textId="77777777" w:rsidR="000000D1" w:rsidRPr="000000D1" w:rsidRDefault="000000D1" w:rsidP="000000D1">
      <w:pPr>
        <w:ind w:left="1440"/>
        <w:rPr>
          <w:rFonts w:eastAsia="Calibri" w:cs="Times New Roman"/>
        </w:rPr>
      </w:pPr>
      <w:r w:rsidRPr="000000D1">
        <w:rPr>
          <w:rFonts w:eastAsia="Calibri" w:cs="Times New Roman"/>
        </w:rPr>
        <w:t>The no tax due thresholds and the E-Z computation do not apply to an upper or lower tier entity if, before the attribution of any total revenue by a lower tier entity to an upper tier entity, the lower tier entity does not meet the criteria.</w:t>
      </w:r>
    </w:p>
    <w:p w14:paraId="3050D52F" w14:textId="77777777" w:rsidR="000000D1" w:rsidRPr="000000D1" w:rsidRDefault="000000D1" w:rsidP="000000D1">
      <w:pPr>
        <w:ind w:left="1440"/>
        <w:rPr>
          <w:rFonts w:eastAsia="Calibri" w:cs="Times New Roman"/>
          <w:b/>
          <w:bCs/>
        </w:rPr>
      </w:pPr>
      <w:r w:rsidRPr="000000D1">
        <w:rPr>
          <w:rFonts w:eastAsia="Calibri" w:cs="Times New Roman"/>
          <w:b/>
          <w:bCs/>
        </w:rPr>
        <w:t>Do the tiered partnership provisions apply if some of the entities in the tiered partnership arrangement are part of a combined group?</w:t>
      </w:r>
    </w:p>
    <w:p w14:paraId="280F3402" w14:textId="77777777" w:rsidR="000000D1" w:rsidRPr="000000D1" w:rsidRDefault="000000D1" w:rsidP="000000D1">
      <w:pPr>
        <w:ind w:left="1440"/>
        <w:rPr>
          <w:rFonts w:eastAsia="Calibri" w:cs="Times New Roman"/>
        </w:rPr>
      </w:pPr>
      <w:r w:rsidRPr="000000D1">
        <w:rPr>
          <w:rFonts w:eastAsia="Calibri" w:cs="Times New Roman"/>
        </w:rPr>
        <w:t>The tiered partnership provision is not available if the lower tier entity is included in a combined group.</w:t>
      </w:r>
    </w:p>
    <w:p w14:paraId="6A4AF296" w14:textId="77777777" w:rsidR="000000D1" w:rsidRPr="000000D1" w:rsidRDefault="000000D1" w:rsidP="000000D1">
      <w:pPr>
        <w:ind w:left="1440"/>
        <w:rPr>
          <w:rFonts w:eastAsia="Calibri" w:cs="Times New Roman"/>
          <w:b/>
          <w:bCs/>
        </w:rPr>
      </w:pPr>
      <w:r w:rsidRPr="000000D1">
        <w:rPr>
          <w:rFonts w:eastAsia="Calibri" w:cs="Times New Roman"/>
          <w:b/>
          <w:bCs/>
        </w:rPr>
        <w:t>Do upper tiers and lower tiers have to have the same accounting period to make the tiered partnership election?</w:t>
      </w:r>
    </w:p>
    <w:p w14:paraId="584957BB" w14:textId="77777777" w:rsidR="000000D1" w:rsidRPr="000000D1" w:rsidRDefault="000000D1" w:rsidP="000000D1">
      <w:pPr>
        <w:ind w:left="1440"/>
        <w:rPr>
          <w:rFonts w:eastAsia="Calibri" w:cs="Times New Roman"/>
        </w:rPr>
      </w:pPr>
      <w:r w:rsidRPr="000000D1">
        <w:rPr>
          <w:rFonts w:eastAsia="Calibri" w:cs="Times New Roman"/>
        </w:rPr>
        <w:t>No, but the revenue must be allocated to the accounting period on which the report is based.</w:t>
      </w:r>
    </w:p>
    <w:p w14:paraId="10B788B6" w14:textId="77777777" w:rsidR="000000D1" w:rsidRPr="000000D1" w:rsidRDefault="000000D1" w:rsidP="000000D1">
      <w:pPr>
        <w:ind w:left="1440"/>
        <w:rPr>
          <w:rFonts w:eastAsia="Calibri" w:cs="Times New Roman"/>
          <w:b/>
          <w:bCs/>
        </w:rPr>
      </w:pPr>
      <w:r w:rsidRPr="000000D1">
        <w:rPr>
          <w:rFonts w:eastAsia="Calibri" w:cs="Times New Roman"/>
          <w:b/>
          <w:bCs/>
        </w:rPr>
        <w:t>Is the tiered partnership election in TTC 171.1015 mandatory?</w:t>
      </w:r>
    </w:p>
    <w:p w14:paraId="6C04778B" w14:textId="77777777" w:rsidR="000000D1" w:rsidRPr="000000D1" w:rsidRDefault="000000D1" w:rsidP="000000D1">
      <w:pPr>
        <w:ind w:left="1440"/>
        <w:rPr>
          <w:rFonts w:eastAsia="Calibri" w:cs="Times New Roman"/>
        </w:rPr>
      </w:pPr>
      <w:r w:rsidRPr="000000D1">
        <w:rPr>
          <w:rFonts w:eastAsia="Calibri" w:cs="Times New Roman"/>
        </w:rPr>
        <w:t>No.</w:t>
      </w:r>
    </w:p>
    <w:p w14:paraId="026B1001" w14:textId="77777777" w:rsidR="000000D1" w:rsidRPr="000000D1" w:rsidRDefault="000000D1" w:rsidP="000000D1">
      <w:pPr>
        <w:ind w:left="1440"/>
        <w:rPr>
          <w:rFonts w:eastAsia="Calibri" w:cs="Times New Roman"/>
          <w:b/>
          <w:bCs/>
        </w:rPr>
      </w:pPr>
      <w:r w:rsidRPr="000000D1">
        <w:rPr>
          <w:rFonts w:eastAsia="Calibri" w:cs="Times New Roman"/>
          <w:b/>
          <w:bCs/>
        </w:rPr>
        <w:t>Is the tiered partnership election in TTC 171.1015 an alternative to combined reporting?</w:t>
      </w:r>
    </w:p>
    <w:p w14:paraId="60519741" w14:textId="77777777" w:rsidR="000000D1" w:rsidRPr="000000D1" w:rsidRDefault="000000D1" w:rsidP="000000D1">
      <w:pPr>
        <w:ind w:left="1440"/>
        <w:rPr>
          <w:rFonts w:eastAsia="Calibri" w:cs="Times New Roman"/>
        </w:rPr>
      </w:pPr>
      <w:r w:rsidRPr="000000D1">
        <w:rPr>
          <w:rFonts w:eastAsia="Calibri" w:cs="Times New Roman"/>
        </w:rPr>
        <w:t>No. Combined reporting is mandatory for taxable entities that meet the ownership and unitary criteria. The tiered partnership provisions are not available if the lower tier entity is included in a combined group.</w:t>
      </w:r>
    </w:p>
    <w:p w14:paraId="35248EDA" w14:textId="77777777" w:rsidR="000000D1" w:rsidRPr="000000D1" w:rsidRDefault="000000D1" w:rsidP="000000D1">
      <w:pPr>
        <w:ind w:left="1440"/>
        <w:rPr>
          <w:rFonts w:eastAsia="Calibri" w:cs="Times New Roman"/>
          <w:b/>
          <w:bCs/>
        </w:rPr>
      </w:pPr>
      <w:r w:rsidRPr="000000D1">
        <w:rPr>
          <w:rFonts w:eastAsia="Calibri" w:cs="Times New Roman"/>
          <w:b/>
          <w:bCs/>
        </w:rPr>
        <w:t>If the tiered partnership election in TTC 171.1015 is made, does the lower tier partnership have to report all revenue to all upper tier entities?</w:t>
      </w:r>
    </w:p>
    <w:p w14:paraId="568923CD" w14:textId="77777777" w:rsidR="000000D1" w:rsidRPr="000000D1" w:rsidRDefault="000000D1" w:rsidP="000000D1">
      <w:pPr>
        <w:ind w:left="1440"/>
        <w:rPr>
          <w:rFonts w:eastAsia="Calibri" w:cs="Times New Roman"/>
          <w:i/>
          <w:iCs/>
        </w:rPr>
      </w:pPr>
      <w:r w:rsidRPr="000000D1">
        <w:rPr>
          <w:rFonts w:eastAsia="Calibri" w:cs="Times New Roman"/>
        </w:rPr>
        <w:t xml:space="preserve">No, a lower tier entity that is not part of a combined group may choose to report total revenue to any or all of its upper tier entities. If the lower tier entity chooses to report total revenue to an upper tier entity, the lower tier entity must report total revenue to the upper tier entity according to the ownership interest of the upper tier entity. A </w:t>
      </w:r>
      <w:r w:rsidRPr="000000D1">
        <w:rPr>
          <w:rFonts w:eastAsia="Calibri" w:cs="Times New Roman"/>
        </w:rPr>
        <w:lastRenderedPageBreak/>
        <w:t>lower tier entity may not report total revenue to an upper tier entity if the upper tier entity is not subject to the franchise tax</w:t>
      </w:r>
      <w:r w:rsidRPr="000000D1">
        <w:rPr>
          <w:rFonts w:eastAsia="Calibri" w:cs="Times New Roman"/>
          <w:i/>
          <w:iCs/>
        </w:rPr>
        <w:t>.</w:t>
      </w:r>
    </w:p>
    <w:p w14:paraId="662F4ACF" w14:textId="77777777" w:rsidR="000000D1" w:rsidRPr="000000D1" w:rsidRDefault="000000D1" w:rsidP="000000D1">
      <w:pPr>
        <w:ind w:left="720"/>
        <w:contextualSpacing/>
        <w:rPr>
          <w:rFonts w:eastAsia="Calibri" w:cs="Times New Roman"/>
        </w:rPr>
      </w:pPr>
      <w:r w:rsidRPr="000000D1">
        <w:rPr>
          <w:rFonts w:eastAsia="Calibri" w:cs="Times New Roman"/>
        </w:rPr>
        <w:t xml:space="preserve">34 Tex. Admin. Code § 3.590 </w:t>
      </w:r>
    </w:p>
    <w:p w14:paraId="3F55D126" w14:textId="77777777" w:rsidR="000000D1" w:rsidRPr="000000D1" w:rsidRDefault="000000D1" w:rsidP="000000D1">
      <w:pPr>
        <w:contextualSpacing/>
        <w:rPr>
          <w:rFonts w:eastAsia="Calibri" w:cs="Times New Roman"/>
        </w:rPr>
      </w:pPr>
    </w:p>
    <w:p w14:paraId="5A457280" w14:textId="77777777" w:rsidR="000000D1" w:rsidRPr="000000D1" w:rsidRDefault="000000D1" w:rsidP="000000D1">
      <w:pPr>
        <w:ind w:left="1440"/>
        <w:rPr>
          <w:rFonts w:eastAsia="Calibri" w:cs="Times New Roman"/>
        </w:rPr>
      </w:pPr>
      <w:r w:rsidRPr="000000D1">
        <w:rPr>
          <w:rFonts w:eastAsia="Calibri" w:cs="Times New Roman"/>
        </w:rPr>
        <w:t>(b)(2)(D) Eligible pass-through entities including partnerships, limited liability companies taxed as partnerships under federal law, limited liability companies that are disregarded under federal law and S corporations are included in a combined group . . .</w:t>
      </w:r>
    </w:p>
    <w:p w14:paraId="35466E38" w14:textId="77777777" w:rsidR="000000D1" w:rsidRPr="000000D1" w:rsidRDefault="000000D1" w:rsidP="000000D1">
      <w:pPr>
        <w:ind w:left="1440"/>
        <w:rPr>
          <w:rFonts w:eastAsia="Calibri" w:cs="Times New Roman"/>
        </w:rPr>
      </w:pPr>
      <w:r w:rsidRPr="000000D1">
        <w:rPr>
          <w:rFonts w:eastAsia="Calibri" w:cs="Times New Roman"/>
        </w:rPr>
        <w:t>(b)(2)(E) Passive entities are not included in the combined group; however, the pro rata share of net income from a passive entity shall be included in total revenue to the extent it was not generated by the margin of another taxable entity . . .</w:t>
      </w:r>
    </w:p>
    <w:p w14:paraId="69FF2C63" w14:textId="77777777" w:rsidR="000000D1" w:rsidRPr="000000D1" w:rsidRDefault="000000D1" w:rsidP="000000D1">
      <w:pPr>
        <w:ind w:left="1440"/>
        <w:rPr>
          <w:rFonts w:eastAsia="Calibri" w:cs="Times New Roman"/>
        </w:rPr>
      </w:pPr>
      <w:r w:rsidRPr="000000D1">
        <w:rPr>
          <w:rFonts w:eastAsia="Calibri" w:cs="Times New Roman"/>
        </w:rPr>
        <w:t>(b)(4)(A) Controlling interest means . . .</w:t>
      </w:r>
    </w:p>
    <w:p w14:paraId="7D56CE31" w14:textId="77777777" w:rsidR="000000D1" w:rsidRPr="000000D1" w:rsidRDefault="000000D1" w:rsidP="000000D1">
      <w:pPr>
        <w:ind w:left="2160"/>
        <w:rPr>
          <w:rFonts w:eastAsia="Calibri" w:cs="Times New Roman"/>
        </w:rPr>
      </w:pPr>
      <w:r w:rsidRPr="000000D1">
        <w:rPr>
          <w:rFonts w:eastAsia="Calibri" w:cs="Times New Roman"/>
        </w:rPr>
        <w:t>(ii) for a partnership, association, trust or other entity other than a limited liability company, more than 50%, owned directly or indirectly, of the capital, profits, or beneficial interest in the partnership, association, trust, or other entity</w:t>
      </w:r>
    </w:p>
    <w:p w14:paraId="06313427" w14:textId="77777777" w:rsidR="000000D1" w:rsidRPr="000000D1" w:rsidRDefault="000000D1" w:rsidP="000000D1">
      <w:pPr>
        <w:ind w:left="2160"/>
        <w:rPr>
          <w:rFonts w:eastAsia="Calibri" w:cs="Times New Roman"/>
        </w:rPr>
      </w:pPr>
      <w:r w:rsidRPr="000000D1">
        <w:rPr>
          <w:rFonts w:eastAsia="Calibri" w:cs="Times New Roman"/>
        </w:rPr>
        <w:t>(iii) for a limited liability company, either more than 50%, owned directly or indirectly, of the total membership interest of the limited liability company or more than 50%, owned directly or indirectly, of the beneficial ownership interest in the membership interest of the limited liability company.</w:t>
      </w:r>
    </w:p>
    <w:p w14:paraId="28AA6382" w14:textId="77777777" w:rsidR="000000D1" w:rsidRPr="000000D1" w:rsidRDefault="000000D1" w:rsidP="000000D1">
      <w:pPr>
        <w:rPr>
          <w:rFonts w:eastAsia="Calibri" w:cs="Times New Roman"/>
        </w:rPr>
      </w:pPr>
      <w:r w:rsidRPr="000000D1">
        <w:rPr>
          <w:rFonts w:eastAsia="Calibri" w:cs="Times New Roman"/>
        </w:rPr>
        <w:tab/>
      </w:r>
      <w:r w:rsidRPr="000000D1">
        <w:rPr>
          <w:rFonts w:eastAsia="Calibri" w:cs="Times New Roman"/>
        </w:rPr>
        <w:tab/>
        <w:t>(b)(4)(B) Examples are as follows. . .</w:t>
      </w:r>
    </w:p>
    <w:p w14:paraId="2BB83391" w14:textId="77777777" w:rsidR="000000D1" w:rsidRPr="000000D1" w:rsidRDefault="000000D1" w:rsidP="000000D1">
      <w:pPr>
        <w:ind w:left="2160"/>
        <w:rPr>
          <w:rFonts w:eastAsia="Calibri" w:cs="Times New Roman"/>
          <w:b/>
          <w:bCs/>
        </w:rPr>
      </w:pPr>
      <w:r w:rsidRPr="000000D1">
        <w:rPr>
          <w:rFonts w:eastAsia="Calibri" w:cs="Times New Roman"/>
        </w:rPr>
        <w:t>(iii)</w:t>
      </w:r>
      <w:r w:rsidRPr="000000D1">
        <w:rPr>
          <w:rFonts w:eastAsia="Calibri" w:cs="Times New Roman"/>
          <w:b/>
          <w:bCs/>
        </w:rPr>
        <w:t xml:space="preserve"> </w:t>
      </w:r>
      <w:r w:rsidRPr="000000D1">
        <w:rPr>
          <w:rFonts w:eastAsia="Calibri" w:cs="Times New Roman"/>
        </w:rPr>
        <w:t>Individual A owns 100% of 10 corporations, each of which owns 10% of Partnership B. Individual A has a controlling interest in each of the ten corporations and in Partnership B.</w:t>
      </w:r>
    </w:p>
    <w:p w14:paraId="549F0423" w14:textId="77777777" w:rsidR="000000D1" w:rsidRPr="000000D1" w:rsidRDefault="000000D1" w:rsidP="000000D1">
      <w:pPr>
        <w:ind w:left="2160"/>
        <w:rPr>
          <w:rFonts w:eastAsia="Calibri" w:cs="Times New Roman"/>
        </w:rPr>
      </w:pPr>
      <w:r w:rsidRPr="000000D1">
        <w:rPr>
          <w:rFonts w:eastAsia="Calibri" w:cs="Times New Roman"/>
        </w:rPr>
        <w:t>(iv)</w:t>
      </w:r>
      <w:r w:rsidRPr="000000D1">
        <w:rPr>
          <w:rFonts w:eastAsia="Calibri" w:cs="Times New Roman"/>
          <w:b/>
          <w:bCs/>
        </w:rPr>
        <w:t xml:space="preserve"> </w:t>
      </w:r>
      <w:r w:rsidRPr="000000D1">
        <w:rPr>
          <w:rFonts w:eastAsia="Calibri" w:cs="Times New Roman"/>
        </w:rPr>
        <w:t>Corporation A holds a 70% interest in Partnership B that owns 60% of Limited Liability Company C. Corporation A owns the remaining 40% of Limited Liability Company C. Corporation A owns a controlling interest in Partnership B and, taking into account Company A's direct and indirect ownership of Limited Liability Company C, a 100% controlling interest in Limited Liability Company C.</w:t>
      </w:r>
    </w:p>
    <w:p w14:paraId="736E90F9" w14:textId="77777777" w:rsidR="000000D1" w:rsidRPr="000000D1" w:rsidRDefault="000000D1" w:rsidP="000000D1">
      <w:pPr>
        <w:ind w:left="2160"/>
        <w:rPr>
          <w:rFonts w:eastAsia="Calibri" w:cs="Times New Roman"/>
        </w:rPr>
      </w:pPr>
      <w:r w:rsidRPr="000000D1">
        <w:rPr>
          <w:rFonts w:eastAsia="Calibri" w:cs="Times New Roman"/>
        </w:rPr>
        <w:t>(v) Corporation A owns 10% of Limited Liability Company C and 45% of Corporation B, which owns 90% of Limited Liability Company C. Corporation A would hold a 10% interest in Limited Liability Company C which would not constitute a controlling interest. Corporation B has a controlling interest in Limited Liability Company C.</w:t>
      </w:r>
    </w:p>
    <w:p w14:paraId="73BC8DA0" w14:textId="77777777" w:rsidR="000000D1" w:rsidRPr="000000D1" w:rsidRDefault="000000D1" w:rsidP="000000D1">
      <w:pPr>
        <w:ind w:left="2160"/>
        <w:rPr>
          <w:rFonts w:eastAsia="Calibri" w:cs="Times New Roman"/>
        </w:rPr>
      </w:pPr>
      <w:r w:rsidRPr="000000D1">
        <w:rPr>
          <w:rFonts w:eastAsia="Calibri" w:cs="Times New Roman"/>
        </w:rPr>
        <w:t>(vi) Partnership P is owned equally by Limited Liability Company A, Limited Liability Company B and Limited Liability Company C. Three unrelated individuals each wholly owns one of the limited liability companies. None of the limited liability companies owns more than 50% of Partnership P. There is no controlling interest.</w:t>
      </w:r>
    </w:p>
    <w:p w14:paraId="239225FE" w14:textId="77777777" w:rsidR="000000D1" w:rsidRPr="000000D1" w:rsidRDefault="000000D1" w:rsidP="000000D1">
      <w:pPr>
        <w:ind w:left="2160"/>
        <w:rPr>
          <w:rFonts w:eastAsia="Calibri" w:cs="Times New Roman"/>
        </w:rPr>
      </w:pPr>
      <w:r w:rsidRPr="000000D1">
        <w:rPr>
          <w:rFonts w:eastAsia="Calibri" w:cs="Times New Roman"/>
        </w:rPr>
        <w:t>(vii) Individual A and Individual B each owns 50% of Partnership X. Individual A and Individual B each also owns 50% of Partnership Y. Individual A and Individual B are not husband and wife. Since neither individual owns more than 50% of each partnership, neither individual has a controlling interest in the partnerships.</w:t>
      </w:r>
    </w:p>
    <w:p w14:paraId="38C84648" w14:textId="77777777" w:rsidR="000000D1" w:rsidRPr="000000D1" w:rsidRDefault="000000D1" w:rsidP="000000D1">
      <w:pPr>
        <w:ind w:left="1440"/>
        <w:rPr>
          <w:rFonts w:eastAsia="Calibri" w:cs="Times New Roman"/>
        </w:rPr>
      </w:pPr>
      <w:r w:rsidRPr="000000D1">
        <w:rPr>
          <w:rFonts w:eastAsia="Calibri" w:cs="Times New Roman"/>
        </w:rPr>
        <w:t xml:space="preserve">(b)(4)(F) Membership in more than one group. If an entity is a member of more than one affiliated group, the entity is treated as a member of the affiliated group (or part </w:t>
      </w:r>
      <w:r w:rsidRPr="000000D1">
        <w:rPr>
          <w:rFonts w:eastAsia="Calibri" w:cs="Times New Roman"/>
        </w:rPr>
        <w:lastRenderedPageBreak/>
        <w:t>thereof) with respect to which it has a unitary relationship. If the entity has a unitary relationship with more than one of those affiliated groups, it shall elect to be treated as a member of only one group. The election shall remain in effect until the unitary business relationship between the entity and the other members ceases, or unless revoked with approval of the comptroller.</w:t>
      </w:r>
    </w:p>
    <w:p w14:paraId="763D1D28" w14:textId="77777777" w:rsidR="000000D1" w:rsidRPr="000000D1" w:rsidRDefault="000000D1" w:rsidP="000000D1">
      <w:pPr>
        <w:pBdr>
          <w:bottom w:val="single" w:sz="4" w:space="0" w:color="auto"/>
        </w:pBdr>
        <w:rPr>
          <w:rFonts w:eastAsia="Calibri" w:cs="Times New Roman"/>
        </w:rPr>
      </w:pPr>
    </w:p>
    <w:p w14:paraId="2194820B"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57" w:name="_Toc198480805"/>
      <w:r w:rsidRPr="000000D1">
        <w:rPr>
          <w:rFonts w:ascii="Californian FB" w:eastAsia="Times New Roman" w:hAnsi="Californian FB" w:cs="Times New Roman"/>
          <w:b/>
          <w:color w:val="851C00"/>
          <w:sz w:val="24"/>
          <w:szCs w:val="24"/>
          <w:u w:val="single"/>
        </w:rPr>
        <w:t>Utah</w:t>
      </w:r>
      <w:bookmarkEnd w:id="157"/>
    </w:p>
    <w:p w14:paraId="594D92DF" w14:textId="77777777" w:rsidR="000000D1" w:rsidRPr="000000D1" w:rsidRDefault="000000D1" w:rsidP="000000D1">
      <w:pPr>
        <w:ind w:left="720"/>
        <w:contextualSpacing/>
        <w:rPr>
          <w:rFonts w:eastAsia="Calibri" w:cs="Times New Roman"/>
        </w:rPr>
      </w:pPr>
      <w:r w:rsidRPr="000000D1">
        <w:rPr>
          <w:rFonts w:eastAsia="Calibri" w:cs="Times New Roman"/>
        </w:rPr>
        <w:t xml:space="preserve">Utah Code Ann. § 59-10-1404 </w:t>
      </w:r>
    </w:p>
    <w:p w14:paraId="10085BAB" w14:textId="77777777" w:rsidR="000000D1" w:rsidRPr="000000D1" w:rsidRDefault="000000D1" w:rsidP="000000D1">
      <w:pPr>
        <w:contextualSpacing/>
        <w:rPr>
          <w:rFonts w:eastAsia="Calibri" w:cs="Times New Roman"/>
        </w:rPr>
      </w:pPr>
    </w:p>
    <w:p w14:paraId="2BB15CC1" w14:textId="77777777" w:rsidR="000000D1" w:rsidRPr="000000D1" w:rsidRDefault="000000D1" w:rsidP="000000D1">
      <w:pPr>
        <w:ind w:left="1440"/>
        <w:rPr>
          <w:rFonts w:eastAsia="Calibri" w:cs="Times New Roman"/>
        </w:rPr>
      </w:pPr>
      <w:r w:rsidRPr="000000D1">
        <w:rPr>
          <w:rFonts w:eastAsia="Calibri" w:cs="Times New Roman"/>
        </w:rPr>
        <w:t>Regardless of whether or how an item of income, gain, loss, deduction, or credit is characterized for federal income tax purposes, that item of income, gain, loss, deduction, or credit is from the same source and incurred in the same manner for a pass-through entity taxpayer as if the item of income, gain, loss, deduction, or credit is:</w:t>
      </w:r>
    </w:p>
    <w:p w14:paraId="4E402357" w14:textId="77777777" w:rsidR="000000D1" w:rsidRPr="000000D1" w:rsidRDefault="000000D1" w:rsidP="00366E17">
      <w:pPr>
        <w:numPr>
          <w:ilvl w:val="0"/>
          <w:numId w:val="30"/>
        </w:numPr>
        <w:contextualSpacing/>
        <w:rPr>
          <w:rFonts w:eastAsia="Calibri" w:cs="Times New Roman"/>
        </w:rPr>
      </w:pPr>
      <w:r w:rsidRPr="000000D1">
        <w:rPr>
          <w:rFonts w:eastAsia="Calibri" w:cs="Times New Roman"/>
        </w:rPr>
        <w:t>realized directly from the source from which the item of income, gain, loss, deduction, or credit is realized by the pass-through entity; or</w:t>
      </w:r>
    </w:p>
    <w:p w14:paraId="0D98A889" w14:textId="77777777" w:rsidR="000000D1" w:rsidRPr="000000D1" w:rsidRDefault="000000D1" w:rsidP="00366E17">
      <w:pPr>
        <w:numPr>
          <w:ilvl w:val="0"/>
          <w:numId w:val="30"/>
        </w:numPr>
        <w:contextualSpacing/>
        <w:rPr>
          <w:rFonts w:eastAsia="Calibri" w:cs="Times New Roman"/>
        </w:rPr>
      </w:pPr>
      <w:r w:rsidRPr="000000D1">
        <w:rPr>
          <w:rFonts w:eastAsia="Calibri" w:cs="Times New Roman"/>
        </w:rPr>
        <w:t>incurred in the same manner as incurred by the pass-through entity.</w:t>
      </w:r>
    </w:p>
    <w:p w14:paraId="348640C6" w14:textId="77777777" w:rsidR="000000D1" w:rsidRPr="000000D1" w:rsidRDefault="000000D1" w:rsidP="000000D1">
      <w:pPr>
        <w:ind w:left="720"/>
        <w:contextualSpacing/>
        <w:rPr>
          <w:rFonts w:eastAsia="Calibri" w:cs="Times New Roman"/>
        </w:rPr>
      </w:pPr>
      <w:r w:rsidRPr="000000D1">
        <w:rPr>
          <w:rFonts w:eastAsia="Calibri" w:cs="Times New Roman"/>
        </w:rPr>
        <w:t xml:space="preserve">Utah Code Ann. § 59-10-117(1)(d) </w:t>
      </w:r>
    </w:p>
    <w:p w14:paraId="1D6FBDD4" w14:textId="77777777" w:rsidR="000000D1" w:rsidRPr="000000D1" w:rsidRDefault="000000D1" w:rsidP="000000D1">
      <w:pPr>
        <w:contextualSpacing/>
        <w:rPr>
          <w:rFonts w:eastAsia="Calibri" w:cs="Times New Roman"/>
        </w:rPr>
      </w:pPr>
    </w:p>
    <w:p w14:paraId="62D235F2" w14:textId="77777777" w:rsidR="000000D1" w:rsidRPr="000000D1" w:rsidRDefault="000000D1" w:rsidP="000000D1">
      <w:pPr>
        <w:ind w:left="1440"/>
        <w:rPr>
          <w:rFonts w:eastAsia="Calibri" w:cs="Times New Roman"/>
        </w:rPr>
      </w:pPr>
      <w:r w:rsidRPr="000000D1">
        <w:rPr>
          <w:rFonts w:eastAsia="Calibri" w:cs="Times New Roman"/>
        </w:rPr>
        <w:t>a share of income, gain, loss, deduction, or credit of a nonresident pass-through entity taxpayer, as defined in Section 59-10-1402, derived from or connected with Utah sources shall be determined in accordance with Section 59-10-118 . . .</w:t>
      </w:r>
    </w:p>
    <w:p w14:paraId="356C6D24" w14:textId="77777777" w:rsidR="000000D1" w:rsidRPr="000000D1" w:rsidRDefault="000000D1" w:rsidP="000000D1">
      <w:pPr>
        <w:ind w:left="720"/>
        <w:contextualSpacing/>
        <w:rPr>
          <w:rFonts w:eastAsia="Calibri" w:cs="Times New Roman"/>
        </w:rPr>
      </w:pPr>
      <w:r w:rsidRPr="000000D1">
        <w:rPr>
          <w:rFonts w:eastAsia="Calibri" w:cs="Times New Roman"/>
        </w:rPr>
        <w:t xml:space="preserve">Utah Code Ann. § 59-10-1402(6) </w:t>
      </w:r>
    </w:p>
    <w:p w14:paraId="1BA3CAF5" w14:textId="77777777" w:rsidR="000000D1" w:rsidRPr="000000D1" w:rsidRDefault="000000D1" w:rsidP="000000D1">
      <w:pPr>
        <w:contextualSpacing/>
        <w:rPr>
          <w:rFonts w:eastAsia="Calibri" w:cs="Times New Roman"/>
        </w:rPr>
      </w:pPr>
    </w:p>
    <w:p w14:paraId="75ADDA6A" w14:textId="77777777" w:rsidR="000000D1" w:rsidRPr="000000D1" w:rsidRDefault="000000D1" w:rsidP="000000D1">
      <w:pPr>
        <w:ind w:left="1440"/>
        <w:rPr>
          <w:rFonts w:eastAsia="Calibri" w:cs="Times New Roman"/>
        </w:rPr>
      </w:pPr>
      <w:r w:rsidRPr="000000D1">
        <w:rPr>
          <w:rFonts w:eastAsia="Calibri" w:cs="Times New Roman"/>
        </w:rPr>
        <w:t>"Derived from or connected with Utah sources" means:</w:t>
      </w:r>
    </w:p>
    <w:p w14:paraId="29A1044D" w14:textId="77777777" w:rsidR="000000D1" w:rsidRPr="000000D1" w:rsidRDefault="000000D1" w:rsidP="000000D1">
      <w:pPr>
        <w:ind w:left="1440"/>
        <w:rPr>
          <w:rFonts w:eastAsia="Calibri" w:cs="Times New Roman"/>
        </w:rPr>
      </w:pPr>
      <w:r w:rsidRPr="000000D1">
        <w:rPr>
          <w:rFonts w:eastAsia="Calibri" w:cs="Times New Roman"/>
        </w:rPr>
        <w:t>(a) if a pass-through entity taxpayer is classified as a C corporation for federal income tax purposes, derived from or connected with Utah sources in accordance with Chapter 7, Part 3, Allocation and Apportionment of Income - Utah UDITPA Provisions; or</w:t>
      </w:r>
    </w:p>
    <w:p w14:paraId="212ED81D" w14:textId="77777777" w:rsidR="000000D1" w:rsidRPr="000000D1" w:rsidRDefault="000000D1" w:rsidP="000000D1">
      <w:pPr>
        <w:ind w:left="1440"/>
        <w:rPr>
          <w:rFonts w:eastAsia="Calibri" w:cs="Times New Roman"/>
        </w:rPr>
      </w:pPr>
      <w:r w:rsidRPr="000000D1">
        <w:rPr>
          <w:rFonts w:eastAsia="Calibri" w:cs="Times New Roman"/>
        </w:rPr>
        <w:t>(b) if a pass-through entity or pass-through entity taxpayer is classified as an estate, individual, partnership, S corporation, or a trust for federal income tax purposes, derived from or connected with Utah sources in accordance with Sections 59-10-117 and 59-10-118.</w:t>
      </w:r>
    </w:p>
    <w:p w14:paraId="1D2597B8" w14:textId="77777777" w:rsidR="000000D1" w:rsidRPr="000000D1" w:rsidRDefault="000000D1" w:rsidP="000000D1">
      <w:pPr>
        <w:ind w:left="720"/>
        <w:contextualSpacing/>
        <w:rPr>
          <w:rFonts w:eastAsia="Calibri" w:cs="Times New Roman"/>
        </w:rPr>
      </w:pPr>
      <w:r w:rsidRPr="000000D1">
        <w:rPr>
          <w:rFonts w:eastAsia="Calibri" w:cs="Times New Roman"/>
        </w:rPr>
        <w:t>Utah Admin. Code R865-9I-13(1)</w:t>
      </w:r>
    </w:p>
    <w:p w14:paraId="463A36C0" w14:textId="77777777" w:rsidR="000000D1" w:rsidRPr="000000D1" w:rsidRDefault="000000D1" w:rsidP="000000D1">
      <w:pPr>
        <w:contextualSpacing/>
        <w:rPr>
          <w:rFonts w:eastAsia="Calibri" w:cs="Times New Roman"/>
        </w:rPr>
      </w:pPr>
    </w:p>
    <w:p w14:paraId="42533379" w14:textId="77777777" w:rsidR="000000D1" w:rsidRPr="000000D1" w:rsidRDefault="000000D1" w:rsidP="000000D1">
      <w:pPr>
        <w:ind w:left="1440"/>
        <w:rPr>
          <w:rFonts w:eastAsia="Calibri" w:cs="Times New Roman"/>
        </w:rPr>
      </w:pPr>
      <w:bookmarkStart w:id="158" w:name="section(1)(1)(1)(b)_0"/>
      <w:r w:rsidRPr="000000D1">
        <w:rPr>
          <w:rFonts w:eastAsia="Calibri" w:cs="Times New Roman"/>
        </w:rPr>
        <w:t>(b)</w:t>
      </w:r>
      <w:bookmarkEnd w:id="158"/>
      <w:r w:rsidRPr="000000D1">
        <w:rPr>
          <w:rFonts w:eastAsia="Calibri" w:cs="Times New Roman"/>
        </w:rPr>
        <w:t> the nonbusiness income of the pass-through entity derived from or connected with Utah sources.</w:t>
      </w:r>
    </w:p>
    <w:p w14:paraId="0CEA8CFD" w14:textId="77777777" w:rsidR="000000D1" w:rsidRPr="000000D1" w:rsidRDefault="000000D1" w:rsidP="000000D1">
      <w:pPr>
        <w:ind w:left="1440"/>
        <w:rPr>
          <w:rFonts w:eastAsia="Calibri" w:cs="Times New Roman"/>
        </w:rPr>
      </w:pPr>
      <w:bookmarkStart w:id="159" w:name="section(1)(1)(1)(b)(1)(1)(b)(1)(b)(i)_0"/>
      <w:r w:rsidRPr="000000D1">
        <w:rPr>
          <w:rFonts w:eastAsia="Calibri" w:cs="Times New Roman"/>
        </w:rPr>
        <w:t>(i)</w:t>
      </w:r>
      <w:bookmarkEnd w:id="159"/>
      <w:r w:rsidRPr="000000D1">
        <w:rPr>
          <w:rFonts w:eastAsia="Calibri" w:cs="Times New Roman"/>
        </w:rPr>
        <w:t> "Nonbusiness income of the pass-through entity derived from or connected with Utah sources" does not include portfolio income if the income would not be reportable to Utah on the pass-through entity taxpayer's Utah state tax return or the Utah state tax return of any downstream pass-through entity taxpayer.</w:t>
      </w:r>
    </w:p>
    <w:p w14:paraId="1D2F8C32" w14:textId="77777777" w:rsidR="000000D1" w:rsidRPr="000000D1" w:rsidRDefault="000000D1" w:rsidP="000000D1">
      <w:pPr>
        <w:ind w:left="1440"/>
        <w:rPr>
          <w:rFonts w:eastAsia="Calibri" w:cs="Times New Roman"/>
        </w:rPr>
      </w:pPr>
      <w:bookmarkStart w:id="160" w:name="section(1)(1)(1)(b)(1)(1)(b)(1)(b)(ii)_0"/>
      <w:r w:rsidRPr="000000D1">
        <w:rPr>
          <w:rFonts w:eastAsia="Calibri" w:cs="Times New Roman"/>
        </w:rPr>
        <w:t>(ii)</w:t>
      </w:r>
      <w:bookmarkEnd w:id="160"/>
      <w:r w:rsidRPr="000000D1">
        <w:rPr>
          <w:rFonts w:eastAsia="Calibri" w:cs="Times New Roman"/>
        </w:rPr>
        <w:t> "Downstream pass-through entity taxpayer" means a pass-through entity taxpayer that is a pass- through entity taxpayer of any entity that is itself a pass-through entity taxpayer.</w:t>
      </w:r>
    </w:p>
    <w:p w14:paraId="44221C2D" w14:textId="77777777" w:rsidR="000000D1" w:rsidRPr="000000D1" w:rsidRDefault="000000D1" w:rsidP="000000D1">
      <w:pPr>
        <w:ind w:left="720"/>
        <w:contextualSpacing/>
        <w:rPr>
          <w:rFonts w:eastAsia="Calibri" w:cs="Times New Roman"/>
        </w:rPr>
      </w:pPr>
      <w:r w:rsidRPr="000000D1">
        <w:rPr>
          <w:rFonts w:eastAsia="Calibri" w:cs="Times New Roman"/>
        </w:rPr>
        <w:t xml:space="preserve">Utah Admin. Code R865-6F-8(11)(f) </w:t>
      </w:r>
    </w:p>
    <w:p w14:paraId="6B9FC529" w14:textId="77777777" w:rsidR="000000D1" w:rsidRPr="000000D1" w:rsidRDefault="000000D1" w:rsidP="000000D1">
      <w:pPr>
        <w:contextualSpacing/>
        <w:rPr>
          <w:rFonts w:eastAsia="Calibri" w:cs="Times New Roman"/>
        </w:rPr>
      </w:pPr>
    </w:p>
    <w:p w14:paraId="6B5B956D" w14:textId="77777777" w:rsidR="000000D1" w:rsidRPr="000000D1" w:rsidRDefault="000000D1" w:rsidP="000000D1">
      <w:pPr>
        <w:ind w:left="1440"/>
        <w:rPr>
          <w:rFonts w:eastAsia="Calibri" w:cs="Times New Roman"/>
        </w:rPr>
      </w:pPr>
      <w:r w:rsidRPr="000000D1">
        <w:rPr>
          <w:rFonts w:eastAsia="Calibri" w:cs="Times New Roman"/>
        </w:rPr>
        <w:t xml:space="preserve">Income or loss from partnership or joint venture interests shall be included in income and apportioned to Utah through application of the three-factor formula consisting of property, payroll and sales. For apportionment purposes, the portion of partnership or </w:t>
      </w:r>
      <w:r w:rsidRPr="000000D1">
        <w:rPr>
          <w:rFonts w:eastAsia="Calibri" w:cs="Times New Roman"/>
        </w:rPr>
        <w:lastRenderedPageBreak/>
        <w:t>joint venture property, payroll and sales to be included in the corporation's property, payroll and sales factors shall be computed on the basis of the corporation's ownership interest in the partnership or joint venture, and otherwise in accordance with other applicable provisions of this rule.</w:t>
      </w:r>
    </w:p>
    <w:p w14:paraId="33806737" w14:textId="77777777" w:rsidR="000000D1" w:rsidRPr="000000D1" w:rsidRDefault="000000D1" w:rsidP="000000D1">
      <w:pPr>
        <w:ind w:left="720"/>
        <w:contextualSpacing/>
        <w:rPr>
          <w:rFonts w:eastAsia="Calibri" w:cs="Times New Roman"/>
          <w:i/>
          <w:iCs/>
        </w:rPr>
      </w:pPr>
      <w:r w:rsidRPr="000000D1">
        <w:rPr>
          <w:rFonts w:eastAsia="Calibri" w:cs="Times New Roman"/>
        </w:rPr>
        <w:t>Form TC-65 Utah Instructions (2023</w:t>
      </w:r>
      <w:r w:rsidRPr="000000D1">
        <w:rPr>
          <w:rFonts w:eastAsia="Calibri" w:cs="Times New Roman"/>
          <w:i/>
          <w:iCs/>
        </w:rPr>
        <w:t xml:space="preserve">) </w:t>
      </w:r>
    </w:p>
    <w:p w14:paraId="6004831E" w14:textId="77777777" w:rsidR="000000D1" w:rsidRPr="000000D1" w:rsidRDefault="000000D1" w:rsidP="000000D1">
      <w:pPr>
        <w:contextualSpacing/>
        <w:rPr>
          <w:rFonts w:eastAsia="Calibri" w:cs="Times New Roman"/>
        </w:rPr>
      </w:pPr>
    </w:p>
    <w:p w14:paraId="28270372" w14:textId="77777777" w:rsidR="000000D1" w:rsidRPr="000000D1" w:rsidRDefault="000000D1" w:rsidP="000000D1">
      <w:pPr>
        <w:ind w:left="1440"/>
        <w:rPr>
          <w:rFonts w:eastAsia="Calibri" w:cs="Times New Roman"/>
        </w:rPr>
      </w:pPr>
      <w:r w:rsidRPr="000000D1">
        <w:t xml:space="preserve">Upper-tier Pass-through Entity. An upper-tier pass-through entity is a pass-through entity in which this partnership has an ownership interest and from whom this partnership receives an allocation of income, gain, loss, deduction, or credit on a Utah Schedule K-1 . . . </w:t>
      </w:r>
    </w:p>
    <w:p w14:paraId="7BBBF551" w14:textId="77777777" w:rsidR="000000D1" w:rsidRPr="000000D1" w:rsidRDefault="000000D1" w:rsidP="000000D1">
      <w:pPr>
        <w:ind w:left="1440"/>
        <w:rPr>
          <w:rFonts w:eastAsia="Calibri" w:cs="Times New Roman"/>
        </w:rPr>
      </w:pPr>
      <w:r w:rsidRPr="000000D1">
        <w:rPr>
          <w:rFonts w:eastAsia="Calibri" w:cs="Times New Roman"/>
        </w:rPr>
        <w:t>If a partnership has an interest in another partnership, that upper-tier partnership must withhold Utah income tax on Utah income allocated to the lower-tier partnership. The upper-tier partnership must provide a Utah Schedule K-1 showing the amount of Utah withholding tax paid on behalf of the lower-tier partnership. The lower-tier partnership must report this withholding tax on form TC-250 and then allocate it to its partners, who will claim the withholding tax on their returns. Enter this previous pass-through entity withholding tax for each partner on Schedules K and K-1 . . .</w:t>
      </w:r>
    </w:p>
    <w:p w14:paraId="74BF1A83" w14:textId="77777777" w:rsidR="000000D1" w:rsidRPr="000000D1" w:rsidRDefault="000000D1" w:rsidP="000000D1">
      <w:pPr>
        <w:ind w:left="1440"/>
        <w:rPr>
          <w:rFonts w:eastAsia="Calibri" w:cs="Times New Roman"/>
        </w:rPr>
      </w:pPr>
      <w:r w:rsidRPr="000000D1">
        <w:rPr>
          <w:rFonts w:eastAsia="Calibri" w:cs="Times New Roman"/>
        </w:rPr>
        <w:t>If a corporation holds direct and indirect ownership interests in tiered pass-through entities, it must include its pro rata share of the apportionment factors (property, payroll and sales) of the pass-through entities, applying the respective ownership percentages. For example, a corporation that holds 50 percent interest in Partnership A that in turn holds 20 percent interest in Partnership B would include 50 percent of the factors of Partnership A, and 10 percent (50 percent of 20 percent) of the factors of Partnership B . . .</w:t>
      </w:r>
    </w:p>
    <w:p w14:paraId="6268F79E" w14:textId="77777777" w:rsidR="000000D1" w:rsidRPr="000000D1" w:rsidRDefault="000000D1" w:rsidP="000000D1">
      <w:pPr>
        <w:ind w:left="1440"/>
      </w:pPr>
      <w:r w:rsidRPr="000000D1">
        <w:t>If this partnership owns an interest in another pass-through entity, that pass-through entity must withhold Utah income tax on any income attributable to this partnership. The passthrough entity must provide a Utah Schedule K-1 showing the amount of Utah withholding paid on behalf of this partnership. This partnership then distributes the credit for the pass-through entity withholding tax to its partners. Complete TC-250, Part 2, and then enter and allocate the total upper-tier (previous) pass-through entity withholding tax using code 36. Do not include Utah Schedule K-1 the partnership received showing this credit when filing this partnership’s return . . .</w:t>
      </w:r>
    </w:p>
    <w:p w14:paraId="6FF0551E" w14:textId="77777777" w:rsidR="000000D1" w:rsidRPr="000000D1" w:rsidRDefault="000000D1" w:rsidP="000000D1">
      <w:pPr>
        <w:ind w:left="1440"/>
      </w:pPr>
      <w:r w:rsidRPr="000000D1">
        <w:t>Enter the amount of any pass-through entity withholding tax paid by an upper-tier (previous) pass-through entity, attributable to this partnership, and allocated to the pass-through entity taxpayer. The credit for upper-tier pass-through entity withholding tax reduces the amount of Utah withholding tax calculated for this partner on Schedule N. Also report the credit on line 19 of Schedule K-1 for this partner . . .</w:t>
      </w:r>
    </w:p>
    <w:p w14:paraId="71FE4F3D" w14:textId="77777777" w:rsidR="000000D1" w:rsidRPr="000000D1" w:rsidRDefault="000000D1" w:rsidP="000000D1">
      <w:pPr>
        <w:pBdr>
          <w:bottom w:val="single" w:sz="4" w:space="0" w:color="auto"/>
        </w:pBdr>
        <w:rPr>
          <w:rFonts w:eastAsia="Calibri" w:cs="Times New Roman"/>
        </w:rPr>
      </w:pPr>
    </w:p>
    <w:p w14:paraId="4432D45E"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61" w:name="_Toc198480806"/>
      <w:r w:rsidRPr="000000D1">
        <w:rPr>
          <w:rFonts w:ascii="Californian FB" w:eastAsia="Times New Roman" w:hAnsi="Californian FB" w:cs="Times New Roman"/>
          <w:b/>
          <w:color w:val="851C00"/>
          <w:sz w:val="24"/>
          <w:szCs w:val="24"/>
          <w:u w:val="single"/>
        </w:rPr>
        <w:t>Vermont</w:t>
      </w:r>
      <w:bookmarkEnd w:id="161"/>
    </w:p>
    <w:p w14:paraId="6D09E1B4" w14:textId="77777777" w:rsidR="000000D1" w:rsidRPr="000000D1" w:rsidRDefault="000000D1" w:rsidP="000000D1">
      <w:pPr>
        <w:ind w:left="720"/>
        <w:contextualSpacing/>
        <w:rPr>
          <w:rFonts w:eastAsia="Calibri" w:cs="Times New Roman"/>
        </w:rPr>
      </w:pPr>
      <w:r w:rsidRPr="000000D1">
        <w:rPr>
          <w:rFonts w:eastAsia="Calibri" w:cs="Times New Roman"/>
        </w:rPr>
        <w:t xml:space="preserve">Vt. Stat. Ann. tit. 32, § 5920(a) </w:t>
      </w:r>
    </w:p>
    <w:p w14:paraId="2F24A224" w14:textId="77777777" w:rsidR="000000D1" w:rsidRPr="000000D1" w:rsidRDefault="000000D1" w:rsidP="000000D1">
      <w:pPr>
        <w:contextualSpacing/>
        <w:rPr>
          <w:rFonts w:eastAsia="Calibri" w:cs="Times New Roman"/>
        </w:rPr>
      </w:pPr>
    </w:p>
    <w:p w14:paraId="2B6CFA59" w14:textId="77777777" w:rsidR="000000D1" w:rsidRPr="000000D1" w:rsidRDefault="000000D1" w:rsidP="000000D1">
      <w:pPr>
        <w:ind w:left="1440"/>
        <w:rPr>
          <w:rFonts w:eastAsia="Calibri" w:cs="Times New Roman"/>
        </w:rPr>
      </w:pPr>
      <w:r w:rsidRPr="000000D1">
        <w:rPr>
          <w:rFonts w:eastAsia="Calibri" w:cs="Times New Roman"/>
        </w:rPr>
        <w:t xml:space="preserve">A partnership or limited liability company, which engages in activities in Vermont that would subject a C corporation to the requirement to file a return under section 5862 of this title, shall file with the Commissioner an annual return, in the form prescribed by the Commissioner, on or before the due date prescribed for the filing of the entity's federal return. The return shall set forth the name, address, and Social Security or federal identification number of each partner or member; the partnership or limited liability company income attributable to Vermont and the income not attributable to Vermont with respect to each partner or member as determined under this chapter; and </w:t>
      </w:r>
      <w:r w:rsidRPr="000000D1">
        <w:rPr>
          <w:rFonts w:eastAsia="Calibri" w:cs="Times New Roman"/>
        </w:rPr>
        <w:lastRenderedPageBreak/>
        <w:t>such other information as the Commissioner may by rule prescribe. The partnership or limited liability company shall, on or before the day on which such return is filed, furnish to each person who was a partner or member during the year a copy of such information shown on the return as the Commissioner may by rule prescribe.</w:t>
      </w:r>
    </w:p>
    <w:p w14:paraId="0ECCF5D0" w14:textId="77777777" w:rsidR="000000D1" w:rsidRPr="000000D1" w:rsidRDefault="000000D1" w:rsidP="000000D1">
      <w:pPr>
        <w:rPr>
          <w:rFonts w:eastAsia="Calibri" w:cs="Times New Roman"/>
        </w:rPr>
      </w:pPr>
      <w:r w:rsidRPr="000000D1">
        <w:rPr>
          <w:rFonts w:eastAsia="Calibri" w:cs="Times New Roman"/>
        </w:rPr>
        <w:tab/>
        <w:t xml:space="preserve">Vt. Code R. § 10 060 040 [REG. Section 1.5862(d)] </w:t>
      </w:r>
    </w:p>
    <w:p w14:paraId="67FED8FE" w14:textId="77777777" w:rsidR="000000D1" w:rsidRPr="000000D1" w:rsidRDefault="000000D1" w:rsidP="000000D1">
      <w:pPr>
        <w:ind w:left="1440"/>
        <w:rPr>
          <w:rFonts w:eastAsia="Calibri" w:cs="Times New Roman"/>
        </w:rPr>
      </w:pPr>
      <w:r w:rsidRPr="000000D1">
        <w:rPr>
          <w:rFonts w:eastAsia="Calibri" w:cs="Times New Roman"/>
        </w:rPr>
        <w:t>Section 4(b)(4) Pass-through entities, including partnerships, limited liability companies taxed as partnerships under federal law, and S corporations are not themselves members of the affiliated group. However, a pro rata share of such entity's income and sales, payroll and property is assigned to the unitary group member that holds an ownership interest in such pass-through entity . . .</w:t>
      </w:r>
    </w:p>
    <w:p w14:paraId="36D77D76" w14:textId="77777777" w:rsidR="000000D1" w:rsidRPr="000000D1" w:rsidRDefault="000000D1" w:rsidP="000000D1">
      <w:pPr>
        <w:ind w:left="1440"/>
        <w:rPr>
          <w:rFonts w:eastAsia="Calibri" w:cs="Times New Roman"/>
        </w:rPr>
      </w:pPr>
      <w:r w:rsidRPr="000000D1">
        <w:rPr>
          <w:rFonts w:eastAsia="Calibri" w:cs="Times New Roman"/>
        </w:rPr>
        <w:t>Section 4(d)(2) voting stock owned by a partnership, other than a limited partnership, is indirectly owned by a partner in proportion to the partner's capital interest in the partnership. For this purpose, a partnership other than a limited partnership is treated as owning proportionately the stock owned by any other partnership or limited partnership in which it has a tiered interest. Voting stock owned by a limited partnership is indirectly owned by the general partner who has authority to determine how the stock is voted . . .</w:t>
      </w:r>
    </w:p>
    <w:p w14:paraId="03F4F502" w14:textId="77777777" w:rsidR="000000D1" w:rsidRPr="000000D1" w:rsidRDefault="000000D1" w:rsidP="000000D1">
      <w:pPr>
        <w:ind w:left="1440"/>
        <w:rPr>
          <w:rFonts w:eastAsia="Calibri" w:cs="Times New Roman"/>
        </w:rPr>
      </w:pPr>
      <w:r w:rsidRPr="000000D1">
        <w:rPr>
          <w:rFonts w:eastAsia="Calibri" w:cs="Times New Roman"/>
        </w:rPr>
        <w:t>Section 7(d)(2) the taxpayer member's apportionment percentage, determined under Reg. § 1.5833. including in the numerator the taxpayer's property, payroll and sales associated with the combined group's unitary business in Vermont, and including in the denominator the property, payroll and sale of all members of the combined group, including the taxpayer, which property, payroll and sales are associated with the combined group's unitary business wherever located. The property, payroll and sales of a partnership shall be included in the determination of the partner's apportionment percentage in proportion to a ratio the numerator of which is the amount of the partner's distributive share of the partnership's unitary income included in the income of the combined group in accordance with (e)(3) . . .</w:t>
      </w:r>
    </w:p>
    <w:p w14:paraId="6767F8BC" w14:textId="77777777" w:rsidR="000000D1" w:rsidRPr="000000D1" w:rsidRDefault="000000D1" w:rsidP="000000D1">
      <w:pPr>
        <w:ind w:left="1440"/>
        <w:rPr>
          <w:rFonts w:eastAsia="Calibri" w:cs="Times New Roman"/>
        </w:rPr>
      </w:pPr>
      <w:r w:rsidRPr="000000D1">
        <w:rPr>
          <w:rFonts w:eastAsia="Calibri" w:cs="Times New Roman"/>
        </w:rPr>
        <w:t>Section 7(e)(3) If the unitary business includes income from a partnership, the income to be included in the total income of the combined group shall be the member of the combined group's direct and indirect distributive share of the partnership's unitary business income . . .</w:t>
      </w:r>
    </w:p>
    <w:p w14:paraId="1ABE282E" w14:textId="77777777" w:rsidR="000000D1" w:rsidRPr="000000D1" w:rsidRDefault="000000D1" w:rsidP="000000D1">
      <w:pPr>
        <w:rPr>
          <w:rFonts w:eastAsia="Calibri" w:cs="Times New Roman"/>
        </w:rPr>
      </w:pPr>
      <w:r w:rsidRPr="000000D1">
        <w:rPr>
          <w:rFonts w:eastAsia="Calibri" w:cs="Times New Roman"/>
        </w:rPr>
        <w:tab/>
        <w:t xml:space="preserve">Draft Changes for Reg. §1.5862(d) </w:t>
      </w:r>
    </w:p>
    <w:p w14:paraId="0C18250F" w14:textId="77777777" w:rsidR="000000D1" w:rsidRPr="000000D1" w:rsidRDefault="000000D1" w:rsidP="000000D1">
      <w:pPr>
        <w:ind w:left="1440"/>
        <w:rPr>
          <w:rFonts w:eastAsia="Calibri" w:cs="Times New Roman"/>
        </w:rPr>
      </w:pPr>
      <w:r w:rsidRPr="000000D1">
        <w:rPr>
          <w:rFonts w:eastAsia="Calibri" w:cs="Times New Roman"/>
        </w:rPr>
        <w:t>Ex. 2) Same facts as Example 1, but Office Co. enters into an agreement to purchase a 30% interest in Partnership P. The partnership agreement provides that Office Co.'s income distribution from P is also 30%. P is used as Office Co. and Insurance Co.'s main supplier of paper. P engages in unitary activities with the affiliated group. Office Co. is imputed to have engaged in the activities of P. The pro rata net income of P must be included in the combined report as well as the net income of Insurance Co. The pro rata share of apportionment factors of P should be included in Office Co.'s data according to the percentage of income distributed . . .</w:t>
      </w:r>
    </w:p>
    <w:p w14:paraId="15527AB5" w14:textId="77777777" w:rsidR="000000D1" w:rsidRPr="000000D1" w:rsidRDefault="000000D1" w:rsidP="000000D1">
      <w:pPr>
        <w:ind w:left="1440"/>
        <w:rPr>
          <w:rFonts w:eastAsia="Calibri" w:cs="Times New Roman"/>
        </w:rPr>
      </w:pPr>
      <w:r w:rsidRPr="000000D1">
        <w:rPr>
          <w:rFonts w:eastAsia="Calibri" w:cs="Times New Roman"/>
        </w:rPr>
        <w:t>A unitary business includes that part of the business that meets the definition in this Section 5(a) and is conducted by a taxpayer through the taxpayer's interest in a partnership, whether the interest in that partnership is held directly or indirectly through a series of partnerships or other pass-through entities.</w:t>
      </w:r>
    </w:p>
    <w:p w14:paraId="183A2575" w14:textId="77777777" w:rsidR="000000D1" w:rsidRPr="000000D1" w:rsidRDefault="000000D1" w:rsidP="000000D1">
      <w:pPr>
        <w:ind w:left="720"/>
        <w:contextualSpacing/>
        <w:rPr>
          <w:rFonts w:eastAsia="Calibri" w:cs="Times New Roman"/>
        </w:rPr>
      </w:pPr>
      <w:r w:rsidRPr="000000D1">
        <w:rPr>
          <w:rFonts w:eastAsia="Calibri" w:cs="Times New Roman"/>
        </w:rPr>
        <w:t xml:space="preserve">Vermont Formal Ruling No. 88-18 (January 6, 1989) </w:t>
      </w:r>
    </w:p>
    <w:p w14:paraId="09BBB9B9" w14:textId="77777777" w:rsidR="000000D1" w:rsidRPr="000000D1" w:rsidRDefault="000000D1" w:rsidP="000000D1">
      <w:pPr>
        <w:contextualSpacing/>
        <w:rPr>
          <w:rFonts w:eastAsia="Calibri" w:cs="Times New Roman"/>
        </w:rPr>
      </w:pPr>
    </w:p>
    <w:p w14:paraId="01D094E0" w14:textId="77777777" w:rsidR="000000D1" w:rsidRPr="000000D1" w:rsidRDefault="000000D1" w:rsidP="000000D1">
      <w:pPr>
        <w:ind w:left="1440"/>
        <w:rPr>
          <w:rFonts w:eastAsia="Calibri" w:cs="Times New Roman"/>
        </w:rPr>
      </w:pPr>
      <w:r w:rsidRPr="000000D1">
        <w:rPr>
          <w:rFonts w:eastAsia="Calibri" w:cs="Times New Roman"/>
        </w:rPr>
        <w:lastRenderedPageBreak/>
        <w:t>You have requested a formal ruling on the application of Vermont's tax laws to partnership income earned by a corporation. This letter relies on representations contained in your letter dated [Date].</w:t>
      </w:r>
    </w:p>
    <w:p w14:paraId="39EBFE5D" w14:textId="77777777" w:rsidR="000000D1" w:rsidRPr="000000D1" w:rsidRDefault="000000D1" w:rsidP="000000D1">
      <w:pPr>
        <w:ind w:left="1440"/>
        <w:rPr>
          <w:rFonts w:eastAsia="Calibri" w:cs="Times New Roman"/>
        </w:rPr>
      </w:pPr>
      <w:r w:rsidRPr="000000D1">
        <w:rPr>
          <w:rFonts w:eastAsia="Calibri" w:cs="Times New Roman"/>
        </w:rPr>
        <w:t>Corporation A is an Illinois corporation which owns and operates movie theaters within and without Illinois. Corporation A is a 50% general partner in Partnership Z which owns and operates several theaters in the State of Vermont. Corporation A and Partnership Z are unitary in all respects other than ownership.</w:t>
      </w:r>
    </w:p>
    <w:p w14:paraId="2D89F6FA" w14:textId="77777777" w:rsidR="000000D1" w:rsidRPr="000000D1" w:rsidRDefault="000000D1" w:rsidP="000000D1">
      <w:pPr>
        <w:ind w:left="1440"/>
        <w:rPr>
          <w:rFonts w:eastAsia="Calibri" w:cs="Times New Roman"/>
        </w:rPr>
      </w:pPr>
      <w:r w:rsidRPr="000000D1">
        <w:rPr>
          <w:rFonts w:eastAsia="Calibri" w:cs="Times New Roman"/>
        </w:rPr>
        <w:t>The question is whether Corporation A's partnership income is to be reported as business or nonbusiness income and further if the income is to be reported as business income by Corporation A, whether this income is apportioned by Corporation A on the basis of its own apportionment factors or whether the apportionment factors of the partnership are also used.</w:t>
      </w:r>
    </w:p>
    <w:p w14:paraId="20D4A05A" w14:textId="77777777" w:rsidR="000000D1" w:rsidRPr="000000D1" w:rsidRDefault="000000D1" w:rsidP="000000D1">
      <w:pPr>
        <w:ind w:left="1440"/>
        <w:rPr>
          <w:rFonts w:eastAsia="Calibri" w:cs="Times New Roman"/>
        </w:rPr>
      </w:pPr>
      <w:r w:rsidRPr="000000D1">
        <w:rPr>
          <w:rFonts w:eastAsia="Calibri" w:cs="Times New Roman"/>
        </w:rPr>
        <w:t>The same questions are asked assuming Corporation A is a limited partner in Partnership Z and does not participate in the management of Partnership Z.</w:t>
      </w:r>
    </w:p>
    <w:p w14:paraId="181853C5" w14:textId="77777777" w:rsidR="000000D1" w:rsidRPr="000000D1" w:rsidRDefault="000000D1" w:rsidP="000000D1">
      <w:pPr>
        <w:ind w:left="1440"/>
        <w:rPr>
          <w:rFonts w:eastAsia="Calibri" w:cs="Times New Roman"/>
        </w:rPr>
      </w:pPr>
      <w:r w:rsidRPr="000000D1">
        <w:rPr>
          <w:rFonts w:eastAsia="Calibri" w:cs="Times New Roman"/>
        </w:rPr>
        <w:t>Because a partnership is not a taxable entity, but is rather an aggregate of distinct partners, each partner is considered as directly conducting the business and owning the assets of the partnership in the state. Thus, income and losses flow through to the partners and are reported on the partners' returns. However, the tax character of any item is determined at the partnership level. IRC § 702(b) provides that the character of any item of income, gain, loss, deduction or credit included in a partner's share shall be determined as if such item were realized by the partnership or incurred in the same manner as incurred by the partnership.</w:t>
      </w:r>
    </w:p>
    <w:p w14:paraId="78527372" w14:textId="77777777" w:rsidR="000000D1" w:rsidRPr="000000D1" w:rsidRDefault="000000D1" w:rsidP="000000D1">
      <w:pPr>
        <w:ind w:left="1440"/>
        <w:rPr>
          <w:rFonts w:eastAsia="Calibri" w:cs="Times New Roman"/>
        </w:rPr>
      </w:pPr>
      <w:r w:rsidRPr="000000D1">
        <w:rPr>
          <w:rFonts w:eastAsia="Calibri" w:cs="Times New Roman"/>
        </w:rPr>
        <w:t>Partnership Z owns and operates theaters in Vermont. The partners thereof are deemed to be conducting this business and are therefore within the taxing jurisdiction of the state. The result does not change where Corporation A is a limited partner in Partnership Z. In either case, the partnership is merely a conduit for business income taxable to the partners.</w:t>
      </w:r>
    </w:p>
    <w:p w14:paraId="0E23D62D" w14:textId="77777777" w:rsidR="000000D1" w:rsidRPr="000000D1" w:rsidRDefault="000000D1" w:rsidP="000000D1">
      <w:pPr>
        <w:ind w:left="1440"/>
        <w:rPr>
          <w:rFonts w:eastAsia="Calibri" w:cs="Times New Roman"/>
        </w:rPr>
      </w:pPr>
      <w:r w:rsidRPr="000000D1">
        <w:rPr>
          <w:rFonts w:eastAsia="Calibri" w:cs="Times New Roman"/>
        </w:rPr>
        <w:t>For Vermont income tax purposes, a corporation's apportionable income is its federal taxable income, with certain adjustments not relevant here. 32 V.S.A. §§ 5811(18), 32 V.S.A. §5833. Vermont statutes are otherwise silent as to the treatment of a corporate partner and specifically as to whether the partnership apportionment factors are to be reflected in those of the corporate partner.</w:t>
      </w:r>
    </w:p>
    <w:p w14:paraId="0FDC3645" w14:textId="77777777" w:rsidR="000000D1" w:rsidRPr="000000D1" w:rsidRDefault="000000D1" w:rsidP="000000D1">
      <w:pPr>
        <w:ind w:left="1440"/>
        <w:rPr>
          <w:rFonts w:eastAsia="Calibri" w:cs="Times New Roman"/>
        </w:rPr>
      </w:pPr>
      <w:r w:rsidRPr="000000D1">
        <w:rPr>
          <w:rFonts w:eastAsia="Calibri" w:cs="Times New Roman"/>
        </w:rPr>
        <w:t>A partnership is not a separate tax-paying entity. Partners are required to report their share of each item of partnership income or loss regardless of whether the partnership makes actual distributions to them. IRC Sec. 702(a). Since partnership income (loss), generated by partnership sales, payroll and property, is included in the corporate partner's income, it follows that the partnership apportionment factors should be reflected in the denominator of the corporate partner's apportionment formula. Stated otherwise, each partner is treated as paying its proportionate share of partnership payroll, incurring its share of partnership depreciation and receiving its share of partnership sales, and these items also should be reflected in the partner's apportionment factors. Thus, to the extent that partnership income is reported by the corporation, the partnership's apportionment factors should also be reflected.</w:t>
      </w:r>
    </w:p>
    <w:p w14:paraId="0E1AB835" w14:textId="77777777" w:rsidR="000000D1" w:rsidRPr="000000D1" w:rsidRDefault="000000D1" w:rsidP="000000D1">
      <w:pPr>
        <w:ind w:left="720"/>
        <w:contextualSpacing/>
        <w:rPr>
          <w:rFonts w:eastAsia="Calibri" w:cs="Times New Roman"/>
        </w:rPr>
      </w:pPr>
      <w:r w:rsidRPr="000000D1">
        <w:rPr>
          <w:rFonts w:eastAsia="Calibri" w:cs="Times New Roman"/>
        </w:rPr>
        <w:t xml:space="preserve">Vermont Instructions to Schedule BA-402 (2024) </w:t>
      </w:r>
    </w:p>
    <w:p w14:paraId="32197324" w14:textId="77777777" w:rsidR="000000D1" w:rsidRPr="000000D1" w:rsidRDefault="000000D1" w:rsidP="000000D1">
      <w:pPr>
        <w:contextualSpacing/>
        <w:rPr>
          <w:rFonts w:eastAsia="Calibri" w:cs="Times New Roman"/>
        </w:rPr>
      </w:pPr>
    </w:p>
    <w:p w14:paraId="1562F429" w14:textId="77777777" w:rsidR="000000D1" w:rsidRPr="000000D1" w:rsidRDefault="000000D1" w:rsidP="000000D1">
      <w:pPr>
        <w:ind w:left="1440"/>
        <w:rPr>
          <w:rFonts w:eastAsia="Calibri" w:cs="Times New Roman"/>
        </w:rPr>
      </w:pPr>
      <w:r w:rsidRPr="000000D1">
        <w:rPr>
          <w:rFonts w:eastAsia="Calibri" w:cs="Times New Roman"/>
        </w:rPr>
        <w:t xml:space="preserve">If this entity holds an interest in a unitary pass-through entity, then the pro-rata share of the passthrough entity’s apportionment factors must be added to Lines 3 through 12. If the pass-through entity is not unitary then the distributed income is reported on </w:t>
      </w:r>
      <w:r w:rsidRPr="000000D1">
        <w:rPr>
          <w:rFonts w:eastAsia="Calibri" w:cs="Times New Roman"/>
        </w:rPr>
        <w:lastRenderedPageBreak/>
        <w:t>Lines 1A and 1B, and the pro-rata share of pass-through entity’s apportionment factors are excluded from Lines 2 through 20.</w:t>
      </w:r>
    </w:p>
    <w:p w14:paraId="103D98B2" w14:textId="77777777" w:rsidR="000000D1" w:rsidRPr="000000D1" w:rsidRDefault="000000D1" w:rsidP="000000D1">
      <w:pPr>
        <w:ind w:left="720"/>
        <w:contextualSpacing/>
        <w:rPr>
          <w:rFonts w:eastAsia="Calibri" w:cs="Times New Roman"/>
        </w:rPr>
      </w:pPr>
      <w:r w:rsidRPr="000000D1">
        <w:rPr>
          <w:rFonts w:eastAsia="Calibri" w:cs="Times New Roman"/>
        </w:rPr>
        <w:t xml:space="preserve">Vermont Instructions to Schedule BI-477 (2024) </w:t>
      </w:r>
    </w:p>
    <w:p w14:paraId="2617A94D" w14:textId="77777777" w:rsidR="000000D1" w:rsidRPr="000000D1" w:rsidRDefault="000000D1" w:rsidP="000000D1">
      <w:pPr>
        <w:contextualSpacing/>
        <w:rPr>
          <w:rFonts w:eastAsia="Calibri" w:cs="Times New Roman"/>
        </w:rPr>
      </w:pPr>
    </w:p>
    <w:p w14:paraId="74C6B122" w14:textId="77777777" w:rsidR="000000D1" w:rsidRPr="000000D1" w:rsidRDefault="000000D1" w:rsidP="000000D1">
      <w:pPr>
        <w:ind w:left="1440"/>
        <w:rPr>
          <w:rFonts w:eastAsia="Calibri" w:cs="Times New Roman"/>
        </w:rPr>
      </w:pPr>
      <w:r w:rsidRPr="000000D1">
        <w:rPr>
          <w:rFonts w:eastAsia="Calibri" w:cs="Times New Roman"/>
        </w:rPr>
        <w:t>While Schedule BI-477 is designed for pass-through businesses and generally applies the rules and methods for sourcing income for nonresident individuals, it relies on principles of corporate apportionment to source apportionable business income . . .</w:t>
      </w:r>
    </w:p>
    <w:p w14:paraId="05864E1B" w14:textId="77777777" w:rsidR="000000D1" w:rsidRPr="000000D1" w:rsidRDefault="000000D1" w:rsidP="000000D1">
      <w:pPr>
        <w:ind w:left="1440"/>
        <w:rPr>
          <w:rFonts w:eastAsia="Calibri" w:cs="Times New Roman"/>
        </w:rPr>
      </w:pPr>
      <w:r w:rsidRPr="000000D1">
        <w:rPr>
          <w:rFonts w:eastAsia="Calibri" w:cs="Times New Roman"/>
          <w:b/>
          <w:bCs/>
        </w:rPr>
        <w:t>Note for Tiered Pass-Throughs</w:t>
      </w:r>
      <w:r w:rsidRPr="000000D1">
        <w:rPr>
          <w:rFonts w:eastAsia="Calibri" w:cs="Times New Roman"/>
        </w:rPr>
        <w:t xml:space="preserve">: Vermont conforms to the Internal Revenue Code Subchapter K. Included in that conformity is the understanding that an owner’s share of income/loss from an entity’s activities pass through and are treated as if directly recognized by that partner or member, retaining their character as determined at the entity level. For example, if a pass-through recognizes a capital gain from the sale of real estate, each partner will be treated as if they sold a share of the real property themselves. If the unitary business principle is satisfied, the filing pass-through must combine all the items of income received with its own unitary activity on the appropriate lines in Parts I-IV. The unitary business principle is satisfied if a single economic enterprise exists, which is made up either of separate parts of a single business entity or of a commonly controlled group of business entities that are sufficiently interdependent, integrated, and interrelated through their activities so as to provide a synergy and mutual benefit that produces a sharing or exchange of value among them and a significant flow of value to the separate parts. The unitary business principle can exist for a taxpayer as a result of the taxpayer’s interest in that partnership, whether the interest in that partnership is held directly or indirectly through a series of partnerships or other pass-through entities.  </w:t>
      </w:r>
    </w:p>
    <w:p w14:paraId="0C6F12E4" w14:textId="77777777" w:rsidR="000000D1" w:rsidRPr="000000D1" w:rsidRDefault="000000D1" w:rsidP="000000D1">
      <w:pPr>
        <w:ind w:left="1440"/>
        <w:rPr>
          <w:rFonts w:eastAsia="Calibri" w:cs="Times New Roman"/>
        </w:rPr>
      </w:pPr>
      <w:r w:rsidRPr="000000D1">
        <w:rPr>
          <w:rFonts w:eastAsia="Calibri" w:cs="Times New Roman"/>
        </w:rPr>
        <w:t xml:space="preserve">The filing pass-through must attach workpapers that mimic BI-477, with Parts I-IV complete, for each discrete unitary business represented. </w:t>
      </w:r>
    </w:p>
    <w:p w14:paraId="1C346755" w14:textId="77777777" w:rsidR="000000D1" w:rsidRPr="000000D1" w:rsidRDefault="000000D1" w:rsidP="000000D1">
      <w:pPr>
        <w:ind w:left="1440"/>
        <w:rPr>
          <w:rFonts w:eastAsia="Calibri" w:cs="Times New Roman"/>
        </w:rPr>
      </w:pPr>
      <w:r w:rsidRPr="000000D1">
        <w:rPr>
          <w:rFonts w:eastAsia="Calibri" w:cs="Times New Roman"/>
          <w:b/>
          <w:bCs/>
        </w:rPr>
        <w:t>Part V</w:t>
      </w:r>
      <w:r w:rsidRPr="000000D1">
        <w:rPr>
          <w:rFonts w:eastAsia="Calibri" w:cs="Times New Roman"/>
        </w:rPr>
        <w:t xml:space="preserve"> reports items of taxable income received from lower-tier pass-throughs </w:t>
      </w:r>
      <w:r w:rsidRPr="000000D1">
        <w:rPr>
          <w:rFonts w:eastAsia="Calibri" w:cs="Times New Roman"/>
          <w:b/>
          <w:bCs/>
        </w:rPr>
        <w:t>which are not unitary with this business and therefore would not be included in Parts I-IV</w:t>
      </w:r>
      <w:r w:rsidRPr="000000D1">
        <w:rPr>
          <w:rFonts w:eastAsia="Calibri" w:cs="Times New Roman"/>
        </w:rPr>
        <w:t xml:space="preserve">.  </w:t>
      </w:r>
    </w:p>
    <w:p w14:paraId="216CEBB1" w14:textId="77777777" w:rsidR="000000D1" w:rsidRPr="000000D1" w:rsidRDefault="000000D1" w:rsidP="000000D1">
      <w:pPr>
        <w:ind w:left="1440"/>
        <w:rPr>
          <w:rFonts w:eastAsia="Calibri" w:cs="Times New Roman"/>
        </w:rPr>
      </w:pPr>
      <w:r w:rsidRPr="000000D1">
        <w:rPr>
          <w:rFonts w:eastAsia="Calibri" w:cs="Times New Roman"/>
        </w:rPr>
        <w:t xml:space="preserve">Each discrete business undertaken by a lower-tier pass-through is attributable to the filing passthrough. If no unitary business principle exists between these attributed (lower tier) activities and the activities of the filing pass-through entity, the sourcing of income will not change between levels. Income and factors should not be blended, but rather the net income/loss should be reported here. </w:t>
      </w:r>
    </w:p>
    <w:p w14:paraId="6A9AA789" w14:textId="77777777" w:rsidR="000000D1" w:rsidRPr="000000D1" w:rsidRDefault="000000D1" w:rsidP="000000D1">
      <w:pPr>
        <w:ind w:left="1440"/>
        <w:rPr>
          <w:rFonts w:eastAsia="Calibri" w:cs="Times New Roman"/>
        </w:rPr>
      </w:pPr>
      <w:r w:rsidRPr="000000D1">
        <w:rPr>
          <w:rFonts w:eastAsia="Calibri" w:cs="Times New Roman"/>
          <w:b/>
          <w:bCs/>
        </w:rPr>
        <w:t>Part VI</w:t>
      </w:r>
      <w:r w:rsidRPr="000000D1">
        <w:rPr>
          <w:rFonts w:eastAsia="Calibri" w:cs="Times New Roman"/>
        </w:rPr>
        <w:t xml:space="preserve"> calculates the Vermont income adjustment required by 32 V.S.A. § 5822(e) to arrive at the filing pass-through’s Vermont income. </w:t>
      </w:r>
    </w:p>
    <w:p w14:paraId="4A1A227D" w14:textId="77777777" w:rsidR="000000D1" w:rsidRPr="000000D1" w:rsidRDefault="000000D1" w:rsidP="000000D1">
      <w:pPr>
        <w:ind w:left="1440"/>
        <w:rPr>
          <w:rFonts w:eastAsia="Calibri" w:cs="Times New Roman"/>
        </w:rPr>
      </w:pPr>
      <w:r w:rsidRPr="000000D1">
        <w:rPr>
          <w:rFonts w:eastAsia="Calibri" w:cs="Times New Roman"/>
          <w:b/>
          <w:bCs/>
        </w:rPr>
        <w:t>Part VII</w:t>
      </w:r>
      <w:r w:rsidRPr="000000D1">
        <w:rPr>
          <w:rFonts w:eastAsia="Calibri" w:cs="Times New Roman"/>
        </w:rPr>
        <w:t xml:space="preserve"> applies the single sales factor methodology to apportionable business income for entities that have ordinary business income derived in Vermont and at least one other state. The resulting percentage will be used in Part IV, Income From Business or Trade. The calculation is identical to apportionment of income for corporate income tax. Effective Jan. 1, 2023, Vermont uses the single sales factor method to calculate apportionment, replacing three factor apportionment.</w:t>
      </w:r>
    </w:p>
    <w:p w14:paraId="67A9E894" w14:textId="77777777" w:rsidR="000000D1" w:rsidRPr="000000D1" w:rsidRDefault="000000D1" w:rsidP="000000D1">
      <w:pPr>
        <w:ind w:left="1440"/>
        <w:rPr>
          <w:rFonts w:eastAsia="Calibri" w:cs="Times New Roman"/>
        </w:rPr>
      </w:pPr>
      <w:r w:rsidRPr="000000D1">
        <w:rPr>
          <w:rFonts w:eastAsia="Calibri" w:cs="Times New Roman"/>
          <w:b/>
          <w:bCs/>
        </w:rPr>
        <w:t>Part VIII</w:t>
      </w:r>
      <w:r w:rsidRPr="000000D1">
        <w:rPr>
          <w:rFonts w:eastAsia="Calibri" w:cs="Times New Roman"/>
        </w:rPr>
        <w:t xml:space="preserve"> reports property and wage factors, which will be used by owners who are C-Corporations and are required to include property and wage factors from flow-through activity on the apportionment schedules attached to their Vermont corporate income tax returns . . .</w:t>
      </w:r>
    </w:p>
    <w:p w14:paraId="7C4C676E" w14:textId="77777777" w:rsidR="000000D1" w:rsidRPr="000000D1" w:rsidRDefault="000000D1" w:rsidP="000000D1">
      <w:pPr>
        <w:ind w:left="1440"/>
        <w:rPr>
          <w:rFonts w:eastAsia="Calibri" w:cs="Times New Roman"/>
        </w:rPr>
      </w:pPr>
      <w:r w:rsidRPr="000000D1">
        <w:rPr>
          <w:rFonts w:eastAsia="Calibri" w:cs="Times New Roman"/>
        </w:rPr>
        <w:t xml:space="preserve">The taxpayer should utilize Part V to report its share of non-unitary business activity from lower-tier pass-throughs. Although nonresident withholding and composite </w:t>
      </w:r>
      <w:r w:rsidRPr="000000D1">
        <w:rPr>
          <w:rFonts w:eastAsia="Calibri" w:cs="Times New Roman"/>
        </w:rPr>
        <w:lastRenderedPageBreak/>
        <w:t xml:space="preserve">returns collect taxes on the entity level, pass-throughs remain a conduit for their owners under Vermont law. Each discrete unitary business undertaken by a lower-tier pass-through, therefore, will be attributable to the taxpayer. The taxpayer should only blend income and factors (passed through to it from lower tiers in Parts I-IV of Schedule BI-477) with its own income and factors if the unitary business principle is satisfied. If the unitary business principle is not satisfied, report the net income or loss in Part V. </w:t>
      </w:r>
    </w:p>
    <w:p w14:paraId="1A28D5DC" w14:textId="77777777" w:rsidR="000000D1" w:rsidRPr="000000D1" w:rsidRDefault="000000D1" w:rsidP="000000D1">
      <w:pPr>
        <w:ind w:left="1440"/>
        <w:rPr>
          <w:rFonts w:eastAsia="Calibri" w:cs="Times New Roman"/>
        </w:rPr>
      </w:pPr>
      <w:r w:rsidRPr="000000D1">
        <w:rPr>
          <w:rFonts w:eastAsia="Calibri" w:cs="Times New Roman"/>
        </w:rPr>
        <w:t xml:space="preserve">There should be one separate worksheet attached combining the lower-tier values passed through to the taxpayer for each discrete business activity included in Part V. Each attached worksheet should closely follow the structure and ordering of Schedule BI-477 Parts I-IV. </w:t>
      </w:r>
    </w:p>
    <w:p w14:paraId="2BA105CE" w14:textId="77777777" w:rsidR="000000D1" w:rsidRPr="000000D1" w:rsidRDefault="000000D1" w:rsidP="000000D1">
      <w:pPr>
        <w:ind w:left="1440"/>
        <w:rPr>
          <w:rFonts w:eastAsia="Calibri" w:cs="Times New Roman"/>
        </w:rPr>
      </w:pPr>
      <w:r w:rsidRPr="000000D1">
        <w:rPr>
          <w:rFonts w:eastAsia="Calibri" w:cs="Times New Roman"/>
        </w:rPr>
        <w:t>Note: If the taxpayer receives items of income reported in Parts I-IV from lower-tier pass-throughs that do not satisfy the unitary business principle, then the values reported on Lines 1A through 16 will not equal the values on the federal 1065 Schedule K. Rather, each item of income reported in Parts I-IV will only tie-out to federal 1065 Schedule K when it is combined with the corresponding lower-tier values on the worksheets . . .</w:t>
      </w:r>
    </w:p>
    <w:p w14:paraId="5B68821B" w14:textId="77777777" w:rsidR="000000D1" w:rsidRPr="000000D1" w:rsidRDefault="000000D1" w:rsidP="000000D1">
      <w:pPr>
        <w:ind w:left="1440"/>
        <w:rPr>
          <w:rFonts w:eastAsia="Calibri" w:cs="Times New Roman"/>
        </w:rPr>
      </w:pPr>
      <w:r w:rsidRPr="000000D1">
        <w:rPr>
          <w:rFonts w:eastAsia="Calibri" w:cs="Times New Roman"/>
          <w:b/>
          <w:bCs/>
        </w:rPr>
        <w:t>Note</w:t>
      </w:r>
      <w:r w:rsidRPr="000000D1">
        <w:rPr>
          <w:rFonts w:eastAsia="Calibri" w:cs="Times New Roman"/>
        </w:rPr>
        <w:t xml:space="preserve">: For tiered pass-throughs, proportional shares of numerator and denominator factors from lower tiers should only be included if the unitary business principle is met. See the Note for Tiered Pass-Throughs in the “General Information” section above for details . . . </w:t>
      </w:r>
    </w:p>
    <w:p w14:paraId="53543095" w14:textId="77777777" w:rsidR="000000D1" w:rsidRPr="000000D1" w:rsidRDefault="000000D1" w:rsidP="000000D1">
      <w:pPr>
        <w:ind w:left="1440"/>
        <w:rPr>
          <w:rFonts w:eastAsia="Calibri" w:cs="Times New Roman"/>
        </w:rPr>
      </w:pPr>
      <w:r w:rsidRPr="000000D1">
        <w:rPr>
          <w:rFonts w:eastAsia="Calibri" w:cs="Times New Roman"/>
          <w:b/>
          <w:bCs/>
        </w:rPr>
        <w:t>Factors from pass-through entities</w:t>
      </w:r>
      <w:r w:rsidRPr="000000D1">
        <w:rPr>
          <w:rFonts w:eastAsia="Calibri" w:cs="Times New Roman"/>
        </w:rPr>
        <w:t>: Where the unitary business principle is satisfied between the activities of the taxpayer and a lower-tier partnership, take the sum of all the “Everywhere” sales factors indicated on Line 15 all Schedules K-1VT issued to you (i.e., this filing entity) by these entities and enter that total here. Maintain workpapers detailing all the components for this entry . . .</w:t>
      </w:r>
    </w:p>
    <w:p w14:paraId="5FD897BF" w14:textId="77777777" w:rsidR="000000D1" w:rsidRPr="000000D1" w:rsidRDefault="000000D1" w:rsidP="000000D1">
      <w:pPr>
        <w:ind w:left="1440"/>
        <w:rPr>
          <w:rFonts w:eastAsia="Calibri" w:cs="Times New Roman"/>
        </w:rPr>
      </w:pPr>
      <w:r w:rsidRPr="000000D1">
        <w:rPr>
          <w:rFonts w:eastAsia="Calibri" w:cs="Times New Roman"/>
          <w:b/>
          <w:bCs/>
        </w:rPr>
        <w:t>Factors from pass-through entities</w:t>
      </w:r>
      <w:r w:rsidRPr="000000D1">
        <w:rPr>
          <w:rFonts w:eastAsia="Calibri" w:cs="Times New Roman"/>
        </w:rPr>
        <w:t>: Where the unitary business principle is satisfied between the activities of the taxpayer and a lower-tier partnership, take the sum of all the Vermont sales factors indicated on Line 15 all Schedules K-1VT issued to you (i.e., this filing entity) by these entities and enter that total here. Maintain workpapers detailing all the components for this entry.</w:t>
      </w:r>
    </w:p>
    <w:p w14:paraId="13426F81" w14:textId="77777777" w:rsidR="000000D1" w:rsidRPr="000000D1" w:rsidRDefault="000000D1" w:rsidP="000000D1">
      <w:pPr>
        <w:pBdr>
          <w:bottom w:val="single" w:sz="4" w:space="0" w:color="auto"/>
        </w:pBdr>
        <w:rPr>
          <w:rFonts w:eastAsia="Calibri" w:cs="Times New Roman"/>
        </w:rPr>
      </w:pPr>
    </w:p>
    <w:p w14:paraId="76BC57AA"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62" w:name="_Toc198480807"/>
      <w:r w:rsidRPr="000000D1">
        <w:rPr>
          <w:rFonts w:ascii="Californian FB" w:eastAsia="Times New Roman" w:hAnsi="Californian FB" w:cs="Times New Roman"/>
          <w:b/>
          <w:color w:val="851C00"/>
          <w:sz w:val="24"/>
          <w:szCs w:val="24"/>
          <w:u w:val="single"/>
        </w:rPr>
        <w:t>Virginia</w:t>
      </w:r>
      <w:bookmarkEnd w:id="162"/>
    </w:p>
    <w:p w14:paraId="327C109E" w14:textId="77777777" w:rsidR="000000D1" w:rsidRPr="000000D1" w:rsidRDefault="000000D1" w:rsidP="000000D1">
      <w:pPr>
        <w:ind w:left="720"/>
        <w:contextualSpacing/>
        <w:rPr>
          <w:rFonts w:eastAsia="Calibri" w:cs="Times New Roman"/>
        </w:rPr>
      </w:pPr>
      <w:r w:rsidRPr="000000D1">
        <w:rPr>
          <w:rFonts w:eastAsia="Calibri" w:cs="Times New Roman"/>
        </w:rPr>
        <w:t xml:space="preserve">Va. Code Ann. § 58.1-391(B) </w:t>
      </w:r>
    </w:p>
    <w:p w14:paraId="5C963A9D" w14:textId="77777777" w:rsidR="000000D1" w:rsidRPr="000000D1" w:rsidRDefault="000000D1" w:rsidP="000000D1">
      <w:pPr>
        <w:ind w:left="720"/>
        <w:contextualSpacing/>
        <w:rPr>
          <w:rFonts w:eastAsia="Calibri" w:cs="Times New Roman"/>
        </w:rPr>
      </w:pPr>
    </w:p>
    <w:p w14:paraId="0A53823D" w14:textId="77777777" w:rsidR="000000D1" w:rsidRPr="000000D1" w:rsidRDefault="000000D1" w:rsidP="000000D1">
      <w:pPr>
        <w:ind w:left="1440"/>
        <w:contextualSpacing/>
        <w:rPr>
          <w:rFonts w:eastAsia="Calibri" w:cs="Times New Roman"/>
        </w:rPr>
      </w:pPr>
      <w:r w:rsidRPr="000000D1">
        <w:rPr>
          <w:rFonts w:eastAsia="Calibri" w:cs="Times New Roman"/>
        </w:rPr>
        <w:t>Each item of pass-through entity income, gain, loss or deduction shall have the same character for an owner under this chapter as for federal income tax purposes. Where an item is not characterized for federal income tax purposes, it shall have the same character for an owner as if realized directly from the source from which realized by the pass-through entity or incurred in the same manner by the pass-through entity.</w:t>
      </w:r>
    </w:p>
    <w:p w14:paraId="40B81289" w14:textId="77777777" w:rsidR="000000D1" w:rsidRPr="000000D1" w:rsidRDefault="000000D1" w:rsidP="000000D1">
      <w:pPr>
        <w:contextualSpacing/>
        <w:rPr>
          <w:rFonts w:eastAsia="Calibri" w:cs="Times New Roman"/>
        </w:rPr>
      </w:pPr>
    </w:p>
    <w:p w14:paraId="70ABEA55" w14:textId="77777777" w:rsidR="000000D1" w:rsidRPr="000000D1" w:rsidRDefault="000000D1" w:rsidP="000000D1">
      <w:pPr>
        <w:ind w:left="720"/>
        <w:contextualSpacing/>
        <w:rPr>
          <w:rFonts w:eastAsia="Calibri" w:cs="Times New Roman"/>
          <w:i/>
          <w:iCs/>
        </w:rPr>
      </w:pPr>
      <w:r w:rsidRPr="000000D1">
        <w:rPr>
          <w:rFonts w:eastAsia="Calibri" w:cs="Times New Roman"/>
        </w:rPr>
        <w:t>Va. Code Ann. § 58.1-391(C)</w:t>
      </w:r>
    </w:p>
    <w:p w14:paraId="0E49B38C" w14:textId="77777777" w:rsidR="000000D1" w:rsidRPr="000000D1" w:rsidRDefault="000000D1" w:rsidP="000000D1">
      <w:pPr>
        <w:contextualSpacing/>
        <w:rPr>
          <w:rFonts w:eastAsia="Calibri" w:cs="Times New Roman"/>
        </w:rPr>
      </w:pPr>
    </w:p>
    <w:p w14:paraId="3C79AE4B" w14:textId="77777777" w:rsidR="000000D1" w:rsidRPr="000000D1" w:rsidRDefault="000000D1" w:rsidP="000000D1">
      <w:pPr>
        <w:ind w:left="1440"/>
        <w:rPr>
          <w:rFonts w:eastAsia="Calibri" w:cs="Times New Roman"/>
        </w:rPr>
      </w:pPr>
      <w:r w:rsidRPr="000000D1">
        <w:rPr>
          <w:rFonts w:eastAsia="Calibri" w:cs="Times New Roman"/>
        </w:rPr>
        <w:t>Where an owner's distributive shares of an item of pass-through entity income, gain, loss or deduction is determined for federal income tax purposes by special provision in the pass-through entity agreement with respect to such item, and where the principal purpose of such provision is the avoidance or evasion of tax under this chapter, the owner's distributive share of such item, and any modification required with respect thereto, shall be determined as if the pass-through entity agreement made no special provision with respect to such item.</w:t>
      </w:r>
    </w:p>
    <w:p w14:paraId="23204213" w14:textId="77777777" w:rsidR="000000D1" w:rsidRPr="000000D1" w:rsidRDefault="000000D1" w:rsidP="000000D1">
      <w:pPr>
        <w:ind w:firstLine="720"/>
        <w:contextualSpacing/>
        <w:rPr>
          <w:rFonts w:eastAsia="Calibri" w:cs="Times New Roman"/>
          <w:i/>
          <w:iCs/>
        </w:rPr>
      </w:pPr>
      <w:r w:rsidRPr="000000D1">
        <w:rPr>
          <w:rFonts w:eastAsia="Calibri" w:cs="Times New Roman"/>
        </w:rPr>
        <w:lastRenderedPageBreak/>
        <w:t xml:space="preserve">Virginia Ruling of the Commissioner PD 15-240 (April 26, 2007) </w:t>
      </w:r>
    </w:p>
    <w:p w14:paraId="279389AD" w14:textId="77777777" w:rsidR="000000D1" w:rsidRPr="000000D1" w:rsidRDefault="000000D1" w:rsidP="000000D1">
      <w:pPr>
        <w:contextualSpacing/>
        <w:rPr>
          <w:rFonts w:eastAsia="Calibri" w:cs="Times New Roman"/>
          <w:i/>
          <w:iCs/>
        </w:rPr>
      </w:pPr>
      <w:r w:rsidRPr="000000D1">
        <w:rPr>
          <w:rFonts w:eastAsia="Calibri" w:cs="Times New Roman"/>
          <w:i/>
          <w:iCs/>
        </w:rPr>
        <w:tab/>
      </w:r>
    </w:p>
    <w:p w14:paraId="62158338" w14:textId="77777777" w:rsidR="000000D1" w:rsidRPr="000000D1" w:rsidRDefault="000000D1" w:rsidP="000000D1">
      <w:pPr>
        <w:ind w:left="1440"/>
        <w:contextualSpacing/>
        <w:rPr>
          <w:rFonts w:eastAsia="Calibri" w:cs="Times New Roman"/>
        </w:rPr>
      </w:pPr>
      <w:r w:rsidRPr="000000D1">
        <w:rPr>
          <w:rFonts w:eastAsia="Calibri" w:cs="Times New Roman"/>
        </w:rPr>
        <w:t>If the entire business of a pass-through entity is not deemed to have been transacted or conducted within the Commonwealth, then “income from Virginia sources” means that portion of the pass-through entity's income that has been allocated and apportioned to Virginia in the same manner as corporations.</w:t>
      </w:r>
    </w:p>
    <w:p w14:paraId="6E57DF38" w14:textId="77777777" w:rsidR="000000D1" w:rsidRPr="000000D1" w:rsidRDefault="000000D1" w:rsidP="000000D1">
      <w:pPr>
        <w:ind w:left="720"/>
        <w:contextualSpacing/>
        <w:rPr>
          <w:rFonts w:eastAsia="Calibri" w:cs="Times New Roman"/>
        </w:rPr>
      </w:pPr>
      <w:r w:rsidRPr="000000D1">
        <w:rPr>
          <w:rFonts w:eastAsia="Calibri" w:cs="Times New Roman"/>
        </w:rPr>
        <w:tab/>
      </w:r>
    </w:p>
    <w:p w14:paraId="3C1B6C6B" w14:textId="77777777" w:rsidR="000000D1" w:rsidRPr="000000D1" w:rsidRDefault="000000D1" w:rsidP="000000D1">
      <w:pPr>
        <w:ind w:left="720"/>
        <w:contextualSpacing/>
        <w:rPr>
          <w:rFonts w:eastAsia="Calibri" w:cs="Times New Roman"/>
          <w:i/>
          <w:iCs/>
        </w:rPr>
      </w:pPr>
      <w:r w:rsidRPr="000000D1">
        <w:rPr>
          <w:rFonts w:eastAsia="Calibri" w:cs="Times New Roman"/>
        </w:rPr>
        <w:t xml:space="preserve">Virginia Ruling of the Commissioner PD 07-50 (April 26, 2007) </w:t>
      </w:r>
    </w:p>
    <w:p w14:paraId="031B0F21" w14:textId="77777777" w:rsidR="000000D1" w:rsidRPr="000000D1" w:rsidRDefault="000000D1" w:rsidP="000000D1">
      <w:pPr>
        <w:ind w:left="720"/>
        <w:contextualSpacing/>
        <w:rPr>
          <w:rFonts w:eastAsia="Calibri" w:cs="Times New Roman"/>
          <w:i/>
          <w:iCs/>
        </w:rPr>
      </w:pPr>
    </w:p>
    <w:p w14:paraId="402018B0" w14:textId="77777777" w:rsidR="000000D1" w:rsidRPr="000000D1" w:rsidRDefault="000000D1" w:rsidP="000000D1">
      <w:pPr>
        <w:ind w:left="1440"/>
        <w:contextualSpacing/>
        <w:rPr>
          <w:rFonts w:eastAsia="Calibri" w:cs="Times New Roman"/>
        </w:rPr>
      </w:pPr>
      <w:r w:rsidRPr="000000D1">
        <w:rPr>
          <w:rFonts w:eastAsia="Calibri" w:cs="Times New Roman"/>
        </w:rPr>
        <w:t>A partnership (the "Partnership"), located in ***** (State A), has two 50% equity partners. The general partner is an individual who resides in ***** (State B). The limited partner is a State B corporation. The partnership purchased commercial property in Virginia under a triple net lease. Neither the partnership nor the partners conduct any other business in Virginia other than the ownership of the Virginia commercial property. You request a ruling as to whether any of the parties are required to file Virginia income tax returns.</w:t>
      </w:r>
    </w:p>
    <w:p w14:paraId="2A5FFE85" w14:textId="77777777" w:rsidR="000000D1" w:rsidRPr="000000D1" w:rsidRDefault="000000D1" w:rsidP="000000D1">
      <w:pPr>
        <w:ind w:left="1440"/>
        <w:contextualSpacing/>
        <w:rPr>
          <w:rFonts w:eastAsia="Calibri" w:cs="Times New Roman"/>
        </w:rPr>
      </w:pPr>
    </w:p>
    <w:p w14:paraId="3FB3F1FC" w14:textId="77777777" w:rsidR="000000D1" w:rsidRPr="000000D1" w:rsidRDefault="000000D1" w:rsidP="000000D1">
      <w:pPr>
        <w:ind w:left="1440"/>
        <w:contextualSpacing/>
        <w:rPr>
          <w:rFonts w:eastAsia="Calibri" w:cs="Times New Roman"/>
        </w:rPr>
      </w:pPr>
      <w:r w:rsidRPr="000000D1">
        <w:rPr>
          <w:rFonts w:eastAsia="Calibri" w:cs="Times New Roman"/>
        </w:rPr>
        <w:t>Virginia Code § 58.1-392 requires every pass-through entity doing business in Virginia or having income from Virginia sources to file an annual information return with the Department of Taxation setting forth its income and a list of owners, effective for taxable years beginning on or after January 1, 2004. Pursuant to Va. Code § 58.1-302, an entity has income from Virginia sources if it has any income, gain, loss or deduction attributable to the ownership in real property located in Virginia. As such, because the Partnership owns income-producing real property in Virginia, it must file an informational return.</w:t>
      </w:r>
    </w:p>
    <w:p w14:paraId="755716D4" w14:textId="77777777" w:rsidR="000000D1" w:rsidRPr="000000D1" w:rsidRDefault="000000D1" w:rsidP="000000D1">
      <w:pPr>
        <w:ind w:left="1440"/>
        <w:contextualSpacing/>
        <w:rPr>
          <w:rFonts w:eastAsia="Calibri" w:cs="Times New Roman"/>
        </w:rPr>
      </w:pPr>
    </w:p>
    <w:p w14:paraId="2913AB64" w14:textId="77777777" w:rsidR="000000D1" w:rsidRPr="000000D1" w:rsidRDefault="000000D1" w:rsidP="000000D1">
      <w:pPr>
        <w:ind w:left="1440"/>
        <w:contextualSpacing/>
        <w:rPr>
          <w:rFonts w:eastAsia="Calibri" w:cs="Times New Roman"/>
        </w:rPr>
      </w:pPr>
      <w:r w:rsidRPr="000000D1">
        <w:rPr>
          <w:rFonts w:eastAsia="Calibri" w:cs="Times New Roman"/>
        </w:rPr>
        <w:t>Public Law (P.L.) 86-272, codified at 15 U.S.C. §§ 381-384, prohibits a state from imposing a net income tax where the only contacts with a state are a narrowly defined set of activities constituting solicitation of orders for sales of tangible personal property. The Department also applies P.L. 86-272 to the solicitation of sales of other than tangible personal property. See Public Document (P. D.) 93-75 (3/17/93). The Department limits the scope of P.L. 86-272 to only those activities that constitute solicitation, are ancillary to solicitation, or are de minimis in nature. See Wisconsin Department of Revenue v. William Wrigley, Jr., Co., 505 U.S. 214 (1992). The Partnership's ownership of commercial property in Virginia clearly exceeds the protection provided by P.L. 86-272.</w:t>
      </w:r>
    </w:p>
    <w:p w14:paraId="72A2F637" w14:textId="77777777" w:rsidR="000000D1" w:rsidRPr="000000D1" w:rsidRDefault="000000D1" w:rsidP="000000D1">
      <w:pPr>
        <w:ind w:left="1440"/>
        <w:contextualSpacing/>
        <w:rPr>
          <w:rFonts w:eastAsia="Calibri" w:cs="Times New Roman"/>
        </w:rPr>
      </w:pPr>
    </w:p>
    <w:p w14:paraId="70CC827B" w14:textId="77777777" w:rsidR="000000D1" w:rsidRPr="000000D1" w:rsidRDefault="000000D1" w:rsidP="000000D1">
      <w:pPr>
        <w:ind w:left="1440"/>
        <w:contextualSpacing/>
        <w:rPr>
          <w:rFonts w:eastAsia="Calibri" w:cs="Times New Roman"/>
        </w:rPr>
      </w:pPr>
      <w:r w:rsidRPr="000000D1">
        <w:rPr>
          <w:rFonts w:eastAsia="Calibri" w:cs="Times New Roman"/>
        </w:rPr>
        <w:t>Virginia generally conforms to the federal treatment of partnerships. A partnership, as such, is not subject to income tax. Any income tax arising from the income of the partnership is the liability of the partners. Internal Revenue Code § 702(b) states, "The character of any item of income, gain, loss, deduction, or credit included in a partner's distributive share . . . shall be determined as if such item were realized directly from the source from which realized by the partnership or incurred in the same manner as incurred by the partnership." Each item of pass-through entity income, gain, loss or deduction has the same character for an owner for Virginia income tax purposes as for federal income tax purposes. See Va. Code § 58.1-391 B.</w:t>
      </w:r>
    </w:p>
    <w:p w14:paraId="70B6951A" w14:textId="77777777" w:rsidR="000000D1" w:rsidRPr="000000D1" w:rsidRDefault="000000D1" w:rsidP="000000D1">
      <w:pPr>
        <w:ind w:left="1440"/>
        <w:contextualSpacing/>
        <w:rPr>
          <w:rFonts w:eastAsia="Calibri" w:cs="Times New Roman"/>
        </w:rPr>
      </w:pPr>
    </w:p>
    <w:p w14:paraId="2783005B" w14:textId="77777777" w:rsidR="000000D1" w:rsidRPr="000000D1" w:rsidRDefault="000000D1" w:rsidP="000000D1">
      <w:pPr>
        <w:ind w:left="1440"/>
        <w:contextualSpacing/>
        <w:rPr>
          <w:rFonts w:eastAsia="Calibri" w:cs="Times New Roman"/>
        </w:rPr>
      </w:pPr>
      <w:r w:rsidRPr="000000D1">
        <w:rPr>
          <w:rFonts w:eastAsia="Calibri" w:cs="Times New Roman"/>
        </w:rPr>
        <w:t>Thus, if a partnership operates a business in Virginia, any item of partnership income, gain, loss, deduction, or credit will retain its Virginia source character no matter how many partnerships it passes through. The pass through of Virginia source income will continue to occur from partnership to partner until the income is passed through to a partner that is a taxable entity.</w:t>
      </w:r>
    </w:p>
    <w:p w14:paraId="67B16AEA" w14:textId="77777777" w:rsidR="000000D1" w:rsidRPr="000000D1" w:rsidRDefault="000000D1" w:rsidP="000000D1">
      <w:pPr>
        <w:ind w:left="1440"/>
        <w:contextualSpacing/>
        <w:rPr>
          <w:rFonts w:eastAsia="Calibri" w:cs="Times New Roman"/>
        </w:rPr>
      </w:pPr>
    </w:p>
    <w:p w14:paraId="1C5F7444" w14:textId="77777777" w:rsidR="000000D1" w:rsidRPr="000000D1" w:rsidRDefault="000000D1" w:rsidP="000000D1">
      <w:pPr>
        <w:ind w:left="1440"/>
        <w:contextualSpacing/>
        <w:rPr>
          <w:rFonts w:eastAsia="Calibri" w:cs="Times New Roman"/>
        </w:rPr>
      </w:pPr>
      <w:r w:rsidRPr="000000D1">
        <w:rPr>
          <w:rFonts w:eastAsia="Calibri" w:cs="Times New Roman"/>
        </w:rPr>
        <w:t xml:space="preserve">In the situation you present, the income generated by the commercial property will retain its character as Virginia source income and pass through to both the general and limited partners, which are taxable entities. As such, the general partner will need to file a nonresident Virginia individual income tax return and the limited partner will </w:t>
      </w:r>
      <w:r w:rsidRPr="000000D1">
        <w:rPr>
          <w:rFonts w:eastAsia="Calibri" w:cs="Times New Roman"/>
        </w:rPr>
        <w:lastRenderedPageBreak/>
        <w:t>need to file a Virginia corporate income tax return apportioning income in accordance with Va. Code §§ 58.1,-408 through 58.1-421. See Public Document (P.D.) 88-165 (6/29/88).</w:t>
      </w:r>
    </w:p>
    <w:p w14:paraId="14FC25B4" w14:textId="77777777" w:rsidR="000000D1" w:rsidRPr="000000D1" w:rsidRDefault="000000D1" w:rsidP="000000D1">
      <w:pPr>
        <w:ind w:left="1440"/>
        <w:contextualSpacing/>
        <w:rPr>
          <w:rFonts w:eastAsia="Calibri" w:cs="Times New Roman"/>
        </w:rPr>
      </w:pPr>
    </w:p>
    <w:p w14:paraId="283F2B6E" w14:textId="77777777" w:rsidR="000000D1" w:rsidRPr="000000D1" w:rsidRDefault="000000D1" w:rsidP="000000D1">
      <w:pPr>
        <w:ind w:left="1440"/>
        <w:contextualSpacing/>
        <w:rPr>
          <w:rFonts w:eastAsia="Calibri" w:cs="Times New Roman"/>
        </w:rPr>
      </w:pPr>
      <w:r w:rsidRPr="000000D1">
        <w:rPr>
          <w:rFonts w:eastAsia="Calibri" w:cs="Times New Roman"/>
        </w:rPr>
        <w:t>This ruling is based on the facts presented as summarized above. Any change in facts or the introduction of new facts may lead to a different result.</w:t>
      </w:r>
    </w:p>
    <w:p w14:paraId="1A71E7EA" w14:textId="77777777" w:rsidR="000000D1" w:rsidRPr="000000D1" w:rsidRDefault="000000D1" w:rsidP="000000D1">
      <w:pPr>
        <w:ind w:left="1440"/>
        <w:contextualSpacing/>
        <w:rPr>
          <w:rFonts w:eastAsia="Calibri" w:cs="Times New Roman"/>
        </w:rPr>
      </w:pPr>
    </w:p>
    <w:p w14:paraId="1EDAC464" w14:textId="77777777" w:rsidR="000000D1" w:rsidRPr="000000D1" w:rsidRDefault="000000D1" w:rsidP="000000D1">
      <w:pPr>
        <w:ind w:left="1440"/>
        <w:contextualSpacing/>
        <w:rPr>
          <w:rFonts w:eastAsia="Calibri" w:cs="Times New Roman"/>
        </w:rPr>
      </w:pPr>
      <w:r w:rsidRPr="000000D1">
        <w:rPr>
          <w:rFonts w:eastAsia="Calibri" w:cs="Times New Roman"/>
        </w:rPr>
        <w:t>The Code of Virginia sections and public document cited are available on-line at www.tax.virginia.gov in the Tax Policy Library section of the Department's web site. If you have any questions regarding this ruling, please contact ***** in the Office of Policy and Administration, Appeals and Rulings, at *****.</w:t>
      </w:r>
    </w:p>
    <w:p w14:paraId="49ACF5A3" w14:textId="77777777" w:rsidR="000000D1" w:rsidRPr="000000D1" w:rsidRDefault="000000D1" w:rsidP="000000D1">
      <w:pPr>
        <w:ind w:left="720"/>
        <w:contextualSpacing/>
        <w:rPr>
          <w:rFonts w:eastAsia="Calibri" w:cs="Times New Roman"/>
        </w:rPr>
      </w:pPr>
    </w:p>
    <w:p w14:paraId="0B5848BB" w14:textId="77777777" w:rsidR="000000D1" w:rsidRPr="000000D1" w:rsidRDefault="000000D1" w:rsidP="000000D1">
      <w:pPr>
        <w:ind w:left="720"/>
        <w:rPr>
          <w:rFonts w:eastAsia="Calibri" w:cs="Times New Roman"/>
          <w:i/>
          <w:iCs/>
        </w:rPr>
      </w:pPr>
      <w:r w:rsidRPr="000000D1">
        <w:rPr>
          <w:rFonts w:eastAsia="Calibri" w:cs="Times New Roman"/>
          <w:i/>
          <w:iCs/>
        </w:rPr>
        <w:t>Commonwealth Of Virginia, Department Of Taxation V. FJ Management, Inc</w:t>
      </w:r>
      <w:r w:rsidRPr="000000D1">
        <w:rPr>
          <w:rFonts w:eastAsia="Calibri" w:cs="Times New Roman"/>
        </w:rPr>
        <w:t xml:space="preserve">., </w:t>
      </w:r>
      <w:r w:rsidRPr="000000D1">
        <w:rPr>
          <w:rFonts w:eastAsia="Calibri" w:cs="Times New Roman"/>
          <w:i/>
          <w:iCs/>
        </w:rPr>
        <w:t>d/b/a FJI, Inc</w:t>
      </w:r>
      <w:r w:rsidRPr="000000D1">
        <w:rPr>
          <w:rFonts w:eastAsia="Calibri" w:cs="Times New Roman"/>
        </w:rPr>
        <w:t xml:space="preserve">., No. 0701-23-2 (Va. Ct. App. 11/12/2024) </w:t>
      </w:r>
    </w:p>
    <w:p w14:paraId="54EAF198" w14:textId="77777777" w:rsidR="000000D1" w:rsidRPr="000000D1" w:rsidRDefault="000000D1" w:rsidP="000000D1">
      <w:pPr>
        <w:ind w:left="1440"/>
        <w:rPr>
          <w:rFonts w:eastAsia="Calibri" w:cs="Times New Roman"/>
        </w:rPr>
      </w:pPr>
      <w:r w:rsidRPr="000000D1">
        <w:rPr>
          <w:rFonts w:eastAsia="Calibri" w:cs="Times New Roman"/>
        </w:rPr>
        <w:t xml:space="preserve">Finding that the application of blended apportionment to a corporate partner is unconstitutional without a unitary relationship. </w:t>
      </w:r>
    </w:p>
    <w:p w14:paraId="54432EE2" w14:textId="77777777" w:rsidR="000000D1" w:rsidRPr="000000D1" w:rsidRDefault="000000D1" w:rsidP="000000D1">
      <w:pPr>
        <w:ind w:left="720"/>
        <w:contextualSpacing/>
        <w:rPr>
          <w:rFonts w:eastAsia="Calibri" w:cs="Times New Roman"/>
          <w:i/>
          <w:iCs/>
        </w:rPr>
      </w:pPr>
      <w:r w:rsidRPr="000000D1">
        <w:rPr>
          <w:rFonts w:eastAsia="Calibri" w:cs="Times New Roman"/>
        </w:rPr>
        <w:t xml:space="preserve">The Virginia Form 502 Instructions (2023) </w:t>
      </w:r>
    </w:p>
    <w:p w14:paraId="306A65B3" w14:textId="77777777" w:rsidR="000000D1" w:rsidRPr="000000D1" w:rsidRDefault="000000D1" w:rsidP="000000D1">
      <w:pPr>
        <w:ind w:left="720"/>
        <w:contextualSpacing/>
        <w:rPr>
          <w:rFonts w:eastAsia="Calibri" w:cs="Times New Roman"/>
          <w:i/>
          <w:iCs/>
        </w:rPr>
      </w:pPr>
    </w:p>
    <w:p w14:paraId="7CCC5672" w14:textId="77777777" w:rsidR="000000D1" w:rsidRPr="000000D1" w:rsidRDefault="000000D1" w:rsidP="000000D1">
      <w:pPr>
        <w:ind w:left="1440"/>
        <w:contextualSpacing/>
        <w:rPr>
          <w:rFonts w:eastAsia="Calibri" w:cs="Times New Roman"/>
        </w:rPr>
      </w:pPr>
      <w:r w:rsidRPr="000000D1">
        <w:rPr>
          <w:rFonts w:eastAsia="Calibri" w:cs="Times New Roman"/>
        </w:rPr>
        <w:t xml:space="preserve">If a PTE’s entire business is conducted within Virginia, then all of its income is Virginia source income; no income is allocated to another state, and the entity’s Virginia apportionment is 100%. If a PTE conducts its business in Virginia and elsewhere in a manner such that its income would be subject to a tax on net income in Virginia and at least one other state, the entity must allocate and apportion its income in the same manner that is provided in Virginia law for corporations. This applies to all types of pass-through entities (partnerships, LLPs, LLCs, and S corporations). Dividends received are to be allocated to the state of commercial domicile, but all other income must be apportioned. An entity may not apportion its income based on divisional or separate accounting, or any other alternate method unless it has requested and received permission to do so in advance from the Department. </w:t>
      </w:r>
    </w:p>
    <w:p w14:paraId="461D4C20" w14:textId="77777777" w:rsidR="000000D1" w:rsidRPr="000000D1" w:rsidRDefault="000000D1" w:rsidP="000000D1">
      <w:pPr>
        <w:ind w:left="1440"/>
        <w:contextualSpacing/>
        <w:rPr>
          <w:rFonts w:eastAsia="Calibri" w:cs="Times New Roman"/>
        </w:rPr>
      </w:pPr>
    </w:p>
    <w:p w14:paraId="6CFE3313" w14:textId="77777777" w:rsidR="000000D1" w:rsidRPr="000000D1" w:rsidRDefault="000000D1" w:rsidP="000000D1">
      <w:pPr>
        <w:ind w:left="1440"/>
        <w:contextualSpacing/>
        <w:rPr>
          <w:rFonts w:eastAsia="Calibri" w:cs="Times New Roman"/>
        </w:rPr>
      </w:pPr>
      <w:r w:rsidRPr="000000D1">
        <w:rPr>
          <w:rFonts w:eastAsia="Calibri" w:cs="Times New Roman"/>
        </w:rPr>
        <w:t>The effect of the PTE’s apportionment may vary from one owner to another, depending on the entity types of the owners. For instance:</w:t>
      </w:r>
    </w:p>
    <w:p w14:paraId="6EFA5CBB" w14:textId="77777777" w:rsidR="000000D1" w:rsidRPr="000000D1" w:rsidRDefault="000000D1" w:rsidP="00366E17">
      <w:pPr>
        <w:numPr>
          <w:ilvl w:val="0"/>
          <w:numId w:val="31"/>
        </w:numPr>
        <w:contextualSpacing/>
        <w:rPr>
          <w:rFonts w:eastAsia="Calibri" w:cs="Times New Roman"/>
        </w:rPr>
      </w:pPr>
      <w:r w:rsidRPr="000000D1">
        <w:rPr>
          <w:rFonts w:eastAsia="Calibri" w:cs="Times New Roman"/>
        </w:rPr>
        <w:t xml:space="preserve">a Virginia resident individual owner is taxable on all of his or her PTE income regardless of the entity’s apportionment; </w:t>
      </w:r>
    </w:p>
    <w:p w14:paraId="15C46374" w14:textId="77777777" w:rsidR="000000D1" w:rsidRPr="000000D1" w:rsidRDefault="000000D1" w:rsidP="00366E17">
      <w:pPr>
        <w:numPr>
          <w:ilvl w:val="0"/>
          <w:numId w:val="31"/>
        </w:numPr>
        <w:contextualSpacing/>
        <w:rPr>
          <w:rFonts w:eastAsia="Calibri" w:cs="Times New Roman"/>
        </w:rPr>
      </w:pPr>
      <w:r w:rsidRPr="000000D1">
        <w:rPr>
          <w:rFonts w:eastAsia="Calibri" w:cs="Times New Roman"/>
        </w:rPr>
        <w:t xml:space="preserve">a nonresident individual owner uses the entity’s Virginia apportioned income in determining his or her own Virginia nonresident percentage; and </w:t>
      </w:r>
    </w:p>
    <w:p w14:paraId="2A2813D0" w14:textId="77777777" w:rsidR="000000D1" w:rsidRPr="000000D1" w:rsidRDefault="000000D1" w:rsidP="00366E17">
      <w:pPr>
        <w:numPr>
          <w:ilvl w:val="0"/>
          <w:numId w:val="31"/>
        </w:numPr>
        <w:contextualSpacing/>
        <w:rPr>
          <w:rFonts w:eastAsia="Calibri" w:cs="Times New Roman"/>
        </w:rPr>
      </w:pPr>
      <w:r w:rsidRPr="000000D1">
        <w:rPr>
          <w:rFonts w:eastAsia="Calibri" w:cs="Times New Roman"/>
        </w:rPr>
        <w:t xml:space="preserve"> a corporate owner may need to include the PTE’s property, payroll, and sales factors in determining its own apportionment percentage.</w:t>
      </w:r>
    </w:p>
    <w:p w14:paraId="5E8CCEA7" w14:textId="77777777" w:rsidR="000000D1" w:rsidRPr="000000D1" w:rsidRDefault="000000D1" w:rsidP="000000D1">
      <w:pPr>
        <w:rPr>
          <w:rFonts w:eastAsia="Calibri" w:cs="Times New Roman"/>
        </w:rPr>
      </w:pPr>
      <w:r w:rsidRPr="000000D1">
        <w:rPr>
          <w:rFonts w:eastAsia="Calibri" w:cs="Times New Roman"/>
        </w:rPr>
        <w:tab/>
        <w:t>Virginia Public Document Ruling No. 88-161 (06/27/1998)</w:t>
      </w:r>
    </w:p>
    <w:p w14:paraId="5AE0D06E" w14:textId="77777777" w:rsidR="000000D1" w:rsidRPr="000000D1" w:rsidRDefault="000000D1" w:rsidP="000000D1">
      <w:pPr>
        <w:ind w:left="1440"/>
        <w:rPr>
          <w:rFonts w:eastAsia="Calibri" w:cs="Times New Roman"/>
        </w:rPr>
      </w:pPr>
      <w:r w:rsidRPr="000000D1">
        <w:rPr>
          <w:rFonts w:eastAsia="Calibri" w:cs="Times New Roman"/>
        </w:rPr>
        <w:t>If a Virginia modification is related to an item specially  allocated by the partnership agreement, then the partner's distributive share of the Virginia modification shall be the same as the partner's distributive share for federal income tax purposes of the item to which the modification relates.</w:t>
      </w:r>
    </w:p>
    <w:p w14:paraId="7DA8FE26" w14:textId="77777777" w:rsidR="000000D1" w:rsidRPr="000000D1" w:rsidRDefault="000000D1" w:rsidP="000000D1">
      <w:pPr>
        <w:ind w:firstLine="720"/>
        <w:rPr>
          <w:rFonts w:eastAsia="Calibri" w:cs="Times New Roman"/>
        </w:rPr>
      </w:pPr>
      <w:r w:rsidRPr="000000D1">
        <w:rPr>
          <w:rFonts w:eastAsia="Calibri" w:cs="Times New Roman"/>
        </w:rPr>
        <w:t>Virginia Public Document Ruling No. 94-285 (09/20/1994)</w:t>
      </w:r>
    </w:p>
    <w:p w14:paraId="572AF11D" w14:textId="77777777" w:rsidR="000000D1" w:rsidRPr="000000D1" w:rsidRDefault="000000D1" w:rsidP="000000D1">
      <w:pPr>
        <w:ind w:left="1440"/>
        <w:rPr>
          <w:rFonts w:eastAsia="Calibri" w:cs="Times New Roman"/>
        </w:rPr>
      </w:pPr>
      <w:r w:rsidRPr="000000D1">
        <w:rPr>
          <w:rFonts w:eastAsia="Calibri" w:cs="Times New Roman"/>
        </w:rPr>
        <w:t>Neither the special  allocations  provisions of the Partnership's partnership agreement nor the manner in which the Corporation reports the percentage of tax-exempt income to its shareholders may operate in such a manner as to shift tax-exempt income among taxpayers solely for the purpose of reducing Virginia income taxes.</w:t>
      </w:r>
    </w:p>
    <w:p w14:paraId="2570C260" w14:textId="77777777" w:rsidR="000000D1" w:rsidRPr="000000D1" w:rsidRDefault="000000D1" w:rsidP="000000D1">
      <w:pPr>
        <w:pBdr>
          <w:bottom w:val="single" w:sz="4" w:space="0" w:color="auto"/>
        </w:pBdr>
        <w:rPr>
          <w:rFonts w:eastAsia="Calibri" w:cs="Times New Roman"/>
        </w:rPr>
      </w:pPr>
    </w:p>
    <w:p w14:paraId="71DD925F"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63" w:name="_Toc198480808"/>
      <w:r w:rsidRPr="000000D1">
        <w:rPr>
          <w:rFonts w:ascii="Californian FB" w:eastAsia="Times New Roman" w:hAnsi="Californian FB" w:cs="Times New Roman"/>
          <w:b/>
          <w:color w:val="851C00"/>
          <w:sz w:val="24"/>
          <w:szCs w:val="24"/>
          <w:u w:val="single"/>
        </w:rPr>
        <w:lastRenderedPageBreak/>
        <w:t>West Virginia</w:t>
      </w:r>
      <w:bookmarkEnd w:id="163"/>
    </w:p>
    <w:p w14:paraId="5C453AE0" w14:textId="77777777" w:rsidR="000000D1" w:rsidRPr="000000D1" w:rsidRDefault="000000D1" w:rsidP="000000D1">
      <w:pPr>
        <w:ind w:left="720"/>
        <w:contextualSpacing/>
        <w:rPr>
          <w:rFonts w:eastAsia="Calibri" w:cs="Times New Roman"/>
        </w:rPr>
      </w:pPr>
      <w:r w:rsidRPr="000000D1">
        <w:rPr>
          <w:rFonts w:eastAsia="Calibri" w:cs="Times New Roman"/>
        </w:rPr>
        <w:t xml:space="preserve">W. Va. Code § 11-21-17(b) </w:t>
      </w:r>
    </w:p>
    <w:p w14:paraId="66F080A9" w14:textId="77777777" w:rsidR="000000D1" w:rsidRPr="000000D1" w:rsidRDefault="000000D1" w:rsidP="000000D1">
      <w:pPr>
        <w:contextualSpacing/>
        <w:rPr>
          <w:rFonts w:eastAsia="Calibri" w:cs="Times New Roman"/>
        </w:rPr>
      </w:pPr>
    </w:p>
    <w:p w14:paraId="3384B2B4" w14:textId="77777777" w:rsidR="000000D1" w:rsidRPr="000000D1" w:rsidRDefault="000000D1" w:rsidP="000000D1">
      <w:pPr>
        <w:ind w:left="1440"/>
        <w:rPr>
          <w:rFonts w:eastAsia="Calibri" w:cs="Times New Roman"/>
        </w:rPr>
      </w:pPr>
      <w:r w:rsidRPr="000000D1">
        <w:rPr>
          <w:rFonts w:eastAsia="Calibri" w:cs="Times New Roman"/>
        </w:rPr>
        <w:t>Each item of partnership income, gain, loss, or deduction shall have the same character for a partner under this article as for federal income tax purposes. Where an item is not characterized for federal income tax purposes, it shall have the same character for a partner as if realized directly from the source from which realized by the partnership, or incurred in the same manner as incurred by the partnership.</w:t>
      </w:r>
    </w:p>
    <w:p w14:paraId="04C87F08" w14:textId="77777777" w:rsidR="000000D1" w:rsidRPr="000000D1" w:rsidRDefault="000000D1" w:rsidP="000000D1">
      <w:pPr>
        <w:ind w:left="720"/>
        <w:contextualSpacing/>
        <w:rPr>
          <w:rFonts w:eastAsia="Calibri" w:cs="Times New Roman"/>
        </w:rPr>
      </w:pPr>
      <w:r w:rsidRPr="000000D1">
        <w:rPr>
          <w:rFonts w:eastAsia="Calibri" w:cs="Times New Roman"/>
        </w:rPr>
        <w:t>W. Va. Code § 11-21-17(c)</w:t>
      </w:r>
    </w:p>
    <w:p w14:paraId="1ABE0F01" w14:textId="77777777" w:rsidR="000000D1" w:rsidRPr="000000D1" w:rsidRDefault="000000D1" w:rsidP="000000D1">
      <w:pPr>
        <w:ind w:left="720"/>
        <w:contextualSpacing/>
        <w:rPr>
          <w:rFonts w:eastAsia="Calibri" w:cs="Times New Roman"/>
        </w:rPr>
      </w:pPr>
    </w:p>
    <w:p w14:paraId="08525C94" w14:textId="77777777" w:rsidR="000000D1" w:rsidRPr="000000D1" w:rsidRDefault="000000D1" w:rsidP="000000D1">
      <w:pPr>
        <w:ind w:left="1440"/>
        <w:contextualSpacing/>
        <w:rPr>
          <w:rFonts w:eastAsia="Calibri" w:cs="Times New Roman"/>
        </w:rPr>
      </w:pPr>
      <w:r w:rsidRPr="000000D1">
        <w:rPr>
          <w:rFonts w:eastAsia="Calibri" w:cs="Times New Roman"/>
        </w:rPr>
        <w:t>West Virginia tax avoidance or evasion. — Where a partner’s distributive share of an item of partnership income, gain, loss or deduction is determined for federal income tax purposes by special provision in the partnership agreement with respect to such item, and where the principal purpose of such provision is the avoidance or evasion of tax under this article, the partner’s distributive share of such item, and any modification required with respect thereto shall be determined as if the partnership agreement made no special provision with respect to such item.</w:t>
      </w:r>
    </w:p>
    <w:p w14:paraId="5AB64A9E" w14:textId="77777777" w:rsidR="000000D1" w:rsidRPr="000000D1" w:rsidRDefault="000000D1" w:rsidP="000000D1">
      <w:pPr>
        <w:ind w:left="1440"/>
        <w:contextualSpacing/>
        <w:rPr>
          <w:rFonts w:eastAsia="Calibri" w:cs="Times New Roman"/>
        </w:rPr>
      </w:pPr>
    </w:p>
    <w:p w14:paraId="1E5979B9" w14:textId="77777777" w:rsidR="000000D1" w:rsidRPr="000000D1" w:rsidRDefault="000000D1" w:rsidP="000000D1">
      <w:pPr>
        <w:ind w:left="720"/>
        <w:contextualSpacing/>
        <w:rPr>
          <w:rFonts w:eastAsia="Calibri" w:cs="Times New Roman"/>
        </w:rPr>
      </w:pPr>
      <w:r w:rsidRPr="000000D1">
        <w:rPr>
          <w:rFonts w:eastAsia="Calibri" w:cs="Times New Roman"/>
        </w:rPr>
        <w:t xml:space="preserve">W. Va. Code § 11-21-37 </w:t>
      </w:r>
    </w:p>
    <w:p w14:paraId="699F7E61" w14:textId="77777777" w:rsidR="000000D1" w:rsidRPr="000000D1" w:rsidRDefault="000000D1" w:rsidP="000000D1">
      <w:pPr>
        <w:contextualSpacing/>
        <w:rPr>
          <w:rFonts w:eastAsia="Calibri" w:cs="Times New Roman"/>
        </w:rPr>
      </w:pPr>
    </w:p>
    <w:p w14:paraId="26C036B7" w14:textId="77777777" w:rsidR="000000D1" w:rsidRPr="000000D1" w:rsidRDefault="000000D1" w:rsidP="000000D1">
      <w:pPr>
        <w:ind w:left="1440"/>
        <w:rPr>
          <w:rFonts w:eastAsia="Calibri" w:cs="Times New Roman"/>
        </w:rPr>
      </w:pPr>
      <w:r w:rsidRPr="000000D1">
        <w:rPr>
          <w:rFonts w:eastAsia="Calibri" w:cs="Times New Roman"/>
        </w:rPr>
        <w:t>(a) In determining West Virginia source income of a nonresident partner of any partnership, there shall be included only the portion derived from or connected with West Virginia sources of such partner's distributive share, for federal income tax purposes, of items of partnership income, gain, loss and deduction, as such portion shall be determined under regulations of the tax commissioner consistent with the applicable rules of section thirty-two [§ 11-21-32].</w:t>
      </w:r>
    </w:p>
    <w:p w14:paraId="36FFDE67" w14:textId="77777777" w:rsidR="000000D1" w:rsidRPr="000000D1" w:rsidRDefault="000000D1" w:rsidP="000000D1">
      <w:pPr>
        <w:ind w:left="1440"/>
        <w:rPr>
          <w:rFonts w:eastAsia="Calibri" w:cs="Times New Roman"/>
        </w:rPr>
      </w:pPr>
      <w:r w:rsidRPr="000000D1">
        <w:rPr>
          <w:rFonts w:eastAsia="Calibri" w:cs="Times New Roman"/>
        </w:rPr>
        <w:t>(b) Special rules as to West Virginia sources. -- In determining the sources of a nonresident partner's income, no effect shall be given to a provision of the partnership agreement which:</w:t>
      </w:r>
    </w:p>
    <w:p w14:paraId="1103D9AE" w14:textId="77777777" w:rsidR="000000D1" w:rsidRPr="000000D1" w:rsidRDefault="000000D1" w:rsidP="000000D1">
      <w:pPr>
        <w:ind w:left="1440"/>
        <w:rPr>
          <w:rFonts w:eastAsia="Calibri" w:cs="Times New Roman"/>
        </w:rPr>
      </w:pPr>
      <w:r w:rsidRPr="000000D1">
        <w:rPr>
          <w:rFonts w:eastAsia="Calibri" w:cs="Times New Roman"/>
        </w:rPr>
        <w:t>(1) Characterizes payments to the partner as being for services or for the use of capital; or</w:t>
      </w:r>
    </w:p>
    <w:p w14:paraId="5BC2ADE5" w14:textId="77777777" w:rsidR="000000D1" w:rsidRPr="000000D1" w:rsidRDefault="000000D1" w:rsidP="000000D1">
      <w:pPr>
        <w:ind w:left="1440"/>
        <w:rPr>
          <w:rFonts w:eastAsia="Calibri" w:cs="Times New Roman"/>
        </w:rPr>
      </w:pPr>
      <w:r w:rsidRPr="000000D1">
        <w:rPr>
          <w:rFonts w:eastAsia="Calibri" w:cs="Times New Roman"/>
        </w:rPr>
        <w:t>(2) Allocates to the partner, as income or gain from sources outside West Virginia, a greater proportion of his or her distributive share of partnership income or gain than the ratio of partnership income or gain from sources outside West Virginia to partnership income or gain from all sources, except as authorized in subsection (d); or</w:t>
      </w:r>
    </w:p>
    <w:p w14:paraId="5696012F" w14:textId="77777777" w:rsidR="000000D1" w:rsidRPr="000000D1" w:rsidRDefault="000000D1" w:rsidP="000000D1">
      <w:pPr>
        <w:ind w:left="1440"/>
        <w:rPr>
          <w:rFonts w:eastAsia="Calibri" w:cs="Times New Roman"/>
        </w:rPr>
      </w:pPr>
      <w:r w:rsidRPr="000000D1">
        <w:rPr>
          <w:rFonts w:eastAsia="Calibri" w:cs="Times New Roman"/>
        </w:rPr>
        <w:t>(3) Allocates to the partner a greater proportion of a partnership item of loss or deduction connected with West Virginia sources than his or her proportionate share, for federal income tax purposes, of partnership loss or deduction generally, except as authorized in subsection (c).</w:t>
      </w:r>
    </w:p>
    <w:p w14:paraId="53B83D7E" w14:textId="77777777" w:rsidR="000000D1" w:rsidRPr="000000D1" w:rsidRDefault="000000D1" w:rsidP="000000D1">
      <w:pPr>
        <w:ind w:left="1440"/>
        <w:rPr>
          <w:rFonts w:eastAsia="Calibri" w:cs="Times New Roman"/>
        </w:rPr>
      </w:pPr>
      <w:r w:rsidRPr="000000D1">
        <w:rPr>
          <w:rFonts w:eastAsia="Calibri" w:cs="Times New Roman"/>
        </w:rPr>
        <w:t>(c) Alternative methods. -- The Tax Commissioner may, on written application filed on or before the due date of the partner's or S corporation shareholder's return under this article for that taxable year determined without regard to any extension of time for filing, authorize the use of such other method or methods of determining the nonresident partner's portion of partnership items, or the nonresident S corporation shareholder's portion of S corporation items, derived from or connected with West Virginia sources, and the modifications related thereto, as may be appropriate and equitable, on such terms and conditions as the commissioner may require.</w:t>
      </w:r>
    </w:p>
    <w:p w14:paraId="5E1BE74F" w14:textId="77777777" w:rsidR="000000D1" w:rsidRPr="000000D1" w:rsidRDefault="000000D1" w:rsidP="000000D1">
      <w:pPr>
        <w:ind w:left="1440"/>
        <w:rPr>
          <w:rFonts w:eastAsia="Calibri" w:cs="Times New Roman"/>
        </w:rPr>
      </w:pPr>
      <w:r w:rsidRPr="000000D1">
        <w:rPr>
          <w:rFonts w:eastAsia="Calibri" w:cs="Times New Roman"/>
        </w:rPr>
        <w:t>(d) Application of rules for resident partners to nonresident partners and shareholders.</w:t>
      </w:r>
    </w:p>
    <w:p w14:paraId="6F85A80C" w14:textId="77777777" w:rsidR="000000D1" w:rsidRPr="000000D1" w:rsidRDefault="000000D1" w:rsidP="000000D1">
      <w:pPr>
        <w:ind w:left="1440"/>
        <w:rPr>
          <w:rFonts w:eastAsia="Calibri" w:cs="Times New Roman"/>
        </w:rPr>
      </w:pPr>
      <w:r w:rsidRPr="000000D1">
        <w:rPr>
          <w:rFonts w:eastAsia="Calibri" w:cs="Times New Roman"/>
        </w:rPr>
        <w:lastRenderedPageBreak/>
        <w:t>(1) For a partner's distributive share of items, see subsection (a) of section seventeen of this article.</w:t>
      </w:r>
    </w:p>
    <w:p w14:paraId="758CD934" w14:textId="77777777" w:rsidR="000000D1" w:rsidRPr="000000D1" w:rsidRDefault="000000D1" w:rsidP="000000D1">
      <w:pPr>
        <w:ind w:left="1440"/>
        <w:rPr>
          <w:rFonts w:eastAsia="Calibri" w:cs="Times New Roman"/>
        </w:rPr>
      </w:pPr>
      <w:r w:rsidRPr="000000D1">
        <w:rPr>
          <w:rFonts w:eastAsia="Calibri" w:cs="Times New Roman"/>
        </w:rPr>
        <w:t>(2) The character of partnership items for a nonresident partner shall be determined under subsection (b) of section seventeen of this article.</w:t>
      </w:r>
    </w:p>
    <w:p w14:paraId="3775A20B" w14:textId="77777777" w:rsidR="000000D1" w:rsidRPr="000000D1" w:rsidRDefault="000000D1" w:rsidP="000000D1">
      <w:pPr>
        <w:ind w:left="1440"/>
        <w:rPr>
          <w:rFonts w:eastAsia="Calibri" w:cs="Times New Roman"/>
        </w:rPr>
      </w:pPr>
      <w:r w:rsidRPr="000000D1">
        <w:rPr>
          <w:rFonts w:eastAsia="Calibri" w:cs="Times New Roman"/>
        </w:rPr>
        <w:t>(3) The effect of a special provision in a partnership agreement, other than a provision referred to in subsection (b) of this section, having the principal purpose of avoidance or evasion of tax under this article shall be determined under subsection (c) of section seventeen of this article.</w:t>
      </w:r>
    </w:p>
    <w:p w14:paraId="36D6471B" w14:textId="77777777" w:rsidR="000000D1" w:rsidRPr="000000D1" w:rsidRDefault="000000D1" w:rsidP="000000D1">
      <w:pPr>
        <w:ind w:left="720"/>
        <w:contextualSpacing/>
        <w:rPr>
          <w:rFonts w:eastAsia="Calibri" w:cs="Times New Roman"/>
        </w:rPr>
      </w:pPr>
      <w:r w:rsidRPr="000000D1">
        <w:rPr>
          <w:rFonts w:eastAsia="Calibri" w:cs="Times New Roman"/>
        </w:rPr>
        <w:t xml:space="preserve">W. Va. Code § 11-21-37A </w:t>
      </w:r>
    </w:p>
    <w:p w14:paraId="557298BF" w14:textId="77777777" w:rsidR="000000D1" w:rsidRPr="000000D1" w:rsidRDefault="000000D1" w:rsidP="000000D1">
      <w:pPr>
        <w:contextualSpacing/>
        <w:rPr>
          <w:rFonts w:eastAsia="Calibri" w:cs="Times New Roman"/>
        </w:rPr>
      </w:pPr>
    </w:p>
    <w:p w14:paraId="285AAB3C" w14:textId="77777777" w:rsidR="000000D1" w:rsidRPr="000000D1" w:rsidRDefault="000000D1" w:rsidP="000000D1">
      <w:pPr>
        <w:ind w:left="1440"/>
        <w:rPr>
          <w:rFonts w:eastAsia="Calibri" w:cs="Times New Roman"/>
        </w:rPr>
      </w:pPr>
      <w:r w:rsidRPr="000000D1">
        <w:rPr>
          <w:rFonts w:eastAsia="Calibri" w:cs="Times New Roman"/>
        </w:rPr>
        <w:t>(a) Notwithstanding any provision of §11-21-37 of this code to the contrary, a business doing business in West Virginia and in one or more other states shall allocate its nonbusiness income as provided in §11-21-37a(c) of this code and shall apportion its business income as provided in §11-21-37a(f) of this code to determine the West Virginia source income of its nonresident partners and nonresident S corporation shareholders for purposes of this article. For purposes of this section:</w:t>
      </w:r>
    </w:p>
    <w:p w14:paraId="3967DA17" w14:textId="77777777" w:rsidR="000000D1" w:rsidRPr="000000D1" w:rsidRDefault="000000D1" w:rsidP="000000D1">
      <w:pPr>
        <w:ind w:left="1440"/>
        <w:rPr>
          <w:rFonts w:eastAsia="Calibri" w:cs="Times New Roman"/>
        </w:rPr>
      </w:pPr>
      <w:r w:rsidRPr="000000D1">
        <w:rPr>
          <w:rFonts w:eastAsia="Calibri" w:cs="Times New Roman"/>
        </w:rPr>
        <w:t>(1) The term "business entity" includes a partnership, limited partnership, joint venture, corporation, S corporation, and any other group or combination acting as a unit, but does not include a sole proprietorship; and</w:t>
      </w:r>
    </w:p>
    <w:p w14:paraId="60266E28" w14:textId="77777777" w:rsidR="000000D1" w:rsidRPr="000000D1" w:rsidRDefault="000000D1" w:rsidP="000000D1">
      <w:pPr>
        <w:ind w:left="1440"/>
        <w:rPr>
          <w:rFonts w:eastAsia="Calibri" w:cs="Times New Roman"/>
        </w:rPr>
      </w:pPr>
      <w:r w:rsidRPr="000000D1">
        <w:rPr>
          <w:rFonts w:eastAsia="Calibri" w:cs="Times New Roman"/>
        </w:rPr>
        <w:t>(2) The term "engaging in business" or "doing business" means any activity of a business entity which enjoys the benefits and protection of government and laws in this state. . . .</w:t>
      </w:r>
    </w:p>
    <w:p w14:paraId="3D5CF183" w14:textId="77777777" w:rsidR="000000D1" w:rsidRPr="000000D1" w:rsidRDefault="000000D1" w:rsidP="000000D1">
      <w:pPr>
        <w:ind w:left="1440"/>
        <w:rPr>
          <w:rFonts w:eastAsia="Calibri" w:cs="Times New Roman"/>
        </w:rPr>
      </w:pPr>
      <w:r w:rsidRPr="000000D1">
        <w:rPr>
          <w:rFonts w:eastAsia="Calibri" w:cs="Times New Roman"/>
        </w:rPr>
        <w:t>(j)(A) Allocation and apportionment on and after January 1, 2022. - For tax years beginning on and after January 1, 2022, income of flow-through entities allocated and apportioned under this section and §11-21-32 of this code, shall be allocated and apportioned in the same manner and to the same extent as the income of corporations and entities taxable under §11-24-1 et seq. of this code are allocated and apportioned under §11-24-7 of this code. Apportioned income shall be apportioned pursuant to application of a single sales factor to the same extent as the income of corporations and entities taxable under §11-24-1 et seq. of this code are apportioned under §11-24-7 of this code. Allocated income shall be allocated in the same manner and to the same extent as the income of corporations and entities taxable under §11-24-1 et seq. of this code are apportioned under §11-24-7 of this code.</w:t>
      </w:r>
    </w:p>
    <w:p w14:paraId="31AA0788" w14:textId="77777777" w:rsidR="000000D1" w:rsidRPr="000000D1" w:rsidRDefault="000000D1" w:rsidP="000000D1">
      <w:pPr>
        <w:ind w:left="1440"/>
        <w:rPr>
          <w:rFonts w:eastAsia="Calibri" w:cs="Times New Roman"/>
        </w:rPr>
      </w:pPr>
      <w:r w:rsidRPr="000000D1">
        <w:rPr>
          <w:rFonts w:eastAsia="Calibri" w:cs="Times New Roman"/>
        </w:rPr>
        <w:t>(B) For purposes of this article the provisions of §11-21-12K, §11-21-37b and §11-21-37c of this code remain unchanged by this section.</w:t>
      </w:r>
    </w:p>
    <w:p w14:paraId="62EFB72F" w14:textId="77777777" w:rsidR="000000D1" w:rsidRPr="000000D1" w:rsidRDefault="000000D1" w:rsidP="000000D1">
      <w:pPr>
        <w:ind w:left="1440"/>
        <w:rPr>
          <w:rFonts w:eastAsia="Calibri" w:cs="Times New Roman"/>
        </w:rPr>
      </w:pPr>
      <w:r w:rsidRPr="000000D1">
        <w:rPr>
          <w:rFonts w:eastAsia="Calibri" w:cs="Times New Roman"/>
        </w:rPr>
        <w:t>(C) For purposes of this article, "flow-through entity", "conduit entity" or "pass through entity" means an S corporation, partnership, limited partnership, limited liability partnership, or limited liability company. The term "flow-through entity," "conduit entity" or "pass through entity" includes a publicly traded partnership as that term is defined in section 7704 of the Internal Revenue Code that has equity securities registered with the Securities and Exchange Commission under Section 12 of Title I of the Securities Exchange Act of 1934, 15 USC 78l .</w:t>
      </w:r>
    </w:p>
    <w:p w14:paraId="21536A8E" w14:textId="77777777" w:rsidR="000000D1" w:rsidRPr="000000D1" w:rsidRDefault="000000D1" w:rsidP="000000D1">
      <w:pPr>
        <w:ind w:left="1440"/>
        <w:rPr>
          <w:rFonts w:eastAsia="Calibri" w:cs="Times New Roman"/>
        </w:rPr>
      </w:pPr>
      <w:r w:rsidRPr="000000D1">
        <w:rPr>
          <w:rFonts w:eastAsia="Calibri" w:cs="Times New Roman"/>
        </w:rPr>
        <w:t xml:space="preserve">(D) Allocation of flow-through income to recipients. - Income of a flow-through entity allocated and apportioned under this section or any other provision of this article is allocated income in the hands of a shareholder, interest owner, partner, member or other recipient of flow-through income, and taxable to such recipient as income allocated to this state under the provisions of this article, or in the case of recipients of such flow through income that are taxable under the provisions of §11-24-1 et seq. of this </w:t>
      </w:r>
      <w:r w:rsidRPr="000000D1">
        <w:rPr>
          <w:rFonts w:eastAsia="Calibri" w:cs="Times New Roman"/>
        </w:rPr>
        <w:lastRenderedPageBreak/>
        <w:t xml:space="preserve">code, such income is taxable to such recipient as income allocated to this state under the provisions of §11-24-1 et seq. of this code. </w:t>
      </w:r>
    </w:p>
    <w:p w14:paraId="182B9351" w14:textId="77777777" w:rsidR="000000D1" w:rsidRPr="000000D1" w:rsidRDefault="000000D1" w:rsidP="000000D1">
      <w:pPr>
        <w:rPr>
          <w:rFonts w:eastAsia="Calibri" w:cs="Times New Roman"/>
          <w:i/>
        </w:rPr>
      </w:pPr>
      <w:r w:rsidRPr="000000D1">
        <w:rPr>
          <w:rFonts w:eastAsia="Calibri" w:cs="Times New Roman"/>
        </w:rPr>
        <w:tab/>
        <w:t xml:space="preserve">W. Va. Code § 11-24-7(d)(5) </w:t>
      </w:r>
    </w:p>
    <w:p w14:paraId="5ABF5A13" w14:textId="77777777" w:rsidR="000000D1" w:rsidRPr="000000D1" w:rsidRDefault="000000D1" w:rsidP="000000D1">
      <w:pPr>
        <w:ind w:left="1440"/>
        <w:rPr>
          <w:rFonts w:eastAsia="Calibri" w:cs="Times New Roman"/>
          <w:iCs/>
        </w:rPr>
      </w:pPr>
      <w:r w:rsidRPr="000000D1">
        <w:rPr>
          <w:rFonts w:eastAsia="Calibri" w:cs="Times New Roman"/>
          <w:iCs/>
        </w:rPr>
        <w:t>(A) Persons carrying on business as partners in a partnership, as defined in Section 761 of the Internal Revenue Code of 1986, as amended, are liable for income tax only in their separate or individual capacities.</w:t>
      </w:r>
    </w:p>
    <w:p w14:paraId="79EF67F6" w14:textId="77777777" w:rsidR="000000D1" w:rsidRPr="000000D1" w:rsidRDefault="000000D1" w:rsidP="000000D1">
      <w:pPr>
        <w:ind w:left="1440"/>
        <w:rPr>
          <w:rFonts w:eastAsia="Calibri" w:cs="Times New Roman"/>
          <w:iCs/>
        </w:rPr>
      </w:pPr>
      <w:r w:rsidRPr="000000D1">
        <w:rPr>
          <w:rFonts w:eastAsia="Calibri" w:cs="Times New Roman"/>
          <w:iCs/>
        </w:rPr>
        <w:t>(B) A corporate partner's distributive share of income, gain, loss, deduction or credit of a partnership shall be modified as provided in section six of this article for each partnership. For taxable years beginning on or after December 31, 1998, the distributive share shall then be allocated and apportioned as provided in this section using the partnership's property, payroll and sales factors. The sum of that portion of the distributive share allocated and apportioned to this state shall then be treated as distributive share allocated to this state; and that portion of distributive share allocated or apportioned outside this state shall be treated as distributive share allocated outside this state, unless the taxpayer requests or the Tax Commissioner, under subsection (h) of this section requires that the distributive share be treated differently.</w:t>
      </w:r>
    </w:p>
    <w:p w14:paraId="70743922" w14:textId="77777777" w:rsidR="000000D1" w:rsidRPr="000000D1" w:rsidRDefault="000000D1" w:rsidP="000000D1">
      <w:pPr>
        <w:ind w:left="1440"/>
        <w:rPr>
          <w:rFonts w:eastAsia="Calibri" w:cs="Times New Roman"/>
          <w:iCs/>
        </w:rPr>
      </w:pPr>
      <w:r w:rsidRPr="000000D1">
        <w:rPr>
          <w:rFonts w:eastAsia="Calibri" w:cs="Times New Roman"/>
          <w:iCs/>
        </w:rPr>
        <w:t>(C) This subdivision shall be null and void and of no force or effect for tax years beginning on or after January 1, 2009.</w:t>
      </w:r>
      <w:r w:rsidRPr="000000D1">
        <w:rPr>
          <w:rFonts w:eastAsia="Calibri" w:cs="Times New Roman"/>
          <w:iCs/>
        </w:rPr>
        <w:tab/>
      </w:r>
    </w:p>
    <w:p w14:paraId="35C0B56E" w14:textId="77777777" w:rsidR="000000D1" w:rsidRPr="000000D1" w:rsidRDefault="000000D1" w:rsidP="000000D1">
      <w:pPr>
        <w:rPr>
          <w:rFonts w:eastAsia="Calibri" w:cs="Times New Roman"/>
          <w:i/>
        </w:rPr>
      </w:pPr>
      <w:r w:rsidRPr="000000D1">
        <w:rPr>
          <w:rFonts w:eastAsia="Calibri" w:cs="Times New Roman"/>
          <w:iCs/>
        </w:rPr>
        <w:tab/>
      </w:r>
      <w:r w:rsidRPr="000000D1">
        <w:rPr>
          <w:rFonts w:eastAsia="Calibri" w:cs="Times New Roman"/>
        </w:rPr>
        <w:t>W. Va. Code § 11-24-13c</w:t>
      </w:r>
    </w:p>
    <w:p w14:paraId="3CFCFBFA" w14:textId="77777777" w:rsidR="000000D1" w:rsidRPr="000000D1" w:rsidRDefault="000000D1" w:rsidP="000000D1">
      <w:pPr>
        <w:ind w:left="1440"/>
        <w:rPr>
          <w:rFonts w:eastAsia="Calibri" w:cs="Times New Roman"/>
          <w:iCs/>
        </w:rPr>
      </w:pPr>
      <w:r w:rsidRPr="000000D1">
        <w:rPr>
          <w:rFonts w:eastAsia="Calibri" w:cs="Times New Roman"/>
          <w:iCs/>
        </w:rPr>
        <w:t>(c)(2) The property, payroll and sales of a partnership shall be included in the determination of the partner's apportionment percentage in proportion to a ratio the numerator of which is the amount of the partner's distributive share of partnership's unitary income included in the income of the combined group in accordance with section thirteen-d of this article and the denominator of which is the amount of the partnership's total unitary income.</w:t>
      </w:r>
    </w:p>
    <w:p w14:paraId="505B7671" w14:textId="77777777" w:rsidR="000000D1" w:rsidRPr="000000D1" w:rsidRDefault="000000D1" w:rsidP="000000D1">
      <w:pPr>
        <w:rPr>
          <w:rFonts w:eastAsia="Calibri" w:cs="Times New Roman"/>
          <w:i/>
        </w:rPr>
      </w:pPr>
      <w:r w:rsidRPr="000000D1">
        <w:rPr>
          <w:rFonts w:eastAsia="Calibri" w:cs="Times New Roman"/>
          <w:iCs/>
        </w:rPr>
        <w:tab/>
        <w:t>W. Va. Code R. § 110-24-6 Example 3</w:t>
      </w:r>
      <w:r w:rsidRPr="000000D1">
        <w:rPr>
          <w:rFonts w:eastAsia="Calibri" w:cs="Times New Roman"/>
          <w:i/>
        </w:rPr>
        <w:t xml:space="preserve"> </w:t>
      </w:r>
    </w:p>
    <w:p w14:paraId="5FDBB7F9" w14:textId="77777777" w:rsidR="000000D1" w:rsidRPr="000000D1" w:rsidRDefault="000000D1" w:rsidP="000000D1">
      <w:pPr>
        <w:ind w:left="1440"/>
        <w:rPr>
          <w:rFonts w:eastAsia="Calibri" w:cs="Times New Roman"/>
          <w:iCs/>
        </w:rPr>
      </w:pPr>
      <w:r w:rsidRPr="000000D1">
        <w:rPr>
          <w:rFonts w:eastAsia="Calibri" w:cs="Times New Roman"/>
          <w:iCs/>
        </w:rPr>
        <w:t>When a partnership owned in part by a corporation has taxable nexus in one or more states into which the corporation sells tangible personal property, but the corporation does not otherwise have taxable nexus with those states. A combined group engaged in unitary business activity consists of Corporations A, B, C and D. The combined group makes sales to customers in States 1, 2, 3, 4, 5 and 6. However, Corporations A and C do not sell tangible personal property to customers in all of those states or, in some of the states, Corporations A and C are not subject to an income tax because of application of Public Law 86-272. Corporations A and C each own an interest in partnerships engaged in unitary business activity with the combined group. These partnerships have taxable nexus with states into which Corporations A and C sell tangible personal property and in which Corporations A and C do not have taxable nexus if their partnership interests are disregarded. Each corporation's share of sales reflected in the apportionment factors of the partnerships are included in the apportionment factors of Corporation A and C, which are the corporate owners of the partnerships. As a consequence, all members of the combined group have taxable nexus with all of the states into which they sell tangible personal property, and the no throw does not apply to this combined group.</w:t>
      </w:r>
    </w:p>
    <w:p w14:paraId="0B2DAD04" w14:textId="77777777" w:rsidR="000000D1" w:rsidRPr="000000D1" w:rsidRDefault="000000D1" w:rsidP="000000D1">
      <w:pPr>
        <w:ind w:firstLine="720"/>
        <w:rPr>
          <w:rFonts w:eastAsia="Calibri" w:cs="Times New Roman"/>
          <w:i/>
        </w:rPr>
      </w:pPr>
      <w:r w:rsidRPr="000000D1">
        <w:rPr>
          <w:rFonts w:eastAsia="Calibri" w:cs="Times New Roman"/>
          <w:iCs/>
        </w:rPr>
        <w:t xml:space="preserve">West Virginia Form PTE-100 Instructions </w:t>
      </w:r>
    </w:p>
    <w:p w14:paraId="725338F5" w14:textId="77777777" w:rsidR="000000D1" w:rsidRPr="000000D1" w:rsidRDefault="000000D1" w:rsidP="000000D1">
      <w:pPr>
        <w:ind w:left="1440"/>
        <w:rPr>
          <w:rFonts w:eastAsia="Calibri" w:cs="Times New Roman"/>
          <w:iCs/>
        </w:rPr>
      </w:pPr>
      <w:r w:rsidRPr="000000D1">
        <w:rPr>
          <w:rFonts w:eastAsia="Calibri" w:cs="Times New Roman"/>
          <w:iCs/>
        </w:rPr>
        <w:t>Pass through entity owners of pass through entities should allocate income received from a Pass Through Entity unless such entities are engaged in a unitary business. If a unitary relationship exists, a Pass Through Entity owner of a pass through entity may reapportion its WV income, including the appropriate factors of the subsidiary</w:t>
      </w:r>
      <w:r w:rsidRPr="000000D1">
        <w:rPr>
          <w:rFonts w:eastAsia="Calibri" w:cs="Times New Roman"/>
          <w:i/>
        </w:rPr>
        <w:t>.</w:t>
      </w:r>
    </w:p>
    <w:p w14:paraId="7DBD0C48" w14:textId="77777777" w:rsidR="000000D1" w:rsidRPr="000000D1" w:rsidRDefault="000000D1" w:rsidP="000000D1">
      <w:pPr>
        <w:ind w:left="720"/>
        <w:contextualSpacing/>
        <w:rPr>
          <w:rFonts w:eastAsia="Calibri" w:cs="Times New Roman"/>
        </w:rPr>
      </w:pPr>
      <w:r w:rsidRPr="000000D1">
        <w:rPr>
          <w:rFonts w:eastAsia="Calibri" w:cs="Times New Roman"/>
        </w:rPr>
        <w:lastRenderedPageBreak/>
        <w:t xml:space="preserve">West Virginia Taxpayer Services Division Publications No. TSD-392 (May 1, 2020) </w:t>
      </w:r>
    </w:p>
    <w:p w14:paraId="588D1AF8" w14:textId="77777777" w:rsidR="000000D1" w:rsidRPr="000000D1" w:rsidRDefault="000000D1" w:rsidP="000000D1">
      <w:pPr>
        <w:contextualSpacing/>
        <w:rPr>
          <w:rFonts w:eastAsia="Calibri" w:cs="Times New Roman"/>
        </w:rPr>
      </w:pPr>
    </w:p>
    <w:p w14:paraId="38507CD4" w14:textId="77777777" w:rsidR="000000D1" w:rsidRPr="000000D1" w:rsidRDefault="000000D1" w:rsidP="000000D1">
      <w:pPr>
        <w:ind w:left="1440"/>
        <w:rPr>
          <w:rFonts w:eastAsia="Calibri" w:cs="Times New Roman"/>
        </w:rPr>
      </w:pPr>
      <w:r w:rsidRPr="000000D1">
        <w:rPr>
          <w:rFonts w:eastAsia="Calibri" w:cs="Times New Roman"/>
        </w:rPr>
        <w:t>A corporate partner's distributive share of partnership income, gain, loss, deduction or credit is apportionable to West Virginia. State law presumes that a corporate partner's distributive share of partnership income is apportionable business income.</w:t>
      </w:r>
    </w:p>
    <w:p w14:paraId="02D1979A" w14:textId="77777777" w:rsidR="000000D1" w:rsidRPr="000000D1" w:rsidRDefault="000000D1" w:rsidP="000000D1">
      <w:pPr>
        <w:ind w:firstLine="720"/>
        <w:contextualSpacing/>
        <w:rPr>
          <w:rFonts w:eastAsia="Calibri" w:cs="Times New Roman"/>
        </w:rPr>
      </w:pPr>
      <w:r w:rsidRPr="000000D1">
        <w:rPr>
          <w:rFonts w:eastAsia="Calibri" w:cs="Times New Roman"/>
        </w:rPr>
        <w:t>West Virginia Taxpayer Services Division Publications No. TSD-423 (11/01/2011)</w:t>
      </w:r>
    </w:p>
    <w:p w14:paraId="3DB1A678" w14:textId="77777777" w:rsidR="000000D1" w:rsidRPr="000000D1" w:rsidRDefault="000000D1" w:rsidP="000000D1">
      <w:pPr>
        <w:contextualSpacing/>
        <w:rPr>
          <w:rFonts w:eastAsia="Calibri" w:cs="Times New Roman"/>
        </w:rPr>
      </w:pPr>
      <w:r w:rsidRPr="000000D1">
        <w:rPr>
          <w:rFonts w:eastAsia="Calibri" w:cs="Times New Roman"/>
        </w:rPr>
        <w:tab/>
      </w:r>
      <w:r w:rsidRPr="000000D1">
        <w:rPr>
          <w:rFonts w:eastAsia="Calibri" w:cs="Times New Roman"/>
        </w:rPr>
        <w:tab/>
      </w:r>
    </w:p>
    <w:p w14:paraId="634C13EC" w14:textId="77777777" w:rsidR="000000D1" w:rsidRPr="000000D1" w:rsidRDefault="000000D1" w:rsidP="000000D1">
      <w:pPr>
        <w:ind w:left="1440"/>
        <w:contextualSpacing/>
        <w:rPr>
          <w:rFonts w:eastAsia="Calibri" w:cs="Times New Roman"/>
        </w:rPr>
      </w:pPr>
      <w:r w:rsidRPr="000000D1">
        <w:rPr>
          <w:rFonts w:eastAsia="Calibri" w:cs="Times New Roman"/>
        </w:rPr>
        <w:t>West Virginia Business Franchise Tax - If the nonresident law firm is a corporation or partnership, the law firm would be liable for the West Virginia business franchise tax. The amount of tax payable would be calculated based upon the apportioned capital base of the firm. W. Va. Code § 11-23. Apportionment is typically based upon the West Virginia four factor formula consisting of a property factor, a payroll factor and a double weighted sales factor. However, should it appear that the statutory apportionment method does not accurately reflect the extent of the business activity in West Virginia, the Tax Commissioner may require use of, or the taxpayer may petition for, an alternative  apportionment  method.</w:t>
      </w:r>
    </w:p>
    <w:p w14:paraId="78A53CC4" w14:textId="77777777" w:rsidR="000000D1" w:rsidRPr="000000D1" w:rsidRDefault="000000D1" w:rsidP="000000D1">
      <w:pPr>
        <w:contextualSpacing/>
        <w:rPr>
          <w:rFonts w:eastAsia="Calibri" w:cs="Times New Roman"/>
        </w:rPr>
      </w:pPr>
    </w:p>
    <w:p w14:paraId="76192AF4" w14:textId="77777777" w:rsidR="000000D1" w:rsidRPr="000000D1" w:rsidRDefault="000000D1" w:rsidP="000000D1">
      <w:pPr>
        <w:ind w:left="1440"/>
        <w:contextualSpacing/>
        <w:rPr>
          <w:rFonts w:eastAsia="Calibri" w:cs="Times New Roman"/>
        </w:rPr>
      </w:pPr>
      <w:r w:rsidRPr="000000D1">
        <w:rPr>
          <w:rFonts w:eastAsia="Calibri" w:cs="Times New Roman"/>
        </w:rPr>
        <w:t>Should the nonresident law firm wish to do so, the firm could apply to the West Virginia State Tax Department for use specific accounting to apportion its tax base to the State of West Virginia instead of the typically applied four factor formula. The taxpayer would be required to apply for authorization to use specific accounting to apportion its tax base before the unextended due date of the annual franchise tax return for the tax year for which West Virginia reporting is required.</w:t>
      </w:r>
    </w:p>
    <w:p w14:paraId="3E91C74E" w14:textId="77777777" w:rsidR="000000D1" w:rsidRPr="000000D1" w:rsidRDefault="000000D1" w:rsidP="000000D1">
      <w:pPr>
        <w:pBdr>
          <w:bottom w:val="single" w:sz="4" w:space="0" w:color="auto"/>
        </w:pBdr>
        <w:rPr>
          <w:rFonts w:eastAsia="Calibri" w:cs="Times New Roman"/>
        </w:rPr>
      </w:pPr>
    </w:p>
    <w:p w14:paraId="7997CE21"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64" w:name="_Toc198480809"/>
      <w:bookmarkEnd w:id="96"/>
      <w:r w:rsidRPr="000000D1">
        <w:rPr>
          <w:rFonts w:ascii="Californian FB" w:eastAsia="Times New Roman" w:hAnsi="Californian FB" w:cs="Times New Roman"/>
          <w:b/>
          <w:color w:val="851C00"/>
          <w:sz w:val="24"/>
          <w:szCs w:val="24"/>
          <w:u w:val="single"/>
        </w:rPr>
        <w:t>Wisconsin</w:t>
      </w:r>
      <w:bookmarkEnd w:id="164"/>
    </w:p>
    <w:p w14:paraId="4FCBBD2D" w14:textId="77777777" w:rsidR="000000D1" w:rsidRPr="000000D1" w:rsidRDefault="000000D1" w:rsidP="000000D1">
      <w:pPr>
        <w:widowControl w:val="0"/>
        <w:autoSpaceDE w:val="0"/>
        <w:autoSpaceDN w:val="0"/>
        <w:spacing w:before="134" w:after="0" w:line="240" w:lineRule="auto"/>
        <w:ind w:left="868"/>
        <w:jc w:val="left"/>
        <w:rPr>
          <w:rFonts w:eastAsia="Cambria" w:cs="Cambria"/>
          <w:sz w:val="24"/>
          <w:szCs w:val="24"/>
          <w:u w:val="single"/>
        </w:rPr>
      </w:pPr>
      <w:r w:rsidRPr="000000D1">
        <w:rPr>
          <w:rFonts w:eastAsia="Cambria" w:cs="Cambria"/>
          <w:sz w:val="24"/>
          <w:szCs w:val="24"/>
          <w:u w:val="single"/>
        </w:rPr>
        <w:t>Published Guidance:</w:t>
      </w:r>
    </w:p>
    <w:p w14:paraId="5625447C" w14:textId="77777777" w:rsidR="000000D1" w:rsidRPr="000000D1" w:rsidRDefault="000000D1" w:rsidP="00366E17">
      <w:pPr>
        <w:widowControl w:val="0"/>
        <w:numPr>
          <w:ilvl w:val="0"/>
          <w:numId w:val="33"/>
        </w:numPr>
        <w:autoSpaceDE w:val="0"/>
        <w:autoSpaceDN w:val="0"/>
        <w:spacing w:before="240" w:after="240" w:line="240" w:lineRule="auto"/>
        <w:ind w:left="1224" w:right="144"/>
        <w:jc w:val="left"/>
        <w:rPr>
          <w:rFonts w:eastAsia="Cambria" w:cs="Cambria"/>
          <w:color w:val="0000FF"/>
          <w:szCs w:val="20"/>
          <w:u w:val="single"/>
        </w:rPr>
      </w:pPr>
      <w:hyperlink r:id="rId49" w:history="1">
        <w:r w:rsidRPr="000000D1">
          <w:rPr>
            <w:rFonts w:eastAsia="Cambria" w:cs="Cambria"/>
            <w:color w:val="0000FF"/>
            <w:szCs w:val="20"/>
            <w:u w:val="single"/>
          </w:rPr>
          <w:t>Wisconsin Schedule 3K-1 Instructions</w:t>
        </w:r>
      </w:hyperlink>
      <w:r w:rsidRPr="000000D1">
        <w:rPr>
          <w:rFonts w:eastAsia="Cambria" w:cs="Cambria"/>
          <w:color w:val="0000FF"/>
          <w:szCs w:val="20"/>
          <w:u w:val="single"/>
        </w:rPr>
        <w:t xml:space="preserve"> (2023)</w:t>
      </w:r>
    </w:p>
    <w:p w14:paraId="6EC11A6B" w14:textId="77777777" w:rsidR="000000D1" w:rsidRPr="000000D1" w:rsidRDefault="000000D1" w:rsidP="000000D1">
      <w:pPr>
        <w:widowControl w:val="0"/>
        <w:autoSpaceDE w:val="0"/>
        <w:autoSpaceDN w:val="0"/>
        <w:spacing w:before="240" w:after="240" w:line="240" w:lineRule="auto"/>
        <w:ind w:left="1224" w:right="144"/>
        <w:rPr>
          <w:rFonts w:eastAsia="Cambria" w:cs="Cambria"/>
          <w:color w:val="0000FF"/>
          <w:szCs w:val="20"/>
          <w:u w:val="single"/>
        </w:rPr>
      </w:pPr>
      <w:r w:rsidRPr="000000D1">
        <w:rPr>
          <w:rFonts w:eastAsia="Cambria" w:cs="Cambria"/>
          <w:i/>
          <w:iCs/>
          <w:color w:val="0000FF"/>
          <w:szCs w:val="20"/>
          <w:u w:val="single"/>
        </w:rPr>
        <w:t>Excerpt, pages 8 and 9:</w:t>
      </w:r>
    </w:p>
    <w:p w14:paraId="011F5EC1" w14:textId="77777777" w:rsidR="000000D1" w:rsidRPr="000000D1" w:rsidRDefault="000000D1" w:rsidP="000000D1">
      <w:pPr>
        <w:widowControl w:val="0"/>
        <w:autoSpaceDE w:val="0"/>
        <w:autoSpaceDN w:val="0"/>
        <w:spacing w:before="213" w:after="0"/>
        <w:ind w:left="1228" w:right="144"/>
        <w:rPr>
          <w:rFonts w:eastAsia="Cambria" w:cs="Cambria"/>
          <w:b/>
          <w:bCs/>
          <w:szCs w:val="20"/>
        </w:rPr>
      </w:pPr>
      <w:r w:rsidRPr="000000D1">
        <w:rPr>
          <w:rFonts w:eastAsia="Cambria" w:cs="Cambria"/>
          <w:b/>
          <w:bCs/>
          <w:szCs w:val="20"/>
        </w:rPr>
        <w:t>Determining the Wisconsin Income of Nonresident Partners</w:t>
      </w:r>
    </w:p>
    <w:p w14:paraId="2B82CA89" w14:textId="77777777" w:rsidR="000000D1" w:rsidRPr="000000D1" w:rsidRDefault="000000D1" w:rsidP="000000D1">
      <w:pPr>
        <w:widowControl w:val="0"/>
        <w:autoSpaceDE w:val="0"/>
        <w:autoSpaceDN w:val="0"/>
        <w:spacing w:before="213" w:after="0"/>
        <w:ind w:left="1228" w:right="144"/>
        <w:rPr>
          <w:rFonts w:eastAsia="Cambria" w:cs="Cambria"/>
          <w:b/>
          <w:bCs/>
          <w:szCs w:val="20"/>
          <w:u w:val="single"/>
        </w:rPr>
      </w:pPr>
      <w:r w:rsidRPr="000000D1">
        <w:rPr>
          <w:rFonts w:eastAsia="Cambria" w:cs="Cambria"/>
          <w:b/>
          <w:bCs/>
          <w:szCs w:val="20"/>
          <w:u w:val="single"/>
        </w:rPr>
        <w:t>Apportionable Income:</w:t>
      </w:r>
    </w:p>
    <w:p w14:paraId="53A0BAFE" w14:textId="77777777" w:rsidR="000000D1" w:rsidRPr="000000D1" w:rsidRDefault="000000D1" w:rsidP="000000D1">
      <w:pPr>
        <w:widowControl w:val="0"/>
        <w:autoSpaceDE w:val="0"/>
        <w:autoSpaceDN w:val="0"/>
        <w:spacing w:before="213" w:after="0"/>
        <w:ind w:left="1228" w:right="144"/>
        <w:rPr>
          <w:rFonts w:eastAsia="Cambria" w:cs="Cambria"/>
          <w:szCs w:val="20"/>
        </w:rPr>
      </w:pPr>
      <w:r w:rsidRPr="000000D1">
        <w:rPr>
          <w:rFonts w:eastAsia="Cambria" w:cs="Cambria"/>
          <w:szCs w:val="20"/>
        </w:rPr>
        <w:t>A partnership that is engaged in a unitary business in Wisconsin and at least one other state or foreign country (known as "nexus") must determine the amount of income/loss attributable to Wisconsin for purposes of figuring the share of partnership income/loss taxable to partners that are nonresident or part-year resident individuals or fiduciaries. See sec. Tax 2.82, Wis. Adm. Code, to determine what constitutes nexus and sec. Tax 2.62, Wis. Adm. Code, for a description of what constitutes a unitary business.</w:t>
      </w:r>
    </w:p>
    <w:p w14:paraId="583283B7" w14:textId="77777777" w:rsidR="000000D1" w:rsidRPr="000000D1" w:rsidRDefault="000000D1" w:rsidP="000000D1">
      <w:pPr>
        <w:widowControl w:val="0"/>
        <w:autoSpaceDE w:val="0"/>
        <w:autoSpaceDN w:val="0"/>
        <w:spacing w:before="213" w:after="0"/>
        <w:ind w:left="1228" w:right="144"/>
        <w:rPr>
          <w:rFonts w:eastAsia="Cambria" w:cs="Cambria"/>
          <w:szCs w:val="20"/>
        </w:rPr>
      </w:pPr>
      <w:r w:rsidRPr="000000D1">
        <w:rPr>
          <w:rFonts w:eastAsia="Cambria" w:cs="Cambria"/>
          <w:szCs w:val="20"/>
        </w:rPr>
        <w:t xml:space="preserve">All business income of a partnership is apportionable income, except as provided in the section below titled, </w:t>
      </w:r>
      <w:r w:rsidRPr="000000D1">
        <w:rPr>
          <w:rFonts w:eastAsia="Cambria" w:cs="Cambria"/>
          <w:i/>
          <w:iCs/>
          <w:szCs w:val="20"/>
        </w:rPr>
        <w:t>Income Not Subject to Apportionment Formula</w:t>
      </w:r>
      <w:r w:rsidRPr="000000D1">
        <w:rPr>
          <w:rFonts w:eastAsia="Cambria" w:cs="Cambria"/>
          <w:szCs w:val="20"/>
        </w:rPr>
        <w:t>. All apportionable business income is taxable to nonresident partners based on the apportionment formula regardless of whether the nonresident partner performs services in Wisconsin.</w:t>
      </w:r>
    </w:p>
    <w:p w14:paraId="24F3F91F" w14:textId="77777777" w:rsidR="000000D1" w:rsidRPr="000000D1" w:rsidRDefault="000000D1" w:rsidP="000000D1">
      <w:pPr>
        <w:widowControl w:val="0"/>
        <w:autoSpaceDE w:val="0"/>
        <w:autoSpaceDN w:val="0"/>
        <w:spacing w:before="213" w:after="0"/>
        <w:ind w:left="1228" w:right="144"/>
        <w:rPr>
          <w:rFonts w:eastAsia="Cambria" w:cs="Cambria"/>
          <w:szCs w:val="20"/>
        </w:rPr>
      </w:pPr>
      <w:r w:rsidRPr="000000D1">
        <w:rPr>
          <w:rFonts w:eastAsia="Cambria" w:cs="Cambria"/>
          <w:szCs w:val="20"/>
        </w:rPr>
        <w:t xml:space="preserve">The Wisconsin source amount in column (e) is the amount from column (d) multiplied by the partnership's apportionment percentage from the Wisconsin apportionment Schedules A-01 through A-11. Include this schedule when filing Form 3, </w:t>
      </w:r>
      <w:r w:rsidRPr="000000D1">
        <w:rPr>
          <w:rFonts w:eastAsia="Cambria" w:cs="Cambria"/>
          <w:i/>
          <w:iCs/>
          <w:szCs w:val="20"/>
        </w:rPr>
        <w:t>Wisconsin Partnership Return</w:t>
      </w:r>
      <w:r w:rsidRPr="000000D1">
        <w:rPr>
          <w:rFonts w:eastAsia="Cambria" w:cs="Cambria"/>
          <w:szCs w:val="20"/>
        </w:rPr>
        <w:t>.</w:t>
      </w:r>
    </w:p>
    <w:p w14:paraId="3EA8D47B" w14:textId="77777777" w:rsidR="000000D1" w:rsidRPr="000000D1" w:rsidRDefault="000000D1" w:rsidP="000000D1">
      <w:pPr>
        <w:widowControl w:val="0"/>
        <w:autoSpaceDE w:val="0"/>
        <w:autoSpaceDN w:val="0"/>
        <w:spacing w:before="213" w:after="0"/>
        <w:ind w:left="1228" w:right="144"/>
        <w:rPr>
          <w:rFonts w:eastAsia="Cambria" w:cs="Cambria"/>
          <w:b/>
          <w:bCs/>
          <w:szCs w:val="20"/>
          <w:u w:val="single"/>
        </w:rPr>
      </w:pPr>
      <w:r w:rsidRPr="000000D1">
        <w:rPr>
          <w:rFonts w:eastAsia="Cambria" w:cs="Cambria"/>
          <w:b/>
          <w:bCs/>
          <w:szCs w:val="20"/>
          <w:u w:val="single"/>
        </w:rPr>
        <w:t>Income Not Subject to Apportionment Formula:</w:t>
      </w:r>
    </w:p>
    <w:p w14:paraId="6DEC51B1" w14:textId="77777777" w:rsidR="000000D1" w:rsidRPr="000000D1" w:rsidRDefault="000000D1" w:rsidP="000000D1">
      <w:pPr>
        <w:widowControl w:val="0"/>
        <w:autoSpaceDE w:val="0"/>
        <w:autoSpaceDN w:val="0"/>
        <w:spacing w:before="240" w:after="240"/>
        <w:ind w:left="1224" w:right="144"/>
        <w:rPr>
          <w:rFonts w:eastAsia="Cambria" w:cs="Cambria"/>
          <w:szCs w:val="20"/>
        </w:rPr>
      </w:pPr>
      <w:r w:rsidRPr="000000D1">
        <w:rPr>
          <w:rFonts w:eastAsia="Cambria" w:cs="Cambria"/>
          <w:szCs w:val="20"/>
        </w:rPr>
        <w:lastRenderedPageBreak/>
        <w:t>For items of business income not subject to apportionment under sec. 71.04(4), Wis. Stats., a nonresident partner's distributive share of partnership income from the following sources is attributable to Wisconsin as described below:</w:t>
      </w:r>
    </w:p>
    <w:p w14:paraId="1E06D96E" w14:textId="77777777" w:rsidR="000000D1" w:rsidRPr="000000D1" w:rsidRDefault="000000D1" w:rsidP="00366E17">
      <w:pPr>
        <w:widowControl w:val="0"/>
        <w:numPr>
          <w:ilvl w:val="0"/>
          <w:numId w:val="34"/>
        </w:numPr>
        <w:autoSpaceDE w:val="0"/>
        <w:autoSpaceDN w:val="0"/>
        <w:spacing w:after="120" w:line="240" w:lineRule="auto"/>
        <w:ind w:right="144"/>
        <w:jc w:val="left"/>
        <w:rPr>
          <w:rFonts w:eastAsia="Cambria" w:cs="Cambria"/>
          <w:szCs w:val="20"/>
        </w:rPr>
      </w:pPr>
      <w:r w:rsidRPr="000000D1">
        <w:rPr>
          <w:rFonts w:eastAsia="Cambria" w:cs="Cambria"/>
          <w:szCs w:val="20"/>
        </w:rPr>
        <w:t>Income derived from rentals and royalties from business or nonbusiness real estate or tangible personal property, or from the operation of any farm, mine or quarry, or from the sale of business or nonbusiness real property or tangible personal property, are allocated to the location of the property from which derived.</w:t>
      </w:r>
    </w:p>
    <w:p w14:paraId="07D01A9F" w14:textId="77777777" w:rsidR="000000D1" w:rsidRPr="000000D1" w:rsidRDefault="000000D1" w:rsidP="00366E17">
      <w:pPr>
        <w:widowControl w:val="0"/>
        <w:numPr>
          <w:ilvl w:val="0"/>
          <w:numId w:val="34"/>
        </w:numPr>
        <w:autoSpaceDE w:val="0"/>
        <w:autoSpaceDN w:val="0"/>
        <w:spacing w:after="120" w:line="240" w:lineRule="auto"/>
        <w:ind w:right="144"/>
        <w:jc w:val="left"/>
        <w:rPr>
          <w:rFonts w:eastAsia="Cambria" w:cs="Cambria"/>
          <w:szCs w:val="20"/>
        </w:rPr>
      </w:pPr>
      <w:r w:rsidRPr="000000D1">
        <w:rPr>
          <w:rFonts w:eastAsia="Cambria" w:cs="Cambria"/>
          <w:szCs w:val="20"/>
        </w:rPr>
        <w:t xml:space="preserve">Intangible income such as interest and dividends, and gains and losses resulting from the sale of intangible property such as stocks, bonds, and securities which are passed through to nonresident partners aren’t taxable by Wisconsin because the income follows the residence of the individual. </w:t>
      </w:r>
    </w:p>
    <w:p w14:paraId="5599E814" w14:textId="77777777" w:rsidR="000000D1" w:rsidRPr="000000D1" w:rsidRDefault="000000D1" w:rsidP="00366E17">
      <w:pPr>
        <w:widowControl w:val="0"/>
        <w:numPr>
          <w:ilvl w:val="0"/>
          <w:numId w:val="34"/>
        </w:numPr>
        <w:autoSpaceDE w:val="0"/>
        <w:autoSpaceDN w:val="0"/>
        <w:spacing w:after="120" w:line="240" w:lineRule="auto"/>
        <w:ind w:right="144"/>
        <w:jc w:val="left"/>
        <w:rPr>
          <w:rFonts w:eastAsia="Cambria" w:cs="Cambria"/>
          <w:szCs w:val="20"/>
        </w:rPr>
      </w:pPr>
      <w:r w:rsidRPr="000000D1">
        <w:rPr>
          <w:rFonts w:eastAsia="Cambria" w:cs="Cambria"/>
          <w:szCs w:val="20"/>
        </w:rPr>
        <w:t>All income that is realized from the sale of or purchase and subsequent sale or redemption of lottery prizes if the winning tickets were originally bought in Wisconsin are allocated to Wisconsin.</w:t>
      </w:r>
    </w:p>
    <w:p w14:paraId="0C692873" w14:textId="77777777" w:rsidR="000000D1" w:rsidRPr="000000D1" w:rsidRDefault="000000D1" w:rsidP="00366E17">
      <w:pPr>
        <w:widowControl w:val="0"/>
        <w:numPr>
          <w:ilvl w:val="0"/>
          <w:numId w:val="34"/>
        </w:numPr>
        <w:autoSpaceDE w:val="0"/>
        <w:autoSpaceDN w:val="0"/>
        <w:spacing w:after="120" w:line="240" w:lineRule="auto"/>
        <w:ind w:right="144"/>
        <w:jc w:val="left"/>
        <w:rPr>
          <w:rFonts w:eastAsia="Cambria" w:cs="Cambria"/>
          <w:szCs w:val="20"/>
        </w:rPr>
      </w:pPr>
      <w:r w:rsidRPr="000000D1">
        <w:rPr>
          <w:rFonts w:eastAsia="Cambria" w:cs="Cambria"/>
          <w:szCs w:val="20"/>
        </w:rPr>
        <w:t>Income derived from casinos, bingo halls, and pari-mutuel winnings in Wisconsin are allocated to Wisconsin.</w:t>
      </w:r>
    </w:p>
    <w:p w14:paraId="39418DCF" w14:textId="77777777" w:rsidR="000000D1" w:rsidRPr="000000D1" w:rsidRDefault="000000D1" w:rsidP="00366E17">
      <w:pPr>
        <w:widowControl w:val="0"/>
        <w:numPr>
          <w:ilvl w:val="0"/>
          <w:numId w:val="34"/>
        </w:numPr>
        <w:autoSpaceDE w:val="0"/>
        <w:autoSpaceDN w:val="0"/>
        <w:spacing w:after="120" w:line="240" w:lineRule="auto"/>
        <w:ind w:right="144"/>
        <w:jc w:val="left"/>
        <w:rPr>
          <w:rFonts w:eastAsia="Cambria" w:cs="Cambria"/>
          <w:szCs w:val="20"/>
        </w:rPr>
      </w:pPr>
      <w:r w:rsidRPr="000000D1">
        <w:rPr>
          <w:rFonts w:eastAsia="Cambria" w:cs="Cambria"/>
          <w:szCs w:val="20"/>
        </w:rPr>
        <w:t xml:space="preserve">Income derived from a covenant not to compete is taxable to the extent that the covenant was based on a Wisconsin based activity. </w:t>
      </w:r>
    </w:p>
    <w:p w14:paraId="22EA035C" w14:textId="77777777" w:rsidR="000000D1" w:rsidRPr="000000D1" w:rsidRDefault="000000D1" w:rsidP="00366E17">
      <w:pPr>
        <w:widowControl w:val="0"/>
        <w:numPr>
          <w:ilvl w:val="0"/>
          <w:numId w:val="34"/>
        </w:numPr>
        <w:autoSpaceDE w:val="0"/>
        <w:autoSpaceDN w:val="0"/>
        <w:spacing w:after="120" w:line="240" w:lineRule="auto"/>
        <w:ind w:right="144"/>
        <w:jc w:val="left"/>
        <w:rPr>
          <w:rFonts w:eastAsia="Cambria" w:cs="Cambria"/>
          <w:szCs w:val="20"/>
        </w:rPr>
      </w:pPr>
      <w:r w:rsidRPr="000000D1">
        <w:rPr>
          <w:rFonts w:eastAsia="Cambria" w:cs="Cambria"/>
          <w:szCs w:val="20"/>
        </w:rPr>
        <w:t>Partnership income derived from personal services, including income from professions, follow the location of the services:</w:t>
      </w:r>
    </w:p>
    <w:p w14:paraId="068FAD01" w14:textId="77777777" w:rsidR="000000D1" w:rsidRPr="000000D1" w:rsidRDefault="000000D1" w:rsidP="00366E17">
      <w:pPr>
        <w:widowControl w:val="0"/>
        <w:numPr>
          <w:ilvl w:val="1"/>
          <w:numId w:val="34"/>
        </w:numPr>
        <w:autoSpaceDE w:val="0"/>
        <w:autoSpaceDN w:val="0"/>
        <w:spacing w:after="120" w:line="240" w:lineRule="auto"/>
        <w:ind w:right="144"/>
        <w:jc w:val="left"/>
        <w:rPr>
          <w:rFonts w:eastAsia="Cambria" w:cs="Cambria"/>
          <w:szCs w:val="20"/>
        </w:rPr>
      </w:pPr>
      <w:r w:rsidRPr="000000D1">
        <w:rPr>
          <w:rFonts w:eastAsia="Cambria" w:cs="Cambria"/>
          <w:szCs w:val="20"/>
        </w:rPr>
        <w:t xml:space="preserve">Partnership income derived from personal services, including professional services, is taxable to a nonresident partner only if the nonresident partner personally performs services in Wisconsin. The amount of personal service income attributable to the nonresident partner’s services performed in Wisconsin is taxable. </w:t>
      </w:r>
    </w:p>
    <w:p w14:paraId="50ECA4E7" w14:textId="77777777" w:rsidR="000000D1" w:rsidRPr="000000D1" w:rsidRDefault="000000D1" w:rsidP="00366E17">
      <w:pPr>
        <w:widowControl w:val="0"/>
        <w:numPr>
          <w:ilvl w:val="1"/>
          <w:numId w:val="34"/>
        </w:numPr>
        <w:autoSpaceDE w:val="0"/>
        <w:autoSpaceDN w:val="0"/>
        <w:spacing w:after="120" w:line="240" w:lineRule="auto"/>
        <w:ind w:right="144"/>
        <w:jc w:val="left"/>
        <w:rPr>
          <w:rFonts w:eastAsia="Cambria" w:cs="Cambria"/>
          <w:szCs w:val="20"/>
        </w:rPr>
      </w:pPr>
      <w:r w:rsidRPr="000000D1">
        <w:rPr>
          <w:rFonts w:eastAsia="Cambria" w:cs="Cambria"/>
          <w:szCs w:val="20"/>
        </w:rPr>
        <w:t xml:space="preserve">If the partnership derives its income from personal services, a nonresident partner’s Wisconsin source amount in column (e) is equal to the value of the services the partner personally performed in Wisconsin. If the nonresident partner didn’t personally perform any services in Wisconsin, the Wisconsin source amount in column (e) for that partner is zero. If a partnership derives business income from services other than personal and professional services, nonresident partners must apportion their distributive share of such income to Wisconsin using the partnership’s apportionment formula. </w:t>
      </w:r>
    </w:p>
    <w:p w14:paraId="217F0BD6" w14:textId="77777777" w:rsidR="000000D1" w:rsidRPr="000000D1" w:rsidRDefault="000000D1" w:rsidP="000000D1">
      <w:pPr>
        <w:widowControl w:val="0"/>
        <w:autoSpaceDE w:val="0"/>
        <w:autoSpaceDN w:val="0"/>
        <w:spacing w:before="213" w:after="0"/>
        <w:ind w:left="2880" w:right="144"/>
        <w:rPr>
          <w:rFonts w:eastAsia="Cambria" w:cs="Cambria"/>
          <w:szCs w:val="20"/>
        </w:rPr>
      </w:pPr>
      <w:r w:rsidRPr="000000D1">
        <w:rPr>
          <w:rFonts w:eastAsia="Cambria" w:cs="Cambria"/>
          <w:szCs w:val="20"/>
        </w:rPr>
        <w:t>The Wisconsin source amount of column (d) is determined similarly for general partners and limited partners. The following examples illustrate the rules described above:</w:t>
      </w:r>
    </w:p>
    <w:p w14:paraId="21F5C305" w14:textId="77777777" w:rsidR="000000D1" w:rsidRPr="000000D1" w:rsidRDefault="000000D1" w:rsidP="000000D1">
      <w:pPr>
        <w:widowControl w:val="0"/>
        <w:autoSpaceDE w:val="0"/>
        <w:autoSpaceDN w:val="0"/>
        <w:spacing w:before="213" w:after="0"/>
        <w:ind w:left="2880" w:right="144"/>
        <w:rPr>
          <w:rFonts w:eastAsia="Cambria" w:cs="Cambria"/>
          <w:szCs w:val="20"/>
        </w:rPr>
      </w:pPr>
      <w:r w:rsidRPr="000000D1">
        <w:rPr>
          <w:rFonts w:eastAsia="Cambria" w:cs="Cambria"/>
          <w:b/>
          <w:bCs/>
          <w:i/>
          <w:iCs/>
          <w:szCs w:val="20"/>
        </w:rPr>
        <w:t>Example 1:</w:t>
      </w:r>
      <w:r w:rsidRPr="000000D1">
        <w:rPr>
          <w:rFonts w:eastAsia="Cambria" w:cs="Cambria"/>
          <w:szCs w:val="20"/>
        </w:rPr>
        <w:t xml:space="preserve"> Two nonresident individuals are partners of a partnership that does business only in Wisconsin. Both nonresidents are taxed on their entire share of the partnership income for Wisconsin income tax purposes.</w:t>
      </w:r>
    </w:p>
    <w:p w14:paraId="6C476C15" w14:textId="77777777" w:rsidR="000000D1" w:rsidRPr="000000D1" w:rsidRDefault="000000D1" w:rsidP="000000D1">
      <w:pPr>
        <w:widowControl w:val="0"/>
        <w:autoSpaceDE w:val="0"/>
        <w:autoSpaceDN w:val="0"/>
        <w:spacing w:before="213" w:after="0"/>
        <w:ind w:left="2880" w:right="144"/>
        <w:rPr>
          <w:rFonts w:eastAsia="Cambria" w:cs="Cambria"/>
          <w:szCs w:val="20"/>
        </w:rPr>
      </w:pPr>
      <w:r w:rsidRPr="000000D1">
        <w:rPr>
          <w:rFonts w:eastAsia="Cambria" w:cs="Cambria"/>
          <w:b/>
          <w:bCs/>
          <w:i/>
          <w:iCs/>
          <w:szCs w:val="20"/>
        </w:rPr>
        <w:t>Example 2:</w:t>
      </w:r>
      <w:r w:rsidRPr="000000D1">
        <w:rPr>
          <w:rFonts w:eastAsia="Cambria" w:cs="Cambria"/>
          <w:szCs w:val="20"/>
        </w:rPr>
        <w:t xml:space="preserve"> A nonresident is one of two equal partners of a partnership that does business in Wisconsin and Illinois. Using the apportionment formula, the partnership derives 40% of its income from business activities in Wisconsin. The Wisconsin resident is taxed on one-half of the total partnership income for Wisconsin income tax purposes. The nonresident is taxed on one-half of the 40% of the partnership income attributable to business activities in Wisconsin.</w:t>
      </w:r>
    </w:p>
    <w:p w14:paraId="0B0A5698" w14:textId="77777777" w:rsidR="000000D1" w:rsidRPr="000000D1" w:rsidRDefault="000000D1" w:rsidP="000000D1">
      <w:pPr>
        <w:widowControl w:val="0"/>
        <w:autoSpaceDE w:val="0"/>
        <w:autoSpaceDN w:val="0"/>
        <w:spacing w:before="213" w:after="0"/>
        <w:ind w:left="2880" w:right="144"/>
        <w:rPr>
          <w:rFonts w:eastAsia="Cambria" w:cs="Cambria"/>
          <w:szCs w:val="20"/>
        </w:rPr>
      </w:pPr>
      <w:r w:rsidRPr="000000D1">
        <w:rPr>
          <w:rFonts w:eastAsia="Cambria" w:cs="Cambria"/>
          <w:b/>
          <w:bCs/>
          <w:i/>
          <w:iCs/>
          <w:szCs w:val="20"/>
        </w:rPr>
        <w:t>Example 3:</w:t>
      </w:r>
      <w:r w:rsidRPr="000000D1">
        <w:rPr>
          <w:rFonts w:eastAsia="Cambria" w:cs="Cambria"/>
          <w:szCs w:val="20"/>
        </w:rPr>
        <w:t xml:space="preserve"> A nonresident is a limited partner, with a 1% interest in </w:t>
      </w:r>
      <w:r w:rsidRPr="000000D1">
        <w:rPr>
          <w:rFonts w:eastAsia="Cambria" w:cs="Cambria"/>
          <w:szCs w:val="20"/>
        </w:rPr>
        <w:lastRenderedPageBreak/>
        <w:t>partnership profits, of a partnership that derives income from real estate located in Wisconsin and in other states. The nonresident limited partner is taxed on 1% of the partnership income attributable to the real estate located in Wisconsin.</w:t>
      </w:r>
    </w:p>
    <w:p w14:paraId="26A8CD87" w14:textId="77777777" w:rsidR="000000D1" w:rsidRPr="000000D1" w:rsidRDefault="000000D1" w:rsidP="000000D1">
      <w:pPr>
        <w:widowControl w:val="0"/>
        <w:autoSpaceDE w:val="0"/>
        <w:autoSpaceDN w:val="0"/>
        <w:spacing w:before="213" w:after="240"/>
        <w:ind w:left="2880" w:right="144"/>
        <w:rPr>
          <w:rFonts w:eastAsia="Cambria" w:cs="Cambria"/>
          <w:szCs w:val="20"/>
        </w:rPr>
      </w:pPr>
      <w:r w:rsidRPr="000000D1">
        <w:rPr>
          <w:rFonts w:eastAsia="Cambria" w:cs="Cambria"/>
          <w:b/>
          <w:bCs/>
          <w:i/>
          <w:iCs/>
          <w:szCs w:val="20"/>
        </w:rPr>
        <w:t>Example 4:</w:t>
      </w:r>
      <w:r w:rsidRPr="000000D1">
        <w:rPr>
          <w:rFonts w:eastAsia="Cambria" w:cs="Cambria"/>
          <w:szCs w:val="20"/>
        </w:rPr>
        <w:t xml:space="preserve"> A nonresident is a partner, with a 10% interest in partnership profits, of a certified public accounting firm that operates in and outside Wisconsin. One-fourth of the partnership’s income is attributable to professional services performed in Wisconsin and three-fourths is attributable to professional services performed in other states. The nonresident partner doesn’t personally perform any services in Wisconsin. The nonresident isn’t subject to Wisconsin income tax on their proportionate share of the partnership income earned in Wisconsin.</w:t>
      </w:r>
    </w:p>
    <w:p w14:paraId="34E17262" w14:textId="77777777" w:rsidR="000000D1" w:rsidRPr="000000D1" w:rsidRDefault="000000D1" w:rsidP="00366E17">
      <w:pPr>
        <w:widowControl w:val="0"/>
        <w:numPr>
          <w:ilvl w:val="0"/>
          <w:numId w:val="34"/>
        </w:numPr>
        <w:autoSpaceDE w:val="0"/>
        <w:autoSpaceDN w:val="0"/>
        <w:spacing w:before="120" w:after="0" w:line="240" w:lineRule="auto"/>
        <w:ind w:right="144"/>
        <w:jc w:val="left"/>
        <w:rPr>
          <w:rFonts w:eastAsia="Cambria" w:cs="Cambria"/>
          <w:szCs w:val="20"/>
        </w:rPr>
      </w:pPr>
      <w:r w:rsidRPr="000000D1">
        <w:rPr>
          <w:rFonts w:eastAsia="Cambria" w:cs="Cambria"/>
          <w:szCs w:val="20"/>
        </w:rPr>
        <w:t xml:space="preserve">A partnership engaged in a </w:t>
      </w:r>
      <w:r w:rsidRPr="000000D1">
        <w:rPr>
          <w:rFonts w:eastAsia="Cambria" w:cs="Cambria"/>
          <w:szCs w:val="20"/>
          <w:u w:val="single"/>
        </w:rPr>
        <w:t>nonunitary</w:t>
      </w:r>
      <w:r w:rsidRPr="000000D1">
        <w:rPr>
          <w:rFonts w:eastAsia="Cambria" w:cs="Cambria"/>
          <w:szCs w:val="20"/>
        </w:rPr>
        <w:t xml:space="preserve"> business (one in which the operations in Wisconsin are not dependent upon or contributory to the operations outside Wisconsin) in and outside Wisconsin must determine the amount of income attributable to Wisconsin by separate accounting. Under separate accounting, the partnership must keep separate records of the sales, cost of sales, and expenses for the Wisconsin business. Use Form C, </w:t>
      </w:r>
      <w:r w:rsidRPr="000000D1">
        <w:rPr>
          <w:rFonts w:eastAsia="Cambria" w:cs="Cambria"/>
          <w:i/>
          <w:iCs/>
          <w:szCs w:val="20"/>
        </w:rPr>
        <w:t>Wisconsin Allocation and Separate Accounting Data</w:t>
      </w:r>
      <w:r w:rsidRPr="000000D1">
        <w:rPr>
          <w:rFonts w:eastAsia="Cambria" w:cs="Cambria"/>
          <w:szCs w:val="20"/>
        </w:rPr>
        <w:t xml:space="preserve">, to compute the income allocable in and outside Wisconsin. Include the schedule when filing Form 3, </w:t>
      </w:r>
      <w:r w:rsidRPr="000000D1">
        <w:rPr>
          <w:rFonts w:eastAsia="Cambria" w:cs="Cambria"/>
          <w:i/>
          <w:iCs/>
          <w:szCs w:val="20"/>
        </w:rPr>
        <w:t>Wisconsin Partnership Return</w:t>
      </w:r>
      <w:r w:rsidRPr="000000D1">
        <w:rPr>
          <w:rFonts w:eastAsia="Cambria" w:cs="Cambria"/>
          <w:szCs w:val="20"/>
        </w:rPr>
        <w:t xml:space="preserve">. </w:t>
      </w:r>
    </w:p>
    <w:p w14:paraId="47EDF83C" w14:textId="77777777" w:rsidR="000000D1" w:rsidRPr="000000D1" w:rsidRDefault="000000D1" w:rsidP="00366E17">
      <w:pPr>
        <w:widowControl w:val="0"/>
        <w:numPr>
          <w:ilvl w:val="1"/>
          <w:numId w:val="34"/>
        </w:numPr>
        <w:autoSpaceDE w:val="0"/>
        <w:autoSpaceDN w:val="0"/>
        <w:spacing w:before="120" w:after="0" w:line="240" w:lineRule="auto"/>
        <w:ind w:right="144"/>
        <w:jc w:val="left"/>
        <w:rPr>
          <w:rFonts w:eastAsia="Cambria" w:cs="Cambria"/>
          <w:szCs w:val="20"/>
        </w:rPr>
      </w:pPr>
      <w:r w:rsidRPr="000000D1">
        <w:rPr>
          <w:rFonts w:eastAsia="Cambria" w:cs="Cambria"/>
          <w:szCs w:val="20"/>
        </w:rPr>
        <w:t>Except for nonunitary income, and except for income/loss items not requiring apportionment as explained above, a unitary business may use separate accounting only with the approval of the department. A request for approval must set forth in detail the reasons why separate accounting will more clearly reflect the partnership’s Wisconsin net income. It should be mailed to the Wisconsin Department of Revenue, Mail Stop 3-107, PO Box 8906, Madison, WI 53708-8906 before the end of the taxable year for which the use of separate accounting is desired.</w:t>
      </w:r>
    </w:p>
    <w:p w14:paraId="0F58FF73" w14:textId="77777777" w:rsidR="000000D1" w:rsidRPr="000000D1" w:rsidRDefault="000000D1" w:rsidP="000000D1">
      <w:pPr>
        <w:widowControl w:val="0"/>
        <w:autoSpaceDE w:val="0"/>
        <w:autoSpaceDN w:val="0"/>
        <w:spacing w:before="213" w:after="0"/>
        <w:ind w:left="1228" w:right="144"/>
        <w:rPr>
          <w:rFonts w:eastAsia="Cambria" w:cs="Cambria"/>
          <w:i/>
          <w:iCs/>
          <w:szCs w:val="20"/>
        </w:rPr>
      </w:pPr>
      <w:r w:rsidRPr="000000D1">
        <w:rPr>
          <w:rFonts w:eastAsia="Cambria" w:cs="Cambria"/>
          <w:i/>
          <w:iCs/>
          <w:szCs w:val="20"/>
        </w:rPr>
        <w:t>Excerpt, page 17:</w:t>
      </w:r>
    </w:p>
    <w:p w14:paraId="644C9699" w14:textId="77777777" w:rsidR="000000D1" w:rsidRPr="000000D1" w:rsidRDefault="000000D1" w:rsidP="000000D1">
      <w:pPr>
        <w:widowControl w:val="0"/>
        <w:autoSpaceDE w:val="0"/>
        <w:autoSpaceDN w:val="0"/>
        <w:spacing w:before="240" w:after="240"/>
        <w:ind w:left="1224" w:right="144"/>
        <w:rPr>
          <w:rFonts w:eastAsia="Cambria" w:cs="Cambria"/>
          <w:b/>
          <w:bCs/>
          <w:szCs w:val="20"/>
        </w:rPr>
      </w:pPr>
      <w:r w:rsidRPr="000000D1">
        <w:rPr>
          <w:rFonts w:eastAsia="Cambria" w:cs="Cambria"/>
          <w:b/>
          <w:bCs/>
          <w:szCs w:val="20"/>
        </w:rPr>
        <w:t>Part IV – Partner's Share of Apportionment Factors:</w:t>
      </w:r>
    </w:p>
    <w:p w14:paraId="693A51C8" w14:textId="77777777" w:rsidR="000000D1" w:rsidRPr="000000D1" w:rsidRDefault="000000D1" w:rsidP="000000D1">
      <w:pPr>
        <w:widowControl w:val="0"/>
        <w:autoSpaceDE w:val="0"/>
        <w:autoSpaceDN w:val="0"/>
        <w:spacing w:before="240" w:after="240"/>
        <w:ind w:left="1224" w:right="144"/>
        <w:rPr>
          <w:rFonts w:eastAsia="Cambria" w:cs="Cambria"/>
          <w:szCs w:val="20"/>
        </w:rPr>
      </w:pPr>
      <w:r w:rsidRPr="000000D1">
        <w:rPr>
          <w:rFonts w:eastAsia="Cambria" w:cs="Cambria"/>
          <w:szCs w:val="20"/>
        </w:rPr>
        <w:t>Partnerships, corporations, and tax-option (S) corporations must generally include their share of the numerator and denominator of the partnership’s apportionment factors in the numerator and denominator of their apportionment factors, even if the election to pay tax at the entity level was made. Include these amounts using the Wisconsin apportionment Schedules A-01 through A-11, as appropriate. For a corporation or an- other partnership that is a partner, enter on line 25 or lines 26 through 28 the partner’s proportionate share of the partnership’s apportionment factors from the Wisconsin apportionment Schedule A-01 through A-11 (if applicable).</w:t>
      </w:r>
    </w:p>
    <w:p w14:paraId="7D605C90" w14:textId="77777777" w:rsidR="000000D1" w:rsidRPr="000000D1" w:rsidRDefault="000000D1" w:rsidP="00366E17">
      <w:pPr>
        <w:widowControl w:val="0"/>
        <w:numPr>
          <w:ilvl w:val="0"/>
          <w:numId w:val="33"/>
        </w:numPr>
        <w:autoSpaceDE w:val="0"/>
        <w:autoSpaceDN w:val="0"/>
        <w:spacing w:before="240" w:after="240" w:line="240" w:lineRule="auto"/>
        <w:ind w:left="1224" w:right="144"/>
        <w:jc w:val="left"/>
        <w:rPr>
          <w:rFonts w:eastAsia="Cambria" w:cs="Cambria"/>
          <w:sz w:val="22"/>
        </w:rPr>
      </w:pPr>
      <w:hyperlink r:id="rId50" w:history="1">
        <w:r w:rsidRPr="000000D1">
          <w:rPr>
            <w:rFonts w:eastAsia="Cambria" w:cs="Cambria"/>
            <w:color w:val="0000FF"/>
            <w:sz w:val="22"/>
            <w:u w:val="single"/>
          </w:rPr>
          <w:t>Wisconsin Tax Bulletin No. 197</w:t>
        </w:r>
      </w:hyperlink>
      <w:r w:rsidRPr="000000D1">
        <w:rPr>
          <w:rFonts w:eastAsia="Cambria" w:cs="Cambria"/>
          <w:szCs w:val="20"/>
        </w:rPr>
        <w:t xml:space="preserve"> (April 2017), page 4</w:t>
      </w:r>
    </w:p>
    <w:p w14:paraId="74CC0AA1" w14:textId="77777777" w:rsidR="000000D1" w:rsidRPr="000000D1" w:rsidRDefault="000000D1" w:rsidP="000000D1">
      <w:pPr>
        <w:widowControl w:val="0"/>
        <w:autoSpaceDE w:val="0"/>
        <w:autoSpaceDN w:val="0"/>
        <w:spacing w:before="134" w:after="0" w:line="240" w:lineRule="auto"/>
        <w:ind w:left="1228" w:right="142"/>
        <w:rPr>
          <w:rFonts w:eastAsia="Cambria" w:cs="Cambria"/>
          <w:sz w:val="22"/>
        </w:rPr>
      </w:pPr>
      <w:r w:rsidRPr="000000D1">
        <w:rPr>
          <w:rFonts w:eastAsia="Cambria" w:cs="Cambria"/>
          <w:b/>
          <w:bCs/>
          <w:szCs w:val="20"/>
        </w:rPr>
        <w:t>Apportionment</w:t>
      </w:r>
      <w:r w:rsidRPr="000000D1">
        <w:rPr>
          <w:rFonts w:eastAsia="Cambria" w:cs="Cambria"/>
          <w:b/>
          <w:bCs/>
          <w:spacing w:val="-12"/>
          <w:szCs w:val="20"/>
        </w:rPr>
        <w:t xml:space="preserve"> </w:t>
      </w:r>
      <w:r w:rsidRPr="000000D1">
        <w:rPr>
          <w:rFonts w:eastAsia="Cambria" w:cs="Cambria"/>
          <w:b/>
          <w:bCs/>
          <w:szCs w:val="20"/>
        </w:rPr>
        <w:t>for</w:t>
      </w:r>
      <w:r w:rsidRPr="000000D1">
        <w:rPr>
          <w:rFonts w:eastAsia="Cambria" w:cs="Cambria"/>
          <w:b/>
          <w:bCs/>
          <w:spacing w:val="-11"/>
          <w:szCs w:val="20"/>
        </w:rPr>
        <w:t xml:space="preserve"> </w:t>
      </w:r>
      <w:r w:rsidRPr="000000D1">
        <w:rPr>
          <w:rFonts w:eastAsia="Cambria" w:cs="Cambria"/>
          <w:b/>
          <w:bCs/>
          <w:szCs w:val="20"/>
        </w:rPr>
        <w:t>Partnerships</w:t>
      </w:r>
      <w:r w:rsidRPr="000000D1">
        <w:rPr>
          <w:rFonts w:eastAsia="Cambria" w:cs="Cambria"/>
          <w:b/>
          <w:bCs/>
          <w:spacing w:val="-10"/>
          <w:szCs w:val="20"/>
        </w:rPr>
        <w:t xml:space="preserve"> </w:t>
      </w:r>
      <w:r w:rsidRPr="000000D1">
        <w:rPr>
          <w:rFonts w:eastAsia="Cambria" w:cs="Cambria"/>
          <w:b/>
          <w:bCs/>
          <w:szCs w:val="20"/>
        </w:rPr>
        <w:t>and</w:t>
      </w:r>
      <w:r w:rsidRPr="000000D1">
        <w:rPr>
          <w:rFonts w:eastAsia="Cambria" w:cs="Cambria"/>
          <w:b/>
          <w:bCs/>
          <w:spacing w:val="-11"/>
          <w:szCs w:val="20"/>
        </w:rPr>
        <w:t xml:space="preserve"> </w:t>
      </w:r>
      <w:r w:rsidRPr="000000D1">
        <w:rPr>
          <w:rFonts w:eastAsia="Cambria" w:cs="Cambria"/>
          <w:b/>
          <w:bCs/>
          <w:spacing w:val="-2"/>
          <w:szCs w:val="20"/>
        </w:rPr>
        <w:t>Partners</w:t>
      </w:r>
    </w:p>
    <w:p w14:paraId="52C0A851" w14:textId="77777777" w:rsidR="000000D1" w:rsidRPr="000000D1" w:rsidRDefault="000000D1" w:rsidP="000000D1">
      <w:pPr>
        <w:widowControl w:val="0"/>
        <w:autoSpaceDE w:val="0"/>
        <w:autoSpaceDN w:val="0"/>
        <w:spacing w:before="213" w:after="0"/>
        <w:ind w:left="1228" w:right="144"/>
        <w:rPr>
          <w:rFonts w:eastAsia="Cambria" w:cs="Cambria"/>
          <w:szCs w:val="20"/>
        </w:rPr>
      </w:pPr>
      <w:r w:rsidRPr="000000D1">
        <w:rPr>
          <w:rFonts w:eastAsia="Cambria" w:cs="Cambria"/>
          <w:szCs w:val="20"/>
        </w:rPr>
        <w:t>A</w:t>
      </w:r>
      <w:r w:rsidRPr="000000D1">
        <w:rPr>
          <w:rFonts w:eastAsia="Cambria" w:cs="Cambria"/>
          <w:spacing w:val="-3"/>
          <w:szCs w:val="20"/>
        </w:rPr>
        <w:t xml:space="preserve"> </w:t>
      </w:r>
      <w:r w:rsidRPr="000000D1">
        <w:rPr>
          <w:rFonts w:eastAsia="Cambria" w:cs="Cambria"/>
          <w:szCs w:val="20"/>
        </w:rPr>
        <w:t>partnership</w:t>
      </w:r>
      <w:r w:rsidRPr="000000D1">
        <w:rPr>
          <w:rFonts w:eastAsia="Cambria" w:cs="Cambria"/>
          <w:spacing w:val="-1"/>
          <w:szCs w:val="20"/>
        </w:rPr>
        <w:t xml:space="preserve"> </w:t>
      </w:r>
      <w:r w:rsidRPr="000000D1">
        <w:rPr>
          <w:rFonts w:eastAsia="Cambria" w:cs="Cambria"/>
          <w:szCs w:val="20"/>
        </w:rPr>
        <w:t>engaged</w:t>
      </w:r>
      <w:r w:rsidRPr="000000D1">
        <w:rPr>
          <w:rFonts w:eastAsia="Cambria" w:cs="Cambria"/>
          <w:spacing w:val="-3"/>
          <w:szCs w:val="20"/>
        </w:rPr>
        <w:t xml:space="preserve"> </w:t>
      </w:r>
      <w:r w:rsidRPr="000000D1">
        <w:rPr>
          <w:rFonts w:eastAsia="Cambria" w:cs="Cambria"/>
          <w:szCs w:val="20"/>
        </w:rPr>
        <w:t>in</w:t>
      </w:r>
      <w:r w:rsidRPr="000000D1">
        <w:rPr>
          <w:rFonts w:eastAsia="Cambria" w:cs="Cambria"/>
          <w:spacing w:val="-2"/>
          <w:szCs w:val="20"/>
        </w:rPr>
        <w:t xml:space="preserve"> </w:t>
      </w:r>
      <w:r w:rsidRPr="000000D1">
        <w:rPr>
          <w:rFonts w:eastAsia="Cambria" w:cs="Cambria"/>
          <w:szCs w:val="20"/>
        </w:rPr>
        <w:t>a</w:t>
      </w:r>
      <w:r w:rsidRPr="000000D1">
        <w:rPr>
          <w:rFonts w:eastAsia="Cambria" w:cs="Cambria"/>
          <w:spacing w:val="-2"/>
          <w:szCs w:val="20"/>
        </w:rPr>
        <w:t xml:space="preserve"> </w:t>
      </w:r>
      <w:r w:rsidRPr="000000D1">
        <w:rPr>
          <w:rFonts w:eastAsia="Cambria" w:cs="Cambria"/>
          <w:szCs w:val="20"/>
        </w:rPr>
        <w:t>unitary</w:t>
      </w:r>
      <w:r w:rsidRPr="000000D1">
        <w:rPr>
          <w:rFonts w:eastAsia="Cambria" w:cs="Cambria"/>
          <w:spacing w:val="-1"/>
          <w:szCs w:val="20"/>
        </w:rPr>
        <w:t xml:space="preserve"> </w:t>
      </w:r>
      <w:r w:rsidRPr="000000D1">
        <w:rPr>
          <w:rFonts w:eastAsia="Cambria" w:cs="Cambria"/>
          <w:szCs w:val="20"/>
        </w:rPr>
        <w:t>business</w:t>
      </w:r>
      <w:r w:rsidRPr="000000D1">
        <w:rPr>
          <w:rFonts w:eastAsia="Cambria" w:cs="Cambria"/>
          <w:spacing w:val="-3"/>
          <w:szCs w:val="20"/>
        </w:rPr>
        <w:t xml:space="preserve"> </w:t>
      </w:r>
      <w:r w:rsidRPr="000000D1">
        <w:rPr>
          <w:rFonts w:eastAsia="Cambria" w:cs="Cambria"/>
          <w:szCs w:val="20"/>
        </w:rPr>
        <w:t>both</w:t>
      </w:r>
      <w:r w:rsidRPr="000000D1">
        <w:rPr>
          <w:rFonts w:eastAsia="Cambria" w:cs="Cambria"/>
          <w:spacing w:val="-3"/>
          <w:szCs w:val="20"/>
        </w:rPr>
        <w:t xml:space="preserve"> </w:t>
      </w:r>
      <w:r w:rsidRPr="000000D1">
        <w:rPr>
          <w:rFonts w:eastAsia="Cambria" w:cs="Cambria"/>
          <w:szCs w:val="20"/>
        </w:rPr>
        <w:t>in</w:t>
      </w:r>
      <w:r w:rsidRPr="000000D1">
        <w:rPr>
          <w:rFonts w:eastAsia="Cambria" w:cs="Cambria"/>
          <w:spacing w:val="-4"/>
          <w:szCs w:val="20"/>
        </w:rPr>
        <w:t xml:space="preserve"> </w:t>
      </w:r>
      <w:r w:rsidRPr="000000D1">
        <w:rPr>
          <w:rFonts w:eastAsia="Cambria" w:cs="Cambria"/>
          <w:szCs w:val="20"/>
        </w:rPr>
        <w:t>and</w:t>
      </w:r>
      <w:r w:rsidRPr="000000D1">
        <w:rPr>
          <w:rFonts w:eastAsia="Cambria" w:cs="Cambria"/>
          <w:spacing w:val="-1"/>
          <w:szCs w:val="20"/>
        </w:rPr>
        <w:t xml:space="preserve"> </w:t>
      </w:r>
      <w:r w:rsidRPr="000000D1">
        <w:rPr>
          <w:rFonts w:eastAsia="Cambria" w:cs="Cambria"/>
          <w:szCs w:val="20"/>
        </w:rPr>
        <w:t>outside</w:t>
      </w:r>
      <w:r w:rsidRPr="000000D1">
        <w:rPr>
          <w:rFonts w:eastAsia="Cambria" w:cs="Cambria"/>
          <w:spacing w:val="-3"/>
          <w:szCs w:val="20"/>
        </w:rPr>
        <w:t xml:space="preserve"> </w:t>
      </w:r>
      <w:r w:rsidRPr="000000D1">
        <w:rPr>
          <w:rFonts w:eastAsia="Cambria" w:cs="Cambria"/>
          <w:szCs w:val="20"/>
        </w:rPr>
        <w:t>Wisconsin</w:t>
      </w:r>
      <w:r w:rsidRPr="000000D1">
        <w:rPr>
          <w:rFonts w:eastAsia="Cambria" w:cs="Cambria"/>
          <w:spacing w:val="-4"/>
          <w:szCs w:val="20"/>
        </w:rPr>
        <w:t xml:space="preserve"> </w:t>
      </w:r>
      <w:r w:rsidRPr="000000D1">
        <w:rPr>
          <w:rFonts w:eastAsia="Cambria" w:cs="Cambria"/>
          <w:szCs w:val="20"/>
        </w:rPr>
        <w:t>is a</w:t>
      </w:r>
      <w:r w:rsidRPr="000000D1">
        <w:rPr>
          <w:rFonts w:eastAsia="Cambria" w:cs="Cambria"/>
          <w:spacing w:val="-2"/>
          <w:szCs w:val="20"/>
        </w:rPr>
        <w:t xml:space="preserve"> </w:t>
      </w:r>
      <w:r w:rsidRPr="000000D1">
        <w:rPr>
          <w:rFonts w:eastAsia="Cambria" w:cs="Cambria"/>
          <w:szCs w:val="20"/>
        </w:rPr>
        <w:t xml:space="preserve">“multi- state partnership”. A multi-state partnership will generally use Form A-1, </w:t>
      </w:r>
      <w:r w:rsidRPr="000000D1">
        <w:rPr>
          <w:rFonts w:eastAsia="Cambria" w:cs="Cambria"/>
          <w:i/>
          <w:iCs/>
          <w:szCs w:val="20"/>
        </w:rPr>
        <w:t>Wisconsin Apportionment Data for Single Factor Formula</w:t>
      </w:r>
      <w:r w:rsidRPr="000000D1">
        <w:rPr>
          <w:rFonts w:eastAsia="Cambria" w:cs="Cambria"/>
          <w:szCs w:val="20"/>
        </w:rPr>
        <w:t xml:space="preserve">s, or Form A-2, </w:t>
      </w:r>
      <w:r w:rsidRPr="000000D1">
        <w:rPr>
          <w:rFonts w:eastAsia="Cambria" w:cs="Cambria"/>
          <w:i/>
          <w:iCs/>
          <w:szCs w:val="20"/>
        </w:rPr>
        <w:t>Wisconsin Apportionment</w:t>
      </w:r>
      <w:r w:rsidRPr="000000D1">
        <w:rPr>
          <w:rFonts w:eastAsia="Cambria" w:cs="Cambria"/>
          <w:i/>
          <w:iCs/>
          <w:spacing w:val="-2"/>
          <w:szCs w:val="20"/>
        </w:rPr>
        <w:t xml:space="preserve"> </w:t>
      </w:r>
      <w:r w:rsidRPr="000000D1">
        <w:rPr>
          <w:rFonts w:eastAsia="Cambria" w:cs="Cambria"/>
          <w:i/>
          <w:iCs/>
          <w:szCs w:val="20"/>
        </w:rPr>
        <w:t>Data</w:t>
      </w:r>
      <w:r w:rsidRPr="000000D1">
        <w:rPr>
          <w:rFonts w:eastAsia="Cambria" w:cs="Cambria"/>
          <w:i/>
          <w:iCs/>
          <w:spacing w:val="-1"/>
          <w:szCs w:val="20"/>
        </w:rPr>
        <w:t xml:space="preserve"> </w:t>
      </w:r>
      <w:r w:rsidRPr="000000D1">
        <w:rPr>
          <w:rFonts w:eastAsia="Cambria" w:cs="Cambria"/>
          <w:i/>
          <w:iCs/>
          <w:szCs w:val="20"/>
        </w:rPr>
        <w:t>for</w:t>
      </w:r>
      <w:r w:rsidRPr="000000D1">
        <w:rPr>
          <w:rFonts w:eastAsia="Cambria" w:cs="Cambria"/>
          <w:i/>
          <w:iCs/>
          <w:spacing w:val="-3"/>
          <w:szCs w:val="20"/>
        </w:rPr>
        <w:t xml:space="preserve"> </w:t>
      </w:r>
      <w:r w:rsidRPr="000000D1">
        <w:rPr>
          <w:rFonts w:eastAsia="Cambria" w:cs="Cambria"/>
          <w:i/>
          <w:iCs/>
          <w:szCs w:val="20"/>
        </w:rPr>
        <w:t>Multiple</w:t>
      </w:r>
      <w:r w:rsidRPr="000000D1">
        <w:rPr>
          <w:rFonts w:eastAsia="Cambria" w:cs="Cambria"/>
          <w:i/>
          <w:iCs/>
          <w:spacing w:val="-1"/>
          <w:szCs w:val="20"/>
        </w:rPr>
        <w:t xml:space="preserve"> </w:t>
      </w:r>
      <w:r w:rsidRPr="000000D1">
        <w:rPr>
          <w:rFonts w:eastAsia="Cambria" w:cs="Cambria"/>
          <w:i/>
          <w:iCs/>
          <w:szCs w:val="20"/>
        </w:rPr>
        <w:t>Factor</w:t>
      </w:r>
      <w:r w:rsidRPr="000000D1">
        <w:rPr>
          <w:rFonts w:eastAsia="Cambria" w:cs="Cambria"/>
          <w:i/>
          <w:iCs/>
          <w:spacing w:val="-3"/>
          <w:szCs w:val="20"/>
        </w:rPr>
        <w:t xml:space="preserve"> </w:t>
      </w:r>
      <w:r w:rsidRPr="000000D1">
        <w:rPr>
          <w:rFonts w:eastAsia="Cambria" w:cs="Cambria"/>
          <w:i/>
          <w:iCs/>
          <w:szCs w:val="20"/>
        </w:rPr>
        <w:t>Formulas</w:t>
      </w:r>
      <w:r w:rsidRPr="000000D1">
        <w:rPr>
          <w:rFonts w:eastAsia="Cambria" w:cs="Cambria"/>
          <w:szCs w:val="20"/>
        </w:rPr>
        <w:t>,</w:t>
      </w:r>
      <w:r w:rsidRPr="000000D1">
        <w:rPr>
          <w:rFonts w:eastAsia="Cambria" w:cs="Cambria"/>
          <w:spacing w:val="-2"/>
          <w:szCs w:val="20"/>
        </w:rPr>
        <w:t xml:space="preserve"> </w:t>
      </w:r>
      <w:r w:rsidRPr="000000D1">
        <w:rPr>
          <w:rFonts w:eastAsia="Cambria" w:cs="Cambria"/>
          <w:szCs w:val="20"/>
        </w:rPr>
        <w:t>to</w:t>
      </w:r>
      <w:r w:rsidRPr="000000D1">
        <w:rPr>
          <w:rFonts w:eastAsia="Cambria" w:cs="Cambria"/>
          <w:spacing w:val="-2"/>
          <w:szCs w:val="20"/>
        </w:rPr>
        <w:t xml:space="preserve"> </w:t>
      </w:r>
      <w:r w:rsidRPr="000000D1">
        <w:rPr>
          <w:rFonts w:eastAsia="Cambria" w:cs="Cambria"/>
          <w:szCs w:val="20"/>
        </w:rPr>
        <w:t>determine</w:t>
      </w:r>
      <w:r w:rsidRPr="000000D1">
        <w:rPr>
          <w:rFonts w:eastAsia="Cambria" w:cs="Cambria"/>
          <w:spacing w:val="-1"/>
          <w:szCs w:val="20"/>
        </w:rPr>
        <w:t xml:space="preserve"> </w:t>
      </w:r>
      <w:r w:rsidRPr="000000D1">
        <w:rPr>
          <w:rFonts w:eastAsia="Cambria" w:cs="Cambria"/>
          <w:szCs w:val="20"/>
        </w:rPr>
        <w:t>the portion</w:t>
      </w:r>
      <w:r w:rsidRPr="000000D1">
        <w:rPr>
          <w:rFonts w:eastAsia="Cambria" w:cs="Cambria"/>
          <w:spacing w:val="-3"/>
          <w:szCs w:val="20"/>
        </w:rPr>
        <w:t xml:space="preserve"> </w:t>
      </w:r>
      <w:r w:rsidRPr="000000D1">
        <w:rPr>
          <w:rFonts w:eastAsia="Cambria" w:cs="Cambria"/>
          <w:szCs w:val="20"/>
        </w:rPr>
        <w:t>of</w:t>
      </w:r>
      <w:r w:rsidRPr="000000D1">
        <w:rPr>
          <w:rFonts w:eastAsia="Cambria" w:cs="Cambria"/>
          <w:spacing w:val="-2"/>
          <w:szCs w:val="20"/>
        </w:rPr>
        <w:t xml:space="preserve"> </w:t>
      </w:r>
      <w:r w:rsidRPr="000000D1">
        <w:rPr>
          <w:rFonts w:eastAsia="Cambria" w:cs="Cambria"/>
          <w:szCs w:val="20"/>
        </w:rPr>
        <w:t>income</w:t>
      </w:r>
      <w:r w:rsidRPr="000000D1">
        <w:rPr>
          <w:rFonts w:eastAsia="Cambria" w:cs="Cambria"/>
          <w:spacing w:val="-1"/>
          <w:szCs w:val="20"/>
        </w:rPr>
        <w:t xml:space="preserve"> </w:t>
      </w:r>
      <w:r w:rsidRPr="000000D1">
        <w:rPr>
          <w:rFonts w:eastAsia="Cambria" w:cs="Cambria"/>
          <w:szCs w:val="20"/>
        </w:rPr>
        <w:t>attributable to Wisconsin.</w:t>
      </w:r>
    </w:p>
    <w:p w14:paraId="4405FF92" w14:textId="77777777" w:rsidR="000000D1" w:rsidRPr="000000D1" w:rsidRDefault="000000D1" w:rsidP="000000D1">
      <w:pPr>
        <w:widowControl w:val="0"/>
        <w:autoSpaceDE w:val="0"/>
        <w:autoSpaceDN w:val="0"/>
        <w:spacing w:before="199" w:after="0"/>
        <w:ind w:left="1228" w:right="145"/>
        <w:rPr>
          <w:rFonts w:eastAsia="Cambria" w:cs="Cambria"/>
          <w:szCs w:val="20"/>
        </w:rPr>
      </w:pPr>
      <w:r w:rsidRPr="000000D1">
        <w:rPr>
          <w:rFonts w:eastAsia="Cambria" w:cs="Cambria"/>
          <w:szCs w:val="20"/>
        </w:rPr>
        <w:t xml:space="preserve">The information the partnership provides to a partner on Schedule 3K-1, Partner's Share of Income, Deductions, Credits, etc., to report their share of income depends on </w:t>
      </w:r>
      <w:r w:rsidRPr="000000D1">
        <w:rPr>
          <w:rFonts w:eastAsia="Cambria" w:cs="Cambria"/>
          <w:szCs w:val="20"/>
        </w:rPr>
        <w:lastRenderedPageBreak/>
        <w:t>the type of partner:</w:t>
      </w:r>
    </w:p>
    <w:p w14:paraId="352A5D34" w14:textId="77777777" w:rsidR="000000D1" w:rsidRPr="000000D1" w:rsidRDefault="000000D1" w:rsidP="00366E17">
      <w:pPr>
        <w:widowControl w:val="0"/>
        <w:numPr>
          <w:ilvl w:val="0"/>
          <w:numId w:val="35"/>
        </w:numPr>
        <w:tabs>
          <w:tab w:val="left" w:pos="1798"/>
        </w:tabs>
        <w:autoSpaceDE w:val="0"/>
        <w:autoSpaceDN w:val="0"/>
        <w:spacing w:before="200" w:after="0" w:line="240" w:lineRule="auto"/>
        <w:ind w:right="153"/>
        <w:jc w:val="left"/>
        <w:rPr>
          <w:rFonts w:eastAsia="Cambria" w:cs="Cambria"/>
          <w:szCs w:val="20"/>
        </w:rPr>
      </w:pPr>
      <w:r w:rsidRPr="000000D1">
        <w:rPr>
          <w:rFonts w:eastAsia="Cambria" w:cs="Cambria"/>
          <w:szCs w:val="20"/>
        </w:rPr>
        <w:t>Individual:</w:t>
      </w:r>
      <w:r w:rsidRPr="000000D1">
        <w:rPr>
          <w:rFonts w:eastAsia="Cambria" w:cs="Cambria"/>
          <w:spacing w:val="-2"/>
          <w:szCs w:val="20"/>
        </w:rPr>
        <w:t xml:space="preserve"> </w:t>
      </w:r>
      <w:r w:rsidRPr="000000D1">
        <w:rPr>
          <w:rFonts w:eastAsia="Cambria" w:cs="Cambria"/>
          <w:szCs w:val="20"/>
        </w:rPr>
        <w:t>A partner</w:t>
      </w:r>
      <w:r w:rsidRPr="000000D1">
        <w:rPr>
          <w:rFonts w:eastAsia="Cambria" w:cs="Cambria"/>
          <w:spacing w:val="-1"/>
          <w:szCs w:val="20"/>
        </w:rPr>
        <w:t xml:space="preserve"> </w:t>
      </w:r>
      <w:r w:rsidRPr="000000D1">
        <w:rPr>
          <w:rFonts w:eastAsia="Cambria" w:cs="Cambria"/>
          <w:szCs w:val="20"/>
        </w:rPr>
        <w:t>that is</w:t>
      </w:r>
      <w:r w:rsidRPr="000000D1">
        <w:rPr>
          <w:rFonts w:eastAsia="Cambria" w:cs="Cambria"/>
          <w:spacing w:val="-1"/>
          <w:szCs w:val="20"/>
        </w:rPr>
        <w:t xml:space="preserve"> </w:t>
      </w:r>
      <w:r w:rsidRPr="000000D1">
        <w:rPr>
          <w:rFonts w:eastAsia="Cambria" w:cs="Cambria"/>
          <w:szCs w:val="20"/>
        </w:rPr>
        <w:t>a nonresident individual reports</w:t>
      </w:r>
      <w:r w:rsidRPr="000000D1">
        <w:rPr>
          <w:rFonts w:eastAsia="Cambria" w:cs="Cambria"/>
          <w:spacing w:val="-2"/>
          <w:szCs w:val="20"/>
        </w:rPr>
        <w:t xml:space="preserve"> </w:t>
      </w:r>
      <w:r w:rsidRPr="000000D1">
        <w:rPr>
          <w:rFonts w:eastAsia="Cambria" w:cs="Cambria"/>
          <w:szCs w:val="20"/>
        </w:rPr>
        <w:t>his</w:t>
      </w:r>
      <w:r w:rsidRPr="000000D1">
        <w:rPr>
          <w:rFonts w:eastAsia="Cambria" w:cs="Cambria"/>
          <w:spacing w:val="-1"/>
          <w:szCs w:val="20"/>
        </w:rPr>
        <w:t xml:space="preserve"> </w:t>
      </w:r>
      <w:r w:rsidRPr="000000D1">
        <w:rPr>
          <w:rFonts w:eastAsia="Cambria" w:cs="Cambria"/>
          <w:szCs w:val="20"/>
        </w:rPr>
        <w:t>or</w:t>
      </w:r>
      <w:r w:rsidRPr="000000D1">
        <w:rPr>
          <w:rFonts w:eastAsia="Cambria" w:cs="Cambria"/>
          <w:spacing w:val="-1"/>
          <w:szCs w:val="20"/>
        </w:rPr>
        <w:t xml:space="preserve"> </w:t>
      </w:r>
      <w:r w:rsidRPr="000000D1">
        <w:rPr>
          <w:rFonts w:eastAsia="Cambria" w:cs="Cambria"/>
          <w:szCs w:val="20"/>
        </w:rPr>
        <w:t>her</w:t>
      </w:r>
      <w:r w:rsidRPr="000000D1">
        <w:rPr>
          <w:rFonts w:eastAsia="Cambria" w:cs="Cambria"/>
          <w:spacing w:val="-3"/>
          <w:szCs w:val="20"/>
        </w:rPr>
        <w:t xml:space="preserve"> </w:t>
      </w:r>
      <w:r w:rsidRPr="000000D1">
        <w:rPr>
          <w:rFonts w:eastAsia="Cambria" w:cs="Cambria"/>
          <w:szCs w:val="20"/>
        </w:rPr>
        <w:t>share of the partnership income after apportionment. The partnership reports this “Wis. source amount” in column (e) on Schedule 3K-1.</w:t>
      </w:r>
    </w:p>
    <w:p w14:paraId="35467393" w14:textId="77777777" w:rsidR="000000D1" w:rsidRPr="000000D1" w:rsidRDefault="000000D1" w:rsidP="00366E17">
      <w:pPr>
        <w:widowControl w:val="0"/>
        <w:numPr>
          <w:ilvl w:val="0"/>
          <w:numId w:val="35"/>
        </w:numPr>
        <w:tabs>
          <w:tab w:val="left" w:pos="1797"/>
        </w:tabs>
        <w:autoSpaceDE w:val="0"/>
        <w:autoSpaceDN w:val="0"/>
        <w:spacing w:before="200" w:after="0" w:line="240" w:lineRule="auto"/>
        <w:ind w:right="153"/>
        <w:jc w:val="left"/>
        <w:rPr>
          <w:rFonts w:eastAsia="Cambria" w:cs="Cambria"/>
          <w:spacing w:val="-6"/>
          <w:szCs w:val="20"/>
        </w:rPr>
      </w:pPr>
      <w:r w:rsidRPr="000000D1">
        <w:rPr>
          <w:rFonts w:eastAsia="Cambria" w:cs="Cambria"/>
          <w:szCs w:val="20"/>
        </w:rPr>
        <w:t xml:space="preserve">C-Corporation: A partner that is a C-Corporation reports its share of income, before apportionment, from the partnership. The partnership reports this amount in column (d), “Amount under Wis. law”, of Schedule 3K-1. The partnership must also report the corporation's share of the partnership's apportionment factors in Part IV of Schedule 3K-1, Partner's Share of Apportionment Factors. The corporation combines the amounts from Part IV with its own apportionment factors on its Form A-1 or Form A- </w:t>
      </w:r>
      <w:r w:rsidRPr="000000D1">
        <w:rPr>
          <w:rFonts w:eastAsia="Cambria" w:cs="Cambria"/>
          <w:spacing w:val="-6"/>
          <w:szCs w:val="20"/>
        </w:rPr>
        <w:t>2.</w:t>
      </w:r>
    </w:p>
    <w:p w14:paraId="6ACCA684" w14:textId="77777777" w:rsidR="000000D1" w:rsidRPr="000000D1" w:rsidRDefault="000000D1" w:rsidP="00366E17">
      <w:pPr>
        <w:widowControl w:val="0"/>
        <w:numPr>
          <w:ilvl w:val="0"/>
          <w:numId w:val="35"/>
        </w:numPr>
        <w:tabs>
          <w:tab w:val="left" w:pos="1797"/>
        </w:tabs>
        <w:autoSpaceDE w:val="0"/>
        <w:autoSpaceDN w:val="0"/>
        <w:spacing w:before="200" w:after="0" w:line="240" w:lineRule="auto"/>
        <w:ind w:right="153"/>
        <w:jc w:val="left"/>
        <w:rPr>
          <w:rFonts w:eastAsia="Cambria" w:cs="Cambria"/>
          <w:spacing w:val="-6"/>
          <w:szCs w:val="20"/>
        </w:rPr>
      </w:pPr>
      <w:r w:rsidRPr="000000D1">
        <w:rPr>
          <w:rFonts w:eastAsia="Cambria" w:cs="Cambria"/>
          <w:szCs w:val="20"/>
        </w:rPr>
        <w:t>Partnership or Tax-Option (S) Corporation: A partner that is a partnership or tax- option (S) corporation reports its share of income, before apportionment, from the partnership. The partnership reports this amount in column (d), “Amount under Wis. law”, of Schedule 3K-1. The partnership must also report the partner's share of the partnership's apportionment factors in Part IV of Schedule 3K-1, Partner's Share of Apportionment Factors. The partnership or tax-option (S) corporation partner combines the amounts from Part IV with its own apportionment factors on its Form A-1 or Form A- 2.</w:t>
      </w:r>
    </w:p>
    <w:p w14:paraId="481D072B" w14:textId="77777777" w:rsidR="000000D1" w:rsidRPr="000000D1" w:rsidRDefault="000000D1" w:rsidP="000000D1">
      <w:pPr>
        <w:widowControl w:val="0"/>
        <w:tabs>
          <w:tab w:val="left" w:pos="1797"/>
        </w:tabs>
        <w:autoSpaceDE w:val="0"/>
        <w:autoSpaceDN w:val="0"/>
        <w:spacing w:after="0"/>
        <w:ind w:right="153"/>
        <w:jc w:val="left"/>
        <w:rPr>
          <w:rFonts w:eastAsia="Cambria" w:cs="Cambria"/>
          <w:szCs w:val="20"/>
        </w:rPr>
      </w:pPr>
    </w:p>
    <w:p w14:paraId="1CA8E825" w14:textId="77777777" w:rsidR="000000D1" w:rsidRPr="000000D1" w:rsidRDefault="000000D1" w:rsidP="000000D1">
      <w:pPr>
        <w:widowControl w:val="0"/>
        <w:tabs>
          <w:tab w:val="left" w:pos="1797"/>
        </w:tabs>
        <w:autoSpaceDE w:val="0"/>
        <w:autoSpaceDN w:val="0"/>
        <w:spacing w:after="0"/>
        <w:ind w:left="1224" w:right="153"/>
        <w:jc w:val="left"/>
        <w:rPr>
          <w:rFonts w:eastAsia="Cambria" w:cs="Cambria"/>
          <w:sz w:val="22"/>
        </w:rPr>
      </w:pPr>
      <w:r w:rsidRPr="000000D1">
        <w:rPr>
          <w:rFonts w:eastAsia="Cambria" w:cs="Cambria"/>
          <w:szCs w:val="20"/>
        </w:rPr>
        <w:t>See full article for an example.</w:t>
      </w:r>
    </w:p>
    <w:p w14:paraId="16DEA005" w14:textId="77777777" w:rsidR="000000D1" w:rsidRPr="000000D1" w:rsidRDefault="000000D1" w:rsidP="00366E17">
      <w:pPr>
        <w:widowControl w:val="0"/>
        <w:numPr>
          <w:ilvl w:val="0"/>
          <w:numId w:val="33"/>
        </w:numPr>
        <w:autoSpaceDE w:val="0"/>
        <w:autoSpaceDN w:val="0"/>
        <w:spacing w:before="240" w:after="240" w:line="240" w:lineRule="auto"/>
        <w:ind w:left="1224" w:right="144"/>
        <w:jc w:val="left"/>
        <w:rPr>
          <w:rFonts w:eastAsia="Cambria" w:cs="Cambria"/>
          <w:color w:val="0000FF"/>
          <w:szCs w:val="20"/>
          <w:u w:val="single"/>
        </w:rPr>
      </w:pPr>
      <w:hyperlink r:id="rId51" w:history="1">
        <w:r w:rsidRPr="000000D1">
          <w:rPr>
            <w:rFonts w:eastAsia="Cambria" w:cs="Cambria"/>
            <w:color w:val="0000FF"/>
            <w:szCs w:val="20"/>
            <w:u w:val="single"/>
          </w:rPr>
          <w:t>Wisconsin Tax Bulletin No. 208</w:t>
        </w:r>
      </w:hyperlink>
      <w:r w:rsidRPr="000000D1">
        <w:rPr>
          <w:rFonts w:eastAsia="Cambria" w:cs="Cambria"/>
          <w:color w:val="0000FF"/>
          <w:szCs w:val="20"/>
          <w:u w:val="single"/>
        </w:rPr>
        <w:t xml:space="preserve"> (2023)</w:t>
      </w:r>
    </w:p>
    <w:p w14:paraId="75ADABB7" w14:textId="77777777" w:rsidR="000000D1" w:rsidRPr="000000D1" w:rsidRDefault="000000D1" w:rsidP="000000D1">
      <w:pPr>
        <w:widowControl w:val="0"/>
        <w:autoSpaceDE w:val="0"/>
        <w:autoSpaceDN w:val="0"/>
        <w:spacing w:before="213" w:after="0"/>
        <w:ind w:left="1224" w:right="144"/>
        <w:rPr>
          <w:rFonts w:eastAsia="Cambria" w:cs="Cambria"/>
          <w:szCs w:val="20"/>
        </w:rPr>
      </w:pPr>
      <w:r w:rsidRPr="000000D1">
        <w:rPr>
          <w:rFonts w:eastAsia="Cambria" w:cs="Cambria"/>
          <w:b/>
          <w:bCs/>
          <w:szCs w:val="20"/>
        </w:rPr>
        <w:t>Wisconsin Sourced Income of Multi-Tiered Partnership Electing to Pay Tax at Entity Level</w:t>
      </w:r>
    </w:p>
    <w:p w14:paraId="22A18BC3" w14:textId="77777777" w:rsidR="000000D1" w:rsidRPr="000000D1" w:rsidRDefault="000000D1" w:rsidP="000000D1">
      <w:pPr>
        <w:widowControl w:val="0"/>
        <w:autoSpaceDE w:val="0"/>
        <w:autoSpaceDN w:val="0"/>
        <w:spacing w:before="213" w:after="0"/>
        <w:ind w:left="1228" w:right="144"/>
        <w:rPr>
          <w:rFonts w:eastAsia="Cambria" w:cs="Cambria"/>
          <w:szCs w:val="20"/>
        </w:rPr>
      </w:pPr>
      <w:r w:rsidRPr="000000D1">
        <w:rPr>
          <w:rFonts w:eastAsia="Cambria" w:cs="Cambria"/>
          <w:szCs w:val="20"/>
        </w:rPr>
        <w:t>A partnership that makes the election to pay tax at the entity level for Wisconsin under sec. 71.21(6)(a), Wis. Stats., must determine income, loss and deductions attributable to Wisconsin pursuant to sec. 71.04, 71.14, 71.25, 71.362, or 71.45, Wis. Stats., as if the election was not made.</w:t>
      </w:r>
    </w:p>
    <w:p w14:paraId="2A7B6A1E" w14:textId="77777777" w:rsidR="000000D1" w:rsidRPr="000000D1" w:rsidRDefault="000000D1" w:rsidP="000000D1">
      <w:pPr>
        <w:widowControl w:val="0"/>
        <w:autoSpaceDE w:val="0"/>
        <w:autoSpaceDN w:val="0"/>
        <w:spacing w:before="213" w:after="0"/>
        <w:ind w:left="1228" w:right="144"/>
        <w:rPr>
          <w:rFonts w:eastAsia="Cambria" w:cs="Cambria"/>
          <w:szCs w:val="20"/>
        </w:rPr>
      </w:pPr>
      <w:r w:rsidRPr="000000D1">
        <w:rPr>
          <w:rFonts w:eastAsia="Cambria" w:cs="Cambria"/>
          <w:szCs w:val="20"/>
        </w:rPr>
        <w:t>If the electing partnership is part of a multi-tiered entity structure (i.e., another part- nership owns a percentage of the capital and profits of the electing partnership), the electing partnership must look through all the tiers of the multi-tiered entity to deter- mine income, loss and deductions attributable to Wisconsin. For additional detail, see example 2 under Column (c) of the Schedule 3-ET Instructions.</w:t>
      </w:r>
    </w:p>
    <w:p w14:paraId="5BA2D62A" w14:textId="77777777" w:rsidR="000000D1" w:rsidRPr="000000D1" w:rsidRDefault="000000D1" w:rsidP="00366E17">
      <w:pPr>
        <w:widowControl w:val="0"/>
        <w:numPr>
          <w:ilvl w:val="0"/>
          <w:numId w:val="33"/>
        </w:numPr>
        <w:autoSpaceDE w:val="0"/>
        <w:autoSpaceDN w:val="0"/>
        <w:spacing w:before="240" w:after="240" w:line="240" w:lineRule="auto"/>
        <w:ind w:left="1224" w:right="144"/>
        <w:jc w:val="left"/>
        <w:rPr>
          <w:rFonts w:eastAsia="Cambria" w:cs="Cambria"/>
          <w:szCs w:val="20"/>
        </w:rPr>
      </w:pPr>
      <w:hyperlink r:id="rId52" w:history="1">
        <w:r w:rsidRPr="000000D1">
          <w:rPr>
            <w:rFonts w:eastAsia="Cambria" w:cs="Cambria"/>
            <w:color w:val="0000FF"/>
            <w:szCs w:val="20"/>
            <w:u w:val="single"/>
          </w:rPr>
          <w:t>Wisconsin Tax Bulletin No. 209</w:t>
        </w:r>
      </w:hyperlink>
      <w:r w:rsidRPr="000000D1">
        <w:rPr>
          <w:rFonts w:eastAsia="Cambria" w:cs="Cambria"/>
          <w:szCs w:val="20"/>
        </w:rPr>
        <w:t xml:space="preserve"> (April 2020), page 11</w:t>
      </w:r>
    </w:p>
    <w:p w14:paraId="10FEFE39" w14:textId="77777777" w:rsidR="000000D1" w:rsidRPr="000000D1" w:rsidRDefault="000000D1" w:rsidP="000000D1">
      <w:pPr>
        <w:widowControl w:val="0"/>
        <w:autoSpaceDE w:val="0"/>
        <w:autoSpaceDN w:val="0"/>
        <w:spacing w:before="134" w:after="0" w:line="240" w:lineRule="auto"/>
        <w:ind w:left="1228"/>
        <w:jc w:val="left"/>
        <w:rPr>
          <w:rFonts w:eastAsia="Cambria" w:cs="Cambria"/>
          <w:b/>
          <w:bCs/>
          <w:color w:val="0000FF"/>
          <w:sz w:val="22"/>
          <w:u w:val="single"/>
        </w:rPr>
      </w:pPr>
      <w:r w:rsidRPr="000000D1">
        <w:rPr>
          <w:rFonts w:eastAsia="Cambria" w:cs="Cambria"/>
          <w:b/>
          <w:bCs/>
          <w:szCs w:val="20"/>
        </w:rPr>
        <w:t>Apportionment – Allocating Partnership Sales to Corporate Partners Who are Members of a Combined Group</w:t>
      </w:r>
    </w:p>
    <w:p w14:paraId="216B98F1" w14:textId="77777777" w:rsidR="000000D1" w:rsidRPr="000000D1" w:rsidRDefault="000000D1" w:rsidP="000000D1">
      <w:pPr>
        <w:widowControl w:val="0"/>
        <w:autoSpaceDE w:val="0"/>
        <w:autoSpaceDN w:val="0"/>
        <w:spacing w:before="213" w:after="0"/>
        <w:ind w:left="1228" w:right="144"/>
        <w:rPr>
          <w:rFonts w:eastAsia="Cambria" w:cs="Cambria"/>
          <w:szCs w:val="20"/>
        </w:rPr>
      </w:pPr>
      <w:r w:rsidRPr="000000D1">
        <w:rPr>
          <w:rFonts w:eastAsia="Cambria" w:cs="Cambria"/>
          <w:szCs w:val="20"/>
        </w:rPr>
        <w:t xml:space="preserve">A partnership engaged in a unitary business both in and outside Wisconsin is a "multistate partnership". To determine the portion of income attributable to Wisconsin, a multistate partnership will generally use Schedule A-01, </w:t>
      </w:r>
      <w:r w:rsidRPr="000000D1">
        <w:rPr>
          <w:rFonts w:eastAsia="Cambria" w:cs="Cambria"/>
          <w:i/>
          <w:iCs/>
          <w:szCs w:val="20"/>
        </w:rPr>
        <w:t>Wisconsin Single Sales Factor Apportionment Data for Nonspecialized Industries</w:t>
      </w:r>
      <w:r w:rsidRPr="000000D1">
        <w:rPr>
          <w:rFonts w:eastAsia="Cambria" w:cs="Cambria"/>
          <w:szCs w:val="20"/>
        </w:rPr>
        <w:t>, unless one of the industry specific Schedules A-02 through A-11 apply. For additional information on computing apportionment for partnerships and partners, see Wisconsin Tax Bulletin 197 (April 2017).</w:t>
      </w:r>
    </w:p>
    <w:p w14:paraId="37D70CEC" w14:textId="77777777" w:rsidR="000000D1" w:rsidRPr="000000D1" w:rsidRDefault="000000D1" w:rsidP="000000D1">
      <w:pPr>
        <w:widowControl w:val="0"/>
        <w:autoSpaceDE w:val="0"/>
        <w:autoSpaceDN w:val="0"/>
        <w:spacing w:before="213" w:after="0"/>
        <w:ind w:left="1228" w:right="144"/>
        <w:rPr>
          <w:rFonts w:eastAsia="Cambria" w:cs="Cambria"/>
          <w:szCs w:val="20"/>
        </w:rPr>
      </w:pPr>
      <w:r w:rsidRPr="000000D1">
        <w:rPr>
          <w:rFonts w:eastAsia="Cambria" w:cs="Cambria"/>
          <w:szCs w:val="20"/>
        </w:rPr>
        <w:t xml:space="preserve">A multistate partnership must provide each corporate partner a Schedule 3K-1, </w:t>
      </w:r>
      <w:r w:rsidRPr="000000D1">
        <w:rPr>
          <w:rFonts w:eastAsia="Cambria" w:cs="Cambria"/>
          <w:i/>
          <w:iCs/>
          <w:szCs w:val="20"/>
        </w:rPr>
        <w:t>Partner’s Share of Income, Deductions, Credits, etc.</w:t>
      </w:r>
      <w:r w:rsidRPr="000000D1">
        <w:rPr>
          <w:rFonts w:eastAsia="Cambria" w:cs="Cambria"/>
          <w:szCs w:val="20"/>
        </w:rPr>
        <w:t xml:space="preserve">, and complete Part IV, </w:t>
      </w:r>
      <w:r w:rsidRPr="000000D1">
        <w:rPr>
          <w:rFonts w:eastAsia="Cambria" w:cs="Cambria"/>
          <w:i/>
          <w:iCs/>
          <w:szCs w:val="20"/>
        </w:rPr>
        <w:t>Partner’s Share of Apportionment Factors</w:t>
      </w:r>
      <w:r w:rsidRPr="000000D1">
        <w:rPr>
          <w:rFonts w:eastAsia="Cambria" w:cs="Cambria"/>
          <w:szCs w:val="20"/>
        </w:rPr>
        <w:t>. Part IV of Schedule 3K-1 must include the corporate partner's distributive share of both Wisconsin gross sales and total company gross sales.</w:t>
      </w:r>
    </w:p>
    <w:p w14:paraId="50179C7D" w14:textId="77777777" w:rsidR="000000D1" w:rsidRPr="000000D1" w:rsidRDefault="000000D1" w:rsidP="000000D1">
      <w:pPr>
        <w:widowControl w:val="0"/>
        <w:autoSpaceDE w:val="0"/>
        <w:autoSpaceDN w:val="0"/>
        <w:spacing w:before="213" w:after="0"/>
        <w:ind w:left="1228" w:right="144"/>
        <w:rPr>
          <w:rFonts w:eastAsia="Cambria" w:cs="Cambria"/>
          <w:szCs w:val="20"/>
        </w:rPr>
      </w:pPr>
      <w:r w:rsidRPr="000000D1">
        <w:rPr>
          <w:rFonts w:eastAsia="Cambria" w:cs="Cambria"/>
          <w:szCs w:val="20"/>
        </w:rPr>
        <w:lastRenderedPageBreak/>
        <w:t xml:space="preserve">Corporations, including members of combined groups, add their distributive share of the partnership's gross sales (from Schedule 3K-1, Part IV) to their own gross sales and report the amounts on their own apportionment schedule (e.g., Schedule A-01). </w:t>
      </w:r>
    </w:p>
    <w:p w14:paraId="34DB50AF" w14:textId="77777777" w:rsidR="000000D1" w:rsidRPr="000000D1" w:rsidRDefault="000000D1" w:rsidP="000000D1">
      <w:pPr>
        <w:widowControl w:val="0"/>
        <w:autoSpaceDE w:val="0"/>
        <w:autoSpaceDN w:val="0"/>
        <w:spacing w:before="213" w:after="0"/>
        <w:ind w:left="1228" w:right="144"/>
        <w:rPr>
          <w:rFonts w:eastAsia="Cambria" w:cs="Cambria"/>
          <w:szCs w:val="20"/>
        </w:rPr>
      </w:pPr>
      <w:r w:rsidRPr="000000D1">
        <w:rPr>
          <w:rFonts w:eastAsia="Cambria" w:cs="Cambria"/>
          <w:szCs w:val="20"/>
        </w:rPr>
        <w:t>See full article for an example illustrating the computation and reporting for corporate partners that are members of a combined group (secs. 71.20(1m) and 71.255(5)(a)6, Wis. Stats., and sec. Tax 2.61(7)e, Wis. Adm. Code)</w:t>
      </w:r>
    </w:p>
    <w:p w14:paraId="5CB32B47" w14:textId="77777777" w:rsidR="000000D1" w:rsidRPr="000000D1" w:rsidRDefault="000000D1" w:rsidP="00366E17">
      <w:pPr>
        <w:widowControl w:val="0"/>
        <w:numPr>
          <w:ilvl w:val="0"/>
          <w:numId w:val="33"/>
        </w:numPr>
        <w:autoSpaceDE w:val="0"/>
        <w:autoSpaceDN w:val="0"/>
        <w:spacing w:before="240" w:after="240" w:line="240" w:lineRule="auto"/>
        <w:ind w:left="1224" w:right="144"/>
        <w:jc w:val="left"/>
        <w:rPr>
          <w:rFonts w:eastAsia="Cambria" w:cs="Cambria"/>
          <w:color w:val="0000FF"/>
          <w:sz w:val="22"/>
          <w:u w:val="single"/>
        </w:rPr>
      </w:pPr>
      <w:r w:rsidRPr="000000D1">
        <w:rPr>
          <w:rFonts w:eastAsia="Cambria" w:cs="Cambria"/>
          <w:color w:val="0000FF"/>
          <w:sz w:val="22"/>
          <w:u w:val="single"/>
        </w:rPr>
        <w:t xml:space="preserve"> </w:t>
      </w:r>
      <w:hyperlink r:id="rId53" w:history="1">
        <w:r w:rsidRPr="000000D1">
          <w:rPr>
            <w:rFonts w:eastAsia="Cambria" w:cs="Cambria"/>
            <w:color w:val="0000FF"/>
            <w:szCs w:val="20"/>
            <w:u w:val="single"/>
          </w:rPr>
          <w:t>Wisconsin Schedule A-01 Instructions</w:t>
        </w:r>
      </w:hyperlink>
      <w:r w:rsidRPr="000000D1">
        <w:rPr>
          <w:rFonts w:eastAsia="Cambria" w:cs="Cambria"/>
          <w:color w:val="0000FF"/>
          <w:szCs w:val="20"/>
          <w:u w:val="single"/>
        </w:rPr>
        <w:t xml:space="preserve"> (2023)</w:t>
      </w:r>
    </w:p>
    <w:p w14:paraId="60903D99" w14:textId="77777777" w:rsidR="000000D1" w:rsidRPr="000000D1" w:rsidRDefault="000000D1" w:rsidP="000000D1">
      <w:pPr>
        <w:widowControl w:val="0"/>
        <w:autoSpaceDE w:val="0"/>
        <w:autoSpaceDN w:val="0"/>
        <w:spacing w:before="213" w:after="0"/>
        <w:ind w:left="1228" w:right="144"/>
        <w:rPr>
          <w:rFonts w:eastAsia="Cambria" w:cs="Cambria"/>
          <w:i/>
          <w:iCs/>
          <w:szCs w:val="20"/>
        </w:rPr>
      </w:pPr>
      <w:r w:rsidRPr="000000D1">
        <w:rPr>
          <w:rFonts w:eastAsia="Cambria" w:cs="Cambria"/>
          <w:i/>
          <w:iCs/>
          <w:szCs w:val="20"/>
        </w:rPr>
        <w:t>Excerpt, page 1:</w:t>
      </w:r>
    </w:p>
    <w:p w14:paraId="18980B9F" w14:textId="77777777" w:rsidR="000000D1" w:rsidRPr="000000D1" w:rsidRDefault="000000D1" w:rsidP="000000D1">
      <w:pPr>
        <w:widowControl w:val="0"/>
        <w:autoSpaceDE w:val="0"/>
        <w:autoSpaceDN w:val="0"/>
        <w:spacing w:before="213" w:after="0"/>
        <w:ind w:left="1228" w:right="144"/>
        <w:rPr>
          <w:rFonts w:eastAsia="Cambria" w:cs="Cambria"/>
          <w:szCs w:val="20"/>
        </w:rPr>
      </w:pPr>
      <w:r w:rsidRPr="000000D1">
        <w:rPr>
          <w:rFonts w:eastAsia="Cambria" w:cs="Cambria"/>
          <w:szCs w:val="20"/>
        </w:rPr>
        <w:t>Corporations, partnerships, tax-option (S) corporations and nonresident estates, trusts, and individuals that are engaged in a unitary business both in and outside Wisconsin generally use Schedule A-01 to compute the factors that will determine their Wisconsin share of income from a unitary business.</w:t>
      </w:r>
    </w:p>
    <w:p w14:paraId="1C02A1F7" w14:textId="77777777" w:rsidR="000000D1" w:rsidRPr="000000D1" w:rsidRDefault="000000D1" w:rsidP="000000D1">
      <w:pPr>
        <w:widowControl w:val="0"/>
        <w:autoSpaceDE w:val="0"/>
        <w:autoSpaceDN w:val="0"/>
        <w:spacing w:before="213" w:after="0"/>
        <w:ind w:left="1228" w:right="144"/>
        <w:rPr>
          <w:rFonts w:eastAsia="Cambria" w:cs="Cambria"/>
          <w:i/>
          <w:iCs/>
          <w:szCs w:val="20"/>
        </w:rPr>
      </w:pPr>
      <w:r w:rsidRPr="000000D1">
        <w:rPr>
          <w:rFonts w:eastAsia="Cambria" w:cs="Cambria"/>
          <w:i/>
          <w:iCs/>
          <w:szCs w:val="20"/>
        </w:rPr>
        <w:t>Excerpt, page 2:</w:t>
      </w:r>
    </w:p>
    <w:p w14:paraId="2C0C33FC" w14:textId="77777777" w:rsidR="000000D1" w:rsidRPr="000000D1" w:rsidRDefault="000000D1" w:rsidP="000000D1">
      <w:pPr>
        <w:widowControl w:val="0"/>
        <w:autoSpaceDE w:val="0"/>
        <w:autoSpaceDN w:val="0"/>
        <w:spacing w:before="213" w:after="0"/>
        <w:ind w:left="1228" w:right="144"/>
        <w:rPr>
          <w:rFonts w:eastAsia="Cambria" w:cs="Cambria"/>
          <w:szCs w:val="20"/>
        </w:rPr>
      </w:pPr>
      <w:r w:rsidRPr="000000D1">
        <w:rPr>
          <w:rFonts w:eastAsia="Cambria" w:cs="Cambria"/>
          <w:szCs w:val="20"/>
        </w:rPr>
        <w:t>Partnerships, corporations, and tax-option (S) corporations must generally include their share of the numerator and denominator of a partnership’s apportionment factors in the numerator and denominator of their apportionment factors. Include these amounts using the Wisconsin apportionment Schedules A-01 through A-11, as appropriate.</w:t>
      </w:r>
    </w:p>
    <w:p w14:paraId="6B330750" w14:textId="77777777" w:rsidR="000000D1" w:rsidRPr="000000D1" w:rsidRDefault="000000D1" w:rsidP="000000D1">
      <w:pPr>
        <w:widowControl w:val="0"/>
        <w:autoSpaceDE w:val="0"/>
        <w:autoSpaceDN w:val="0"/>
        <w:spacing w:before="213" w:after="0"/>
        <w:ind w:left="1228" w:right="144"/>
        <w:rPr>
          <w:rFonts w:eastAsia="Cambria" w:cs="Cambria"/>
          <w:i/>
          <w:iCs/>
          <w:szCs w:val="20"/>
        </w:rPr>
      </w:pPr>
      <w:r w:rsidRPr="000000D1">
        <w:rPr>
          <w:rFonts w:eastAsia="Cambria" w:cs="Cambria"/>
          <w:i/>
          <w:iCs/>
          <w:szCs w:val="20"/>
        </w:rPr>
        <w:t>Excerpt, page 5:</w:t>
      </w:r>
    </w:p>
    <w:p w14:paraId="1FAC6DD1" w14:textId="77777777" w:rsidR="000000D1" w:rsidRPr="000000D1" w:rsidRDefault="000000D1" w:rsidP="000000D1">
      <w:pPr>
        <w:widowControl w:val="0"/>
        <w:autoSpaceDE w:val="0"/>
        <w:autoSpaceDN w:val="0"/>
        <w:spacing w:before="213" w:after="0"/>
        <w:ind w:left="1228" w:right="144"/>
        <w:rPr>
          <w:rFonts w:eastAsia="Cambria" w:cs="Cambria"/>
          <w:szCs w:val="20"/>
        </w:rPr>
      </w:pPr>
      <w:r w:rsidRPr="000000D1">
        <w:rPr>
          <w:rFonts w:eastAsia="Cambria" w:cs="Cambria"/>
          <w:b/>
          <w:bCs/>
          <w:szCs w:val="20"/>
        </w:rPr>
        <w:t>Sales to Pass-Through Entities Owned by Combined Group Members</w:t>
      </w:r>
      <w:r w:rsidRPr="000000D1">
        <w:rPr>
          <w:rFonts w:eastAsia="Cambria" w:cs="Cambria"/>
          <w:szCs w:val="20"/>
        </w:rPr>
        <w:t>. If a combined group member makes a sale to a pass-through entity which is more than 50 percent owned, directly or indirectly, by members of the combined group, the member must eliminate an amount equal to the gross receipts of the sale multiplied by the sum of all combined group members’ interests in the pass-through entity as of the date of the sale.</w:t>
      </w:r>
    </w:p>
    <w:p w14:paraId="34FDB82E" w14:textId="77777777" w:rsidR="000000D1" w:rsidRPr="000000D1" w:rsidRDefault="000000D1" w:rsidP="000000D1">
      <w:pPr>
        <w:widowControl w:val="0"/>
        <w:autoSpaceDE w:val="0"/>
        <w:autoSpaceDN w:val="0"/>
        <w:spacing w:before="213" w:after="0"/>
        <w:ind w:left="1228" w:right="144"/>
        <w:rPr>
          <w:rFonts w:eastAsia="Cambria" w:cs="Cambria"/>
          <w:szCs w:val="20"/>
        </w:rPr>
      </w:pPr>
      <w:r w:rsidRPr="000000D1">
        <w:rPr>
          <w:rFonts w:eastAsia="Cambria" w:cs="Cambria"/>
          <w:i/>
          <w:iCs/>
          <w:szCs w:val="20"/>
        </w:rPr>
        <w:t>Excerpt, page 6:</w:t>
      </w:r>
    </w:p>
    <w:p w14:paraId="048F7A9B" w14:textId="77777777" w:rsidR="000000D1" w:rsidRPr="000000D1" w:rsidRDefault="000000D1" w:rsidP="000000D1">
      <w:pPr>
        <w:widowControl w:val="0"/>
        <w:autoSpaceDE w:val="0"/>
        <w:autoSpaceDN w:val="0"/>
        <w:spacing w:before="213" w:after="0"/>
        <w:ind w:left="1228" w:right="144"/>
        <w:rPr>
          <w:rFonts w:eastAsia="Cambria" w:cs="Cambria"/>
          <w:szCs w:val="20"/>
        </w:rPr>
      </w:pPr>
      <w:r w:rsidRPr="000000D1">
        <w:rPr>
          <w:rFonts w:eastAsia="Cambria" w:cs="Cambria"/>
          <w:b/>
          <w:bCs/>
          <w:szCs w:val="20"/>
        </w:rPr>
        <w:t>Sales by Pass-Through Entities Owned by Combined Group Members.</w:t>
      </w:r>
      <w:r w:rsidRPr="000000D1">
        <w:rPr>
          <w:rFonts w:eastAsia="Cambria" w:cs="Cambria"/>
          <w:szCs w:val="20"/>
        </w:rPr>
        <w:t xml:space="preserve"> If a pass-through entity makes a sale to a combined group member and more than 50 percent of the pass- through entity is directly or indirectly owned by members of the combined group, each member with an interest in the pass-through entity must subtract from its sales factor numerator and denominator any amount that would otherwise be included attributable to the sale.</w:t>
      </w:r>
    </w:p>
    <w:p w14:paraId="0F5F4123" w14:textId="77777777" w:rsidR="000000D1" w:rsidRPr="000000D1" w:rsidRDefault="000000D1" w:rsidP="00366E17">
      <w:pPr>
        <w:widowControl w:val="0"/>
        <w:numPr>
          <w:ilvl w:val="0"/>
          <w:numId w:val="33"/>
        </w:numPr>
        <w:autoSpaceDE w:val="0"/>
        <w:autoSpaceDN w:val="0"/>
        <w:spacing w:before="240" w:after="240" w:line="240" w:lineRule="auto"/>
        <w:ind w:left="1224" w:right="144"/>
        <w:jc w:val="left"/>
        <w:rPr>
          <w:rFonts w:eastAsia="Cambria" w:cs="Cambria"/>
          <w:color w:val="0000FF"/>
          <w:szCs w:val="20"/>
          <w:u w:val="single"/>
        </w:rPr>
      </w:pPr>
      <w:hyperlink r:id="rId54" w:history="1">
        <w:r w:rsidRPr="000000D1">
          <w:rPr>
            <w:rFonts w:eastAsia="Cambria" w:cs="Cambria"/>
            <w:color w:val="0000FF"/>
            <w:szCs w:val="20"/>
            <w:u w:val="single"/>
          </w:rPr>
          <w:t>Pass-Through Entity-Level Tax: Partnership Determining Income and Computing Tax</w:t>
        </w:r>
      </w:hyperlink>
      <w:r w:rsidRPr="000000D1">
        <w:rPr>
          <w:rFonts w:eastAsia="Cambria" w:cs="Cambria"/>
          <w:color w:val="0000FF"/>
          <w:szCs w:val="20"/>
          <w:u w:val="single"/>
        </w:rPr>
        <w:t xml:space="preserve"> common questions</w:t>
      </w:r>
    </w:p>
    <w:p w14:paraId="5452915D" w14:textId="77777777" w:rsidR="000000D1" w:rsidRPr="000000D1" w:rsidRDefault="000000D1" w:rsidP="000000D1">
      <w:pPr>
        <w:widowControl w:val="0"/>
        <w:autoSpaceDE w:val="0"/>
        <w:autoSpaceDN w:val="0"/>
        <w:spacing w:before="240" w:after="240" w:line="240" w:lineRule="auto"/>
        <w:ind w:left="1224" w:right="144"/>
        <w:rPr>
          <w:rFonts w:eastAsia="Cambria" w:cs="Cambria"/>
          <w:color w:val="0000FF"/>
          <w:sz w:val="22"/>
          <w:u w:val="single"/>
        </w:rPr>
      </w:pPr>
      <w:r w:rsidRPr="000000D1">
        <w:rPr>
          <w:rFonts w:eastAsia="Cambria" w:cs="Cambria"/>
          <w:color w:val="0000FF"/>
          <w:szCs w:val="20"/>
          <w:u w:val="single"/>
        </w:rPr>
        <w:t xml:space="preserve">See common question number one, </w:t>
      </w:r>
      <w:r w:rsidRPr="000000D1">
        <w:rPr>
          <w:rFonts w:eastAsia="Cambria" w:cs="Cambria"/>
          <w:i/>
          <w:iCs/>
          <w:color w:val="0000FF"/>
          <w:szCs w:val="20"/>
          <w:u w:val="single"/>
        </w:rPr>
        <w:t>How does an electing partnership determine the situs of income?</w:t>
      </w:r>
    </w:p>
    <w:p w14:paraId="7E9F78B8" w14:textId="77777777" w:rsidR="000000D1" w:rsidRPr="000000D1" w:rsidRDefault="000000D1" w:rsidP="00366E17">
      <w:pPr>
        <w:widowControl w:val="0"/>
        <w:numPr>
          <w:ilvl w:val="0"/>
          <w:numId w:val="33"/>
        </w:numPr>
        <w:autoSpaceDE w:val="0"/>
        <w:autoSpaceDN w:val="0"/>
        <w:spacing w:before="240" w:after="240" w:line="240" w:lineRule="auto"/>
        <w:ind w:left="1224" w:right="144"/>
        <w:jc w:val="left"/>
        <w:rPr>
          <w:rFonts w:eastAsia="Cambria" w:cs="Cambria"/>
          <w:b/>
          <w:sz w:val="22"/>
        </w:rPr>
      </w:pPr>
      <w:hyperlink r:id="rId55" w:history="1">
        <w:r w:rsidRPr="000000D1">
          <w:rPr>
            <w:rFonts w:eastAsia="Cambria" w:cs="Cambria"/>
            <w:color w:val="0000FF"/>
            <w:szCs w:val="20"/>
            <w:u w:val="single"/>
          </w:rPr>
          <w:t>Pass-Through Entity Withholding</w:t>
        </w:r>
      </w:hyperlink>
      <w:r w:rsidRPr="000000D1">
        <w:rPr>
          <w:rFonts w:eastAsia="Cambria" w:cs="Cambria"/>
          <w:color w:val="0000FF"/>
          <w:szCs w:val="20"/>
          <w:u w:val="single"/>
        </w:rPr>
        <w:t xml:space="preserve"> common questions</w:t>
      </w:r>
    </w:p>
    <w:p w14:paraId="46E7262D" w14:textId="77777777" w:rsidR="000000D1" w:rsidRPr="000000D1" w:rsidRDefault="000000D1" w:rsidP="000000D1">
      <w:pPr>
        <w:widowControl w:val="0"/>
        <w:autoSpaceDE w:val="0"/>
        <w:autoSpaceDN w:val="0"/>
        <w:spacing w:before="213" w:after="0"/>
        <w:ind w:left="1228" w:right="144"/>
        <w:rPr>
          <w:rFonts w:eastAsia="Cambria" w:cs="Cambria"/>
          <w:szCs w:val="20"/>
        </w:rPr>
      </w:pPr>
      <w:r w:rsidRPr="000000D1">
        <w:rPr>
          <w:rFonts w:eastAsia="Cambria" w:cs="Cambria"/>
          <w:szCs w:val="20"/>
        </w:rPr>
        <w:t xml:space="preserve">Common question number 16, </w:t>
      </w:r>
      <w:r w:rsidRPr="000000D1">
        <w:rPr>
          <w:rFonts w:eastAsia="Cambria" w:cs="Cambria"/>
          <w:i/>
          <w:iCs/>
          <w:szCs w:val="20"/>
        </w:rPr>
        <w:t>What happens when a pass-through entity is in a "tiered" structure, where it owns another pass-through entity?</w:t>
      </w:r>
    </w:p>
    <w:p w14:paraId="2CB06597" w14:textId="77777777" w:rsidR="000000D1" w:rsidRPr="000000D1" w:rsidRDefault="000000D1" w:rsidP="000000D1">
      <w:pPr>
        <w:widowControl w:val="0"/>
        <w:autoSpaceDE w:val="0"/>
        <w:autoSpaceDN w:val="0"/>
        <w:spacing w:before="213" w:after="0"/>
        <w:ind w:left="1228" w:right="144"/>
        <w:rPr>
          <w:rFonts w:eastAsia="Cambria" w:cs="Cambria"/>
          <w:szCs w:val="20"/>
        </w:rPr>
      </w:pPr>
      <w:r w:rsidRPr="000000D1">
        <w:rPr>
          <w:rFonts w:eastAsia="Cambria" w:cs="Cambria"/>
          <w:szCs w:val="20"/>
        </w:rPr>
        <w:t xml:space="preserve">If a pass-through entity (called an "upper-tier entity") owns another pass-through entity (called a "lower-tier" entity), the lower-tier entity is required to withhold on the Wisconsin income allocable to the upper-tier entity. The upper-tier entity may then take credit for tax already withheld by the lower-tier entity when it withholds on behalf of </w:t>
      </w:r>
      <w:r w:rsidRPr="000000D1">
        <w:rPr>
          <w:rFonts w:eastAsia="Cambria" w:cs="Cambria"/>
          <w:szCs w:val="20"/>
        </w:rPr>
        <w:lastRenderedPageBreak/>
        <w:t>its own nonresident members.</w:t>
      </w:r>
    </w:p>
    <w:p w14:paraId="06361226" w14:textId="77777777" w:rsidR="000000D1" w:rsidRPr="000000D1" w:rsidRDefault="000000D1" w:rsidP="000000D1">
      <w:pPr>
        <w:widowControl w:val="0"/>
        <w:autoSpaceDE w:val="0"/>
        <w:autoSpaceDN w:val="0"/>
        <w:spacing w:before="213" w:after="240"/>
        <w:ind w:left="1224" w:right="144"/>
        <w:rPr>
          <w:rFonts w:eastAsia="Cambria" w:cs="Cambria"/>
          <w:szCs w:val="20"/>
        </w:rPr>
      </w:pPr>
      <w:r w:rsidRPr="000000D1">
        <w:rPr>
          <w:rFonts w:eastAsia="Cambria" w:cs="Cambria"/>
          <w:szCs w:val="20"/>
        </w:rPr>
        <w:t>Alternatively, the upper-tier entity may file an exemption affidavit (Form PW-2) to elect out of withholding from the lower-tier entity. In this case, the upper-tier entity would pay the withholding on its total Wisconsin income allocable to its nonresident members even if that income is from the lower-tier entity.</w:t>
      </w:r>
    </w:p>
    <w:p w14:paraId="6362E96F" w14:textId="77777777" w:rsidR="000000D1" w:rsidRPr="000000D1" w:rsidRDefault="000000D1" w:rsidP="000000D1">
      <w:pPr>
        <w:widowControl w:val="0"/>
        <w:autoSpaceDE w:val="0"/>
        <w:autoSpaceDN w:val="0"/>
        <w:spacing w:before="134" w:after="0" w:line="240" w:lineRule="auto"/>
        <w:ind w:left="868"/>
        <w:jc w:val="left"/>
        <w:rPr>
          <w:rFonts w:eastAsia="Cambria" w:cs="Cambria"/>
          <w:sz w:val="24"/>
          <w:szCs w:val="24"/>
          <w:u w:val="single"/>
        </w:rPr>
      </w:pPr>
      <w:r w:rsidRPr="000000D1">
        <w:rPr>
          <w:rFonts w:eastAsia="Cambria" w:cs="Cambria"/>
          <w:sz w:val="24"/>
          <w:szCs w:val="24"/>
          <w:u w:val="single"/>
        </w:rPr>
        <w:t>Statutory References:</w:t>
      </w:r>
    </w:p>
    <w:p w14:paraId="64A238EA" w14:textId="77777777" w:rsidR="000000D1" w:rsidRPr="000000D1" w:rsidRDefault="000000D1" w:rsidP="000000D1">
      <w:pPr>
        <w:widowControl w:val="0"/>
        <w:autoSpaceDE w:val="0"/>
        <w:autoSpaceDN w:val="0"/>
        <w:spacing w:after="0" w:line="240" w:lineRule="auto"/>
        <w:ind w:left="864"/>
        <w:jc w:val="left"/>
        <w:rPr>
          <w:rFonts w:eastAsia="Cambria" w:cs="Cambria"/>
          <w:szCs w:val="20"/>
          <w:u w:val="single"/>
        </w:rPr>
      </w:pPr>
    </w:p>
    <w:p w14:paraId="3E6E50EF" w14:textId="77777777" w:rsidR="000000D1" w:rsidRPr="000000D1" w:rsidRDefault="000000D1" w:rsidP="00366E17">
      <w:pPr>
        <w:widowControl w:val="0"/>
        <w:numPr>
          <w:ilvl w:val="0"/>
          <w:numId w:val="33"/>
        </w:numPr>
        <w:autoSpaceDE w:val="0"/>
        <w:autoSpaceDN w:val="0"/>
        <w:spacing w:after="120" w:line="240" w:lineRule="auto"/>
        <w:ind w:left="1224" w:right="144"/>
        <w:jc w:val="left"/>
        <w:rPr>
          <w:rFonts w:eastAsia="Cambria" w:cs="Cambria"/>
          <w:iCs/>
          <w:szCs w:val="20"/>
        </w:rPr>
      </w:pPr>
      <w:hyperlink r:id="rId56" w:history="1">
        <w:r w:rsidRPr="000000D1">
          <w:rPr>
            <w:rFonts w:eastAsia="Cambria" w:cs="Cambria"/>
            <w:color w:val="0000FF"/>
            <w:szCs w:val="20"/>
            <w:u w:val="single"/>
          </w:rPr>
          <w:t>Wis.</w:t>
        </w:r>
        <w:r w:rsidRPr="000000D1">
          <w:rPr>
            <w:rFonts w:eastAsia="Cambria" w:cs="Cambria"/>
            <w:color w:val="0000FF"/>
            <w:spacing w:val="-6"/>
            <w:szCs w:val="20"/>
            <w:u w:val="single"/>
          </w:rPr>
          <w:t xml:space="preserve"> </w:t>
        </w:r>
        <w:r w:rsidRPr="000000D1">
          <w:rPr>
            <w:rFonts w:eastAsia="Cambria" w:cs="Cambria"/>
            <w:color w:val="0000FF"/>
            <w:szCs w:val="20"/>
            <w:u w:val="single"/>
          </w:rPr>
          <w:t>Stat.</w:t>
        </w:r>
        <w:r w:rsidRPr="000000D1">
          <w:rPr>
            <w:rFonts w:eastAsia="Cambria" w:cs="Cambria"/>
            <w:color w:val="0000FF"/>
            <w:spacing w:val="-6"/>
            <w:szCs w:val="20"/>
            <w:u w:val="single"/>
          </w:rPr>
          <w:t xml:space="preserve"> </w:t>
        </w:r>
        <w:r w:rsidRPr="000000D1">
          <w:rPr>
            <w:rFonts w:eastAsia="Cambria" w:cs="Cambria"/>
            <w:color w:val="0000FF"/>
            <w:szCs w:val="20"/>
            <w:u w:val="single"/>
          </w:rPr>
          <w:t>§</w:t>
        </w:r>
        <w:r w:rsidRPr="000000D1">
          <w:rPr>
            <w:rFonts w:eastAsia="Cambria" w:cs="Cambria"/>
            <w:color w:val="0000FF"/>
            <w:spacing w:val="-4"/>
            <w:szCs w:val="20"/>
            <w:u w:val="single"/>
          </w:rPr>
          <w:t xml:space="preserve"> </w:t>
        </w:r>
        <w:r w:rsidRPr="000000D1">
          <w:rPr>
            <w:rFonts w:eastAsia="Cambria" w:cs="Cambria"/>
            <w:color w:val="0000FF"/>
            <w:szCs w:val="20"/>
            <w:u w:val="single"/>
          </w:rPr>
          <w:t>71.04</w:t>
        </w:r>
      </w:hyperlink>
      <w:r w:rsidRPr="000000D1">
        <w:rPr>
          <w:rFonts w:eastAsia="Cambria" w:cs="Cambria"/>
          <w:spacing w:val="-5"/>
          <w:szCs w:val="20"/>
        </w:rPr>
        <w:t xml:space="preserve"> </w:t>
      </w:r>
      <w:r w:rsidRPr="000000D1">
        <w:rPr>
          <w:rFonts w:eastAsia="Cambria" w:cs="Cambria"/>
          <w:i/>
          <w:spacing w:val="-2"/>
          <w:szCs w:val="20"/>
        </w:rPr>
        <w:t>Situs of income; allocation and apportionment.</w:t>
      </w:r>
      <w:r w:rsidRPr="000000D1">
        <w:rPr>
          <w:rFonts w:eastAsia="Cambria" w:cs="Cambria"/>
          <w:iCs/>
          <w:spacing w:val="-2"/>
          <w:szCs w:val="20"/>
        </w:rPr>
        <w:t xml:space="preserve"> (individuals, estates, and trusts)</w:t>
      </w:r>
    </w:p>
    <w:p w14:paraId="2923B831" w14:textId="77777777" w:rsidR="000000D1" w:rsidRPr="000000D1" w:rsidRDefault="000000D1" w:rsidP="00366E17">
      <w:pPr>
        <w:widowControl w:val="0"/>
        <w:numPr>
          <w:ilvl w:val="0"/>
          <w:numId w:val="33"/>
        </w:numPr>
        <w:autoSpaceDE w:val="0"/>
        <w:autoSpaceDN w:val="0"/>
        <w:spacing w:after="120" w:line="240" w:lineRule="auto"/>
        <w:ind w:left="1224" w:right="144"/>
        <w:jc w:val="left"/>
        <w:rPr>
          <w:rFonts w:eastAsia="Cambria" w:cs="Cambria"/>
          <w:iCs/>
          <w:szCs w:val="20"/>
        </w:rPr>
      </w:pPr>
      <w:hyperlink r:id="rId57" w:history="1">
        <w:r w:rsidRPr="000000D1">
          <w:rPr>
            <w:rFonts w:eastAsia="Cambria" w:cs="Cambria"/>
            <w:color w:val="0000FF"/>
            <w:szCs w:val="20"/>
            <w:u w:val="single"/>
          </w:rPr>
          <w:t>Wis.</w:t>
        </w:r>
        <w:r w:rsidRPr="000000D1">
          <w:rPr>
            <w:rFonts w:eastAsia="Cambria" w:cs="Cambria"/>
            <w:color w:val="0000FF"/>
            <w:spacing w:val="-6"/>
            <w:szCs w:val="20"/>
            <w:u w:val="single"/>
          </w:rPr>
          <w:t xml:space="preserve"> </w:t>
        </w:r>
        <w:r w:rsidRPr="000000D1">
          <w:rPr>
            <w:rFonts w:eastAsia="Cambria" w:cs="Cambria"/>
            <w:color w:val="0000FF"/>
            <w:szCs w:val="20"/>
            <w:u w:val="single"/>
          </w:rPr>
          <w:t>Stat.</w:t>
        </w:r>
        <w:r w:rsidRPr="000000D1">
          <w:rPr>
            <w:rFonts w:eastAsia="Cambria" w:cs="Cambria"/>
            <w:color w:val="0000FF"/>
            <w:spacing w:val="-6"/>
            <w:szCs w:val="20"/>
            <w:u w:val="single"/>
          </w:rPr>
          <w:t xml:space="preserve"> </w:t>
        </w:r>
        <w:r w:rsidRPr="000000D1">
          <w:rPr>
            <w:rFonts w:eastAsia="Cambria" w:cs="Cambria"/>
            <w:color w:val="0000FF"/>
            <w:szCs w:val="20"/>
            <w:u w:val="single"/>
          </w:rPr>
          <w:t>§</w:t>
        </w:r>
        <w:r w:rsidRPr="000000D1">
          <w:rPr>
            <w:rFonts w:eastAsia="Cambria" w:cs="Cambria"/>
            <w:color w:val="0000FF"/>
            <w:spacing w:val="-4"/>
            <w:szCs w:val="20"/>
            <w:u w:val="single"/>
          </w:rPr>
          <w:t xml:space="preserve"> </w:t>
        </w:r>
        <w:r w:rsidRPr="000000D1">
          <w:rPr>
            <w:rFonts w:eastAsia="Cambria" w:cs="Cambria"/>
            <w:color w:val="0000FF"/>
            <w:szCs w:val="20"/>
            <w:u w:val="single"/>
          </w:rPr>
          <w:t>71.14</w:t>
        </w:r>
      </w:hyperlink>
      <w:r w:rsidRPr="000000D1">
        <w:rPr>
          <w:rFonts w:eastAsia="Cambria" w:cs="Cambria"/>
          <w:spacing w:val="-5"/>
          <w:szCs w:val="20"/>
        </w:rPr>
        <w:t xml:space="preserve"> </w:t>
      </w:r>
      <w:r w:rsidRPr="000000D1">
        <w:rPr>
          <w:rFonts w:eastAsia="Cambria" w:cs="Cambria"/>
          <w:i/>
          <w:spacing w:val="-2"/>
          <w:szCs w:val="20"/>
        </w:rPr>
        <w:t xml:space="preserve">Situs of income. </w:t>
      </w:r>
      <w:r w:rsidRPr="000000D1">
        <w:rPr>
          <w:rFonts w:eastAsia="Cambria" w:cs="Cambria"/>
          <w:iCs/>
          <w:spacing w:val="-2"/>
          <w:szCs w:val="20"/>
        </w:rPr>
        <w:t>(estates and trusts)</w:t>
      </w:r>
    </w:p>
    <w:p w14:paraId="5A5E01B2" w14:textId="77777777" w:rsidR="000000D1" w:rsidRPr="000000D1" w:rsidRDefault="000000D1" w:rsidP="00366E17">
      <w:pPr>
        <w:widowControl w:val="0"/>
        <w:numPr>
          <w:ilvl w:val="0"/>
          <w:numId w:val="33"/>
        </w:numPr>
        <w:autoSpaceDE w:val="0"/>
        <w:autoSpaceDN w:val="0"/>
        <w:spacing w:after="120" w:line="240" w:lineRule="auto"/>
        <w:ind w:left="1224" w:right="144"/>
        <w:jc w:val="left"/>
        <w:rPr>
          <w:rFonts w:eastAsia="Cambria" w:cs="Cambria"/>
          <w:iCs/>
          <w:szCs w:val="20"/>
        </w:rPr>
      </w:pPr>
      <w:hyperlink r:id="rId58" w:history="1">
        <w:r w:rsidRPr="000000D1">
          <w:rPr>
            <w:rFonts w:eastAsia="Cambria" w:cs="Cambria"/>
            <w:color w:val="0000FF"/>
            <w:szCs w:val="20"/>
            <w:u w:val="single"/>
          </w:rPr>
          <w:t>Wis. Stat. § 71.21(6)(d)1.</w:t>
        </w:r>
      </w:hyperlink>
      <w:r w:rsidRPr="000000D1">
        <w:rPr>
          <w:rFonts w:eastAsia="Cambria" w:cs="Cambria"/>
          <w:spacing w:val="-5"/>
          <w:szCs w:val="20"/>
        </w:rPr>
        <w:t xml:space="preserve"> </w:t>
      </w:r>
      <w:r w:rsidRPr="000000D1">
        <w:rPr>
          <w:rFonts w:eastAsia="Cambria" w:cs="Cambria"/>
          <w:i/>
          <w:spacing w:val="-2"/>
          <w:szCs w:val="20"/>
        </w:rPr>
        <w:t xml:space="preserve">Situs of income. </w:t>
      </w:r>
      <w:r w:rsidRPr="000000D1">
        <w:rPr>
          <w:rFonts w:eastAsia="Cambria" w:cs="Cambria"/>
          <w:iCs/>
          <w:spacing w:val="-2"/>
          <w:szCs w:val="20"/>
        </w:rPr>
        <w:t>(partnerships electing to pay tax at the entity level)</w:t>
      </w:r>
    </w:p>
    <w:p w14:paraId="6373F7F5" w14:textId="77777777" w:rsidR="000000D1" w:rsidRPr="000000D1" w:rsidRDefault="000000D1" w:rsidP="00366E17">
      <w:pPr>
        <w:widowControl w:val="0"/>
        <w:numPr>
          <w:ilvl w:val="0"/>
          <w:numId w:val="33"/>
        </w:numPr>
        <w:autoSpaceDE w:val="0"/>
        <w:autoSpaceDN w:val="0"/>
        <w:spacing w:after="120" w:line="240" w:lineRule="auto"/>
        <w:ind w:left="1224" w:right="144"/>
        <w:jc w:val="left"/>
        <w:rPr>
          <w:rFonts w:eastAsia="Cambria" w:cs="Cambria"/>
          <w:iCs/>
          <w:szCs w:val="20"/>
        </w:rPr>
      </w:pPr>
      <w:hyperlink r:id="rId59" w:history="1">
        <w:r w:rsidRPr="000000D1">
          <w:rPr>
            <w:rFonts w:eastAsia="Cambria" w:cs="Cambria"/>
            <w:color w:val="0000FF"/>
            <w:szCs w:val="20"/>
            <w:u w:val="single"/>
          </w:rPr>
          <w:t>Wis.</w:t>
        </w:r>
        <w:r w:rsidRPr="000000D1">
          <w:rPr>
            <w:rFonts w:eastAsia="Cambria" w:cs="Cambria"/>
            <w:color w:val="0000FF"/>
            <w:spacing w:val="-6"/>
            <w:szCs w:val="20"/>
            <w:u w:val="single"/>
          </w:rPr>
          <w:t xml:space="preserve"> </w:t>
        </w:r>
        <w:r w:rsidRPr="000000D1">
          <w:rPr>
            <w:rFonts w:eastAsia="Cambria" w:cs="Cambria"/>
            <w:color w:val="0000FF"/>
            <w:szCs w:val="20"/>
            <w:u w:val="single"/>
          </w:rPr>
          <w:t>Stat.</w:t>
        </w:r>
        <w:r w:rsidRPr="000000D1">
          <w:rPr>
            <w:rFonts w:eastAsia="Cambria" w:cs="Cambria"/>
            <w:color w:val="0000FF"/>
            <w:spacing w:val="-6"/>
            <w:szCs w:val="20"/>
            <w:u w:val="single"/>
          </w:rPr>
          <w:t xml:space="preserve"> </w:t>
        </w:r>
        <w:r w:rsidRPr="000000D1">
          <w:rPr>
            <w:rFonts w:eastAsia="Cambria" w:cs="Cambria"/>
            <w:color w:val="0000FF"/>
            <w:szCs w:val="20"/>
            <w:u w:val="single"/>
          </w:rPr>
          <w:t>§</w:t>
        </w:r>
        <w:r w:rsidRPr="000000D1">
          <w:rPr>
            <w:rFonts w:eastAsia="Cambria" w:cs="Cambria"/>
            <w:color w:val="0000FF"/>
            <w:spacing w:val="-4"/>
            <w:szCs w:val="20"/>
            <w:u w:val="single"/>
          </w:rPr>
          <w:t xml:space="preserve"> </w:t>
        </w:r>
        <w:r w:rsidRPr="000000D1">
          <w:rPr>
            <w:rFonts w:eastAsia="Cambria" w:cs="Cambria"/>
            <w:color w:val="0000FF"/>
            <w:szCs w:val="20"/>
            <w:u w:val="single"/>
          </w:rPr>
          <w:t>71.25</w:t>
        </w:r>
      </w:hyperlink>
      <w:r w:rsidRPr="000000D1">
        <w:rPr>
          <w:rFonts w:eastAsia="Cambria" w:cs="Cambria"/>
          <w:spacing w:val="-5"/>
          <w:szCs w:val="20"/>
        </w:rPr>
        <w:t xml:space="preserve"> </w:t>
      </w:r>
      <w:r w:rsidRPr="000000D1">
        <w:rPr>
          <w:rFonts w:eastAsia="Cambria" w:cs="Cambria"/>
          <w:i/>
          <w:iCs/>
          <w:spacing w:val="-5"/>
          <w:szCs w:val="20"/>
        </w:rPr>
        <w:t>Situs of income; allocation and apportionment.</w:t>
      </w:r>
      <w:r w:rsidRPr="000000D1">
        <w:rPr>
          <w:rFonts w:eastAsia="Cambria" w:cs="Cambria"/>
          <w:i/>
          <w:spacing w:val="-2"/>
          <w:szCs w:val="20"/>
        </w:rPr>
        <w:t xml:space="preserve"> </w:t>
      </w:r>
      <w:r w:rsidRPr="000000D1">
        <w:rPr>
          <w:rFonts w:eastAsia="Cambria" w:cs="Cambria"/>
          <w:szCs w:val="20"/>
        </w:rPr>
        <w:t>(corporations)</w:t>
      </w:r>
    </w:p>
    <w:p w14:paraId="72FC5A3A" w14:textId="77777777" w:rsidR="000000D1" w:rsidRPr="000000D1" w:rsidRDefault="000000D1" w:rsidP="00366E17">
      <w:pPr>
        <w:widowControl w:val="0"/>
        <w:numPr>
          <w:ilvl w:val="0"/>
          <w:numId w:val="33"/>
        </w:numPr>
        <w:autoSpaceDE w:val="0"/>
        <w:autoSpaceDN w:val="0"/>
        <w:spacing w:after="120" w:line="240" w:lineRule="auto"/>
        <w:ind w:left="1224" w:right="144"/>
        <w:jc w:val="left"/>
        <w:rPr>
          <w:rFonts w:eastAsia="Cambria" w:cs="Cambria"/>
          <w:i/>
        </w:rPr>
      </w:pPr>
      <w:hyperlink r:id="rId60" w:history="1">
        <w:r w:rsidRPr="000000D1">
          <w:rPr>
            <w:rFonts w:eastAsia="Cambria" w:cs="Cambria"/>
            <w:color w:val="0000FF"/>
            <w:u w:val="single"/>
          </w:rPr>
          <w:t>Wis.</w:t>
        </w:r>
        <w:r w:rsidRPr="000000D1">
          <w:rPr>
            <w:rFonts w:eastAsia="Cambria" w:cs="Cambria"/>
            <w:color w:val="0000FF"/>
            <w:spacing w:val="-6"/>
            <w:u w:val="single"/>
          </w:rPr>
          <w:t xml:space="preserve"> </w:t>
        </w:r>
        <w:r w:rsidRPr="000000D1">
          <w:rPr>
            <w:rFonts w:eastAsia="Cambria" w:cs="Cambria"/>
            <w:color w:val="0000FF"/>
            <w:u w:val="single"/>
          </w:rPr>
          <w:t>Stat.</w:t>
        </w:r>
        <w:r w:rsidRPr="000000D1">
          <w:rPr>
            <w:rFonts w:eastAsia="Cambria" w:cs="Cambria"/>
            <w:color w:val="0000FF"/>
            <w:spacing w:val="-7"/>
            <w:u w:val="single"/>
          </w:rPr>
          <w:t xml:space="preserve"> </w:t>
        </w:r>
        <w:r w:rsidRPr="000000D1">
          <w:rPr>
            <w:rFonts w:eastAsia="Cambria" w:cs="Cambria"/>
            <w:color w:val="0000FF"/>
            <w:u w:val="single"/>
          </w:rPr>
          <w:t>§</w:t>
        </w:r>
        <w:r w:rsidRPr="000000D1">
          <w:rPr>
            <w:rFonts w:eastAsia="Cambria" w:cs="Cambria"/>
            <w:color w:val="0000FF"/>
            <w:spacing w:val="-4"/>
            <w:u w:val="single"/>
          </w:rPr>
          <w:t xml:space="preserve"> </w:t>
        </w:r>
        <w:r w:rsidRPr="000000D1">
          <w:rPr>
            <w:rFonts w:eastAsia="Cambria" w:cs="Cambria"/>
            <w:color w:val="0000FF"/>
            <w:u w:val="single"/>
          </w:rPr>
          <w:t>71.255(1)(n)</w:t>
        </w:r>
      </w:hyperlink>
      <w:r w:rsidRPr="000000D1">
        <w:rPr>
          <w:rFonts w:eastAsia="Cambria" w:cs="Cambria"/>
        </w:rPr>
        <w:t xml:space="preserve"> </w:t>
      </w:r>
      <w:r w:rsidRPr="000000D1">
        <w:rPr>
          <w:rFonts w:eastAsia="Cambria" w:cs="Cambria"/>
          <w:i/>
          <w:iCs/>
        </w:rPr>
        <w:t>Combined reporting.</w:t>
      </w:r>
      <w:r w:rsidRPr="000000D1">
        <w:rPr>
          <w:rFonts w:eastAsia="Cambria" w:cs="Cambria"/>
        </w:rPr>
        <w:t xml:space="preserve"> </w:t>
      </w:r>
      <w:r w:rsidRPr="000000D1">
        <w:rPr>
          <w:rFonts w:eastAsia="Cambria" w:cs="Cambria"/>
          <w:i/>
          <w:iCs/>
        </w:rPr>
        <w:t>Unitary business.</w:t>
      </w:r>
      <w:r w:rsidRPr="000000D1">
        <w:rPr>
          <w:rFonts w:eastAsia="Cambria" w:cs="Cambria"/>
        </w:rPr>
        <w:t xml:space="preserve"> (</w:t>
      </w:r>
      <w:r w:rsidRPr="000000D1">
        <w:rPr>
          <w:rFonts w:eastAsia="Cambria" w:cs="Cambria"/>
          <w:spacing w:val="-5"/>
        </w:rPr>
        <w:t>combined reporting of pass-through entities owned directly or indirectly by a corporation)</w:t>
      </w:r>
    </w:p>
    <w:p w14:paraId="561E564F" w14:textId="77777777" w:rsidR="000000D1" w:rsidRPr="000000D1" w:rsidRDefault="000000D1" w:rsidP="00366E17">
      <w:pPr>
        <w:widowControl w:val="0"/>
        <w:numPr>
          <w:ilvl w:val="0"/>
          <w:numId w:val="33"/>
        </w:numPr>
        <w:autoSpaceDE w:val="0"/>
        <w:autoSpaceDN w:val="0"/>
        <w:spacing w:after="120" w:line="240" w:lineRule="auto"/>
        <w:ind w:left="1224" w:right="144"/>
        <w:jc w:val="left"/>
        <w:rPr>
          <w:rFonts w:eastAsia="Cambria" w:cs="Cambria"/>
          <w:i/>
        </w:rPr>
      </w:pPr>
      <w:hyperlink r:id="rId61" w:history="1">
        <w:r w:rsidRPr="000000D1">
          <w:rPr>
            <w:rFonts w:eastAsia="Cambria" w:cs="Cambria"/>
            <w:color w:val="0000FF"/>
            <w:u w:val="single"/>
          </w:rPr>
          <w:t>Wis.</w:t>
        </w:r>
        <w:r w:rsidRPr="000000D1">
          <w:rPr>
            <w:rFonts w:eastAsia="Cambria" w:cs="Cambria"/>
            <w:color w:val="0000FF"/>
            <w:spacing w:val="-6"/>
            <w:u w:val="single"/>
          </w:rPr>
          <w:t xml:space="preserve"> </w:t>
        </w:r>
        <w:r w:rsidRPr="000000D1">
          <w:rPr>
            <w:rFonts w:eastAsia="Cambria" w:cs="Cambria"/>
            <w:color w:val="0000FF"/>
            <w:u w:val="single"/>
          </w:rPr>
          <w:t>Stat.</w:t>
        </w:r>
        <w:r w:rsidRPr="000000D1">
          <w:rPr>
            <w:rFonts w:eastAsia="Cambria" w:cs="Cambria"/>
            <w:color w:val="0000FF"/>
            <w:spacing w:val="-7"/>
            <w:u w:val="single"/>
          </w:rPr>
          <w:t xml:space="preserve"> </w:t>
        </w:r>
        <w:r w:rsidRPr="000000D1">
          <w:rPr>
            <w:rFonts w:eastAsia="Cambria" w:cs="Cambria"/>
            <w:color w:val="0000FF"/>
            <w:u w:val="single"/>
          </w:rPr>
          <w:t>§</w:t>
        </w:r>
        <w:r w:rsidRPr="000000D1">
          <w:rPr>
            <w:rFonts w:eastAsia="Cambria" w:cs="Cambria"/>
            <w:color w:val="0000FF"/>
            <w:spacing w:val="-4"/>
            <w:u w:val="single"/>
          </w:rPr>
          <w:t xml:space="preserve"> </w:t>
        </w:r>
        <w:r w:rsidRPr="000000D1">
          <w:rPr>
            <w:rFonts w:eastAsia="Cambria" w:cs="Cambria"/>
            <w:color w:val="0000FF"/>
            <w:u w:val="single"/>
          </w:rPr>
          <w:t>71.255(5)(a)6.</w:t>
        </w:r>
      </w:hyperlink>
      <w:r w:rsidRPr="000000D1">
        <w:rPr>
          <w:rFonts w:eastAsia="Cambria" w:cs="Cambria"/>
          <w:spacing w:val="-5"/>
        </w:rPr>
        <w:t xml:space="preserve"> </w:t>
      </w:r>
      <w:r w:rsidRPr="000000D1">
        <w:rPr>
          <w:rFonts w:eastAsia="Cambria" w:cs="Cambria"/>
          <w:i/>
          <w:iCs/>
          <w:spacing w:val="-5"/>
        </w:rPr>
        <w:t xml:space="preserve">Member's share of business income of the combined group. </w:t>
      </w:r>
      <w:r w:rsidRPr="000000D1">
        <w:rPr>
          <w:rFonts w:eastAsia="Cambria" w:cs="Cambria"/>
          <w:spacing w:val="-5"/>
        </w:rPr>
        <w:t>(combined reporting of pass-through entities owned directly or indirectly by a corporation)</w:t>
      </w:r>
    </w:p>
    <w:p w14:paraId="64E1FC9F" w14:textId="77777777" w:rsidR="000000D1" w:rsidRPr="000000D1" w:rsidRDefault="000000D1" w:rsidP="00366E17">
      <w:pPr>
        <w:widowControl w:val="0"/>
        <w:numPr>
          <w:ilvl w:val="0"/>
          <w:numId w:val="33"/>
        </w:numPr>
        <w:autoSpaceDE w:val="0"/>
        <w:autoSpaceDN w:val="0"/>
        <w:spacing w:before="134" w:after="0" w:line="240" w:lineRule="auto"/>
        <w:ind w:right="142"/>
        <w:jc w:val="left"/>
        <w:rPr>
          <w:rFonts w:eastAsia="Cambria" w:cs="Cambria"/>
          <w:iCs/>
          <w:szCs w:val="20"/>
        </w:rPr>
      </w:pPr>
      <w:hyperlink r:id="rId62" w:history="1">
        <w:r w:rsidRPr="000000D1">
          <w:rPr>
            <w:rFonts w:eastAsia="Cambria" w:cs="Cambria"/>
            <w:color w:val="0000FF"/>
            <w:szCs w:val="20"/>
            <w:u w:val="single"/>
          </w:rPr>
          <w:t>Wis.</w:t>
        </w:r>
        <w:r w:rsidRPr="000000D1">
          <w:rPr>
            <w:rFonts w:eastAsia="Cambria" w:cs="Cambria"/>
            <w:color w:val="0000FF"/>
            <w:spacing w:val="-6"/>
            <w:szCs w:val="20"/>
            <w:u w:val="single"/>
          </w:rPr>
          <w:t xml:space="preserve"> </w:t>
        </w:r>
        <w:r w:rsidRPr="000000D1">
          <w:rPr>
            <w:rFonts w:eastAsia="Cambria" w:cs="Cambria"/>
            <w:color w:val="0000FF"/>
            <w:szCs w:val="20"/>
            <w:u w:val="single"/>
          </w:rPr>
          <w:t>Stat.</w:t>
        </w:r>
        <w:r w:rsidRPr="000000D1">
          <w:rPr>
            <w:rFonts w:eastAsia="Cambria" w:cs="Cambria"/>
            <w:color w:val="0000FF"/>
            <w:spacing w:val="-6"/>
            <w:szCs w:val="20"/>
            <w:u w:val="single"/>
          </w:rPr>
          <w:t xml:space="preserve"> </w:t>
        </w:r>
        <w:r w:rsidRPr="000000D1">
          <w:rPr>
            <w:rFonts w:eastAsia="Cambria" w:cs="Cambria"/>
            <w:color w:val="0000FF"/>
            <w:szCs w:val="20"/>
            <w:u w:val="single"/>
          </w:rPr>
          <w:t>§</w:t>
        </w:r>
        <w:r w:rsidRPr="000000D1">
          <w:rPr>
            <w:rFonts w:eastAsia="Cambria" w:cs="Cambria"/>
            <w:color w:val="0000FF"/>
            <w:spacing w:val="-4"/>
            <w:szCs w:val="20"/>
            <w:u w:val="single"/>
          </w:rPr>
          <w:t xml:space="preserve"> </w:t>
        </w:r>
        <w:r w:rsidRPr="000000D1">
          <w:rPr>
            <w:rFonts w:eastAsia="Cambria" w:cs="Cambria"/>
            <w:color w:val="0000FF"/>
            <w:szCs w:val="20"/>
            <w:u w:val="single"/>
          </w:rPr>
          <w:t>71.362</w:t>
        </w:r>
      </w:hyperlink>
      <w:r w:rsidRPr="000000D1">
        <w:rPr>
          <w:rFonts w:eastAsia="Cambria" w:cs="Cambria"/>
          <w:spacing w:val="-5"/>
          <w:szCs w:val="20"/>
        </w:rPr>
        <w:t xml:space="preserve"> </w:t>
      </w:r>
      <w:r w:rsidRPr="000000D1">
        <w:rPr>
          <w:rFonts w:eastAsia="Cambria" w:cs="Cambria"/>
          <w:i/>
          <w:spacing w:val="-2"/>
          <w:szCs w:val="20"/>
        </w:rPr>
        <w:t xml:space="preserve">Situs of income. </w:t>
      </w:r>
      <w:r w:rsidRPr="000000D1">
        <w:rPr>
          <w:rFonts w:eastAsia="Cambria" w:cs="Cambria"/>
          <w:iCs/>
          <w:spacing w:val="-2"/>
          <w:szCs w:val="20"/>
        </w:rPr>
        <w:t>(tax-option (S) corporations)</w:t>
      </w:r>
    </w:p>
    <w:p w14:paraId="4CA55D7E" w14:textId="77777777" w:rsidR="000000D1" w:rsidRPr="000000D1" w:rsidRDefault="000000D1" w:rsidP="00366E17">
      <w:pPr>
        <w:widowControl w:val="0"/>
        <w:numPr>
          <w:ilvl w:val="0"/>
          <w:numId w:val="33"/>
        </w:numPr>
        <w:autoSpaceDE w:val="0"/>
        <w:autoSpaceDN w:val="0"/>
        <w:spacing w:before="134" w:after="240" w:line="240" w:lineRule="auto"/>
        <w:ind w:left="1224" w:right="144"/>
        <w:jc w:val="left"/>
        <w:rPr>
          <w:rFonts w:eastAsia="Cambria" w:cs="Cambria"/>
          <w:i/>
          <w:iCs/>
          <w:szCs w:val="20"/>
        </w:rPr>
      </w:pPr>
      <w:hyperlink r:id="rId63" w:history="1">
        <w:r w:rsidRPr="000000D1">
          <w:rPr>
            <w:rFonts w:eastAsia="Cambria" w:cs="Cambria"/>
            <w:color w:val="0000FF"/>
            <w:szCs w:val="20"/>
            <w:u w:val="single"/>
          </w:rPr>
          <w:t>Wis.</w:t>
        </w:r>
        <w:r w:rsidRPr="000000D1">
          <w:rPr>
            <w:rFonts w:eastAsia="Cambria" w:cs="Cambria"/>
            <w:color w:val="0000FF"/>
            <w:spacing w:val="-6"/>
            <w:szCs w:val="20"/>
            <w:u w:val="single"/>
          </w:rPr>
          <w:t xml:space="preserve"> </w:t>
        </w:r>
        <w:r w:rsidRPr="000000D1">
          <w:rPr>
            <w:rFonts w:eastAsia="Cambria" w:cs="Cambria"/>
            <w:color w:val="0000FF"/>
            <w:szCs w:val="20"/>
            <w:u w:val="single"/>
          </w:rPr>
          <w:t>Stat.</w:t>
        </w:r>
        <w:r w:rsidRPr="000000D1">
          <w:rPr>
            <w:rFonts w:eastAsia="Cambria" w:cs="Cambria"/>
            <w:color w:val="0000FF"/>
            <w:spacing w:val="-6"/>
            <w:szCs w:val="20"/>
            <w:u w:val="single"/>
          </w:rPr>
          <w:t xml:space="preserve"> </w:t>
        </w:r>
        <w:r w:rsidRPr="000000D1">
          <w:rPr>
            <w:rFonts w:eastAsia="Cambria" w:cs="Cambria"/>
            <w:color w:val="0000FF"/>
            <w:szCs w:val="20"/>
            <w:u w:val="single"/>
          </w:rPr>
          <w:t>§</w:t>
        </w:r>
        <w:r w:rsidRPr="000000D1">
          <w:rPr>
            <w:rFonts w:eastAsia="Cambria" w:cs="Cambria"/>
            <w:color w:val="0000FF"/>
            <w:spacing w:val="-4"/>
            <w:szCs w:val="20"/>
            <w:u w:val="single"/>
          </w:rPr>
          <w:t xml:space="preserve"> </w:t>
        </w:r>
        <w:r w:rsidRPr="000000D1">
          <w:rPr>
            <w:rFonts w:eastAsia="Cambria" w:cs="Cambria"/>
            <w:color w:val="0000FF"/>
            <w:szCs w:val="20"/>
            <w:u w:val="single"/>
          </w:rPr>
          <w:t>71.775</w:t>
        </w:r>
      </w:hyperlink>
      <w:r w:rsidRPr="000000D1">
        <w:rPr>
          <w:rFonts w:eastAsia="Cambria" w:cs="Cambria"/>
          <w:szCs w:val="20"/>
        </w:rPr>
        <w:t xml:space="preserve"> </w:t>
      </w:r>
      <w:r w:rsidRPr="000000D1">
        <w:rPr>
          <w:rFonts w:eastAsia="Cambria" w:cs="Cambria"/>
          <w:i/>
          <w:iCs/>
          <w:szCs w:val="20"/>
        </w:rPr>
        <w:t>Withholding from nonresident members of pass-through entities.</w:t>
      </w:r>
    </w:p>
    <w:p w14:paraId="7F007CAB" w14:textId="77777777" w:rsidR="000000D1" w:rsidRPr="000000D1" w:rsidRDefault="000000D1" w:rsidP="000000D1">
      <w:pPr>
        <w:widowControl w:val="0"/>
        <w:autoSpaceDE w:val="0"/>
        <w:autoSpaceDN w:val="0"/>
        <w:spacing w:before="134" w:after="0" w:line="240" w:lineRule="auto"/>
        <w:ind w:left="864"/>
        <w:jc w:val="left"/>
        <w:rPr>
          <w:rFonts w:eastAsia="Cambria" w:cs="Cambria"/>
          <w:sz w:val="24"/>
          <w:szCs w:val="24"/>
          <w:u w:val="single"/>
        </w:rPr>
      </w:pPr>
      <w:r w:rsidRPr="000000D1">
        <w:rPr>
          <w:rFonts w:eastAsia="Cambria" w:cs="Cambria"/>
          <w:sz w:val="24"/>
          <w:szCs w:val="24"/>
          <w:u w:val="single"/>
        </w:rPr>
        <w:t>Administrative Code References:</w:t>
      </w:r>
    </w:p>
    <w:p w14:paraId="50BB9A6A" w14:textId="77777777" w:rsidR="000000D1" w:rsidRPr="000000D1" w:rsidRDefault="000000D1" w:rsidP="000000D1">
      <w:pPr>
        <w:widowControl w:val="0"/>
        <w:autoSpaceDE w:val="0"/>
        <w:autoSpaceDN w:val="0"/>
        <w:spacing w:after="0" w:line="240" w:lineRule="auto"/>
        <w:ind w:left="864"/>
        <w:jc w:val="left"/>
        <w:rPr>
          <w:rFonts w:eastAsia="Cambria" w:cs="Cambria"/>
          <w:szCs w:val="20"/>
          <w:u w:val="single"/>
        </w:rPr>
      </w:pPr>
    </w:p>
    <w:p w14:paraId="481FBCBC" w14:textId="77777777" w:rsidR="000000D1" w:rsidRPr="000000D1" w:rsidRDefault="000000D1" w:rsidP="00366E17">
      <w:pPr>
        <w:widowControl w:val="0"/>
        <w:numPr>
          <w:ilvl w:val="0"/>
          <w:numId w:val="36"/>
        </w:numPr>
        <w:autoSpaceDE w:val="0"/>
        <w:autoSpaceDN w:val="0"/>
        <w:spacing w:after="120" w:line="240" w:lineRule="auto"/>
        <w:ind w:left="1267" w:right="144"/>
        <w:jc w:val="left"/>
        <w:rPr>
          <w:rFonts w:eastAsia="Cambria" w:cs="Cambria"/>
          <w:i/>
        </w:rPr>
      </w:pPr>
      <w:hyperlink r:id="rId64" w:history="1">
        <w:r w:rsidRPr="000000D1">
          <w:rPr>
            <w:rFonts w:eastAsia="Cambria" w:cs="Cambria"/>
            <w:color w:val="0000FF"/>
            <w:u w:val="single"/>
          </w:rPr>
          <w:t>Wis.</w:t>
        </w:r>
        <w:r w:rsidRPr="000000D1">
          <w:rPr>
            <w:rFonts w:eastAsia="Cambria" w:cs="Cambria"/>
            <w:color w:val="0000FF"/>
            <w:spacing w:val="-7"/>
            <w:u w:val="single"/>
          </w:rPr>
          <w:t xml:space="preserve"> </w:t>
        </w:r>
        <w:r w:rsidRPr="000000D1">
          <w:rPr>
            <w:rFonts w:eastAsia="Cambria" w:cs="Cambria"/>
            <w:color w:val="0000FF"/>
            <w:u w:val="single"/>
          </w:rPr>
          <w:t>Adm.</w:t>
        </w:r>
        <w:r w:rsidRPr="000000D1">
          <w:rPr>
            <w:rFonts w:eastAsia="Cambria" w:cs="Cambria"/>
            <w:color w:val="0000FF"/>
            <w:spacing w:val="-4"/>
            <w:u w:val="single"/>
          </w:rPr>
          <w:t xml:space="preserve"> </w:t>
        </w:r>
        <w:r w:rsidRPr="000000D1">
          <w:rPr>
            <w:rFonts w:eastAsia="Cambria" w:cs="Cambria"/>
            <w:color w:val="0000FF"/>
            <w:u w:val="single"/>
          </w:rPr>
          <w:t>Code</w:t>
        </w:r>
        <w:r w:rsidRPr="000000D1">
          <w:rPr>
            <w:rFonts w:eastAsia="Cambria" w:cs="Cambria"/>
            <w:color w:val="0000FF"/>
            <w:spacing w:val="-4"/>
            <w:u w:val="single"/>
          </w:rPr>
          <w:t xml:space="preserve"> </w:t>
        </w:r>
        <w:r w:rsidRPr="000000D1">
          <w:rPr>
            <w:rFonts w:eastAsia="Cambria" w:cs="Cambria"/>
            <w:color w:val="0000FF"/>
            <w:u w:val="single"/>
          </w:rPr>
          <w:t>Tax</w:t>
        </w:r>
        <w:r w:rsidRPr="000000D1">
          <w:rPr>
            <w:rFonts w:eastAsia="Cambria" w:cs="Cambria"/>
            <w:color w:val="0000FF"/>
            <w:spacing w:val="-7"/>
            <w:u w:val="single"/>
          </w:rPr>
          <w:t xml:space="preserve"> </w:t>
        </w:r>
        <w:r w:rsidRPr="000000D1">
          <w:rPr>
            <w:rFonts w:eastAsia="Cambria" w:cs="Cambria"/>
            <w:color w:val="0000FF"/>
            <w:szCs w:val="20"/>
            <w:u w:val="single"/>
          </w:rPr>
          <w:t xml:space="preserve">§ </w:t>
        </w:r>
        <w:r w:rsidRPr="000000D1">
          <w:rPr>
            <w:rFonts w:eastAsia="Cambria" w:cs="Cambria"/>
            <w:color w:val="0000FF"/>
            <w:u w:val="single"/>
          </w:rPr>
          <w:t>2.39</w:t>
        </w:r>
      </w:hyperlink>
      <w:r w:rsidRPr="000000D1">
        <w:rPr>
          <w:rFonts w:eastAsia="Cambria" w:cs="Cambria"/>
          <w:spacing w:val="-2"/>
        </w:rPr>
        <w:t xml:space="preserve"> </w:t>
      </w:r>
      <w:r w:rsidRPr="000000D1">
        <w:rPr>
          <w:rFonts w:eastAsia="Cambria" w:cs="Cambria"/>
          <w:i/>
          <w:iCs/>
          <w:spacing w:val="-2"/>
        </w:rPr>
        <w:t>Apportionment method.</w:t>
      </w:r>
    </w:p>
    <w:p w14:paraId="0498452D" w14:textId="77777777" w:rsidR="000000D1" w:rsidRPr="000000D1" w:rsidRDefault="000000D1" w:rsidP="00366E17">
      <w:pPr>
        <w:widowControl w:val="0"/>
        <w:numPr>
          <w:ilvl w:val="0"/>
          <w:numId w:val="36"/>
        </w:numPr>
        <w:autoSpaceDE w:val="0"/>
        <w:autoSpaceDN w:val="0"/>
        <w:spacing w:after="120" w:line="240" w:lineRule="auto"/>
        <w:ind w:left="1267" w:right="144"/>
        <w:jc w:val="left"/>
        <w:rPr>
          <w:rFonts w:eastAsia="Cambria" w:cs="Cambria"/>
          <w:i/>
        </w:rPr>
      </w:pPr>
      <w:hyperlink r:id="rId65" w:history="1">
        <w:r w:rsidRPr="000000D1">
          <w:rPr>
            <w:rFonts w:eastAsia="Cambria" w:cs="Cambria"/>
            <w:color w:val="0000FF"/>
            <w:u w:val="single"/>
          </w:rPr>
          <w:t>Wis.</w:t>
        </w:r>
        <w:r w:rsidRPr="000000D1">
          <w:rPr>
            <w:rFonts w:eastAsia="Cambria" w:cs="Cambria"/>
            <w:color w:val="0000FF"/>
            <w:spacing w:val="-7"/>
            <w:u w:val="single"/>
          </w:rPr>
          <w:t xml:space="preserve"> </w:t>
        </w:r>
        <w:r w:rsidRPr="000000D1">
          <w:rPr>
            <w:rFonts w:eastAsia="Cambria" w:cs="Cambria"/>
            <w:color w:val="0000FF"/>
            <w:u w:val="single"/>
          </w:rPr>
          <w:t>Adm.</w:t>
        </w:r>
        <w:r w:rsidRPr="000000D1">
          <w:rPr>
            <w:rFonts w:eastAsia="Cambria" w:cs="Cambria"/>
            <w:color w:val="0000FF"/>
            <w:spacing w:val="-4"/>
            <w:u w:val="single"/>
          </w:rPr>
          <w:t xml:space="preserve"> </w:t>
        </w:r>
        <w:r w:rsidRPr="000000D1">
          <w:rPr>
            <w:rFonts w:eastAsia="Cambria" w:cs="Cambria"/>
            <w:color w:val="0000FF"/>
            <w:u w:val="single"/>
          </w:rPr>
          <w:t>Code</w:t>
        </w:r>
        <w:r w:rsidRPr="000000D1">
          <w:rPr>
            <w:rFonts w:eastAsia="Cambria" w:cs="Cambria"/>
            <w:color w:val="0000FF"/>
            <w:spacing w:val="-4"/>
            <w:u w:val="single"/>
          </w:rPr>
          <w:t xml:space="preserve"> </w:t>
        </w:r>
        <w:r w:rsidRPr="000000D1">
          <w:rPr>
            <w:rFonts w:eastAsia="Cambria" w:cs="Cambria"/>
            <w:color w:val="0000FF"/>
            <w:u w:val="single"/>
          </w:rPr>
          <w:t>Tax</w:t>
        </w:r>
        <w:r w:rsidRPr="000000D1">
          <w:rPr>
            <w:rFonts w:eastAsia="Cambria" w:cs="Cambria"/>
            <w:color w:val="0000FF"/>
            <w:spacing w:val="-7"/>
            <w:u w:val="single"/>
          </w:rPr>
          <w:t xml:space="preserve"> </w:t>
        </w:r>
        <w:r w:rsidRPr="000000D1">
          <w:rPr>
            <w:rFonts w:eastAsia="Cambria" w:cs="Cambria"/>
            <w:color w:val="0000FF"/>
            <w:szCs w:val="20"/>
            <w:u w:val="single"/>
          </w:rPr>
          <w:t xml:space="preserve">§ </w:t>
        </w:r>
        <w:r w:rsidRPr="000000D1">
          <w:rPr>
            <w:rFonts w:eastAsia="Cambria" w:cs="Cambria"/>
            <w:color w:val="0000FF"/>
            <w:u w:val="single"/>
          </w:rPr>
          <w:t>2.41</w:t>
        </w:r>
      </w:hyperlink>
      <w:r w:rsidRPr="000000D1">
        <w:rPr>
          <w:rFonts w:eastAsia="Cambria" w:cs="Cambria"/>
          <w:spacing w:val="-2"/>
        </w:rPr>
        <w:t xml:space="preserve"> </w:t>
      </w:r>
      <w:r w:rsidRPr="000000D1">
        <w:rPr>
          <w:rFonts w:eastAsia="Cambria" w:cs="Cambria"/>
          <w:i/>
          <w:iCs/>
          <w:spacing w:val="-2"/>
        </w:rPr>
        <w:t>Separate accounting method.</w:t>
      </w:r>
    </w:p>
    <w:p w14:paraId="60A290C2" w14:textId="77777777" w:rsidR="000000D1" w:rsidRPr="000000D1" w:rsidRDefault="000000D1" w:rsidP="00366E17">
      <w:pPr>
        <w:widowControl w:val="0"/>
        <w:numPr>
          <w:ilvl w:val="0"/>
          <w:numId w:val="36"/>
        </w:numPr>
        <w:autoSpaceDE w:val="0"/>
        <w:autoSpaceDN w:val="0"/>
        <w:spacing w:after="120" w:line="240" w:lineRule="auto"/>
        <w:ind w:left="1267" w:right="144"/>
        <w:jc w:val="left"/>
        <w:rPr>
          <w:rFonts w:eastAsia="Cambria" w:cs="Cambria"/>
          <w:i/>
        </w:rPr>
      </w:pPr>
      <w:hyperlink r:id="rId66" w:history="1">
        <w:r w:rsidRPr="000000D1">
          <w:rPr>
            <w:rFonts w:eastAsia="Cambria" w:cs="Cambria"/>
            <w:color w:val="0000FF"/>
            <w:u w:val="single"/>
          </w:rPr>
          <w:t>Wis.</w:t>
        </w:r>
        <w:r w:rsidRPr="000000D1">
          <w:rPr>
            <w:rFonts w:eastAsia="Cambria" w:cs="Cambria"/>
            <w:color w:val="0000FF"/>
            <w:spacing w:val="-7"/>
            <w:u w:val="single"/>
          </w:rPr>
          <w:t xml:space="preserve"> </w:t>
        </w:r>
        <w:r w:rsidRPr="000000D1">
          <w:rPr>
            <w:rFonts w:eastAsia="Cambria" w:cs="Cambria"/>
            <w:color w:val="0000FF"/>
            <w:u w:val="single"/>
          </w:rPr>
          <w:t>Adm.</w:t>
        </w:r>
        <w:r w:rsidRPr="000000D1">
          <w:rPr>
            <w:rFonts w:eastAsia="Cambria" w:cs="Cambria"/>
            <w:color w:val="0000FF"/>
            <w:spacing w:val="-4"/>
            <w:u w:val="single"/>
          </w:rPr>
          <w:t xml:space="preserve"> </w:t>
        </w:r>
        <w:r w:rsidRPr="000000D1">
          <w:rPr>
            <w:rFonts w:eastAsia="Cambria" w:cs="Cambria"/>
            <w:color w:val="0000FF"/>
            <w:u w:val="single"/>
          </w:rPr>
          <w:t>Code</w:t>
        </w:r>
        <w:r w:rsidRPr="000000D1">
          <w:rPr>
            <w:rFonts w:eastAsia="Cambria" w:cs="Cambria"/>
            <w:color w:val="0000FF"/>
            <w:spacing w:val="-4"/>
            <w:u w:val="single"/>
          </w:rPr>
          <w:t xml:space="preserve"> </w:t>
        </w:r>
        <w:r w:rsidRPr="000000D1">
          <w:rPr>
            <w:rFonts w:eastAsia="Cambria" w:cs="Cambria"/>
            <w:color w:val="0000FF"/>
            <w:u w:val="single"/>
          </w:rPr>
          <w:t>Tax</w:t>
        </w:r>
        <w:r w:rsidRPr="000000D1">
          <w:rPr>
            <w:rFonts w:eastAsia="Cambria" w:cs="Cambria"/>
            <w:color w:val="0000FF"/>
            <w:spacing w:val="-7"/>
            <w:u w:val="single"/>
          </w:rPr>
          <w:t xml:space="preserve"> </w:t>
        </w:r>
        <w:r w:rsidRPr="000000D1">
          <w:rPr>
            <w:rFonts w:eastAsia="Cambria" w:cs="Cambria"/>
            <w:color w:val="0000FF"/>
            <w:szCs w:val="20"/>
            <w:u w:val="single"/>
          </w:rPr>
          <w:t xml:space="preserve">§ </w:t>
        </w:r>
        <w:r w:rsidRPr="000000D1">
          <w:rPr>
            <w:rFonts w:eastAsia="Cambria" w:cs="Cambria"/>
            <w:color w:val="0000FF"/>
            <w:u w:val="single"/>
          </w:rPr>
          <w:t>2.61(7)(e)</w:t>
        </w:r>
      </w:hyperlink>
      <w:r w:rsidRPr="000000D1">
        <w:rPr>
          <w:rFonts w:eastAsia="Cambria" w:cs="Cambria"/>
          <w:spacing w:val="-2"/>
        </w:rPr>
        <w:t xml:space="preserve"> </w:t>
      </w:r>
      <w:r w:rsidRPr="000000D1">
        <w:rPr>
          <w:rFonts w:eastAsia="Cambria" w:cs="Cambria"/>
          <w:i/>
          <w:iCs/>
          <w:spacing w:val="-2"/>
        </w:rPr>
        <w:t>Combined reporting. Pass-through entities.</w:t>
      </w:r>
    </w:p>
    <w:p w14:paraId="57985245" w14:textId="77777777" w:rsidR="000000D1" w:rsidRPr="000000D1" w:rsidRDefault="000000D1" w:rsidP="00366E17">
      <w:pPr>
        <w:widowControl w:val="0"/>
        <w:numPr>
          <w:ilvl w:val="0"/>
          <w:numId w:val="36"/>
        </w:numPr>
        <w:autoSpaceDE w:val="0"/>
        <w:autoSpaceDN w:val="0"/>
        <w:spacing w:after="120" w:line="240" w:lineRule="auto"/>
        <w:ind w:left="1267" w:right="144"/>
        <w:jc w:val="left"/>
        <w:rPr>
          <w:rFonts w:eastAsia="Cambria" w:cs="Cambria"/>
          <w:i/>
        </w:rPr>
      </w:pPr>
      <w:hyperlink r:id="rId67" w:history="1">
        <w:r w:rsidRPr="000000D1">
          <w:rPr>
            <w:rFonts w:eastAsia="Cambria" w:cs="Cambria"/>
            <w:color w:val="0000FF"/>
            <w:u w:val="single"/>
          </w:rPr>
          <w:t>Wis.</w:t>
        </w:r>
        <w:r w:rsidRPr="000000D1">
          <w:rPr>
            <w:rFonts w:eastAsia="Cambria" w:cs="Cambria"/>
            <w:color w:val="0000FF"/>
            <w:spacing w:val="-7"/>
            <w:u w:val="single"/>
          </w:rPr>
          <w:t xml:space="preserve"> </w:t>
        </w:r>
        <w:r w:rsidRPr="000000D1">
          <w:rPr>
            <w:rFonts w:eastAsia="Cambria" w:cs="Cambria"/>
            <w:color w:val="0000FF"/>
            <w:u w:val="single"/>
          </w:rPr>
          <w:t>Adm.</w:t>
        </w:r>
        <w:r w:rsidRPr="000000D1">
          <w:rPr>
            <w:rFonts w:eastAsia="Cambria" w:cs="Cambria"/>
            <w:color w:val="0000FF"/>
            <w:spacing w:val="-4"/>
            <w:u w:val="single"/>
          </w:rPr>
          <w:t xml:space="preserve"> </w:t>
        </w:r>
        <w:r w:rsidRPr="000000D1">
          <w:rPr>
            <w:rFonts w:eastAsia="Cambria" w:cs="Cambria"/>
            <w:color w:val="0000FF"/>
            <w:u w:val="single"/>
          </w:rPr>
          <w:t>Code</w:t>
        </w:r>
        <w:r w:rsidRPr="000000D1">
          <w:rPr>
            <w:rFonts w:eastAsia="Cambria" w:cs="Cambria"/>
            <w:color w:val="0000FF"/>
            <w:spacing w:val="-4"/>
            <w:u w:val="single"/>
          </w:rPr>
          <w:t xml:space="preserve"> </w:t>
        </w:r>
        <w:r w:rsidRPr="000000D1">
          <w:rPr>
            <w:rFonts w:eastAsia="Cambria" w:cs="Cambria"/>
            <w:color w:val="0000FF"/>
            <w:u w:val="single"/>
          </w:rPr>
          <w:t>Tax</w:t>
        </w:r>
        <w:r w:rsidRPr="000000D1">
          <w:rPr>
            <w:rFonts w:eastAsia="Cambria" w:cs="Cambria"/>
            <w:color w:val="0000FF"/>
            <w:spacing w:val="-7"/>
            <w:u w:val="single"/>
          </w:rPr>
          <w:t xml:space="preserve"> </w:t>
        </w:r>
        <w:r w:rsidRPr="000000D1">
          <w:rPr>
            <w:rFonts w:eastAsia="Cambria" w:cs="Cambria"/>
            <w:color w:val="0000FF"/>
            <w:szCs w:val="20"/>
            <w:u w:val="single"/>
          </w:rPr>
          <w:t xml:space="preserve">§ </w:t>
        </w:r>
        <w:r w:rsidRPr="000000D1">
          <w:rPr>
            <w:rFonts w:eastAsia="Cambria" w:cs="Cambria"/>
            <w:color w:val="0000FF"/>
            <w:u w:val="single"/>
          </w:rPr>
          <w:t>2.62(7)</w:t>
        </w:r>
      </w:hyperlink>
      <w:r w:rsidRPr="000000D1">
        <w:rPr>
          <w:rFonts w:eastAsia="Cambria" w:cs="Cambria"/>
          <w:spacing w:val="-2"/>
        </w:rPr>
        <w:t xml:space="preserve"> </w:t>
      </w:r>
      <w:r w:rsidRPr="000000D1">
        <w:rPr>
          <w:rFonts w:eastAsia="Cambria" w:cs="Cambria"/>
          <w:i/>
          <w:iCs/>
          <w:spacing w:val="-2"/>
        </w:rPr>
        <w:t>Unitary business. Passive holding companies.</w:t>
      </w:r>
    </w:p>
    <w:p w14:paraId="0998FB35" w14:textId="77777777" w:rsidR="000000D1" w:rsidRPr="000000D1" w:rsidRDefault="000000D1" w:rsidP="00366E17">
      <w:pPr>
        <w:widowControl w:val="0"/>
        <w:numPr>
          <w:ilvl w:val="0"/>
          <w:numId w:val="36"/>
        </w:numPr>
        <w:autoSpaceDE w:val="0"/>
        <w:autoSpaceDN w:val="0"/>
        <w:spacing w:before="201" w:after="0" w:line="240" w:lineRule="auto"/>
        <w:ind w:right="142"/>
        <w:jc w:val="left"/>
        <w:rPr>
          <w:rFonts w:eastAsia="Cambria" w:cs="Cambria"/>
          <w:szCs w:val="20"/>
          <w:u w:val="single"/>
        </w:rPr>
      </w:pPr>
      <w:hyperlink r:id="rId68" w:history="1">
        <w:r w:rsidRPr="000000D1">
          <w:rPr>
            <w:rFonts w:eastAsia="Cambria" w:cs="Cambria"/>
            <w:color w:val="0000FF"/>
            <w:u w:val="single"/>
          </w:rPr>
          <w:t>Wis.</w:t>
        </w:r>
        <w:r w:rsidRPr="000000D1">
          <w:rPr>
            <w:rFonts w:eastAsia="Cambria" w:cs="Cambria"/>
            <w:color w:val="0000FF"/>
            <w:spacing w:val="-7"/>
            <w:u w:val="single"/>
          </w:rPr>
          <w:t xml:space="preserve"> </w:t>
        </w:r>
        <w:r w:rsidRPr="000000D1">
          <w:rPr>
            <w:rFonts w:eastAsia="Cambria" w:cs="Cambria"/>
            <w:color w:val="0000FF"/>
            <w:u w:val="single"/>
          </w:rPr>
          <w:t>Adm.</w:t>
        </w:r>
        <w:r w:rsidRPr="000000D1">
          <w:rPr>
            <w:rFonts w:eastAsia="Cambria" w:cs="Cambria"/>
            <w:color w:val="0000FF"/>
            <w:spacing w:val="-4"/>
            <w:u w:val="single"/>
          </w:rPr>
          <w:t xml:space="preserve"> </w:t>
        </w:r>
        <w:r w:rsidRPr="000000D1">
          <w:rPr>
            <w:rFonts w:eastAsia="Cambria" w:cs="Cambria"/>
            <w:color w:val="0000FF"/>
            <w:u w:val="single"/>
          </w:rPr>
          <w:t>Code</w:t>
        </w:r>
        <w:r w:rsidRPr="000000D1">
          <w:rPr>
            <w:rFonts w:eastAsia="Cambria" w:cs="Cambria"/>
            <w:color w:val="0000FF"/>
            <w:spacing w:val="-4"/>
            <w:u w:val="single"/>
          </w:rPr>
          <w:t xml:space="preserve"> </w:t>
        </w:r>
        <w:r w:rsidRPr="000000D1">
          <w:rPr>
            <w:rFonts w:eastAsia="Cambria" w:cs="Cambria"/>
            <w:color w:val="0000FF"/>
            <w:u w:val="single"/>
          </w:rPr>
          <w:t>Tax</w:t>
        </w:r>
        <w:r w:rsidRPr="000000D1">
          <w:rPr>
            <w:rFonts w:eastAsia="Cambria" w:cs="Cambria"/>
            <w:color w:val="0000FF"/>
            <w:spacing w:val="-7"/>
            <w:u w:val="single"/>
          </w:rPr>
          <w:t xml:space="preserve"> </w:t>
        </w:r>
        <w:r w:rsidRPr="000000D1">
          <w:rPr>
            <w:rFonts w:eastAsia="Cambria" w:cs="Cambria"/>
            <w:color w:val="0000FF"/>
            <w:szCs w:val="20"/>
            <w:u w:val="single"/>
          </w:rPr>
          <w:t xml:space="preserve">§ </w:t>
        </w:r>
        <w:r w:rsidRPr="000000D1">
          <w:rPr>
            <w:rFonts w:eastAsia="Cambria" w:cs="Cambria"/>
            <w:color w:val="0000FF"/>
            <w:u w:val="single"/>
          </w:rPr>
          <w:t>2.62(8)</w:t>
        </w:r>
      </w:hyperlink>
      <w:r w:rsidRPr="000000D1">
        <w:rPr>
          <w:rFonts w:eastAsia="Cambria" w:cs="Cambria"/>
          <w:spacing w:val="-2"/>
        </w:rPr>
        <w:t xml:space="preserve"> </w:t>
      </w:r>
      <w:r w:rsidRPr="000000D1">
        <w:rPr>
          <w:rFonts w:eastAsia="Cambria" w:cs="Cambria"/>
          <w:i/>
          <w:iCs/>
          <w:spacing w:val="-2"/>
        </w:rPr>
        <w:t>Unitary business. Pass-through entities.</w:t>
      </w:r>
    </w:p>
    <w:p w14:paraId="4CE9E76F" w14:textId="77777777" w:rsidR="000000D1" w:rsidRPr="000000D1" w:rsidRDefault="000000D1" w:rsidP="000000D1">
      <w:pPr>
        <w:widowControl w:val="0"/>
        <w:autoSpaceDE w:val="0"/>
        <w:autoSpaceDN w:val="0"/>
        <w:spacing w:before="201" w:after="0" w:line="240" w:lineRule="auto"/>
        <w:ind w:right="142"/>
        <w:jc w:val="left"/>
        <w:rPr>
          <w:rFonts w:eastAsia="Cambria" w:cs="Cambria"/>
          <w:i/>
          <w:iCs/>
          <w:spacing w:val="-2"/>
        </w:rPr>
      </w:pPr>
    </w:p>
    <w:p w14:paraId="44607C98" w14:textId="77777777" w:rsidR="000000D1" w:rsidRPr="000000D1" w:rsidRDefault="000000D1" w:rsidP="000000D1">
      <w:pPr>
        <w:ind w:left="720"/>
        <w:rPr>
          <w:rFonts w:eastAsia="Calibri" w:cs="Times New Roman"/>
        </w:rPr>
      </w:pPr>
      <w:r w:rsidRPr="000000D1">
        <w:rPr>
          <w:rFonts w:eastAsia="Calibri" w:cs="Times New Roman"/>
        </w:rPr>
        <w:t>Wis. Stat. § 71.04(3)(c)</w:t>
      </w:r>
    </w:p>
    <w:p w14:paraId="4498A2F1" w14:textId="77777777" w:rsidR="000000D1" w:rsidRPr="000000D1" w:rsidRDefault="000000D1" w:rsidP="000000D1">
      <w:pPr>
        <w:ind w:left="1440"/>
        <w:rPr>
          <w:rFonts w:eastAsia="Calibri" w:cs="Times New Roman"/>
        </w:rPr>
      </w:pPr>
      <w:r w:rsidRPr="000000D1">
        <w:rPr>
          <w:rFonts w:eastAsia="Calibri" w:cs="Times New Roman"/>
        </w:rPr>
        <w:t>In computing taxes under this chapter a partner or member shall disregard, for purposes of determining the situs of partnership income of partners, all provisions in partnership or limited liability company agreements that do any of the following:</w:t>
      </w:r>
    </w:p>
    <w:p w14:paraId="2EAFDB95" w14:textId="77777777" w:rsidR="000000D1" w:rsidRPr="000000D1" w:rsidRDefault="000000D1" w:rsidP="000000D1">
      <w:pPr>
        <w:ind w:left="1440"/>
        <w:contextualSpacing/>
        <w:rPr>
          <w:rFonts w:eastAsia="Calibri" w:cs="Times New Roman"/>
        </w:rPr>
      </w:pPr>
      <w:r w:rsidRPr="000000D1">
        <w:rPr>
          <w:rFonts w:eastAsia="Calibri" w:cs="Times New Roman"/>
        </w:rPr>
        <w:t>1. Characterize the consideration for payments to the partner or member as services or the use of capital.</w:t>
      </w:r>
    </w:p>
    <w:p w14:paraId="2B87A96A" w14:textId="77777777" w:rsidR="000000D1" w:rsidRPr="000000D1" w:rsidRDefault="000000D1" w:rsidP="000000D1">
      <w:pPr>
        <w:ind w:left="1440"/>
        <w:contextualSpacing/>
        <w:rPr>
          <w:rFonts w:eastAsia="Calibri" w:cs="Times New Roman"/>
        </w:rPr>
      </w:pPr>
      <w:r w:rsidRPr="000000D1">
        <w:rPr>
          <w:rFonts w:eastAsia="Calibri" w:cs="Times New Roman"/>
        </w:rPr>
        <w:t>2. Allocate to the partner or member, as income from or gain from sources outside this state, a greater proportion of the partner's or member's distributive share of partnership or limited liability company income or gain than the ratio of partnership or company income or gain from sources outside this state to partnership or company income or gain from all sources.</w:t>
      </w:r>
    </w:p>
    <w:p w14:paraId="0E7B0986" w14:textId="77777777" w:rsidR="000000D1" w:rsidRPr="000000D1" w:rsidRDefault="000000D1" w:rsidP="000000D1">
      <w:pPr>
        <w:ind w:left="1440"/>
        <w:contextualSpacing/>
        <w:rPr>
          <w:rFonts w:eastAsia="Calibri" w:cs="Times New Roman"/>
        </w:rPr>
      </w:pPr>
      <w:r w:rsidRPr="000000D1">
        <w:rPr>
          <w:rFonts w:eastAsia="Calibri" w:cs="Times New Roman"/>
        </w:rPr>
        <w:t>3. Allocate to a partner or member a greater proportion of a partnership or limited liability company item of loss or deduction from sources in this state than the partner's or member's proportionate share of total partnership or company loss or deduction.</w:t>
      </w:r>
    </w:p>
    <w:p w14:paraId="21290E22" w14:textId="77777777" w:rsidR="000000D1" w:rsidRPr="000000D1" w:rsidRDefault="000000D1" w:rsidP="000000D1">
      <w:pPr>
        <w:ind w:left="1440"/>
        <w:contextualSpacing/>
        <w:rPr>
          <w:rFonts w:eastAsia="Calibri" w:cs="Times New Roman"/>
        </w:rPr>
      </w:pPr>
      <w:r w:rsidRPr="000000D1">
        <w:rPr>
          <w:rFonts w:eastAsia="Calibri" w:cs="Times New Roman"/>
        </w:rPr>
        <w:t>4. Determine a partner's or member's distributive share of an item of partnership or limited liability company income, gain, loss or deduction for federal income tax purposes if the principal purpose of that determination is to avoid or evade the tax under this chapter.</w:t>
      </w:r>
    </w:p>
    <w:p w14:paraId="3F0FE786" w14:textId="77777777" w:rsidR="000000D1" w:rsidRPr="000000D1" w:rsidRDefault="000000D1" w:rsidP="000000D1">
      <w:pPr>
        <w:contextualSpacing/>
        <w:rPr>
          <w:rFonts w:eastAsia="Calibri" w:cs="Times New Roman"/>
        </w:rPr>
      </w:pPr>
    </w:p>
    <w:p w14:paraId="6031C9DB" w14:textId="77777777" w:rsidR="000000D1" w:rsidRPr="000000D1" w:rsidRDefault="000000D1" w:rsidP="000000D1">
      <w:pPr>
        <w:ind w:left="720"/>
        <w:contextualSpacing/>
        <w:rPr>
          <w:rFonts w:eastAsia="Calibri" w:cs="Times New Roman"/>
        </w:rPr>
      </w:pPr>
      <w:r w:rsidRPr="000000D1">
        <w:rPr>
          <w:rFonts w:eastAsia="Calibri" w:cs="Times New Roman"/>
          <w:i/>
          <w:iCs/>
        </w:rPr>
        <w:t>McQuide v. Wisconsin Department of Revenue, Wisconsin Tax Appeals Commission</w:t>
      </w:r>
      <w:r w:rsidRPr="000000D1">
        <w:rPr>
          <w:rFonts w:eastAsia="Calibri" w:cs="Times New Roman"/>
        </w:rPr>
        <w:t>, Case No. 93-I-532; 93-I-632-SC; 94-I-171 (December 12, 1995).</w:t>
      </w:r>
    </w:p>
    <w:p w14:paraId="7119D004" w14:textId="77777777" w:rsidR="000000D1" w:rsidRPr="000000D1" w:rsidRDefault="000000D1" w:rsidP="000000D1">
      <w:pPr>
        <w:ind w:left="720"/>
        <w:contextualSpacing/>
        <w:rPr>
          <w:rFonts w:eastAsia="Calibri" w:cs="Times New Roman"/>
        </w:rPr>
      </w:pPr>
    </w:p>
    <w:p w14:paraId="064E1428" w14:textId="77777777" w:rsidR="000000D1" w:rsidRPr="000000D1" w:rsidRDefault="000000D1" w:rsidP="000000D1">
      <w:pPr>
        <w:ind w:left="1440"/>
        <w:contextualSpacing/>
        <w:rPr>
          <w:rFonts w:eastAsia="Calibri" w:cs="Times New Roman"/>
        </w:rPr>
      </w:pPr>
      <w:r w:rsidRPr="000000D1">
        <w:rPr>
          <w:rFonts w:eastAsia="Calibri" w:cs="Times New Roman"/>
        </w:rPr>
        <w:t>In light of the foregoing, it is clear that the special  allocations  of paragraph 10 lacked economic effect under Treas. Reg. § 1.704-1(b)(2)(ii)(a), because the allocation was inconsistent with the underlying economic arrangement of the Mascaris and McQuides, and no downward adjustments were ever made to the capital account of the McQuides to reflect those deductions which were specially  allocable  to them. Having determined that the special  allocations failed the first tier of the test of “substantial economic effect” we need not reach the question of substantiality under Treas. Reg. § 1.704-1(b)(2)(iii).</w:t>
      </w:r>
    </w:p>
    <w:p w14:paraId="7C67E8D1" w14:textId="77777777" w:rsidR="000000D1" w:rsidRPr="000000D1" w:rsidRDefault="000000D1" w:rsidP="000000D1">
      <w:pPr>
        <w:ind w:left="1440"/>
        <w:contextualSpacing/>
        <w:rPr>
          <w:rFonts w:eastAsia="Calibri" w:cs="Times New Roman"/>
        </w:rPr>
      </w:pPr>
    </w:p>
    <w:p w14:paraId="395B9329" w14:textId="77777777" w:rsidR="000000D1" w:rsidRPr="000000D1" w:rsidRDefault="000000D1" w:rsidP="000000D1">
      <w:pPr>
        <w:ind w:left="720"/>
        <w:contextualSpacing/>
        <w:rPr>
          <w:rFonts w:eastAsia="Calibri" w:cs="Times New Roman"/>
        </w:rPr>
      </w:pPr>
      <w:r w:rsidRPr="000000D1">
        <w:rPr>
          <w:rFonts w:eastAsia="Calibri" w:cs="Times New Roman"/>
          <w:i/>
          <w:iCs/>
        </w:rPr>
        <w:t>Wall v. Wisconsin Department of Revenue, Wisconsin Tax Appeals Commission</w:t>
      </w:r>
      <w:r w:rsidRPr="000000D1">
        <w:rPr>
          <w:rFonts w:eastAsia="Calibri" w:cs="Times New Roman"/>
        </w:rPr>
        <w:t>, Case No. 87-I-70 (November 3, 1998).</w:t>
      </w:r>
    </w:p>
    <w:p w14:paraId="092961D7" w14:textId="77777777" w:rsidR="000000D1" w:rsidRPr="000000D1" w:rsidRDefault="000000D1" w:rsidP="000000D1">
      <w:pPr>
        <w:ind w:left="720"/>
        <w:contextualSpacing/>
        <w:rPr>
          <w:rFonts w:eastAsia="Calibri" w:cs="Times New Roman"/>
        </w:rPr>
      </w:pPr>
    </w:p>
    <w:p w14:paraId="139B35B2" w14:textId="77777777" w:rsidR="000000D1" w:rsidRPr="000000D1" w:rsidRDefault="000000D1" w:rsidP="000000D1">
      <w:pPr>
        <w:ind w:left="1440"/>
        <w:contextualSpacing/>
        <w:rPr>
          <w:rFonts w:eastAsia="Calibri" w:cs="Times New Roman"/>
        </w:rPr>
      </w:pPr>
      <w:r w:rsidRPr="000000D1">
        <w:rPr>
          <w:rFonts w:eastAsia="Calibri" w:cs="Times New Roman"/>
        </w:rPr>
        <w:t>Petitioner did not bear the entire economic burden for the losses allocated to him, as is evidenced by the partnership agreement's failure to require liquidation proceeds to be distributed in accordance with the partners' capital account balances, and capital account deficits to be restored upon liquidation. In addition, the capital contributions made to the partnership by Barbara Wall were not properly reflected in her capital account. Consequently, the loss allocation to petitioner lacked substantial economic effect . . . The respondent properly allocated the partnership losses between Thomas and Barbara Wall on the basis of their interests in the partnership.</w:t>
      </w:r>
    </w:p>
    <w:p w14:paraId="4467B72B" w14:textId="77777777" w:rsidR="000000D1" w:rsidRPr="000000D1" w:rsidRDefault="000000D1" w:rsidP="000000D1">
      <w:pPr>
        <w:ind w:left="1440"/>
        <w:contextualSpacing/>
        <w:rPr>
          <w:rFonts w:eastAsia="Calibri" w:cs="Times New Roman"/>
        </w:rPr>
      </w:pPr>
    </w:p>
    <w:p w14:paraId="59EACDBA" w14:textId="77777777" w:rsidR="000000D1" w:rsidRPr="000000D1" w:rsidRDefault="000000D1" w:rsidP="000000D1">
      <w:pPr>
        <w:widowControl w:val="0"/>
        <w:autoSpaceDE w:val="0"/>
        <w:autoSpaceDN w:val="0"/>
        <w:spacing w:before="201" w:after="0" w:line="240" w:lineRule="auto"/>
        <w:ind w:right="142"/>
        <w:jc w:val="left"/>
        <w:rPr>
          <w:rFonts w:eastAsia="Cambria" w:cs="Cambria"/>
          <w:szCs w:val="20"/>
          <w:u w:val="single"/>
        </w:rPr>
      </w:pPr>
    </w:p>
    <w:bookmarkEnd w:id="0"/>
    <w:p w14:paraId="29F554CA" w14:textId="77777777" w:rsidR="00D26602" w:rsidRPr="00D26602" w:rsidRDefault="00D26602" w:rsidP="00D26602"/>
    <w:sectPr w:rsidR="00D26602" w:rsidRPr="00D26602" w:rsidSect="009E7F86">
      <w:footerReference w:type="default" r:id="rId69"/>
      <w:pgSz w:w="12240" w:h="15840" w:code="1"/>
      <w:pgMar w:top="864" w:right="1728" w:bottom="1152" w:left="1728" w:header="288" w:footer="432" w:gutter="0"/>
      <w:pgBorders w:offsetFrom="page">
        <w:top w:val="single" w:sz="24" w:space="10" w:color="591200" w:themeColor="accent6" w:themeShade="80"/>
        <w:left w:val="single" w:sz="24" w:space="15" w:color="591200" w:themeColor="accent6" w:themeShade="80"/>
        <w:bottom w:val="single" w:sz="24" w:space="25" w:color="591200" w:themeColor="accent6" w:themeShade="80"/>
        <w:right w:val="single" w:sz="24" w:space="15" w:color="591200" w:themeColor="accent6" w:themeShade="80"/>
      </w:pgBorders>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0" w:author="Jennifer A. Stosberg" w:date="2025-05-19T08:38:00Z" w:initials="JS">
    <w:p w14:paraId="7A7B00D3" w14:textId="77777777" w:rsidR="00926615" w:rsidRDefault="00926615" w:rsidP="00926615">
      <w:pPr>
        <w:pStyle w:val="CommentText"/>
        <w:jc w:val="left"/>
      </w:pPr>
      <w:r>
        <w:rPr>
          <w:rStyle w:val="CommentReference"/>
        </w:rPr>
        <w:annotationRef/>
      </w:r>
      <w:r>
        <w:t xml:space="preserve">This sentence is very similar to the first sentence of the next paragraph so you could remove this one.  </w:t>
      </w:r>
    </w:p>
  </w:comment>
  <w:comment w:id="51" w:author="Jennifer A. Stosberg" w:date="2025-05-19T08:46:00Z" w:initials="JS">
    <w:p w14:paraId="5275341C" w14:textId="77777777" w:rsidR="002E027D" w:rsidRDefault="002E027D" w:rsidP="002E027D">
      <w:pPr>
        <w:pStyle w:val="CommentText"/>
        <w:jc w:val="left"/>
      </w:pPr>
      <w:r>
        <w:rPr>
          <w:rStyle w:val="CommentReference"/>
        </w:rPr>
        <w:annotationRef/>
      </w:r>
      <w:r>
        <w:t xml:space="preserve">Should this be over instead of to? </w:t>
      </w:r>
    </w:p>
  </w:comment>
  <w:comment w:id="69" w:author="Jennifer A. Stosberg" w:date="2025-05-19T09:25:00Z" w:initials="JS">
    <w:p w14:paraId="0FD043E1" w14:textId="77777777" w:rsidR="009B7901" w:rsidRDefault="009B7901" w:rsidP="009B7901">
      <w:pPr>
        <w:pStyle w:val="CommentText"/>
        <w:jc w:val="left"/>
      </w:pPr>
      <w:r>
        <w:rPr>
          <w:rStyle w:val="CommentReference"/>
        </w:rPr>
        <w:annotationRef/>
      </w:r>
      <w:r>
        <w:t xml:space="preserve">The spacing is slightly different here. </w:t>
      </w:r>
    </w:p>
  </w:comment>
  <w:comment w:id="81" w:author="Jennifer A. Stosberg" w:date="2025-05-19T09:18:00Z" w:initials="JS">
    <w:p w14:paraId="1A83C978" w14:textId="2291A250" w:rsidR="00F50BBA" w:rsidRDefault="00F50BBA" w:rsidP="00F50BBA">
      <w:pPr>
        <w:pStyle w:val="CommentText"/>
        <w:jc w:val="left"/>
      </w:pPr>
      <w:r>
        <w:rPr>
          <w:rStyle w:val="CommentReference"/>
        </w:rPr>
        <w:annotationRef/>
      </w:r>
      <w:r>
        <w:t>There is an extra page after this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A7B00D3" w15:done="0"/>
  <w15:commentEx w15:paraId="5275341C" w15:done="0"/>
  <w15:commentEx w15:paraId="0FD043E1" w15:done="0"/>
  <w15:commentEx w15:paraId="1A83C9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DE5119B" w16cex:dateUtc="2025-05-19T12:38:00Z"/>
  <w16cex:commentExtensible w16cex:durableId="29EB2770" w16cex:dateUtc="2025-05-19T12:46:00Z"/>
  <w16cex:commentExtensible w16cex:durableId="54EDF6FD" w16cex:dateUtc="2025-05-19T13:25:00Z"/>
  <w16cex:commentExtensible w16cex:durableId="62A94BC1" w16cex:dateUtc="2025-05-19T13: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A7B00D3" w16cid:durableId="7DE5119B"/>
  <w16cid:commentId w16cid:paraId="5275341C" w16cid:durableId="29EB2770"/>
  <w16cid:commentId w16cid:paraId="0FD043E1" w16cid:durableId="54EDF6FD"/>
  <w16cid:commentId w16cid:paraId="1A83C978" w16cid:durableId="62A94B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25AAD" w14:textId="77777777" w:rsidR="008A4D59" w:rsidRDefault="008A4D59" w:rsidP="00F804A3">
      <w:pPr>
        <w:spacing w:after="0"/>
      </w:pPr>
      <w:r>
        <w:separator/>
      </w:r>
    </w:p>
  </w:endnote>
  <w:endnote w:type="continuationSeparator" w:id="0">
    <w:p w14:paraId="41A8F60B" w14:textId="77777777" w:rsidR="008A4D59" w:rsidRDefault="008A4D59" w:rsidP="00F804A3">
      <w:pPr>
        <w:spacing w:after="0"/>
      </w:pPr>
      <w:r>
        <w:continuationSeparator/>
      </w:r>
    </w:p>
  </w:endnote>
  <w:endnote w:type="continuationNotice" w:id="1">
    <w:p w14:paraId="688CEF33" w14:textId="77777777" w:rsidR="008A4D59" w:rsidRDefault="008A4D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sa Offc Serif Pro">
    <w:charset w:val="00"/>
    <w:family w:val="auto"/>
    <w:pitch w:val="variable"/>
    <w:sig w:usb0="800002E7"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Georgia Pro Black">
    <w:charset w:val="00"/>
    <w:family w:val="roman"/>
    <w:pitch w:val="variable"/>
    <w:sig w:usb0="800002AF" w:usb1="00000003"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FFB90" w14:textId="24C87C8B" w:rsidR="00817E18" w:rsidRPr="00924DB9" w:rsidRDefault="00D011B7" w:rsidP="00DA5712">
    <w:pPr>
      <w:pStyle w:val="Footer"/>
      <w:jc w:val="left"/>
      <w:rPr>
        <w:color w:val="595959" w:themeColor="text1" w:themeTint="A6"/>
        <w:sz w:val="18"/>
        <w:szCs w:val="20"/>
      </w:rPr>
    </w:pPr>
    <w:r>
      <w:rPr>
        <w:noProof/>
      </w:rPr>
      <w:drawing>
        <wp:anchor distT="0" distB="0" distL="114300" distR="114300" simplePos="0" relativeHeight="251634176" behindDoc="0" locked="0" layoutInCell="1" allowOverlap="1" wp14:anchorId="7F38D4EB" wp14:editId="3F227162">
          <wp:simplePos x="0" y="0"/>
          <wp:positionH relativeFrom="column">
            <wp:posOffset>-237399</wp:posOffset>
          </wp:positionH>
          <wp:positionV relativeFrom="paragraph">
            <wp:posOffset>12700</wp:posOffset>
          </wp:positionV>
          <wp:extent cx="403860" cy="214630"/>
          <wp:effectExtent l="0" t="0" r="0" b="0"/>
          <wp:wrapSquare wrapText="bothSides"/>
          <wp:docPr id="743783632" name="Picture 743783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cstate="print">
                    <a:extLst>
                      <a:ext uri="{BEBA8EAE-BF5A-486C-A8C5-ECC9F3942E4B}">
                        <a14:imgProps xmlns:a14="http://schemas.microsoft.com/office/drawing/2010/main">
                          <a14:imgLayer r:embed="rId2">
                            <a14:imgEffect>
                              <a14:sharpenSoften amount="50000"/>
                            </a14:imgEffect>
                            <a14:imgEffect>
                              <a14:brightnessContrast contrast="23000"/>
                            </a14:imgEffect>
                          </a14:imgLayer>
                        </a14:imgProps>
                      </a:ext>
                      <a:ext uri="{28A0092B-C50C-407E-A947-70E740481C1C}">
                        <a14:useLocalDpi xmlns:a14="http://schemas.microsoft.com/office/drawing/2010/main" val="0"/>
                      </a:ext>
                    </a:extLst>
                  </a:blip>
                  <a:srcRect/>
                  <a:stretch>
                    <a:fillRect/>
                  </a:stretch>
                </pic:blipFill>
                <pic:spPr bwMode="auto">
                  <a:xfrm>
                    <a:off x="0" y="0"/>
                    <a:ext cx="403860" cy="214630"/>
                  </a:xfrm>
                  <a:prstGeom prst="rect">
                    <a:avLst/>
                  </a:prstGeom>
                  <a:noFill/>
                  <a:effectLst/>
                </pic:spPr>
              </pic:pic>
            </a:graphicData>
          </a:graphic>
          <wp14:sizeRelH relativeFrom="page">
            <wp14:pctWidth>0</wp14:pctWidth>
          </wp14:sizeRelH>
          <wp14:sizeRelV relativeFrom="page">
            <wp14:pctHeight>0</wp14:pctHeight>
          </wp14:sizeRelV>
        </wp:anchor>
      </w:drawing>
    </w:r>
    <w:sdt>
      <w:sdtPr>
        <w:rPr>
          <w:color w:val="595959" w:themeColor="text1" w:themeTint="A6"/>
          <w:sz w:val="18"/>
          <w:szCs w:val="20"/>
        </w:rPr>
        <w:id w:val="-2083526493"/>
        <w:docPartObj>
          <w:docPartGallery w:val="Page Numbers (Bottom of Page)"/>
          <w:docPartUnique/>
        </w:docPartObj>
      </w:sdtPr>
      <w:sdtEndPr>
        <w:rPr>
          <w:noProof/>
        </w:rPr>
      </w:sdtEndPr>
      <w:sdtContent>
        <w:r w:rsidR="00DB290A" w:rsidRPr="00F95EE8">
          <w:rPr>
            <w:color w:val="595959" w:themeColor="text1" w:themeTint="A6"/>
            <w:sz w:val="13"/>
            <w:szCs w:val="13"/>
          </w:rPr>
          <w:t>White Paper</w:t>
        </w:r>
        <w:r w:rsidR="00822499" w:rsidRPr="00F95EE8">
          <w:rPr>
            <w:color w:val="595959" w:themeColor="text1" w:themeTint="A6"/>
            <w:sz w:val="13"/>
            <w:szCs w:val="13"/>
          </w:rPr>
          <w:t xml:space="preserve">  -  </w:t>
        </w:r>
        <w:r w:rsidR="00DA5712" w:rsidRPr="00F95EE8">
          <w:rPr>
            <w:color w:val="595959" w:themeColor="text1" w:themeTint="A6"/>
            <w:sz w:val="13"/>
            <w:szCs w:val="13"/>
          </w:rPr>
          <w:t>State Tax Sourcing of  Partnership Income &amp; the Blended Apportionment Method</w:t>
        </w:r>
        <w:r w:rsidR="00F95EE8" w:rsidRPr="00F95EE8">
          <w:rPr>
            <w:color w:val="595959" w:themeColor="text1" w:themeTint="A6"/>
            <w:sz w:val="13"/>
            <w:szCs w:val="13"/>
          </w:rPr>
          <w:t xml:space="preserve"> – </w:t>
        </w:r>
        <w:r w:rsidR="00F95EE8" w:rsidRPr="00F95EE8">
          <w:rPr>
            <w:b/>
            <w:bCs/>
            <w:color w:val="78230C" w:themeColor="accent1" w:themeShade="80"/>
            <w:sz w:val="13"/>
            <w:szCs w:val="13"/>
          </w:rPr>
          <w:t>DISCUSSION DRAFT</w:t>
        </w:r>
        <w:r w:rsidR="00F95EE8" w:rsidRPr="00F95EE8">
          <w:rPr>
            <w:color w:val="595959" w:themeColor="text1" w:themeTint="A6"/>
            <w:sz w:val="13"/>
            <w:szCs w:val="13"/>
          </w:rPr>
          <w:t xml:space="preserve"> – </w:t>
        </w:r>
        <w:r w:rsidR="00DD6092">
          <w:rPr>
            <w:color w:val="595959" w:themeColor="text1" w:themeTint="A6"/>
            <w:sz w:val="13"/>
            <w:szCs w:val="13"/>
          </w:rPr>
          <w:t>5/19</w:t>
        </w:r>
        <w:r w:rsidR="00F95EE8" w:rsidRPr="00F95EE8">
          <w:rPr>
            <w:color w:val="595959" w:themeColor="text1" w:themeTint="A6"/>
            <w:sz w:val="13"/>
            <w:szCs w:val="13"/>
          </w:rPr>
          <w:t>/</w:t>
        </w:r>
        <w:r w:rsidR="00F95EE8">
          <w:rPr>
            <w:color w:val="595959" w:themeColor="text1" w:themeTint="A6"/>
            <w:sz w:val="13"/>
            <w:szCs w:val="13"/>
          </w:rPr>
          <w:t>25</w:t>
        </w:r>
        <w:r w:rsidRPr="00924DB9">
          <w:rPr>
            <w:color w:val="595959" w:themeColor="text1" w:themeTint="A6"/>
            <w:sz w:val="18"/>
            <w:szCs w:val="20"/>
          </w:rPr>
          <w:tab/>
        </w:r>
        <w:r w:rsidR="00822499" w:rsidRPr="00924DB9">
          <w:rPr>
            <w:noProof/>
            <w:color w:val="595959" w:themeColor="text1" w:themeTint="A6"/>
            <w:sz w:val="18"/>
            <w:szCs w:val="20"/>
          </w:rPr>
          <w:t xml:space="preserve">Page </w:t>
        </w:r>
        <w:r w:rsidR="00817E18" w:rsidRPr="00924DB9">
          <w:rPr>
            <w:color w:val="595959" w:themeColor="text1" w:themeTint="A6"/>
            <w:sz w:val="18"/>
            <w:szCs w:val="20"/>
          </w:rPr>
          <w:fldChar w:fldCharType="begin"/>
        </w:r>
        <w:r w:rsidR="00817E18" w:rsidRPr="00924DB9">
          <w:rPr>
            <w:color w:val="595959" w:themeColor="text1" w:themeTint="A6"/>
            <w:sz w:val="18"/>
            <w:szCs w:val="20"/>
          </w:rPr>
          <w:instrText xml:space="preserve"> PAGE   \* MERGEFORMAT </w:instrText>
        </w:r>
        <w:r w:rsidR="00817E18" w:rsidRPr="00924DB9">
          <w:rPr>
            <w:color w:val="595959" w:themeColor="text1" w:themeTint="A6"/>
            <w:sz w:val="18"/>
            <w:szCs w:val="20"/>
          </w:rPr>
          <w:fldChar w:fldCharType="separate"/>
        </w:r>
        <w:r w:rsidR="00817E18" w:rsidRPr="00924DB9">
          <w:rPr>
            <w:noProof/>
            <w:color w:val="595959" w:themeColor="text1" w:themeTint="A6"/>
            <w:sz w:val="18"/>
            <w:szCs w:val="20"/>
          </w:rPr>
          <w:t>2</w:t>
        </w:r>
        <w:r w:rsidR="00817E18" w:rsidRPr="00924DB9">
          <w:rPr>
            <w:noProof/>
            <w:color w:val="595959" w:themeColor="text1" w:themeTint="A6"/>
            <w:sz w:val="18"/>
            <w:szCs w:val="20"/>
          </w:rPr>
          <w:fldChar w:fldCharType="end"/>
        </w:r>
      </w:sdtContent>
    </w:sdt>
  </w:p>
  <w:p w14:paraId="012BFCCC" w14:textId="4029920A" w:rsidR="00817E18" w:rsidRDefault="00817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E3D45" w14:textId="77777777" w:rsidR="008A4D59" w:rsidRDefault="008A4D59" w:rsidP="00F804A3">
      <w:pPr>
        <w:spacing w:after="0"/>
      </w:pPr>
      <w:r>
        <w:separator/>
      </w:r>
    </w:p>
  </w:footnote>
  <w:footnote w:type="continuationSeparator" w:id="0">
    <w:p w14:paraId="359AC378" w14:textId="77777777" w:rsidR="008A4D59" w:rsidRDefault="008A4D59" w:rsidP="00F804A3">
      <w:pPr>
        <w:spacing w:after="0"/>
      </w:pPr>
      <w:r>
        <w:continuationSeparator/>
      </w:r>
    </w:p>
  </w:footnote>
  <w:footnote w:type="continuationNotice" w:id="1">
    <w:p w14:paraId="5E045485" w14:textId="77777777" w:rsidR="008A4D59" w:rsidRDefault="008A4D59">
      <w:pPr>
        <w:spacing w:after="0"/>
      </w:pPr>
    </w:p>
  </w:footnote>
  <w:footnote w:id="2">
    <w:p w14:paraId="219D9FF7" w14:textId="1C50B5BC" w:rsidR="009D31E6" w:rsidRDefault="009D31E6" w:rsidP="009D31E6">
      <w:pPr>
        <w:pStyle w:val="FootnoteText"/>
      </w:pPr>
      <w:r>
        <w:rPr>
          <w:rStyle w:val="FootnoteReference"/>
        </w:rPr>
        <w:footnoteRef/>
      </w:r>
      <w:r>
        <w:t xml:space="preserve"> Michael Love, “Where in the World Does Partnership Income Go? Evidence of a Growing Use of Tax Havens,” December 14, 2021, </w:t>
      </w:r>
      <w:hyperlink r:id="rId1" w:history="1">
        <w:r w:rsidRPr="00E30616">
          <w:rPr>
            <w:rStyle w:val="Hyperlink"/>
          </w:rPr>
          <w:t>https://www.law.berkeley.edu/wp-content/uploads/2022/03/2022-Michael-Love.pdf</w:t>
        </w:r>
      </w:hyperlink>
      <w:r>
        <w:t xml:space="preserve">. </w:t>
      </w:r>
    </w:p>
  </w:footnote>
  <w:footnote w:id="3">
    <w:p w14:paraId="538D8F82" w14:textId="2896757B" w:rsidR="00052128" w:rsidRDefault="00052128" w:rsidP="00052128">
      <w:pPr>
        <w:pStyle w:val="FootnoteText"/>
      </w:pPr>
      <w:r>
        <w:rPr>
          <w:rStyle w:val="FootnoteReference"/>
        </w:rPr>
        <w:footnoteRef/>
      </w:r>
      <w:r>
        <w:t xml:space="preserve"> Tax Enforcement: IRS Audit Processes Can Be Strengthened to Address a Growing Number of Large, Complex Partnerships, </w:t>
      </w:r>
      <w:bookmarkStart w:id="9" w:name="_Hlk194166105"/>
      <w:r>
        <w:t>U.S. Gov. Accountability Office</w:t>
      </w:r>
      <w:bookmarkEnd w:id="9"/>
      <w:r>
        <w:t xml:space="preserve">, GAO-23-106020, Jul 27, 2023, </w:t>
      </w:r>
      <w:hyperlink r:id="rId2" w:history="1">
        <w:r w:rsidRPr="00E30616">
          <w:rPr>
            <w:rStyle w:val="Hyperlink"/>
          </w:rPr>
          <w:t>https://www.gao.gov/products/gao-23-106020</w:t>
        </w:r>
      </w:hyperlink>
      <w:r>
        <w:t xml:space="preserve">. </w:t>
      </w:r>
    </w:p>
  </w:footnote>
  <w:footnote w:id="4">
    <w:p w14:paraId="5839D6BF" w14:textId="6D393943" w:rsidR="00052128" w:rsidRPr="00BE40F5" w:rsidRDefault="00052128" w:rsidP="00052128">
      <w:pPr>
        <w:pStyle w:val="FootnoteText"/>
      </w:pPr>
      <w:r>
        <w:rPr>
          <w:rStyle w:val="FootnoteReference"/>
        </w:rPr>
        <w:footnoteRef/>
      </w:r>
      <w:r w:rsidR="009517CF">
        <w:t xml:space="preserve"> There are separate white papers</w:t>
      </w:r>
      <w:r w:rsidRPr="00BE40F5">
        <w:t xml:space="preserve"> address</w:t>
      </w:r>
      <w:r w:rsidR="009517CF">
        <w:t>ing the</w:t>
      </w:r>
      <w:r w:rsidRPr="00BE40F5">
        <w:t xml:space="preserve"> state taxation of investment partnership income and the sourcing of certain guaranteed payments. (See those white papers on the project page above.)</w:t>
      </w:r>
    </w:p>
  </w:footnote>
  <w:footnote w:id="5">
    <w:p w14:paraId="573FE7B6" w14:textId="1EA88AEA" w:rsidR="007525CB" w:rsidRDefault="007525CB">
      <w:pPr>
        <w:pStyle w:val="FootnoteText"/>
      </w:pPr>
      <w:r>
        <w:rPr>
          <w:rStyle w:val="FootnoteReference"/>
        </w:rPr>
        <w:footnoteRef/>
      </w:r>
      <w:r>
        <w:t xml:space="preserve"> </w:t>
      </w:r>
      <w:r w:rsidRPr="007525CB">
        <w:t>See Hellerstein, Hellerstein &amp; Appleby: State Taxation, ¶</w:t>
      </w:r>
      <w:r w:rsidR="000B645B">
        <w:t xml:space="preserve">8.07-8.10 </w:t>
      </w:r>
      <w:r w:rsidRPr="007525CB">
        <w:t>(WG&amp;L).</w:t>
      </w:r>
    </w:p>
  </w:footnote>
  <w:footnote w:id="6">
    <w:p w14:paraId="18280CC3" w14:textId="1054C224" w:rsidR="00B22D31" w:rsidRDefault="00B22D31">
      <w:pPr>
        <w:pStyle w:val="FootnoteText"/>
      </w:pPr>
      <w:r>
        <w:rPr>
          <w:rStyle w:val="FootnoteReference"/>
        </w:rPr>
        <w:footnoteRef/>
      </w:r>
      <w:r>
        <w:t xml:space="preserve"> See Hellerstein supra fn. 4, </w:t>
      </w:r>
      <w:r w:rsidRPr="007525CB">
        <w:t>¶</w:t>
      </w:r>
      <w:r>
        <w:t xml:space="preserve">8.03. </w:t>
      </w:r>
    </w:p>
  </w:footnote>
  <w:footnote w:id="7">
    <w:p w14:paraId="30157C07" w14:textId="30861B0A" w:rsidR="004A626C" w:rsidRDefault="004A626C" w:rsidP="004A626C">
      <w:pPr>
        <w:pStyle w:val="FootnoteText"/>
      </w:pPr>
      <w:r>
        <w:rPr>
          <w:rStyle w:val="FootnoteReference"/>
        </w:rPr>
        <w:footnoteRef/>
      </w:r>
      <w:r>
        <w:t xml:space="preserve"> </w:t>
      </w:r>
      <w:r w:rsidR="004B6D12">
        <w:t xml:space="preserve">See “Large Partnerships: Characteristics of Population and IRS Audits,” U.S. Governmental Accountancy Office, GAO-14-379R, Apr. 17, 2014, available here: </w:t>
      </w:r>
      <w:hyperlink r:id="rId3" w:history="1">
        <w:r w:rsidR="004B6D12" w:rsidRPr="00CD60C4">
          <w:rPr>
            <w:rStyle w:val="Hyperlink"/>
          </w:rPr>
          <w:t>https://www.gao.gov/products/gao-14-379r</w:t>
        </w:r>
      </w:hyperlink>
      <w:r w:rsidR="004B6D12">
        <w:t xml:space="preserve"> ; and </w:t>
      </w:r>
      <w:r w:rsidR="004B6D12" w:rsidRPr="004B6D12">
        <w:t xml:space="preserve">Love, Michael, </w:t>
      </w:r>
      <w:r w:rsidR="004B6D12">
        <w:t>“</w:t>
      </w:r>
      <w:r w:rsidR="004B6D12" w:rsidRPr="004B6D12">
        <w:t>Who Benefits from Partnership Flexibility?</w:t>
      </w:r>
      <w:r w:rsidR="004B6D12">
        <w:t>”</w:t>
      </w:r>
      <w:r w:rsidR="004B6D12" w:rsidRPr="004B6D12">
        <w:t xml:space="preserve"> </w:t>
      </w:r>
      <w:r w:rsidR="004B6D12">
        <w:t xml:space="preserve">Columbia Law, </w:t>
      </w:r>
      <w:r w:rsidR="004B6D12" w:rsidRPr="004B6D12">
        <w:t>Oct. 2024</w:t>
      </w:r>
      <w:r w:rsidR="004B6D12">
        <w:t xml:space="preserve">, available here: </w:t>
      </w:r>
      <w:hyperlink r:id="rId4" w:history="1">
        <w:r w:rsidR="004B6D12" w:rsidRPr="00CD60C4">
          <w:rPr>
            <w:rStyle w:val="Hyperlink"/>
          </w:rPr>
          <w:t>https://papers.ssrn.com/sol3/papers.cfm?abstract_id=5014267</w:t>
        </w:r>
      </w:hyperlink>
      <w:r w:rsidR="004B6D12">
        <w:t xml:space="preserve"> .</w:t>
      </w:r>
    </w:p>
  </w:footnote>
  <w:footnote w:id="8">
    <w:p w14:paraId="66EE3CE1" w14:textId="6926466E" w:rsidR="00555503" w:rsidRDefault="00555503">
      <w:pPr>
        <w:pStyle w:val="FootnoteText"/>
      </w:pPr>
      <w:r>
        <w:rPr>
          <w:rStyle w:val="FootnoteReference"/>
        </w:rPr>
        <w:footnoteRef/>
      </w:r>
      <w:r>
        <w:t xml:space="preserve"> The Logic of Subchapter K: A Conceptual Guide to the Taxation of Partnerships, Laura E. Cunningham and No</w:t>
      </w:r>
      <w:r w:rsidR="00356E56">
        <w:t>ë</w:t>
      </w:r>
      <w:r>
        <w:t xml:space="preserve">l B. </w:t>
      </w:r>
      <w:r w:rsidR="00356E56">
        <w:t>Cunningham, West Academic Pub., 6</w:t>
      </w:r>
      <w:r w:rsidR="00356E56" w:rsidRPr="00356E56">
        <w:rPr>
          <w:vertAlign w:val="superscript"/>
        </w:rPr>
        <w:t>th</w:t>
      </w:r>
      <w:r w:rsidR="00356E56">
        <w:t xml:space="preserve"> ed., p. 1.</w:t>
      </w:r>
    </w:p>
  </w:footnote>
  <w:footnote w:id="9">
    <w:p w14:paraId="0A34CCF3" w14:textId="198231F4" w:rsidR="0009601A" w:rsidRDefault="0009601A" w:rsidP="00865F98">
      <w:pPr>
        <w:pStyle w:val="FootnoteText"/>
      </w:pPr>
      <w:r>
        <w:rPr>
          <w:rStyle w:val="FootnoteReference"/>
        </w:rPr>
        <w:footnoteRef/>
      </w:r>
      <w:r>
        <w:t xml:space="preserve"> </w:t>
      </w:r>
      <w:r w:rsidR="00B50843">
        <w:t>See Hellerstein supra fn. 4,</w:t>
      </w:r>
      <w:r w:rsidR="00865F98">
        <w:t xml:space="preserve"> ¶7.02. </w:t>
      </w:r>
    </w:p>
  </w:footnote>
  <w:footnote w:id="10">
    <w:p w14:paraId="6481A764" w14:textId="44F5896B" w:rsidR="00331735" w:rsidRDefault="00331735" w:rsidP="00331735">
      <w:pPr>
        <w:pStyle w:val="FootnoteText"/>
      </w:pPr>
      <w:r>
        <w:rPr>
          <w:rStyle w:val="FootnoteReference"/>
        </w:rPr>
        <w:footnoteRef/>
      </w:r>
      <w:r>
        <w:t xml:space="preserve"> </w:t>
      </w:r>
      <w:r w:rsidR="00205BAD" w:rsidRPr="00205BAD">
        <w:rPr>
          <w:i/>
          <w:iCs/>
        </w:rPr>
        <w:t>Loper Bright Enterprises v. Raimondo</w:t>
      </w:r>
      <w:r w:rsidR="00205BAD" w:rsidRPr="00205BAD">
        <w:t>, 603 U.S. 369, 144 S. Ct. 2244, 219 L. Ed. 2d 832 (2024)</w:t>
      </w:r>
      <w:r w:rsidR="00205BAD">
        <w:t>.</w:t>
      </w:r>
    </w:p>
  </w:footnote>
  <w:footnote w:id="11">
    <w:p w14:paraId="2A75C0C4" w14:textId="5157A6A6" w:rsidR="00BE61B6" w:rsidRDefault="00BE61B6">
      <w:pPr>
        <w:pStyle w:val="FootnoteText"/>
      </w:pPr>
      <w:r>
        <w:rPr>
          <w:rStyle w:val="FootnoteReference"/>
        </w:rPr>
        <w:footnoteRef/>
      </w:r>
      <w:r>
        <w:t xml:space="preserve"> </w:t>
      </w:r>
      <w:r w:rsidR="00205BAD">
        <w:t xml:space="preserve">Cunningham &amp; Cunningham, </w:t>
      </w:r>
      <w:r w:rsidR="00DF6ED0">
        <w:t>supra fn.7, p.</w:t>
      </w:r>
      <w:r w:rsidR="00205BAD">
        <w:t xml:space="preserve"> 1. </w:t>
      </w:r>
      <w:r>
        <w:t xml:space="preserve"> </w:t>
      </w:r>
    </w:p>
  </w:footnote>
  <w:footnote w:id="12">
    <w:p w14:paraId="746BFCD4" w14:textId="4F338652" w:rsidR="00853A76" w:rsidRDefault="00853A76" w:rsidP="00471E04">
      <w:pPr>
        <w:pStyle w:val="FootnoteText"/>
      </w:pPr>
      <w:r>
        <w:rPr>
          <w:rStyle w:val="FootnoteReference"/>
        </w:rPr>
        <w:footnoteRef/>
      </w:r>
      <w:r>
        <w:t xml:space="preserve"> </w:t>
      </w:r>
      <w:r w:rsidR="00471E04">
        <w:t xml:space="preserve">Andrea Monroe, What We Talk About When We Talk About Tax Complexity, 5 Mich. Bus. &amp; Entrepreneurial L. Rev. 193 (2016). Available at: </w:t>
      </w:r>
      <w:hyperlink r:id="rId5" w:history="1">
        <w:r w:rsidR="00471E04" w:rsidRPr="00E30616">
          <w:rPr>
            <w:rStyle w:val="Hyperlink"/>
          </w:rPr>
          <w:t>https://repository.law.umich.edu/cgi/viewcontent.cgi?article=1045&amp;context=mbelr</w:t>
        </w:r>
      </w:hyperlink>
      <w:r w:rsidR="00471E04">
        <w:t xml:space="preserve">. </w:t>
      </w:r>
    </w:p>
  </w:footnote>
  <w:footnote w:id="13">
    <w:p w14:paraId="063F2E01" w14:textId="0AD17C03" w:rsidR="00853A76" w:rsidRDefault="00853A76" w:rsidP="00853A76">
      <w:pPr>
        <w:pStyle w:val="FootnoteText"/>
      </w:pPr>
      <w:r>
        <w:rPr>
          <w:rStyle w:val="FootnoteReference"/>
        </w:rPr>
        <w:footnoteRef/>
      </w:r>
      <w:r>
        <w:t xml:space="preserve"> </w:t>
      </w:r>
      <w:r w:rsidR="009E205B" w:rsidRPr="009E205B">
        <w:t>Andrea Monroe, “What’s in a Name: Can the Partnership Anti-Abuse Rule Really Stop Partnership Tax Abuse?,” 60 Case W. Res. L. Rev. 401 (2010)</w:t>
      </w:r>
      <w:r w:rsidR="009E205B">
        <w:t xml:space="preserve">. Available at: </w:t>
      </w:r>
      <w:hyperlink r:id="rId6" w:history="1">
        <w:r w:rsidR="009E205B" w:rsidRPr="00E30616">
          <w:rPr>
            <w:rStyle w:val="Hyperlink"/>
          </w:rPr>
          <w:t>https://papers.ssrn.com/sol3/papers.cfm?abstract_id=1479609</w:t>
        </w:r>
      </w:hyperlink>
      <w:r w:rsidR="009E205B">
        <w:t xml:space="preserve">. </w:t>
      </w:r>
    </w:p>
  </w:footnote>
  <w:footnote w:id="14">
    <w:p w14:paraId="0CF2BFB2" w14:textId="1AAE9F9E" w:rsidR="00935410" w:rsidRDefault="00935410">
      <w:pPr>
        <w:pStyle w:val="FootnoteText"/>
      </w:pPr>
      <w:r>
        <w:rPr>
          <w:rStyle w:val="FootnoteReference"/>
        </w:rPr>
        <w:footnoteRef/>
      </w:r>
      <w:r>
        <w:t xml:space="preserve"> See IRC § 1361.</w:t>
      </w:r>
    </w:p>
  </w:footnote>
  <w:footnote w:id="15">
    <w:p w14:paraId="79C279CB" w14:textId="77A2F667" w:rsidR="00B00249" w:rsidRDefault="00B00249" w:rsidP="00B00249">
      <w:pPr>
        <w:pStyle w:val="FootnoteText"/>
      </w:pPr>
      <w:r>
        <w:rPr>
          <w:rStyle w:val="FootnoteReference"/>
        </w:rPr>
        <w:footnoteRef/>
      </w:r>
      <w:r>
        <w:t xml:space="preserve"> </w:t>
      </w:r>
      <w:r w:rsidR="009E205B">
        <w:t>Large Partnerships: With Growing Number of Partnerships, IRS Needs to Improve Audit Efficiency, U.S. Governmental Accountancy Office,</w:t>
      </w:r>
      <w:r w:rsidR="009E205B" w:rsidRPr="009E205B">
        <w:t xml:space="preserve"> </w:t>
      </w:r>
      <w:r w:rsidR="009E205B">
        <w:t xml:space="preserve">GAO-14-732, Sep. 18, 2014, available here: </w:t>
      </w:r>
      <w:hyperlink r:id="rId7" w:history="1">
        <w:r w:rsidR="009E205B" w:rsidRPr="00E30616">
          <w:rPr>
            <w:rStyle w:val="Hyperlink"/>
          </w:rPr>
          <w:t>https://www.gao.gov/products/gao-14-732</w:t>
        </w:r>
      </w:hyperlink>
      <w:r w:rsidR="009E205B">
        <w:t xml:space="preserve">. </w:t>
      </w:r>
    </w:p>
  </w:footnote>
  <w:footnote w:id="16">
    <w:p w14:paraId="3A30B7A6" w14:textId="266299F6" w:rsidR="00EA1D83" w:rsidRDefault="00EA1D83">
      <w:pPr>
        <w:pStyle w:val="FootnoteText"/>
      </w:pPr>
      <w:r>
        <w:rPr>
          <w:rStyle w:val="FootnoteReference"/>
        </w:rPr>
        <w:footnoteRef/>
      </w:r>
      <w:r>
        <w:t xml:space="preserve"> </w:t>
      </w:r>
      <w:r w:rsidR="005953F8">
        <w:t xml:space="preserve">See </w:t>
      </w:r>
      <w:r w:rsidR="00897907">
        <w:t>ULC Partnership Act, p. 2 – “</w:t>
      </w:r>
      <w:r w:rsidR="00897907" w:rsidRPr="00897907">
        <w:t xml:space="preserve">The Uniform Partnership Act (1994) </w:t>
      </w:r>
      <w:r w:rsidR="00897907">
        <w:t>. . .</w:t>
      </w:r>
      <w:r w:rsidR="00897907" w:rsidRPr="00897907">
        <w:t xml:space="preserve"> gives supremacy to the partnership agreement in almost all situations. The Revised Act is, therefore, largely a series of "default rules" that govern the relations among partners in situations they have not addressed in a partnership agreement.</w:t>
      </w:r>
      <w:r w:rsidR="00897907">
        <w:t>”</w:t>
      </w:r>
      <w:r w:rsidR="00897907" w:rsidRPr="00897907">
        <w:t xml:space="preserve">  </w:t>
      </w:r>
    </w:p>
  </w:footnote>
  <w:footnote w:id="17">
    <w:p w14:paraId="3F3B90C4" w14:textId="77777777" w:rsidR="006D2BB2" w:rsidRDefault="006D2BB2" w:rsidP="006D2BB2">
      <w:pPr>
        <w:pStyle w:val="FootnoteText"/>
      </w:pPr>
      <w:r>
        <w:rPr>
          <w:rStyle w:val="FootnoteReference"/>
        </w:rPr>
        <w:footnoteRef/>
      </w:r>
      <w:r>
        <w:t xml:space="preserve"> See, for example, Cunningham and Cunningham, supra fn. 7, pp. 65, and 161-163.  </w:t>
      </w:r>
    </w:p>
  </w:footnote>
  <w:footnote w:id="18">
    <w:p w14:paraId="0EC4D26D" w14:textId="098F9B33" w:rsidR="0033187C" w:rsidRPr="008E11DD" w:rsidRDefault="0033187C">
      <w:pPr>
        <w:pStyle w:val="FootnoteText"/>
      </w:pPr>
      <w:r>
        <w:rPr>
          <w:rStyle w:val="FootnoteReference"/>
        </w:rPr>
        <w:footnoteRef/>
      </w:r>
      <w:r>
        <w:t xml:space="preserve"> </w:t>
      </w:r>
      <w:r w:rsidRPr="0033187C">
        <w:rPr>
          <w:i/>
          <w:iCs/>
        </w:rPr>
        <w:t>Loper Bright Enterprises v. Raimondo</w:t>
      </w:r>
      <w:r w:rsidRPr="0033187C">
        <w:t>, 603 U.S. 369 (2024)</w:t>
      </w:r>
      <w:r w:rsidR="008E11DD">
        <w:t xml:space="preserve"> which overturned the </w:t>
      </w:r>
      <w:r w:rsidR="008E11DD">
        <w:rPr>
          <w:i/>
          <w:iCs/>
        </w:rPr>
        <w:t>Chevron</w:t>
      </w:r>
      <w:r w:rsidR="008E11DD">
        <w:t xml:space="preserve"> deference standard</w:t>
      </w:r>
      <w:r w:rsidR="002F4C70">
        <w:t xml:space="preserve"> for </w:t>
      </w:r>
      <w:r w:rsidR="00FA043A">
        <w:t xml:space="preserve">review of federal regulations by federal courts. </w:t>
      </w:r>
    </w:p>
  </w:footnote>
  <w:footnote w:id="19">
    <w:p w14:paraId="6B2D86A4" w14:textId="77777777" w:rsidR="006D2BB2" w:rsidRDefault="006D2BB2" w:rsidP="006D2BB2">
      <w:pPr>
        <w:pStyle w:val="FootnoteText"/>
      </w:pPr>
      <w:r>
        <w:rPr>
          <w:rStyle w:val="FootnoteReference"/>
        </w:rPr>
        <w:footnoteRef/>
      </w:r>
      <w:r>
        <w:t xml:space="preserve"> See IRS Reg. 1.482-1 (a)(1); </w:t>
      </w:r>
      <w:r w:rsidRPr="008D47AE">
        <w:rPr>
          <w:i/>
          <w:iCs/>
        </w:rPr>
        <w:t>Dolese v. Commissioner</w:t>
      </w:r>
      <w:r>
        <w:t xml:space="preserve">, 811 F.2d 543 (10th Cir. 1987); and </w:t>
      </w:r>
      <w:r w:rsidRPr="00D35710">
        <w:rPr>
          <w:i/>
          <w:iCs/>
        </w:rPr>
        <w:t>Aladdin Indus., Inc. v. Commissioner</w:t>
      </w:r>
      <w:r>
        <w:t>, 41 T.C.M. (CCH) 1515, 1519 (1981).</w:t>
      </w:r>
    </w:p>
  </w:footnote>
  <w:footnote w:id="20">
    <w:p w14:paraId="71802958" w14:textId="1432659F" w:rsidR="002C05A1" w:rsidRDefault="002C05A1" w:rsidP="002C05A1">
      <w:pPr>
        <w:pStyle w:val="FootnoteText"/>
      </w:pPr>
      <w:r>
        <w:rPr>
          <w:rStyle w:val="FootnoteReference"/>
        </w:rPr>
        <w:footnoteRef/>
      </w:r>
      <w:r>
        <w:t xml:space="preserve"> One example is found in IRS </w:t>
      </w:r>
      <w:r w:rsidRPr="00664796">
        <w:t>T.D. 9814</w:t>
      </w:r>
      <w:r>
        <w:t>, R</w:t>
      </w:r>
      <w:r w:rsidRPr="00C20EEC">
        <w:t>EG-127203-15</w:t>
      </w:r>
      <w:r>
        <w:t>, and</w:t>
      </w:r>
      <w:r w:rsidRPr="00664796">
        <w:t xml:space="preserve"> Notice 2015-54 </w:t>
      </w:r>
      <w:r>
        <w:t xml:space="preserve">proposing to make an exception to the nonrecognition rule pursuant to the explicit authority granted under IRC § </w:t>
      </w:r>
      <w:r w:rsidRPr="00664796">
        <w:t>721(c)</w:t>
      </w:r>
      <w:r>
        <w:t xml:space="preserve"> and expressing the relationship of this exception to the authority granted in IRC § 482 to determine the value of contributed property involving related entities. </w:t>
      </w:r>
    </w:p>
  </w:footnote>
  <w:footnote w:id="21">
    <w:p w14:paraId="5F240411" w14:textId="2F507BF3" w:rsidR="00B76905" w:rsidRDefault="00B76905" w:rsidP="00B76905">
      <w:pPr>
        <w:pStyle w:val="FootnoteText"/>
      </w:pPr>
      <w:r>
        <w:rPr>
          <w:rStyle w:val="FootnoteReference"/>
        </w:rPr>
        <w:footnoteRef/>
      </w:r>
      <w:r>
        <w:t xml:space="preserve"> See for example Ala. Code § 40-2A-17, Allocation, etc., of gross income, deductions, etc., between entities controlled by the same interests; improper contingent fees.</w:t>
      </w:r>
    </w:p>
  </w:footnote>
  <w:footnote w:id="22">
    <w:p w14:paraId="52B5AA75" w14:textId="77777777" w:rsidR="00300A34" w:rsidRDefault="00300A34" w:rsidP="00300A34">
      <w:pPr>
        <w:pStyle w:val="FootnoteText"/>
      </w:pPr>
      <w:r>
        <w:rPr>
          <w:rStyle w:val="FootnoteReference"/>
        </w:rPr>
        <w:footnoteRef/>
      </w:r>
      <w:r>
        <w:t xml:space="preserve"> See </w:t>
      </w:r>
      <w:r w:rsidRPr="00D35710">
        <w:rPr>
          <w:i/>
          <w:iCs/>
        </w:rPr>
        <w:t>Utah State Tax Comm'n v. See's Candies, Inc.</w:t>
      </w:r>
      <w:r w:rsidRPr="00D35710">
        <w:t>, 2018 UT 57, 435 P.3d 147</w:t>
      </w:r>
      <w:r>
        <w:t>.</w:t>
      </w:r>
    </w:p>
  </w:footnote>
  <w:footnote w:id="23">
    <w:p w14:paraId="6E74B1E4" w14:textId="1D4C18FD" w:rsidR="006C6FF5" w:rsidRDefault="006C6FF5" w:rsidP="00300A34">
      <w:pPr>
        <w:pStyle w:val="FootnoteText"/>
      </w:pPr>
      <w:r>
        <w:rPr>
          <w:rStyle w:val="FootnoteReference"/>
        </w:rPr>
        <w:footnoteRef/>
      </w:r>
      <w:r>
        <w:t xml:space="preserve"> </w:t>
      </w:r>
      <w:r w:rsidR="002E790E">
        <w:t xml:space="preserve">See, for example, </w:t>
      </w:r>
      <w:r w:rsidR="002E790E" w:rsidRPr="002E790E">
        <w:rPr>
          <w:i/>
          <w:iCs/>
        </w:rPr>
        <w:t>ACM Partnership v. Comm’r</w:t>
      </w:r>
      <w:r w:rsidR="002E790E" w:rsidRPr="002E790E">
        <w:t>, 73 T.C.M. (CCH) 2189, 1997 WL 93314 (1997), aff’d in part and rev’d in part, 157 F.3d 231 (3d Cir. 1998), cert. denied, 526 U.S. 1017 (1999)</w:t>
      </w:r>
      <w:r w:rsidR="002E790E">
        <w:t xml:space="preserve"> and </w:t>
      </w:r>
      <w:r w:rsidR="002E790E" w:rsidRPr="002E790E">
        <w:t>Marvin A. Chirelstein &amp; Lawrence A. Zelenak, Tax Shelters and the Search for a Silver Bullet, 105 COLUM. L. REV. 1939, 1949–50 (2005)., at 1962 (“[E]conomic substance doctrine is simply too weak a barrier to protect the collection of income tax from assault by abusive shelter planners.”)</w:t>
      </w:r>
      <w:r w:rsidR="002E790E">
        <w:t xml:space="preserve">. </w:t>
      </w:r>
    </w:p>
  </w:footnote>
  <w:footnote w:id="24">
    <w:p w14:paraId="1D07EFE6" w14:textId="7550EF59" w:rsidR="00E17F07" w:rsidRDefault="00E17F07" w:rsidP="00300A34">
      <w:pPr>
        <w:pStyle w:val="FootnoteText"/>
      </w:pPr>
      <w:r>
        <w:rPr>
          <w:rStyle w:val="FootnoteReference"/>
        </w:rPr>
        <w:footnoteRef/>
      </w:r>
      <w:r>
        <w:t xml:space="preserve"> Andrea Monroe, What’s in a Name: Can the Partnership Anti-Abuse Rule Really Stop Partnership Tax Abuse?, Case Western Reserve Law Review, Vol. 60, Winter 2010. </w:t>
      </w:r>
    </w:p>
  </w:footnote>
  <w:footnote w:id="25">
    <w:p w14:paraId="51678974" w14:textId="1BB89F23" w:rsidR="00101356" w:rsidRDefault="00101356" w:rsidP="00300A34">
      <w:pPr>
        <w:pStyle w:val="FootnoteText"/>
      </w:pPr>
      <w:r>
        <w:rPr>
          <w:rStyle w:val="FootnoteReference"/>
        </w:rPr>
        <w:footnoteRef/>
      </w:r>
      <w:r>
        <w:t xml:space="preserve"> </w:t>
      </w:r>
      <w:r w:rsidRPr="00101356">
        <w:rPr>
          <w:i/>
          <w:iCs/>
        </w:rPr>
        <w:t>Tribune Media Co. v. Commissioner</w:t>
      </w:r>
      <w:r w:rsidRPr="00101356">
        <w:t>, No. 23-1135 (7th Cir.) (pending on cross-appeals).</w:t>
      </w:r>
    </w:p>
  </w:footnote>
  <w:footnote w:id="26">
    <w:p w14:paraId="482A0929" w14:textId="77777777" w:rsidR="006D2BB2" w:rsidRDefault="006D2BB2" w:rsidP="006D2BB2">
      <w:pPr>
        <w:pStyle w:val="FootnoteText"/>
      </w:pPr>
      <w:r>
        <w:rPr>
          <w:rStyle w:val="FootnoteReference"/>
        </w:rPr>
        <w:footnoteRef/>
      </w:r>
      <w:r>
        <w:t xml:space="preserve"> See, for example, Oregon Administrative Code, 2020, OAR S</w:t>
      </w:r>
      <w:r w:rsidRPr="0076370D">
        <w:t>ection 150-314-0475</w:t>
      </w:r>
      <w:r>
        <w:t>,</w:t>
      </w:r>
      <w:r w:rsidRPr="0076370D">
        <w:t xml:space="preserve"> Consistent Treatment of Partnership Items</w:t>
      </w:r>
      <w:r>
        <w:t>.</w:t>
      </w:r>
    </w:p>
  </w:footnote>
  <w:footnote w:id="27">
    <w:p w14:paraId="30F993B8" w14:textId="55D561CE" w:rsidR="004343EF" w:rsidRDefault="004343EF" w:rsidP="004343EF">
      <w:pPr>
        <w:pStyle w:val="FootnoteText"/>
      </w:pPr>
      <w:r>
        <w:rPr>
          <w:rStyle w:val="FootnoteReference"/>
        </w:rPr>
        <w:footnoteRef/>
      </w:r>
      <w:r>
        <w:t xml:space="preserve"> </w:t>
      </w:r>
      <w:r w:rsidR="003037CB">
        <w:t>See Hellerstein supra fn. 4,</w:t>
      </w:r>
      <w:r>
        <w:t>,</w:t>
      </w:r>
      <w:r w:rsidRPr="004343EF">
        <w:t xml:space="preserve"> </w:t>
      </w:r>
      <w:r>
        <w:t xml:space="preserve">¶8.09: “It is established law and practice that separate businesses may not be included in an overall apportionment applied to a single corporation or to a group of affiliated corporations on a combined basis. The point is essentially definitional—if a business is “separate” it is not part of the “unit” that constitutes the enterprise whose tax base is apportionable. The point also reflects bedrock constitutional doctrine. As the U.S. Supreme Court observed in Mobil, “unrelated business activity” that constitutes a “discrete business enterprise” falls outside the definition of a unitary business. It is therefore understandable why state courts have often approached unitary business controversies in terms of whether a branch or subsidiary is engaged in a “separate business” from the rest of the enterprise.” Also noting that: “The Multistate Tax Commission’s (MTC’s) apportionment and allocation regulations, which many states have adopted, also reflect this approach. The regulations recognize that a taxpayer may have more than one trade or business. MTC Reg. IV.1.(b)(1)(C) (as of July 25, 2018), . . .. In such cases, it is necessary to determine the apportionable income attributable to each separate  unitary  business. . . . The income thus determined “is then apportioned by an apportionment formula that takes into consideration the in-state and out-of-state factors that relate to the respective unitary business whose income of is being apportioned.” </w:t>
      </w:r>
    </w:p>
  </w:footnote>
  <w:footnote w:id="28">
    <w:p w14:paraId="706B00BC" w14:textId="77777777" w:rsidR="00F16E5B" w:rsidRDefault="00F16E5B" w:rsidP="00F16E5B">
      <w:pPr>
        <w:pStyle w:val="FootnoteText"/>
      </w:pPr>
      <w:r>
        <w:rPr>
          <w:rStyle w:val="FootnoteReference"/>
        </w:rPr>
        <w:footnoteRef/>
      </w:r>
      <w:r>
        <w:t xml:space="preserve"> See Hellerstein, supra fn. 4, ¶8.09.</w:t>
      </w:r>
    </w:p>
  </w:footnote>
  <w:footnote w:id="29">
    <w:p w14:paraId="7964D200" w14:textId="26F1015A" w:rsidR="00C11E1F" w:rsidRPr="006D40CB" w:rsidRDefault="00C11E1F">
      <w:pPr>
        <w:pStyle w:val="FootnoteText"/>
        <w:rPr>
          <w:vertAlign w:val="subscript"/>
        </w:rPr>
      </w:pPr>
      <w:r>
        <w:rPr>
          <w:rStyle w:val="FootnoteReference"/>
        </w:rPr>
        <w:footnoteRef/>
      </w:r>
      <w:r>
        <w:t xml:space="preserve"> </w:t>
      </w:r>
      <w:r w:rsidR="00E960CB">
        <w:t xml:space="preserve">See Cunningham, supra fn. </w:t>
      </w:r>
      <w:r w:rsidR="007B0A46">
        <w:t>7</w:t>
      </w:r>
      <w:r w:rsidR="00E960CB">
        <w:t xml:space="preserve">, </w:t>
      </w:r>
      <w:r w:rsidR="00C86C9C">
        <w:t xml:space="preserve">generally and pp. 19-21. </w:t>
      </w:r>
    </w:p>
  </w:footnote>
  <w:footnote w:id="30">
    <w:p w14:paraId="3A7ED24C" w14:textId="2CA28A5A" w:rsidR="00830639" w:rsidRDefault="00830639">
      <w:pPr>
        <w:pStyle w:val="FootnoteText"/>
      </w:pPr>
      <w:r>
        <w:rPr>
          <w:rStyle w:val="FootnoteReference"/>
        </w:rPr>
        <w:footnoteRef/>
      </w:r>
      <w:r>
        <w:t xml:space="preserve"> See, for example, IRS Reg. § </w:t>
      </w:r>
      <w:r w:rsidRPr="00830639">
        <w:t>1.704-3(a)(10)</w:t>
      </w:r>
      <w:r>
        <w:t>.</w:t>
      </w:r>
    </w:p>
  </w:footnote>
  <w:footnote w:id="31">
    <w:p w14:paraId="753223D6" w14:textId="7261382D" w:rsidR="00CD5DFD" w:rsidRDefault="00CD5DFD">
      <w:pPr>
        <w:pStyle w:val="FootnoteText"/>
      </w:pPr>
      <w:r>
        <w:rPr>
          <w:rStyle w:val="FootnoteReference"/>
        </w:rPr>
        <w:footnoteRef/>
      </w:r>
      <w:r>
        <w:t xml:space="preserve"> See IRC §</w:t>
      </w:r>
      <w:r w:rsidR="00A9376A">
        <w:t xml:space="preserve"> 70</w:t>
      </w:r>
      <w:r w:rsidR="00784BC6">
        <w:t>2(b) an</w:t>
      </w:r>
      <w:r w:rsidR="0054616A">
        <w:t>d</w:t>
      </w:r>
      <w:r w:rsidR="00784BC6">
        <w:t xml:space="preserve"> rules for taking an inconsistent position under IRC §</w:t>
      </w:r>
      <w:r>
        <w:t xml:space="preserve"> 6222 and related regulations as well as IRS Form 8082.</w:t>
      </w:r>
    </w:p>
  </w:footnote>
  <w:footnote w:id="32">
    <w:p w14:paraId="0FAAFB78" w14:textId="4970EF5B" w:rsidR="0060515E" w:rsidRDefault="0060515E" w:rsidP="00655576">
      <w:pPr>
        <w:pStyle w:val="FootnoteText"/>
      </w:pPr>
      <w:r>
        <w:rPr>
          <w:rStyle w:val="FootnoteReference"/>
        </w:rPr>
        <w:footnoteRef/>
      </w:r>
      <w:r>
        <w:t xml:space="preserve"> </w:t>
      </w:r>
      <w:r w:rsidR="00655576">
        <w:t>602 U.S. 572 (2024).</w:t>
      </w:r>
    </w:p>
  </w:footnote>
  <w:footnote w:id="33">
    <w:p w14:paraId="45243846" w14:textId="659AA148" w:rsidR="000D2E27" w:rsidRDefault="000D2E27" w:rsidP="000D2E27">
      <w:pPr>
        <w:pStyle w:val="FootnoteText"/>
      </w:pPr>
      <w:r>
        <w:rPr>
          <w:rStyle w:val="FootnoteReference"/>
        </w:rPr>
        <w:footnoteRef/>
      </w:r>
      <w:r>
        <w:t xml:space="preserve"> </w:t>
      </w:r>
      <w:r w:rsidRPr="000D2E27">
        <w:rPr>
          <w:i/>
          <w:iCs/>
        </w:rPr>
        <w:t>Moore</w:t>
      </w:r>
      <w:r>
        <w:t>, at 585</w:t>
      </w:r>
      <w:r w:rsidR="00117E57">
        <w:t xml:space="preserve">. </w:t>
      </w:r>
    </w:p>
  </w:footnote>
  <w:footnote w:id="34">
    <w:p w14:paraId="06BEC306" w14:textId="422F2F33" w:rsidR="0047408D" w:rsidRPr="00117E57" w:rsidRDefault="00117E57">
      <w:pPr>
        <w:pStyle w:val="FootnoteText"/>
      </w:pPr>
      <w:r>
        <w:rPr>
          <w:rStyle w:val="FootnoteReference"/>
        </w:rPr>
        <w:footnoteRef/>
      </w:r>
      <w:r>
        <w:t xml:space="preserve"> </w:t>
      </w:r>
      <w:r>
        <w:rPr>
          <w:i/>
          <w:iCs/>
        </w:rPr>
        <w:t xml:space="preserve">Id., </w:t>
      </w:r>
      <w:r>
        <w:t>at 594.</w:t>
      </w:r>
    </w:p>
  </w:footnote>
  <w:footnote w:id="35">
    <w:p w14:paraId="59AF1871" w14:textId="73556F45" w:rsidR="0047408D" w:rsidRPr="0047408D" w:rsidRDefault="0047408D">
      <w:pPr>
        <w:pStyle w:val="FootnoteText"/>
      </w:pPr>
      <w:r>
        <w:rPr>
          <w:rStyle w:val="FootnoteReference"/>
        </w:rPr>
        <w:footnoteRef/>
      </w:r>
      <w:r>
        <w:t xml:space="preserve"> </w:t>
      </w:r>
      <w:r>
        <w:rPr>
          <w:i/>
          <w:iCs/>
        </w:rPr>
        <w:t>Id.</w:t>
      </w:r>
      <w:r>
        <w:t xml:space="preserve">, at 599. </w:t>
      </w:r>
    </w:p>
  </w:footnote>
  <w:footnote w:id="36">
    <w:p w14:paraId="195840D8" w14:textId="4B21CF02" w:rsidR="0023143B" w:rsidRDefault="0023143B">
      <w:pPr>
        <w:pStyle w:val="FootnoteText"/>
      </w:pPr>
      <w:r>
        <w:rPr>
          <w:rStyle w:val="FootnoteReference"/>
        </w:rPr>
        <w:footnoteRef/>
      </w:r>
      <w:r>
        <w:t xml:space="preserve"> </w:t>
      </w:r>
      <w:r>
        <w:rPr>
          <w:i/>
          <w:iCs/>
        </w:rPr>
        <w:t>Id.</w:t>
      </w:r>
      <w:r>
        <w:t>, at 580.</w:t>
      </w:r>
    </w:p>
  </w:footnote>
  <w:footnote w:id="37">
    <w:p w14:paraId="46736AA7" w14:textId="77777777" w:rsidR="00A65A7A" w:rsidRDefault="00A65A7A" w:rsidP="00A65A7A">
      <w:pPr>
        <w:pStyle w:val="FootnoteText"/>
      </w:pPr>
      <w:r>
        <w:rPr>
          <w:rStyle w:val="FootnoteReference"/>
        </w:rPr>
        <w:footnoteRef/>
      </w:r>
      <w:r>
        <w:t xml:space="preserve"> </w:t>
      </w:r>
      <w:r w:rsidRPr="00F63D99">
        <w:t>No. 0701-23-2 (Va. Ct. App., Nov. 12, 2024)</w:t>
      </w:r>
      <w:r>
        <w:t xml:space="preserve">(currently on appeal to the Virginia Supreme Court). </w:t>
      </w:r>
    </w:p>
  </w:footnote>
  <w:footnote w:id="38">
    <w:p w14:paraId="6A08506A" w14:textId="18BC733E" w:rsidR="00C565F2" w:rsidRDefault="00C565F2">
      <w:pPr>
        <w:pStyle w:val="FootnoteText"/>
      </w:pPr>
      <w:r>
        <w:rPr>
          <w:rStyle w:val="FootnoteReference"/>
        </w:rPr>
        <w:footnoteRef/>
      </w:r>
      <w:r>
        <w:t xml:space="preserve"> For example, IRC § 951A imposes tax on global intangible low-taxed income of corporations with a partial credit for foreign taxes paid.</w:t>
      </w:r>
    </w:p>
  </w:footnote>
  <w:footnote w:id="39">
    <w:p w14:paraId="2306042F" w14:textId="02EA1BB2" w:rsidR="00C90A4E" w:rsidRDefault="00C90A4E">
      <w:pPr>
        <w:pStyle w:val="FootnoteText"/>
      </w:pPr>
      <w:r>
        <w:rPr>
          <w:rStyle w:val="FootnoteReference"/>
        </w:rPr>
        <w:footnoteRef/>
      </w:r>
      <w:r>
        <w:t xml:space="preserve"> But note that certain types of overhead expenses are generally apportioned based on the sourcing of items of income. See </w:t>
      </w:r>
      <w:r w:rsidR="00F87B68">
        <w:t>for example</w:t>
      </w:r>
      <w:r w:rsidR="00F87B68" w:rsidRPr="00F87B68">
        <w:t xml:space="preserve"> Reg. §1.861-8(a)(2)</w:t>
      </w:r>
      <w:r w:rsidR="00F87B68">
        <w:t xml:space="preserve"> (general rule); </w:t>
      </w:r>
      <w:r w:rsidR="00F87B68" w:rsidRPr="00F87B68">
        <w:t>Reg. §1.861-8 or §1.861-10T</w:t>
      </w:r>
      <w:r w:rsidR="00F87B68">
        <w:t xml:space="preserve"> (certain interest expense); and </w:t>
      </w:r>
      <w:r w:rsidR="00F87B68" w:rsidRPr="00F87B68">
        <w:t>Reg. §1.861-8T(c)(1)</w:t>
      </w:r>
      <w:r w:rsidR="00F87B68">
        <w:t xml:space="preserve"> (certain rental expense).</w:t>
      </w:r>
    </w:p>
  </w:footnote>
  <w:footnote w:id="40">
    <w:p w14:paraId="4A1ACFC2" w14:textId="27874D9A" w:rsidR="003771BC" w:rsidRDefault="003771BC">
      <w:pPr>
        <w:pStyle w:val="FootnoteText"/>
      </w:pPr>
      <w:r>
        <w:rPr>
          <w:rStyle w:val="FootnoteReference"/>
        </w:rPr>
        <w:footnoteRef/>
      </w:r>
      <w:r>
        <w:t xml:space="preserve"> See also Hellerstein, supra fn. 4, ¶ 20.08[2][a][ii].</w:t>
      </w:r>
    </w:p>
  </w:footnote>
  <w:footnote w:id="41">
    <w:p w14:paraId="0FFB1C67" w14:textId="76D68BAD" w:rsidR="00B54CE0" w:rsidRDefault="00B54CE0">
      <w:pPr>
        <w:pStyle w:val="FootnoteText"/>
      </w:pPr>
      <w:r>
        <w:rPr>
          <w:rStyle w:val="FootnoteReference"/>
        </w:rPr>
        <w:footnoteRef/>
      </w:r>
      <w:r>
        <w:t xml:space="preserve"> See the Project Issue Outline which summarizes various cases on this issue, available here: </w:t>
      </w:r>
      <w:hyperlink r:id="rId8" w:history="1">
        <w:r w:rsidRPr="005A33CE">
          <w:rPr>
            <w:rStyle w:val="Hyperlink"/>
          </w:rPr>
          <w:t>https://www.mtc.gov/uniformity/project-on-state-taxation-of-partnerships/</w:t>
        </w:r>
      </w:hyperlink>
      <w:r>
        <w:t xml:space="preserve">. </w:t>
      </w:r>
    </w:p>
  </w:footnote>
  <w:footnote w:id="42">
    <w:p w14:paraId="581F7994" w14:textId="279A4EA9" w:rsidR="00310FB9" w:rsidRDefault="00310FB9">
      <w:pPr>
        <w:pStyle w:val="FootnoteText"/>
      </w:pPr>
      <w:r>
        <w:rPr>
          <w:rStyle w:val="FootnoteReference"/>
        </w:rPr>
        <w:footnoteRef/>
      </w:r>
      <w:r>
        <w:t xml:space="preserve"> See Hellerstein supra fn. 4, </w:t>
      </w:r>
      <w:r w:rsidR="00A72F38" w:rsidRPr="00A72F38">
        <w:t>¶20.08</w:t>
      </w:r>
      <w:r w:rsidR="00A72F38">
        <w:t xml:space="preserve">. </w:t>
      </w:r>
    </w:p>
  </w:footnote>
  <w:footnote w:id="43">
    <w:p w14:paraId="715DC526" w14:textId="1A2C9F16" w:rsidR="00CE7CBE" w:rsidRDefault="00CE7CBE">
      <w:pPr>
        <w:pStyle w:val="FootnoteText"/>
      </w:pPr>
      <w:r>
        <w:rPr>
          <w:rStyle w:val="FootnoteReference"/>
        </w:rPr>
        <w:footnoteRef/>
      </w:r>
      <w:r>
        <w:t xml:space="preserve"> See the MTC Model Statute for Combined Reporting – Joyce Method, here: </w:t>
      </w:r>
      <w:hyperlink r:id="rId9" w:history="1">
        <w:r w:rsidRPr="00CE7CBE">
          <w:rPr>
            <w:rStyle w:val="Hyperlink"/>
          </w:rPr>
          <w:t>MTC Joyce Model</w:t>
        </w:r>
      </w:hyperlink>
      <w:r>
        <w:t xml:space="preserve">. </w:t>
      </w:r>
    </w:p>
  </w:footnote>
  <w:footnote w:id="44">
    <w:p w14:paraId="26B714C4" w14:textId="3CDFBCC6" w:rsidR="006D0936" w:rsidRDefault="006D0936">
      <w:pPr>
        <w:pStyle w:val="FootnoteText"/>
      </w:pPr>
      <w:r>
        <w:rPr>
          <w:rStyle w:val="FootnoteReference"/>
        </w:rPr>
        <w:footnoteRef/>
      </w:r>
      <w:r>
        <w:t xml:space="preserve"> See the MTC Model Statute for Combined Reporting – Finnigan Method, here: </w:t>
      </w:r>
      <w:hyperlink r:id="rId10" w:history="1">
        <w:r w:rsidRPr="006D0936">
          <w:rPr>
            <w:rStyle w:val="Hyperlink"/>
          </w:rPr>
          <w:t>MTC Finnigan Model</w:t>
        </w:r>
      </w:hyperlink>
      <w:r>
        <w:t xml:space="preserve">. </w:t>
      </w:r>
    </w:p>
  </w:footnote>
  <w:footnote w:id="45">
    <w:p w14:paraId="026DE688" w14:textId="2CA2B4F7" w:rsidR="00C7211A" w:rsidRDefault="00C7211A">
      <w:pPr>
        <w:pStyle w:val="FootnoteText"/>
      </w:pPr>
      <w:r>
        <w:rPr>
          <w:rStyle w:val="FootnoteReference"/>
        </w:rPr>
        <w:footnoteRef/>
      </w:r>
      <w:r>
        <w:t xml:space="preserve"> The treatment of IRC §§ 707(a) and 707(c) transfers is also addressed in the MTC white paper on the sourcing and state tax treatment of guaranteed payments for services, available on the MTC project webpage, here: </w:t>
      </w:r>
      <w:hyperlink r:id="rId11" w:history="1">
        <w:r w:rsidRPr="00B86717">
          <w:rPr>
            <w:rStyle w:val="Hyperlink"/>
          </w:rPr>
          <w:t>MTC Guaranteed Payment White Paper</w:t>
        </w:r>
      </w:hyperlink>
      <w:r>
        <w:t xml:space="preserve">. </w:t>
      </w:r>
    </w:p>
  </w:footnote>
  <w:footnote w:id="46">
    <w:p w14:paraId="2F6C8106" w14:textId="11FD1F92" w:rsidR="006A0418" w:rsidRDefault="006A0418">
      <w:pPr>
        <w:pStyle w:val="FootnoteText"/>
      </w:pPr>
      <w:r>
        <w:rPr>
          <w:rStyle w:val="FootnoteReference"/>
        </w:rPr>
        <w:footnoteRef/>
      </w:r>
      <w:r>
        <w:t xml:space="preserve"> Hellerstein, supra fn. 4, ¶8.07.</w:t>
      </w:r>
    </w:p>
  </w:footnote>
  <w:footnote w:id="47">
    <w:p w14:paraId="1A0753A1" w14:textId="0AE6864C" w:rsidR="00F679FE" w:rsidRDefault="00F679FE">
      <w:pPr>
        <w:pStyle w:val="FootnoteText"/>
      </w:pPr>
      <w:r>
        <w:rPr>
          <w:rStyle w:val="FootnoteReference"/>
        </w:rPr>
        <w:footnoteRef/>
      </w:r>
      <w:r>
        <w:t xml:space="preserve"> But see Y</w:t>
      </w:r>
      <w:r w:rsidRPr="00F679FE">
        <w:t>AM Special Holdings, Inc. v. Commissioner, No. 9122-R, 2019 BL 446234, 2019 WL 6213168 (Minn. Tax Ct. Nov. 12, 2019)</w:t>
      </w:r>
      <w:r>
        <w:t xml:space="preserve">(upheld by the state supreme court, </w:t>
      </w:r>
      <w:r w:rsidRPr="00F679FE">
        <w:t>947 N.W.2d 438 (Minn. 2020)</w:t>
      </w:r>
      <w:r>
        <w:t>) upholding the application of the principle.</w:t>
      </w:r>
    </w:p>
  </w:footnote>
  <w:footnote w:id="48">
    <w:p w14:paraId="507E695C" w14:textId="73DB167C" w:rsidR="009B57D8" w:rsidRDefault="009B57D8">
      <w:pPr>
        <w:pStyle w:val="FootnoteText"/>
      </w:pPr>
      <w:r>
        <w:rPr>
          <w:rStyle w:val="FootnoteReference"/>
        </w:rPr>
        <w:footnoteRef/>
      </w:r>
      <w:r>
        <w:t xml:space="preserve"> </w:t>
      </w:r>
      <w:r w:rsidRPr="009B57D8">
        <w:t>463 U.S. 159, 170 (1983)</w:t>
      </w:r>
      <w:r>
        <w:t>.</w:t>
      </w:r>
    </w:p>
  </w:footnote>
  <w:footnote w:id="49">
    <w:p w14:paraId="477AD9FB" w14:textId="3F18CECC" w:rsidR="008853D1" w:rsidRDefault="008853D1">
      <w:pPr>
        <w:pStyle w:val="FootnoteText"/>
      </w:pPr>
      <w:r>
        <w:rPr>
          <w:rStyle w:val="FootnoteReference"/>
        </w:rPr>
        <w:footnoteRef/>
      </w:r>
      <w:r>
        <w:t xml:space="preserve"> As the summary in Section III notes, those states include </w:t>
      </w:r>
      <w:r w:rsidRPr="008853D1">
        <w:t>Connecticut, Kansas, Louisiana, Maine, Missouri, New York, Rhode Island, Virginia, West Virginia, and Wisconsi</w:t>
      </w:r>
      <w:r>
        <w:t xml:space="preserve">n. </w:t>
      </w:r>
    </w:p>
  </w:footnote>
  <w:footnote w:id="50">
    <w:p w14:paraId="34C7D535" w14:textId="77777777" w:rsidR="007F19FE" w:rsidRDefault="007F19FE" w:rsidP="007F19FE">
      <w:pPr>
        <w:pStyle w:val="FootnoteText"/>
      </w:pPr>
      <w:r>
        <w:rPr>
          <w:rStyle w:val="FootnoteReference"/>
        </w:rPr>
        <w:footnoteRef/>
      </w:r>
      <w:r>
        <w:t xml:space="preserve"> See, for example, Oregon Administrative Code, 2020, OAR S</w:t>
      </w:r>
      <w:r w:rsidRPr="0076370D">
        <w:t>ection 150-314-0475</w:t>
      </w:r>
      <w:r>
        <w:t>,</w:t>
      </w:r>
      <w:r w:rsidRPr="0076370D">
        <w:t xml:space="preserve"> Consistent Treatment of Partnership Items</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0D4E"/>
    <w:multiLevelType w:val="hybridMultilevel"/>
    <w:tmpl w:val="47C60564"/>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0322D91"/>
    <w:multiLevelType w:val="hybridMultilevel"/>
    <w:tmpl w:val="C93EE45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CC590E"/>
    <w:multiLevelType w:val="hybridMultilevel"/>
    <w:tmpl w:val="F68C1360"/>
    <w:lvl w:ilvl="0" w:tplc="14C8AA76">
      <w:start w:val="4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E6578F"/>
    <w:multiLevelType w:val="hybridMultilevel"/>
    <w:tmpl w:val="D3061BE0"/>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0B">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775DB4"/>
    <w:multiLevelType w:val="hybridMultilevel"/>
    <w:tmpl w:val="554A7DE4"/>
    <w:lvl w:ilvl="0" w:tplc="FFFFFFFF">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AB449E0"/>
    <w:multiLevelType w:val="hybridMultilevel"/>
    <w:tmpl w:val="C436FC2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AC83EA2"/>
    <w:multiLevelType w:val="hybridMultilevel"/>
    <w:tmpl w:val="BA36527A"/>
    <w:lvl w:ilvl="0" w:tplc="0409000B">
      <w:start w:val="1"/>
      <w:numFmt w:val="bullet"/>
      <w:lvlText w:val=""/>
      <w:lvlJc w:val="left"/>
      <w:pPr>
        <w:ind w:left="-864" w:hanging="360"/>
      </w:pPr>
      <w:rPr>
        <w:rFonts w:ascii="Wingdings" w:hAnsi="Wingdings" w:hint="default"/>
      </w:rPr>
    </w:lvl>
    <w:lvl w:ilvl="1" w:tplc="04090003">
      <w:start w:val="1"/>
      <w:numFmt w:val="bullet"/>
      <w:lvlText w:val="o"/>
      <w:lvlJc w:val="left"/>
      <w:pPr>
        <w:ind w:left="-144" w:hanging="360"/>
      </w:pPr>
      <w:rPr>
        <w:rFonts w:ascii="Courier New" w:hAnsi="Courier New" w:cs="Courier New" w:hint="default"/>
      </w:rPr>
    </w:lvl>
    <w:lvl w:ilvl="2" w:tplc="04090005">
      <w:start w:val="1"/>
      <w:numFmt w:val="bullet"/>
      <w:lvlText w:val=""/>
      <w:lvlJc w:val="left"/>
      <w:pPr>
        <w:ind w:left="576" w:hanging="360"/>
      </w:pPr>
      <w:rPr>
        <w:rFonts w:ascii="Wingdings" w:hAnsi="Wingdings" w:hint="default"/>
      </w:rPr>
    </w:lvl>
    <w:lvl w:ilvl="3" w:tplc="04090001" w:tentative="1">
      <w:start w:val="1"/>
      <w:numFmt w:val="bullet"/>
      <w:lvlText w:val=""/>
      <w:lvlJc w:val="left"/>
      <w:pPr>
        <w:ind w:left="1296" w:hanging="360"/>
      </w:pPr>
      <w:rPr>
        <w:rFonts w:ascii="Symbol" w:hAnsi="Symbol" w:hint="default"/>
      </w:rPr>
    </w:lvl>
    <w:lvl w:ilvl="4" w:tplc="04090003" w:tentative="1">
      <w:start w:val="1"/>
      <w:numFmt w:val="bullet"/>
      <w:lvlText w:val="o"/>
      <w:lvlJc w:val="left"/>
      <w:pPr>
        <w:ind w:left="2016" w:hanging="360"/>
      </w:pPr>
      <w:rPr>
        <w:rFonts w:ascii="Courier New" w:hAnsi="Courier New" w:cs="Courier New" w:hint="default"/>
      </w:rPr>
    </w:lvl>
    <w:lvl w:ilvl="5" w:tplc="04090005" w:tentative="1">
      <w:start w:val="1"/>
      <w:numFmt w:val="bullet"/>
      <w:lvlText w:val=""/>
      <w:lvlJc w:val="left"/>
      <w:pPr>
        <w:ind w:left="2736" w:hanging="360"/>
      </w:pPr>
      <w:rPr>
        <w:rFonts w:ascii="Wingdings" w:hAnsi="Wingdings" w:hint="default"/>
      </w:rPr>
    </w:lvl>
    <w:lvl w:ilvl="6" w:tplc="04090001" w:tentative="1">
      <w:start w:val="1"/>
      <w:numFmt w:val="bullet"/>
      <w:lvlText w:val=""/>
      <w:lvlJc w:val="left"/>
      <w:pPr>
        <w:ind w:left="3456" w:hanging="360"/>
      </w:pPr>
      <w:rPr>
        <w:rFonts w:ascii="Symbol" w:hAnsi="Symbol" w:hint="default"/>
      </w:rPr>
    </w:lvl>
    <w:lvl w:ilvl="7" w:tplc="04090003" w:tentative="1">
      <w:start w:val="1"/>
      <w:numFmt w:val="bullet"/>
      <w:lvlText w:val="o"/>
      <w:lvlJc w:val="left"/>
      <w:pPr>
        <w:ind w:left="4176" w:hanging="360"/>
      </w:pPr>
      <w:rPr>
        <w:rFonts w:ascii="Courier New" w:hAnsi="Courier New" w:cs="Courier New" w:hint="default"/>
      </w:rPr>
    </w:lvl>
    <w:lvl w:ilvl="8" w:tplc="04090005" w:tentative="1">
      <w:start w:val="1"/>
      <w:numFmt w:val="bullet"/>
      <w:lvlText w:val=""/>
      <w:lvlJc w:val="left"/>
      <w:pPr>
        <w:ind w:left="4896" w:hanging="360"/>
      </w:pPr>
      <w:rPr>
        <w:rFonts w:ascii="Wingdings" w:hAnsi="Wingdings" w:hint="default"/>
      </w:rPr>
    </w:lvl>
  </w:abstractNum>
  <w:abstractNum w:abstractNumId="7" w15:restartNumberingAfterBreak="0">
    <w:nsid w:val="10651A8E"/>
    <w:multiLevelType w:val="hybridMultilevel"/>
    <w:tmpl w:val="526ECBE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3E331C"/>
    <w:multiLevelType w:val="multilevel"/>
    <w:tmpl w:val="B790A890"/>
    <w:styleLink w:val="Style1"/>
    <w:lvl w:ilvl="0">
      <w:start w:val="1"/>
      <w:numFmt w:val="bullet"/>
      <w:lvlText w:val=""/>
      <w:lvlJc w:val="left"/>
      <w:pPr>
        <w:ind w:left="432"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3F0080"/>
    <w:multiLevelType w:val="hybridMultilevel"/>
    <w:tmpl w:val="A38A5B78"/>
    <w:lvl w:ilvl="0" w:tplc="0409000B">
      <w:start w:val="1"/>
      <w:numFmt w:val="bullet"/>
      <w:lvlText w:val=""/>
      <w:lvlJc w:val="left"/>
      <w:pPr>
        <w:ind w:left="1526" w:hanging="360"/>
      </w:pPr>
      <w:rPr>
        <w:rFonts w:ascii="Wingdings" w:hAnsi="Wingdings"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10" w15:restartNumberingAfterBreak="0">
    <w:nsid w:val="16306C2D"/>
    <w:multiLevelType w:val="hybridMultilevel"/>
    <w:tmpl w:val="EB6AC2B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332F1E"/>
    <w:multiLevelType w:val="hybridMultilevel"/>
    <w:tmpl w:val="4F6EC75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7B2333E"/>
    <w:multiLevelType w:val="hybridMultilevel"/>
    <w:tmpl w:val="84565144"/>
    <w:lvl w:ilvl="0" w:tplc="9E9C3C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8646DA6"/>
    <w:multiLevelType w:val="hybridMultilevel"/>
    <w:tmpl w:val="C41A9EC0"/>
    <w:lvl w:ilvl="0" w:tplc="FFFFFFFF">
      <w:start w:val="1"/>
      <w:numFmt w:val="decimal"/>
      <w:lvlText w:val="%1."/>
      <w:lvlJc w:val="left"/>
      <w:pPr>
        <w:ind w:left="720" w:hanging="360"/>
      </w:pPr>
      <w:rPr>
        <w:rFonts w:hint="default"/>
      </w:rPr>
    </w:lvl>
    <w:lvl w:ilvl="1" w:tplc="FFFFFFFF">
      <w:start w:val="1"/>
      <w:numFmt w:val="decimal"/>
      <w:lvlText w:val="%2."/>
      <w:lvlJc w:val="left"/>
      <w:pPr>
        <w:ind w:left="108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C2A2B8D"/>
    <w:multiLevelType w:val="hybridMultilevel"/>
    <w:tmpl w:val="85660CAA"/>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1C9E0686"/>
    <w:multiLevelType w:val="hybridMultilevel"/>
    <w:tmpl w:val="4534685E"/>
    <w:lvl w:ilvl="0" w:tplc="343A1150">
      <w:start w:val="1"/>
      <w:numFmt w:val="bullet"/>
      <w:lvlText w:val=""/>
      <w:lvlJc w:val="left"/>
      <w:pPr>
        <w:ind w:left="1228" w:hanging="360"/>
      </w:pPr>
      <w:rPr>
        <w:rFonts w:ascii="Symbol" w:hAnsi="Symbol" w:hint="default"/>
        <w:color w:val="auto"/>
      </w:rPr>
    </w:lvl>
    <w:lvl w:ilvl="1" w:tplc="04090003">
      <w:start w:val="1"/>
      <w:numFmt w:val="bullet"/>
      <w:lvlText w:val="o"/>
      <w:lvlJc w:val="left"/>
      <w:pPr>
        <w:ind w:left="1948" w:hanging="360"/>
      </w:pPr>
      <w:rPr>
        <w:rFonts w:ascii="Courier New" w:hAnsi="Courier New" w:cs="Courier New" w:hint="default"/>
      </w:rPr>
    </w:lvl>
    <w:lvl w:ilvl="2" w:tplc="04090005">
      <w:start w:val="1"/>
      <w:numFmt w:val="bullet"/>
      <w:lvlText w:val=""/>
      <w:lvlJc w:val="left"/>
      <w:pPr>
        <w:ind w:left="2668" w:hanging="360"/>
      </w:pPr>
      <w:rPr>
        <w:rFonts w:ascii="Wingdings" w:hAnsi="Wingdings" w:hint="default"/>
      </w:rPr>
    </w:lvl>
    <w:lvl w:ilvl="3" w:tplc="04090001">
      <w:start w:val="1"/>
      <w:numFmt w:val="bullet"/>
      <w:lvlText w:val=""/>
      <w:lvlJc w:val="left"/>
      <w:pPr>
        <w:ind w:left="3388" w:hanging="360"/>
      </w:pPr>
      <w:rPr>
        <w:rFonts w:ascii="Symbol" w:hAnsi="Symbol" w:hint="default"/>
      </w:rPr>
    </w:lvl>
    <w:lvl w:ilvl="4" w:tplc="04090003">
      <w:start w:val="1"/>
      <w:numFmt w:val="bullet"/>
      <w:lvlText w:val="o"/>
      <w:lvlJc w:val="left"/>
      <w:pPr>
        <w:ind w:left="4108" w:hanging="360"/>
      </w:pPr>
      <w:rPr>
        <w:rFonts w:ascii="Courier New" w:hAnsi="Courier New" w:cs="Courier New" w:hint="default"/>
      </w:rPr>
    </w:lvl>
    <w:lvl w:ilvl="5" w:tplc="04090005">
      <w:start w:val="1"/>
      <w:numFmt w:val="bullet"/>
      <w:lvlText w:val=""/>
      <w:lvlJc w:val="left"/>
      <w:pPr>
        <w:ind w:left="4828" w:hanging="360"/>
      </w:pPr>
      <w:rPr>
        <w:rFonts w:ascii="Wingdings" w:hAnsi="Wingdings" w:hint="default"/>
      </w:rPr>
    </w:lvl>
    <w:lvl w:ilvl="6" w:tplc="04090001">
      <w:start w:val="1"/>
      <w:numFmt w:val="bullet"/>
      <w:lvlText w:val=""/>
      <w:lvlJc w:val="left"/>
      <w:pPr>
        <w:ind w:left="5548" w:hanging="360"/>
      </w:pPr>
      <w:rPr>
        <w:rFonts w:ascii="Symbol" w:hAnsi="Symbol" w:hint="default"/>
      </w:rPr>
    </w:lvl>
    <w:lvl w:ilvl="7" w:tplc="04090003">
      <w:start w:val="1"/>
      <w:numFmt w:val="bullet"/>
      <w:lvlText w:val="o"/>
      <w:lvlJc w:val="left"/>
      <w:pPr>
        <w:ind w:left="6268" w:hanging="360"/>
      </w:pPr>
      <w:rPr>
        <w:rFonts w:ascii="Courier New" w:hAnsi="Courier New" w:cs="Courier New" w:hint="default"/>
      </w:rPr>
    </w:lvl>
    <w:lvl w:ilvl="8" w:tplc="04090005">
      <w:start w:val="1"/>
      <w:numFmt w:val="bullet"/>
      <w:lvlText w:val=""/>
      <w:lvlJc w:val="left"/>
      <w:pPr>
        <w:ind w:left="6988" w:hanging="360"/>
      </w:pPr>
      <w:rPr>
        <w:rFonts w:ascii="Wingdings" w:hAnsi="Wingdings" w:hint="default"/>
      </w:rPr>
    </w:lvl>
  </w:abstractNum>
  <w:abstractNum w:abstractNumId="16" w15:restartNumberingAfterBreak="0">
    <w:nsid w:val="1D1D290F"/>
    <w:multiLevelType w:val="hybridMultilevel"/>
    <w:tmpl w:val="AD7296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560E97"/>
    <w:multiLevelType w:val="hybridMultilevel"/>
    <w:tmpl w:val="4F6EC376"/>
    <w:lvl w:ilvl="0" w:tplc="04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24285581"/>
    <w:multiLevelType w:val="hybridMultilevel"/>
    <w:tmpl w:val="73CCD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BD31E2"/>
    <w:multiLevelType w:val="hybridMultilevel"/>
    <w:tmpl w:val="BAC8448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20" w15:restartNumberingAfterBreak="0">
    <w:nsid w:val="25E03FC3"/>
    <w:multiLevelType w:val="hybridMultilevel"/>
    <w:tmpl w:val="73587436"/>
    <w:lvl w:ilvl="0" w:tplc="FFFFFFFF">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7F10372"/>
    <w:multiLevelType w:val="hybridMultilevel"/>
    <w:tmpl w:val="F60E36E6"/>
    <w:lvl w:ilvl="0" w:tplc="BD946B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8242150"/>
    <w:multiLevelType w:val="hybridMultilevel"/>
    <w:tmpl w:val="A52AAB14"/>
    <w:lvl w:ilvl="0" w:tplc="FFFFFFFF">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84052CB"/>
    <w:multiLevelType w:val="hybridMultilevel"/>
    <w:tmpl w:val="6240D0EE"/>
    <w:lvl w:ilvl="0" w:tplc="167264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2C266D1C"/>
    <w:multiLevelType w:val="hybridMultilevel"/>
    <w:tmpl w:val="7822166C"/>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300C02FD"/>
    <w:multiLevelType w:val="hybridMultilevel"/>
    <w:tmpl w:val="BE4269D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0E623E9"/>
    <w:multiLevelType w:val="hybridMultilevel"/>
    <w:tmpl w:val="F5E02B84"/>
    <w:lvl w:ilvl="0" w:tplc="FFFFFFFF">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35A71203"/>
    <w:multiLevelType w:val="hybridMultilevel"/>
    <w:tmpl w:val="3BD24EF6"/>
    <w:lvl w:ilvl="0" w:tplc="EDC89C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386B2C79"/>
    <w:multiLevelType w:val="hybridMultilevel"/>
    <w:tmpl w:val="187A8512"/>
    <w:lvl w:ilvl="0" w:tplc="FFFFFFFF">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CDF6EE9"/>
    <w:multiLevelType w:val="hybridMultilevel"/>
    <w:tmpl w:val="A1782668"/>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F961952"/>
    <w:multiLevelType w:val="hybridMultilevel"/>
    <w:tmpl w:val="FD86C4A4"/>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426F6EBE"/>
    <w:multiLevelType w:val="hybridMultilevel"/>
    <w:tmpl w:val="CDA8646C"/>
    <w:lvl w:ilvl="0" w:tplc="102A7B44">
      <w:start w:val="1"/>
      <w:numFmt w:val="low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49C4E42"/>
    <w:multiLevelType w:val="hybridMultilevel"/>
    <w:tmpl w:val="903CD272"/>
    <w:lvl w:ilvl="0" w:tplc="2EE2D9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458303A0"/>
    <w:multiLevelType w:val="hybridMultilevel"/>
    <w:tmpl w:val="A3AEF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71E1414"/>
    <w:multiLevelType w:val="hybridMultilevel"/>
    <w:tmpl w:val="0700C946"/>
    <w:lvl w:ilvl="0" w:tplc="1DCC61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483305C3"/>
    <w:multiLevelType w:val="hybridMultilevel"/>
    <w:tmpl w:val="524207D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8E70960"/>
    <w:multiLevelType w:val="hybridMultilevel"/>
    <w:tmpl w:val="0B3A0BE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97D79B0"/>
    <w:multiLevelType w:val="hybridMultilevel"/>
    <w:tmpl w:val="93A83480"/>
    <w:lvl w:ilvl="0" w:tplc="4D4A9F0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4A0D16AF"/>
    <w:multiLevelType w:val="hybridMultilevel"/>
    <w:tmpl w:val="1196E81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A0F5C37"/>
    <w:multiLevelType w:val="hybridMultilevel"/>
    <w:tmpl w:val="277C4C8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4A2F35FA"/>
    <w:multiLevelType w:val="hybridMultilevel"/>
    <w:tmpl w:val="313AC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CBB723D"/>
    <w:multiLevelType w:val="hybridMultilevel"/>
    <w:tmpl w:val="A122213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4D767912"/>
    <w:multiLevelType w:val="hybridMultilevel"/>
    <w:tmpl w:val="D44E65BA"/>
    <w:lvl w:ilvl="0" w:tplc="B8A420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54A74B33"/>
    <w:multiLevelType w:val="hybridMultilevel"/>
    <w:tmpl w:val="D694A4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564907F8"/>
    <w:multiLevelType w:val="hybridMultilevel"/>
    <w:tmpl w:val="C71AC4A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5A4F64A2"/>
    <w:multiLevelType w:val="hybridMultilevel"/>
    <w:tmpl w:val="43D802EC"/>
    <w:lvl w:ilvl="0" w:tplc="88BC36C8">
      <w:start w:val="1"/>
      <w:numFmt w:val="decimal"/>
      <w:lvlText w:val="(%1)"/>
      <w:lvlJc w:val="left"/>
      <w:pPr>
        <w:ind w:left="1800" w:hanging="360"/>
      </w:pPr>
      <w:rPr>
        <w:rFonts w:ascii="Cambria" w:eastAsia="Calibri" w:hAnsi="Cambria"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5C725A26"/>
    <w:multiLevelType w:val="hybridMultilevel"/>
    <w:tmpl w:val="ED2C73B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5FB312F7"/>
    <w:multiLevelType w:val="multilevel"/>
    <w:tmpl w:val="B5E6D65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11410E5"/>
    <w:multiLevelType w:val="hybridMultilevel"/>
    <w:tmpl w:val="8EEC65DE"/>
    <w:lvl w:ilvl="0" w:tplc="CFBCF4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613E539A"/>
    <w:multiLevelType w:val="hybridMultilevel"/>
    <w:tmpl w:val="93F0D9F4"/>
    <w:lvl w:ilvl="0" w:tplc="0409000B">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0" w15:restartNumberingAfterBreak="0">
    <w:nsid w:val="62BE55F8"/>
    <w:multiLevelType w:val="hybridMultilevel"/>
    <w:tmpl w:val="DFA452E6"/>
    <w:lvl w:ilvl="0" w:tplc="04090015">
      <w:start w:val="1"/>
      <w:numFmt w:val="upperLetter"/>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51" w15:restartNumberingAfterBreak="0">
    <w:nsid w:val="648D4BD2"/>
    <w:multiLevelType w:val="hybridMultilevel"/>
    <w:tmpl w:val="5B0E97EC"/>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2" w15:restartNumberingAfterBreak="0">
    <w:nsid w:val="66510037"/>
    <w:multiLevelType w:val="hybridMultilevel"/>
    <w:tmpl w:val="EBBE94EE"/>
    <w:lvl w:ilvl="0" w:tplc="9B082A5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A33CB6"/>
    <w:multiLevelType w:val="hybridMultilevel"/>
    <w:tmpl w:val="BA165D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4" w15:restartNumberingAfterBreak="0">
    <w:nsid w:val="6A742ECE"/>
    <w:multiLevelType w:val="hybridMultilevel"/>
    <w:tmpl w:val="94B8E462"/>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55" w15:restartNumberingAfterBreak="0">
    <w:nsid w:val="6B53302E"/>
    <w:multiLevelType w:val="hybridMultilevel"/>
    <w:tmpl w:val="508A2332"/>
    <w:lvl w:ilvl="0" w:tplc="FFFFFFFF">
      <w:start w:val="1"/>
      <w:numFmt w:val="bullet"/>
      <w:lvlText w:val=""/>
      <w:lvlJc w:val="left"/>
      <w:pPr>
        <w:ind w:left="1800" w:hanging="360"/>
      </w:pPr>
      <w:rPr>
        <w:rFonts w:ascii="Wingdings" w:hAnsi="Wingdings" w:hint="default"/>
      </w:rPr>
    </w:lvl>
    <w:lvl w:ilvl="1" w:tplc="0409000B">
      <w:start w:val="1"/>
      <w:numFmt w:val="bullet"/>
      <w:lvlText w:val=""/>
      <w:lvlJc w:val="left"/>
      <w:pPr>
        <w:ind w:left="2520" w:hanging="360"/>
      </w:pPr>
      <w:rPr>
        <w:rFonts w:ascii="Wingdings" w:hAnsi="Wingdings"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6" w15:restartNumberingAfterBreak="0">
    <w:nsid w:val="6E2006FE"/>
    <w:multiLevelType w:val="hybridMultilevel"/>
    <w:tmpl w:val="B84CF0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5CC6C4F"/>
    <w:multiLevelType w:val="hybridMultilevel"/>
    <w:tmpl w:val="176622FC"/>
    <w:lvl w:ilvl="0" w:tplc="BD1EB8B2">
      <w:start w:val="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7663004B"/>
    <w:multiLevelType w:val="hybridMultilevel"/>
    <w:tmpl w:val="F25E928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67831ED"/>
    <w:multiLevelType w:val="hybridMultilevel"/>
    <w:tmpl w:val="EDDE194E"/>
    <w:lvl w:ilvl="0" w:tplc="B3C62CE0">
      <w:start w:val="1"/>
      <w:numFmt w:val="lowerLetter"/>
      <w:lvlText w:val="(%1)"/>
      <w:lvlJc w:val="left"/>
      <w:pPr>
        <w:ind w:left="2060" w:hanging="360"/>
      </w:pPr>
      <w:rPr>
        <w:rFonts w:hint="default"/>
      </w:rPr>
    </w:lvl>
    <w:lvl w:ilvl="1" w:tplc="04090019" w:tentative="1">
      <w:start w:val="1"/>
      <w:numFmt w:val="lowerLetter"/>
      <w:lvlText w:val="%2."/>
      <w:lvlJc w:val="left"/>
      <w:pPr>
        <w:ind w:left="2780" w:hanging="360"/>
      </w:pPr>
    </w:lvl>
    <w:lvl w:ilvl="2" w:tplc="0409001B" w:tentative="1">
      <w:start w:val="1"/>
      <w:numFmt w:val="lowerRoman"/>
      <w:lvlText w:val="%3."/>
      <w:lvlJc w:val="right"/>
      <w:pPr>
        <w:ind w:left="3500" w:hanging="180"/>
      </w:pPr>
    </w:lvl>
    <w:lvl w:ilvl="3" w:tplc="0409000F" w:tentative="1">
      <w:start w:val="1"/>
      <w:numFmt w:val="decimal"/>
      <w:lvlText w:val="%4."/>
      <w:lvlJc w:val="left"/>
      <w:pPr>
        <w:ind w:left="4220" w:hanging="360"/>
      </w:pPr>
    </w:lvl>
    <w:lvl w:ilvl="4" w:tplc="04090019" w:tentative="1">
      <w:start w:val="1"/>
      <w:numFmt w:val="lowerLetter"/>
      <w:lvlText w:val="%5."/>
      <w:lvlJc w:val="left"/>
      <w:pPr>
        <w:ind w:left="4940" w:hanging="360"/>
      </w:pPr>
    </w:lvl>
    <w:lvl w:ilvl="5" w:tplc="0409001B" w:tentative="1">
      <w:start w:val="1"/>
      <w:numFmt w:val="lowerRoman"/>
      <w:lvlText w:val="%6."/>
      <w:lvlJc w:val="right"/>
      <w:pPr>
        <w:ind w:left="5660" w:hanging="180"/>
      </w:pPr>
    </w:lvl>
    <w:lvl w:ilvl="6" w:tplc="0409000F" w:tentative="1">
      <w:start w:val="1"/>
      <w:numFmt w:val="decimal"/>
      <w:lvlText w:val="%7."/>
      <w:lvlJc w:val="left"/>
      <w:pPr>
        <w:ind w:left="6380" w:hanging="360"/>
      </w:pPr>
    </w:lvl>
    <w:lvl w:ilvl="7" w:tplc="04090019" w:tentative="1">
      <w:start w:val="1"/>
      <w:numFmt w:val="lowerLetter"/>
      <w:lvlText w:val="%8."/>
      <w:lvlJc w:val="left"/>
      <w:pPr>
        <w:ind w:left="7100" w:hanging="360"/>
      </w:pPr>
    </w:lvl>
    <w:lvl w:ilvl="8" w:tplc="0409001B" w:tentative="1">
      <w:start w:val="1"/>
      <w:numFmt w:val="lowerRoman"/>
      <w:lvlText w:val="%9."/>
      <w:lvlJc w:val="right"/>
      <w:pPr>
        <w:ind w:left="7820" w:hanging="180"/>
      </w:pPr>
    </w:lvl>
  </w:abstractNum>
  <w:abstractNum w:abstractNumId="60" w15:restartNumberingAfterBreak="0">
    <w:nsid w:val="77537713"/>
    <w:multiLevelType w:val="hybridMultilevel"/>
    <w:tmpl w:val="5378935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779904EF"/>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2" w15:restartNumberingAfterBreak="0">
    <w:nsid w:val="795465AE"/>
    <w:multiLevelType w:val="hybridMultilevel"/>
    <w:tmpl w:val="B3E29176"/>
    <w:lvl w:ilvl="0" w:tplc="F060447C">
      <w:start w:val="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7AB4113D"/>
    <w:multiLevelType w:val="hybridMultilevel"/>
    <w:tmpl w:val="9E78039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DAF7480"/>
    <w:multiLevelType w:val="multilevel"/>
    <w:tmpl w:val="2834C84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720" w:hanging="360"/>
      </w:pPr>
    </w:lvl>
    <w:lvl w:ilvl="3">
      <w:start w:val="1"/>
      <w:numFmt w:val="decimal"/>
      <w:lvlText w:val="%4."/>
      <w:lvlJc w:val="left"/>
      <w:pPr>
        <w:ind w:left="72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7E931937"/>
    <w:multiLevelType w:val="hybridMultilevel"/>
    <w:tmpl w:val="F6466206"/>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FB51E11"/>
    <w:multiLevelType w:val="hybridMultilevel"/>
    <w:tmpl w:val="0BB4722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91860697">
    <w:abstractNumId w:val="52"/>
  </w:num>
  <w:num w:numId="2" w16cid:durableId="1849641117">
    <w:abstractNumId w:val="8"/>
  </w:num>
  <w:num w:numId="3" w16cid:durableId="1458837325">
    <w:abstractNumId w:val="60"/>
  </w:num>
  <w:num w:numId="4" w16cid:durableId="833495068">
    <w:abstractNumId w:val="11"/>
  </w:num>
  <w:num w:numId="5" w16cid:durableId="517231557">
    <w:abstractNumId w:val="46"/>
  </w:num>
  <w:num w:numId="6" w16cid:durableId="1285771579">
    <w:abstractNumId w:val="6"/>
  </w:num>
  <w:num w:numId="7" w16cid:durableId="616183594">
    <w:abstractNumId w:val="10"/>
  </w:num>
  <w:num w:numId="8" w16cid:durableId="866455624">
    <w:abstractNumId w:val="36"/>
  </w:num>
  <w:num w:numId="9" w16cid:durableId="1398825289">
    <w:abstractNumId w:val="1"/>
  </w:num>
  <w:num w:numId="10" w16cid:durableId="1802379110">
    <w:abstractNumId w:val="18"/>
  </w:num>
  <w:num w:numId="11" w16cid:durableId="2039624785">
    <w:abstractNumId w:val="33"/>
  </w:num>
  <w:num w:numId="12" w16cid:durableId="27872888">
    <w:abstractNumId w:val="7"/>
  </w:num>
  <w:num w:numId="13" w16cid:durableId="504638448">
    <w:abstractNumId w:val="24"/>
  </w:num>
  <w:num w:numId="14" w16cid:durableId="1801260629">
    <w:abstractNumId w:val="28"/>
  </w:num>
  <w:num w:numId="15" w16cid:durableId="998339279">
    <w:abstractNumId w:val="22"/>
  </w:num>
  <w:num w:numId="16" w16cid:durableId="1256286252">
    <w:abstractNumId w:val="20"/>
  </w:num>
  <w:num w:numId="17" w16cid:durableId="366295317">
    <w:abstractNumId w:val="0"/>
  </w:num>
  <w:num w:numId="18" w16cid:durableId="344484342">
    <w:abstractNumId w:val="49"/>
  </w:num>
  <w:num w:numId="19" w16cid:durableId="925572380">
    <w:abstractNumId w:val="13"/>
  </w:num>
  <w:num w:numId="20" w16cid:durableId="1127816770">
    <w:abstractNumId w:val="34"/>
  </w:num>
  <w:num w:numId="21" w16cid:durableId="961419198">
    <w:abstractNumId w:val="45"/>
  </w:num>
  <w:num w:numId="22" w16cid:durableId="178935710">
    <w:abstractNumId w:val="2"/>
  </w:num>
  <w:num w:numId="23" w16cid:durableId="630985520">
    <w:abstractNumId w:val="59"/>
  </w:num>
  <w:num w:numId="24" w16cid:durableId="704986074">
    <w:abstractNumId w:val="48"/>
  </w:num>
  <w:num w:numId="25" w16cid:durableId="26566075">
    <w:abstractNumId w:val="23"/>
  </w:num>
  <w:num w:numId="26" w16cid:durableId="1567258844">
    <w:abstractNumId w:val="12"/>
  </w:num>
  <w:num w:numId="27" w16cid:durableId="600072087">
    <w:abstractNumId w:val="57"/>
  </w:num>
  <w:num w:numId="28" w16cid:durableId="1449591553">
    <w:abstractNumId w:val="42"/>
  </w:num>
  <w:num w:numId="29" w16cid:durableId="1235357627">
    <w:abstractNumId w:val="31"/>
  </w:num>
  <w:num w:numId="30" w16cid:durableId="1694919222">
    <w:abstractNumId w:val="27"/>
  </w:num>
  <w:num w:numId="31" w16cid:durableId="2010281247">
    <w:abstractNumId w:val="53"/>
  </w:num>
  <w:num w:numId="32" w16cid:durableId="105806763">
    <w:abstractNumId w:val="37"/>
  </w:num>
  <w:num w:numId="33" w16cid:durableId="2000770785">
    <w:abstractNumId w:val="15"/>
  </w:num>
  <w:num w:numId="34" w16cid:durableId="546380070">
    <w:abstractNumId w:val="54"/>
  </w:num>
  <w:num w:numId="35" w16cid:durableId="131105312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26020803">
    <w:abstractNumId w:val="19"/>
  </w:num>
  <w:num w:numId="37" w16cid:durableId="1195580334">
    <w:abstractNumId w:val="32"/>
  </w:num>
  <w:num w:numId="38" w16cid:durableId="2057318">
    <w:abstractNumId w:val="62"/>
  </w:num>
  <w:num w:numId="39" w16cid:durableId="1862935229">
    <w:abstractNumId w:val="21"/>
  </w:num>
  <w:num w:numId="40" w16cid:durableId="1540244096">
    <w:abstractNumId w:val="26"/>
  </w:num>
  <w:num w:numId="41" w16cid:durableId="281347680">
    <w:abstractNumId w:val="63"/>
  </w:num>
  <w:num w:numId="42" w16cid:durableId="603342103">
    <w:abstractNumId w:val="39"/>
  </w:num>
  <w:num w:numId="43" w16cid:durableId="1397821896">
    <w:abstractNumId w:val="35"/>
  </w:num>
  <w:num w:numId="44" w16cid:durableId="874348332">
    <w:abstractNumId w:val="5"/>
  </w:num>
  <w:num w:numId="45" w16cid:durableId="676686947">
    <w:abstractNumId w:val="47"/>
  </w:num>
  <w:num w:numId="46" w16cid:durableId="846553616">
    <w:abstractNumId w:val="38"/>
  </w:num>
  <w:num w:numId="47" w16cid:durableId="1644891546">
    <w:abstractNumId w:val="64"/>
  </w:num>
  <w:num w:numId="48" w16cid:durableId="1549150275">
    <w:abstractNumId w:val="30"/>
  </w:num>
  <w:num w:numId="49" w16cid:durableId="417214707">
    <w:abstractNumId w:val="55"/>
  </w:num>
  <w:num w:numId="50" w16cid:durableId="1960065118">
    <w:abstractNumId w:val="51"/>
  </w:num>
  <w:num w:numId="51" w16cid:durableId="1942109342">
    <w:abstractNumId w:val="14"/>
  </w:num>
  <w:num w:numId="52" w16cid:durableId="1583830327">
    <w:abstractNumId w:val="43"/>
  </w:num>
  <w:num w:numId="53" w16cid:durableId="1834173904">
    <w:abstractNumId w:val="65"/>
  </w:num>
  <w:num w:numId="54" w16cid:durableId="1711539149">
    <w:abstractNumId w:val="3"/>
  </w:num>
  <w:num w:numId="55" w16cid:durableId="1918436977">
    <w:abstractNumId w:val="29"/>
  </w:num>
  <w:num w:numId="56" w16cid:durableId="1711344238">
    <w:abstractNumId w:val="41"/>
  </w:num>
  <w:num w:numId="57" w16cid:durableId="1502240133">
    <w:abstractNumId w:val="66"/>
  </w:num>
  <w:num w:numId="58" w16cid:durableId="970474074">
    <w:abstractNumId w:val="40"/>
  </w:num>
  <w:num w:numId="59" w16cid:durableId="400567039">
    <w:abstractNumId w:val="4"/>
  </w:num>
  <w:num w:numId="60" w16cid:durableId="1856651367">
    <w:abstractNumId w:val="56"/>
  </w:num>
  <w:num w:numId="61" w16cid:durableId="1665546954">
    <w:abstractNumId w:val="17"/>
  </w:num>
  <w:num w:numId="62" w16cid:durableId="103624050">
    <w:abstractNumId w:val="16"/>
  </w:num>
  <w:num w:numId="63" w16cid:durableId="671027860">
    <w:abstractNumId w:val="58"/>
  </w:num>
  <w:num w:numId="64" w16cid:durableId="748230682">
    <w:abstractNumId w:val="44"/>
  </w:num>
  <w:num w:numId="65" w16cid:durableId="1507935253">
    <w:abstractNumId w:val="9"/>
  </w:num>
  <w:num w:numId="66" w16cid:durableId="1770392822">
    <w:abstractNumId w:val="61"/>
  </w:num>
  <w:num w:numId="67" w16cid:durableId="146168778">
    <w:abstractNumId w:val="25"/>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nnifer A. Stosberg">
    <w15:presenceInfo w15:providerId="AD" w15:userId="S::JAS@mtc.gov::50593362-9b4d-4a2e-b5a3-b02c32750c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autoHyphenation/>
  <w:hyphenationZone w:val="432"/>
  <w:characterSpacingControl w:val="doNotCompress"/>
  <w:hdrShapeDefaults>
    <o:shapedefaults v:ext="edit" spidmax="2050" fillcolor="none [3212]" strokecolor="none [1614]">
      <v:fill color="none [3212]"/>
      <v:stroke color="none [1614]" weight="1.25pt"/>
      <v:textbox inset="14.4pt,36pt,14.4pt,5.76pt"/>
      <o:colormru v:ext="edit" colors="#f1f0ef,#f9f1eb,#edebe7,#f5f4f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55C"/>
    <w:rsid w:val="000000D1"/>
    <w:rsid w:val="00000E15"/>
    <w:rsid w:val="000010D5"/>
    <w:rsid w:val="000013DD"/>
    <w:rsid w:val="00001A51"/>
    <w:rsid w:val="00001CF4"/>
    <w:rsid w:val="000020C2"/>
    <w:rsid w:val="000024B3"/>
    <w:rsid w:val="000027BC"/>
    <w:rsid w:val="00002AB9"/>
    <w:rsid w:val="00003044"/>
    <w:rsid w:val="000043CC"/>
    <w:rsid w:val="0000446D"/>
    <w:rsid w:val="00004FD5"/>
    <w:rsid w:val="00005232"/>
    <w:rsid w:val="0000568C"/>
    <w:rsid w:val="00005AF9"/>
    <w:rsid w:val="00005FE9"/>
    <w:rsid w:val="000062C5"/>
    <w:rsid w:val="00006695"/>
    <w:rsid w:val="00006ABC"/>
    <w:rsid w:val="00006C05"/>
    <w:rsid w:val="00007075"/>
    <w:rsid w:val="000070E0"/>
    <w:rsid w:val="0001069C"/>
    <w:rsid w:val="00010846"/>
    <w:rsid w:val="00010A26"/>
    <w:rsid w:val="00010DB8"/>
    <w:rsid w:val="00011180"/>
    <w:rsid w:val="000113EF"/>
    <w:rsid w:val="00011516"/>
    <w:rsid w:val="000117B6"/>
    <w:rsid w:val="000119D1"/>
    <w:rsid w:val="00011B2A"/>
    <w:rsid w:val="00011C4A"/>
    <w:rsid w:val="00011E07"/>
    <w:rsid w:val="00012158"/>
    <w:rsid w:val="0001290A"/>
    <w:rsid w:val="000129F1"/>
    <w:rsid w:val="00013068"/>
    <w:rsid w:val="000130C6"/>
    <w:rsid w:val="000134CF"/>
    <w:rsid w:val="000143F4"/>
    <w:rsid w:val="00014F49"/>
    <w:rsid w:val="00014FA0"/>
    <w:rsid w:val="0001542B"/>
    <w:rsid w:val="000154DE"/>
    <w:rsid w:val="0001559E"/>
    <w:rsid w:val="00015CA0"/>
    <w:rsid w:val="00015D62"/>
    <w:rsid w:val="00015EAE"/>
    <w:rsid w:val="000163B4"/>
    <w:rsid w:val="00016592"/>
    <w:rsid w:val="000169A8"/>
    <w:rsid w:val="0001715E"/>
    <w:rsid w:val="000179D8"/>
    <w:rsid w:val="00017F62"/>
    <w:rsid w:val="00017F7E"/>
    <w:rsid w:val="0002097E"/>
    <w:rsid w:val="0002099B"/>
    <w:rsid w:val="00020CAB"/>
    <w:rsid w:val="00020CEA"/>
    <w:rsid w:val="000211CB"/>
    <w:rsid w:val="00021538"/>
    <w:rsid w:val="000215BF"/>
    <w:rsid w:val="00021908"/>
    <w:rsid w:val="000220D5"/>
    <w:rsid w:val="0002222D"/>
    <w:rsid w:val="000228EA"/>
    <w:rsid w:val="00022A83"/>
    <w:rsid w:val="0002306C"/>
    <w:rsid w:val="000235BE"/>
    <w:rsid w:val="00023D0C"/>
    <w:rsid w:val="00023F13"/>
    <w:rsid w:val="00023FAA"/>
    <w:rsid w:val="000242F1"/>
    <w:rsid w:val="000245DB"/>
    <w:rsid w:val="0002598C"/>
    <w:rsid w:val="00025F65"/>
    <w:rsid w:val="00026101"/>
    <w:rsid w:val="00026214"/>
    <w:rsid w:val="00026BD4"/>
    <w:rsid w:val="000275CC"/>
    <w:rsid w:val="00027665"/>
    <w:rsid w:val="00027DA2"/>
    <w:rsid w:val="00030244"/>
    <w:rsid w:val="0003084F"/>
    <w:rsid w:val="00030EEA"/>
    <w:rsid w:val="00030FF1"/>
    <w:rsid w:val="00031076"/>
    <w:rsid w:val="00031185"/>
    <w:rsid w:val="000315D9"/>
    <w:rsid w:val="00032473"/>
    <w:rsid w:val="00032477"/>
    <w:rsid w:val="000331A0"/>
    <w:rsid w:val="000333C5"/>
    <w:rsid w:val="00033B8B"/>
    <w:rsid w:val="00034106"/>
    <w:rsid w:val="0003499B"/>
    <w:rsid w:val="00035227"/>
    <w:rsid w:val="000359A0"/>
    <w:rsid w:val="000369D0"/>
    <w:rsid w:val="000369E1"/>
    <w:rsid w:val="00036C63"/>
    <w:rsid w:val="00036D40"/>
    <w:rsid w:val="00037BD0"/>
    <w:rsid w:val="00037C31"/>
    <w:rsid w:val="00037CB4"/>
    <w:rsid w:val="00037E20"/>
    <w:rsid w:val="0004029B"/>
    <w:rsid w:val="00040B38"/>
    <w:rsid w:val="00040E86"/>
    <w:rsid w:val="000411D9"/>
    <w:rsid w:val="00041C23"/>
    <w:rsid w:val="0004222E"/>
    <w:rsid w:val="000423D2"/>
    <w:rsid w:val="00043084"/>
    <w:rsid w:val="0004314D"/>
    <w:rsid w:val="00043443"/>
    <w:rsid w:val="00043B9B"/>
    <w:rsid w:val="00043E02"/>
    <w:rsid w:val="00044139"/>
    <w:rsid w:val="00044B50"/>
    <w:rsid w:val="00044D5A"/>
    <w:rsid w:val="00045442"/>
    <w:rsid w:val="000458AD"/>
    <w:rsid w:val="00045C75"/>
    <w:rsid w:val="0004621A"/>
    <w:rsid w:val="000466A5"/>
    <w:rsid w:val="0004722A"/>
    <w:rsid w:val="00047488"/>
    <w:rsid w:val="000477BB"/>
    <w:rsid w:val="00047C4A"/>
    <w:rsid w:val="00050111"/>
    <w:rsid w:val="0005070E"/>
    <w:rsid w:val="000509AA"/>
    <w:rsid w:val="00050B65"/>
    <w:rsid w:val="00050C67"/>
    <w:rsid w:val="00051020"/>
    <w:rsid w:val="00051089"/>
    <w:rsid w:val="000510F2"/>
    <w:rsid w:val="000518F3"/>
    <w:rsid w:val="00051922"/>
    <w:rsid w:val="00051998"/>
    <w:rsid w:val="00052128"/>
    <w:rsid w:val="00052664"/>
    <w:rsid w:val="000534E3"/>
    <w:rsid w:val="00053A19"/>
    <w:rsid w:val="00053B4B"/>
    <w:rsid w:val="000540B7"/>
    <w:rsid w:val="00054169"/>
    <w:rsid w:val="0005427A"/>
    <w:rsid w:val="00054B4A"/>
    <w:rsid w:val="00054BB2"/>
    <w:rsid w:val="00054D39"/>
    <w:rsid w:val="00054DAB"/>
    <w:rsid w:val="00054EE9"/>
    <w:rsid w:val="00054F0C"/>
    <w:rsid w:val="00055455"/>
    <w:rsid w:val="0005547E"/>
    <w:rsid w:val="0005558C"/>
    <w:rsid w:val="00055A7F"/>
    <w:rsid w:val="00055D42"/>
    <w:rsid w:val="00056207"/>
    <w:rsid w:val="00056242"/>
    <w:rsid w:val="000577C0"/>
    <w:rsid w:val="00060CD7"/>
    <w:rsid w:val="00060EB5"/>
    <w:rsid w:val="00061394"/>
    <w:rsid w:val="00061793"/>
    <w:rsid w:val="0006193B"/>
    <w:rsid w:val="00061B7F"/>
    <w:rsid w:val="00061CC1"/>
    <w:rsid w:val="00061EA3"/>
    <w:rsid w:val="000620AA"/>
    <w:rsid w:val="0006259D"/>
    <w:rsid w:val="00062878"/>
    <w:rsid w:val="0006320F"/>
    <w:rsid w:val="000633BF"/>
    <w:rsid w:val="0006371D"/>
    <w:rsid w:val="0006381F"/>
    <w:rsid w:val="00064165"/>
    <w:rsid w:val="000648F0"/>
    <w:rsid w:val="00064992"/>
    <w:rsid w:val="00064A66"/>
    <w:rsid w:val="00064C60"/>
    <w:rsid w:val="00065079"/>
    <w:rsid w:val="000650B0"/>
    <w:rsid w:val="0006523C"/>
    <w:rsid w:val="0006537E"/>
    <w:rsid w:val="000658A2"/>
    <w:rsid w:val="00066E26"/>
    <w:rsid w:val="000672D1"/>
    <w:rsid w:val="0006735E"/>
    <w:rsid w:val="0006746F"/>
    <w:rsid w:val="00067783"/>
    <w:rsid w:val="00067B8A"/>
    <w:rsid w:val="00067F5D"/>
    <w:rsid w:val="000701EA"/>
    <w:rsid w:val="00070341"/>
    <w:rsid w:val="0007087D"/>
    <w:rsid w:val="00070EAB"/>
    <w:rsid w:val="00071B00"/>
    <w:rsid w:val="00071D76"/>
    <w:rsid w:val="0007222F"/>
    <w:rsid w:val="00072234"/>
    <w:rsid w:val="00072367"/>
    <w:rsid w:val="00072ED4"/>
    <w:rsid w:val="00073262"/>
    <w:rsid w:val="00073731"/>
    <w:rsid w:val="00073898"/>
    <w:rsid w:val="000739A3"/>
    <w:rsid w:val="00073AB8"/>
    <w:rsid w:val="0007409D"/>
    <w:rsid w:val="00074553"/>
    <w:rsid w:val="00074D79"/>
    <w:rsid w:val="00075201"/>
    <w:rsid w:val="0007532E"/>
    <w:rsid w:val="0007645E"/>
    <w:rsid w:val="00077019"/>
    <w:rsid w:val="0007704F"/>
    <w:rsid w:val="000771C6"/>
    <w:rsid w:val="000778F2"/>
    <w:rsid w:val="000779C6"/>
    <w:rsid w:val="00077A40"/>
    <w:rsid w:val="00077E52"/>
    <w:rsid w:val="00080585"/>
    <w:rsid w:val="000805B1"/>
    <w:rsid w:val="00080A52"/>
    <w:rsid w:val="00080B43"/>
    <w:rsid w:val="00080F57"/>
    <w:rsid w:val="00081CEC"/>
    <w:rsid w:val="00081FE7"/>
    <w:rsid w:val="00082097"/>
    <w:rsid w:val="00082136"/>
    <w:rsid w:val="000829C5"/>
    <w:rsid w:val="0008312F"/>
    <w:rsid w:val="000831CA"/>
    <w:rsid w:val="0008344D"/>
    <w:rsid w:val="0008399F"/>
    <w:rsid w:val="00083E99"/>
    <w:rsid w:val="0008401F"/>
    <w:rsid w:val="00084513"/>
    <w:rsid w:val="0008478D"/>
    <w:rsid w:val="0008493B"/>
    <w:rsid w:val="000850C4"/>
    <w:rsid w:val="00085288"/>
    <w:rsid w:val="0008552C"/>
    <w:rsid w:val="00085F80"/>
    <w:rsid w:val="0008611F"/>
    <w:rsid w:val="0008658A"/>
    <w:rsid w:val="0008663E"/>
    <w:rsid w:val="00086E74"/>
    <w:rsid w:val="000876DE"/>
    <w:rsid w:val="00087A1F"/>
    <w:rsid w:val="00087D47"/>
    <w:rsid w:val="00087FAB"/>
    <w:rsid w:val="0009081B"/>
    <w:rsid w:val="00090834"/>
    <w:rsid w:val="00090A4C"/>
    <w:rsid w:val="00090A5F"/>
    <w:rsid w:val="00090B48"/>
    <w:rsid w:val="0009107A"/>
    <w:rsid w:val="0009164C"/>
    <w:rsid w:val="0009237B"/>
    <w:rsid w:val="00092423"/>
    <w:rsid w:val="00092861"/>
    <w:rsid w:val="00092BB5"/>
    <w:rsid w:val="00092C7A"/>
    <w:rsid w:val="00092E8D"/>
    <w:rsid w:val="00093EC5"/>
    <w:rsid w:val="0009473C"/>
    <w:rsid w:val="00094E4B"/>
    <w:rsid w:val="00094F12"/>
    <w:rsid w:val="0009523B"/>
    <w:rsid w:val="000952DC"/>
    <w:rsid w:val="000953D6"/>
    <w:rsid w:val="0009601A"/>
    <w:rsid w:val="0009604E"/>
    <w:rsid w:val="00096080"/>
    <w:rsid w:val="00096B0A"/>
    <w:rsid w:val="00096BD7"/>
    <w:rsid w:val="0009769C"/>
    <w:rsid w:val="00097A0B"/>
    <w:rsid w:val="00097E23"/>
    <w:rsid w:val="000A0096"/>
    <w:rsid w:val="000A148D"/>
    <w:rsid w:val="000A14AE"/>
    <w:rsid w:val="000A1F93"/>
    <w:rsid w:val="000A2267"/>
    <w:rsid w:val="000A2306"/>
    <w:rsid w:val="000A2357"/>
    <w:rsid w:val="000A25F4"/>
    <w:rsid w:val="000A2A20"/>
    <w:rsid w:val="000A2C08"/>
    <w:rsid w:val="000A2DCD"/>
    <w:rsid w:val="000A331F"/>
    <w:rsid w:val="000A35CE"/>
    <w:rsid w:val="000A37C8"/>
    <w:rsid w:val="000A3B30"/>
    <w:rsid w:val="000A3FEE"/>
    <w:rsid w:val="000A4093"/>
    <w:rsid w:val="000A421B"/>
    <w:rsid w:val="000A4A69"/>
    <w:rsid w:val="000A5011"/>
    <w:rsid w:val="000A5A0B"/>
    <w:rsid w:val="000A5A68"/>
    <w:rsid w:val="000A5B94"/>
    <w:rsid w:val="000A5BAB"/>
    <w:rsid w:val="000A5DEB"/>
    <w:rsid w:val="000A616E"/>
    <w:rsid w:val="000A6650"/>
    <w:rsid w:val="000A7447"/>
    <w:rsid w:val="000A76D7"/>
    <w:rsid w:val="000A79D6"/>
    <w:rsid w:val="000B01F8"/>
    <w:rsid w:val="000B021A"/>
    <w:rsid w:val="000B0634"/>
    <w:rsid w:val="000B0720"/>
    <w:rsid w:val="000B078B"/>
    <w:rsid w:val="000B07EC"/>
    <w:rsid w:val="000B0E89"/>
    <w:rsid w:val="000B10D0"/>
    <w:rsid w:val="000B1348"/>
    <w:rsid w:val="000B1CF4"/>
    <w:rsid w:val="000B1CFA"/>
    <w:rsid w:val="000B1E70"/>
    <w:rsid w:val="000B20C4"/>
    <w:rsid w:val="000B22E8"/>
    <w:rsid w:val="000B244B"/>
    <w:rsid w:val="000B2C44"/>
    <w:rsid w:val="000B34E5"/>
    <w:rsid w:val="000B3AAC"/>
    <w:rsid w:val="000B3B92"/>
    <w:rsid w:val="000B3E7F"/>
    <w:rsid w:val="000B3EDC"/>
    <w:rsid w:val="000B4244"/>
    <w:rsid w:val="000B4A85"/>
    <w:rsid w:val="000B4EAB"/>
    <w:rsid w:val="000B5367"/>
    <w:rsid w:val="000B5652"/>
    <w:rsid w:val="000B56E8"/>
    <w:rsid w:val="000B5B16"/>
    <w:rsid w:val="000B6136"/>
    <w:rsid w:val="000B645B"/>
    <w:rsid w:val="000B6E23"/>
    <w:rsid w:val="000B7884"/>
    <w:rsid w:val="000B7D52"/>
    <w:rsid w:val="000C014D"/>
    <w:rsid w:val="000C06B1"/>
    <w:rsid w:val="000C0B05"/>
    <w:rsid w:val="000C10ED"/>
    <w:rsid w:val="000C17B7"/>
    <w:rsid w:val="000C1A3F"/>
    <w:rsid w:val="000C2328"/>
    <w:rsid w:val="000C265E"/>
    <w:rsid w:val="000C2C07"/>
    <w:rsid w:val="000C2CCD"/>
    <w:rsid w:val="000C2E1D"/>
    <w:rsid w:val="000C31CD"/>
    <w:rsid w:val="000C328B"/>
    <w:rsid w:val="000C3EC0"/>
    <w:rsid w:val="000C421E"/>
    <w:rsid w:val="000C4EF4"/>
    <w:rsid w:val="000C5808"/>
    <w:rsid w:val="000C5BDA"/>
    <w:rsid w:val="000C5EE4"/>
    <w:rsid w:val="000C6420"/>
    <w:rsid w:val="000C7037"/>
    <w:rsid w:val="000C70BB"/>
    <w:rsid w:val="000C70E7"/>
    <w:rsid w:val="000C74AA"/>
    <w:rsid w:val="000C7E11"/>
    <w:rsid w:val="000D0797"/>
    <w:rsid w:val="000D1277"/>
    <w:rsid w:val="000D12E5"/>
    <w:rsid w:val="000D13D1"/>
    <w:rsid w:val="000D1FD5"/>
    <w:rsid w:val="000D237E"/>
    <w:rsid w:val="000D243A"/>
    <w:rsid w:val="000D2B9F"/>
    <w:rsid w:val="000D2E27"/>
    <w:rsid w:val="000D333E"/>
    <w:rsid w:val="000D356A"/>
    <w:rsid w:val="000D35B8"/>
    <w:rsid w:val="000D3F56"/>
    <w:rsid w:val="000D3FEC"/>
    <w:rsid w:val="000D411D"/>
    <w:rsid w:val="000D41A1"/>
    <w:rsid w:val="000D46C1"/>
    <w:rsid w:val="000D492B"/>
    <w:rsid w:val="000D50D2"/>
    <w:rsid w:val="000D57A1"/>
    <w:rsid w:val="000D5870"/>
    <w:rsid w:val="000D599C"/>
    <w:rsid w:val="000D7167"/>
    <w:rsid w:val="000D7243"/>
    <w:rsid w:val="000D757A"/>
    <w:rsid w:val="000D75F2"/>
    <w:rsid w:val="000D7708"/>
    <w:rsid w:val="000E02D9"/>
    <w:rsid w:val="000E076F"/>
    <w:rsid w:val="000E098C"/>
    <w:rsid w:val="000E0BCD"/>
    <w:rsid w:val="000E0DA1"/>
    <w:rsid w:val="000E1517"/>
    <w:rsid w:val="000E160A"/>
    <w:rsid w:val="000E1822"/>
    <w:rsid w:val="000E1C20"/>
    <w:rsid w:val="000E1E36"/>
    <w:rsid w:val="000E203C"/>
    <w:rsid w:val="000E26AF"/>
    <w:rsid w:val="000E2B39"/>
    <w:rsid w:val="000E2CA4"/>
    <w:rsid w:val="000E387B"/>
    <w:rsid w:val="000E3A3E"/>
    <w:rsid w:val="000E52BE"/>
    <w:rsid w:val="000E53F6"/>
    <w:rsid w:val="000E5625"/>
    <w:rsid w:val="000E5E4D"/>
    <w:rsid w:val="000E5EF9"/>
    <w:rsid w:val="000E6DBF"/>
    <w:rsid w:val="000E731C"/>
    <w:rsid w:val="000E7443"/>
    <w:rsid w:val="000E7878"/>
    <w:rsid w:val="000F0148"/>
    <w:rsid w:val="000F022D"/>
    <w:rsid w:val="000F06F4"/>
    <w:rsid w:val="000F08D9"/>
    <w:rsid w:val="000F0B81"/>
    <w:rsid w:val="000F0BC0"/>
    <w:rsid w:val="000F13B9"/>
    <w:rsid w:val="000F15F2"/>
    <w:rsid w:val="000F18F1"/>
    <w:rsid w:val="000F1C5C"/>
    <w:rsid w:val="000F1D6B"/>
    <w:rsid w:val="000F1E03"/>
    <w:rsid w:val="000F2AEB"/>
    <w:rsid w:val="000F3A2D"/>
    <w:rsid w:val="000F3B39"/>
    <w:rsid w:val="000F3DE2"/>
    <w:rsid w:val="000F3FA5"/>
    <w:rsid w:val="000F3FDA"/>
    <w:rsid w:val="000F59EC"/>
    <w:rsid w:val="000F6379"/>
    <w:rsid w:val="000F64E5"/>
    <w:rsid w:val="000F66E3"/>
    <w:rsid w:val="000F693F"/>
    <w:rsid w:val="000F75B7"/>
    <w:rsid w:val="000F7616"/>
    <w:rsid w:val="000F78F5"/>
    <w:rsid w:val="000F7F2B"/>
    <w:rsid w:val="00101356"/>
    <w:rsid w:val="00102213"/>
    <w:rsid w:val="0010241B"/>
    <w:rsid w:val="0010270B"/>
    <w:rsid w:val="0010296B"/>
    <w:rsid w:val="00102F02"/>
    <w:rsid w:val="00103A47"/>
    <w:rsid w:val="00104299"/>
    <w:rsid w:val="0010448A"/>
    <w:rsid w:val="00105169"/>
    <w:rsid w:val="00105258"/>
    <w:rsid w:val="0010571F"/>
    <w:rsid w:val="00105FFC"/>
    <w:rsid w:val="00106051"/>
    <w:rsid w:val="00106685"/>
    <w:rsid w:val="0010678B"/>
    <w:rsid w:val="001067B7"/>
    <w:rsid w:val="00106B06"/>
    <w:rsid w:val="00107AC0"/>
    <w:rsid w:val="00110ED1"/>
    <w:rsid w:val="001114C9"/>
    <w:rsid w:val="00112560"/>
    <w:rsid w:val="001125FD"/>
    <w:rsid w:val="00113408"/>
    <w:rsid w:val="0011355A"/>
    <w:rsid w:val="0011378E"/>
    <w:rsid w:val="00113D59"/>
    <w:rsid w:val="00113F82"/>
    <w:rsid w:val="00114418"/>
    <w:rsid w:val="0011454E"/>
    <w:rsid w:val="00114F25"/>
    <w:rsid w:val="0011525D"/>
    <w:rsid w:val="001153F6"/>
    <w:rsid w:val="001157BC"/>
    <w:rsid w:val="00115DFE"/>
    <w:rsid w:val="00115EA7"/>
    <w:rsid w:val="001162A6"/>
    <w:rsid w:val="00116381"/>
    <w:rsid w:val="00116CEB"/>
    <w:rsid w:val="00117040"/>
    <w:rsid w:val="00117319"/>
    <w:rsid w:val="001174E9"/>
    <w:rsid w:val="00117E57"/>
    <w:rsid w:val="001200EA"/>
    <w:rsid w:val="0012059D"/>
    <w:rsid w:val="00120A2A"/>
    <w:rsid w:val="00120A52"/>
    <w:rsid w:val="00120BD2"/>
    <w:rsid w:val="00120DCC"/>
    <w:rsid w:val="00120DEF"/>
    <w:rsid w:val="00120F46"/>
    <w:rsid w:val="001213EB"/>
    <w:rsid w:val="0012159A"/>
    <w:rsid w:val="001217DB"/>
    <w:rsid w:val="00121870"/>
    <w:rsid w:val="001218DC"/>
    <w:rsid w:val="00122154"/>
    <w:rsid w:val="0012260B"/>
    <w:rsid w:val="00122928"/>
    <w:rsid w:val="00122BE6"/>
    <w:rsid w:val="00122CAE"/>
    <w:rsid w:val="00122E68"/>
    <w:rsid w:val="00123467"/>
    <w:rsid w:val="00123C6D"/>
    <w:rsid w:val="00123ECE"/>
    <w:rsid w:val="001241E3"/>
    <w:rsid w:val="001242CE"/>
    <w:rsid w:val="00124F46"/>
    <w:rsid w:val="001257D0"/>
    <w:rsid w:val="0012597E"/>
    <w:rsid w:val="00125B20"/>
    <w:rsid w:val="00125B22"/>
    <w:rsid w:val="00126364"/>
    <w:rsid w:val="0012662B"/>
    <w:rsid w:val="001274BD"/>
    <w:rsid w:val="00127713"/>
    <w:rsid w:val="0012777C"/>
    <w:rsid w:val="00127B5B"/>
    <w:rsid w:val="00130081"/>
    <w:rsid w:val="0013008E"/>
    <w:rsid w:val="00130208"/>
    <w:rsid w:val="00130224"/>
    <w:rsid w:val="00130386"/>
    <w:rsid w:val="0013044A"/>
    <w:rsid w:val="00130A45"/>
    <w:rsid w:val="00130C41"/>
    <w:rsid w:val="00130D0C"/>
    <w:rsid w:val="00131A8B"/>
    <w:rsid w:val="00132040"/>
    <w:rsid w:val="00132315"/>
    <w:rsid w:val="00132531"/>
    <w:rsid w:val="00132584"/>
    <w:rsid w:val="00132C16"/>
    <w:rsid w:val="00133267"/>
    <w:rsid w:val="00133447"/>
    <w:rsid w:val="00133775"/>
    <w:rsid w:val="0013378B"/>
    <w:rsid w:val="001337B3"/>
    <w:rsid w:val="00133A87"/>
    <w:rsid w:val="0013471B"/>
    <w:rsid w:val="0013502C"/>
    <w:rsid w:val="001350A6"/>
    <w:rsid w:val="001351F0"/>
    <w:rsid w:val="001354A4"/>
    <w:rsid w:val="001354BC"/>
    <w:rsid w:val="00135760"/>
    <w:rsid w:val="00135F24"/>
    <w:rsid w:val="0013675C"/>
    <w:rsid w:val="0013691B"/>
    <w:rsid w:val="00136F83"/>
    <w:rsid w:val="00137318"/>
    <w:rsid w:val="00137591"/>
    <w:rsid w:val="00137D36"/>
    <w:rsid w:val="00137D90"/>
    <w:rsid w:val="0014031B"/>
    <w:rsid w:val="0014075C"/>
    <w:rsid w:val="00140BD1"/>
    <w:rsid w:val="00140EF2"/>
    <w:rsid w:val="001411ED"/>
    <w:rsid w:val="001413DB"/>
    <w:rsid w:val="00141A18"/>
    <w:rsid w:val="00141BB5"/>
    <w:rsid w:val="00141BB9"/>
    <w:rsid w:val="001428BA"/>
    <w:rsid w:val="00142B22"/>
    <w:rsid w:val="00142BB8"/>
    <w:rsid w:val="00142FD4"/>
    <w:rsid w:val="001430BF"/>
    <w:rsid w:val="0014317D"/>
    <w:rsid w:val="00143C71"/>
    <w:rsid w:val="00143D46"/>
    <w:rsid w:val="001440AB"/>
    <w:rsid w:val="00144257"/>
    <w:rsid w:val="0014476B"/>
    <w:rsid w:val="00144A97"/>
    <w:rsid w:val="00145CD9"/>
    <w:rsid w:val="00146C06"/>
    <w:rsid w:val="00146C4D"/>
    <w:rsid w:val="00146CAE"/>
    <w:rsid w:val="00146D3A"/>
    <w:rsid w:val="00146D6A"/>
    <w:rsid w:val="00147BFF"/>
    <w:rsid w:val="0015055E"/>
    <w:rsid w:val="00150978"/>
    <w:rsid w:val="00150A09"/>
    <w:rsid w:val="00150DA7"/>
    <w:rsid w:val="00150EDB"/>
    <w:rsid w:val="00151170"/>
    <w:rsid w:val="001512C8"/>
    <w:rsid w:val="00152761"/>
    <w:rsid w:val="00152D2A"/>
    <w:rsid w:val="0015314B"/>
    <w:rsid w:val="00153FC0"/>
    <w:rsid w:val="00154135"/>
    <w:rsid w:val="00154AF5"/>
    <w:rsid w:val="00154EC1"/>
    <w:rsid w:val="0015520E"/>
    <w:rsid w:val="00155BED"/>
    <w:rsid w:val="00155F02"/>
    <w:rsid w:val="00155F98"/>
    <w:rsid w:val="0015639A"/>
    <w:rsid w:val="001564FE"/>
    <w:rsid w:val="0015666E"/>
    <w:rsid w:val="00156825"/>
    <w:rsid w:val="001568F1"/>
    <w:rsid w:val="00157023"/>
    <w:rsid w:val="00157707"/>
    <w:rsid w:val="001579A9"/>
    <w:rsid w:val="0016073C"/>
    <w:rsid w:val="00160A0E"/>
    <w:rsid w:val="00161EC5"/>
    <w:rsid w:val="00162057"/>
    <w:rsid w:val="00162313"/>
    <w:rsid w:val="00162609"/>
    <w:rsid w:val="00162B92"/>
    <w:rsid w:val="0016318A"/>
    <w:rsid w:val="0016320F"/>
    <w:rsid w:val="00163D88"/>
    <w:rsid w:val="00163EC0"/>
    <w:rsid w:val="00164059"/>
    <w:rsid w:val="001644B1"/>
    <w:rsid w:val="00164B72"/>
    <w:rsid w:val="00164BF5"/>
    <w:rsid w:val="00164E85"/>
    <w:rsid w:val="00164EDE"/>
    <w:rsid w:val="0016511A"/>
    <w:rsid w:val="001652B2"/>
    <w:rsid w:val="0016537D"/>
    <w:rsid w:val="00165DAB"/>
    <w:rsid w:val="00165E73"/>
    <w:rsid w:val="00166104"/>
    <w:rsid w:val="00166570"/>
    <w:rsid w:val="001668E0"/>
    <w:rsid w:val="001669CF"/>
    <w:rsid w:val="0016742C"/>
    <w:rsid w:val="00167A11"/>
    <w:rsid w:val="00167C5C"/>
    <w:rsid w:val="001705D5"/>
    <w:rsid w:val="00170748"/>
    <w:rsid w:val="001707B2"/>
    <w:rsid w:val="0017087C"/>
    <w:rsid w:val="00170E03"/>
    <w:rsid w:val="001713FF"/>
    <w:rsid w:val="00171E43"/>
    <w:rsid w:val="0017218E"/>
    <w:rsid w:val="001721E6"/>
    <w:rsid w:val="00172E10"/>
    <w:rsid w:val="00172E49"/>
    <w:rsid w:val="00172F69"/>
    <w:rsid w:val="001733CE"/>
    <w:rsid w:val="001735A9"/>
    <w:rsid w:val="001735D3"/>
    <w:rsid w:val="001736B8"/>
    <w:rsid w:val="00173C56"/>
    <w:rsid w:val="00173E56"/>
    <w:rsid w:val="00174BD1"/>
    <w:rsid w:val="00174ED0"/>
    <w:rsid w:val="00174FA8"/>
    <w:rsid w:val="00175474"/>
    <w:rsid w:val="001759DA"/>
    <w:rsid w:val="00176146"/>
    <w:rsid w:val="00176B52"/>
    <w:rsid w:val="00176C28"/>
    <w:rsid w:val="00177AA8"/>
    <w:rsid w:val="00177AD5"/>
    <w:rsid w:val="00177EE2"/>
    <w:rsid w:val="001819E8"/>
    <w:rsid w:val="00181C5A"/>
    <w:rsid w:val="00183785"/>
    <w:rsid w:val="00183D41"/>
    <w:rsid w:val="00184874"/>
    <w:rsid w:val="00184D79"/>
    <w:rsid w:val="00185A41"/>
    <w:rsid w:val="00185B09"/>
    <w:rsid w:val="00185F51"/>
    <w:rsid w:val="00186166"/>
    <w:rsid w:val="00186211"/>
    <w:rsid w:val="001868DA"/>
    <w:rsid w:val="001871C7"/>
    <w:rsid w:val="00187CD5"/>
    <w:rsid w:val="00187DF9"/>
    <w:rsid w:val="00190352"/>
    <w:rsid w:val="00190881"/>
    <w:rsid w:val="00190948"/>
    <w:rsid w:val="00191781"/>
    <w:rsid w:val="00191EBB"/>
    <w:rsid w:val="0019370A"/>
    <w:rsid w:val="00193EC3"/>
    <w:rsid w:val="00194507"/>
    <w:rsid w:val="00194D72"/>
    <w:rsid w:val="00194E35"/>
    <w:rsid w:val="0019545B"/>
    <w:rsid w:val="0019576C"/>
    <w:rsid w:val="001957BA"/>
    <w:rsid w:val="00195BA8"/>
    <w:rsid w:val="00195E11"/>
    <w:rsid w:val="00195E57"/>
    <w:rsid w:val="001962D4"/>
    <w:rsid w:val="00196366"/>
    <w:rsid w:val="0019637D"/>
    <w:rsid w:val="0019675B"/>
    <w:rsid w:val="00196A5F"/>
    <w:rsid w:val="00196F22"/>
    <w:rsid w:val="00197024"/>
    <w:rsid w:val="001979A5"/>
    <w:rsid w:val="00197EA3"/>
    <w:rsid w:val="001A0262"/>
    <w:rsid w:val="001A02A7"/>
    <w:rsid w:val="001A058A"/>
    <w:rsid w:val="001A0828"/>
    <w:rsid w:val="001A098E"/>
    <w:rsid w:val="001A0A1C"/>
    <w:rsid w:val="001A10B3"/>
    <w:rsid w:val="001A14C7"/>
    <w:rsid w:val="001A1733"/>
    <w:rsid w:val="001A1AAB"/>
    <w:rsid w:val="001A26B4"/>
    <w:rsid w:val="001A298A"/>
    <w:rsid w:val="001A29B6"/>
    <w:rsid w:val="001A31CA"/>
    <w:rsid w:val="001A34EB"/>
    <w:rsid w:val="001A3CC1"/>
    <w:rsid w:val="001A3CD0"/>
    <w:rsid w:val="001A3F1E"/>
    <w:rsid w:val="001A3F2D"/>
    <w:rsid w:val="001A4166"/>
    <w:rsid w:val="001A420C"/>
    <w:rsid w:val="001A4322"/>
    <w:rsid w:val="001A43AF"/>
    <w:rsid w:val="001A4436"/>
    <w:rsid w:val="001A56F3"/>
    <w:rsid w:val="001A64CC"/>
    <w:rsid w:val="001A70E4"/>
    <w:rsid w:val="001A7379"/>
    <w:rsid w:val="001A787B"/>
    <w:rsid w:val="001A7F09"/>
    <w:rsid w:val="001B06B0"/>
    <w:rsid w:val="001B08EA"/>
    <w:rsid w:val="001B0AA7"/>
    <w:rsid w:val="001B1B43"/>
    <w:rsid w:val="001B1F6A"/>
    <w:rsid w:val="001B22E9"/>
    <w:rsid w:val="001B27D2"/>
    <w:rsid w:val="001B2BEE"/>
    <w:rsid w:val="001B2D6E"/>
    <w:rsid w:val="001B3046"/>
    <w:rsid w:val="001B310E"/>
    <w:rsid w:val="001B3BBA"/>
    <w:rsid w:val="001B3E0D"/>
    <w:rsid w:val="001B46BA"/>
    <w:rsid w:val="001B4D24"/>
    <w:rsid w:val="001B4E38"/>
    <w:rsid w:val="001B55BA"/>
    <w:rsid w:val="001B5C4A"/>
    <w:rsid w:val="001B68E1"/>
    <w:rsid w:val="001B69EC"/>
    <w:rsid w:val="001B6F00"/>
    <w:rsid w:val="001B7E4F"/>
    <w:rsid w:val="001B7F7E"/>
    <w:rsid w:val="001C01DD"/>
    <w:rsid w:val="001C0880"/>
    <w:rsid w:val="001C08C8"/>
    <w:rsid w:val="001C0ECE"/>
    <w:rsid w:val="001C0F6A"/>
    <w:rsid w:val="001C1895"/>
    <w:rsid w:val="001C1DA0"/>
    <w:rsid w:val="001C1E34"/>
    <w:rsid w:val="001C2AB3"/>
    <w:rsid w:val="001C2B4E"/>
    <w:rsid w:val="001C2EE2"/>
    <w:rsid w:val="001C305E"/>
    <w:rsid w:val="001C3756"/>
    <w:rsid w:val="001C44C5"/>
    <w:rsid w:val="001C5010"/>
    <w:rsid w:val="001C556D"/>
    <w:rsid w:val="001C5AB1"/>
    <w:rsid w:val="001C5C48"/>
    <w:rsid w:val="001C5D32"/>
    <w:rsid w:val="001C5E08"/>
    <w:rsid w:val="001C5E7B"/>
    <w:rsid w:val="001C6681"/>
    <w:rsid w:val="001C6B00"/>
    <w:rsid w:val="001C6C78"/>
    <w:rsid w:val="001C7449"/>
    <w:rsid w:val="001C79EC"/>
    <w:rsid w:val="001C7A3C"/>
    <w:rsid w:val="001C7CEF"/>
    <w:rsid w:val="001C7FB1"/>
    <w:rsid w:val="001D03C0"/>
    <w:rsid w:val="001D09FA"/>
    <w:rsid w:val="001D0EFF"/>
    <w:rsid w:val="001D111C"/>
    <w:rsid w:val="001D26B9"/>
    <w:rsid w:val="001D2EA8"/>
    <w:rsid w:val="001D338C"/>
    <w:rsid w:val="001D3AF4"/>
    <w:rsid w:val="001D3BD0"/>
    <w:rsid w:val="001D3C3D"/>
    <w:rsid w:val="001D3E9B"/>
    <w:rsid w:val="001D42B6"/>
    <w:rsid w:val="001D4729"/>
    <w:rsid w:val="001D49E9"/>
    <w:rsid w:val="001D4B0C"/>
    <w:rsid w:val="001D4F9F"/>
    <w:rsid w:val="001D51B0"/>
    <w:rsid w:val="001D5225"/>
    <w:rsid w:val="001D551A"/>
    <w:rsid w:val="001D5890"/>
    <w:rsid w:val="001D5D18"/>
    <w:rsid w:val="001D6072"/>
    <w:rsid w:val="001D6422"/>
    <w:rsid w:val="001D66D0"/>
    <w:rsid w:val="001D6AF5"/>
    <w:rsid w:val="001D6DFF"/>
    <w:rsid w:val="001D7D94"/>
    <w:rsid w:val="001D7F3E"/>
    <w:rsid w:val="001E034D"/>
    <w:rsid w:val="001E0939"/>
    <w:rsid w:val="001E09DF"/>
    <w:rsid w:val="001E0E8D"/>
    <w:rsid w:val="001E1306"/>
    <w:rsid w:val="001E1B27"/>
    <w:rsid w:val="001E1DED"/>
    <w:rsid w:val="001E25C4"/>
    <w:rsid w:val="001E260A"/>
    <w:rsid w:val="001E2801"/>
    <w:rsid w:val="001E2D94"/>
    <w:rsid w:val="001E3046"/>
    <w:rsid w:val="001E3570"/>
    <w:rsid w:val="001E36D2"/>
    <w:rsid w:val="001E4458"/>
    <w:rsid w:val="001E48BA"/>
    <w:rsid w:val="001E4994"/>
    <w:rsid w:val="001E4F4B"/>
    <w:rsid w:val="001E530E"/>
    <w:rsid w:val="001E5755"/>
    <w:rsid w:val="001E5890"/>
    <w:rsid w:val="001E5DD6"/>
    <w:rsid w:val="001E5F21"/>
    <w:rsid w:val="001E6323"/>
    <w:rsid w:val="001E65FE"/>
    <w:rsid w:val="001E6936"/>
    <w:rsid w:val="001E6BF5"/>
    <w:rsid w:val="001E6E3C"/>
    <w:rsid w:val="001E7AFF"/>
    <w:rsid w:val="001E7E47"/>
    <w:rsid w:val="001F0C79"/>
    <w:rsid w:val="001F0E32"/>
    <w:rsid w:val="001F166B"/>
    <w:rsid w:val="001F1812"/>
    <w:rsid w:val="001F18DB"/>
    <w:rsid w:val="001F1CA8"/>
    <w:rsid w:val="001F2341"/>
    <w:rsid w:val="001F2517"/>
    <w:rsid w:val="001F2930"/>
    <w:rsid w:val="001F2B27"/>
    <w:rsid w:val="001F369F"/>
    <w:rsid w:val="001F39B4"/>
    <w:rsid w:val="001F3EAD"/>
    <w:rsid w:val="001F437E"/>
    <w:rsid w:val="001F45F2"/>
    <w:rsid w:val="001F481A"/>
    <w:rsid w:val="001F48C8"/>
    <w:rsid w:val="001F4919"/>
    <w:rsid w:val="001F4CAB"/>
    <w:rsid w:val="001F5537"/>
    <w:rsid w:val="001F645E"/>
    <w:rsid w:val="001F6E5B"/>
    <w:rsid w:val="001F72F2"/>
    <w:rsid w:val="001F792B"/>
    <w:rsid w:val="001F7B0B"/>
    <w:rsid w:val="001F7B25"/>
    <w:rsid w:val="0020044B"/>
    <w:rsid w:val="0020062E"/>
    <w:rsid w:val="00200FC9"/>
    <w:rsid w:val="002011C2"/>
    <w:rsid w:val="002026A7"/>
    <w:rsid w:val="002026DE"/>
    <w:rsid w:val="00202842"/>
    <w:rsid w:val="00202845"/>
    <w:rsid w:val="0020360F"/>
    <w:rsid w:val="00203611"/>
    <w:rsid w:val="00203847"/>
    <w:rsid w:val="00204367"/>
    <w:rsid w:val="00204499"/>
    <w:rsid w:val="0020493C"/>
    <w:rsid w:val="002052DC"/>
    <w:rsid w:val="00205BAD"/>
    <w:rsid w:val="00205BC9"/>
    <w:rsid w:val="00206207"/>
    <w:rsid w:val="00206906"/>
    <w:rsid w:val="00206C2F"/>
    <w:rsid w:val="00206FD3"/>
    <w:rsid w:val="002070EA"/>
    <w:rsid w:val="0020792D"/>
    <w:rsid w:val="00207D8D"/>
    <w:rsid w:val="0021043B"/>
    <w:rsid w:val="00210929"/>
    <w:rsid w:val="00210C15"/>
    <w:rsid w:val="00210C6C"/>
    <w:rsid w:val="002111BF"/>
    <w:rsid w:val="00211B0D"/>
    <w:rsid w:val="0021202E"/>
    <w:rsid w:val="00212034"/>
    <w:rsid w:val="002122CB"/>
    <w:rsid w:val="00212343"/>
    <w:rsid w:val="002124E4"/>
    <w:rsid w:val="00212962"/>
    <w:rsid w:val="002129DA"/>
    <w:rsid w:val="00212B07"/>
    <w:rsid w:val="002134B4"/>
    <w:rsid w:val="00213C3B"/>
    <w:rsid w:val="0021403C"/>
    <w:rsid w:val="002141AC"/>
    <w:rsid w:val="00214909"/>
    <w:rsid w:val="002149DA"/>
    <w:rsid w:val="00214E93"/>
    <w:rsid w:val="00214FB5"/>
    <w:rsid w:val="00215398"/>
    <w:rsid w:val="00216079"/>
    <w:rsid w:val="0021684E"/>
    <w:rsid w:val="0021687F"/>
    <w:rsid w:val="0021708F"/>
    <w:rsid w:val="00217866"/>
    <w:rsid w:val="00220781"/>
    <w:rsid w:val="00220AE4"/>
    <w:rsid w:val="00221381"/>
    <w:rsid w:val="002218DB"/>
    <w:rsid w:val="002219A3"/>
    <w:rsid w:val="00222407"/>
    <w:rsid w:val="00222893"/>
    <w:rsid w:val="00222C83"/>
    <w:rsid w:val="00223575"/>
    <w:rsid w:val="002240D7"/>
    <w:rsid w:val="002242CE"/>
    <w:rsid w:val="0022463B"/>
    <w:rsid w:val="00224AA1"/>
    <w:rsid w:val="00224DAA"/>
    <w:rsid w:val="00224FC2"/>
    <w:rsid w:val="0022562E"/>
    <w:rsid w:val="002258E6"/>
    <w:rsid w:val="00225C49"/>
    <w:rsid w:val="00225E49"/>
    <w:rsid w:val="00225FF6"/>
    <w:rsid w:val="00226217"/>
    <w:rsid w:val="00227065"/>
    <w:rsid w:val="002272E8"/>
    <w:rsid w:val="002275BD"/>
    <w:rsid w:val="00227EB1"/>
    <w:rsid w:val="002301A0"/>
    <w:rsid w:val="00230288"/>
    <w:rsid w:val="00230506"/>
    <w:rsid w:val="00230517"/>
    <w:rsid w:val="00230A1F"/>
    <w:rsid w:val="00230A85"/>
    <w:rsid w:val="00230C63"/>
    <w:rsid w:val="00230E43"/>
    <w:rsid w:val="00231423"/>
    <w:rsid w:val="0023143B"/>
    <w:rsid w:val="002320E0"/>
    <w:rsid w:val="00232C40"/>
    <w:rsid w:val="0023319A"/>
    <w:rsid w:val="00233E51"/>
    <w:rsid w:val="002347DB"/>
    <w:rsid w:val="00234D50"/>
    <w:rsid w:val="00236027"/>
    <w:rsid w:val="0023772D"/>
    <w:rsid w:val="00237D3A"/>
    <w:rsid w:val="00240276"/>
    <w:rsid w:val="002402C9"/>
    <w:rsid w:val="00240A41"/>
    <w:rsid w:val="00241A2C"/>
    <w:rsid w:val="00241BE4"/>
    <w:rsid w:val="00242020"/>
    <w:rsid w:val="0024214D"/>
    <w:rsid w:val="00243137"/>
    <w:rsid w:val="0024353A"/>
    <w:rsid w:val="002437A2"/>
    <w:rsid w:val="00243EA4"/>
    <w:rsid w:val="00243F83"/>
    <w:rsid w:val="00244380"/>
    <w:rsid w:val="00244387"/>
    <w:rsid w:val="0024494B"/>
    <w:rsid w:val="00244E14"/>
    <w:rsid w:val="002452F0"/>
    <w:rsid w:val="002456A6"/>
    <w:rsid w:val="00246806"/>
    <w:rsid w:val="00246D0C"/>
    <w:rsid w:val="00246E24"/>
    <w:rsid w:val="0024741C"/>
    <w:rsid w:val="00247634"/>
    <w:rsid w:val="002478BE"/>
    <w:rsid w:val="00247AB4"/>
    <w:rsid w:val="00250059"/>
    <w:rsid w:val="00250A86"/>
    <w:rsid w:val="00250FF0"/>
    <w:rsid w:val="002515F5"/>
    <w:rsid w:val="0025236D"/>
    <w:rsid w:val="00252F28"/>
    <w:rsid w:val="00252F30"/>
    <w:rsid w:val="00253071"/>
    <w:rsid w:val="00254070"/>
    <w:rsid w:val="0025419A"/>
    <w:rsid w:val="00254E24"/>
    <w:rsid w:val="00255A9B"/>
    <w:rsid w:val="0025666C"/>
    <w:rsid w:val="002566FC"/>
    <w:rsid w:val="00256A45"/>
    <w:rsid w:val="00256BF5"/>
    <w:rsid w:val="002570D6"/>
    <w:rsid w:val="002572B0"/>
    <w:rsid w:val="00257CF7"/>
    <w:rsid w:val="00257F36"/>
    <w:rsid w:val="0026010A"/>
    <w:rsid w:val="002603F7"/>
    <w:rsid w:val="00260BD9"/>
    <w:rsid w:val="00260D8A"/>
    <w:rsid w:val="00260E79"/>
    <w:rsid w:val="00261359"/>
    <w:rsid w:val="00261683"/>
    <w:rsid w:val="00261755"/>
    <w:rsid w:val="0026228E"/>
    <w:rsid w:val="00262393"/>
    <w:rsid w:val="002626E1"/>
    <w:rsid w:val="00262DCD"/>
    <w:rsid w:val="00262E5B"/>
    <w:rsid w:val="00262FB8"/>
    <w:rsid w:val="00263859"/>
    <w:rsid w:val="00263950"/>
    <w:rsid w:val="00263A59"/>
    <w:rsid w:val="00263F1F"/>
    <w:rsid w:val="002640A3"/>
    <w:rsid w:val="002643F9"/>
    <w:rsid w:val="00264D9F"/>
    <w:rsid w:val="00265432"/>
    <w:rsid w:val="00265D1E"/>
    <w:rsid w:val="00265D6D"/>
    <w:rsid w:val="00265DF3"/>
    <w:rsid w:val="002660D7"/>
    <w:rsid w:val="00266264"/>
    <w:rsid w:val="002662A0"/>
    <w:rsid w:val="00266690"/>
    <w:rsid w:val="002666D7"/>
    <w:rsid w:val="00267189"/>
    <w:rsid w:val="00267275"/>
    <w:rsid w:val="0026741B"/>
    <w:rsid w:val="00267548"/>
    <w:rsid w:val="0026755D"/>
    <w:rsid w:val="00267E75"/>
    <w:rsid w:val="00270511"/>
    <w:rsid w:val="00270E08"/>
    <w:rsid w:val="00272190"/>
    <w:rsid w:val="002732D6"/>
    <w:rsid w:val="002733A2"/>
    <w:rsid w:val="0027376A"/>
    <w:rsid w:val="00273C8F"/>
    <w:rsid w:val="00274284"/>
    <w:rsid w:val="00274D8A"/>
    <w:rsid w:val="00274DE4"/>
    <w:rsid w:val="00275D3C"/>
    <w:rsid w:val="002761F4"/>
    <w:rsid w:val="002762BC"/>
    <w:rsid w:val="002763D8"/>
    <w:rsid w:val="00276779"/>
    <w:rsid w:val="0027691F"/>
    <w:rsid w:val="00276A4D"/>
    <w:rsid w:val="00276CA5"/>
    <w:rsid w:val="002773CB"/>
    <w:rsid w:val="00277ED3"/>
    <w:rsid w:val="00280FDF"/>
    <w:rsid w:val="002814AE"/>
    <w:rsid w:val="002819B0"/>
    <w:rsid w:val="00281BCD"/>
    <w:rsid w:val="002824CA"/>
    <w:rsid w:val="00283498"/>
    <w:rsid w:val="002836DA"/>
    <w:rsid w:val="00283D73"/>
    <w:rsid w:val="002840FD"/>
    <w:rsid w:val="00284980"/>
    <w:rsid w:val="0028571F"/>
    <w:rsid w:val="002859C6"/>
    <w:rsid w:val="002860C6"/>
    <w:rsid w:val="00286526"/>
    <w:rsid w:val="00286B1B"/>
    <w:rsid w:val="00287065"/>
    <w:rsid w:val="00287780"/>
    <w:rsid w:val="002879D6"/>
    <w:rsid w:val="002879FB"/>
    <w:rsid w:val="00287FE0"/>
    <w:rsid w:val="00290004"/>
    <w:rsid w:val="002905CB"/>
    <w:rsid w:val="00290612"/>
    <w:rsid w:val="0029088D"/>
    <w:rsid w:val="002910A5"/>
    <w:rsid w:val="00291805"/>
    <w:rsid w:val="00291FEE"/>
    <w:rsid w:val="0029208D"/>
    <w:rsid w:val="00292A8E"/>
    <w:rsid w:val="002932D1"/>
    <w:rsid w:val="00293DF9"/>
    <w:rsid w:val="002947AC"/>
    <w:rsid w:val="00294B7B"/>
    <w:rsid w:val="00295BF6"/>
    <w:rsid w:val="00295DD6"/>
    <w:rsid w:val="00296041"/>
    <w:rsid w:val="00296708"/>
    <w:rsid w:val="00296856"/>
    <w:rsid w:val="002968E8"/>
    <w:rsid w:val="0029703A"/>
    <w:rsid w:val="002972EC"/>
    <w:rsid w:val="00297494"/>
    <w:rsid w:val="00297497"/>
    <w:rsid w:val="002974BD"/>
    <w:rsid w:val="00297662"/>
    <w:rsid w:val="002A0447"/>
    <w:rsid w:val="002A1235"/>
    <w:rsid w:val="002A1397"/>
    <w:rsid w:val="002A1DB5"/>
    <w:rsid w:val="002A2192"/>
    <w:rsid w:val="002A24CD"/>
    <w:rsid w:val="002A2C09"/>
    <w:rsid w:val="002A2C2A"/>
    <w:rsid w:val="002A2C2D"/>
    <w:rsid w:val="002A2D7B"/>
    <w:rsid w:val="002A43D9"/>
    <w:rsid w:val="002A47FE"/>
    <w:rsid w:val="002A4CB3"/>
    <w:rsid w:val="002A4EC9"/>
    <w:rsid w:val="002A5576"/>
    <w:rsid w:val="002A565F"/>
    <w:rsid w:val="002A5E46"/>
    <w:rsid w:val="002A6233"/>
    <w:rsid w:val="002A6341"/>
    <w:rsid w:val="002A6511"/>
    <w:rsid w:val="002A6A52"/>
    <w:rsid w:val="002A7B69"/>
    <w:rsid w:val="002A7BB3"/>
    <w:rsid w:val="002B076E"/>
    <w:rsid w:val="002B0913"/>
    <w:rsid w:val="002B0A99"/>
    <w:rsid w:val="002B0EBD"/>
    <w:rsid w:val="002B11AF"/>
    <w:rsid w:val="002B1A48"/>
    <w:rsid w:val="002B1B0B"/>
    <w:rsid w:val="002B2196"/>
    <w:rsid w:val="002B26E0"/>
    <w:rsid w:val="002B29D0"/>
    <w:rsid w:val="002B352F"/>
    <w:rsid w:val="002B366A"/>
    <w:rsid w:val="002B3D78"/>
    <w:rsid w:val="002B3DB4"/>
    <w:rsid w:val="002B4ADD"/>
    <w:rsid w:val="002B5BDD"/>
    <w:rsid w:val="002B5E02"/>
    <w:rsid w:val="002B6355"/>
    <w:rsid w:val="002B6C46"/>
    <w:rsid w:val="002B7692"/>
    <w:rsid w:val="002B7727"/>
    <w:rsid w:val="002B7780"/>
    <w:rsid w:val="002B78D0"/>
    <w:rsid w:val="002C05A1"/>
    <w:rsid w:val="002C0A4D"/>
    <w:rsid w:val="002C0D54"/>
    <w:rsid w:val="002C110D"/>
    <w:rsid w:val="002C13CF"/>
    <w:rsid w:val="002C2019"/>
    <w:rsid w:val="002C23B7"/>
    <w:rsid w:val="002C2BD0"/>
    <w:rsid w:val="002C3089"/>
    <w:rsid w:val="002C3276"/>
    <w:rsid w:val="002C366A"/>
    <w:rsid w:val="002C3965"/>
    <w:rsid w:val="002C3C3A"/>
    <w:rsid w:val="002C42B1"/>
    <w:rsid w:val="002C479D"/>
    <w:rsid w:val="002C4B6B"/>
    <w:rsid w:val="002C50A5"/>
    <w:rsid w:val="002C5417"/>
    <w:rsid w:val="002C66E4"/>
    <w:rsid w:val="002C699D"/>
    <w:rsid w:val="002C6E08"/>
    <w:rsid w:val="002C6E09"/>
    <w:rsid w:val="002C7D92"/>
    <w:rsid w:val="002D0F3E"/>
    <w:rsid w:val="002D115E"/>
    <w:rsid w:val="002D1208"/>
    <w:rsid w:val="002D1AB8"/>
    <w:rsid w:val="002D1D6E"/>
    <w:rsid w:val="002D2294"/>
    <w:rsid w:val="002D2686"/>
    <w:rsid w:val="002D3ED7"/>
    <w:rsid w:val="002D471C"/>
    <w:rsid w:val="002D4AD6"/>
    <w:rsid w:val="002D5074"/>
    <w:rsid w:val="002D6DD8"/>
    <w:rsid w:val="002D6EDD"/>
    <w:rsid w:val="002D70BE"/>
    <w:rsid w:val="002D7BD3"/>
    <w:rsid w:val="002D7C6A"/>
    <w:rsid w:val="002D7C7B"/>
    <w:rsid w:val="002E0097"/>
    <w:rsid w:val="002E00AF"/>
    <w:rsid w:val="002E027D"/>
    <w:rsid w:val="002E096A"/>
    <w:rsid w:val="002E0A9A"/>
    <w:rsid w:val="002E0B91"/>
    <w:rsid w:val="002E0CDE"/>
    <w:rsid w:val="002E103B"/>
    <w:rsid w:val="002E144A"/>
    <w:rsid w:val="002E2315"/>
    <w:rsid w:val="002E25AB"/>
    <w:rsid w:val="002E285E"/>
    <w:rsid w:val="002E286A"/>
    <w:rsid w:val="002E28B4"/>
    <w:rsid w:val="002E2999"/>
    <w:rsid w:val="002E2C9D"/>
    <w:rsid w:val="002E3A09"/>
    <w:rsid w:val="002E3D02"/>
    <w:rsid w:val="002E4077"/>
    <w:rsid w:val="002E47FC"/>
    <w:rsid w:val="002E4CFC"/>
    <w:rsid w:val="002E58A4"/>
    <w:rsid w:val="002E5DA1"/>
    <w:rsid w:val="002E5FBD"/>
    <w:rsid w:val="002E611F"/>
    <w:rsid w:val="002E657F"/>
    <w:rsid w:val="002E66AD"/>
    <w:rsid w:val="002E68EB"/>
    <w:rsid w:val="002E72B5"/>
    <w:rsid w:val="002E790E"/>
    <w:rsid w:val="002E7BB0"/>
    <w:rsid w:val="002F0DF2"/>
    <w:rsid w:val="002F17CE"/>
    <w:rsid w:val="002F17F3"/>
    <w:rsid w:val="002F2E8B"/>
    <w:rsid w:val="002F3294"/>
    <w:rsid w:val="002F32D8"/>
    <w:rsid w:val="002F3B4D"/>
    <w:rsid w:val="002F3EFC"/>
    <w:rsid w:val="002F3F1A"/>
    <w:rsid w:val="002F4C70"/>
    <w:rsid w:val="002F56DC"/>
    <w:rsid w:val="002F5EF8"/>
    <w:rsid w:val="002F6586"/>
    <w:rsid w:val="002F72A8"/>
    <w:rsid w:val="002F73D8"/>
    <w:rsid w:val="002F7A6A"/>
    <w:rsid w:val="002F7B8D"/>
    <w:rsid w:val="002F7EB4"/>
    <w:rsid w:val="003001D3"/>
    <w:rsid w:val="00300A34"/>
    <w:rsid w:val="00300C00"/>
    <w:rsid w:val="0030124D"/>
    <w:rsid w:val="003016AA"/>
    <w:rsid w:val="00301A7A"/>
    <w:rsid w:val="0030229E"/>
    <w:rsid w:val="0030274D"/>
    <w:rsid w:val="003029E5"/>
    <w:rsid w:val="00302AEB"/>
    <w:rsid w:val="00302D3C"/>
    <w:rsid w:val="00302E0D"/>
    <w:rsid w:val="003034B0"/>
    <w:rsid w:val="003034F5"/>
    <w:rsid w:val="003037CB"/>
    <w:rsid w:val="003039CD"/>
    <w:rsid w:val="003040B2"/>
    <w:rsid w:val="0030450A"/>
    <w:rsid w:val="00304B4C"/>
    <w:rsid w:val="0030526A"/>
    <w:rsid w:val="003052FC"/>
    <w:rsid w:val="003055C4"/>
    <w:rsid w:val="00305A27"/>
    <w:rsid w:val="00305D61"/>
    <w:rsid w:val="00306110"/>
    <w:rsid w:val="00306F71"/>
    <w:rsid w:val="003073B0"/>
    <w:rsid w:val="0030773A"/>
    <w:rsid w:val="00307CF7"/>
    <w:rsid w:val="00307FB2"/>
    <w:rsid w:val="0031022C"/>
    <w:rsid w:val="00310925"/>
    <w:rsid w:val="00310FB9"/>
    <w:rsid w:val="00311A43"/>
    <w:rsid w:val="00311A92"/>
    <w:rsid w:val="00312FA8"/>
    <w:rsid w:val="0031303D"/>
    <w:rsid w:val="00313471"/>
    <w:rsid w:val="0031354C"/>
    <w:rsid w:val="0031364F"/>
    <w:rsid w:val="0031371B"/>
    <w:rsid w:val="00313E5E"/>
    <w:rsid w:val="00313F5F"/>
    <w:rsid w:val="003144D6"/>
    <w:rsid w:val="00315612"/>
    <w:rsid w:val="00315A10"/>
    <w:rsid w:val="00315E6C"/>
    <w:rsid w:val="0031647F"/>
    <w:rsid w:val="0031671D"/>
    <w:rsid w:val="00316847"/>
    <w:rsid w:val="003177FD"/>
    <w:rsid w:val="003179AA"/>
    <w:rsid w:val="00317B2B"/>
    <w:rsid w:val="00317CE5"/>
    <w:rsid w:val="00317DEE"/>
    <w:rsid w:val="003204F3"/>
    <w:rsid w:val="003211AA"/>
    <w:rsid w:val="0032144B"/>
    <w:rsid w:val="003217EA"/>
    <w:rsid w:val="00321D8B"/>
    <w:rsid w:val="00321DB3"/>
    <w:rsid w:val="003229DA"/>
    <w:rsid w:val="00322FE5"/>
    <w:rsid w:val="00323128"/>
    <w:rsid w:val="0032327D"/>
    <w:rsid w:val="00323DD4"/>
    <w:rsid w:val="00324369"/>
    <w:rsid w:val="0032441A"/>
    <w:rsid w:val="003251B0"/>
    <w:rsid w:val="003255B4"/>
    <w:rsid w:val="0032645D"/>
    <w:rsid w:val="00326525"/>
    <w:rsid w:val="003268D9"/>
    <w:rsid w:val="00326B7D"/>
    <w:rsid w:val="00326D6F"/>
    <w:rsid w:val="00326DC0"/>
    <w:rsid w:val="003272AC"/>
    <w:rsid w:val="003272B2"/>
    <w:rsid w:val="003276BD"/>
    <w:rsid w:val="00330101"/>
    <w:rsid w:val="003301BF"/>
    <w:rsid w:val="003310AE"/>
    <w:rsid w:val="00331176"/>
    <w:rsid w:val="00331735"/>
    <w:rsid w:val="0033187C"/>
    <w:rsid w:val="0033200C"/>
    <w:rsid w:val="00332AD8"/>
    <w:rsid w:val="003339F1"/>
    <w:rsid w:val="00334065"/>
    <w:rsid w:val="0033492A"/>
    <w:rsid w:val="003352CF"/>
    <w:rsid w:val="0033545F"/>
    <w:rsid w:val="00335A89"/>
    <w:rsid w:val="003363FE"/>
    <w:rsid w:val="00336DEF"/>
    <w:rsid w:val="00336E79"/>
    <w:rsid w:val="003372DB"/>
    <w:rsid w:val="00337324"/>
    <w:rsid w:val="0033750A"/>
    <w:rsid w:val="003379A2"/>
    <w:rsid w:val="00337E97"/>
    <w:rsid w:val="00340188"/>
    <w:rsid w:val="003404D1"/>
    <w:rsid w:val="00340C81"/>
    <w:rsid w:val="00340FB5"/>
    <w:rsid w:val="00341148"/>
    <w:rsid w:val="00341227"/>
    <w:rsid w:val="0034191A"/>
    <w:rsid w:val="00341FA8"/>
    <w:rsid w:val="003421A8"/>
    <w:rsid w:val="00342A67"/>
    <w:rsid w:val="00342DE0"/>
    <w:rsid w:val="00343019"/>
    <w:rsid w:val="003430DC"/>
    <w:rsid w:val="003438FD"/>
    <w:rsid w:val="0034393C"/>
    <w:rsid w:val="00343987"/>
    <w:rsid w:val="00343E1A"/>
    <w:rsid w:val="00343F4B"/>
    <w:rsid w:val="00344256"/>
    <w:rsid w:val="003452D9"/>
    <w:rsid w:val="00345403"/>
    <w:rsid w:val="003466AA"/>
    <w:rsid w:val="00346BA5"/>
    <w:rsid w:val="00346BEB"/>
    <w:rsid w:val="00347C27"/>
    <w:rsid w:val="0035038C"/>
    <w:rsid w:val="00350B34"/>
    <w:rsid w:val="003513EF"/>
    <w:rsid w:val="0035167F"/>
    <w:rsid w:val="00351886"/>
    <w:rsid w:val="00352080"/>
    <w:rsid w:val="003521E5"/>
    <w:rsid w:val="003521FB"/>
    <w:rsid w:val="00352296"/>
    <w:rsid w:val="0035239D"/>
    <w:rsid w:val="00352869"/>
    <w:rsid w:val="00352D1C"/>
    <w:rsid w:val="0035305F"/>
    <w:rsid w:val="003535C7"/>
    <w:rsid w:val="00353BCC"/>
    <w:rsid w:val="00353DCE"/>
    <w:rsid w:val="003542CC"/>
    <w:rsid w:val="00354F90"/>
    <w:rsid w:val="003550D2"/>
    <w:rsid w:val="003558EC"/>
    <w:rsid w:val="00355DD8"/>
    <w:rsid w:val="00355EBE"/>
    <w:rsid w:val="00356920"/>
    <w:rsid w:val="00356E56"/>
    <w:rsid w:val="00357303"/>
    <w:rsid w:val="0035748E"/>
    <w:rsid w:val="00357A91"/>
    <w:rsid w:val="00357F38"/>
    <w:rsid w:val="00357F60"/>
    <w:rsid w:val="0036056D"/>
    <w:rsid w:val="003617FF"/>
    <w:rsid w:val="00361AA1"/>
    <w:rsid w:val="00361E2E"/>
    <w:rsid w:val="003626C0"/>
    <w:rsid w:val="00362E9F"/>
    <w:rsid w:val="00363000"/>
    <w:rsid w:val="0036456E"/>
    <w:rsid w:val="00364B39"/>
    <w:rsid w:val="00364D04"/>
    <w:rsid w:val="00365886"/>
    <w:rsid w:val="00365A06"/>
    <w:rsid w:val="00365F37"/>
    <w:rsid w:val="0036619B"/>
    <w:rsid w:val="00366422"/>
    <w:rsid w:val="00366563"/>
    <w:rsid w:val="003669C3"/>
    <w:rsid w:val="00366E17"/>
    <w:rsid w:val="00366EA3"/>
    <w:rsid w:val="00370282"/>
    <w:rsid w:val="00370DFD"/>
    <w:rsid w:val="00370FC8"/>
    <w:rsid w:val="003712A8"/>
    <w:rsid w:val="003721B8"/>
    <w:rsid w:val="003723A3"/>
    <w:rsid w:val="00372BDD"/>
    <w:rsid w:val="003736FD"/>
    <w:rsid w:val="0037565E"/>
    <w:rsid w:val="00376949"/>
    <w:rsid w:val="00376C53"/>
    <w:rsid w:val="003770F1"/>
    <w:rsid w:val="003771BC"/>
    <w:rsid w:val="00377416"/>
    <w:rsid w:val="0038010C"/>
    <w:rsid w:val="00380325"/>
    <w:rsid w:val="003803F5"/>
    <w:rsid w:val="0038056F"/>
    <w:rsid w:val="003805EC"/>
    <w:rsid w:val="003807F1"/>
    <w:rsid w:val="00380BDC"/>
    <w:rsid w:val="00381FCB"/>
    <w:rsid w:val="0038209D"/>
    <w:rsid w:val="00382490"/>
    <w:rsid w:val="00382AC9"/>
    <w:rsid w:val="003830C0"/>
    <w:rsid w:val="00383251"/>
    <w:rsid w:val="00383C18"/>
    <w:rsid w:val="00383C2A"/>
    <w:rsid w:val="00384243"/>
    <w:rsid w:val="00384255"/>
    <w:rsid w:val="00384892"/>
    <w:rsid w:val="003849FE"/>
    <w:rsid w:val="00384BE8"/>
    <w:rsid w:val="00385759"/>
    <w:rsid w:val="00385916"/>
    <w:rsid w:val="00385969"/>
    <w:rsid w:val="00386156"/>
    <w:rsid w:val="003861BA"/>
    <w:rsid w:val="0038664F"/>
    <w:rsid w:val="0038672C"/>
    <w:rsid w:val="00386892"/>
    <w:rsid w:val="00386BCF"/>
    <w:rsid w:val="00386C0F"/>
    <w:rsid w:val="00386D45"/>
    <w:rsid w:val="003871E1"/>
    <w:rsid w:val="00387289"/>
    <w:rsid w:val="003872B0"/>
    <w:rsid w:val="00387CE2"/>
    <w:rsid w:val="003901C1"/>
    <w:rsid w:val="0039028D"/>
    <w:rsid w:val="003907D7"/>
    <w:rsid w:val="003907DE"/>
    <w:rsid w:val="00390F52"/>
    <w:rsid w:val="0039138D"/>
    <w:rsid w:val="0039153E"/>
    <w:rsid w:val="003915FF"/>
    <w:rsid w:val="003916B7"/>
    <w:rsid w:val="0039195B"/>
    <w:rsid w:val="00391BD2"/>
    <w:rsid w:val="00391F7D"/>
    <w:rsid w:val="00391FAF"/>
    <w:rsid w:val="00391FBF"/>
    <w:rsid w:val="00392065"/>
    <w:rsid w:val="00392E65"/>
    <w:rsid w:val="00392ECA"/>
    <w:rsid w:val="00392F3C"/>
    <w:rsid w:val="00393E01"/>
    <w:rsid w:val="00394CDE"/>
    <w:rsid w:val="00395D26"/>
    <w:rsid w:val="00395E69"/>
    <w:rsid w:val="00396174"/>
    <w:rsid w:val="00396237"/>
    <w:rsid w:val="003962E5"/>
    <w:rsid w:val="00396561"/>
    <w:rsid w:val="00396907"/>
    <w:rsid w:val="00396A45"/>
    <w:rsid w:val="00396DBA"/>
    <w:rsid w:val="00396ED4"/>
    <w:rsid w:val="0039763B"/>
    <w:rsid w:val="003A05AD"/>
    <w:rsid w:val="003A07A8"/>
    <w:rsid w:val="003A16E2"/>
    <w:rsid w:val="003A1891"/>
    <w:rsid w:val="003A19B6"/>
    <w:rsid w:val="003A1C2F"/>
    <w:rsid w:val="003A1E36"/>
    <w:rsid w:val="003A2404"/>
    <w:rsid w:val="003A393F"/>
    <w:rsid w:val="003A3A57"/>
    <w:rsid w:val="003A3E50"/>
    <w:rsid w:val="003A40A3"/>
    <w:rsid w:val="003A4B4E"/>
    <w:rsid w:val="003A5090"/>
    <w:rsid w:val="003A50A1"/>
    <w:rsid w:val="003A56F9"/>
    <w:rsid w:val="003A57D3"/>
    <w:rsid w:val="003A5A8E"/>
    <w:rsid w:val="003A63FD"/>
    <w:rsid w:val="003A69AF"/>
    <w:rsid w:val="003A7CB2"/>
    <w:rsid w:val="003B0040"/>
    <w:rsid w:val="003B02C6"/>
    <w:rsid w:val="003B04C5"/>
    <w:rsid w:val="003B0A78"/>
    <w:rsid w:val="003B0B95"/>
    <w:rsid w:val="003B0DBA"/>
    <w:rsid w:val="003B108F"/>
    <w:rsid w:val="003B1217"/>
    <w:rsid w:val="003B27D2"/>
    <w:rsid w:val="003B2FB2"/>
    <w:rsid w:val="003B3671"/>
    <w:rsid w:val="003B3B72"/>
    <w:rsid w:val="003B471B"/>
    <w:rsid w:val="003B4748"/>
    <w:rsid w:val="003B4842"/>
    <w:rsid w:val="003B4A1E"/>
    <w:rsid w:val="003B4B42"/>
    <w:rsid w:val="003B4BCF"/>
    <w:rsid w:val="003B4C7D"/>
    <w:rsid w:val="003B4CE3"/>
    <w:rsid w:val="003B5496"/>
    <w:rsid w:val="003B5548"/>
    <w:rsid w:val="003B5A83"/>
    <w:rsid w:val="003B5AE7"/>
    <w:rsid w:val="003B6E08"/>
    <w:rsid w:val="003B76E2"/>
    <w:rsid w:val="003B7D6B"/>
    <w:rsid w:val="003B7F6C"/>
    <w:rsid w:val="003C008A"/>
    <w:rsid w:val="003C008E"/>
    <w:rsid w:val="003C0426"/>
    <w:rsid w:val="003C043B"/>
    <w:rsid w:val="003C05BF"/>
    <w:rsid w:val="003C1920"/>
    <w:rsid w:val="003C1F7A"/>
    <w:rsid w:val="003C2121"/>
    <w:rsid w:val="003C22C7"/>
    <w:rsid w:val="003C2531"/>
    <w:rsid w:val="003C34E4"/>
    <w:rsid w:val="003C38A8"/>
    <w:rsid w:val="003C3D1F"/>
    <w:rsid w:val="003C3DD3"/>
    <w:rsid w:val="003C3E46"/>
    <w:rsid w:val="003C40A7"/>
    <w:rsid w:val="003C47C9"/>
    <w:rsid w:val="003C4BB5"/>
    <w:rsid w:val="003C5FFB"/>
    <w:rsid w:val="003C624A"/>
    <w:rsid w:val="003C6534"/>
    <w:rsid w:val="003C6841"/>
    <w:rsid w:val="003C702E"/>
    <w:rsid w:val="003C709B"/>
    <w:rsid w:val="003C73CC"/>
    <w:rsid w:val="003C76F7"/>
    <w:rsid w:val="003C7A9A"/>
    <w:rsid w:val="003C7E7A"/>
    <w:rsid w:val="003C7EC9"/>
    <w:rsid w:val="003D10DA"/>
    <w:rsid w:val="003D1682"/>
    <w:rsid w:val="003D182B"/>
    <w:rsid w:val="003D184A"/>
    <w:rsid w:val="003D1A73"/>
    <w:rsid w:val="003D1C4E"/>
    <w:rsid w:val="003D1FF2"/>
    <w:rsid w:val="003D2AAD"/>
    <w:rsid w:val="003D2C43"/>
    <w:rsid w:val="003D2F84"/>
    <w:rsid w:val="003D3167"/>
    <w:rsid w:val="003D3484"/>
    <w:rsid w:val="003D35B6"/>
    <w:rsid w:val="003D35F1"/>
    <w:rsid w:val="003D3901"/>
    <w:rsid w:val="003D3980"/>
    <w:rsid w:val="003D3FE9"/>
    <w:rsid w:val="003D4052"/>
    <w:rsid w:val="003D43E2"/>
    <w:rsid w:val="003D4415"/>
    <w:rsid w:val="003D4A9A"/>
    <w:rsid w:val="003D50A5"/>
    <w:rsid w:val="003D5201"/>
    <w:rsid w:val="003D544C"/>
    <w:rsid w:val="003D5AFE"/>
    <w:rsid w:val="003D5C34"/>
    <w:rsid w:val="003D5D43"/>
    <w:rsid w:val="003D5D9B"/>
    <w:rsid w:val="003D6245"/>
    <w:rsid w:val="003D6384"/>
    <w:rsid w:val="003D658A"/>
    <w:rsid w:val="003D6932"/>
    <w:rsid w:val="003D69C2"/>
    <w:rsid w:val="003D6CBC"/>
    <w:rsid w:val="003D6E30"/>
    <w:rsid w:val="003D73F0"/>
    <w:rsid w:val="003D76AE"/>
    <w:rsid w:val="003D7967"/>
    <w:rsid w:val="003D7ABF"/>
    <w:rsid w:val="003D7E47"/>
    <w:rsid w:val="003E0017"/>
    <w:rsid w:val="003E0EB1"/>
    <w:rsid w:val="003E1312"/>
    <w:rsid w:val="003E13BA"/>
    <w:rsid w:val="003E16A7"/>
    <w:rsid w:val="003E16FB"/>
    <w:rsid w:val="003E1B98"/>
    <w:rsid w:val="003E27A5"/>
    <w:rsid w:val="003E3DF7"/>
    <w:rsid w:val="003E410D"/>
    <w:rsid w:val="003E452E"/>
    <w:rsid w:val="003E455B"/>
    <w:rsid w:val="003E4843"/>
    <w:rsid w:val="003E4B08"/>
    <w:rsid w:val="003E5212"/>
    <w:rsid w:val="003E58A0"/>
    <w:rsid w:val="003E5C4E"/>
    <w:rsid w:val="003E6273"/>
    <w:rsid w:val="003E6351"/>
    <w:rsid w:val="003E704F"/>
    <w:rsid w:val="003E7148"/>
    <w:rsid w:val="003F08AF"/>
    <w:rsid w:val="003F0A96"/>
    <w:rsid w:val="003F1689"/>
    <w:rsid w:val="003F1733"/>
    <w:rsid w:val="003F1942"/>
    <w:rsid w:val="003F2183"/>
    <w:rsid w:val="003F21ED"/>
    <w:rsid w:val="003F22AF"/>
    <w:rsid w:val="003F2321"/>
    <w:rsid w:val="003F2601"/>
    <w:rsid w:val="003F2633"/>
    <w:rsid w:val="003F3622"/>
    <w:rsid w:val="003F41DD"/>
    <w:rsid w:val="003F4DDF"/>
    <w:rsid w:val="003F514A"/>
    <w:rsid w:val="003F51F0"/>
    <w:rsid w:val="003F6CDE"/>
    <w:rsid w:val="003F7055"/>
    <w:rsid w:val="003F70EC"/>
    <w:rsid w:val="003F7258"/>
    <w:rsid w:val="003F752E"/>
    <w:rsid w:val="003F7C08"/>
    <w:rsid w:val="003F7D81"/>
    <w:rsid w:val="00400148"/>
    <w:rsid w:val="00400AEB"/>
    <w:rsid w:val="00400C17"/>
    <w:rsid w:val="00400E2C"/>
    <w:rsid w:val="00400EC2"/>
    <w:rsid w:val="0040186B"/>
    <w:rsid w:val="004020EF"/>
    <w:rsid w:val="0040235D"/>
    <w:rsid w:val="00402428"/>
    <w:rsid w:val="004024BE"/>
    <w:rsid w:val="00402AF9"/>
    <w:rsid w:val="00402F6A"/>
    <w:rsid w:val="00403807"/>
    <w:rsid w:val="00403999"/>
    <w:rsid w:val="004047E0"/>
    <w:rsid w:val="0040521D"/>
    <w:rsid w:val="00405772"/>
    <w:rsid w:val="00405C83"/>
    <w:rsid w:val="00405FD1"/>
    <w:rsid w:val="004061FF"/>
    <w:rsid w:val="004062CA"/>
    <w:rsid w:val="00406365"/>
    <w:rsid w:val="00406506"/>
    <w:rsid w:val="00406522"/>
    <w:rsid w:val="004072BF"/>
    <w:rsid w:val="0040740D"/>
    <w:rsid w:val="00407A58"/>
    <w:rsid w:val="00407E56"/>
    <w:rsid w:val="0041027B"/>
    <w:rsid w:val="004103EA"/>
    <w:rsid w:val="004108A3"/>
    <w:rsid w:val="00410CB5"/>
    <w:rsid w:val="004118FD"/>
    <w:rsid w:val="004121F1"/>
    <w:rsid w:val="00412839"/>
    <w:rsid w:val="00412E6B"/>
    <w:rsid w:val="0041381A"/>
    <w:rsid w:val="00413992"/>
    <w:rsid w:val="00413A96"/>
    <w:rsid w:val="00413BD7"/>
    <w:rsid w:val="00413E6C"/>
    <w:rsid w:val="004142DE"/>
    <w:rsid w:val="00414F05"/>
    <w:rsid w:val="004154D1"/>
    <w:rsid w:val="00415589"/>
    <w:rsid w:val="00415CEA"/>
    <w:rsid w:val="0041661E"/>
    <w:rsid w:val="004167A0"/>
    <w:rsid w:val="004167E5"/>
    <w:rsid w:val="00416ABC"/>
    <w:rsid w:val="00416B54"/>
    <w:rsid w:val="00416B73"/>
    <w:rsid w:val="00416BA9"/>
    <w:rsid w:val="0041726C"/>
    <w:rsid w:val="00417A31"/>
    <w:rsid w:val="00417A50"/>
    <w:rsid w:val="0042018F"/>
    <w:rsid w:val="00420CBF"/>
    <w:rsid w:val="004217D0"/>
    <w:rsid w:val="004218EC"/>
    <w:rsid w:val="0042190A"/>
    <w:rsid w:val="0042222F"/>
    <w:rsid w:val="00422412"/>
    <w:rsid w:val="00422CFB"/>
    <w:rsid w:val="00422FA0"/>
    <w:rsid w:val="00423208"/>
    <w:rsid w:val="00423598"/>
    <w:rsid w:val="00423D7B"/>
    <w:rsid w:val="0042429B"/>
    <w:rsid w:val="00424358"/>
    <w:rsid w:val="00424C26"/>
    <w:rsid w:val="00424DF2"/>
    <w:rsid w:val="00425001"/>
    <w:rsid w:val="00425566"/>
    <w:rsid w:val="0042559E"/>
    <w:rsid w:val="00425AA8"/>
    <w:rsid w:val="004263C9"/>
    <w:rsid w:val="0042660E"/>
    <w:rsid w:val="004268F3"/>
    <w:rsid w:val="004269E6"/>
    <w:rsid w:val="004269F6"/>
    <w:rsid w:val="00426C95"/>
    <w:rsid w:val="00426EB0"/>
    <w:rsid w:val="0042701C"/>
    <w:rsid w:val="00427961"/>
    <w:rsid w:val="00427A5B"/>
    <w:rsid w:val="00427B91"/>
    <w:rsid w:val="00430019"/>
    <w:rsid w:val="00430937"/>
    <w:rsid w:val="00430ADB"/>
    <w:rsid w:val="00430CE3"/>
    <w:rsid w:val="004312E5"/>
    <w:rsid w:val="004315B2"/>
    <w:rsid w:val="00431682"/>
    <w:rsid w:val="00431D25"/>
    <w:rsid w:val="00432A61"/>
    <w:rsid w:val="00432A82"/>
    <w:rsid w:val="00432ABB"/>
    <w:rsid w:val="00432CEA"/>
    <w:rsid w:val="00432D49"/>
    <w:rsid w:val="0043328A"/>
    <w:rsid w:val="004332D8"/>
    <w:rsid w:val="00433377"/>
    <w:rsid w:val="004343EF"/>
    <w:rsid w:val="00434593"/>
    <w:rsid w:val="00434D0C"/>
    <w:rsid w:val="00435370"/>
    <w:rsid w:val="00435723"/>
    <w:rsid w:val="004359FF"/>
    <w:rsid w:val="00435DBA"/>
    <w:rsid w:val="004364E7"/>
    <w:rsid w:val="004367DD"/>
    <w:rsid w:val="0043692B"/>
    <w:rsid w:val="00436972"/>
    <w:rsid w:val="004369F0"/>
    <w:rsid w:val="00436DC9"/>
    <w:rsid w:val="00437E85"/>
    <w:rsid w:val="0044076C"/>
    <w:rsid w:val="00440AF9"/>
    <w:rsid w:val="004411F4"/>
    <w:rsid w:val="004420FF"/>
    <w:rsid w:val="004424D1"/>
    <w:rsid w:val="004424D6"/>
    <w:rsid w:val="0044324B"/>
    <w:rsid w:val="004434BA"/>
    <w:rsid w:val="004438B0"/>
    <w:rsid w:val="0044425F"/>
    <w:rsid w:val="0044460B"/>
    <w:rsid w:val="004446A9"/>
    <w:rsid w:val="00444F01"/>
    <w:rsid w:val="0044519B"/>
    <w:rsid w:val="0044558C"/>
    <w:rsid w:val="00445B0E"/>
    <w:rsid w:val="004462EE"/>
    <w:rsid w:val="0044634D"/>
    <w:rsid w:val="0044651F"/>
    <w:rsid w:val="00446B19"/>
    <w:rsid w:val="00446D41"/>
    <w:rsid w:val="00446F69"/>
    <w:rsid w:val="004473F3"/>
    <w:rsid w:val="004474DC"/>
    <w:rsid w:val="00447EE3"/>
    <w:rsid w:val="00450802"/>
    <w:rsid w:val="00450949"/>
    <w:rsid w:val="0045098D"/>
    <w:rsid w:val="00450D6F"/>
    <w:rsid w:val="00450F6A"/>
    <w:rsid w:val="00450FD5"/>
    <w:rsid w:val="004515F5"/>
    <w:rsid w:val="0045160D"/>
    <w:rsid w:val="0045178E"/>
    <w:rsid w:val="004519A5"/>
    <w:rsid w:val="00451C41"/>
    <w:rsid w:val="00451C52"/>
    <w:rsid w:val="00451DFC"/>
    <w:rsid w:val="00451E9A"/>
    <w:rsid w:val="004522DE"/>
    <w:rsid w:val="004524CB"/>
    <w:rsid w:val="0045272A"/>
    <w:rsid w:val="004529BD"/>
    <w:rsid w:val="00452DBD"/>
    <w:rsid w:val="00452EC2"/>
    <w:rsid w:val="00453670"/>
    <w:rsid w:val="004547CC"/>
    <w:rsid w:val="00454B94"/>
    <w:rsid w:val="00454C59"/>
    <w:rsid w:val="00454FBB"/>
    <w:rsid w:val="0045505C"/>
    <w:rsid w:val="0045532D"/>
    <w:rsid w:val="004557FA"/>
    <w:rsid w:val="004558E7"/>
    <w:rsid w:val="0045597F"/>
    <w:rsid w:val="00455ED0"/>
    <w:rsid w:val="0045693F"/>
    <w:rsid w:val="0045694B"/>
    <w:rsid w:val="00456FDF"/>
    <w:rsid w:val="0045706F"/>
    <w:rsid w:val="00457184"/>
    <w:rsid w:val="004575CB"/>
    <w:rsid w:val="00457DEB"/>
    <w:rsid w:val="00457EAB"/>
    <w:rsid w:val="004600F2"/>
    <w:rsid w:val="00460251"/>
    <w:rsid w:val="00460436"/>
    <w:rsid w:val="004608B7"/>
    <w:rsid w:val="00460B21"/>
    <w:rsid w:val="00460C51"/>
    <w:rsid w:val="00460F07"/>
    <w:rsid w:val="00461076"/>
    <w:rsid w:val="00461543"/>
    <w:rsid w:val="00461748"/>
    <w:rsid w:val="004617CD"/>
    <w:rsid w:val="0046229F"/>
    <w:rsid w:val="00462F16"/>
    <w:rsid w:val="00463897"/>
    <w:rsid w:val="00464031"/>
    <w:rsid w:val="00464AC0"/>
    <w:rsid w:val="00464F55"/>
    <w:rsid w:val="00465525"/>
    <w:rsid w:val="00465619"/>
    <w:rsid w:val="00466267"/>
    <w:rsid w:val="0046631C"/>
    <w:rsid w:val="00467683"/>
    <w:rsid w:val="00467AC9"/>
    <w:rsid w:val="00467BDF"/>
    <w:rsid w:val="00467CC1"/>
    <w:rsid w:val="00470352"/>
    <w:rsid w:val="00470604"/>
    <w:rsid w:val="00470B97"/>
    <w:rsid w:val="004710C8"/>
    <w:rsid w:val="004715ED"/>
    <w:rsid w:val="00471899"/>
    <w:rsid w:val="00471E04"/>
    <w:rsid w:val="00472448"/>
    <w:rsid w:val="004729AE"/>
    <w:rsid w:val="00473487"/>
    <w:rsid w:val="00473799"/>
    <w:rsid w:val="00473AFF"/>
    <w:rsid w:val="0047408D"/>
    <w:rsid w:val="0047413E"/>
    <w:rsid w:val="00474218"/>
    <w:rsid w:val="00474E65"/>
    <w:rsid w:val="00474F17"/>
    <w:rsid w:val="004751A8"/>
    <w:rsid w:val="00475E85"/>
    <w:rsid w:val="004766A6"/>
    <w:rsid w:val="004768DF"/>
    <w:rsid w:val="00476B6C"/>
    <w:rsid w:val="00477375"/>
    <w:rsid w:val="004778FF"/>
    <w:rsid w:val="00480EA4"/>
    <w:rsid w:val="00480F3C"/>
    <w:rsid w:val="004810B8"/>
    <w:rsid w:val="00481163"/>
    <w:rsid w:val="004812A8"/>
    <w:rsid w:val="00481328"/>
    <w:rsid w:val="00481443"/>
    <w:rsid w:val="00481CA9"/>
    <w:rsid w:val="0048276F"/>
    <w:rsid w:val="00483611"/>
    <w:rsid w:val="004837DE"/>
    <w:rsid w:val="00483AAB"/>
    <w:rsid w:val="004841EE"/>
    <w:rsid w:val="004843D2"/>
    <w:rsid w:val="00484465"/>
    <w:rsid w:val="004849AD"/>
    <w:rsid w:val="00484C73"/>
    <w:rsid w:val="004850FF"/>
    <w:rsid w:val="00485299"/>
    <w:rsid w:val="004854C1"/>
    <w:rsid w:val="00485850"/>
    <w:rsid w:val="00485AF8"/>
    <w:rsid w:val="00485EB0"/>
    <w:rsid w:val="00486248"/>
    <w:rsid w:val="004865A5"/>
    <w:rsid w:val="004867FB"/>
    <w:rsid w:val="00487542"/>
    <w:rsid w:val="004900D4"/>
    <w:rsid w:val="00490569"/>
    <w:rsid w:val="00490592"/>
    <w:rsid w:val="00490A87"/>
    <w:rsid w:val="00490F4F"/>
    <w:rsid w:val="00490FC0"/>
    <w:rsid w:val="0049120C"/>
    <w:rsid w:val="004912E0"/>
    <w:rsid w:val="00491330"/>
    <w:rsid w:val="00491369"/>
    <w:rsid w:val="004913DF"/>
    <w:rsid w:val="00491581"/>
    <w:rsid w:val="0049159A"/>
    <w:rsid w:val="0049197B"/>
    <w:rsid w:val="00492182"/>
    <w:rsid w:val="00492603"/>
    <w:rsid w:val="004934A8"/>
    <w:rsid w:val="00493CDA"/>
    <w:rsid w:val="00493EC3"/>
    <w:rsid w:val="00494419"/>
    <w:rsid w:val="00494C9A"/>
    <w:rsid w:val="00494E24"/>
    <w:rsid w:val="00495086"/>
    <w:rsid w:val="00495745"/>
    <w:rsid w:val="004960CB"/>
    <w:rsid w:val="00496160"/>
    <w:rsid w:val="004963AE"/>
    <w:rsid w:val="004968B5"/>
    <w:rsid w:val="00496F13"/>
    <w:rsid w:val="004971CE"/>
    <w:rsid w:val="00497526"/>
    <w:rsid w:val="00497663"/>
    <w:rsid w:val="00497ED2"/>
    <w:rsid w:val="004A0101"/>
    <w:rsid w:val="004A0158"/>
    <w:rsid w:val="004A08D1"/>
    <w:rsid w:val="004A10C6"/>
    <w:rsid w:val="004A1614"/>
    <w:rsid w:val="004A18BE"/>
    <w:rsid w:val="004A1FE3"/>
    <w:rsid w:val="004A2823"/>
    <w:rsid w:val="004A2E4A"/>
    <w:rsid w:val="004A35EB"/>
    <w:rsid w:val="004A3722"/>
    <w:rsid w:val="004A3D3A"/>
    <w:rsid w:val="004A3D86"/>
    <w:rsid w:val="004A43AE"/>
    <w:rsid w:val="004A44E2"/>
    <w:rsid w:val="004A534B"/>
    <w:rsid w:val="004A597A"/>
    <w:rsid w:val="004A5ABF"/>
    <w:rsid w:val="004A5C22"/>
    <w:rsid w:val="004A5CAD"/>
    <w:rsid w:val="004A5D52"/>
    <w:rsid w:val="004A5D59"/>
    <w:rsid w:val="004A626C"/>
    <w:rsid w:val="004A674C"/>
    <w:rsid w:val="004A67D7"/>
    <w:rsid w:val="004A68CF"/>
    <w:rsid w:val="004A6944"/>
    <w:rsid w:val="004A749A"/>
    <w:rsid w:val="004A7938"/>
    <w:rsid w:val="004A7951"/>
    <w:rsid w:val="004B099A"/>
    <w:rsid w:val="004B0A39"/>
    <w:rsid w:val="004B118E"/>
    <w:rsid w:val="004B26DF"/>
    <w:rsid w:val="004B3808"/>
    <w:rsid w:val="004B3951"/>
    <w:rsid w:val="004B3AB9"/>
    <w:rsid w:val="004B3F6F"/>
    <w:rsid w:val="004B4296"/>
    <w:rsid w:val="004B43D9"/>
    <w:rsid w:val="004B4F67"/>
    <w:rsid w:val="004B5273"/>
    <w:rsid w:val="004B5D4A"/>
    <w:rsid w:val="004B6D12"/>
    <w:rsid w:val="004B72CF"/>
    <w:rsid w:val="004C0164"/>
    <w:rsid w:val="004C08D2"/>
    <w:rsid w:val="004C0EE7"/>
    <w:rsid w:val="004C0FCE"/>
    <w:rsid w:val="004C1532"/>
    <w:rsid w:val="004C1A37"/>
    <w:rsid w:val="004C25CB"/>
    <w:rsid w:val="004C28BB"/>
    <w:rsid w:val="004C2AB2"/>
    <w:rsid w:val="004C2FBF"/>
    <w:rsid w:val="004C3EFC"/>
    <w:rsid w:val="004C4282"/>
    <w:rsid w:val="004C43D4"/>
    <w:rsid w:val="004C4C17"/>
    <w:rsid w:val="004C58C3"/>
    <w:rsid w:val="004C5AF9"/>
    <w:rsid w:val="004C5B4C"/>
    <w:rsid w:val="004C5D15"/>
    <w:rsid w:val="004C5DB8"/>
    <w:rsid w:val="004C5DD0"/>
    <w:rsid w:val="004C6089"/>
    <w:rsid w:val="004C63AF"/>
    <w:rsid w:val="004C72C3"/>
    <w:rsid w:val="004C735D"/>
    <w:rsid w:val="004C77AE"/>
    <w:rsid w:val="004C7920"/>
    <w:rsid w:val="004D00C2"/>
    <w:rsid w:val="004D01E9"/>
    <w:rsid w:val="004D026C"/>
    <w:rsid w:val="004D02BC"/>
    <w:rsid w:val="004D0343"/>
    <w:rsid w:val="004D03E6"/>
    <w:rsid w:val="004D183B"/>
    <w:rsid w:val="004D2392"/>
    <w:rsid w:val="004D339D"/>
    <w:rsid w:val="004D3832"/>
    <w:rsid w:val="004D3DD1"/>
    <w:rsid w:val="004D3ECC"/>
    <w:rsid w:val="004D3FE4"/>
    <w:rsid w:val="004D40AC"/>
    <w:rsid w:val="004D4767"/>
    <w:rsid w:val="004D4AC6"/>
    <w:rsid w:val="004D4B83"/>
    <w:rsid w:val="004D58EC"/>
    <w:rsid w:val="004D5B78"/>
    <w:rsid w:val="004D5B8E"/>
    <w:rsid w:val="004D5D1F"/>
    <w:rsid w:val="004D607A"/>
    <w:rsid w:val="004D6581"/>
    <w:rsid w:val="004D67EF"/>
    <w:rsid w:val="004D68B2"/>
    <w:rsid w:val="004D6CD1"/>
    <w:rsid w:val="004D745A"/>
    <w:rsid w:val="004D7623"/>
    <w:rsid w:val="004D79FA"/>
    <w:rsid w:val="004E094E"/>
    <w:rsid w:val="004E1BFF"/>
    <w:rsid w:val="004E22BF"/>
    <w:rsid w:val="004E22D5"/>
    <w:rsid w:val="004E2330"/>
    <w:rsid w:val="004E2421"/>
    <w:rsid w:val="004E2C11"/>
    <w:rsid w:val="004E2DE3"/>
    <w:rsid w:val="004E378F"/>
    <w:rsid w:val="004E3D9D"/>
    <w:rsid w:val="004E4001"/>
    <w:rsid w:val="004E407F"/>
    <w:rsid w:val="004E4669"/>
    <w:rsid w:val="004E4BCE"/>
    <w:rsid w:val="004E4D4E"/>
    <w:rsid w:val="004E63C0"/>
    <w:rsid w:val="004E6DD5"/>
    <w:rsid w:val="004E786C"/>
    <w:rsid w:val="004E7A20"/>
    <w:rsid w:val="004E7CF7"/>
    <w:rsid w:val="004E7EBC"/>
    <w:rsid w:val="004F0449"/>
    <w:rsid w:val="004F103D"/>
    <w:rsid w:val="004F11A0"/>
    <w:rsid w:val="004F14E2"/>
    <w:rsid w:val="004F17F8"/>
    <w:rsid w:val="004F1C6A"/>
    <w:rsid w:val="004F22E9"/>
    <w:rsid w:val="004F27EE"/>
    <w:rsid w:val="004F285C"/>
    <w:rsid w:val="004F2CF0"/>
    <w:rsid w:val="004F31AE"/>
    <w:rsid w:val="004F44F9"/>
    <w:rsid w:val="004F46AF"/>
    <w:rsid w:val="004F4F68"/>
    <w:rsid w:val="004F51E3"/>
    <w:rsid w:val="004F580A"/>
    <w:rsid w:val="004F59CA"/>
    <w:rsid w:val="004F6173"/>
    <w:rsid w:val="004F67A7"/>
    <w:rsid w:val="004F67BC"/>
    <w:rsid w:val="004F6AEA"/>
    <w:rsid w:val="004F6EA2"/>
    <w:rsid w:val="004F76D4"/>
    <w:rsid w:val="004F7B95"/>
    <w:rsid w:val="005001AF"/>
    <w:rsid w:val="00500209"/>
    <w:rsid w:val="005008C0"/>
    <w:rsid w:val="00501092"/>
    <w:rsid w:val="0050143D"/>
    <w:rsid w:val="00501478"/>
    <w:rsid w:val="00501699"/>
    <w:rsid w:val="00501947"/>
    <w:rsid w:val="00501ADA"/>
    <w:rsid w:val="00502054"/>
    <w:rsid w:val="00502635"/>
    <w:rsid w:val="00502AC3"/>
    <w:rsid w:val="0050368C"/>
    <w:rsid w:val="0050397F"/>
    <w:rsid w:val="00503C83"/>
    <w:rsid w:val="005043B2"/>
    <w:rsid w:val="005046E0"/>
    <w:rsid w:val="0050546A"/>
    <w:rsid w:val="0050568D"/>
    <w:rsid w:val="00505B32"/>
    <w:rsid w:val="00505F72"/>
    <w:rsid w:val="0050606E"/>
    <w:rsid w:val="005065CE"/>
    <w:rsid w:val="0050720A"/>
    <w:rsid w:val="0050759E"/>
    <w:rsid w:val="005075A4"/>
    <w:rsid w:val="00507C58"/>
    <w:rsid w:val="005103B7"/>
    <w:rsid w:val="00510CDD"/>
    <w:rsid w:val="00510E78"/>
    <w:rsid w:val="00511E7A"/>
    <w:rsid w:val="0051222A"/>
    <w:rsid w:val="0051234D"/>
    <w:rsid w:val="005123CC"/>
    <w:rsid w:val="00512665"/>
    <w:rsid w:val="00512BCE"/>
    <w:rsid w:val="00513306"/>
    <w:rsid w:val="00513845"/>
    <w:rsid w:val="00514213"/>
    <w:rsid w:val="00514660"/>
    <w:rsid w:val="0051494D"/>
    <w:rsid w:val="005154D8"/>
    <w:rsid w:val="005156A8"/>
    <w:rsid w:val="00515FBF"/>
    <w:rsid w:val="005160F3"/>
    <w:rsid w:val="005165D6"/>
    <w:rsid w:val="00517467"/>
    <w:rsid w:val="005175FF"/>
    <w:rsid w:val="00517B26"/>
    <w:rsid w:val="0052006C"/>
    <w:rsid w:val="00520D20"/>
    <w:rsid w:val="00520E0E"/>
    <w:rsid w:val="00521333"/>
    <w:rsid w:val="0052135C"/>
    <w:rsid w:val="00521971"/>
    <w:rsid w:val="00521CAB"/>
    <w:rsid w:val="00522264"/>
    <w:rsid w:val="00522903"/>
    <w:rsid w:val="00522D4B"/>
    <w:rsid w:val="00523B5D"/>
    <w:rsid w:val="00523C90"/>
    <w:rsid w:val="0052423C"/>
    <w:rsid w:val="00524706"/>
    <w:rsid w:val="005265F8"/>
    <w:rsid w:val="005266EC"/>
    <w:rsid w:val="00526C40"/>
    <w:rsid w:val="00526E4D"/>
    <w:rsid w:val="005275ED"/>
    <w:rsid w:val="0052771D"/>
    <w:rsid w:val="00527A24"/>
    <w:rsid w:val="00530621"/>
    <w:rsid w:val="005306B0"/>
    <w:rsid w:val="00530725"/>
    <w:rsid w:val="00530838"/>
    <w:rsid w:val="00530FB7"/>
    <w:rsid w:val="005311BA"/>
    <w:rsid w:val="0053160F"/>
    <w:rsid w:val="00531B1F"/>
    <w:rsid w:val="00531B68"/>
    <w:rsid w:val="00532302"/>
    <w:rsid w:val="0053241E"/>
    <w:rsid w:val="005324AC"/>
    <w:rsid w:val="00532A0F"/>
    <w:rsid w:val="00532DAC"/>
    <w:rsid w:val="00532EE5"/>
    <w:rsid w:val="00534324"/>
    <w:rsid w:val="005348A2"/>
    <w:rsid w:val="00534F2E"/>
    <w:rsid w:val="00534FC7"/>
    <w:rsid w:val="00535149"/>
    <w:rsid w:val="005354E4"/>
    <w:rsid w:val="005354E5"/>
    <w:rsid w:val="00535C60"/>
    <w:rsid w:val="00536B83"/>
    <w:rsid w:val="00537CD0"/>
    <w:rsid w:val="00540017"/>
    <w:rsid w:val="005407D2"/>
    <w:rsid w:val="00540F77"/>
    <w:rsid w:val="00541306"/>
    <w:rsid w:val="00541610"/>
    <w:rsid w:val="00541BF3"/>
    <w:rsid w:val="00541CC8"/>
    <w:rsid w:val="00541CEC"/>
    <w:rsid w:val="00541F98"/>
    <w:rsid w:val="005420CF"/>
    <w:rsid w:val="00542BE3"/>
    <w:rsid w:val="00543791"/>
    <w:rsid w:val="0054399B"/>
    <w:rsid w:val="00543B8C"/>
    <w:rsid w:val="00544BBE"/>
    <w:rsid w:val="005455C4"/>
    <w:rsid w:val="00545C7C"/>
    <w:rsid w:val="00545F7F"/>
    <w:rsid w:val="0054616A"/>
    <w:rsid w:val="0054729B"/>
    <w:rsid w:val="0054763C"/>
    <w:rsid w:val="00547EA3"/>
    <w:rsid w:val="005503B8"/>
    <w:rsid w:val="0055055C"/>
    <w:rsid w:val="00550979"/>
    <w:rsid w:val="00550B98"/>
    <w:rsid w:val="00550FDD"/>
    <w:rsid w:val="005510B7"/>
    <w:rsid w:val="005518AA"/>
    <w:rsid w:val="00551E66"/>
    <w:rsid w:val="00551EFE"/>
    <w:rsid w:val="00552586"/>
    <w:rsid w:val="005527FE"/>
    <w:rsid w:val="00552B07"/>
    <w:rsid w:val="00552BD2"/>
    <w:rsid w:val="00552D72"/>
    <w:rsid w:val="00552F07"/>
    <w:rsid w:val="00552F8D"/>
    <w:rsid w:val="00553DB8"/>
    <w:rsid w:val="00553EC5"/>
    <w:rsid w:val="005547C5"/>
    <w:rsid w:val="00555422"/>
    <w:rsid w:val="00555503"/>
    <w:rsid w:val="005558BE"/>
    <w:rsid w:val="00555F95"/>
    <w:rsid w:val="005569E4"/>
    <w:rsid w:val="00556D34"/>
    <w:rsid w:val="005578E1"/>
    <w:rsid w:val="00557AB1"/>
    <w:rsid w:val="00557B9A"/>
    <w:rsid w:val="005609B9"/>
    <w:rsid w:val="0056105E"/>
    <w:rsid w:val="00561330"/>
    <w:rsid w:val="00561B90"/>
    <w:rsid w:val="00562318"/>
    <w:rsid w:val="005624BF"/>
    <w:rsid w:val="0056256C"/>
    <w:rsid w:val="00562811"/>
    <w:rsid w:val="00563182"/>
    <w:rsid w:val="00563804"/>
    <w:rsid w:val="00564451"/>
    <w:rsid w:val="005650C1"/>
    <w:rsid w:val="0056570C"/>
    <w:rsid w:val="0056571E"/>
    <w:rsid w:val="00565F87"/>
    <w:rsid w:val="0056605A"/>
    <w:rsid w:val="005660D3"/>
    <w:rsid w:val="00566288"/>
    <w:rsid w:val="0056650F"/>
    <w:rsid w:val="0056700A"/>
    <w:rsid w:val="00567102"/>
    <w:rsid w:val="00567D3B"/>
    <w:rsid w:val="0057012C"/>
    <w:rsid w:val="005703D4"/>
    <w:rsid w:val="005704E9"/>
    <w:rsid w:val="005706AB"/>
    <w:rsid w:val="00570C5D"/>
    <w:rsid w:val="00570E99"/>
    <w:rsid w:val="0057106D"/>
    <w:rsid w:val="00571ACB"/>
    <w:rsid w:val="00571E16"/>
    <w:rsid w:val="00572689"/>
    <w:rsid w:val="0057297C"/>
    <w:rsid w:val="00572B98"/>
    <w:rsid w:val="00572C6F"/>
    <w:rsid w:val="00572F51"/>
    <w:rsid w:val="00573310"/>
    <w:rsid w:val="005736D9"/>
    <w:rsid w:val="00573764"/>
    <w:rsid w:val="00573B95"/>
    <w:rsid w:val="00573E04"/>
    <w:rsid w:val="00574306"/>
    <w:rsid w:val="00574E82"/>
    <w:rsid w:val="0057541D"/>
    <w:rsid w:val="00575539"/>
    <w:rsid w:val="00575735"/>
    <w:rsid w:val="00575C41"/>
    <w:rsid w:val="00575CE0"/>
    <w:rsid w:val="00575DE9"/>
    <w:rsid w:val="00576C81"/>
    <w:rsid w:val="00576D45"/>
    <w:rsid w:val="005773A1"/>
    <w:rsid w:val="0057746E"/>
    <w:rsid w:val="00577AAB"/>
    <w:rsid w:val="00577ADB"/>
    <w:rsid w:val="0058051C"/>
    <w:rsid w:val="005807C4"/>
    <w:rsid w:val="0058090E"/>
    <w:rsid w:val="00580BE8"/>
    <w:rsid w:val="00580E3A"/>
    <w:rsid w:val="00581045"/>
    <w:rsid w:val="005810C9"/>
    <w:rsid w:val="005813CF"/>
    <w:rsid w:val="00581C40"/>
    <w:rsid w:val="0058270F"/>
    <w:rsid w:val="0058276A"/>
    <w:rsid w:val="00582E30"/>
    <w:rsid w:val="00582E7B"/>
    <w:rsid w:val="00583165"/>
    <w:rsid w:val="0058333E"/>
    <w:rsid w:val="0058440D"/>
    <w:rsid w:val="00584819"/>
    <w:rsid w:val="00584C05"/>
    <w:rsid w:val="005851CF"/>
    <w:rsid w:val="005856B2"/>
    <w:rsid w:val="00586188"/>
    <w:rsid w:val="005861C8"/>
    <w:rsid w:val="005861CC"/>
    <w:rsid w:val="005861FB"/>
    <w:rsid w:val="00586687"/>
    <w:rsid w:val="00586688"/>
    <w:rsid w:val="00586725"/>
    <w:rsid w:val="00587166"/>
    <w:rsid w:val="00587539"/>
    <w:rsid w:val="0058786D"/>
    <w:rsid w:val="00587A9C"/>
    <w:rsid w:val="005905B9"/>
    <w:rsid w:val="005907D2"/>
    <w:rsid w:val="00590A79"/>
    <w:rsid w:val="00590FE0"/>
    <w:rsid w:val="00591069"/>
    <w:rsid w:val="00591336"/>
    <w:rsid w:val="00591890"/>
    <w:rsid w:val="00591997"/>
    <w:rsid w:val="005929C8"/>
    <w:rsid w:val="005937A1"/>
    <w:rsid w:val="005937D6"/>
    <w:rsid w:val="00593856"/>
    <w:rsid w:val="00593BDE"/>
    <w:rsid w:val="0059504A"/>
    <w:rsid w:val="005950C9"/>
    <w:rsid w:val="0059526B"/>
    <w:rsid w:val="005953F8"/>
    <w:rsid w:val="005954EC"/>
    <w:rsid w:val="005955AC"/>
    <w:rsid w:val="0059572A"/>
    <w:rsid w:val="005959C0"/>
    <w:rsid w:val="00595C2F"/>
    <w:rsid w:val="00595D85"/>
    <w:rsid w:val="00595E89"/>
    <w:rsid w:val="00596C81"/>
    <w:rsid w:val="00596D4C"/>
    <w:rsid w:val="00596E3B"/>
    <w:rsid w:val="0059710E"/>
    <w:rsid w:val="00597169"/>
    <w:rsid w:val="005971B9"/>
    <w:rsid w:val="00597442"/>
    <w:rsid w:val="00597499"/>
    <w:rsid w:val="005977B9"/>
    <w:rsid w:val="00597AC1"/>
    <w:rsid w:val="00597F66"/>
    <w:rsid w:val="005A0486"/>
    <w:rsid w:val="005A07BB"/>
    <w:rsid w:val="005A0ABF"/>
    <w:rsid w:val="005A1725"/>
    <w:rsid w:val="005A2780"/>
    <w:rsid w:val="005A36AD"/>
    <w:rsid w:val="005A3795"/>
    <w:rsid w:val="005A3873"/>
    <w:rsid w:val="005A3A75"/>
    <w:rsid w:val="005A3E7F"/>
    <w:rsid w:val="005A42E2"/>
    <w:rsid w:val="005A49FF"/>
    <w:rsid w:val="005A5106"/>
    <w:rsid w:val="005A51A9"/>
    <w:rsid w:val="005A566C"/>
    <w:rsid w:val="005A570F"/>
    <w:rsid w:val="005A59C8"/>
    <w:rsid w:val="005A5CFE"/>
    <w:rsid w:val="005A5FE5"/>
    <w:rsid w:val="005A6F5F"/>
    <w:rsid w:val="005A70FC"/>
    <w:rsid w:val="005A716E"/>
    <w:rsid w:val="005A740E"/>
    <w:rsid w:val="005A7770"/>
    <w:rsid w:val="005A7D23"/>
    <w:rsid w:val="005B0D74"/>
    <w:rsid w:val="005B1363"/>
    <w:rsid w:val="005B142A"/>
    <w:rsid w:val="005B1BAE"/>
    <w:rsid w:val="005B240E"/>
    <w:rsid w:val="005B29A2"/>
    <w:rsid w:val="005B3E43"/>
    <w:rsid w:val="005B44CD"/>
    <w:rsid w:val="005B4A8D"/>
    <w:rsid w:val="005B543B"/>
    <w:rsid w:val="005B5546"/>
    <w:rsid w:val="005B57B9"/>
    <w:rsid w:val="005B5A50"/>
    <w:rsid w:val="005B613A"/>
    <w:rsid w:val="005B6161"/>
    <w:rsid w:val="005B6581"/>
    <w:rsid w:val="005B65CB"/>
    <w:rsid w:val="005B68F1"/>
    <w:rsid w:val="005B779B"/>
    <w:rsid w:val="005B7887"/>
    <w:rsid w:val="005B7A32"/>
    <w:rsid w:val="005B7C1C"/>
    <w:rsid w:val="005B7EC7"/>
    <w:rsid w:val="005C00D1"/>
    <w:rsid w:val="005C026A"/>
    <w:rsid w:val="005C03BF"/>
    <w:rsid w:val="005C20AE"/>
    <w:rsid w:val="005C233E"/>
    <w:rsid w:val="005C24BF"/>
    <w:rsid w:val="005C2A6F"/>
    <w:rsid w:val="005C2CE8"/>
    <w:rsid w:val="005C2FE7"/>
    <w:rsid w:val="005C3C7C"/>
    <w:rsid w:val="005C3CFA"/>
    <w:rsid w:val="005C3E72"/>
    <w:rsid w:val="005C3F57"/>
    <w:rsid w:val="005C40CB"/>
    <w:rsid w:val="005C4553"/>
    <w:rsid w:val="005C4878"/>
    <w:rsid w:val="005C554F"/>
    <w:rsid w:val="005C576A"/>
    <w:rsid w:val="005C584B"/>
    <w:rsid w:val="005C5AF0"/>
    <w:rsid w:val="005C5F73"/>
    <w:rsid w:val="005C65C7"/>
    <w:rsid w:val="005C6858"/>
    <w:rsid w:val="005C6AB9"/>
    <w:rsid w:val="005C72A8"/>
    <w:rsid w:val="005C7497"/>
    <w:rsid w:val="005C78EE"/>
    <w:rsid w:val="005C7B46"/>
    <w:rsid w:val="005C7D3B"/>
    <w:rsid w:val="005D01B6"/>
    <w:rsid w:val="005D04DF"/>
    <w:rsid w:val="005D1008"/>
    <w:rsid w:val="005D1169"/>
    <w:rsid w:val="005D1275"/>
    <w:rsid w:val="005D13B5"/>
    <w:rsid w:val="005D1467"/>
    <w:rsid w:val="005D1AC3"/>
    <w:rsid w:val="005D1C06"/>
    <w:rsid w:val="005D1C70"/>
    <w:rsid w:val="005D2671"/>
    <w:rsid w:val="005D26A6"/>
    <w:rsid w:val="005D2AE0"/>
    <w:rsid w:val="005D2C3C"/>
    <w:rsid w:val="005D4708"/>
    <w:rsid w:val="005D4F75"/>
    <w:rsid w:val="005D5616"/>
    <w:rsid w:val="005D5D0A"/>
    <w:rsid w:val="005D5E91"/>
    <w:rsid w:val="005D608E"/>
    <w:rsid w:val="005D725B"/>
    <w:rsid w:val="005D72CA"/>
    <w:rsid w:val="005D772A"/>
    <w:rsid w:val="005D7772"/>
    <w:rsid w:val="005D791A"/>
    <w:rsid w:val="005D7A61"/>
    <w:rsid w:val="005D7A9F"/>
    <w:rsid w:val="005D7EF7"/>
    <w:rsid w:val="005D7EF9"/>
    <w:rsid w:val="005E0362"/>
    <w:rsid w:val="005E03E6"/>
    <w:rsid w:val="005E0A55"/>
    <w:rsid w:val="005E0D32"/>
    <w:rsid w:val="005E0D67"/>
    <w:rsid w:val="005E0F6E"/>
    <w:rsid w:val="005E0FFA"/>
    <w:rsid w:val="005E216A"/>
    <w:rsid w:val="005E21E2"/>
    <w:rsid w:val="005E24CC"/>
    <w:rsid w:val="005E2AA2"/>
    <w:rsid w:val="005E32B1"/>
    <w:rsid w:val="005E3B96"/>
    <w:rsid w:val="005E3DC5"/>
    <w:rsid w:val="005E41DB"/>
    <w:rsid w:val="005E4401"/>
    <w:rsid w:val="005E45CC"/>
    <w:rsid w:val="005E5416"/>
    <w:rsid w:val="005E573B"/>
    <w:rsid w:val="005E5DD2"/>
    <w:rsid w:val="005E5E52"/>
    <w:rsid w:val="005E6301"/>
    <w:rsid w:val="005E665C"/>
    <w:rsid w:val="005E69FD"/>
    <w:rsid w:val="005E6D67"/>
    <w:rsid w:val="005E71AB"/>
    <w:rsid w:val="005E71FA"/>
    <w:rsid w:val="005E77E8"/>
    <w:rsid w:val="005E79B3"/>
    <w:rsid w:val="005E7E2A"/>
    <w:rsid w:val="005F00B1"/>
    <w:rsid w:val="005F08BF"/>
    <w:rsid w:val="005F12D1"/>
    <w:rsid w:val="005F1853"/>
    <w:rsid w:val="005F1C43"/>
    <w:rsid w:val="005F1D0B"/>
    <w:rsid w:val="005F1FD1"/>
    <w:rsid w:val="005F2FCD"/>
    <w:rsid w:val="005F3519"/>
    <w:rsid w:val="005F3EE6"/>
    <w:rsid w:val="005F3FBC"/>
    <w:rsid w:val="005F4806"/>
    <w:rsid w:val="005F4E67"/>
    <w:rsid w:val="005F54C5"/>
    <w:rsid w:val="005F58F8"/>
    <w:rsid w:val="005F6689"/>
    <w:rsid w:val="005F6796"/>
    <w:rsid w:val="005F692D"/>
    <w:rsid w:val="005F6DF1"/>
    <w:rsid w:val="005F6FCE"/>
    <w:rsid w:val="005F74F6"/>
    <w:rsid w:val="005F765A"/>
    <w:rsid w:val="005F79CB"/>
    <w:rsid w:val="005F79D2"/>
    <w:rsid w:val="005F7B48"/>
    <w:rsid w:val="005F7E25"/>
    <w:rsid w:val="005F7F13"/>
    <w:rsid w:val="00600614"/>
    <w:rsid w:val="0060094E"/>
    <w:rsid w:val="00601181"/>
    <w:rsid w:val="006016D9"/>
    <w:rsid w:val="0060271F"/>
    <w:rsid w:val="00602A83"/>
    <w:rsid w:val="00603637"/>
    <w:rsid w:val="00603645"/>
    <w:rsid w:val="00603825"/>
    <w:rsid w:val="00603F27"/>
    <w:rsid w:val="0060515E"/>
    <w:rsid w:val="0060535E"/>
    <w:rsid w:val="006059DF"/>
    <w:rsid w:val="00605B79"/>
    <w:rsid w:val="006066C8"/>
    <w:rsid w:val="00606B45"/>
    <w:rsid w:val="00606C88"/>
    <w:rsid w:val="00606EBF"/>
    <w:rsid w:val="00607006"/>
    <w:rsid w:val="00607063"/>
    <w:rsid w:val="0060713E"/>
    <w:rsid w:val="006073A9"/>
    <w:rsid w:val="0060781E"/>
    <w:rsid w:val="006079F5"/>
    <w:rsid w:val="00607D91"/>
    <w:rsid w:val="00607E91"/>
    <w:rsid w:val="00610C30"/>
    <w:rsid w:val="00610C63"/>
    <w:rsid w:val="006115B6"/>
    <w:rsid w:val="006116CF"/>
    <w:rsid w:val="00611BE5"/>
    <w:rsid w:val="00611DD0"/>
    <w:rsid w:val="00612135"/>
    <w:rsid w:val="006127B4"/>
    <w:rsid w:val="006130BC"/>
    <w:rsid w:val="006136DF"/>
    <w:rsid w:val="006136E4"/>
    <w:rsid w:val="00613E2D"/>
    <w:rsid w:val="00613FF9"/>
    <w:rsid w:val="00614512"/>
    <w:rsid w:val="00614C10"/>
    <w:rsid w:val="00614F7B"/>
    <w:rsid w:val="006153DF"/>
    <w:rsid w:val="006156A1"/>
    <w:rsid w:val="00615710"/>
    <w:rsid w:val="00615A8C"/>
    <w:rsid w:val="00615F73"/>
    <w:rsid w:val="00616359"/>
    <w:rsid w:val="006163B7"/>
    <w:rsid w:val="006164FC"/>
    <w:rsid w:val="00616CA4"/>
    <w:rsid w:val="006171B3"/>
    <w:rsid w:val="00617AAA"/>
    <w:rsid w:val="006200BF"/>
    <w:rsid w:val="006215F3"/>
    <w:rsid w:val="00621BC3"/>
    <w:rsid w:val="006232FE"/>
    <w:rsid w:val="00623745"/>
    <w:rsid w:val="00623821"/>
    <w:rsid w:val="0062396A"/>
    <w:rsid w:val="00623BC5"/>
    <w:rsid w:val="006240F2"/>
    <w:rsid w:val="00624155"/>
    <w:rsid w:val="006243DB"/>
    <w:rsid w:val="006246CA"/>
    <w:rsid w:val="00624708"/>
    <w:rsid w:val="0062473E"/>
    <w:rsid w:val="00624A16"/>
    <w:rsid w:val="00624F32"/>
    <w:rsid w:val="0062564C"/>
    <w:rsid w:val="00625EAD"/>
    <w:rsid w:val="006262F9"/>
    <w:rsid w:val="006273CF"/>
    <w:rsid w:val="0062751F"/>
    <w:rsid w:val="0062767F"/>
    <w:rsid w:val="00627C2C"/>
    <w:rsid w:val="0063016B"/>
    <w:rsid w:val="00630F0A"/>
    <w:rsid w:val="00632859"/>
    <w:rsid w:val="00632B6E"/>
    <w:rsid w:val="00633061"/>
    <w:rsid w:val="00633186"/>
    <w:rsid w:val="006336F5"/>
    <w:rsid w:val="0063382C"/>
    <w:rsid w:val="00633860"/>
    <w:rsid w:val="00633942"/>
    <w:rsid w:val="00633993"/>
    <w:rsid w:val="00634102"/>
    <w:rsid w:val="00634302"/>
    <w:rsid w:val="006344BD"/>
    <w:rsid w:val="0063451C"/>
    <w:rsid w:val="006346EF"/>
    <w:rsid w:val="00634B93"/>
    <w:rsid w:val="00634D98"/>
    <w:rsid w:val="00634DA2"/>
    <w:rsid w:val="00635715"/>
    <w:rsid w:val="006363FD"/>
    <w:rsid w:val="0063692C"/>
    <w:rsid w:val="00636936"/>
    <w:rsid w:val="00636F84"/>
    <w:rsid w:val="00636F8A"/>
    <w:rsid w:val="00637011"/>
    <w:rsid w:val="00637CE2"/>
    <w:rsid w:val="0064008E"/>
    <w:rsid w:val="00640953"/>
    <w:rsid w:val="00640D01"/>
    <w:rsid w:val="0064202A"/>
    <w:rsid w:val="006421D3"/>
    <w:rsid w:val="00642C08"/>
    <w:rsid w:val="0064389B"/>
    <w:rsid w:val="0064396E"/>
    <w:rsid w:val="00643DF5"/>
    <w:rsid w:val="00643FA2"/>
    <w:rsid w:val="006441A4"/>
    <w:rsid w:val="006442C4"/>
    <w:rsid w:val="00644868"/>
    <w:rsid w:val="00644F39"/>
    <w:rsid w:val="006458E6"/>
    <w:rsid w:val="00645940"/>
    <w:rsid w:val="00645A52"/>
    <w:rsid w:val="00646445"/>
    <w:rsid w:val="0064701A"/>
    <w:rsid w:val="00647AA1"/>
    <w:rsid w:val="00647FC0"/>
    <w:rsid w:val="0065004E"/>
    <w:rsid w:val="0065046B"/>
    <w:rsid w:val="00651004"/>
    <w:rsid w:val="006511C7"/>
    <w:rsid w:val="00651886"/>
    <w:rsid w:val="00651A6A"/>
    <w:rsid w:val="00651B6A"/>
    <w:rsid w:val="00651C08"/>
    <w:rsid w:val="00652023"/>
    <w:rsid w:val="006520FD"/>
    <w:rsid w:val="00652A4B"/>
    <w:rsid w:val="00653689"/>
    <w:rsid w:val="0065381C"/>
    <w:rsid w:val="006538A9"/>
    <w:rsid w:val="0065485A"/>
    <w:rsid w:val="00654892"/>
    <w:rsid w:val="00654C59"/>
    <w:rsid w:val="00655576"/>
    <w:rsid w:val="006557B6"/>
    <w:rsid w:val="00655A66"/>
    <w:rsid w:val="0065621D"/>
    <w:rsid w:val="00656574"/>
    <w:rsid w:val="0065657B"/>
    <w:rsid w:val="006573E9"/>
    <w:rsid w:val="006576F6"/>
    <w:rsid w:val="00657A36"/>
    <w:rsid w:val="00657F87"/>
    <w:rsid w:val="0066041A"/>
    <w:rsid w:val="006604EA"/>
    <w:rsid w:val="00660AB2"/>
    <w:rsid w:val="00660AC1"/>
    <w:rsid w:val="00660BE9"/>
    <w:rsid w:val="00660DC2"/>
    <w:rsid w:val="00660E4E"/>
    <w:rsid w:val="00661956"/>
    <w:rsid w:val="00661B64"/>
    <w:rsid w:val="006625F5"/>
    <w:rsid w:val="006628E5"/>
    <w:rsid w:val="00663536"/>
    <w:rsid w:val="00663587"/>
    <w:rsid w:val="006635B0"/>
    <w:rsid w:val="006639C6"/>
    <w:rsid w:val="006645CA"/>
    <w:rsid w:val="0066468E"/>
    <w:rsid w:val="00664796"/>
    <w:rsid w:val="00664D3D"/>
    <w:rsid w:val="00664E01"/>
    <w:rsid w:val="0066510E"/>
    <w:rsid w:val="006652C6"/>
    <w:rsid w:val="006653B9"/>
    <w:rsid w:val="00665873"/>
    <w:rsid w:val="00666D6E"/>
    <w:rsid w:val="00666FCD"/>
    <w:rsid w:val="006673C4"/>
    <w:rsid w:val="00667E89"/>
    <w:rsid w:val="00670213"/>
    <w:rsid w:val="00670ABD"/>
    <w:rsid w:val="00670C16"/>
    <w:rsid w:val="00673A94"/>
    <w:rsid w:val="00673D85"/>
    <w:rsid w:val="00673E31"/>
    <w:rsid w:val="0067412F"/>
    <w:rsid w:val="0067450A"/>
    <w:rsid w:val="006747FB"/>
    <w:rsid w:val="006753E1"/>
    <w:rsid w:val="00675508"/>
    <w:rsid w:val="00675A26"/>
    <w:rsid w:val="00675A80"/>
    <w:rsid w:val="006763CA"/>
    <w:rsid w:val="00676673"/>
    <w:rsid w:val="00676A5D"/>
    <w:rsid w:val="00677642"/>
    <w:rsid w:val="006778D8"/>
    <w:rsid w:val="0067797D"/>
    <w:rsid w:val="00677AE2"/>
    <w:rsid w:val="00677F07"/>
    <w:rsid w:val="00680500"/>
    <w:rsid w:val="00680736"/>
    <w:rsid w:val="00680B7E"/>
    <w:rsid w:val="0068135C"/>
    <w:rsid w:val="0068172D"/>
    <w:rsid w:val="00681757"/>
    <w:rsid w:val="006817E4"/>
    <w:rsid w:val="00681976"/>
    <w:rsid w:val="00681BEC"/>
    <w:rsid w:val="00681CE5"/>
    <w:rsid w:val="00681E6A"/>
    <w:rsid w:val="0068213C"/>
    <w:rsid w:val="0068221A"/>
    <w:rsid w:val="00682552"/>
    <w:rsid w:val="00682660"/>
    <w:rsid w:val="00683700"/>
    <w:rsid w:val="00683904"/>
    <w:rsid w:val="00683F7C"/>
    <w:rsid w:val="0068449C"/>
    <w:rsid w:val="006846E3"/>
    <w:rsid w:val="00684847"/>
    <w:rsid w:val="00684955"/>
    <w:rsid w:val="006855B8"/>
    <w:rsid w:val="00685924"/>
    <w:rsid w:val="006859C0"/>
    <w:rsid w:val="006861C6"/>
    <w:rsid w:val="0068637C"/>
    <w:rsid w:val="006864D1"/>
    <w:rsid w:val="00686CE2"/>
    <w:rsid w:val="00686FC7"/>
    <w:rsid w:val="0068745E"/>
    <w:rsid w:val="00687E2C"/>
    <w:rsid w:val="00690063"/>
    <w:rsid w:val="006901F3"/>
    <w:rsid w:val="00690A1A"/>
    <w:rsid w:val="00691096"/>
    <w:rsid w:val="00691247"/>
    <w:rsid w:val="0069191F"/>
    <w:rsid w:val="00691B4B"/>
    <w:rsid w:val="00692143"/>
    <w:rsid w:val="0069244B"/>
    <w:rsid w:val="0069266B"/>
    <w:rsid w:val="00692D15"/>
    <w:rsid w:val="0069335C"/>
    <w:rsid w:val="00693BF5"/>
    <w:rsid w:val="00693F30"/>
    <w:rsid w:val="00694D4A"/>
    <w:rsid w:val="00694ECB"/>
    <w:rsid w:val="00695012"/>
    <w:rsid w:val="00695470"/>
    <w:rsid w:val="00695E5E"/>
    <w:rsid w:val="006961B8"/>
    <w:rsid w:val="006974C3"/>
    <w:rsid w:val="00697B87"/>
    <w:rsid w:val="006A0418"/>
    <w:rsid w:val="006A043D"/>
    <w:rsid w:val="006A07B4"/>
    <w:rsid w:val="006A09A8"/>
    <w:rsid w:val="006A0C43"/>
    <w:rsid w:val="006A2786"/>
    <w:rsid w:val="006A2898"/>
    <w:rsid w:val="006A2961"/>
    <w:rsid w:val="006A2C3C"/>
    <w:rsid w:val="006A2CCD"/>
    <w:rsid w:val="006A2E1F"/>
    <w:rsid w:val="006A30B9"/>
    <w:rsid w:val="006A3D94"/>
    <w:rsid w:val="006A4500"/>
    <w:rsid w:val="006A4890"/>
    <w:rsid w:val="006A570E"/>
    <w:rsid w:val="006A5D5F"/>
    <w:rsid w:val="006A5F50"/>
    <w:rsid w:val="006A609E"/>
    <w:rsid w:val="006A619E"/>
    <w:rsid w:val="006A62B9"/>
    <w:rsid w:val="006A6726"/>
    <w:rsid w:val="006A6804"/>
    <w:rsid w:val="006A7567"/>
    <w:rsid w:val="006A75BC"/>
    <w:rsid w:val="006A75CF"/>
    <w:rsid w:val="006A7AED"/>
    <w:rsid w:val="006A7B0A"/>
    <w:rsid w:val="006B0963"/>
    <w:rsid w:val="006B0C18"/>
    <w:rsid w:val="006B1967"/>
    <w:rsid w:val="006B1DBD"/>
    <w:rsid w:val="006B1EED"/>
    <w:rsid w:val="006B204D"/>
    <w:rsid w:val="006B2114"/>
    <w:rsid w:val="006B26CC"/>
    <w:rsid w:val="006B2700"/>
    <w:rsid w:val="006B27F5"/>
    <w:rsid w:val="006B30F9"/>
    <w:rsid w:val="006B3166"/>
    <w:rsid w:val="006B39E4"/>
    <w:rsid w:val="006B4B94"/>
    <w:rsid w:val="006B5005"/>
    <w:rsid w:val="006B547B"/>
    <w:rsid w:val="006B5567"/>
    <w:rsid w:val="006B5609"/>
    <w:rsid w:val="006B5BD6"/>
    <w:rsid w:val="006B5C13"/>
    <w:rsid w:val="006B5C5F"/>
    <w:rsid w:val="006B6293"/>
    <w:rsid w:val="006B65D7"/>
    <w:rsid w:val="006B6DA4"/>
    <w:rsid w:val="006B7704"/>
    <w:rsid w:val="006B78C8"/>
    <w:rsid w:val="006C04C9"/>
    <w:rsid w:val="006C0777"/>
    <w:rsid w:val="006C14F2"/>
    <w:rsid w:val="006C193A"/>
    <w:rsid w:val="006C2A4C"/>
    <w:rsid w:val="006C3941"/>
    <w:rsid w:val="006C3BE8"/>
    <w:rsid w:val="006C3F34"/>
    <w:rsid w:val="006C4798"/>
    <w:rsid w:val="006C47B8"/>
    <w:rsid w:val="006C4970"/>
    <w:rsid w:val="006C4D2E"/>
    <w:rsid w:val="006C4DEE"/>
    <w:rsid w:val="006C4F5B"/>
    <w:rsid w:val="006C5289"/>
    <w:rsid w:val="006C5394"/>
    <w:rsid w:val="006C550E"/>
    <w:rsid w:val="006C5BF6"/>
    <w:rsid w:val="006C649C"/>
    <w:rsid w:val="006C6936"/>
    <w:rsid w:val="006C6B23"/>
    <w:rsid w:val="006C6D61"/>
    <w:rsid w:val="006C6FF5"/>
    <w:rsid w:val="006C7541"/>
    <w:rsid w:val="006D0304"/>
    <w:rsid w:val="006D0590"/>
    <w:rsid w:val="006D0936"/>
    <w:rsid w:val="006D0AF5"/>
    <w:rsid w:val="006D0C3A"/>
    <w:rsid w:val="006D1153"/>
    <w:rsid w:val="006D21EF"/>
    <w:rsid w:val="006D2665"/>
    <w:rsid w:val="006D2BB2"/>
    <w:rsid w:val="006D2D69"/>
    <w:rsid w:val="006D30B8"/>
    <w:rsid w:val="006D385E"/>
    <w:rsid w:val="006D40CB"/>
    <w:rsid w:val="006D4682"/>
    <w:rsid w:val="006D4950"/>
    <w:rsid w:val="006D4F0F"/>
    <w:rsid w:val="006D4F89"/>
    <w:rsid w:val="006D5CFA"/>
    <w:rsid w:val="006D6996"/>
    <w:rsid w:val="006D6FCA"/>
    <w:rsid w:val="006D77C0"/>
    <w:rsid w:val="006D7B56"/>
    <w:rsid w:val="006D7D11"/>
    <w:rsid w:val="006E01C8"/>
    <w:rsid w:val="006E041A"/>
    <w:rsid w:val="006E07C4"/>
    <w:rsid w:val="006E109D"/>
    <w:rsid w:val="006E10B9"/>
    <w:rsid w:val="006E11C0"/>
    <w:rsid w:val="006E278A"/>
    <w:rsid w:val="006E2A90"/>
    <w:rsid w:val="006E3251"/>
    <w:rsid w:val="006E3381"/>
    <w:rsid w:val="006E36AB"/>
    <w:rsid w:val="006E3789"/>
    <w:rsid w:val="006E3AFA"/>
    <w:rsid w:val="006E3D10"/>
    <w:rsid w:val="006E42AF"/>
    <w:rsid w:val="006E48BD"/>
    <w:rsid w:val="006E494B"/>
    <w:rsid w:val="006E4D3C"/>
    <w:rsid w:val="006E503E"/>
    <w:rsid w:val="006E5782"/>
    <w:rsid w:val="006E5B35"/>
    <w:rsid w:val="006E6159"/>
    <w:rsid w:val="006E640D"/>
    <w:rsid w:val="006E6615"/>
    <w:rsid w:val="006E6625"/>
    <w:rsid w:val="006E669F"/>
    <w:rsid w:val="006E6A42"/>
    <w:rsid w:val="006E6D57"/>
    <w:rsid w:val="006E6EDE"/>
    <w:rsid w:val="006E790A"/>
    <w:rsid w:val="006E791A"/>
    <w:rsid w:val="006F079B"/>
    <w:rsid w:val="006F08AD"/>
    <w:rsid w:val="006F11C0"/>
    <w:rsid w:val="006F1706"/>
    <w:rsid w:val="006F19A0"/>
    <w:rsid w:val="006F1B6E"/>
    <w:rsid w:val="006F2200"/>
    <w:rsid w:val="006F231E"/>
    <w:rsid w:val="006F2470"/>
    <w:rsid w:val="006F331F"/>
    <w:rsid w:val="006F3F06"/>
    <w:rsid w:val="006F433F"/>
    <w:rsid w:val="006F43F6"/>
    <w:rsid w:val="006F4FE5"/>
    <w:rsid w:val="006F513A"/>
    <w:rsid w:val="006F53D6"/>
    <w:rsid w:val="006F565C"/>
    <w:rsid w:val="006F5C1B"/>
    <w:rsid w:val="006F6015"/>
    <w:rsid w:val="006F614E"/>
    <w:rsid w:val="006F687E"/>
    <w:rsid w:val="006F6A86"/>
    <w:rsid w:val="006F6D21"/>
    <w:rsid w:val="006F7096"/>
    <w:rsid w:val="006F7182"/>
    <w:rsid w:val="006F7390"/>
    <w:rsid w:val="006F74A5"/>
    <w:rsid w:val="006F7FEF"/>
    <w:rsid w:val="0070059E"/>
    <w:rsid w:val="00701E24"/>
    <w:rsid w:val="00701EE6"/>
    <w:rsid w:val="007020F7"/>
    <w:rsid w:val="00703128"/>
    <w:rsid w:val="00703EE6"/>
    <w:rsid w:val="0070440C"/>
    <w:rsid w:val="007047BB"/>
    <w:rsid w:val="0070511F"/>
    <w:rsid w:val="0070523B"/>
    <w:rsid w:val="007053FE"/>
    <w:rsid w:val="00705AC1"/>
    <w:rsid w:val="00705EF9"/>
    <w:rsid w:val="00706992"/>
    <w:rsid w:val="00707544"/>
    <w:rsid w:val="007079CB"/>
    <w:rsid w:val="00707D9B"/>
    <w:rsid w:val="00710F55"/>
    <w:rsid w:val="007117ED"/>
    <w:rsid w:val="007117F5"/>
    <w:rsid w:val="00711A65"/>
    <w:rsid w:val="00712CEC"/>
    <w:rsid w:val="00713406"/>
    <w:rsid w:val="00714379"/>
    <w:rsid w:val="00714666"/>
    <w:rsid w:val="00714728"/>
    <w:rsid w:val="007150DB"/>
    <w:rsid w:val="007151E2"/>
    <w:rsid w:val="00715859"/>
    <w:rsid w:val="00715874"/>
    <w:rsid w:val="00715E7D"/>
    <w:rsid w:val="00716321"/>
    <w:rsid w:val="007168C9"/>
    <w:rsid w:val="007168F5"/>
    <w:rsid w:val="00717099"/>
    <w:rsid w:val="00717A7C"/>
    <w:rsid w:val="00717AED"/>
    <w:rsid w:val="007208FE"/>
    <w:rsid w:val="00721B5C"/>
    <w:rsid w:val="00721F1B"/>
    <w:rsid w:val="00722543"/>
    <w:rsid w:val="00723226"/>
    <w:rsid w:val="0072368E"/>
    <w:rsid w:val="00723ACB"/>
    <w:rsid w:val="00723D3A"/>
    <w:rsid w:val="00723E3C"/>
    <w:rsid w:val="007242ED"/>
    <w:rsid w:val="007247E6"/>
    <w:rsid w:val="00724964"/>
    <w:rsid w:val="00724B6D"/>
    <w:rsid w:val="0072502F"/>
    <w:rsid w:val="007251D6"/>
    <w:rsid w:val="00725BAF"/>
    <w:rsid w:val="00725F97"/>
    <w:rsid w:val="00726029"/>
    <w:rsid w:val="007265B8"/>
    <w:rsid w:val="00726CA9"/>
    <w:rsid w:val="00727298"/>
    <w:rsid w:val="00727655"/>
    <w:rsid w:val="00727A3A"/>
    <w:rsid w:val="00727B9C"/>
    <w:rsid w:val="00727CAB"/>
    <w:rsid w:val="00730350"/>
    <w:rsid w:val="00730907"/>
    <w:rsid w:val="00730B13"/>
    <w:rsid w:val="00730D9C"/>
    <w:rsid w:val="00731121"/>
    <w:rsid w:val="00731192"/>
    <w:rsid w:val="0073129F"/>
    <w:rsid w:val="0073163D"/>
    <w:rsid w:val="0073192E"/>
    <w:rsid w:val="007321F5"/>
    <w:rsid w:val="0073245F"/>
    <w:rsid w:val="00732A06"/>
    <w:rsid w:val="00732C20"/>
    <w:rsid w:val="00732CB6"/>
    <w:rsid w:val="00732D8B"/>
    <w:rsid w:val="00732DE9"/>
    <w:rsid w:val="007336AD"/>
    <w:rsid w:val="00733AF3"/>
    <w:rsid w:val="00733B59"/>
    <w:rsid w:val="0073460C"/>
    <w:rsid w:val="0073476D"/>
    <w:rsid w:val="0073499E"/>
    <w:rsid w:val="00734F3A"/>
    <w:rsid w:val="00735975"/>
    <w:rsid w:val="00735ACA"/>
    <w:rsid w:val="00735AF2"/>
    <w:rsid w:val="00735BFD"/>
    <w:rsid w:val="00735D2C"/>
    <w:rsid w:val="0073601F"/>
    <w:rsid w:val="00736A1D"/>
    <w:rsid w:val="00736CD6"/>
    <w:rsid w:val="00736FE8"/>
    <w:rsid w:val="00737034"/>
    <w:rsid w:val="00737083"/>
    <w:rsid w:val="0073773D"/>
    <w:rsid w:val="00737A7F"/>
    <w:rsid w:val="00737E91"/>
    <w:rsid w:val="0074020D"/>
    <w:rsid w:val="007409D0"/>
    <w:rsid w:val="00740F66"/>
    <w:rsid w:val="0074146B"/>
    <w:rsid w:val="00741696"/>
    <w:rsid w:val="007416C6"/>
    <w:rsid w:val="00742A9F"/>
    <w:rsid w:val="00742C45"/>
    <w:rsid w:val="00742DE6"/>
    <w:rsid w:val="00743B11"/>
    <w:rsid w:val="0074427F"/>
    <w:rsid w:val="0074496D"/>
    <w:rsid w:val="0074497E"/>
    <w:rsid w:val="00744A90"/>
    <w:rsid w:val="007451DA"/>
    <w:rsid w:val="007456A3"/>
    <w:rsid w:val="00745AE1"/>
    <w:rsid w:val="007461A3"/>
    <w:rsid w:val="00746952"/>
    <w:rsid w:val="00747804"/>
    <w:rsid w:val="00747B17"/>
    <w:rsid w:val="00747D6E"/>
    <w:rsid w:val="00750156"/>
    <w:rsid w:val="00750157"/>
    <w:rsid w:val="0075029E"/>
    <w:rsid w:val="00750712"/>
    <w:rsid w:val="007509EC"/>
    <w:rsid w:val="00751772"/>
    <w:rsid w:val="007517BD"/>
    <w:rsid w:val="00751844"/>
    <w:rsid w:val="00751954"/>
    <w:rsid w:val="00751C65"/>
    <w:rsid w:val="0075203E"/>
    <w:rsid w:val="007525CB"/>
    <w:rsid w:val="00752F1B"/>
    <w:rsid w:val="00753372"/>
    <w:rsid w:val="007534A0"/>
    <w:rsid w:val="00753C71"/>
    <w:rsid w:val="00753F81"/>
    <w:rsid w:val="0075438D"/>
    <w:rsid w:val="0075462F"/>
    <w:rsid w:val="00754875"/>
    <w:rsid w:val="00754C75"/>
    <w:rsid w:val="007557CD"/>
    <w:rsid w:val="00755A2A"/>
    <w:rsid w:val="00755CAB"/>
    <w:rsid w:val="00755F6D"/>
    <w:rsid w:val="007561B0"/>
    <w:rsid w:val="00756309"/>
    <w:rsid w:val="0075671B"/>
    <w:rsid w:val="00756FBB"/>
    <w:rsid w:val="00757465"/>
    <w:rsid w:val="007575C1"/>
    <w:rsid w:val="007576AE"/>
    <w:rsid w:val="00757A33"/>
    <w:rsid w:val="00757CBF"/>
    <w:rsid w:val="00757CF2"/>
    <w:rsid w:val="00757D27"/>
    <w:rsid w:val="00760DC5"/>
    <w:rsid w:val="00761025"/>
    <w:rsid w:val="007612D2"/>
    <w:rsid w:val="00761323"/>
    <w:rsid w:val="00761868"/>
    <w:rsid w:val="007623AE"/>
    <w:rsid w:val="0076309A"/>
    <w:rsid w:val="00763140"/>
    <w:rsid w:val="007632D8"/>
    <w:rsid w:val="0076370D"/>
    <w:rsid w:val="007637C4"/>
    <w:rsid w:val="00763CFE"/>
    <w:rsid w:val="00763D5A"/>
    <w:rsid w:val="00763E7B"/>
    <w:rsid w:val="007640F8"/>
    <w:rsid w:val="00764C40"/>
    <w:rsid w:val="007651B7"/>
    <w:rsid w:val="0076520B"/>
    <w:rsid w:val="00765482"/>
    <w:rsid w:val="00765D78"/>
    <w:rsid w:val="007662CE"/>
    <w:rsid w:val="00766A92"/>
    <w:rsid w:val="00766E7C"/>
    <w:rsid w:val="00767293"/>
    <w:rsid w:val="00767AFF"/>
    <w:rsid w:val="00767FAA"/>
    <w:rsid w:val="00770935"/>
    <w:rsid w:val="007709D7"/>
    <w:rsid w:val="00770AB8"/>
    <w:rsid w:val="007712D5"/>
    <w:rsid w:val="007720B2"/>
    <w:rsid w:val="0077230C"/>
    <w:rsid w:val="00772CD0"/>
    <w:rsid w:val="007737EF"/>
    <w:rsid w:val="00773D6F"/>
    <w:rsid w:val="007745E3"/>
    <w:rsid w:val="00775899"/>
    <w:rsid w:val="00775F0C"/>
    <w:rsid w:val="00776253"/>
    <w:rsid w:val="007766B6"/>
    <w:rsid w:val="0077732B"/>
    <w:rsid w:val="007779A9"/>
    <w:rsid w:val="00777E87"/>
    <w:rsid w:val="00777F71"/>
    <w:rsid w:val="00780B58"/>
    <w:rsid w:val="00781241"/>
    <w:rsid w:val="00782201"/>
    <w:rsid w:val="007825EC"/>
    <w:rsid w:val="00782796"/>
    <w:rsid w:val="007827F1"/>
    <w:rsid w:val="007828FD"/>
    <w:rsid w:val="00782D79"/>
    <w:rsid w:val="00783265"/>
    <w:rsid w:val="00783849"/>
    <w:rsid w:val="007838BC"/>
    <w:rsid w:val="00784BC6"/>
    <w:rsid w:val="00784C66"/>
    <w:rsid w:val="007851EC"/>
    <w:rsid w:val="00785687"/>
    <w:rsid w:val="0078570C"/>
    <w:rsid w:val="00785CBA"/>
    <w:rsid w:val="00785EEA"/>
    <w:rsid w:val="0078637A"/>
    <w:rsid w:val="0078642F"/>
    <w:rsid w:val="007865F2"/>
    <w:rsid w:val="00786964"/>
    <w:rsid w:val="00786BC3"/>
    <w:rsid w:val="00786FE7"/>
    <w:rsid w:val="0078720B"/>
    <w:rsid w:val="00787918"/>
    <w:rsid w:val="00787ECD"/>
    <w:rsid w:val="00787F23"/>
    <w:rsid w:val="00790181"/>
    <w:rsid w:val="00790246"/>
    <w:rsid w:val="00790692"/>
    <w:rsid w:val="00790CF8"/>
    <w:rsid w:val="00790E30"/>
    <w:rsid w:val="00790F5D"/>
    <w:rsid w:val="00792045"/>
    <w:rsid w:val="00792E74"/>
    <w:rsid w:val="00793433"/>
    <w:rsid w:val="00793647"/>
    <w:rsid w:val="00793B5F"/>
    <w:rsid w:val="00794104"/>
    <w:rsid w:val="00794BFC"/>
    <w:rsid w:val="00794D39"/>
    <w:rsid w:val="00795687"/>
    <w:rsid w:val="0079570E"/>
    <w:rsid w:val="00796301"/>
    <w:rsid w:val="00796B68"/>
    <w:rsid w:val="007977D5"/>
    <w:rsid w:val="00797885"/>
    <w:rsid w:val="00797D1F"/>
    <w:rsid w:val="00797F7F"/>
    <w:rsid w:val="007A0989"/>
    <w:rsid w:val="007A0ED0"/>
    <w:rsid w:val="007A10E0"/>
    <w:rsid w:val="007A1DBF"/>
    <w:rsid w:val="007A2D19"/>
    <w:rsid w:val="007A309D"/>
    <w:rsid w:val="007A32D0"/>
    <w:rsid w:val="007A3615"/>
    <w:rsid w:val="007A37F5"/>
    <w:rsid w:val="007A3D03"/>
    <w:rsid w:val="007A44A2"/>
    <w:rsid w:val="007A488B"/>
    <w:rsid w:val="007A4EEC"/>
    <w:rsid w:val="007A5080"/>
    <w:rsid w:val="007A512A"/>
    <w:rsid w:val="007A51FB"/>
    <w:rsid w:val="007A5C9C"/>
    <w:rsid w:val="007A616A"/>
    <w:rsid w:val="007A616E"/>
    <w:rsid w:val="007A66FB"/>
    <w:rsid w:val="007A6ABA"/>
    <w:rsid w:val="007A71DD"/>
    <w:rsid w:val="007A7526"/>
    <w:rsid w:val="007A7FCF"/>
    <w:rsid w:val="007B07C4"/>
    <w:rsid w:val="007B0A46"/>
    <w:rsid w:val="007B12F6"/>
    <w:rsid w:val="007B13DE"/>
    <w:rsid w:val="007B17E0"/>
    <w:rsid w:val="007B1930"/>
    <w:rsid w:val="007B2159"/>
    <w:rsid w:val="007B2D76"/>
    <w:rsid w:val="007B3471"/>
    <w:rsid w:val="007B3BC8"/>
    <w:rsid w:val="007B3E25"/>
    <w:rsid w:val="007B3E36"/>
    <w:rsid w:val="007B429D"/>
    <w:rsid w:val="007B4583"/>
    <w:rsid w:val="007B4875"/>
    <w:rsid w:val="007B4FB8"/>
    <w:rsid w:val="007B5546"/>
    <w:rsid w:val="007B59F3"/>
    <w:rsid w:val="007B5F04"/>
    <w:rsid w:val="007B6005"/>
    <w:rsid w:val="007B621E"/>
    <w:rsid w:val="007B7184"/>
    <w:rsid w:val="007B75F8"/>
    <w:rsid w:val="007B7949"/>
    <w:rsid w:val="007B7B5A"/>
    <w:rsid w:val="007C0095"/>
    <w:rsid w:val="007C02FA"/>
    <w:rsid w:val="007C03B1"/>
    <w:rsid w:val="007C1811"/>
    <w:rsid w:val="007C3124"/>
    <w:rsid w:val="007C35F5"/>
    <w:rsid w:val="007C3901"/>
    <w:rsid w:val="007C3ED2"/>
    <w:rsid w:val="007C4DEA"/>
    <w:rsid w:val="007C5498"/>
    <w:rsid w:val="007C5E46"/>
    <w:rsid w:val="007C6113"/>
    <w:rsid w:val="007C73D6"/>
    <w:rsid w:val="007C7984"/>
    <w:rsid w:val="007C7FF0"/>
    <w:rsid w:val="007D0108"/>
    <w:rsid w:val="007D0153"/>
    <w:rsid w:val="007D0160"/>
    <w:rsid w:val="007D09F2"/>
    <w:rsid w:val="007D0B6D"/>
    <w:rsid w:val="007D1A91"/>
    <w:rsid w:val="007D1D8E"/>
    <w:rsid w:val="007D23A4"/>
    <w:rsid w:val="007D24CD"/>
    <w:rsid w:val="007D353B"/>
    <w:rsid w:val="007D3647"/>
    <w:rsid w:val="007D3C40"/>
    <w:rsid w:val="007D4057"/>
    <w:rsid w:val="007D42F8"/>
    <w:rsid w:val="007D434C"/>
    <w:rsid w:val="007D48A6"/>
    <w:rsid w:val="007D48DC"/>
    <w:rsid w:val="007D490F"/>
    <w:rsid w:val="007D4DE9"/>
    <w:rsid w:val="007D5036"/>
    <w:rsid w:val="007D5045"/>
    <w:rsid w:val="007D5397"/>
    <w:rsid w:val="007D53B2"/>
    <w:rsid w:val="007D58F8"/>
    <w:rsid w:val="007D6036"/>
    <w:rsid w:val="007D604F"/>
    <w:rsid w:val="007D63D4"/>
    <w:rsid w:val="007D684E"/>
    <w:rsid w:val="007D6D71"/>
    <w:rsid w:val="007D74CB"/>
    <w:rsid w:val="007D7E35"/>
    <w:rsid w:val="007E03DD"/>
    <w:rsid w:val="007E042E"/>
    <w:rsid w:val="007E049B"/>
    <w:rsid w:val="007E0B0C"/>
    <w:rsid w:val="007E0DCB"/>
    <w:rsid w:val="007E1C44"/>
    <w:rsid w:val="007E272D"/>
    <w:rsid w:val="007E2995"/>
    <w:rsid w:val="007E3516"/>
    <w:rsid w:val="007E5083"/>
    <w:rsid w:val="007E5124"/>
    <w:rsid w:val="007E5B1D"/>
    <w:rsid w:val="007E64B4"/>
    <w:rsid w:val="007E659E"/>
    <w:rsid w:val="007E664D"/>
    <w:rsid w:val="007E6BEA"/>
    <w:rsid w:val="007E7743"/>
    <w:rsid w:val="007E78C7"/>
    <w:rsid w:val="007E7DED"/>
    <w:rsid w:val="007E7F8B"/>
    <w:rsid w:val="007F0155"/>
    <w:rsid w:val="007F08FB"/>
    <w:rsid w:val="007F0E15"/>
    <w:rsid w:val="007F19FE"/>
    <w:rsid w:val="007F25C2"/>
    <w:rsid w:val="007F2652"/>
    <w:rsid w:val="007F2B18"/>
    <w:rsid w:val="007F3082"/>
    <w:rsid w:val="007F31B4"/>
    <w:rsid w:val="007F322C"/>
    <w:rsid w:val="007F326C"/>
    <w:rsid w:val="007F3739"/>
    <w:rsid w:val="007F398B"/>
    <w:rsid w:val="007F3F2E"/>
    <w:rsid w:val="007F4316"/>
    <w:rsid w:val="007F49D3"/>
    <w:rsid w:val="007F4B88"/>
    <w:rsid w:val="007F554B"/>
    <w:rsid w:val="007F6056"/>
    <w:rsid w:val="007F61B5"/>
    <w:rsid w:val="007F620E"/>
    <w:rsid w:val="007F6844"/>
    <w:rsid w:val="007F6999"/>
    <w:rsid w:val="007F6AF0"/>
    <w:rsid w:val="007F6DDC"/>
    <w:rsid w:val="007F7186"/>
    <w:rsid w:val="007F73BB"/>
    <w:rsid w:val="007F75E3"/>
    <w:rsid w:val="007F7FA1"/>
    <w:rsid w:val="008002B7"/>
    <w:rsid w:val="0080040D"/>
    <w:rsid w:val="008004D6"/>
    <w:rsid w:val="00800687"/>
    <w:rsid w:val="008009CC"/>
    <w:rsid w:val="00800ABE"/>
    <w:rsid w:val="00800E54"/>
    <w:rsid w:val="00801F21"/>
    <w:rsid w:val="008022A3"/>
    <w:rsid w:val="008025D9"/>
    <w:rsid w:val="008032AD"/>
    <w:rsid w:val="008033DD"/>
    <w:rsid w:val="008036A4"/>
    <w:rsid w:val="008039D3"/>
    <w:rsid w:val="00803B0C"/>
    <w:rsid w:val="00803C1C"/>
    <w:rsid w:val="00803E36"/>
    <w:rsid w:val="008049FF"/>
    <w:rsid w:val="00804D94"/>
    <w:rsid w:val="008051D8"/>
    <w:rsid w:val="0080524D"/>
    <w:rsid w:val="00805744"/>
    <w:rsid w:val="00805B17"/>
    <w:rsid w:val="008060C7"/>
    <w:rsid w:val="00806613"/>
    <w:rsid w:val="00806655"/>
    <w:rsid w:val="0080692D"/>
    <w:rsid w:val="00806966"/>
    <w:rsid w:val="00806FB2"/>
    <w:rsid w:val="008079A3"/>
    <w:rsid w:val="00807EEE"/>
    <w:rsid w:val="00810504"/>
    <w:rsid w:val="00811A00"/>
    <w:rsid w:val="0081225D"/>
    <w:rsid w:val="0081289D"/>
    <w:rsid w:val="00812A24"/>
    <w:rsid w:val="00812C0B"/>
    <w:rsid w:val="008139A4"/>
    <w:rsid w:val="00814100"/>
    <w:rsid w:val="0081419E"/>
    <w:rsid w:val="00814C5B"/>
    <w:rsid w:val="008157FD"/>
    <w:rsid w:val="00815EF5"/>
    <w:rsid w:val="00816007"/>
    <w:rsid w:val="00816053"/>
    <w:rsid w:val="00816484"/>
    <w:rsid w:val="008173EA"/>
    <w:rsid w:val="00817600"/>
    <w:rsid w:val="00817818"/>
    <w:rsid w:val="00817A8D"/>
    <w:rsid w:val="00817E18"/>
    <w:rsid w:val="00817F81"/>
    <w:rsid w:val="00820BC0"/>
    <w:rsid w:val="0082180E"/>
    <w:rsid w:val="00822499"/>
    <w:rsid w:val="008229E1"/>
    <w:rsid w:val="00822C28"/>
    <w:rsid w:val="00822DFA"/>
    <w:rsid w:val="0082309A"/>
    <w:rsid w:val="0082330D"/>
    <w:rsid w:val="008234A3"/>
    <w:rsid w:val="008236EB"/>
    <w:rsid w:val="008239DD"/>
    <w:rsid w:val="00823A10"/>
    <w:rsid w:val="00823CBC"/>
    <w:rsid w:val="00823CE3"/>
    <w:rsid w:val="0082443A"/>
    <w:rsid w:val="00824DF0"/>
    <w:rsid w:val="00824FCC"/>
    <w:rsid w:val="008250FF"/>
    <w:rsid w:val="008251F3"/>
    <w:rsid w:val="0082556E"/>
    <w:rsid w:val="0082584C"/>
    <w:rsid w:val="0082670D"/>
    <w:rsid w:val="008270AE"/>
    <w:rsid w:val="00827AEA"/>
    <w:rsid w:val="00830119"/>
    <w:rsid w:val="008303CA"/>
    <w:rsid w:val="008303F9"/>
    <w:rsid w:val="00830639"/>
    <w:rsid w:val="00830724"/>
    <w:rsid w:val="008309C9"/>
    <w:rsid w:val="00830EF0"/>
    <w:rsid w:val="008318C5"/>
    <w:rsid w:val="00831C6E"/>
    <w:rsid w:val="00831E33"/>
    <w:rsid w:val="00832346"/>
    <w:rsid w:val="00832ECD"/>
    <w:rsid w:val="0083313C"/>
    <w:rsid w:val="0083320D"/>
    <w:rsid w:val="0083368A"/>
    <w:rsid w:val="00833B95"/>
    <w:rsid w:val="008340FD"/>
    <w:rsid w:val="00834285"/>
    <w:rsid w:val="00834409"/>
    <w:rsid w:val="0083452D"/>
    <w:rsid w:val="00834B3A"/>
    <w:rsid w:val="00834FBD"/>
    <w:rsid w:val="00835986"/>
    <w:rsid w:val="00835BC8"/>
    <w:rsid w:val="0083631D"/>
    <w:rsid w:val="00836BA8"/>
    <w:rsid w:val="00836C21"/>
    <w:rsid w:val="0084067C"/>
    <w:rsid w:val="0084069A"/>
    <w:rsid w:val="0084079F"/>
    <w:rsid w:val="00840B9C"/>
    <w:rsid w:val="00840D12"/>
    <w:rsid w:val="0084133F"/>
    <w:rsid w:val="0084137D"/>
    <w:rsid w:val="00841983"/>
    <w:rsid w:val="00841E83"/>
    <w:rsid w:val="00843304"/>
    <w:rsid w:val="00843C87"/>
    <w:rsid w:val="00844079"/>
    <w:rsid w:val="008444D0"/>
    <w:rsid w:val="00845536"/>
    <w:rsid w:val="00845827"/>
    <w:rsid w:val="00845916"/>
    <w:rsid w:val="008461C3"/>
    <w:rsid w:val="00846205"/>
    <w:rsid w:val="0084627E"/>
    <w:rsid w:val="008463D7"/>
    <w:rsid w:val="008477DD"/>
    <w:rsid w:val="008478D5"/>
    <w:rsid w:val="00847AA5"/>
    <w:rsid w:val="008500E3"/>
    <w:rsid w:val="008502A5"/>
    <w:rsid w:val="0085040D"/>
    <w:rsid w:val="00851597"/>
    <w:rsid w:val="00851B3C"/>
    <w:rsid w:val="00851D4E"/>
    <w:rsid w:val="00851F07"/>
    <w:rsid w:val="008526BE"/>
    <w:rsid w:val="00852B73"/>
    <w:rsid w:val="0085320C"/>
    <w:rsid w:val="008532FB"/>
    <w:rsid w:val="008533AE"/>
    <w:rsid w:val="00853A76"/>
    <w:rsid w:val="00853C34"/>
    <w:rsid w:val="00853D48"/>
    <w:rsid w:val="008545E5"/>
    <w:rsid w:val="008546FC"/>
    <w:rsid w:val="00854C1F"/>
    <w:rsid w:val="00855637"/>
    <w:rsid w:val="0085585E"/>
    <w:rsid w:val="00856576"/>
    <w:rsid w:val="00856AE4"/>
    <w:rsid w:val="00856F26"/>
    <w:rsid w:val="00856FE4"/>
    <w:rsid w:val="0086014F"/>
    <w:rsid w:val="00860B60"/>
    <w:rsid w:val="00861206"/>
    <w:rsid w:val="00861293"/>
    <w:rsid w:val="008614FC"/>
    <w:rsid w:val="008616EC"/>
    <w:rsid w:val="00861828"/>
    <w:rsid w:val="0086240D"/>
    <w:rsid w:val="00862E9F"/>
    <w:rsid w:val="0086347C"/>
    <w:rsid w:val="00863600"/>
    <w:rsid w:val="00863712"/>
    <w:rsid w:val="00863785"/>
    <w:rsid w:val="00863D5D"/>
    <w:rsid w:val="00863D64"/>
    <w:rsid w:val="00863DF9"/>
    <w:rsid w:val="00864236"/>
    <w:rsid w:val="00864390"/>
    <w:rsid w:val="008645C3"/>
    <w:rsid w:val="00865569"/>
    <w:rsid w:val="00865644"/>
    <w:rsid w:val="008657C7"/>
    <w:rsid w:val="00865C2C"/>
    <w:rsid w:val="00865F58"/>
    <w:rsid w:val="00865F98"/>
    <w:rsid w:val="00866C89"/>
    <w:rsid w:val="00866CC4"/>
    <w:rsid w:val="00866DAD"/>
    <w:rsid w:val="00866E9B"/>
    <w:rsid w:val="00866F8C"/>
    <w:rsid w:val="00867980"/>
    <w:rsid w:val="008700DC"/>
    <w:rsid w:val="008700E0"/>
    <w:rsid w:val="0087024D"/>
    <w:rsid w:val="008705AD"/>
    <w:rsid w:val="0087138B"/>
    <w:rsid w:val="0087183A"/>
    <w:rsid w:val="008718C5"/>
    <w:rsid w:val="0087338F"/>
    <w:rsid w:val="008741DC"/>
    <w:rsid w:val="00874597"/>
    <w:rsid w:val="0087536D"/>
    <w:rsid w:val="0087568F"/>
    <w:rsid w:val="008757B9"/>
    <w:rsid w:val="0087598C"/>
    <w:rsid w:val="00875B99"/>
    <w:rsid w:val="00875C04"/>
    <w:rsid w:val="00875D5F"/>
    <w:rsid w:val="008761F0"/>
    <w:rsid w:val="00876251"/>
    <w:rsid w:val="00876838"/>
    <w:rsid w:val="008768B9"/>
    <w:rsid w:val="00876C5F"/>
    <w:rsid w:val="008776B9"/>
    <w:rsid w:val="00877893"/>
    <w:rsid w:val="008778A5"/>
    <w:rsid w:val="008779BF"/>
    <w:rsid w:val="00877EF5"/>
    <w:rsid w:val="00880FA4"/>
    <w:rsid w:val="00881193"/>
    <w:rsid w:val="00881195"/>
    <w:rsid w:val="00881391"/>
    <w:rsid w:val="008813F6"/>
    <w:rsid w:val="0088150D"/>
    <w:rsid w:val="00881C72"/>
    <w:rsid w:val="00881EB0"/>
    <w:rsid w:val="0088282C"/>
    <w:rsid w:val="00882954"/>
    <w:rsid w:val="008831B3"/>
    <w:rsid w:val="008838EE"/>
    <w:rsid w:val="00883EEF"/>
    <w:rsid w:val="00883F83"/>
    <w:rsid w:val="008843EB"/>
    <w:rsid w:val="0088459B"/>
    <w:rsid w:val="0088461B"/>
    <w:rsid w:val="00884813"/>
    <w:rsid w:val="00884BA6"/>
    <w:rsid w:val="008853D1"/>
    <w:rsid w:val="00885404"/>
    <w:rsid w:val="00885B83"/>
    <w:rsid w:val="00885D5A"/>
    <w:rsid w:val="00885D69"/>
    <w:rsid w:val="0088641C"/>
    <w:rsid w:val="008865CC"/>
    <w:rsid w:val="00886903"/>
    <w:rsid w:val="00886945"/>
    <w:rsid w:val="008879FE"/>
    <w:rsid w:val="00887A77"/>
    <w:rsid w:val="00887A94"/>
    <w:rsid w:val="00887D9A"/>
    <w:rsid w:val="00887F45"/>
    <w:rsid w:val="0089030C"/>
    <w:rsid w:val="00890477"/>
    <w:rsid w:val="008904A4"/>
    <w:rsid w:val="00890D7E"/>
    <w:rsid w:val="00890DB7"/>
    <w:rsid w:val="00890FBC"/>
    <w:rsid w:val="00891021"/>
    <w:rsid w:val="0089104D"/>
    <w:rsid w:val="008917D4"/>
    <w:rsid w:val="0089219C"/>
    <w:rsid w:val="00892524"/>
    <w:rsid w:val="00892EFA"/>
    <w:rsid w:val="008944D9"/>
    <w:rsid w:val="00894B74"/>
    <w:rsid w:val="00894C35"/>
    <w:rsid w:val="00894CC2"/>
    <w:rsid w:val="0089571E"/>
    <w:rsid w:val="0089577D"/>
    <w:rsid w:val="008957DF"/>
    <w:rsid w:val="00895816"/>
    <w:rsid w:val="00895B1E"/>
    <w:rsid w:val="00895D53"/>
    <w:rsid w:val="00896414"/>
    <w:rsid w:val="00896F5B"/>
    <w:rsid w:val="008973F8"/>
    <w:rsid w:val="00897414"/>
    <w:rsid w:val="00897814"/>
    <w:rsid w:val="00897907"/>
    <w:rsid w:val="00897E56"/>
    <w:rsid w:val="00897F78"/>
    <w:rsid w:val="008A0103"/>
    <w:rsid w:val="008A01B1"/>
    <w:rsid w:val="008A02FA"/>
    <w:rsid w:val="008A0890"/>
    <w:rsid w:val="008A0D74"/>
    <w:rsid w:val="008A137F"/>
    <w:rsid w:val="008A13A5"/>
    <w:rsid w:val="008A196E"/>
    <w:rsid w:val="008A1A67"/>
    <w:rsid w:val="008A1C2D"/>
    <w:rsid w:val="008A312C"/>
    <w:rsid w:val="008A3F45"/>
    <w:rsid w:val="008A3FB4"/>
    <w:rsid w:val="008A43C5"/>
    <w:rsid w:val="008A447A"/>
    <w:rsid w:val="008A45E5"/>
    <w:rsid w:val="008A4C1F"/>
    <w:rsid w:val="008A4CC8"/>
    <w:rsid w:val="008A4D59"/>
    <w:rsid w:val="008A50F9"/>
    <w:rsid w:val="008A540B"/>
    <w:rsid w:val="008A550B"/>
    <w:rsid w:val="008A5B62"/>
    <w:rsid w:val="008A745C"/>
    <w:rsid w:val="008A768F"/>
    <w:rsid w:val="008B01C5"/>
    <w:rsid w:val="008B0705"/>
    <w:rsid w:val="008B0BD6"/>
    <w:rsid w:val="008B128D"/>
    <w:rsid w:val="008B1BEA"/>
    <w:rsid w:val="008B1D16"/>
    <w:rsid w:val="008B1E5A"/>
    <w:rsid w:val="008B1F40"/>
    <w:rsid w:val="008B2114"/>
    <w:rsid w:val="008B211C"/>
    <w:rsid w:val="008B2142"/>
    <w:rsid w:val="008B219E"/>
    <w:rsid w:val="008B21EB"/>
    <w:rsid w:val="008B2497"/>
    <w:rsid w:val="008B263E"/>
    <w:rsid w:val="008B2917"/>
    <w:rsid w:val="008B3175"/>
    <w:rsid w:val="008B31C0"/>
    <w:rsid w:val="008B32B5"/>
    <w:rsid w:val="008B3546"/>
    <w:rsid w:val="008B383A"/>
    <w:rsid w:val="008B48E5"/>
    <w:rsid w:val="008B4918"/>
    <w:rsid w:val="008B4A08"/>
    <w:rsid w:val="008B5836"/>
    <w:rsid w:val="008B5A81"/>
    <w:rsid w:val="008B5B71"/>
    <w:rsid w:val="008B5C3A"/>
    <w:rsid w:val="008B6404"/>
    <w:rsid w:val="008B6879"/>
    <w:rsid w:val="008B6CAC"/>
    <w:rsid w:val="008B7095"/>
    <w:rsid w:val="008B7C56"/>
    <w:rsid w:val="008B7D69"/>
    <w:rsid w:val="008C0055"/>
    <w:rsid w:val="008C0089"/>
    <w:rsid w:val="008C0161"/>
    <w:rsid w:val="008C02BF"/>
    <w:rsid w:val="008C038A"/>
    <w:rsid w:val="008C0462"/>
    <w:rsid w:val="008C0ADC"/>
    <w:rsid w:val="008C129C"/>
    <w:rsid w:val="008C1574"/>
    <w:rsid w:val="008C15B7"/>
    <w:rsid w:val="008C262D"/>
    <w:rsid w:val="008C2724"/>
    <w:rsid w:val="008C27A4"/>
    <w:rsid w:val="008C2DAA"/>
    <w:rsid w:val="008C33EF"/>
    <w:rsid w:val="008C3441"/>
    <w:rsid w:val="008C36D2"/>
    <w:rsid w:val="008C37F0"/>
    <w:rsid w:val="008C39A5"/>
    <w:rsid w:val="008C47A8"/>
    <w:rsid w:val="008C4CDA"/>
    <w:rsid w:val="008C50CF"/>
    <w:rsid w:val="008C510F"/>
    <w:rsid w:val="008C55D5"/>
    <w:rsid w:val="008C5D0D"/>
    <w:rsid w:val="008C5E1B"/>
    <w:rsid w:val="008C5F80"/>
    <w:rsid w:val="008C68E9"/>
    <w:rsid w:val="008C6986"/>
    <w:rsid w:val="008C7990"/>
    <w:rsid w:val="008C79B0"/>
    <w:rsid w:val="008C7ABE"/>
    <w:rsid w:val="008D08D6"/>
    <w:rsid w:val="008D0EBA"/>
    <w:rsid w:val="008D1160"/>
    <w:rsid w:val="008D1490"/>
    <w:rsid w:val="008D1891"/>
    <w:rsid w:val="008D18BE"/>
    <w:rsid w:val="008D1BB6"/>
    <w:rsid w:val="008D21D8"/>
    <w:rsid w:val="008D279C"/>
    <w:rsid w:val="008D2A31"/>
    <w:rsid w:val="008D3C34"/>
    <w:rsid w:val="008D3FBA"/>
    <w:rsid w:val="008D47AE"/>
    <w:rsid w:val="008D539B"/>
    <w:rsid w:val="008D53EB"/>
    <w:rsid w:val="008D559C"/>
    <w:rsid w:val="008D6AA8"/>
    <w:rsid w:val="008D743B"/>
    <w:rsid w:val="008D7B86"/>
    <w:rsid w:val="008D7C7D"/>
    <w:rsid w:val="008D7E26"/>
    <w:rsid w:val="008D7EBF"/>
    <w:rsid w:val="008D7ED4"/>
    <w:rsid w:val="008E057B"/>
    <w:rsid w:val="008E0A3E"/>
    <w:rsid w:val="008E0D11"/>
    <w:rsid w:val="008E10DD"/>
    <w:rsid w:val="008E11DD"/>
    <w:rsid w:val="008E11E2"/>
    <w:rsid w:val="008E1BD8"/>
    <w:rsid w:val="008E1D50"/>
    <w:rsid w:val="008E1D8D"/>
    <w:rsid w:val="008E209F"/>
    <w:rsid w:val="008E20FA"/>
    <w:rsid w:val="008E2113"/>
    <w:rsid w:val="008E2289"/>
    <w:rsid w:val="008E27C5"/>
    <w:rsid w:val="008E2E3E"/>
    <w:rsid w:val="008E35DD"/>
    <w:rsid w:val="008E35F5"/>
    <w:rsid w:val="008E3697"/>
    <w:rsid w:val="008E38BB"/>
    <w:rsid w:val="008E42ED"/>
    <w:rsid w:val="008E43FF"/>
    <w:rsid w:val="008E47D4"/>
    <w:rsid w:val="008E4C0A"/>
    <w:rsid w:val="008E4F41"/>
    <w:rsid w:val="008E5139"/>
    <w:rsid w:val="008E5385"/>
    <w:rsid w:val="008E5884"/>
    <w:rsid w:val="008E58C4"/>
    <w:rsid w:val="008E5BA9"/>
    <w:rsid w:val="008E63C8"/>
    <w:rsid w:val="008E647D"/>
    <w:rsid w:val="008E69A6"/>
    <w:rsid w:val="008E7017"/>
    <w:rsid w:val="008F0099"/>
    <w:rsid w:val="008F0128"/>
    <w:rsid w:val="008F0136"/>
    <w:rsid w:val="008F0239"/>
    <w:rsid w:val="008F023C"/>
    <w:rsid w:val="008F09B2"/>
    <w:rsid w:val="008F09C8"/>
    <w:rsid w:val="008F0B21"/>
    <w:rsid w:val="008F0B56"/>
    <w:rsid w:val="008F0BE6"/>
    <w:rsid w:val="008F0DE7"/>
    <w:rsid w:val="008F0E32"/>
    <w:rsid w:val="008F15D0"/>
    <w:rsid w:val="008F1675"/>
    <w:rsid w:val="008F1B53"/>
    <w:rsid w:val="008F1DEF"/>
    <w:rsid w:val="008F1E2E"/>
    <w:rsid w:val="008F2EE9"/>
    <w:rsid w:val="008F2FCD"/>
    <w:rsid w:val="008F39A9"/>
    <w:rsid w:val="008F39EE"/>
    <w:rsid w:val="008F4257"/>
    <w:rsid w:val="008F46B9"/>
    <w:rsid w:val="008F5589"/>
    <w:rsid w:val="008F56FB"/>
    <w:rsid w:val="008F5DA8"/>
    <w:rsid w:val="008F5E7C"/>
    <w:rsid w:val="008F5EFD"/>
    <w:rsid w:val="008F6579"/>
    <w:rsid w:val="008F6CCD"/>
    <w:rsid w:val="008F75CD"/>
    <w:rsid w:val="008F7830"/>
    <w:rsid w:val="008F792B"/>
    <w:rsid w:val="00900164"/>
    <w:rsid w:val="009004A8"/>
    <w:rsid w:val="009007DF"/>
    <w:rsid w:val="00900D28"/>
    <w:rsid w:val="00900DA8"/>
    <w:rsid w:val="00900FD7"/>
    <w:rsid w:val="00901431"/>
    <w:rsid w:val="0090193C"/>
    <w:rsid w:val="00901CF3"/>
    <w:rsid w:val="00901E01"/>
    <w:rsid w:val="00901F0D"/>
    <w:rsid w:val="00902031"/>
    <w:rsid w:val="009020FF"/>
    <w:rsid w:val="00902759"/>
    <w:rsid w:val="00902A7E"/>
    <w:rsid w:val="00903202"/>
    <w:rsid w:val="00903ACF"/>
    <w:rsid w:val="009041C9"/>
    <w:rsid w:val="00904489"/>
    <w:rsid w:val="009045BC"/>
    <w:rsid w:val="009048EB"/>
    <w:rsid w:val="0090492A"/>
    <w:rsid w:val="00904CD3"/>
    <w:rsid w:val="00904ECB"/>
    <w:rsid w:val="0090546D"/>
    <w:rsid w:val="00905571"/>
    <w:rsid w:val="009058E7"/>
    <w:rsid w:val="009059F2"/>
    <w:rsid w:val="00905A1F"/>
    <w:rsid w:val="00906198"/>
    <w:rsid w:val="0090665E"/>
    <w:rsid w:val="00906996"/>
    <w:rsid w:val="00906D1B"/>
    <w:rsid w:val="00907459"/>
    <w:rsid w:val="00910288"/>
    <w:rsid w:val="0091169A"/>
    <w:rsid w:val="009117DA"/>
    <w:rsid w:val="00911AEC"/>
    <w:rsid w:val="00911E4F"/>
    <w:rsid w:val="00912456"/>
    <w:rsid w:val="00912617"/>
    <w:rsid w:val="009127DE"/>
    <w:rsid w:val="00913093"/>
    <w:rsid w:val="00913998"/>
    <w:rsid w:val="00913D59"/>
    <w:rsid w:val="009142D5"/>
    <w:rsid w:val="009142E7"/>
    <w:rsid w:val="00914326"/>
    <w:rsid w:val="00914DEE"/>
    <w:rsid w:val="00914E46"/>
    <w:rsid w:val="0091509F"/>
    <w:rsid w:val="00915846"/>
    <w:rsid w:val="00915A13"/>
    <w:rsid w:val="00915E99"/>
    <w:rsid w:val="0091669C"/>
    <w:rsid w:val="00916809"/>
    <w:rsid w:val="009168A5"/>
    <w:rsid w:val="00916A31"/>
    <w:rsid w:val="00916C3B"/>
    <w:rsid w:val="00916C78"/>
    <w:rsid w:val="00916D8A"/>
    <w:rsid w:val="009170A7"/>
    <w:rsid w:val="00917445"/>
    <w:rsid w:val="00917B1D"/>
    <w:rsid w:val="00920418"/>
    <w:rsid w:val="009204B3"/>
    <w:rsid w:val="009208D1"/>
    <w:rsid w:val="009208EA"/>
    <w:rsid w:val="00921021"/>
    <w:rsid w:val="009214EE"/>
    <w:rsid w:val="00921718"/>
    <w:rsid w:val="00921CC6"/>
    <w:rsid w:val="00921D78"/>
    <w:rsid w:val="00922451"/>
    <w:rsid w:val="0092280E"/>
    <w:rsid w:val="00923071"/>
    <w:rsid w:val="00923AAF"/>
    <w:rsid w:val="00923ABF"/>
    <w:rsid w:val="00923E05"/>
    <w:rsid w:val="00923F8C"/>
    <w:rsid w:val="00923FE6"/>
    <w:rsid w:val="0092407C"/>
    <w:rsid w:val="009241FF"/>
    <w:rsid w:val="0092457D"/>
    <w:rsid w:val="00924B5A"/>
    <w:rsid w:val="00924DB9"/>
    <w:rsid w:val="00925209"/>
    <w:rsid w:val="00925260"/>
    <w:rsid w:val="0092536D"/>
    <w:rsid w:val="009257EC"/>
    <w:rsid w:val="0092588B"/>
    <w:rsid w:val="00925A9D"/>
    <w:rsid w:val="00925E90"/>
    <w:rsid w:val="0092629F"/>
    <w:rsid w:val="00926615"/>
    <w:rsid w:val="00927308"/>
    <w:rsid w:val="00927640"/>
    <w:rsid w:val="009276A6"/>
    <w:rsid w:val="00930026"/>
    <w:rsid w:val="00930270"/>
    <w:rsid w:val="009303E1"/>
    <w:rsid w:val="00932469"/>
    <w:rsid w:val="00932ECD"/>
    <w:rsid w:val="0093319E"/>
    <w:rsid w:val="009333E9"/>
    <w:rsid w:val="00933B6A"/>
    <w:rsid w:val="00933D35"/>
    <w:rsid w:val="00934202"/>
    <w:rsid w:val="0093423C"/>
    <w:rsid w:val="00934F7C"/>
    <w:rsid w:val="0093531C"/>
    <w:rsid w:val="00935410"/>
    <w:rsid w:val="00935505"/>
    <w:rsid w:val="009359C4"/>
    <w:rsid w:val="00935C48"/>
    <w:rsid w:val="00935D28"/>
    <w:rsid w:val="00935D4D"/>
    <w:rsid w:val="0093606F"/>
    <w:rsid w:val="009362F1"/>
    <w:rsid w:val="00936362"/>
    <w:rsid w:val="0093697B"/>
    <w:rsid w:val="00936BC2"/>
    <w:rsid w:val="0093700B"/>
    <w:rsid w:val="009371C1"/>
    <w:rsid w:val="009376A8"/>
    <w:rsid w:val="00940DB9"/>
    <w:rsid w:val="00940F68"/>
    <w:rsid w:val="0094117E"/>
    <w:rsid w:val="009416C1"/>
    <w:rsid w:val="0094241D"/>
    <w:rsid w:val="00942D90"/>
    <w:rsid w:val="00942EC3"/>
    <w:rsid w:val="00943353"/>
    <w:rsid w:val="00943DA0"/>
    <w:rsid w:val="00944885"/>
    <w:rsid w:val="0094558C"/>
    <w:rsid w:val="00945605"/>
    <w:rsid w:val="00946B80"/>
    <w:rsid w:val="00946BBD"/>
    <w:rsid w:val="00946CAA"/>
    <w:rsid w:val="00947987"/>
    <w:rsid w:val="00947ADE"/>
    <w:rsid w:val="00947E0E"/>
    <w:rsid w:val="00950081"/>
    <w:rsid w:val="00950953"/>
    <w:rsid w:val="00950B16"/>
    <w:rsid w:val="00951110"/>
    <w:rsid w:val="00951549"/>
    <w:rsid w:val="009517CF"/>
    <w:rsid w:val="009517E1"/>
    <w:rsid w:val="00952048"/>
    <w:rsid w:val="00952A09"/>
    <w:rsid w:val="00952A2A"/>
    <w:rsid w:val="00952CFC"/>
    <w:rsid w:val="00952E4D"/>
    <w:rsid w:val="0095334E"/>
    <w:rsid w:val="00953350"/>
    <w:rsid w:val="009538E7"/>
    <w:rsid w:val="00954140"/>
    <w:rsid w:val="0095484C"/>
    <w:rsid w:val="00954B6D"/>
    <w:rsid w:val="00955008"/>
    <w:rsid w:val="00956961"/>
    <w:rsid w:val="00956D31"/>
    <w:rsid w:val="00956D47"/>
    <w:rsid w:val="00957083"/>
    <w:rsid w:val="0095751A"/>
    <w:rsid w:val="00957573"/>
    <w:rsid w:val="00957A4F"/>
    <w:rsid w:val="009603AF"/>
    <w:rsid w:val="009606AB"/>
    <w:rsid w:val="009606BE"/>
    <w:rsid w:val="009620C8"/>
    <w:rsid w:val="0096218C"/>
    <w:rsid w:val="00963277"/>
    <w:rsid w:val="00963385"/>
    <w:rsid w:val="00963450"/>
    <w:rsid w:val="009646C5"/>
    <w:rsid w:val="00964BF6"/>
    <w:rsid w:val="00964C0A"/>
    <w:rsid w:val="00964DD4"/>
    <w:rsid w:val="009659D1"/>
    <w:rsid w:val="00966439"/>
    <w:rsid w:val="00966955"/>
    <w:rsid w:val="0096790C"/>
    <w:rsid w:val="00970CF4"/>
    <w:rsid w:val="00970DF2"/>
    <w:rsid w:val="00970E31"/>
    <w:rsid w:val="00970E63"/>
    <w:rsid w:val="009715DA"/>
    <w:rsid w:val="009721B2"/>
    <w:rsid w:val="0097236A"/>
    <w:rsid w:val="0097252E"/>
    <w:rsid w:val="00972EEA"/>
    <w:rsid w:val="00973630"/>
    <w:rsid w:val="00973FDD"/>
    <w:rsid w:val="00974062"/>
    <w:rsid w:val="00974AD7"/>
    <w:rsid w:val="00975053"/>
    <w:rsid w:val="0097538B"/>
    <w:rsid w:val="009755EF"/>
    <w:rsid w:val="009755F3"/>
    <w:rsid w:val="00975655"/>
    <w:rsid w:val="0097641C"/>
    <w:rsid w:val="00976B5E"/>
    <w:rsid w:val="009777F5"/>
    <w:rsid w:val="00977E71"/>
    <w:rsid w:val="00980276"/>
    <w:rsid w:val="00980853"/>
    <w:rsid w:val="00980983"/>
    <w:rsid w:val="00980FFE"/>
    <w:rsid w:val="00981EF8"/>
    <w:rsid w:val="00982333"/>
    <w:rsid w:val="00982737"/>
    <w:rsid w:val="00982D4F"/>
    <w:rsid w:val="00982DAD"/>
    <w:rsid w:val="00983208"/>
    <w:rsid w:val="009836A5"/>
    <w:rsid w:val="00983DE9"/>
    <w:rsid w:val="00984725"/>
    <w:rsid w:val="00984FD9"/>
    <w:rsid w:val="009853FA"/>
    <w:rsid w:val="00985D7C"/>
    <w:rsid w:val="0098611F"/>
    <w:rsid w:val="009871C4"/>
    <w:rsid w:val="00987365"/>
    <w:rsid w:val="009875ED"/>
    <w:rsid w:val="00987F46"/>
    <w:rsid w:val="00990033"/>
    <w:rsid w:val="009904BC"/>
    <w:rsid w:val="00991020"/>
    <w:rsid w:val="00991514"/>
    <w:rsid w:val="009918DB"/>
    <w:rsid w:val="00991D79"/>
    <w:rsid w:val="00991E20"/>
    <w:rsid w:val="00992217"/>
    <w:rsid w:val="009923F2"/>
    <w:rsid w:val="009924BA"/>
    <w:rsid w:val="009925CF"/>
    <w:rsid w:val="009926B0"/>
    <w:rsid w:val="009937DF"/>
    <w:rsid w:val="00993A72"/>
    <w:rsid w:val="00993C03"/>
    <w:rsid w:val="00993C4C"/>
    <w:rsid w:val="00993C71"/>
    <w:rsid w:val="00993E28"/>
    <w:rsid w:val="0099459C"/>
    <w:rsid w:val="0099469A"/>
    <w:rsid w:val="009948A5"/>
    <w:rsid w:val="009956AE"/>
    <w:rsid w:val="00995CE9"/>
    <w:rsid w:val="009960B9"/>
    <w:rsid w:val="00996707"/>
    <w:rsid w:val="009977A8"/>
    <w:rsid w:val="009A027F"/>
    <w:rsid w:val="009A0584"/>
    <w:rsid w:val="009A059C"/>
    <w:rsid w:val="009A177D"/>
    <w:rsid w:val="009A1924"/>
    <w:rsid w:val="009A1A12"/>
    <w:rsid w:val="009A1E04"/>
    <w:rsid w:val="009A2360"/>
    <w:rsid w:val="009A26E2"/>
    <w:rsid w:val="009A2941"/>
    <w:rsid w:val="009A3E7C"/>
    <w:rsid w:val="009A3ECA"/>
    <w:rsid w:val="009A41F5"/>
    <w:rsid w:val="009A4272"/>
    <w:rsid w:val="009A4375"/>
    <w:rsid w:val="009A4BA6"/>
    <w:rsid w:val="009A5AE0"/>
    <w:rsid w:val="009A6917"/>
    <w:rsid w:val="009A69A8"/>
    <w:rsid w:val="009A6B4D"/>
    <w:rsid w:val="009A6D40"/>
    <w:rsid w:val="009A6ED5"/>
    <w:rsid w:val="009A6EF4"/>
    <w:rsid w:val="009A7348"/>
    <w:rsid w:val="009A7CFC"/>
    <w:rsid w:val="009A7FCD"/>
    <w:rsid w:val="009B03D7"/>
    <w:rsid w:val="009B041E"/>
    <w:rsid w:val="009B05BA"/>
    <w:rsid w:val="009B1092"/>
    <w:rsid w:val="009B161D"/>
    <w:rsid w:val="009B1645"/>
    <w:rsid w:val="009B1934"/>
    <w:rsid w:val="009B1A00"/>
    <w:rsid w:val="009B1D75"/>
    <w:rsid w:val="009B2006"/>
    <w:rsid w:val="009B2064"/>
    <w:rsid w:val="009B4176"/>
    <w:rsid w:val="009B49D1"/>
    <w:rsid w:val="009B4B87"/>
    <w:rsid w:val="009B4CCA"/>
    <w:rsid w:val="009B4CEC"/>
    <w:rsid w:val="009B536D"/>
    <w:rsid w:val="009B57D8"/>
    <w:rsid w:val="009B59FD"/>
    <w:rsid w:val="009B5FD4"/>
    <w:rsid w:val="009B5FFB"/>
    <w:rsid w:val="009B629F"/>
    <w:rsid w:val="009B6767"/>
    <w:rsid w:val="009B6DD2"/>
    <w:rsid w:val="009B708C"/>
    <w:rsid w:val="009B7238"/>
    <w:rsid w:val="009B7865"/>
    <w:rsid w:val="009B7901"/>
    <w:rsid w:val="009B797E"/>
    <w:rsid w:val="009B7D91"/>
    <w:rsid w:val="009B7FFA"/>
    <w:rsid w:val="009C0170"/>
    <w:rsid w:val="009C0A2B"/>
    <w:rsid w:val="009C0FFA"/>
    <w:rsid w:val="009C1405"/>
    <w:rsid w:val="009C19EF"/>
    <w:rsid w:val="009C22C8"/>
    <w:rsid w:val="009C23F7"/>
    <w:rsid w:val="009C29BB"/>
    <w:rsid w:val="009C2E67"/>
    <w:rsid w:val="009C3543"/>
    <w:rsid w:val="009C3B2A"/>
    <w:rsid w:val="009C3BB2"/>
    <w:rsid w:val="009C4FE6"/>
    <w:rsid w:val="009C5347"/>
    <w:rsid w:val="009C53A1"/>
    <w:rsid w:val="009C551C"/>
    <w:rsid w:val="009C5532"/>
    <w:rsid w:val="009C5AA1"/>
    <w:rsid w:val="009C5B80"/>
    <w:rsid w:val="009C5BC9"/>
    <w:rsid w:val="009C6316"/>
    <w:rsid w:val="009C688F"/>
    <w:rsid w:val="009C7827"/>
    <w:rsid w:val="009C7C57"/>
    <w:rsid w:val="009C7EAA"/>
    <w:rsid w:val="009D0412"/>
    <w:rsid w:val="009D082E"/>
    <w:rsid w:val="009D0A42"/>
    <w:rsid w:val="009D108C"/>
    <w:rsid w:val="009D1180"/>
    <w:rsid w:val="009D1491"/>
    <w:rsid w:val="009D19D1"/>
    <w:rsid w:val="009D1BFB"/>
    <w:rsid w:val="009D1FCC"/>
    <w:rsid w:val="009D2077"/>
    <w:rsid w:val="009D26C7"/>
    <w:rsid w:val="009D2D6E"/>
    <w:rsid w:val="009D30C4"/>
    <w:rsid w:val="009D31E6"/>
    <w:rsid w:val="009D3304"/>
    <w:rsid w:val="009D33EC"/>
    <w:rsid w:val="009D340D"/>
    <w:rsid w:val="009D342A"/>
    <w:rsid w:val="009D3542"/>
    <w:rsid w:val="009D3595"/>
    <w:rsid w:val="009D3674"/>
    <w:rsid w:val="009D36AA"/>
    <w:rsid w:val="009D3A49"/>
    <w:rsid w:val="009D3C61"/>
    <w:rsid w:val="009D3F6E"/>
    <w:rsid w:val="009D4169"/>
    <w:rsid w:val="009D4175"/>
    <w:rsid w:val="009D4988"/>
    <w:rsid w:val="009D4ACE"/>
    <w:rsid w:val="009D502E"/>
    <w:rsid w:val="009D50E7"/>
    <w:rsid w:val="009D56AE"/>
    <w:rsid w:val="009D61E3"/>
    <w:rsid w:val="009D63A6"/>
    <w:rsid w:val="009D6BD8"/>
    <w:rsid w:val="009D6EF5"/>
    <w:rsid w:val="009D7569"/>
    <w:rsid w:val="009D7AF1"/>
    <w:rsid w:val="009D7DAA"/>
    <w:rsid w:val="009D7F2D"/>
    <w:rsid w:val="009E01A4"/>
    <w:rsid w:val="009E0BCC"/>
    <w:rsid w:val="009E112D"/>
    <w:rsid w:val="009E191F"/>
    <w:rsid w:val="009E1A8D"/>
    <w:rsid w:val="009E1BB2"/>
    <w:rsid w:val="009E1C17"/>
    <w:rsid w:val="009E205B"/>
    <w:rsid w:val="009E210F"/>
    <w:rsid w:val="009E2E08"/>
    <w:rsid w:val="009E3049"/>
    <w:rsid w:val="009E3190"/>
    <w:rsid w:val="009E3C72"/>
    <w:rsid w:val="009E3D99"/>
    <w:rsid w:val="009E3E1E"/>
    <w:rsid w:val="009E3E2E"/>
    <w:rsid w:val="009E42B7"/>
    <w:rsid w:val="009E4BBE"/>
    <w:rsid w:val="009E50ED"/>
    <w:rsid w:val="009E5728"/>
    <w:rsid w:val="009E5944"/>
    <w:rsid w:val="009E5ED3"/>
    <w:rsid w:val="009E644A"/>
    <w:rsid w:val="009E65D1"/>
    <w:rsid w:val="009E6980"/>
    <w:rsid w:val="009E6AF6"/>
    <w:rsid w:val="009E6C4E"/>
    <w:rsid w:val="009E7843"/>
    <w:rsid w:val="009E7D30"/>
    <w:rsid w:val="009E7E52"/>
    <w:rsid w:val="009E7F86"/>
    <w:rsid w:val="009F00A3"/>
    <w:rsid w:val="009F01EC"/>
    <w:rsid w:val="009F0310"/>
    <w:rsid w:val="009F0C13"/>
    <w:rsid w:val="009F0F62"/>
    <w:rsid w:val="009F265B"/>
    <w:rsid w:val="009F28CF"/>
    <w:rsid w:val="009F2EAF"/>
    <w:rsid w:val="009F4C2C"/>
    <w:rsid w:val="009F4D72"/>
    <w:rsid w:val="009F5220"/>
    <w:rsid w:val="009F7110"/>
    <w:rsid w:val="009F74B3"/>
    <w:rsid w:val="009F7844"/>
    <w:rsid w:val="009F7A8A"/>
    <w:rsid w:val="009F7BBA"/>
    <w:rsid w:val="009F7C0E"/>
    <w:rsid w:val="009F7F96"/>
    <w:rsid w:val="00A00585"/>
    <w:rsid w:val="00A00A2B"/>
    <w:rsid w:val="00A01436"/>
    <w:rsid w:val="00A016A6"/>
    <w:rsid w:val="00A01A8C"/>
    <w:rsid w:val="00A02417"/>
    <w:rsid w:val="00A03E2C"/>
    <w:rsid w:val="00A049B9"/>
    <w:rsid w:val="00A04EE0"/>
    <w:rsid w:val="00A050D8"/>
    <w:rsid w:val="00A05E2C"/>
    <w:rsid w:val="00A06307"/>
    <w:rsid w:val="00A0682D"/>
    <w:rsid w:val="00A06D31"/>
    <w:rsid w:val="00A07230"/>
    <w:rsid w:val="00A072B0"/>
    <w:rsid w:val="00A07E10"/>
    <w:rsid w:val="00A07FB5"/>
    <w:rsid w:val="00A10062"/>
    <w:rsid w:val="00A10F86"/>
    <w:rsid w:val="00A11E37"/>
    <w:rsid w:val="00A127E2"/>
    <w:rsid w:val="00A127F0"/>
    <w:rsid w:val="00A13CBD"/>
    <w:rsid w:val="00A13E8A"/>
    <w:rsid w:val="00A142FF"/>
    <w:rsid w:val="00A1443A"/>
    <w:rsid w:val="00A14D14"/>
    <w:rsid w:val="00A14EA0"/>
    <w:rsid w:val="00A15556"/>
    <w:rsid w:val="00A15C37"/>
    <w:rsid w:val="00A1670B"/>
    <w:rsid w:val="00A17179"/>
    <w:rsid w:val="00A172B7"/>
    <w:rsid w:val="00A1736C"/>
    <w:rsid w:val="00A17D85"/>
    <w:rsid w:val="00A2019A"/>
    <w:rsid w:val="00A20274"/>
    <w:rsid w:val="00A20822"/>
    <w:rsid w:val="00A214BA"/>
    <w:rsid w:val="00A21A36"/>
    <w:rsid w:val="00A224B0"/>
    <w:rsid w:val="00A224E1"/>
    <w:rsid w:val="00A22589"/>
    <w:rsid w:val="00A23042"/>
    <w:rsid w:val="00A23483"/>
    <w:rsid w:val="00A23639"/>
    <w:rsid w:val="00A2367E"/>
    <w:rsid w:val="00A237DA"/>
    <w:rsid w:val="00A23E31"/>
    <w:rsid w:val="00A24876"/>
    <w:rsid w:val="00A2527B"/>
    <w:rsid w:val="00A25536"/>
    <w:rsid w:val="00A263AA"/>
    <w:rsid w:val="00A264D6"/>
    <w:rsid w:val="00A268FF"/>
    <w:rsid w:val="00A26E6B"/>
    <w:rsid w:val="00A2703A"/>
    <w:rsid w:val="00A270A6"/>
    <w:rsid w:val="00A27DEA"/>
    <w:rsid w:val="00A3089C"/>
    <w:rsid w:val="00A30BB8"/>
    <w:rsid w:val="00A3152F"/>
    <w:rsid w:val="00A3208E"/>
    <w:rsid w:val="00A328EB"/>
    <w:rsid w:val="00A32988"/>
    <w:rsid w:val="00A32D11"/>
    <w:rsid w:val="00A32D75"/>
    <w:rsid w:val="00A32F21"/>
    <w:rsid w:val="00A33085"/>
    <w:rsid w:val="00A330F1"/>
    <w:rsid w:val="00A3333C"/>
    <w:rsid w:val="00A33647"/>
    <w:rsid w:val="00A33664"/>
    <w:rsid w:val="00A337BF"/>
    <w:rsid w:val="00A33B66"/>
    <w:rsid w:val="00A33C30"/>
    <w:rsid w:val="00A33E03"/>
    <w:rsid w:val="00A33FBC"/>
    <w:rsid w:val="00A34285"/>
    <w:rsid w:val="00A342D4"/>
    <w:rsid w:val="00A345A7"/>
    <w:rsid w:val="00A34B7A"/>
    <w:rsid w:val="00A34D05"/>
    <w:rsid w:val="00A34EFB"/>
    <w:rsid w:val="00A356D1"/>
    <w:rsid w:val="00A36738"/>
    <w:rsid w:val="00A36EB1"/>
    <w:rsid w:val="00A371B5"/>
    <w:rsid w:val="00A37618"/>
    <w:rsid w:val="00A378D4"/>
    <w:rsid w:val="00A37C17"/>
    <w:rsid w:val="00A400D3"/>
    <w:rsid w:val="00A4092D"/>
    <w:rsid w:val="00A40D1D"/>
    <w:rsid w:val="00A40D23"/>
    <w:rsid w:val="00A40D8F"/>
    <w:rsid w:val="00A40F56"/>
    <w:rsid w:val="00A40FAD"/>
    <w:rsid w:val="00A412A7"/>
    <w:rsid w:val="00A4138E"/>
    <w:rsid w:val="00A41450"/>
    <w:rsid w:val="00A41D71"/>
    <w:rsid w:val="00A423FA"/>
    <w:rsid w:val="00A4290F"/>
    <w:rsid w:val="00A42ED6"/>
    <w:rsid w:val="00A440D8"/>
    <w:rsid w:val="00A44171"/>
    <w:rsid w:val="00A44CF3"/>
    <w:rsid w:val="00A45706"/>
    <w:rsid w:val="00A45F7D"/>
    <w:rsid w:val="00A45F8E"/>
    <w:rsid w:val="00A460D7"/>
    <w:rsid w:val="00A466CA"/>
    <w:rsid w:val="00A46F6B"/>
    <w:rsid w:val="00A471A0"/>
    <w:rsid w:val="00A47402"/>
    <w:rsid w:val="00A47F4E"/>
    <w:rsid w:val="00A50043"/>
    <w:rsid w:val="00A5049B"/>
    <w:rsid w:val="00A50563"/>
    <w:rsid w:val="00A50D37"/>
    <w:rsid w:val="00A5130A"/>
    <w:rsid w:val="00A5187F"/>
    <w:rsid w:val="00A518AE"/>
    <w:rsid w:val="00A519C5"/>
    <w:rsid w:val="00A527D3"/>
    <w:rsid w:val="00A52C20"/>
    <w:rsid w:val="00A52E15"/>
    <w:rsid w:val="00A53C83"/>
    <w:rsid w:val="00A53CF5"/>
    <w:rsid w:val="00A53EDC"/>
    <w:rsid w:val="00A53F3E"/>
    <w:rsid w:val="00A540C0"/>
    <w:rsid w:val="00A542EC"/>
    <w:rsid w:val="00A547EC"/>
    <w:rsid w:val="00A548DE"/>
    <w:rsid w:val="00A54A0E"/>
    <w:rsid w:val="00A54AC0"/>
    <w:rsid w:val="00A55316"/>
    <w:rsid w:val="00A5544E"/>
    <w:rsid w:val="00A558A1"/>
    <w:rsid w:val="00A56DFE"/>
    <w:rsid w:val="00A56EBD"/>
    <w:rsid w:val="00A57176"/>
    <w:rsid w:val="00A57496"/>
    <w:rsid w:val="00A57AE2"/>
    <w:rsid w:val="00A57B60"/>
    <w:rsid w:val="00A57BD8"/>
    <w:rsid w:val="00A60C69"/>
    <w:rsid w:val="00A60D74"/>
    <w:rsid w:val="00A61F2E"/>
    <w:rsid w:val="00A62E1A"/>
    <w:rsid w:val="00A62F5D"/>
    <w:rsid w:val="00A634D2"/>
    <w:rsid w:val="00A63697"/>
    <w:rsid w:val="00A63AF8"/>
    <w:rsid w:val="00A63CF7"/>
    <w:rsid w:val="00A63D30"/>
    <w:rsid w:val="00A6475C"/>
    <w:rsid w:val="00A64C27"/>
    <w:rsid w:val="00A65699"/>
    <w:rsid w:val="00A65938"/>
    <w:rsid w:val="00A65A7A"/>
    <w:rsid w:val="00A660A0"/>
    <w:rsid w:val="00A66114"/>
    <w:rsid w:val="00A666FE"/>
    <w:rsid w:val="00A6680B"/>
    <w:rsid w:val="00A675E4"/>
    <w:rsid w:val="00A676D3"/>
    <w:rsid w:val="00A676EE"/>
    <w:rsid w:val="00A67C95"/>
    <w:rsid w:val="00A67DCE"/>
    <w:rsid w:val="00A702C1"/>
    <w:rsid w:val="00A70B82"/>
    <w:rsid w:val="00A70DD9"/>
    <w:rsid w:val="00A71355"/>
    <w:rsid w:val="00A71518"/>
    <w:rsid w:val="00A715BC"/>
    <w:rsid w:val="00A71CE0"/>
    <w:rsid w:val="00A71D62"/>
    <w:rsid w:val="00A7239A"/>
    <w:rsid w:val="00A7254B"/>
    <w:rsid w:val="00A726DD"/>
    <w:rsid w:val="00A726DE"/>
    <w:rsid w:val="00A72F38"/>
    <w:rsid w:val="00A72FB1"/>
    <w:rsid w:val="00A73087"/>
    <w:rsid w:val="00A731B6"/>
    <w:rsid w:val="00A7382A"/>
    <w:rsid w:val="00A73A5C"/>
    <w:rsid w:val="00A73DB6"/>
    <w:rsid w:val="00A741AE"/>
    <w:rsid w:val="00A748A0"/>
    <w:rsid w:val="00A75290"/>
    <w:rsid w:val="00A75ADB"/>
    <w:rsid w:val="00A76186"/>
    <w:rsid w:val="00A7699B"/>
    <w:rsid w:val="00A76A03"/>
    <w:rsid w:val="00A77B73"/>
    <w:rsid w:val="00A77E1B"/>
    <w:rsid w:val="00A77EB2"/>
    <w:rsid w:val="00A80165"/>
    <w:rsid w:val="00A80CB9"/>
    <w:rsid w:val="00A810BA"/>
    <w:rsid w:val="00A813D7"/>
    <w:rsid w:val="00A818DA"/>
    <w:rsid w:val="00A82119"/>
    <w:rsid w:val="00A82293"/>
    <w:rsid w:val="00A825AE"/>
    <w:rsid w:val="00A832BC"/>
    <w:rsid w:val="00A83445"/>
    <w:rsid w:val="00A83A3E"/>
    <w:rsid w:val="00A84127"/>
    <w:rsid w:val="00A846E4"/>
    <w:rsid w:val="00A84850"/>
    <w:rsid w:val="00A848E4"/>
    <w:rsid w:val="00A84EB0"/>
    <w:rsid w:val="00A850AC"/>
    <w:rsid w:val="00A8512F"/>
    <w:rsid w:val="00A85447"/>
    <w:rsid w:val="00A85D6C"/>
    <w:rsid w:val="00A85E6E"/>
    <w:rsid w:val="00A85F73"/>
    <w:rsid w:val="00A86040"/>
    <w:rsid w:val="00A8626E"/>
    <w:rsid w:val="00A864D7"/>
    <w:rsid w:val="00A8663F"/>
    <w:rsid w:val="00A86692"/>
    <w:rsid w:val="00A86855"/>
    <w:rsid w:val="00A86864"/>
    <w:rsid w:val="00A86AA5"/>
    <w:rsid w:val="00A876DA"/>
    <w:rsid w:val="00A90D22"/>
    <w:rsid w:val="00A916A7"/>
    <w:rsid w:val="00A91763"/>
    <w:rsid w:val="00A9182B"/>
    <w:rsid w:val="00A91B3D"/>
    <w:rsid w:val="00A91BDF"/>
    <w:rsid w:val="00A91EB0"/>
    <w:rsid w:val="00A9282E"/>
    <w:rsid w:val="00A92913"/>
    <w:rsid w:val="00A92AAF"/>
    <w:rsid w:val="00A92F6F"/>
    <w:rsid w:val="00A93105"/>
    <w:rsid w:val="00A934F5"/>
    <w:rsid w:val="00A9372D"/>
    <w:rsid w:val="00A9376A"/>
    <w:rsid w:val="00A93A9F"/>
    <w:rsid w:val="00A93AC3"/>
    <w:rsid w:val="00A9425D"/>
    <w:rsid w:val="00A94288"/>
    <w:rsid w:val="00A9430E"/>
    <w:rsid w:val="00A9489E"/>
    <w:rsid w:val="00A95730"/>
    <w:rsid w:val="00A95A59"/>
    <w:rsid w:val="00A964C4"/>
    <w:rsid w:val="00A96853"/>
    <w:rsid w:val="00A96C72"/>
    <w:rsid w:val="00A974E1"/>
    <w:rsid w:val="00A97A92"/>
    <w:rsid w:val="00A97D21"/>
    <w:rsid w:val="00AA03AD"/>
    <w:rsid w:val="00AA0861"/>
    <w:rsid w:val="00AA0A62"/>
    <w:rsid w:val="00AA0BD8"/>
    <w:rsid w:val="00AA0F5E"/>
    <w:rsid w:val="00AA190A"/>
    <w:rsid w:val="00AA1AA4"/>
    <w:rsid w:val="00AA288C"/>
    <w:rsid w:val="00AA28E6"/>
    <w:rsid w:val="00AA2BE8"/>
    <w:rsid w:val="00AA3FD1"/>
    <w:rsid w:val="00AA4696"/>
    <w:rsid w:val="00AA46EC"/>
    <w:rsid w:val="00AA4930"/>
    <w:rsid w:val="00AA4A1A"/>
    <w:rsid w:val="00AA5079"/>
    <w:rsid w:val="00AA5194"/>
    <w:rsid w:val="00AA561D"/>
    <w:rsid w:val="00AA58DC"/>
    <w:rsid w:val="00AA5D3A"/>
    <w:rsid w:val="00AA5E9B"/>
    <w:rsid w:val="00AA60F9"/>
    <w:rsid w:val="00AA6241"/>
    <w:rsid w:val="00AA6524"/>
    <w:rsid w:val="00AA658A"/>
    <w:rsid w:val="00AA6774"/>
    <w:rsid w:val="00AA69B8"/>
    <w:rsid w:val="00AA76D1"/>
    <w:rsid w:val="00AB05E8"/>
    <w:rsid w:val="00AB0CF9"/>
    <w:rsid w:val="00AB0FC2"/>
    <w:rsid w:val="00AB1456"/>
    <w:rsid w:val="00AB21CD"/>
    <w:rsid w:val="00AB2C6B"/>
    <w:rsid w:val="00AB38D5"/>
    <w:rsid w:val="00AB3F01"/>
    <w:rsid w:val="00AB4E9B"/>
    <w:rsid w:val="00AB616C"/>
    <w:rsid w:val="00AB674D"/>
    <w:rsid w:val="00AB69DE"/>
    <w:rsid w:val="00AB6E4F"/>
    <w:rsid w:val="00AC0CC8"/>
    <w:rsid w:val="00AC10A3"/>
    <w:rsid w:val="00AC12BD"/>
    <w:rsid w:val="00AC198D"/>
    <w:rsid w:val="00AC1CDC"/>
    <w:rsid w:val="00AC230F"/>
    <w:rsid w:val="00AC281B"/>
    <w:rsid w:val="00AC2966"/>
    <w:rsid w:val="00AC2B40"/>
    <w:rsid w:val="00AC2D82"/>
    <w:rsid w:val="00AC2EBE"/>
    <w:rsid w:val="00AC3308"/>
    <w:rsid w:val="00AC33BA"/>
    <w:rsid w:val="00AC3B1F"/>
    <w:rsid w:val="00AC3C5C"/>
    <w:rsid w:val="00AC42FE"/>
    <w:rsid w:val="00AC44E1"/>
    <w:rsid w:val="00AC4672"/>
    <w:rsid w:val="00AC4EC0"/>
    <w:rsid w:val="00AC4F2B"/>
    <w:rsid w:val="00AC5247"/>
    <w:rsid w:val="00AC6046"/>
    <w:rsid w:val="00AC6234"/>
    <w:rsid w:val="00AC6459"/>
    <w:rsid w:val="00AC6517"/>
    <w:rsid w:val="00AC6A2B"/>
    <w:rsid w:val="00AC7102"/>
    <w:rsid w:val="00AC7682"/>
    <w:rsid w:val="00AC770A"/>
    <w:rsid w:val="00AD017A"/>
    <w:rsid w:val="00AD036F"/>
    <w:rsid w:val="00AD06E4"/>
    <w:rsid w:val="00AD0B06"/>
    <w:rsid w:val="00AD1454"/>
    <w:rsid w:val="00AD182E"/>
    <w:rsid w:val="00AD1A4B"/>
    <w:rsid w:val="00AD1D31"/>
    <w:rsid w:val="00AD1D7C"/>
    <w:rsid w:val="00AD1EEB"/>
    <w:rsid w:val="00AD20F3"/>
    <w:rsid w:val="00AD26B0"/>
    <w:rsid w:val="00AD2B28"/>
    <w:rsid w:val="00AD2C89"/>
    <w:rsid w:val="00AD34B1"/>
    <w:rsid w:val="00AD372A"/>
    <w:rsid w:val="00AD3A56"/>
    <w:rsid w:val="00AD3EE5"/>
    <w:rsid w:val="00AD424C"/>
    <w:rsid w:val="00AD4415"/>
    <w:rsid w:val="00AD4638"/>
    <w:rsid w:val="00AD4B0C"/>
    <w:rsid w:val="00AD5450"/>
    <w:rsid w:val="00AD6434"/>
    <w:rsid w:val="00AD6640"/>
    <w:rsid w:val="00AD698E"/>
    <w:rsid w:val="00AD6A94"/>
    <w:rsid w:val="00AD6B32"/>
    <w:rsid w:val="00AD7435"/>
    <w:rsid w:val="00AD772F"/>
    <w:rsid w:val="00AD7936"/>
    <w:rsid w:val="00AD7B2C"/>
    <w:rsid w:val="00AE0052"/>
    <w:rsid w:val="00AE056F"/>
    <w:rsid w:val="00AE0761"/>
    <w:rsid w:val="00AE1152"/>
    <w:rsid w:val="00AE134C"/>
    <w:rsid w:val="00AE1403"/>
    <w:rsid w:val="00AE176B"/>
    <w:rsid w:val="00AE1E9D"/>
    <w:rsid w:val="00AE226A"/>
    <w:rsid w:val="00AE234A"/>
    <w:rsid w:val="00AE2C0E"/>
    <w:rsid w:val="00AE2D78"/>
    <w:rsid w:val="00AE2F83"/>
    <w:rsid w:val="00AE32E8"/>
    <w:rsid w:val="00AE34F6"/>
    <w:rsid w:val="00AE364A"/>
    <w:rsid w:val="00AE415A"/>
    <w:rsid w:val="00AE4818"/>
    <w:rsid w:val="00AE4BA8"/>
    <w:rsid w:val="00AE57BC"/>
    <w:rsid w:val="00AE5D9D"/>
    <w:rsid w:val="00AE5DCE"/>
    <w:rsid w:val="00AE5FC0"/>
    <w:rsid w:val="00AE65A3"/>
    <w:rsid w:val="00AE6BAF"/>
    <w:rsid w:val="00AE6BB8"/>
    <w:rsid w:val="00AE6D39"/>
    <w:rsid w:val="00AE71F0"/>
    <w:rsid w:val="00AE7375"/>
    <w:rsid w:val="00AE7578"/>
    <w:rsid w:val="00AE7793"/>
    <w:rsid w:val="00AF0DB8"/>
    <w:rsid w:val="00AF10AC"/>
    <w:rsid w:val="00AF1A01"/>
    <w:rsid w:val="00AF28B3"/>
    <w:rsid w:val="00AF2A8F"/>
    <w:rsid w:val="00AF3502"/>
    <w:rsid w:val="00AF3690"/>
    <w:rsid w:val="00AF3BD8"/>
    <w:rsid w:val="00AF3BD9"/>
    <w:rsid w:val="00AF3E5B"/>
    <w:rsid w:val="00AF43DF"/>
    <w:rsid w:val="00AF48EF"/>
    <w:rsid w:val="00AF509E"/>
    <w:rsid w:val="00AF5618"/>
    <w:rsid w:val="00AF564D"/>
    <w:rsid w:val="00AF5C60"/>
    <w:rsid w:val="00AF5F07"/>
    <w:rsid w:val="00AF652E"/>
    <w:rsid w:val="00AF67E6"/>
    <w:rsid w:val="00AF69E7"/>
    <w:rsid w:val="00AF6D59"/>
    <w:rsid w:val="00AF7469"/>
    <w:rsid w:val="00B00103"/>
    <w:rsid w:val="00B00249"/>
    <w:rsid w:val="00B00D14"/>
    <w:rsid w:val="00B00EED"/>
    <w:rsid w:val="00B019AE"/>
    <w:rsid w:val="00B023B5"/>
    <w:rsid w:val="00B029C9"/>
    <w:rsid w:val="00B02E0E"/>
    <w:rsid w:val="00B0348B"/>
    <w:rsid w:val="00B03A1A"/>
    <w:rsid w:val="00B03E51"/>
    <w:rsid w:val="00B03F8B"/>
    <w:rsid w:val="00B041A0"/>
    <w:rsid w:val="00B043B8"/>
    <w:rsid w:val="00B04F5D"/>
    <w:rsid w:val="00B0547B"/>
    <w:rsid w:val="00B055FC"/>
    <w:rsid w:val="00B05BE9"/>
    <w:rsid w:val="00B06C7F"/>
    <w:rsid w:val="00B0710C"/>
    <w:rsid w:val="00B0730D"/>
    <w:rsid w:val="00B0745D"/>
    <w:rsid w:val="00B07676"/>
    <w:rsid w:val="00B07A2F"/>
    <w:rsid w:val="00B1003F"/>
    <w:rsid w:val="00B100BA"/>
    <w:rsid w:val="00B101FF"/>
    <w:rsid w:val="00B10209"/>
    <w:rsid w:val="00B1027B"/>
    <w:rsid w:val="00B104D7"/>
    <w:rsid w:val="00B10E4A"/>
    <w:rsid w:val="00B11704"/>
    <w:rsid w:val="00B11826"/>
    <w:rsid w:val="00B11F7C"/>
    <w:rsid w:val="00B12729"/>
    <w:rsid w:val="00B1396C"/>
    <w:rsid w:val="00B13D9E"/>
    <w:rsid w:val="00B146E0"/>
    <w:rsid w:val="00B1483D"/>
    <w:rsid w:val="00B14A4D"/>
    <w:rsid w:val="00B15555"/>
    <w:rsid w:val="00B157C4"/>
    <w:rsid w:val="00B161A6"/>
    <w:rsid w:val="00B163C2"/>
    <w:rsid w:val="00B16F37"/>
    <w:rsid w:val="00B171D7"/>
    <w:rsid w:val="00B175EB"/>
    <w:rsid w:val="00B20C94"/>
    <w:rsid w:val="00B21113"/>
    <w:rsid w:val="00B2115F"/>
    <w:rsid w:val="00B211EC"/>
    <w:rsid w:val="00B214D3"/>
    <w:rsid w:val="00B21B28"/>
    <w:rsid w:val="00B21CB0"/>
    <w:rsid w:val="00B22358"/>
    <w:rsid w:val="00B22411"/>
    <w:rsid w:val="00B22C88"/>
    <w:rsid w:val="00B22D31"/>
    <w:rsid w:val="00B23167"/>
    <w:rsid w:val="00B2425D"/>
    <w:rsid w:val="00B24426"/>
    <w:rsid w:val="00B246F0"/>
    <w:rsid w:val="00B2487F"/>
    <w:rsid w:val="00B24B00"/>
    <w:rsid w:val="00B24B28"/>
    <w:rsid w:val="00B24C91"/>
    <w:rsid w:val="00B24F5E"/>
    <w:rsid w:val="00B25BF7"/>
    <w:rsid w:val="00B26D42"/>
    <w:rsid w:val="00B26F87"/>
    <w:rsid w:val="00B27726"/>
    <w:rsid w:val="00B279C2"/>
    <w:rsid w:val="00B30158"/>
    <w:rsid w:val="00B30C2E"/>
    <w:rsid w:val="00B30E6F"/>
    <w:rsid w:val="00B31724"/>
    <w:rsid w:val="00B31D4E"/>
    <w:rsid w:val="00B324D6"/>
    <w:rsid w:val="00B32636"/>
    <w:rsid w:val="00B34A96"/>
    <w:rsid w:val="00B34B83"/>
    <w:rsid w:val="00B35351"/>
    <w:rsid w:val="00B355DE"/>
    <w:rsid w:val="00B35807"/>
    <w:rsid w:val="00B35910"/>
    <w:rsid w:val="00B359E7"/>
    <w:rsid w:val="00B35A7D"/>
    <w:rsid w:val="00B3676C"/>
    <w:rsid w:val="00B37137"/>
    <w:rsid w:val="00B37297"/>
    <w:rsid w:val="00B37689"/>
    <w:rsid w:val="00B376BB"/>
    <w:rsid w:val="00B40120"/>
    <w:rsid w:val="00B404AF"/>
    <w:rsid w:val="00B409ED"/>
    <w:rsid w:val="00B4229F"/>
    <w:rsid w:val="00B4240F"/>
    <w:rsid w:val="00B43551"/>
    <w:rsid w:val="00B43D42"/>
    <w:rsid w:val="00B44576"/>
    <w:rsid w:val="00B44815"/>
    <w:rsid w:val="00B454A6"/>
    <w:rsid w:val="00B4569C"/>
    <w:rsid w:val="00B45843"/>
    <w:rsid w:val="00B45A3A"/>
    <w:rsid w:val="00B45A8E"/>
    <w:rsid w:val="00B4627C"/>
    <w:rsid w:val="00B463A1"/>
    <w:rsid w:val="00B4644B"/>
    <w:rsid w:val="00B46495"/>
    <w:rsid w:val="00B468B2"/>
    <w:rsid w:val="00B46BFC"/>
    <w:rsid w:val="00B46C75"/>
    <w:rsid w:val="00B46E89"/>
    <w:rsid w:val="00B46E94"/>
    <w:rsid w:val="00B4702D"/>
    <w:rsid w:val="00B470B0"/>
    <w:rsid w:val="00B47144"/>
    <w:rsid w:val="00B47BD8"/>
    <w:rsid w:val="00B47C47"/>
    <w:rsid w:val="00B47E12"/>
    <w:rsid w:val="00B47F0B"/>
    <w:rsid w:val="00B50843"/>
    <w:rsid w:val="00B51509"/>
    <w:rsid w:val="00B525F6"/>
    <w:rsid w:val="00B52858"/>
    <w:rsid w:val="00B528FF"/>
    <w:rsid w:val="00B537B8"/>
    <w:rsid w:val="00B53913"/>
    <w:rsid w:val="00B5429A"/>
    <w:rsid w:val="00B54510"/>
    <w:rsid w:val="00B5459F"/>
    <w:rsid w:val="00B5499B"/>
    <w:rsid w:val="00B54B7C"/>
    <w:rsid w:val="00B54CE0"/>
    <w:rsid w:val="00B55328"/>
    <w:rsid w:val="00B5559D"/>
    <w:rsid w:val="00B55640"/>
    <w:rsid w:val="00B558B8"/>
    <w:rsid w:val="00B55F8B"/>
    <w:rsid w:val="00B5622F"/>
    <w:rsid w:val="00B56455"/>
    <w:rsid w:val="00B5768D"/>
    <w:rsid w:val="00B57DBF"/>
    <w:rsid w:val="00B57F0D"/>
    <w:rsid w:val="00B60C4C"/>
    <w:rsid w:val="00B60D5F"/>
    <w:rsid w:val="00B60F5D"/>
    <w:rsid w:val="00B615A5"/>
    <w:rsid w:val="00B6258A"/>
    <w:rsid w:val="00B62727"/>
    <w:rsid w:val="00B63C08"/>
    <w:rsid w:val="00B63C83"/>
    <w:rsid w:val="00B63C9C"/>
    <w:rsid w:val="00B645DF"/>
    <w:rsid w:val="00B64654"/>
    <w:rsid w:val="00B64A49"/>
    <w:rsid w:val="00B64BDC"/>
    <w:rsid w:val="00B64BEA"/>
    <w:rsid w:val="00B6586F"/>
    <w:rsid w:val="00B661EF"/>
    <w:rsid w:val="00B66320"/>
    <w:rsid w:val="00B67732"/>
    <w:rsid w:val="00B70168"/>
    <w:rsid w:val="00B70267"/>
    <w:rsid w:val="00B702AC"/>
    <w:rsid w:val="00B703A9"/>
    <w:rsid w:val="00B704E2"/>
    <w:rsid w:val="00B7098F"/>
    <w:rsid w:val="00B70CC1"/>
    <w:rsid w:val="00B71521"/>
    <w:rsid w:val="00B717B8"/>
    <w:rsid w:val="00B71861"/>
    <w:rsid w:val="00B71AC5"/>
    <w:rsid w:val="00B71B90"/>
    <w:rsid w:val="00B71BA7"/>
    <w:rsid w:val="00B724F9"/>
    <w:rsid w:val="00B73A32"/>
    <w:rsid w:val="00B73C2E"/>
    <w:rsid w:val="00B73FC4"/>
    <w:rsid w:val="00B74108"/>
    <w:rsid w:val="00B74521"/>
    <w:rsid w:val="00B74841"/>
    <w:rsid w:val="00B7507E"/>
    <w:rsid w:val="00B757FE"/>
    <w:rsid w:val="00B758CE"/>
    <w:rsid w:val="00B75BB5"/>
    <w:rsid w:val="00B76477"/>
    <w:rsid w:val="00B76571"/>
    <w:rsid w:val="00B76905"/>
    <w:rsid w:val="00B76A7D"/>
    <w:rsid w:val="00B76EA9"/>
    <w:rsid w:val="00B77366"/>
    <w:rsid w:val="00B7741D"/>
    <w:rsid w:val="00B77FFC"/>
    <w:rsid w:val="00B80A10"/>
    <w:rsid w:val="00B80FE8"/>
    <w:rsid w:val="00B8195B"/>
    <w:rsid w:val="00B826F6"/>
    <w:rsid w:val="00B8284B"/>
    <w:rsid w:val="00B82B75"/>
    <w:rsid w:val="00B82C45"/>
    <w:rsid w:val="00B83275"/>
    <w:rsid w:val="00B83565"/>
    <w:rsid w:val="00B837B7"/>
    <w:rsid w:val="00B843ED"/>
    <w:rsid w:val="00B848CB"/>
    <w:rsid w:val="00B8495A"/>
    <w:rsid w:val="00B85485"/>
    <w:rsid w:val="00B86105"/>
    <w:rsid w:val="00B86717"/>
    <w:rsid w:val="00B8764E"/>
    <w:rsid w:val="00B87DE0"/>
    <w:rsid w:val="00B9009D"/>
    <w:rsid w:val="00B90324"/>
    <w:rsid w:val="00B9040D"/>
    <w:rsid w:val="00B90735"/>
    <w:rsid w:val="00B90A64"/>
    <w:rsid w:val="00B90F08"/>
    <w:rsid w:val="00B91433"/>
    <w:rsid w:val="00B91614"/>
    <w:rsid w:val="00B91F47"/>
    <w:rsid w:val="00B920CF"/>
    <w:rsid w:val="00B928F7"/>
    <w:rsid w:val="00B92BAC"/>
    <w:rsid w:val="00B92EF5"/>
    <w:rsid w:val="00B93A68"/>
    <w:rsid w:val="00B93E74"/>
    <w:rsid w:val="00B9413D"/>
    <w:rsid w:val="00B943A5"/>
    <w:rsid w:val="00B94783"/>
    <w:rsid w:val="00B94A58"/>
    <w:rsid w:val="00B94DB3"/>
    <w:rsid w:val="00B95672"/>
    <w:rsid w:val="00B95C17"/>
    <w:rsid w:val="00B95EC7"/>
    <w:rsid w:val="00B9629A"/>
    <w:rsid w:val="00B96694"/>
    <w:rsid w:val="00B96BD3"/>
    <w:rsid w:val="00B97544"/>
    <w:rsid w:val="00BA036E"/>
    <w:rsid w:val="00BA08FA"/>
    <w:rsid w:val="00BA0D08"/>
    <w:rsid w:val="00BA0D2D"/>
    <w:rsid w:val="00BA13D0"/>
    <w:rsid w:val="00BA14E9"/>
    <w:rsid w:val="00BA1515"/>
    <w:rsid w:val="00BA17FB"/>
    <w:rsid w:val="00BA1AC4"/>
    <w:rsid w:val="00BA1B12"/>
    <w:rsid w:val="00BA2087"/>
    <w:rsid w:val="00BA30AC"/>
    <w:rsid w:val="00BA3A7E"/>
    <w:rsid w:val="00BA403B"/>
    <w:rsid w:val="00BA5313"/>
    <w:rsid w:val="00BA55DF"/>
    <w:rsid w:val="00BA5DB4"/>
    <w:rsid w:val="00BA5F36"/>
    <w:rsid w:val="00BA654E"/>
    <w:rsid w:val="00BA6582"/>
    <w:rsid w:val="00BA70AC"/>
    <w:rsid w:val="00BA72C1"/>
    <w:rsid w:val="00BA75CD"/>
    <w:rsid w:val="00BA7865"/>
    <w:rsid w:val="00BA7FEC"/>
    <w:rsid w:val="00BB02C1"/>
    <w:rsid w:val="00BB0BE7"/>
    <w:rsid w:val="00BB1510"/>
    <w:rsid w:val="00BB1D32"/>
    <w:rsid w:val="00BB2005"/>
    <w:rsid w:val="00BB21DD"/>
    <w:rsid w:val="00BB29AE"/>
    <w:rsid w:val="00BB29EF"/>
    <w:rsid w:val="00BB3602"/>
    <w:rsid w:val="00BB373B"/>
    <w:rsid w:val="00BB3F42"/>
    <w:rsid w:val="00BB423C"/>
    <w:rsid w:val="00BB4351"/>
    <w:rsid w:val="00BB4E8D"/>
    <w:rsid w:val="00BB4F9C"/>
    <w:rsid w:val="00BB5185"/>
    <w:rsid w:val="00BB576D"/>
    <w:rsid w:val="00BB5E0D"/>
    <w:rsid w:val="00BB7014"/>
    <w:rsid w:val="00BB702B"/>
    <w:rsid w:val="00BB7350"/>
    <w:rsid w:val="00BB7FDE"/>
    <w:rsid w:val="00BC0448"/>
    <w:rsid w:val="00BC0F19"/>
    <w:rsid w:val="00BC1193"/>
    <w:rsid w:val="00BC1618"/>
    <w:rsid w:val="00BC19F0"/>
    <w:rsid w:val="00BC207E"/>
    <w:rsid w:val="00BC20B1"/>
    <w:rsid w:val="00BC230C"/>
    <w:rsid w:val="00BC275E"/>
    <w:rsid w:val="00BC2A98"/>
    <w:rsid w:val="00BC2BD5"/>
    <w:rsid w:val="00BC2E84"/>
    <w:rsid w:val="00BC2EE4"/>
    <w:rsid w:val="00BC3425"/>
    <w:rsid w:val="00BC3495"/>
    <w:rsid w:val="00BC3E05"/>
    <w:rsid w:val="00BC43F5"/>
    <w:rsid w:val="00BC4D70"/>
    <w:rsid w:val="00BC4FA8"/>
    <w:rsid w:val="00BC5512"/>
    <w:rsid w:val="00BC5B43"/>
    <w:rsid w:val="00BC5C23"/>
    <w:rsid w:val="00BC5F30"/>
    <w:rsid w:val="00BC6DFA"/>
    <w:rsid w:val="00BC7069"/>
    <w:rsid w:val="00BC7168"/>
    <w:rsid w:val="00BC742D"/>
    <w:rsid w:val="00BC748E"/>
    <w:rsid w:val="00BC79AA"/>
    <w:rsid w:val="00BC7BB4"/>
    <w:rsid w:val="00BD0AA0"/>
    <w:rsid w:val="00BD1218"/>
    <w:rsid w:val="00BD1526"/>
    <w:rsid w:val="00BD16A2"/>
    <w:rsid w:val="00BD17A7"/>
    <w:rsid w:val="00BD1C69"/>
    <w:rsid w:val="00BD27FB"/>
    <w:rsid w:val="00BD2AFB"/>
    <w:rsid w:val="00BD3A73"/>
    <w:rsid w:val="00BD5A58"/>
    <w:rsid w:val="00BD5EE0"/>
    <w:rsid w:val="00BD6457"/>
    <w:rsid w:val="00BD74E9"/>
    <w:rsid w:val="00BD7EA7"/>
    <w:rsid w:val="00BE01DA"/>
    <w:rsid w:val="00BE02E2"/>
    <w:rsid w:val="00BE0AD7"/>
    <w:rsid w:val="00BE1307"/>
    <w:rsid w:val="00BE1A11"/>
    <w:rsid w:val="00BE2004"/>
    <w:rsid w:val="00BE209E"/>
    <w:rsid w:val="00BE2315"/>
    <w:rsid w:val="00BE25C2"/>
    <w:rsid w:val="00BE3408"/>
    <w:rsid w:val="00BE3707"/>
    <w:rsid w:val="00BE3C59"/>
    <w:rsid w:val="00BE3C6D"/>
    <w:rsid w:val="00BE3D99"/>
    <w:rsid w:val="00BE3DAE"/>
    <w:rsid w:val="00BE3E3B"/>
    <w:rsid w:val="00BE40F5"/>
    <w:rsid w:val="00BE4640"/>
    <w:rsid w:val="00BE46F8"/>
    <w:rsid w:val="00BE4888"/>
    <w:rsid w:val="00BE50F2"/>
    <w:rsid w:val="00BE5146"/>
    <w:rsid w:val="00BE54F2"/>
    <w:rsid w:val="00BE5713"/>
    <w:rsid w:val="00BE5A6A"/>
    <w:rsid w:val="00BE5BCB"/>
    <w:rsid w:val="00BE61B6"/>
    <w:rsid w:val="00BE61CB"/>
    <w:rsid w:val="00BE7771"/>
    <w:rsid w:val="00BE78B1"/>
    <w:rsid w:val="00BE7B52"/>
    <w:rsid w:val="00BE7E14"/>
    <w:rsid w:val="00BF0558"/>
    <w:rsid w:val="00BF076A"/>
    <w:rsid w:val="00BF0C69"/>
    <w:rsid w:val="00BF130F"/>
    <w:rsid w:val="00BF14E4"/>
    <w:rsid w:val="00BF1BC6"/>
    <w:rsid w:val="00BF1EF0"/>
    <w:rsid w:val="00BF25A6"/>
    <w:rsid w:val="00BF25FC"/>
    <w:rsid w:val="00BF2C08"/>
    <w:rsid w:val="00BF2EB9"/>
    <w:rsid w:val="00BF388E"/>
    <w:rsid w:val="00BF38D3"/>
    <w:rsid w:val="00BF3A6A"/>
    <w:rsid w:val="00BF3AFA"/>
    <w:rsid w:val="00BF3AFF"/>
    <w:rsid w:val="00BF3D83"/>
    <w:rsid w:val="00BF4066"/>
    <w:rsid w:val="00BF4113"/>
    <w:rsid w:val="00BF4FC0"/>
    <w:rsid w:val="00BF512A"/>
    <w:rsid w:val="00BF56B2"/>
    <w:rsid w:val="00BF5915"/>
    <w:rsid w:val="00BF5C90"/>
    <w:rsid w:val="00BF5D4C"/>
    <w:rsid w:val="00BF5D57"/>
    <w:rsid w:val="00BF5E49"/>
    <w:rsid w:val="00BF5F5B"/>
    <w:rsid w:val="00BF6147"/>
    <w:rsid w:val="00BF692B"/>
    <w:rsid w:val="00BF6EA9"/>
    <w:rsid w:val="00BF6F45"/>
    <w:rsid w:val="00BF7015"/>
    <w:rsid w:val="00BF7447"/>
    <w:rsid w:val="00BF7593"/>
    <w:rsid w:val="00BF7620"/>
    <w:rsid w:val="00BF7804"/>
    <w:rsid w:val="00C0012D"/>
    <w:rsid w:val="00C00896"/>
    <w:rsid w:val="00C00A03"/>
    <w:rsid w:val="00C00BFA"/>
    <w:rsid w:val="00C00E8D"/>
    <w:rsid w:val="00C010E3"/>
    <w:rsid w:val="00C01264"/>
    <w:rsid w:val="00C01B1D"/>
    <w:rsid w:val="00C01DE8"/>
    <w:rsid w:val="00C01F87"/>
    <w:rsid w:val="00C02339"/>
    <w:rsid w:val="00C02981"/>
    <w:rsid w:val="00C02B15"/>
    <w:rsid w:val="00C02C58"/>
    <w:rsid w:val="00C02DEB"/>
    <w:rsid w:val="00C02EAF"/>
    <w:rsid w:val="00C030CD"/>
    <w:rsid w:val="00C03E67"/>
    <w:rsid w:val="00C03F56"/>
    <w:rsid w:val="00C04EC7"/>
    <w:rsid w:val="00C052CD"/>
    <w:rsid w:val="00C05300"/>
    <w:rsid w:val="00C056D2"/>
    <w:rsid w:val="00C06005"/>
    <w:rsid w:val="00C0693E"/>
    <w:rsid w:val="00C06A60"/>
    <w:rsid w:val="00C0703E"/>
    <w:rsid w:val="00C07095"/>
    <w:rsid w:val="00C071A7"/>
    <w:rsid w:val="00C075B5"/>
    <w:rsid w:val="00C077C3"/>
    <w:rsid w:val="00C07A4E"/>
    <w:rsid w:val="00C07E4B"/>
    <w:rsid w:val="00C106AE"/>
    <w:rsid w:val="00C10BA1"/>
    <w:rsid w:val="00C10C73"/>
    <w:rsid w:val="00C10FEF"/>
    <w:rsid w:val="00C11E1F"/>
    <w:rsid w:val="00C11EBF"/>
    <w:rsid w:val="00C1211F"/>
    <w:rsid w:val="00C126C9"/>
    <w:rsid w:val="00C12992"/>
    <w:rsid w:val="00C12A1A"/>
    <w:rsid w:val="00C12C88"/>
    <w:rsid w:val="00C12FA0"/>
    <w:rsid w:val="00C13A8F"/>
    <w:rsid w:val="00C13C23"/>
    <w:rsid w:val="00C13E6A"/>
    <w:rsid w:val="00C13FEB"/>
    <w:rsid w:val="00C146D0"/>
    <w:rsid w:val="00C14D7E"/>
    <w:rsid w:val="00C15790"/>
    <w:rsid w:val="00C15B76"/>
    <w:rsid w:val="00C15CB1"/>
    <w:rsid w:val="00C162A0"/>
    <w:rsid w:val="00C16757"/>
    <w:rsid w:val="00C16828"/>
    <w:rsid w:val="00C16882"/>
    <w:rsid w:val="00C16FC4"/>
    <w:rsid w:val="00C17562"/>
    <w:rsid w:val="00C1799C"/>
    <w:rsid w:val="00C20003"/>
    <w:rsid w:val="00C202F4"/>
    <w:rsid w:val="00C20349"/>
    <w:rsid w:val="00C20B11"/>
    <w:rsid w:val="00C20EEC"/>
    <w:rsid w:val="00C2117D"/>
    <w:rsid w:val="00C21392"/>
    <w:rsid w:val="00C21510"/>
    <w:rsid w:val="00C21624"/>
    <w:rsid w:val="00C2185A"/>
    <w:rsid w:val="00C21D97"/>
    <w:rsid w:val="00C229F2"/>
    <w:rsid w:val="00C22F0C"/>
    <w:rsid w:val="00C2318D"/>
    <w:rsid w:val="00C23413"/>
    <w:rsid w:val="00C23505"/>
    <w:rsid w:val="00C238CE"/>
    <w:rsid w:val="00C245DF"/>
    <w:rsid w:val="00C24655"/>
    <w:rsid w:val="00C249ED"/>
    <w:rsid w:val="00C24D9E"/>
    <w:rsid w:val="00C24F9F"/>
    <w:rsid w:val="00C254AD"/>
    <w:rsid w:val="00C25A1C"/>
    <w:rsid w:val="00C25AA2"/>
    <w:rsid w:val="00C25AAD"/>
    <w:rsid w:val="00C25AF9"/>
    <w:rsid w:val="00C25D83"/>
    <w:rsid w:val="00C2640E"/>
    <w:rsid w:val="00C266A7"/>
    <w:rsid w:val="00C268E2"/>
    <w:rsid w:val="00C26F28"/>
    <w:rsid w:val="00C2724C"/>
    <w:rsid w:val="00C278A3"/>
    <w:rsid w:val="00C278C8"/>
    <w:rsid w:val="00C30189"/>
    <w:rsid w:val="00C308AA"/>
    <w:rsid w:val="00C318A1"/>
    <w:rsid w:val="00C31A59"/>
    <w:rsid w:val="00C31C05"/>
    <w:rsid w:val="00C31D1A"/>
    <w:rsid w:val="00C32571"/>
    <w:rsid w:val="00C328A5"/>
    <w:rsid w:val="00C32E90"/>
    <w:rsid w:val="00C330B1"/>
    <w:rsid w:val="00C33CE9"/>
    <w:rsid w:val="00C34076"/>
    <w:rsid w:val="00C34284"/>
    <w:rsid w:val="00C343B9"/>
    <w:rsid w:val="00C348D8"/>
    <w:rsid w:val="00C34B8B"/>
    <w:rsid w:val="00C34ED8"/>
    <w:rsid w:val="00C352EA"/>
    <w:rsid w:val="00C35ECD"/>
    <w:rsid w:val="00C368D9"/>
    <w:rsid w:val="00C36A52"/>
    <w:rsid w:val="00C36C2C"/>
    <w:rsid w:val="00C36CA0"/>
    <w:rsid w:val="00C37041"/>
    <w:rsid w:val="00C402C4"/>
    <w:rsid w:val="00C4096A"/>
    <w:rsid w:val="00C40D1E"/>
    <w:rsid w:val="00C41010"/>
    <w:rsid w:val="00C4195F"/>
    <w:rsid w:val="00C41F44"/>
    <w:rsid w:val="00C422B0"/>
    <w:rsid w:val="00C424E9"/>
    <w:rsid w:val="00C42A8A"/>
    <w:rsid w:val="00C43653"/>
    <w:rsid w:val="00C436A8"/>
    <w:rsid w:val="00C439F1"/>
    <w:rsid w:val="00C43E09"/>
    <w:rsid w:val="00C43F84"/>
    <w:rsid w:val="00C43F94"/>
    <w:rsid w:val="00C441D1"/>
    <w:rsid w:val="00C4459A"/>
    <w:rsid w:val="00C44F6B"/>
    <w:rsid w:val="00C450E4"/>
    <w:rsid w:val="00C4542D"/>
    <w:rsid w:val="00C4596C"/>
    <w:rsid w:val="00C45C31"/>
    <w:rsid w:val="00C46145"/>
    <w:rsid w:val="00C46BF7"/>
    <w:rsid w:val="00C46CE3"/>
    <w:rsid w:val="00C46DE0"/>
    <w:rsid w:val="00C47B2C"/>
    <w:rsid w:val="00C5117B"/>
    <w:rsid w:val="00C513C1"/>
    <w:rsid w:val="00C519D3"/>
    <w:rsid w:val="00C51EA3"/>
    <w:rsid w:val="00C52063"/>
    <w:rsid w:val="00C5218A"/>
    <w:rsid w:val="00C529AE"/>
    <w:rsid w:val="00C52A79"/>
    <w:rsid w:val="00C52CC6"/>
    <w:rsid w:val="00C53218"/>
    <w:rsid w:val="00C532DC"/>
    <w:rsid w:val="00C53483"/>
    <w:rsid w:val="00C534D4"/>
    <w:rsid w:val="00C535EA"/>
    <w:rsid w:val="00C5365F"/>
    <w:rsid w:val="00C536E2"/>
    <w:rsid w:val="00C5458B"/>
    <w:rsid w:val="00C54882"/>
    <w:rsid w:val="00C54BD4"/>
    <w:rsid w:val="00C55486"/>
    <w:rsid w:val="00C55D2D"/>
    <w:rsid w:val="00C565F2"/>
    <w:rsid w:val="00C56748"/>
    <w:rsid w:val="00C5698E"/>
    <w:rsid w:val="00C569AB"/>
    <w:rsid w:val="00C56FB6"/>
    <w:rsid w:val="00C57B24"/>
    <w:rsid w:val="00C60C16"/>
    <w:rsid w:val="00C60DF9"/>
    <w:rsid w:val="00C60E5E"/>
    <w:rsid w:val="00C614B8"/>
    <w:rsid w:val="00C61820"/>
    <w:rsid w:val="00C62290"/>
    <w:rsid w:val="00C62A50"/>
    <w:rsid w:val="00C62A7B"/>
    <w:rsid w:val="00C62E2A"/>
    <w:rsid w:val="00C62F0F"/>
    <w:rsid w:val="00C62FF8"/>
    <w:rsid w:val="00C631EB"/>
    <w:rsid w:val="00C64091"/>
    <w:rsid w:val="00C65320"/>
    <w:rsid w:val="00C65F8A"/>
    <w:rsid w:val="00C6638E"/>
    <w:rsid w:val="00C664CA"/>
    <w:rsid w:val="00C668D3"/>
    <w:rsid w:val="00C669A8"/>
    <w:rsid w:val="00C669D7"/>
    <w:rsid w:val="00C66B7F"/>
    <w:rsid w:val="00C66C84"/>
    <w:rsid w:val="00C67282"/>
    <w:rsid w:val="00C677B6"/>
    <w:rsid w:val="00C67B34"/>
    <w:rsid w:val="00C67EAE"/>
    <w:rsid w:val="00C707CE"/>
    <w:rsid w:val="00C70BAA"/>
    <w:rsid w:val="00C70F17"/>
    <w:rsid w:val="00C7146C"/>
    <w:rsid w:val="00C71E57"/>
    <w:rsid w:val="00C7211A"/>
    <w:rsid w:val="00C7219C"/>
    <w:rsid w:val="00C725D6"/>
    <w:rsid w:val="00C72618"/>
    <w:rsid w:val="00C72792"/>
    <w:rsid w:val="00C72828"/>
    <w:rsid w:val="00C72941"/>
    <w:rsid w:val="00C73591"/>
    <w:rsid w:val="00C73892"/>
    <w:rsid w:val="00C73EB1"/>
    <w:rsid w:val="00C74423"/>
    <w:rsid w:val="00C74487"/>
    <w:rsid w:val="00C74780"/>
    <w:rsid w:val="00C74815"/>
    <w:rsid w:val="00C7539B"/>
    <w:rsid w:val="00C754E8"/>
    <w:rsid w:val="00C76347"/>
    <w:rsid w:val="00C7673F"/>
    <w:rsid w:val="00C7694C"/>
    <w:rsid w:val="00C76C30"/>
    <w:rsid w:val="00C7708A"/>
    <w:rsid w:val="00C7789C"/>
    <w:rsid w:val="00C778F0"/>
    <w:rsid w:val="00C77DED"/>
    <w:rsid w:val="00C77F81"/>
    <w:rsid w:val="00C80270"/>
    <w:rsid w:val="00C80EB0"/>
    <w:rsid w:val="00C815CB"/>
    <w:rsid w:val="00C81698"/>
    <w:rsid w:val="00C819B1"/>
    <w:rsid w:val="00C81CF3"/>
    <w:rsid w:val="00C82C44"/>
    <w:rsid w:val="00C82D8B"/>
    <w:rsid w:val="00C83527"/>
    <w:rsid w:val="00C83835"/>
    <w:rsid w:val="00C839F3"/>
    <w:rsid w:val="00C84052"/>
    <w:rsid w:val="00C8500C"/>
    <w:rsid w:val="00C85393"/>
    <w:rsid w:val="00C85C73"/>
    <w:rsid w:val="00C8603C"/>
    <w:rsid w:val="00C86136"/>
    <w:rsid w:val="00C8617A"/>
    <w:rsid w:val="00C863F9"/>
    <w:rsid w:val="00C866A2"/>
    <w:rsid w:val="00C866B1"/>
    <w:rsid w:val="00C8681D"/>
    <w:rsid w:val="00C8690B"/>
    <w:rsid w:val="00C86C9C"/>
    <w:rsid w:val="00C86EBD"/>
    <w:rsid w:val="00C87557"/>
    <w:rsid w:val="00C875B4"/>
    <w:rsid w:val="00C87C60"/>
    <w:rsid w:val="00C902DF"/>
    <w:rsid w:val="00C90445"/>
    <w:rsid w:val="00C9047C"/>
    <w:rsid w:val="00C906E1"/>
    <w:rsid w:val="00C90A4E"/>
    <w:rsid w:val="00C9117B"/>
    <w:rsid w:val="00C9134B"/>
    <w:rsid w:val="00C913C6"/>
    <w:rsid w:val="00C91464"/>
    <w:rsid w:val="00C91830"/>
    <w:rsid w:val="00C91AF9"/>
    <w:rsid w:val="00C92161"/>
    <w:rsid w:val="00C922D2"/>
    <w:rsid w:val="00C92B81"/>
    <w:rsid w:val="00C92D7C"/>
    <w:rsid w:val="00C93290"/>
    <w:rsid w:val="00C936B0"/>
    <w:rsid w:val="00C93CE0"/>
    <w:rsid w:val="00C93F6B"/>
    <w:rsid w:val="00C94775"/>
    <w:rsid w:val="00C95199"/>
    <w:rsid w:val="00C95273"/>
    <w:rsid w:val="00C95374"/>
    <w:rsid w:val="00C95AD8"/>
    <w:rsid w:val="00C95B9C"/>
    <w:rsid w:val="00C95E47"/>
    <w:rsid w:val="00C96984"/>
    <w:rsid w:val="00C96A18"/>
    <w:rsid w:val="00C96C69"/>
    <w:rsid w:val="00C9787A"/>
    <w:rsid w:val="00CA0806"/>
    <w:rsid w:val="00CA0B0F"/>
    <w:rsid w:val="00CA0B32"/>
    <w:rsid w:val="00CA0ED8"/>
    <w:rsid w:val="00CA1146"/>
    <w:rsid w:val="00CA116E"/>
    <w:rsid w:val="00CA153C"/>
    <w:rsid w:val="00CA1B71"/>
    <w:rsid w:val="00CA1CE3"/>
    <w:rsid w:val="00CA213B"/>
    <w:rsid w:val="00CA2164"/>
    <w:rsid w:val="00CA22DE"/>
    <w:rsid w:val="00CA297B"/>
    <w:rsid w:val="00CA2D9B"/>
    <w:rsid w:val="00CA31DD"/>
    <w:rsid w:val="00CA3997"/>
    <w:rsid w:val="00CA4310"/>
    <w:rsid w:val="00CA44E5"/>
    <w:rsid w:val="00CA4CF1"/>
    <w:rsid w:val="00CA50FB"/>
    <w:rsid w:val="00CA562C"/>
    <w:rsid w:val="00CA5824"/>
    <w:rsid w:val="00CA5B49"/>
    <w:rsid w:val="00CA5BEB"/>
    <w:rsid w:val="00CA5F85"/>
    <w:rsid w:val="00CA6338"/>
    <w:rsid w:val="00CA6A20"/>
    <w:rsid w:val="00CA7039"/>
    <w:rsid w:val="00CA7730"/>
    <w:rsid w:val="00CB0761"/>
    <w:rsid w:val="00CB0B2A"/>
    <w:rsid w:val="00CB2000"/>
    <w:rsid w:val="00CB2006"/>
    <w:rsid w:val="00CB235A"/>
    <w:rsid w:val="00CB30F5"/>
    <w:rsid w:val="00CB386A"/>
    <w:rsid w:val="00CB3C18"/>
    <w:rsid w:val="00CB3D23"/>
    <w:rsid w:val="00CB3FF4"/>
    <w:rsid w:val="00CB46BE"/>
    <w:rsid w:val="00CB48B9"/>
    <w:rsid w:val="00CB4D61"/>
    <w:rsid w:val="00CB4EAD"/>
    <w:rsid w:val="00CB4F6C"/>
    <w:rsid w:val="00CB5231"/>
    <w:rsid w:val="00CB6E42"/>
    <w:rsid w:val="00CB7523"/>
    <w:rsid w:val="00CB7F94"/>
    <w:rsid w:val="00CC008E"/>
    <w:rsid w:val="00CC0D0C"/>
    <w:rsid w:val="00CC11AA"/>
    <w:rsid w:val="00CC12D5"/>
    <w:rsid w:val="00CC18E8"/>
    <w:rsid w:val="00CC1C85"/>
    <w:rsid w:val="00CC23AE"/>
    <w:rsid w:val="00CC2A6E"/>
    <w:rsid w:val="00CC3025"/>
    <w:rsid w:val="00CC323F"/>
    <w:rsid w:val="00CC366C"/>
    <w:rsid w:val="00CC3793"/>
    <w:rsid w:val="00CC3F41"/>
    <w:rsid w:val="00CC56BD"/>
    <w:rsid w:val="00CC5EFF"/>
    <w:rsid w:val="00CC66E4"/>
    <w:rsid w:val="00CC69FE"/>
    <w:rsid w:val="00CC6E96"/>
    <w:rsid w:val="00CC74C3"/>
    <w:rsid w:val="00CC7ED1"/>
    <w:rsid w:val="00CC7FF2"/>
    <w:rsid w:val="00CD0305"/>
    <w:rsid w:val="00CD06F0"/>
    <w:rsid w:val="00CD11CF"/>
    <w:rsid w:val="00CD1604"/>
    <w:rsid w:val="00CD1BEB"/>
    <w:rsid w:val="00CD1F9F"/>
    <w:rsid w:val="00CD1FA4"/>
    <w:rsid w:val="00CD1FA8"/>
    <w:rsid w:val="00CD2F3B"/>
    <w:rsid w:val="00CD33B5"/>
    <w:rsid w:val="00CD378D"/>
    <w:rsid w:val="00CD408D"/>
    <w:rsid w:val="00CD431D"/>
    <w:rsid w:val="00CD47FF"/>
    <w:rsid w:val="00CD5C6D"/>
    <w:rsid w:val="00CD5DFD"/>
    <w:rsid w:val="00CD5FAB"/>
    <w:rsid w:val="00CD6436"/>
    <w:rsid w:val="00CD65B4"/>
    <w:rsid w:val="00CD76F1"/>
    <w:rsid w:val="00CD775F"/>
    <w:rsid w:val="00CD7B3B"/>
    <w:rsid w:val="00CE03AF"/>
    <w:rsid w:val="00CE04F3"/>
    <w:rsid w:val="00CE094E"/>
    <w:rsid w:val="00CE0A69"/>
    <w:rsid w:val="00CE1EEC"/>
    <w:rsid w:val="00CE250E"/>
    <w:rsid w:val="00CE2B95"/>
    <w:rsid w:val="00CE2D18"/>
    <w:rsid w:val="00CE2D2B"/>
    <w:rsid w:val="00CE2EBE"/>
    <w:rsid w:val="00CE416B"/>
    <w:rsid w:val="00CE4C88"/>
    <w:rsid w:val="00CE4E49"/>
    <w:rsid w:val="00CE4E8C"/>
    <w:rsid w:val="00CE5874"/>
    <w:rsid w:val="00CE599F"/>
    <w:rsid w:val="00CE5D55"/>
    <w:rsid w:val="00CE5F8C"/>
    <w:rsid w:val="00CE608F"/>
    <w:rsid w:val="00CE62D9"/>
    <w:rsid w:val="00CE6445"/>
    <w:rsid w:val="00CE66A4"/>
    <w:rsid w:val="00CE7B06"/>
    <w:rsid w:val="00CE7CBE"/>
    <w:rsid w:val="00CE7FD2"/>
    <w:rsid w:val="00CF0436"/>
    <w:rsid w:val="00CF0BB7"/>
    <w:rsid w:val="00CF0E52"/>
    <w:rsid w:val="00CF114D"/>
    <w:rsid w:val="00CF2332"/>
    <w:rsid w:val="00CF29FB"/>
    <w:rsid w:val="00CF2E3C"/>
    <w:rsid w:val="00CF356D"/>
    <w:rsid w:val="00CF398A"/>
    <w:rsid w:val="00CF3B69"/>
    <w:rsid w:val="00CF41F3"/>
    <w:rsid w:val="00CF44E2"/>
    <w:rsid w:val="00CF49AC"/>
    <w:rsid w:val="00CF4ABD"/>
    <w:rsid w:val="00CF4C6F"/>
    <w:rsid w:val="00CF4CD8"/>
    <w:rsid w:val="00CF4DE8"/>
    <w:rsid w:val="00CF4F8B"/>
    <w:rsid w:val="00CF521F"/>
    <w:rsid w:val="00CF567E"/>
    <w:rsid w:val="00CF5ACD"/>
    <w:rsid w:val="00CF5CD2"/>
    <w:rsid w:val="00CF659A"/>
    <w:rsid w:val="00CF722D"/>
    <w:rsid w:val="00CF7896"/>
    <w:rsid w:val="00CF7E55"/>
    <w:rsid w:val="00D00384"/>
    <w:rsid w:val="00D0060D"/>
    <w:rsid w:val="00D006AD"/>
    <w:rsid w:val="00D0083B"/>
    <w:rsid w:val="00D00B2A"/>
    <w:rsid w:val="00D00E4C"/>
    <w:rsid w:val="00D011B7"/>
    <w:rsid w:val="00D02103"/>
    <w:rsid w:val="00D025A7"/>
    <w:rsid w:val="00D02BB9"/>
    <w:rsid w:val="00D03796"/>
    <w:rsid w:val="00D038EB"/>
    <w:rsid w:val="00D03A1E"/>
    <w:rsid w:val="00D03B06"/>
    <w:rsid w:val="00D049FD"/>
    <w:rsid w:val="00D04C4F"/>
    <w:rsid w:val="00D0515A"/>
    <w:rsid w:val="00D05333"/>
    <w:rsid w:val="00D053C0"/>
    <w:rsid w:val="00D058A4"/>
    <w:rsid w:val="00D0601C"/>
    <w:rsid w:val="00D074F7"/>
    <w:rsid w:val="00D0794E"/>
    <w:rsid w:val="00D07FE8"/>
    <w:rsid w:val="00D10A55"/>
    <w:rsid w:val="00D10A62"/>
    <w:rsid w:val="00D1113E"/>
    <w:rsid w:val="00D11646"/>
    <w:rsid w:val="00D11FDD"/>
    <w:rsid w:val="00D124E8"/>
    <w:rsid w:val="00D1263C"/>
    <w:rsid w:val="00D127F8"/>
    <w:rsid w:val="00D128EE"/>
    <w:rsid w:val="00D1366D"/>
    <w:rsid w:val="00D13CB4"/>
    <w:rsid w:val="00D13DC3"/>
    <w:rsid w:val="00D14157"/>
    <w:rsid w:val="00D15078"/>
    <w:rsid w:val="00D15B24"/>
    <w:rsid w:val="00D16BFB"/>
    <w:rsid w:val="00D16E4F"/>
    <w:rsid w:val="00D175D7"/>
    <w:rsid w:val="00D1785A"/>
    <w:rsid w:val="00D17E7E"/>
    <w:rsid w:val="00D17FB7"/>
    <w:rsid w:val="00D201D1"/>
    <w:rsid w:val="00D20318"/>
    <w:rsid w:val="00D206CD"/>
    <w:rsid w:val="00D2110A"/>
    <w:rsid w:val="00D218F1"/>
    <w:rsid w:val="00D21970"/>
    <w:rsid w:val="00D21B20"/>
    <w:rsid w:val="00D21EB3"/>
    <w:rsid w:val="00D2223F"/>
    <w:rsid w:val="00D22663"/>
    <w:rsid w:val="00D227BF"/>
    <w:rsid w:val="00D22DB3"/>
    <w:rsid w:val="00D22EA4"/>
    <w:rsid w:val="00D23623"/>
    <w:rsid w:val="00D23658"/>
    <w:rsid w:val="00D2380F"/>
    <w:rsid w:val="00D239BD"/>
    <w:rsid w:val="00D243D8"/>
    <w:rsid w:val="00D24626"/>
    <w:rsid w:val="00D24CCA"/>
    <w:rsid w:val="00D25687"/>
    <w:rsid w:val="00D26105"/>
    <w:rsid w:val="00D26387"/>
    <w:rsid w:val="00D26602"/>
    <w:rsid w:val="00D2667E"/>
    <w:rsid w:val="00D26FF0"/>
    <w:rsid w:val="00D27038"/>
    <w:rsid w:val="00D2764C"/>
    <w:rsid w:val="00D30205"/>
    <w:rsid w:val="00D307FC"/>
    <w:rsid w:val="00D309E7"/>
    <w:rsid w:val="00D315AC"/>
    <w:rsid w:val="00D31DF1"/>
    <w:rsid w:val="00D31F40"/>
    <w:rsid w:val="00D322CB"/>
    <w:rsid w:val="00D32ABB"/>
    <w:rsid w:val="00D32D8F"/>
    <w:rsid w:val="00D33BC0"/>
    <w:rsid w:val="00D34150"/>
    <w:rsid w:val="00D3468C"/>
    <w:rsid w:val="00D34965"/>
    <w:rsid w:val="00D350D4"/>
    <w:rsid w:val="00D35710"/>
    <w:rsid w:val="00D35D09"/>
    <w:rsid w:val="00D360BC"/>
    <w:rsid w:val="00D361B3"/>
    <w:rsid w:val="00D365C0"/>
    <w:rsid w:val="00D36FDE"/>
    <w:rsid w:val="00D37115"/>
    <w:rsid w:val="00D3718B"/>
    <w:rsid w:val="00D37805"/>
    <w:rsid w:val="00D37AE6"/>
    <w:rsid w:val="00D37B79"/>
    <w:rsid w:val="00D40787"/>
    <w:rsid w:val="00D40B9A"/>
    <w:rsid w:val="00D41B19"/>
    <w:rsid w:val="00D41B30"/>
    <w:rsid w:val="00D41BCB"/>
    <w:rsid w:val="00D41F22"/>
    <w:rsid w:val="00D421E7"/>
    <w:rsid w:val="00D42476"/>
    <w:rsid w:val="00D428E3"/>
    <w:rsid w:val="00D42CB9"/>
    <w:rsid w:val="00D42DB3"/>
    <w:rsid w:val="00D43257"/>
    <w:rsid w:val="00D43290"/>
    <w:rsid w:val="00D43660"/>
    <w:rsid w:val="00D43666"/>
    <w:rsid w:val="00D4407B"/>
    <w:rsid w:val="00D44692"/>
    <w:rsid w:val="00D446A5"/>
    <w:rsid w:val="00D44A1A"/>
    <w:rsid w:val="00D45A8C"/>
    <w:rsid w:val="00D45AEF"/>
    <w:rsid w:val="00D45EAA"/>
    <w:rsid w:val="00D46078"/>
    <w:rsid w:val="00D46337"/>
    <w:rsid w:val="00D4641D"/>
    <w:rsid w:val="00D4697E"/>
    <w:rsid w:val="00D478CC"/>
    <w:rsid w:val="00D479AD"/>
    <w:rsid w:val="00D50445"/>
    <w:rsid w:val="00D50792"/>
    <w:rsid w:val="00D51106"/>
    <w:rsid w:val="00D5118A"/>
    <w:rsid w:val="00D5119C"/>
    <w:rsid w:val="00D5131D"/>
    <w:rsid w:val="00D5140E"/>
    <w:rsid w:val="00D516A6"/>
    <w:rsid w:val="00D518ED"/>
    <w:rsid w:val="00D521E2"/>
    <w:rsid w:val="00D52513"/>
    <w:rsid w:val="00D5252B"/>
    <w:rsid w:val="00D526EA"/>
    <w:rsid w:val="00D52E37"/>
    <w:rsid w:val="00D530E5"/>
    <w:rsid w:val="00D5381E"/>
    <w:rsid w:val="00D54650"/>
    <w:rsid w:val="00D5488E"/>
    <w:rsid w:val="00D54911"/>
    <w:rsid w:val="00D54D8D"/>
    <w:rsid w:val="00D55145"/>
    <w:rsid w:val="00D55CA4"/>
    <w:rsid w:val="00D55D8A"/>
    <w:rsid w:val="00D55FDF"/>
    <w:rsid w:val="00D566A8"/>
    <w:rsid w:val="00D57046"/>
    <w:rsid w:val="00D570CE"/>
    <w:rsid w:val="00D573CB"/>
    <w:rsid w:val="00D6014F"/>
    <w:rsid w:val="00D601D9"/>
    <w:rsid w:val="00D6031B"/>
    <w:rsid w:val="00D603CD"/>
    <w:rsid w:val="00D60631"/>
    <w:rsid w:val="00D61267"/>
    <w:rsid w:val="00D6185E"/>
    <w:rsid w:val="00D61BAD"/>
    <w:rsid w:val="00D62BA5"/>
    <w:rsid w:val="00D62EE1"/>
    <w:rsid w:val="00D63576"/>
    <w:rsid w:val="00D63755"/>
    <w:rsid w:val="00D63895"/>
    <w:rsid w:val="00D63EB4"/>
    <w:rsid w:val="00D644A8"/>
    <w:rsid w:val="00D646C6"/>
    <w:rsid w:val="00D64A89"/>
    <w:rsid w:val="00D65FD9"/>
    <w:rsid w:val="00D66491"/>
    <w:rsid w:val="00D66848"/>
    <w:rsid w:val="00D66D6C"/>
    <w:rsid w:val="00D66D70"/>
    <w:rsid w:val="00D66E88"/>
    <w:rsid w:val="00D673D1"/>
    <w:rsid w:val="00D6778E"/>
    <w:rsid w:val="00D7061B"/>
    <w:rsid w:val="00D70C85"/>
    <w:rsid w:val="00D710F0"/>
    <w:rsid w:val="00D718F5"/>
    <w:rsid w:val="00D71AA3"/>
    <w:rsid w:val="00D71B3E"/>
    <w:rsid w:val="00D72883"/>
    <w:rsid w:val="00D73067"/>
    <w:rsid w:val="00D737D6"/>
    <w:rsid w:val="00D73C11"/>
    <w:rsid w:val="00D7493B"/>
    <w:rsid w:val="00D74A7D"/>
    <w:rsid w:val="00D75169"/>
    <w:rsid w:val="00D761B4"/>
    <w:rsid w:val="00D76238"/>
    <w:rsid w:val="00D76433"/>
    <w:rsid w:val="00D769BF"/>
    <w:rsid w:val="00D76F9B"/>
    <w:rsid w:val="00D773E6"/>
    <w:rsid w:val="00D774B9"/>
    <w:rsid w:val="00D774DE"/>
    <w:rsid w:val="00D77576"/>
    <w:rsid w:val="00D778B8"/>
    <w:rsid w:val="00D805CD"/>
    <w:rsid w:val="00D80B6A"/>
    <w:rsid w:val="00D8106A"/>
    <w:rsid w:val="00D812AD"/>
    <w:rsid w:val="00D81437"/>
    <w:rsid w:val="00D8150C"/>
    <w:rsid w:val="00D82730"/>
    <w:rsid w:val="00D82E95"/>
    <w:rsid w:val="00D82FE4"/>
    <w:rsid w:val="00D8321D"/>
    <w:rsid w:val="00D8330F"/>
    <w:rsid w:val="00D83393"/>
    <w:rsid w:val="00D83850"/>
    <w:rsid w:val="00D84351"/>
    <w:rsid w:val="00D84AE6"/>
    <w:rsid w:val="00D84D39"/>
    <w:rsid w:val="00D85518"/>
    <w:rsid w:val="00D85753"/>
    <w:rsid w:val="00D86C97"/>
    <w:rsid w:val="00D86D42"/>
    <w:rsid w:val="00D878FB"/>
    <w:rsid w:val="00D87DB9"/>
    <w:rsid w:val="00D903EB"/>
    <w:rsid w:val="00D905C4"/>
    <w:rsid w:val="00D90B48"/>
    <w:rsid w:val="00D90C9D"/>
    <w:rsid w:val="00D915DF"/>
    <w:rsid w:val="00D91993"/>
    <w:rsid w:val="00D91BC3"/>
    <w:rsid w:val="00D91CF6"/>
    <w:rsid w:val="00D91D58"/>
    <w:rsid w:val="00D91ED3"/>
    <w:rsid w:val="00D920B2"/>
    <w:rsid w:val="00D923F4"/>
    <w:rsid w:val="00D926DE"/>
    <w:rsid w:val="00D9309C"/>
    <w:rsid w:val="00D943AA"/>
    <w:rsid w:val="00D945A1"/>
    <w:rsid w:val="00D947AA"/>
    <w:rsid w:val="00D949B0"/>
    <w:rsid w:val="00D95322"/>
    <w:rsid w:val="00D95485"/>
    <w:rsid w:val="00D96B10"/>
    <w:rsid w:val="00D96C7F"/>
    <w:rsid w:val="00D96CD2"/>
    <w:rsid w:val="00D97129"/>
    <w:rsid w:val="00D9750E"/>
    <w:rsid w:val="00DA102C"/>
    <w:rsid w:val="00DA1312"/>
    <w:rsid w:val="00DA192C"/>
    <w:rsid w:val="00DA1CD0"/>
    <w:rsid w:val="00DA1F5F"/>
    <w:rsid w:val="00DA203F"/>
    <w:rsid w:val="00DA28D6"/>
    <w:rsid w:val="00DA31D7"/>
    <w:rsid w:val="00DA372B"/>
    <w:rsid w:val="00DA44A4"/>
    <w:rsid w:val="00DA4697"/>
    <w:rsid w:val="00DA4993"/>
    <w:rsid w:val="00DA4DB2"/>
    <w:rsid w:val="00DA4E43"/>
    <w:rsid w:val="00DA53B6"/>
    <w:rsid w:val="00DA5712"/>
    <w:rsid w:val="00DA5E0A"/>
    <w:rsid w:val="00DA5EB3"/>
    <w:rsid w:val="00DA6186"/>
    <w:rsid w:val="00DA61A8"/>
    <w:rsid w:val="00DA69DA"/>
    <w:rsid w:val="00DA7893"/>
    <w:rsid w:val="00DA7AF2"/>
    <w:rsid w:val="00DB086A"/>
    <w:rsid w:val="00DB0D48"/>
    <w:rsid w:val="00DB1081"/>
    <w:rsid w:val="00DB129B"/>
    <w:rsid w:val="00DB186E"/>
    <w:rsid w:val="00DB1D76"/>
    <w:rsid w:val="00DB2473"/>
    <w:rsid w:val="00DB25CB"/>
    <w:rsid w:val="00DB290A"/>
    <w:rsid w:val="00DB2CB9"/>
    <w:rsid w:val="00DB2F5D"/>
    <w:rsid w:val="00DB33EE"/>
    <w:rsid w:val="00DB34BF"/>
    <w:rsid w:val="00DB352F"/>
    <w:rsid w:val="00DB35BB"/>
    <w:rsid w:val="00DB378B"/>
    <w:rsid w:val="00DB3E8C"/>
    <w:rsid w:val="00DB430E"/>
    <w:rsid w:val="00DB4852"/>
    <w:rsid w:val="00DB5226"/>
    <w:rsid w:val="00DB5369"/>
    <w:rsid w:val="00DB53A7"/>
    <w:rsid w:val="00DB54CD"/>
    <w:rsid w:val="00DB581F"/>
    <w:rsid w:val="00DB608A"/>
    <w:rsid w:val="00DB645B"/>
    <w:rsid w:val="00DB736E"/>
    <w:rsid w:val="00DB7423"/>
    <w:rsid w:val="00DB7768"/>
    <w:rsid w:val="00DB7C7C"/>
    <w:rsid w:val="00DB7C97"/>
    <w:rsid w:val="00DC005F"/>
    <w:rsid w:val="00DC02F4"/>
    <w:rsid w:val="00DC10AB"/>
    <w:rsid w:val="00DC1962"/>
    <w:rsid w:val="00DC2259"/>
    <w:rsid w:val="00DC2339"/>
    <w:rsid w:val="00DC2378"/>
    <w:rsid w:val="00DC2B46"/>
    <w:rsid w:val="00DC2B9E"/>
    <w:rsid w:val="00DC315E"/>
    <w:rsid w:val="00DC317B"/>
    <w:rsid w:val="00DC321B"/>
    <w:rsid w:val="00DC32AF"/>
    <w:rsid w:val="00DC3337"/>
    <w:rsid w:val="00DC343B"/>
    <w:rsid w:val="00DC3930"/>
    <w:rsid w:val="00DC4A42"/>
    <w:rsid w:val="00DC4CD8"/>
    <w:rsid w:val="00DC4CEC"/>
    <w:rsid w:val="00DC4DA3"/>
    <w:rsid w:val="00DC5117"/>
    <w:rsid w:val="00DC57CC"/>
    <w:rsid w:val="00DC6BE9"/>
    <w:rsid w:val="00DC6C13"/>
    <w:rsid w:val="00DC6E4F"/>
    <w:rsid w:val="00DC70E0"/>
    <w:rsid w:val="00DC7885"/>
    <w:rsid w:val="00DC7FF5"/>
    <w:rsid w:val="00DD09EE"/>
    <w:rsid w:val="00DD0BCC"/>
    <w:rsid w:val="00DD0D5B"/>
    <w:rsid w:val="00DD0E24"/>
    <w:rsid w:val="00DD17C6"/>
    <w:rsid w:val="00DD1F42"/>
    <w:rsid w:val="00DD25A9"/>
    <w:rsid w:val="00DD2697"/>
    <w:rsid w:val="00DD2BF6"/>
    <w:rsid w:val="00DD2F2E"/>
    <w:rsid w:val="00DD3AA6"/>
    <w:rsid w:val="00DD3E0E"/>
    <w:rsid w:val="00DD3F36"/>
    <w:rsid w:val="00DD4027"/>
    <w:rsid w:val="00DD4148"/>
    <w:rsid w:val="00DD42CA"/>
    <w:rsid w:val="00DD4331"/>
    <w:rsid w:val="00DD4973"/>
    <w:rsid w:val="00DD52ED"/>
    <w:rsid w:val="00DD537F"/>
    <w:rsid w:val="00DD5AE5"/>
    <w:rsid w:val="00DD5C00"/>
    <w:rsid w:val="00DD5E11"/>
    <w:rsid w:val="00DD6092"/>
    <w:rsid w:val="00DD6753"/>
    <w:rsid w:val="00DD7127"/>
    <w:rsid w:val="00DD713C"/>
    <w:rsid w:val="00DD7E6B"/>
    <w:rsid w:val="00DE09CC"/>
    <w:rsid w:val="00DE12DF"/>
    <w:rsid w:val="00DE12F4"/>
    <w:rsid w:val="00DE21D2"/>
    <w:rsid w:val="00DE2B59"/>
    <w:rsid w:val="00DE2EC2"/>
    <w:rsid w:val="00DE3224"/>
    <w:rsid w:val="00DE37E7"/>
    <w:rsid w:val="00DE3D89"/>
    <w:rsid w:val="00DE4511"/>
    <w:rsid w:val="00DE49C4"/>
    <w:rsid w:val="00DE4BF9"/>
    <w:rsid w:val="00DE51F1"/>
    <w:rsid w:val="00DE5A61"/>
    <w:rsid w:val="00DE5BA7"/>
    <w:rsid w:val="00DE63DF"/>
    <w:rsid w:val="00DE675E"/>
    <w:rsid w:val="00DE67F9"/>
    <w:rsid w:val="00DE69E9"/>
    <w:rsid w:val="00DE7311"/>
    <w:rsid w:val="00DE78E3"/>
    <w:rsid w:val="00DF017C"/>
    <w:rsid w:val="00DF0281"/>
    <w:rsid w:val="00DF073E"/>
    <w:rsid w:val="00DF091E"/>
    <w:rsid w:val="00DF0AA3"/>
    <w:rsid w:val="00DF15D0"/>
    <w:rsid w:val="00DF1634"/>
    <w:rsid w:val="00DF1800"/>
    <w:rsid w:val="00DF1F82"/>
    <w:rsid w:val="00DF2103"/>
    <w:rsid w:val="00DF22E7"/>
    <w:rsid w:val="00DF269C"/>
    <w:rsid w:val="00DF3244"/>
    <w:rsid w:val="00DF3702"/>
    <w:rsid w:val="00DF37BA"/>
    <w:rsid w:val="00DF398A"/>
    <w:rsid w:val="00DF3AAA"/>
    <w:rsid w:val="00DF3B47"/>
    <w:rsid w:val="00DF3C5D"/>
    <w:rsid w:val="00DF3D77"/>
    <w:rsid w:val="00DF3FC4"/>
    <w:rsid w:val="00DF42C5"/>
    <w:rsid w:val="00DF4E74"/>
    <w:rsid w:val="00DF5976"/>
    <w:rsid w:val="00DF5ABB"/>
    <w:rsid w:val="00DF5D88"/>
    <w:rsid w:val="00DF6124"/>
    <w:rsid w:val="00DF6ED0"/>
    <w:rsid w:val="00DF78A9"/>
    <w:rsid w:val="00DF7B30"/>
    <w:rsid w:val="00DF7EC5"/>
    <w:rsid w:val="00E0005D"/>
    <w:rsid w:val="00E001DF"/>
    <w:rsid w:val="00E001F2"/>
    <w:rsid w:val="00E00659"/>
    <w:rsid w:val="00E0066C"/>
    <w:rsid w:val="00E00AC5"/>
    <w:rsid w:val="00E00C0B"/>
    <w:rsid w:val="00E00D6E"/>
    <w:rsid w:val="00E01398"/>
    <w:rsid w:val="00E02436"/>
    <w:rsid w:val="00E027CF"/>
    <w:rsid w:val="00E0286B"/>
    <w:rsid w:val="00E02AD6"/>
    <w:rsid w:val="00E03729"/>
    <w:rsid w:val="00E039C7"/>
    <w:rsid w:val="00E03D44"/>
    <w:rsid w:val="00E04702"/>
    <w:rsid w:val="00E056C1"/>
    <w:rsid w:val="00E05ECE"/>
    <w:rsid w:val="00E06049"/>
    <w:rsid w:val="00E0662E"/>
    <w:rsid w:val="00E06A39"/>
    <w:rsid w:val="00E06AC4"/>
    <w:rsid w:val="00E06E28"/>
    <w:rsid w:val="00E072AE"/>
    <w:rsid w:val="00E07666"/>
    <w:rsid w:val="00E0774B"/>
    <w:rsid w:val="00E07CED"/>
    <w:rsid w:val="00E10036"/>
    <w:rsid w:val="00E10120"/>
    <w:rsid w:val="00E10547"/>
    <w:rsid w:val="00E10B1F"/>
    <w:rsid w:val="00E10E4D"/>
    <w:rsid w:val="00E10F6D"/>
    <w:rsid w:val="00E11AE2"/>
    <w:rsid w:val="00E11D18"/>
    <w:rsid w:val="00E12225"/>
    <w:rsid w:val="00E129FE"/>
    <w:rsid w:val="00E12D0E"/>
    <w:rsid w:val="00E12E1D"/>
    <w:rsid w:val="00E12E3E"/>
    <w:rsid w:val="00E137B8"/>
    <w:rsid w:val="00E14CF5"/>
    <w:rsid w:val="00E14D60"/>
    <w:rsid w:val="00E14E2A"/>
    <w:rsid w:val="00E14F87"/>
    <w:rsid w:val="00E1512E"/>
    <w:rsid w:val="00E15788"/>
    <w:rsid w:val="00E1620A"/>
    <w:rsid w:val="00E16E4A"/>
    <w:rsid w:val="00E1785F"/>
    <w:rsid w:val="00E17ADD"/>
    <w:rsid w:val="00E17D3A"/>
    <w:rsid w:val="00E17EC3"/>
    <w:rsid w:val="00E17F07"/>
    <w:rsid w:val="00E209BB"/>
    <w:rsid w:val="00E209C9"/>
    <w:rsid w:val="00E214FE"/>
    <w:rsid w:val="00E220AE"/>
    <w:rsid w:val="00E22753"/>
    <w:rsid w:val="00E22D9A"/>
    <w:rsid w:val="00E248B4"/>
    <w:rsid w:val="00E24F07"/>
    <w:rsid w:val="00E25104"/>
    <w:rsid w:val="00E25708"/>
    <w:rsid w:val="00E25733"/>
    <w:rsid w:val="00E2589D"/>
    <w:rsid w:val="00E25A7C"/>
    <w:rsid w:val="00E26A8B"/>
    <w:rsid w:val="00E270AE"/>
    <w:rsid w:val="00E27867"/>
    <w:rsid w:val="00E27BD2"/>
    <w:rsid w:val="00E27BDF"/>
    <w:rsid w:val="00E27C46"/>
    <w:rsid w:val="00E27D78"/>
    <w:rsid w:val="00E3031D"/>
    <w:rsid w:val="00E30A47"/>
    <w:rsid w:val="00E3141D"/>
    <w:rsid w:val="00E31512"/>
    <w:rsid w:val="00E31641"/>
    <w:rsid w:val="00E32691"/>
    <w:rsid w:val="00E32EEA"/>
    <w:rsid w:val="00E32F31"/>
    <w:rsid w:val="00E32F54"/>
    <w:rsid w:val="00E33B82"/>
    <w:rsid w:val="00E34420"/>
    <w:rsid w:val="00E34827"/>
    <w:rsid w:val="00E35257"/>
    <w:rsid w:val="00E35294"/>
    <w:rsid w:val="00E3542A"/>
    <w:rsid w:val="00E356CE"/>
    <w:rsid w:val="00E3641A"/>
    <w:rsid w:val="00E36631"/>
    <w:rsid w:val="00E366A6"/>
    <w:rsid w:val="00E36EBE"/>
    <w:rsid w:val="00E36F0A"/>
    <w:rsid w:val="00E37058"/>
    <w:rsid w:val="00E3710D"/>
    <w:rsid w:val="00E373A4"/>
    <w:rsid w:val="00E373ED"/>
    <w:rsid w:val="00E37A21"/>
    <w:rsid w:val="00E37B11"/>
    <w:rsid w:val="00E40537"/>
    <w:rsid w:val="00E419AF"/>
    <w:rsid w:val="00E41BE2"/>
    <w:rsid w:val="00E41EDC"/>
    <w:rsid w:val="00E43301"/>
    <w:rsid w:val="00E436A6"/>
    <w:rsid w:val="00E43C04"/>
    <w:rsid w:val="00E43FD2"/>
    <w:rsid w:val="00E4418F"/>
    <w:rsid w:val="00E44288"/>
    <w:rsid w:val="00E4430B"/>
    <w:rsid w:val="00E4480B"/>
    <w:rsid w:val="00E449AB"/>
    <w:rsid w:val="00E44AFD"/>
    <w:rsid w:val="00E44EC7"/>
    <w:rsid w:val="00E44F03"/>
    <w:rsid w:val="00E45647"/>
    <w:rsid w:val="00E45C49"/>
    <w:rsid w:val="00E46576"/>
    <w:rsid w:val="00E46DFD"/>
    <w:rsid w:val="00E5003F"/>
    <w:rsid w:val="00E50F12"/>
    <w:rsid w:val="00E510E6"/>
    <w:rsid w:val="00E51122"/>
    <w:rsid w:val="00E51144"/>
    <w:rsid w:val="00E512D3"/>
    <w:rsid w:val="00E51C1F"/>
    <w:rsid w:val="00E524B5"/>
    <w:rsid w:val="00E52979"/>
    <w:rsid w:val="00E52A61"/>
    <w:rsid w:val="00E52D0E"/>
    <w:rsid w:val="00E53A23"/>
    <w:rsid w:val="00E54057"/>
    <w:rsid w:val="00E542DC"/>
    <w:rsid w:val="00E54513"/>
    <w:rsid w:val="00E55B8F"/>
    <w:rsid w:val="00E55EB8"/>
    <w:rsid w:val="00E55FA2"/>
    <w:rsid w:val="00E5601A"/>
    <w:rsid w:val="00E56085"/>
    <w:rsid w:val="00E56175"/>
    <w:rsid w:val="00E5621C"/>
    <w:rsid w:val="00E5681C"/>
    <w:rsid w:val="00E56D54"/>
    <w:rsid w:val="00E5707B"/>
    <w:rsid w:val="00E5778A"/>
    <w:rsid w:val="00E57B6D"/>
    <w:rsid w:val="00E57CA8"/>
    <w:rsid w:val="00E6083D"/>
    <w:rsid w:val="00E6093E"/>
    <w:rsid w:val="00E60D17"/>
    <w:rsid w:val="00E61B1B"/>
    <w:rsid w:val="00E624A4"/>
    <w:rsid w:val="00E62D2F"/>
    <w:rsid w:val="00E630A4"/>
    <w:rsid w:val="00E63276"/>
    <w:rsid w:val="00E63DB8"/>
    <w:rsid w:val="00E63EE6"/>
    <w:rsid w:val="00E6410A"/>
    <w:rsid w:val="00E64591"/>
    <w:rsid w:val="00E64878"/>
    <w:rsid w:val="00E64D2A"/>
    <w:rsid w:val="00E64D70"/>
    <w:rsid w:val="00E6566B"/>
    <w:rsid w:val="00E658FC"/>
    <w:rsid w:val="00E6639F"/>
    <w:rsid w:val="00E6640B"/>
    <w:rsid w:val="00E66506"/>
    <w:rsid w:val="00E66582"/>
    <w:rsid w:val="00E66B94"/>
    <w:rsid w:val="00E66C3B"/>
    <w:rsid w:val="00E67259"/>
    <w:rsid w:val="00E675AB"/>
    <w:rsid w:val="00E67655"/>
    <w:rsid w:val="00E67A00"/>
    <w:rsid w:val="00E67AA9"/>
    <w:rsid w:val="00E67B3E"/>
    <w:rsid w:val="00E701F4"/>
    <w:rsid w:val="00E7024A"/>
    <w:rsid w:val="00E70441"/>
    <w:rsid w:val="00E705D9"/>
    <w:rsid w:val="00E70F13"/>
    <w:rsid w:val="00E715CE"/>
    <w:rsid w:val="00E71752"/>
    <w:rsid w:val="00E72018"/>
    <w:rsid w:val="00E72217"/>
    <w:rsid w:val="00E7245D"/>
    <w:rsid w:val="00E72771"/>
    <w:rsid w:val="00E7282E"/>
    <w:rsid w:val="00E72FE3"/>
    <w:rsid w:val="00E73526"/>
    <w:rsid w:val="00E73979"/>
    <w:rsid w:val="00E73F73"/>
    <w:rsid w:val="00E74E8E"/>
    <w:rsid w:val="00E75A77"/>
    <w:rsid w:val="00E75E1B"/>
    <w:rsid w:val="00E761A4"/>
    <w:rsid w:val="00E76731"/>
    <w:rsid w:val="00E76C79"/>
    <w:rsid w:val="00E76FC3"/>
    <w:rsid w:val="00E7792D"/>
    <w:rsid w:val="00E77A28"/>
    <w:rsid w:val="00E77D2C"/>
    <w:rsid w:val="00E77E67"/>
    <w:rsid w:val="00E8068A"/>
    <w:rsid w:val="00E8068D"/>
    <w:rsid w:val="00E80A06"/>
    <w:rsid w:val="00E80F3E"/>
    <w:rsid w:val="00E80F48"/>
    <w:rsid w:val="00E80FF6"/>
    <w:rsid w:val="00E8155B"/>
    <w:rsid w:val="00E81992"/>
    <w:rsid w:val="00E819DE"/>
    <w:rsid w:val="00E82193"/>
    <w:rsid w:val="00E8264C"/>
    <w:rsid w:val="00E83677"/>
    <w:rsid w:val="00E83B4F"/>
    <w:rsid w:val="00E841AD"/>
    <w:rsid w:val="00E845DE"/>
    <w:rsid w:val="00E84C59"/>
    <w:rsid w:val="00E84CFE"/>
    <w:rsid w:val="00E84D26"/>
    <w:rsid w:val="00E852B8"/>
    <w:rsid w:val="00E8536D"/>
    <w:rsid w:val="00E85560"/>
    <w:rsid w:val="00E85677"/>
    <w:rsid w:val="00E8579E"/>
    <w:rsid w:val="00E85D23"/>
    <w:rsid w:val="00E86072"/>
    <w:rsid w:val="00E86168"/>
    <w:rsid w:val="00E86976"/>
    <w:rsid w:val="00E86FBA"/>
    <w:rsid w:val="00E8741C"/>
    <w:rsid w:val="00E874E5"/>
    <w:rsid w:val="00E87628"/>
    <w:rsid w:val="00E8782B"/>
    <w:rsid w:val="00E878FE"/>
    <w:rsid w:val="00E8797C"/>
    <w:rsid w:val="00E87E20"/>
    <w:rsid w:val="00E87FCF"/>
    <w:rsid w:val="00E900D3"/>
    <w:rsid w:val="00E9012C"/>
    <w:rsid w:val="00E9129B"/>
    <w:rsid w:val="00E912F3"/>
    <w:rsid w:val="00E92641"/>
    <w:rsid w:val="00E92E13"/>
    <w:rsid w:val="00E93325"/>
    <w:rsid w:val="00E93666"/>
    <w:rsid w:val="00E9371E"/>
    <w:rsid w:val="00E937B8"/>
    <w:rsid w:val="00E94823"/>
    <w:rsid w:val="00E94F11"/>
    <w:rsid w:val="00E951A6"/>
    <w:rsid w:val="00E95788"/>
    <w:rsid w:val="00E95853"/>
    <w:rsid w:val="00E958E0"/>
    <w:rsid w:val="00E95A1A"/>
    <w:rsid w:val="00E95EE6"/>
    <w:rsid w:val="00E960CB"/>
    <w:rsid w:val="00E96649"/>
    <w:rsid w:val="00E966E1"/>
    <w:rsid w:val="00E96929"/>
    <w:rsid w:val="00E969C3"/>
    <w:rsid w:val="00E969F7"/>
    <w:rsid w:val="00E96A7C"/>
    <w:rsid w:val="00E96B00"/>
    <w:rsid w:val="00E97069"/>
    <w:rsid w:val="00E972F8"/>
    <w:rsid w:val="00EA059A"/>
    <w:rsid w:val="00EA0705"/>
    <w:rsid w:val="00EA0D5C"/>
    <w:rsid w:val="00EA0EFE"/>
    <w:rsid w:val="00EA11BB"/>
    <w:rsid w:val="00EA137F"/>
    <w:rsid w:val="00EA14D7"/>
    <w:rsid w:val="00EA1D83"/>
    <w:rsid w:val="00EA3B6F"/>
    <w:rsid w:val="00EA4029"/>
    <w:rsid w:val="00EA42CD"/>
    <w:rsid w:val="00EA4CC5"/>
    <w:rsid w:val="00EA4CFA"/>
    <w:rsid w:val="00EA54F9"/>
    <w:rsid w:val="00EA5649"/>
    <w:rsid w:val="00EA5869"/>
    <w:rsid w:val="00EA5ADA"/>
    <w:rsid w:val="00EA6314"/>
    <w:rsid w:val="00EA696B"/>
    <w:rsid w:val="00EA69DA"/>
    <w:rsid w:val="00EA6CC4"/>
    <w:rsid w:val="00EA6D2C"/>
    <w:rsid w:val="00EA6FDE"/>
    <w:rsid w:val="00EA73E6"/>
    <w:rsid w:val="00EA75FE"/>
    <w:rsid w:val="00EA768B"/>
    <w:rsid w:val="00EA7852"/>
    <w:rsid w:val="00EA7E2F"/>
    <w:rsid w:val="00EB0F61"/>
    <w:rsid w:val="00EB1541"/>
    <w:rsid w:val="00EB1606"/>
    <w:rsid w:val="00EB2201"/>
    <w:rsid w:val="00EB245E"/>
    <w:rsid w:val="00EB28FE"/>
    <w:rsid w:val="00EB3077"/>
    <w:rsid w:val="00EB343A"/>
    <w:rsid w:val="00EB385A"/>
    <w:rsid w:val="00EB3880"/>
    <w:rsid w:val="00EB3F0E"/>
    <w:rsid w:val="00EB3F4C"/>
    <w:rsid w:val="00EB3FEE"/>
    <w:rsid w:val="00EB42DF"/>
    <w:rsid w:val="00EB4C4F"/>
    <w:rsid w:val="00EB4EAE"/>
    <w:rsid w:val="00EB5153"/>
    <w:rsid w:val="00EB54F3"/>
    <w:rsid w:val="00EB56D0"/>
    <w:rsid w:val="00EB60FA"/>
    <w:rsid w:val="00EB61AB"/>
    <w:rsid w:val="00EB67CF"/>
    <w:rsid w:val="00EB727F"/>
    <w:rsid w:val="00EB785E"/>
    <w:rsid w:val="00EB7CD5"/>
    <w:rsid w:val="00EB7EC5"/>
    <w:rsid w:val="00EB7FE0"/>
    <w:rsid w:val="00EC03CD"/>
    <w:rsid w:val="00EC0782"/>
    <w:rsid w:val="00EC0BED"/>
    <w:rsid w:val="00EC0D1A"/>
    <w:rsid w:val="00EC0D38"/>
    <w:rsid w:val="00EC1270"/>
    <w:rsid w:val="00EC17D8"/>
    <w:rsid w:val="00EC1C5F"/>
    <w:rsid w:val="00EC2F56"/>
    <w:rsid w:val="00EC30D9"/>
    <w:rsid w:val="00EC3264"/>
    <w:rsid w:val="00EC3A5A"/>
    <w:rsid w:val="00EC3BA6"/>
    <w:rsid w:val="00EC3FB7"/>
    <w:rsid w:val="00EC4377"/>
    <w:rsid w:val="00EC4D9A"/>
    <w:rsid w:val="00EC5561"/>
    <w:rsid w:val="00EC5768"/>
    <w:rsid w:val="00EC585E"/>
    <w:rsid w:val="00EC5A85"/>
    <w:rsid w:val="00EC5BA7"/>
    <w:rsid w:val="00EC5C66"/>
    <w:rsid w:val="00EC6127"/>
    <w:rsid w:val="00EC6213"/>
    <w:rsid w:val="00EC62B2"/>
    <w:rsid w:val="00EC6539"/>
    <w:rsid w:val="00EC6678"/>
    <w:rsid w:val="00EC6A69"/>
    <w:rsid w:val="00EC6D55"/>
    <w:rsid w:val="00EC7407"/>
    <w:rsid w:val="00EC7718"/>
    <w:rsid w:val="00EC7AE4"/>
    <w:rsid w:val="00EC7B3F"/>
    <w:rsid w:val="00EC7F96"/>
    <w:rsid w:val="00ED05D3"/>
    <w:rsid w:val="00ED11C0"/>
    <w:rsid w:val="00ED1A58"/>
    <w:rsid w:val="00ED1F2A"/>
    <w:rsid w:val="00ED23A9"/>
    <w:rsid w:val="00ED245A"/>
    <w:rsid w:val="00ED27B8"/>
    <w:rsid w:val="00ED31AF"/>
    <w:rsid w:val="00ED3ACE"/>
    <w:rsid w:val="00ED3CD6"/>
    <w:rsid w:val="00ED4190"/>
    <w:rsid w:val="00ED4419"/>
    <w:rsid w:val="00ED489C"/>
    <w:rsid w:val="00ED4A45"/>
    <w:rsid w:val="00ED4FC4"/>
    <w:rsid w:val="00ED64E1"/>
    <w:rsid w:val="00ED6772"/>
    <w:rsid w:val="00ED6A96"/>
    <w:rsid w:val="00ED6B81"/>
    <w:rsid w:val="00ED6F5E"/>
    <w:rsid w:val="00ED70A7"/>
    <w:rsid w:val="00ED725B"/>
    <w:rsid w:val="00ED777D"/>
    <w:rsid w:val="00ED7910"/>
    <w:rsid w:val="00EE03C4"/>
    <w:rsid w:val="00EE03CE"/>
    <w:rsid w:val="00EE070D"/>
    <w:rsid w:val="00EE0E9C"/>
    <w:rsid w:val="00EE0F15"/>
    <w:rsid w:val="00EE1395"/>
    <w:rsid w:val="00EE15AF"/>
    <w:rsid w:val="00EE1A7E"/>
    <w:rsid w:val="00EE1C70"/>
    <w:rsid w:val="00EE23DF"/>
    <w:rsid w:val="00EE28B4"/>
    <w:rsid w:val="00EE294B"/>
    <w:rsid w:val="00EE2C17"/>
    <w:rsid w:val="00EE3153"/>
    <w:rsid w:val="00EE3F84"/>
    <w:rsid w:val="00EE4020"/>
    <w:rsid w:val="00EE4A2A"/>
    <w:rsid w:val="00EE588C"/>
    <w:rsid w:val="00EE5BC4"/>
    <w:rsid w:val="00EE5D00"/>
    <w:rsid w:val="00EE5DE8"/>
    <w:rsid w:val="00EE60F8"/>
    <w:rsid w:val="00EE61CE"/>
    <w:rsid w:val="00EE62C9"/>
    <w:rsid w:val="00EE63A0"/>
    <w:rsid w:val="00EE69B6"/>
    <w:rsid w:val="00EE6BA0"/>
    <w:rsid w:val="00EF04D0"/>
    <w:rsid w:val="00EF0BDD"/>
    <w:rsid w:val="00EF17B0"/>
    <w:rsid w:val="00EF204E"/>
    <w:rsid w:val="00EF21D7"/>
    <w:rsid w:val="00EF223C"/>
    <w:rsid w:val="00EF22F1"/>
    <w:rsid w:val="00EF23D8"/>
    <w:rsid w:val="00EF2630"/>
    <w:rsid w:val="00EF2705"/>
    <w:rsid w:val="00EF281D"/>
    <w:rsid w:val="00EF2D28"/>
    <w:rsid w:val="00EF2F2C"/>
    <w:rsid w:val="00EF3477"/>
    <w:rsid w:val="00EF3B25"/>
    <w:rsid w:val="00EF3D1B"/>
    <w:rsid w:val="00EF4361"/>
    <w:rsid w:val="00EF4628"/>
    <w:rsid w:val="00EF48DE"/>
    <w:rsid w:val="00EF4D09"/>
    <w:rsid w:val="00EF5893"/>
    <w:rsid w:val="00EF6B4B"/>
    <w:rsid w:val="00EF6C87"/>
    <w:rsid w:val="00EF718D"/>
    <w:rsid w:val="00EF7EED"/>
    <w:rsid w:val="00F00040"/>
    <w:rsid w:val="00F0042A"/>
    <w:rsid w:val="00F0076D"/>
    <w:rsid w:val="00F00868"/>
    <w:rsid w:val="00F00AC2"/>
    <w:rsid w:val="00F00B95"/>
    <w:rsid w:val="00F00BA2"/>
    <w:rsid w:val="00F00C8D"/>
    <w:rsid w:val="00F011D2"/>
    <w:rsid w:val="00F01D2B"/>
    <w:rsid w:val="00F0253A"/>
    <w:rsid w:val="00F0301E"/>
    <w:rsid w:val="00F033EB"/>
    <w:rsid w:val="00F0353E"/>
    <w:rsid w:val="00F036BA"/>
    <w:rsid w:val="00F03FA5"/>
    <w:rsid w:val="00F041C7"/>
    <w:rsid w:val="00F048C2"/>
    <w:rsid w:val="00F051B0"/>
    <w:rsid w:val="00F05939"/>
    <w:rsid w:val="00F06328"/>
    <w:rsid w:val="00F06488"/>
    <w:rsid w:val="00F064F6"/>
    <w:rsid w:val="00F065A2"/>
    <w:rsid w:val="00F065B8"/>
    <w:rsid w:val="00F066B4"/>
    <w:rsid w:val="00F06BBD"/>
    <w:rsid w:val="00F06EE2"/>
    <w:rsid w:val="00F06F5B"/>
    <w:rsid w:val="00F06FEB"/>
    <w:rsid w:val="00F07F50"/>
    <w:rsid w:val="00F07FAD"/>
    <w:rsid w:val="00F102A8"/>
    <w:rsid w:val="00F105FF"/>
    <w:rsid w:val="00F10A1F"/>
    <w:rsid w:val="00F10C64"/>
    <w:rsid w:val="00F10EB3"/>
    <w:rsid w:val="00F10F88"/>
    <w:rsid w:val="00F115EC"/>
    <w:rsid w:val="00F11718"/>
    <w:rsid w:val="00F11B55"/>
    <w:rsid w:val="00F11CEB"/>
    <w:rsid w:val="00F1297D"/>
    <w:rsid w:val="00F12B2B"/>
    <w:rsid w:val="00F12D60"/>
    <w:rsid w:val="00F130A2"/>
    <w:rsid w:val="00F1316A"/>
    <w:rsid w:val="00F13B4D"/>
    <w:rsid w:val="00F13C42"/>
    <w:rsid w:val="00F13D5C"/>
    <w:rsid w:val="00F1420E"/>
    <w:rsid w:val="00F142CD"/>
    <w:rsid w:val="00F1436C"/>
    <w:rsid w:val="00F151E5"/>
    <w:rsid w:val="00F1540C"/>
    <w:rsid w:val="00F1548C"/>
    <w:rsid w:val="00F15606"/>
    <w:rsid w:val="00F15BD6"/>
    <w:rsid w:val="00F15C0E"/>
    <w:rsid w:val="00F15E79"/>
    <w:rsid w:val="00F16772"/>
    <w:rsid w:val="00F168EA"/>
    <w:rsid w:val="00F16D4C"/>
    <w:rsid w:val="00F16DC7"/>
    <w:rsid w:val="00F16E5B"/>
    <w:rsid w:val="00F16F65"/>
    <w:rsid w:val="00F1715D"/>
    <w:rsid w:val="00F17751"/>
    <w:rsid w:val="00F17CAE"/>
    <w:rsid w:val="00F20790"/>
    <w:rsid w:val="00F20CBB"/>
    <w:rsid w:val="00F20E60"/>
    <w:rsid w:val="00F20F9F"/>
    <w:rsid w:val="00F2351E"/>
    <w:rsid w:val="00F23A8C"/>
    <w:rsid w:val="00F23DB0"/>
    <w:rsid w:val="00F23F9D"/>
    <w:rsid w:val="00F24184"/>
    <w:rsid w:val="00F2427C"/>
    <w:rsid w:val="00F24623"/>
    <w:rsid w:val="00F24722"/>
    <w:rsid w:val="00F247AE"/>
    <w:rsid w:val="00F2679B"/>
    <w:rsid w:val="00F267B2"/>
    <w:rsid w:val="00F26B50"/>
    <w:rsid w:val="00F26D5F"/>
    <w:rsid w:val="00F27D40"/>
    <w:rsid w:val="00F27D48"/>
    <w:rsid w:val="00F30289"/>
    <w:rsid w:val="00F30509"/>
    <w:rsid w:val="00F305A2"/>
    <w:rsid w:val="00F309AA"/>
    <w:rsid w:val="00F3103B"/>
    <w:rsid w:val="00F310EB"/>
    <w:rsid w:val="00F31433"/>
    <w:rsid w:val="00F315B9"/>
    <w:rsid w:val="00F31935"/>
    <w:rsid w:val="00F31B02"/>
    <w:rsid w:val="00F31EAD"/>
    <w:rsid w:val="00F32077"/>
    <w:rsid w:val="00F323F5"/>
    <w:rsid w:val="00F32B81"/>
    <w:rsid w:val="00F32F04"/>
    <w:rsid w:val="00F32F2B"/>
    <w:rsid w:val="00F32FB9"/>
    <w:rsid w:val="00F33485"/>
    <w:rsid w:val="00F33562"/>
    <w:rsid w:val="00F33A3A"/>
    <w:rsid w:val="00F33BE2"/>
    <w:rsid w:val="00F33BF0"/>
    <w:rsid w:val="00F33C77"/>
    <w:rsid w:val="00F33DEC"/>
    <w:rsid w:val="00F33F7B"/>
    <w:rsid w:val="00F34306"/>
    <w:rsid w:val="00F348E5"/>
    <w:rsid w:val="00F34D39"/>
    <w:rsid w:val="00F3512B"/>
    <w:rsid w:val="00F354F9"/>
    <w:rsid w:val="00F35EEA"/>
    <w:rsid w:val="00F36041"/>
    <w:rsid w:val="00F3604E"/>
    <w:rsid w:val="00F362E1"/>
    <w:rsid w:val="00F36551"/>
    <w:rsid w:val="00F3665E"/>
    <w:rsid w:val="00F36722"/>
    <w:rsid w:val="00F379BD"/>
    <w:rsid w:val="00F405BB"/>
    <w:rsid w:val="00F4064E"/>
    <w:rsid w:val="00F40C0A"/>
    <w:rsid w:val="00F41ADE"/>
    <w:rsid w:val="00F41D92"/>
    <w:rsid w:val="00F422A6"/>
    <w:rsid w:val="00F425BA"/>
    <w:rsid w:val="00F42619"/>
    <w:rsid w:val="00F4275C"/>
    <w:rsid w:val="00F429A2"/>
    <w:rsid w:val="00F43760"/>
    <w:rsid w:val="00F4388D"/>
    <w:rsid w:val="00F44059"/>
    <w:rsid w:val="00F44362"/>
    <w:rsid w:val="00F4465C"/>
    <w:rsid w:val="00F449D4"/>
    <w:rsid w:val="00F44ABC"/>
    <w:rsid w:val="00F44CDB"/>
    <w:rsid w:val="00F44DB0"/>
    <w:rsid w:val="00F45397"/>
    <w:rsid w:val="00F45484"/>
    <w:rsid w:val="00F459D2"/>
    <w:rsid w:val="00F45F50"/>
    <w:rsid w:val="00F46969"/>
    <w:rsid w:val="00F469BC"/>
    <w:rsid w:val="00F46A0B"/>
    <w:rsid w:val="00F46A10"/>
    <w:rsid w:val="00F4759C"/>
    <w:rsid w:val="00F478F5"/>
    <w:rsid w:val="00F47AA7"/>
    <w:rsid w:val="00F47C71"/>
    <w:rsid w:val="00F47D7C"/>
    <w:rsid w:val="00F500AD"/>
    <w:rsid w:val="00F508A7"/>
    <w:rsid w:val="00F50BBA"/>
    <w:rsid w:val="00F50FE2"/>
    <w:rsid w:val="00F51267"/>
    <w:rsid w:val="00F5183A"/>
    <w:rsid w:val="00F51A4A"/>
    <w:rsid w:val="00F52919"/>
    <w:rsid w:val="00F529A3"/>
    <w:rsid w:val="00F5326C"/>
    <w:rsid w:val="00F53915"/>
    <w:rsid w:val="00F53CED"/>
    <w:rsid w:val="00F543A8"/>
    <w:rsid w:val="00F544E2"/>
    <w:rsid w:val="00F54C50"/>
    <w:rsid w:val="00F54CF3"/>
    <w:rsid w:val="00F54FE6"/>
    <w:rsid w:val="00F558F0"/>
    <w:rsid w:val="00F56226"/>
    <w:rsid w:val="00F56481"/>
    <w:rsid w:val="00F56769"/>
    <w:rsid w:val="00F56BE7"/>
    <w:rsid w:val="00F56EB9"/>
    <w:rsid w:val="00F571EB"/>
    <w:rsid w:val="00F57822"/>
    <w:rsid w:val="00F57BDA"/>
    <w:rsid w:val="00F60178"/>
    <w:rsid w:val="00F604E8"/>
    <w:rsid w:val="00F60C02"/>
    <w:rsid w:val="00F6165E"/>
    <w:rsid w:val="00F616B6"/>
    <w:rsid w:val="00F6194C"/>
    <w:rsid w:val="00F620CA"/>
    <w:rsid w:val="00F62393"/>
    <w:rsid w:val="00F626D3"/>
    <w:rsid w:val="00F62D46"/>
    <w:rsid w:val="00F631B7"/>
    <w:rsid w:val="00F63318"/>
    <w:rsid w:val="00F63346"/>
    <w:rsid w:val="00F63A22"/>
    <w:rsid w:val="00F63D99"/>
    <w:rsid w:val="00F647C0"/>
    <w:rsid w:val="00F6496C"/>
    <w:rsid w:val="00F64A73"/>
    <w:rsid w:val="00F64FDE"/>
    <w:rsid w:val="00F65298"/>
    <w:rsid w:val="00F652EE"/>
    <w:rsid w:val="00F65772"/>
    <w:rsid w:val="00F658F5"/>
    <w:rsid w:val="00F65D57"/>
    <w:rsid w:val="00F66CDF"/>
    <w:rsid w:val="00F66DE7"/>
    <w:rsid w:val="00F66FF2"/>
    <w:rsid w:val="00F67038"/>
    <w:rsid w:val="00F67837"/>
    <w:rsid w:val="00F679AA"/>
    <w:rsid w:val="00F679FE"/>
    <w:rsid w:val="00F67E58"/>
    <w:rsid w:val="00F703F2"/>
    <w:rsid w:val="00F709F8"/>
    <w:rsid w:val="00F70AB3"/>
    <w:rsid w:val="00F70E36"/>
    <w:rsid w:val="00F7108B"/>
    <w:rsid w:val="00F717F0"/>
    <w:rsid w:val="00F71B2C"/>
    <w:rsid w:val="00F71B80"/>
    <w:rsid w:val="00F71F85"/>
    <w:rsid w:val="00F72044"/>
    <w:rsid w:val="00F723C7"/>
    <w:rsid w:val="00F7278E"/>
    <w:rsid w:val="00F72A33"/>
    <w:rsid w:val="00F72E5C"/>
    <w:rsid w:val="00F730A2"/>
    <w:rsid w:val="00F73284"/>
    <w:rsid w:val="00F7364E"/>
    <w:rsid w:val="00F73A99"/>
    <w:rsid w:val="00F73BFA"/>
    <w:rsid w:val="00F73D36"/>
    <w:rsid w:val="00F73E3B"/>
    <w:rsid w:val="00F74E5E"/>
    <w:rsid w:val="00F74FC0"/>
    <w:rsid w:val="00F75272"/>
    <w:rsid w:val="00F75312"/>
    <w:rsid w:val="00F75A1E"/>
    <w:rsid w:val="00F76083"/>
    <w:rsid w:val="00F76EB1"/>
    <w:rsid w:val="00F77AE0"/>
    <w:rsid w:val="00F804A3"/>
    <w:rsid w:val="00F80742"/>
    <w:rsid w:val="00F8096F"/>
    <w:rsid w:val="00F80C0E"/>
    <w:rsid w:val="00F8142E"/>
    <w:rsid w:val="00F818CA"/>
    <w:rsid w:val="00F81E08"/>
    <w:rsid w:val="00F830E2"/>
    <w:rsid w:val="00F83C1E"/>
    <w:rsid w:val="00F83CE5"/>
    <w:rsid w:val="00F83FDE"/>
    <w:rsid w:val="00F84053"/>
    <w:rsid w:val="00F84DE6"/>
    <w:rsid w:val="00F84FBF"/>
    <w:rsid w:val="00F85EA6"/>
    <w:rsid w:val="00F8646D"/>
    <w:rsid w:val="00F86534"/>
    <w:rsid w:val="00F86C81"/>
    <w:rsid w:val="00F8724E"/>
    <w:rsid w:val="00F87945"/>
    <w:rsid w:val="00F87A17"/>
    <w:rsid w:val="00F87ADE"/>
    <w:rsid w:val="00F87B68"/>
    <w:rsid w:val="00F90702"/>
    <w:rsid w:val="00F90848"/>
    <w:rsid w:val="00F90867"/>
    <w:rsid w:val="00F909F8"/>
    <w:rsid w:val="00F90B9E"/>
    <w:rsid w:val="00F90E31"/>
    <w:rsid w:val="00F915C5"/>
    <w:rsid w:val="00F9165A"/>
    <w:rsid w:val="00F91D7A"/>
    <w:rsid w:val="00F92C9C"/>
    <w:rsid w:val="00F9322A"/>
    <w:rsid w:val="00F93ABC"/>
    <w:rsid w:val="00F93F3D"/>
    <w:rsid w:val="00F95243"/>
    <w:rsid w:val="00F9564F"/>
    <w:rsid w:val="00F95B12"/>
    <w:rsid w:val="00F95D84"/>
    <w:rsid w:val="00F95EE8"/>
    <w:rsid w:val="00F96459"/>
    <w:rsid w:val="00F96FBE"/>
    <w:rsid w:val="00F9711D"/>
    <w:rsid w:val="00F978A5"/>
    <w:rsid w:val="00F97A02"/>
    <w:rsid w:val="00FA043A"/>
    <w:rsid w:val="00FA067E"/>
    <w:rsid w:val="00FA0838"/>
    <w:rsid w:val="00FA0955"/>
    <w:rsid w:val="00FA0B13"/>
    <w:rsid w:val="00FA0F37"/>
    <w:rsid w:val="00FA1283"/>
    <w:rsid w:val="00FA187D"/>
    <w:rsid w:val="00FA18DF"/>
    <w:rsid w:val="00FA1D2F"/>
    <w:rsid w:val="00FA2477"/>
    <w:rsid w:val="00FA24E9"/>
    <w:rsid w:val="00FA28D4"/>
    <w:rsid w:val="00FA2A0D"/>
    <w:rsid w:val="00FA3271"/>
    <w:rsid w:val="00FA3680"/>
    <w:rsid w:val="00FA3711"/>
    <w:rsid w:val="00FA3883"/>
    <w:rsid w:val="00FA3AD3"/>
    <w:rsid w:val="00FA3C53"/>
    <w:rsid w:val="00FA4187"/>
    <w:rsid w:val="00FA45A8"/>
    <w:rsid w:val="00FA46DB"/>
    <w:rsid w:val="00FA4887"/>
    <w:rsid w:val="00FA4CEC"/>
    <w:rsid w:val="00FA53F8"/>
    <w:rsid w:val="00FA6B7B"/>
    <w:rsid w:val="00FA7534"/>
    <w:rsid w:val="00FA77B8"/>
    <w:rsid w:val="00FA7927"/>
    <w:rsid w:val="00FA7ADA"/>
    <w:rsid w:val="00FA7B9D"/>
    <w:rsid w:val="00FB0284"/>
    <w:rsid w:val="00FB0C9F"/>
    <w:rsid w:val="00FB0D82"/>
    <w:rsid w:val="00FB0F55"/>
    <w:rsid w:val="00FB11C9"/>
    <w:rsid w:val="00FB19AD"/>
    <w:rsid w:val="00FB1DF2"/>
    <w:rsid w:val="00FB26CA"/>
    <w:rsid w:val="00FB27E1"/>
    <w:rsid w:val="00FB3314"/>
    <w:rsid w:val="00FB38F3"/>
    <w:rsid w:val="00FB3AA6"/>
    <w:rsid w:val="00FB3DC9"/>
    <w:rsid w:val="00FB3E02"/>
    <w:rsid w:val="00FB4185"/>
    <w:rsid w:val="00FB4339"/>
    <w:rsid w:val="00FB46EE"/>
    <w:rsid w:val="00FB47DF"/>
    <w:rsid w:val="00FB4BF3"/>
    <w:rsid w:val="00FB4D59"/>
    <w:rsid w:val="00FB4DF9"/>
    <w:rsid w:val="00FB5774"/>
    <w:rsid w:val="00FB5D3D"/>
    <w:rsid w:val="00FB5D99"/>
    <w:rsid w:val="00FB66DD"/>
    <w:rsid w:val="00FB6893"/>
    <w:rsid w:val="00FB6A06"/>
    <w:rsid w:val="00FB7461"/>
    <w:rsid w:val="00FB74DB"/>
    <w:rsid w:val="00FB74F2"/>
    <w:rsid w:val="00FC0033"/>
    <w:rsid w:val="00FC04D2"/>
    <w:rsid w:val="00FC0783"/>
    <w:rsid w:val="00FC0EAE"/>
    <w:rsid w:val="00FC133E"/>
    <w:rsid w:val="00FC1B40"/>
    <w:rsid w:val="00FC32D1"/>
    <w:rsid w:val="00FC33AB"/>
    <w:rsid w:val="00FC3491"/>
    <w:rsid w:val="00FC35C2"/>
    <w:rsid w:val="00FC3A7E"/>
    <w:rsid w:val="00FC3B39"/>
    <w:rsid w:val="00FC3C71"/>
    <w:rsid w:val="00FC414C"/>
    <w:rsid w:val="00FC5B21"/>
    <w:rsid w:val="00FC5BD7"/>
    <w:rsid w:val="00FC5E4E"/>
    <w:rsid w:val="00FC5EBA"/>
    <w:rsid w:val="00FC6A0A"/>
    <w:rsid w:val="00FC6A0F"/>
    <w:rsid w:val="00FC6F8C"/>
    <w:rsid w:val="00FC753E"/>
    <w:rsid w:val="00FC7DE0"/>
    <w:rsid w:val="00FC7F2B"/>
    <w:rsid w:val="00FD0262"/>
    <w:rsid w:val="00FD037E"/>
    <w:rsid w:val="00FD0405"/>
    <w:rsid w:val="00FD0716"/>
    <w:rsid w:val="00FD1452"/>
    <w:rsid w:val="00FD1AE9"/>
    <w:rsid w:val="00FD1FE1"/>
    <w:rsid w:val="00FD221B"/>
    <w:rsid w:val="00FD26C1"/>
    <w:rsid w:val="00FD2C4E"/>
    <w:rsid w:val="00FD2D67"/>
    <w:rsid w:val="00FD3009"/>
    <w:rsid w:val="00FD3AFC"/>
    <w:rsid w:val="00FD47E1"/>
    <w:rsid w:val="00FD4C01"/>
    <w:rsid w:val="00FD4E93"/>
    <w:rsid w:val="00FD518A"/>
    <w:rsid w:val="00FD53AB"/>
    <w:rsid w:val="00FD6429"/>
    <w:rsid w:val="00FD6B3A"/>
    <w:rsid w:val="00FD7143"/>
    <w:rsid w:val="00FD72B9"/>
    <w:rsid w:val="00FD73B2"/>
    <w:rsid w:val="00FD74F4"/>
    <w:rsid w:val="00FD76EE"/>
    <w:rsid w:val="00FD79E2"/>
    <w:rsid w:val="00FE0C50"/>
    <w:rsid w:val="00FE0D0B"/>
    <w:rsid w:val="00FE0E40"/>
    <w:rsid w:val="00FE1936"/>
    <w:rsid w:val="00FE1D9D"/>
    <w:rsid w:val="00FE26E0"/>
    <w:rsid w:val="00FE2736"/>
    <w:rsid w:val="00FE2F50"/>
    <w:rsid w:val="00FE34C4"/>
    <w:rsid w:val="00FE3DCD"/>
    <w:rsid w:val="00FE4121"/>
    <w:rsid w:val="00FE4A00"/>
    <w:rsid w:val="00FE4C13"/>
    <w:rsid w:val="00FE4D03"/>
    <w:rsid w:val="00FE52DA"/>
    <w:rsid w:val="00FE53E1"/>
    <w:rsid w:val="00FE640C"/>
    <w:rsid w:val="00FE6D54"/>
    <w:rsid w:val="00FE6ED8"/>
    <w:rsid w:val="00FE7313"/>
    <w:rsid w:val="00FE7CBD"/>
    <w:rsid w:val="00FF0C83"/>
    <w:rsid w:val="00FF1086"/>
    <w:rsid w:val="00FF1104"/>
    <w:rsid w:val="00FF18B7"/>
    <w:rsid w:val="00FF1F9F"/>
    <w:rsid w:val="00FF28D4"/>
    <w:rsid w:val="00FF2C9A"/>
    <w:rsid w:val="00FF312B"/>
    <w:rsid w:val="00FF3526"/>
    <w:rsid w:val="00FF35A9"/>
    <w:rsid w:val="00FF3D15"/>
    <w:rsid w:val="00FF4067"/>
    <w:rsid w:val="00FF547E"/>
    <w:rsid w:val="00FF59F8"/>
    <w:rsid w:val="00FF5FF5"/>
    <w:rsid w:val="00FF62D9"/>
    <w:rsid w:val="00FF64FE"/>
    <w:rsid w:val="00FF6685"/>
    <w:rsid w:val="00FF671C"/>
    <w:rsid w:val="00FF6CD4"/>
    <w:rsid w:val="00FF740C"/>
    <w:rsid w:val="00FF759D"/>
    <w:rsid w:val="00FF7C46"/>
    <w:rsid w:val="00FF7D4E"/>
    <w:rsid w:val="00FF7F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none [3212]" strokecolor="none [1614]">
      <v:fill color="none [3212]"/>
      <v:stroke color="none [1614]" weight="1.25pt"/>
      <v:textbox inset="14.4pt,36pt,14.4pt,5.76pt"/>
      <o:colormru v:ext="edit" colors="#f1f0ef,#f9f1eb,#edebe7,#f5f4f1"/>
    </o:shapedefaults>
    <o:shapelayout v:ext="edit">
      <o:idmap v:ext="edit" data="2"/>
    </o:shapelayout>
  </w:shapeDefaults>
  <w:decimalSymbol w:val="."/>
  <w:listSeparator w:val=","/>
  <w14:docId w14:val="3C47AB9D"/>
  <w15:docId w15:val="{90E8220E-F3B5-4D09-8051-A8007FFF0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B5D"/>
    <w:pPr>
      <w:spacing w:line="252" w:lineRule="auto"/>
      <w:jc w:val="both"/>
    </w:pPr>
    <w:rPr>
      <w:rFonts w:ascii="Cambria" w:hAnsi="Cambria"/>
      <w:sz w:val="20"/>
    </w:rPr>
  </w:style>
  <w:style w:type="paragraph" w:styleId="Heading1">
    <w:name w:val="heading 1"/>
    <w:basedOn w:val="Normal"/>
    <w:next w:val="Normal"/>
    <w:link w:val="Heading1Char"/>
    <w:uiPriority w:val="9"/>
    <w:qFormat/>
    <w:rsid w:val="00D812AD"/>
    <w:pPr>
      <w:keepNext/>
      <w:keepLines/>
      <w:pBdr>
        <w:bottom w:val="single" w:sz="12" w:space="1" w:color="5B2413" w:themeColor="accent3" w:themeShade="80"/>
      </w:pBdr>
      <w:spacing w:before="480" w:after="360"/>
      <w:jc w:val="center"/>
      <w:outlineLvl w:val="0"/>
    </w:pPr>
    <w:rPr>
      <w:rFonts w:asciiTheme="majorHAnsi" w:eastAsiaTheme="majorEastAsia" w:hAnsiTheme="majorHAnsi" w:cstheme="majorBidi"/>
      <w:b/>
      <w:smallCaps/>
      <w:color w:val="851C00" w:themeColor="accent6" w:themeShade="BF"/>
      <w:sz w:val="34"/>
      <w:szCs w:val="32"/>
    </w:rPr>
  </w:style>
  <w:style w:type="paragraph" w:styleId="Heading2">
    <w:name w:val="heading 2"/>
    <w:basedOn w:val="Normal"/>
    <w:next w:val="Normal"/>
    <w:link w:val="Heading2Char"/>
    <w:uiPriority w:val="9"/>
    <w:qFormat/>
    <w:rsid w:val="00356920"/>
    <w:pPr>
      <w:keepNext/>
      <w:keepLines/>
      <w:spacing w:before="240" w:after="160"/>
      <w:jc w:val="center"/>
      <w:outlineLvl w:val="1"/>
    </w:pPr>
    <w:rPr>
      <w:rFonts w:asciiTheme="majorHAnsi" w:eastAsiaTheme="majorEastAsia" w:hAnsiTheme="majorHAnsi" w:cstheme="majorBidi"/>
      <w:b/>
      <w:color w:val="851C00" w:themeColor="accent6" w:themeShade="BF"/>
      <w:sz w:val="30"/>
      <w:szCs w:val="26"/>
      <w:u w:val="single"/>
    </w:rPr>
  </w:style>
  <w:style w:type="paragraph" w:styleId="Heading3">
    <w:name w:val="heading 3"/>
    <w:basedOn w:val="Normal"/>
    <w:next w:val="Normal"/>
    <w:link w:val="Heading3Char"/>
    <w:uiPriority w:val="9"/>
    <w:qFormat/>
    <w:rsid w:val="002E72B5"/>
    <w:pPr>
      <w:keepNext/>
      <w:keepLines/>
      <w:spacing w:before="300" w:after="160"/>
      <w:outlineLvl w:val="2"/>
    </w:pPr>
    <w:rPr>
      <w:rFonts w:asciiTheme="majorHAnsi" w:eastAsiaTheme="majorEastAsia" w:hAnsiTheme="majorHAnsi" w:cstheme="majorBidi"/>
      <w:b/>
      <w:color w:val="851C00" w:themeColor="accent6" w:themeShade="BF"/>
      <w:sz w:val="26"/>
      <w:szCs w:val="24"/>
      <w:u w:val="single"/>
    </w:rPr>
  </w:style>
  <w:style w:type="paragraph" w:styleId="Heading4">
    <w:name w:val="heading 4"/>
    <w:basedOn w:val="Normal"/>
    <w:next w:val="Normal"/>
    <w:link w:val="Heading4Char"/>
    <w:uiPriority w:val="9"/>
    <w:qFormat/>
    <w:rsid w:val="00B50843"/>
    <w:pPr>
      <w:keepNext/>
      <w:keepLines/>
      <w:spacing w:before="160" w:after="80"/>
      <w:outlineLvl w:val="3"/>
    </w:pPr>
    <w:rPr>
      <w:rFonts w:asciiTheme="majorHAnsi" w:eastAsiaTheme="majorEastAsia" w:hAnsiTheme="majorHAnsi" w:cstheme="majorBidi"/>
      <w:iCs/>
      <w:color w:val="851C00" w:themeColor="accent6" w:themeShade="BF"/>
      <w:sz w:val="22"/>
      <w:u w:val="single"/>
    </w:rPr>
  </w:style>
  <w:style w:type="paragraph" w:styleId="Heading5">
    <w:name w:val="heading 5"/>
    <w:basedOn w:val="Normal"/>
    <w:next w:val="Normal"/>
    <w:link w:val="Heading5Char"/>
    <w:uiPriority w:val="9"/>
    <w:qFormat/>
    <w:rsid w:val="0065004E"/>
    <w:pPr>
      <w:keepNext/>
      <w:keepLines/>
      <w:spacing w:before="120" w:after="80"/>
      <w:outlineLvl w:val="4"/>
    </w:pPr>
    <w:rPr>
      <w:rFonts w:eastAsiaTheme="majorEastAsia" w:cstheme="majorBidi"/>
      <w:i/>
      <w:color w:val="5B2413" w:themeColor="accent3" w:themeShade="80"/>
    </w:rPr>
  </w:style>
  <w:style w:type="paragraph" w:styleId="Heading6">
    <w:name w:val="heading 6"/>
    <w:basedOn w:val="Normal"/>
    <w:next w:val="Normal"/>
    <w:link w:val="Heading6Char"/>
    <w:uiPriority w:val="9"/>
    <w:rsid w:val="00745AE1"/>
    <w:pPr>
      <w:keepNext/>
      <w:keepLines/>
      <w:spacing w:before="40" w:after="0"/>
      <w:outlineLvl w:val="5"/>
    </w:pPr>
    <w:rPr>
      <w:rFonts w:asciiTheme="majorHAnsi" w:eastAsiaTheme="majorEastAsia" w:hAnsiTheme="majorHAnsi" w:cstheme="majorBidi"/>
      <w:color w:val="77230C" w:themeColor="accent1" w:themeShade="7F"/>
    </w:rPr>
  </w:style>
  <w:style w:type="paragraph" w:styleId="Heading7">
    <w:name w:val="heading 7"/>
    <w:basedOn w:val="Normal"/>
    <w:next w:val="Normal"/>
    <w:link w:val="Heading7Char"/>
    <w:uiPriority w:val="9"/>
    <w:rsid w:val="00745AE1"/>
    <w:pPr>
      <w:keepNext/>
      <w:keepLines/>
      <w:spacing w:before="40" w:after="0"/>
      <w:outlineLvl w:val="6"/>
    </w:pPr>
    <w:rPr>
      <w:rFonts w:asciiTheme="majorHAnsi" w:eastAsiaTheme="majorEastAsia" w:hAnsiTheme="majorHAnsi" w:cstheme="majorBidi"/>
      <w:i/>
      <w:iCs/>
      <w:color w:val="77230C" w:themeColor="accent1" w:themeShade="7F"/>
    </w:rPr>
  </w:style>
  <w:style w:type="paragraph" w:styleId="Heading8">
    <w:name w:val="heading 8"/>
    <w:basedOn w:val="Normal"/>
    <w:next w:val="Normal"/>
    <w:link w:val="Heading8Char"/>
    <w:uiPriority w:val="9"/>
    <w:rsid w:val="00745AE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rsid w:val="00745AE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E4020"/>
    <w:pPr>
      <w:contextualSpacing/>
      <w:jc w:val="center"/>
    </w:pPr>
    <w:rPr>
      <w:rFonts w:eastAsiaTheme="majorEastAsia" w:cstheme="majorBidi"/>
      <w:b/>
      <w:color w:val="404040" w:themeColor="text1" w:themeTint="BF"/>
      <w:spacing w:val="-10"/>
      <w:kern w:val="28"/>
      <w:sz w:val="36"/>
      <w:szCs w:val="56"/>
    </w:rPr>
  </w:style>
  <w:style w:type="character" w:customStyle="1" w:styleId="TitleChar">
    <w:name w:val="Title Char"/>
    <w:basedOn w:val="DefaultParagraphFont"/>
    <w:link w:val="Title"/>
    <w:uiPriority w:val="10"/>
    <w:rsid w:val="00EE4020"/>
    <w:rPr>
      <w:rFonts w:eastAsiaTheme="majorEastAsia" w:cstheme="majorBidi"/>
      <w:b/>
      <w:color w:val="404040" w:themeColor="text1" w:themeTint="BF"/>
      <w:spacing w:val="-10"/>
      <w:kern w:val="28"/>
      <w:sz w:val="36"/>
      <w:szCs w:val="56"/>
    </w:rPr>
  </w:style>
  <w:style w:type="character" w:customStyle="1" w:styleId="Heading1Char">
    <w:name w:val="Heading 1 Char"/>
    <w:basedOn w:val="DefaultParagraphFont"/>
    <w:link w:val="Heading1"/>
    <w:uiPriority w:val="9"/>
    <w:rsid w:val="00D812AD"/>
    <w:rPr>
      <w:rFonts w:asciiTheme="majorHAnsi" w:eastAsiaTheme="majorEastAsia" w:hAnsiTheme="majorHAnsi" w:cstheme="majorBidi"/>
      <w:b/>
      <w:smallCaps/>
      <w:color w:val="851C00" w:themeColor="accent6" w:themeShade="BF"/>
      <w:sz w:val="34"/>
      <w:szCs w:val="32"/>
    </w:rPr>
  </w:style>
  <w:style w:type="character" w:customStyle="1" w:styleId="Heading2Char">
    <w:name w:val="Heading 2 Char"/>
    <w:basedOn w:val="DefaultParagraphFont"/>
    <w:link w:val="Heading2"/>
    <w:uiPriority w:val="9"/>
    <w:rsid w:val="00356920"/>
    <w:rPr>
      <w:rFonts w:asciiTheme="majorHAnsi" w:eastAsiaTheme="majorEastAsia" w:hAnsiTheme="majorHAnsi" w:cstheme="majorBidi"/>
      <w:b/>
      <w:color w:val="851C00" w:themeColor="accent6" w:themeShade="BF"/>
      <w:sz w:val="30"/>
      <w:szCs w:val="26"/>
      <w:u w:val="single"/>
    </w:rPr>
  </w:style>
  <w:style w:type="character" w:customStyle="1" w:styleId="Heading3Char">
    <w:name w:val="Heading 3 Char"/>
    <w:basedOn w:val="DefaultParagraphFont"/>
    <w:link w:val="Heading3"/>
    <w:uiPriority w:val="9"/>
    <w:rsid w:val="002E72B5"/>
    <w:rPr>
      <w:rFonts w:asciiTheme="majorHAnsi" w:eastAsiaTheme="majorEastAsia" w:hAnsiTheme="majorHAnsi" w:cstheme="majorBidi"/>
      <w:b/>
      <w:color w:val="851C00" w:themeColor="accent6" w:themeShade="BF"/>
      <w:sz w:val="26"/>
      <w:szCs w:val="24"/>
      <w:u w:val="single"/>
    </w:rPr>
  </w:style>
  <w:style w:type="character" w:customStyle="1" w:styleId="Heading4Char">
    <w:name w:val="Heading 4 Char"/>
    <w:basedOn w:val="DefaultParagraphFont"/>
    <w:link w:val="Heading4"/>
    <w:uiPriority w:val="9"/>
    <w:rsid w:val="00B50843"/>
    <w:rPr>
      <w:rFonts w:asciiTheme="majorHAnsi" w:eastAsiaTheme="majorEastAsia" w:hAnsiTheme="majorHAnsi" w:cstheme="majorBidi"/>
      <w:iCs/>
      <w:color w:val="851C00" w:themeColor="accent6" w:themeShade="BF"/>
      <w:u w:val="single"/>
    </w:rPr>
  </w:style>
  <w:style w:type="character" w:customStyle="1" w:styleId="Heading5Char">
    <w:name w:val="Heading 5 Char"/>
    <w:basedOn w:val="DefaultParagraphFont"/>
    <w:link w:val="Heading5"/>
    <w:uiPriority w:val="9"/>
    <w:rsid w:val="0065004E"/>
    <w:rPr>
      <w:rFonts w:ascii="Tisa Offc Serif Pro" w:eastAsiaTheme="majorEastAsia" w:hAnsi="Tisa Offc Serif Pro" w:cstheme="majorBidi"/>
      <w:i/>
      <w:color w:val="5B2413" w:themeColor="accent3" w:themeShade="80"/>
      <w:sz w:val="20"/>
    </w:rPr>
  </w:style>
  <w:style w:type="character" w:customStyle="1" w:styleId="Heading6Char">
    <w:name w:val="Heading 6 Char"/>
    <w:basedOn w:val="DefaultParagraphFont"/>
    <w:link w:val="Heading6"/>
    <w:uiPriority w:val="9"/>
    <w:rsid w:val="00745AE1"/>
    <w:rPr>
      <w:rFonts w:asciiTheme="majorHAnsi" w:eastAsiaTheme="majorEastAsia" w:hAnsiTheme="majorHAnsi" w:cstheme="majorBidi"/>
      <w:color w:val="77230C" w:themeColor="accent1" w:themeShade="7F"/>
    </w:rPr>
  </w:style>
  <w:style w:type="character" w:customStyle="1" w:styleId="Heading7Char">
    <w:name w:val="Heading 7 Char"/>
    <w:basedOn w:val="DefaultParagraphFont"/>
    <w:link w:val="Heading7"/>
    <w:uiPriority w:val="9"/>
    <w:rsid w:val="00745AE1"/>
    <w:rPr>
      <w:rFonts w:asciiTheme="majorHAnsi" w:eastAsiaTheme="majorEastAsia" w:hAnsiTheme="majorHAnsi" w:cstheme="majorBidi"/>
      <w:i/>
      <w:iCs/>
      <w:color w:val="77230C" w:themeColor="accent1" w:themeShade="7F"/>
    </w:rPr>
  </w:style>
  <w:style w:type="character" w:customStyle="1" w:styleId="Heading8Char">
    <w:name w:val="Heading 8 Char"/>
    <w:basedOn w:val="DefaultParagraphFont"/>
    <w:link w:val="Heading8"/>
    <w:uiPriority w:val="9"/>
    <w:rsid w:val="00745A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745AE1"/>
    <w:rPr>
      <w:rFonts w:asciiTheme="majorHAnsi" w:eastAsiaTheme="majorEastAsia" w:hAnsiTheme="majorHAnsi" w:cstheme="majorBidi"/>
      <w:i/>
      <w:iCs/>
      <w:color w:val="272727" w:themeColor="text1" w:themeTint="D8"/>
      <w:sz w:val="21"/>
      <w:szCs w:val="21"/>
    </w:rPr>
  </w:style>
  <w:style w:type="paragraph" w:customStyle="1" w:styleId="Bullet">
    <w:name w:val="Bullet"/>
    <w:basedOn w:val="Normal"/>
    <w:link w:val="BulletChar"/>
    <w:rsid w:val="00745AE1"/>
    <w:pPr>
      <w:numPr>
        <w:numId w:val="1"/>
      </w:numPr>
    </w:pPr>
  </w:style>
  <w:style w:type="character" w:customStyle="1" w:styleId="BulletChar">
    <w:name w:val="Bullet Char"/>
    <w:basedOn w:val="DefaultParagraphFont"/>
    <w:link w:val="Bullet"/>
    <w:rsid w:val="00745AE1"/>
    <w:rPr>
      <w:rFonts w:ascii="Cambria" w:hAnsi="Cambria"/>
      <w:sz w:val="20"/>
    </w:rPr>
  </w:style>
  <w:style w:type="character" w:styleId="Hyperlink">
    <w:name w:val="Hyperlink"/>
    <w:basedOn w:val="DefaultParagraphFont"/>
    <w:uiPriority w:val="99"/>
    <w:unhideWhenUsed/>
    <w:rsid w:val="00C7708A"/>
    <w:rPr>
      <w:b/>
      <w:color w:val="0070C0"/>
      <w:u w:val="single"/>
    </w:rPr>
  </w:style>
  <w:style w:type="character" w:styleId="UnresolvedMention">
    <w:name w:val="Unresolved Mention"/>
    <w:basedOn w:val="DefaultParagraphFont"/>
    <w:uiPriority w:val="99"/>
    <w:semiHidden/>
    <w:unhideWhenUsed/>
    <w:rsid w:val="000134CF"/>
    <w:rPr>
      <w:color w:val="605E5C"/>
      <w:shd w:val="clear" w:color="auto" w:fill="E1DFDD"/>
    </w:rPr>
  </w:style>
  <w:style w:type="paragraph" w:styleId="FootnoteText">
    <w:name w:val="footnote text"/>
    <w:basedOn w:val="Normal"/>
    <w:link w:val="FootnoteTextChar"/>
    <w:uiPriority w:val="99"/>
    <w:unhideWhenUsed/>
    <w:rsid w:val="003D658A"/>
    <w:pPr>
      <w:spacing w:after="80" w:line="192" w:lineRule="auto"/>
      <w:jc w:val="left"/>
    </w:pPr>
    <w:rPr>
      <w:sz w:val="18"/>
      <w:szCs w:val="20"/>
    </w:rPr>
  </w:style>
  <w:style w:type="character" w:customStyle="1" w:styleId="FootnoteTextChar">
    <w:name w:val="Footnote Text Char"/>
    <w:basedOn w:val="DefaultParagraphFont"/>
    <w:link w:val="FootnoteText"/>
    <w:uiPriority w:val="99"/>
    <w:rsid w:val="003D658A"/>
    <w:rPr>
      <w:rFonts w:ascii="Tisa Offc Serif Pro" w:hAnsi="Tisa Offc Serif Pro"/>
      <w:sz w:val="18"/>
      <w:szCs w:val="20"/>
    </w:rPr>
  </w:style>
  <w:style w:type="character" w:styleId="FootnoteReference">
    <w:name w:val="footnote reference"/>
    <w:basedOn w:val="DefaultParagraphFont"/>
    <w:uiPriority w:val="99"/>
    <w:semiHidden/>
    <w:unhideWhenUsed/>
    <w:rsid w:val="00F804A3"/>
    <w:rPr>
      <w:vertAlign w:val="superscript"/>
    </w:rPr>
  </w:style>
  <w:style w:type="paragraph" w:styleId="ListParagraph">
    <w:name w:val="List Paragraph"/>
    <w:basedOn w:val="Normal"/>
    <w:uiPriority w:val="34"/>
    <w:unhideWhenUsed/>
    <w:qFormat/>
    <w:rsid w:val="004C77AE"/>
    <w:pPr>
      <w:ind w:left="720"/>
      <w:contextualSpacing/>
    </w:pPr>
  </w:style>
  <w:style w:type="paragraph" w:styleId="EndnoteText">
    <w:name w:val="endnote text"/>
    <w:basedOn w:val="Normal"/>
    <w:link w:val="EndnoteTextChar"/>
    <w:uiPriority w:val="99"/>
    <w:semiHidden/>
    <w:unhideWhenUsed/>
    <w:rsid w:val="004047E0"/>
    <w:pPr>
      <w:spacing w:after="0"/>
    </w:pPr>
    <w:rPr>
      <w:szCs w:val="20"/>
    </w:rPr>
  </w:style>
  <w:style w:type="character" w:customStyle="1" w:styleId="EndnoteTextChar">
    <w:name w:val="Endnote Text Char"/>
    <w:basedOn w:val="DefaultParagraphFont"/>
    <w:link w:val="EndnoteText"/>
    <w:uiPriority w:val="99"/>
    <w:semiHidden/>
    <w:rsid w:val="004047E0"/>
    <w:rPr>
      <w:sz w:val="20"/>
      <w:szCs w:val="20"/>
    </w:rPr>
  </w:style>
  <w:style w:type="character" w:styleId="EndnoteReference">
    <w:name w:val="endnote reference"/>
    <w:basedOn w:val="DefaultParagraphFont"/>
    <w:uiPriority w:val="99"/>
    <w:semiHidden/>
    <w:unhideWhenUsed/>
    <w:rsid w:val="004047E0"/>
    <w:rPr>
      <w:vertAlign w:val="superscript"/>
    </w:rPr>
  </w:style>
  <w:style w:type="paragraph" w:styleId="TOCHeading">
    <w:name w:val="TOC Heading"/>
    <w:basedOn w:val="Heading1"/>
    <w:next w:val="Normal"/>
    <w:uiPriority w:val="39"/>
    <w:unhideWhenUsed/>
    <w:qFormat/>
    <w:rsid w:val="003D6E30"/>
    <w:pPr>
      <w:spacing w:before="240" w:after="0" w:line="259" w:lineRule="auto"/>
      <w:outlineLvl w:val="9"/>
    </w:pPr>
    <w:rPr>
      <w:b w:val="0"/>
      <w:color w:val="B43412" w:themeColor="accent1" w:themeShade="BF"/>
    </w:rPr>
  </w:style>
  <w:style w:type="paragraph" w:styleId="TOC1">
    <w:name w:val="toc 1"/>
    <w:basedOn w:val="Normal"/>
    <w:next w:val="Normal"/>
    <w:autoRedefine/>
    <w:uiPriority w:val="39"/>
    <w:unhideWhenUsed/>
    <w:rsid w:val="00464AC0"/>
    <w:pPr>
      <w:tabs>
        <w:tab w:val="right" w:leader="dot" w:pos="9350"/>
      </w:tabs>
      <w:spacing w:after="100"/>
    </w:pPr>
    <w:rPr>
      <w:b/>
      <w:bCs/>
      <w:color w:val="88361C" w:themeColor="accent3" w:themeShade="BF"/>
      <w:sz w:val="28"/>
      <w:szCs w:val="32"/>
    </w:rPr>
  </w:style>
  <w:style w:type="paragraph" w:styleId="TOC3">
    <w:name w:val="toc 3"/>
    <w:basedOn w:val="Normal"/>
    <w:next w:val="Normal"/>
    <w:autoRedefine/>
    <w:uiPriority w:val="39"/>
    <w:unhideWhenUsed/>
    <w:rsid w:val="00DB290A"/>
    <w:pPr>
      <w:tabs>
        <w:tab w:val="right" w:leader="dot" w:pos="9350"/>
      </w:tabs>
      <w:spacing w:after="100"/>
      <w:ind w:left="480"/>
    </w:pPr>
  </w:style>
  <w:style w:type="paragraph" w:styleId="TOC2">
    <w:name w:val="toc 2"/>
    <w:basedOn w:val="Normal"/>
    <w:next w:val="Normal"/>
    <w:autoRedefine/>
    <w:uiPriority w:val="39"/>
    <w:unhideWhenUsed/>
    <w:rsid w:val="003D6E30"/>
    <w:pPr>
      <w:spacing w:after="100"/>
      <w:ind w:left="240"/>
    </w:pPr>
  </w:style>
  <w:style w:type="paragraph" w:styleId="NoSpacing">
    <w:name w:val="No Spacing"/>
    <w:link w:val="NoSpacingChar"/>
    <w:uiPriority w:val="1"/>
    <w:qFormat/>
    <w:rsid w:val="00EE5D00"/>
    <w:pPr>
      <w:spacing w:after="0" w:line="240" w:lineRule="auto"/>
    </w:pPr>
    <w:rPr>
      <w:rFonts w:eastAsiaTheme="minorEastAsia"/>
    </w:rPr>
  </w:style>
  <w:style w:type="character" w:customStyle="1" w:styleId="NoSpacingChar">
    <w:name w:val="No Spacing Char"/>
    <w:basedOn w:val="DefaultParagraphFont"/>
    <w:link w:val="NoSpacing"/>
    <w:uiPriority w:val="1"/>
    <w:rsid w:val="00EE5D00"/>
    <w:rPr>
      <w:rFonts w:eastAsiaTheme="minorEastAsia"/>
    </w:rPr>
  </w:style>
  <w:style w:type="numbering" w:customStyle="1" w:styleId="Style1">
    <w:name w:val="Style1"/>
    <w:uiPriority w:val="99"/>
    <w:rsid w:val="00A75290"/>
    <w:pPr>
      <w:numPr>
        <w:numId w:val="2"/>
      </w:numPr>
    </w:pPr>
  </w:style>
  <w:style w:type="paragraph" w:styleId="Header">
    <w:name w:val="header"/>
    <w:basedOn w:val="Normal"/>
    <w:link w:val="HeaderChar"/>
    <w:uiPriority w:val="99"/>
    <w:unhideWhenUsed/>
    <w:rsid w:val="00817E18"/>
    <w:pPr>
      <w:tabs>
        <w:tab w:val="center" w:pos="4680"/>
        <w:tab w:val="right" w:pos="9360"/>
      </w:tabs>
      <w:spacing w:after="0"/>
    </w:pPr>
  </w:style>
  <w:style w:type="character" w:customStyle="1" w:styleId="HeaderChar">
    <w:name w:val="Header Char"/>
    <w:basedOn w:val="DefaultParagraphFont"/>
    <w:link w:val="Header"/>
    <w:uiPriority w:val="99"/>
    <w:rsid w:val="00817E18"/>
    <w:rPr>
      <w:rFonts w:ascii="Tisa Offc Serif Pro" w:hAnsi="Tisa Offc Serif Pro"/>
      <w:sz w:val="20"/>
    </w:rPr>
  </w:style>
  <w:style w:type="paragraph" w:styleId="Footer">
    <w:name w:val="footer"/>
    <w:basedOn w:val="Normal"/>
    <w:link w:val="FooterChar"/>
    <w:uiPriority w:val="99"/>
    <w:unhideWhenUsed/>
    <w:rsid w:val="00817E18"/>
    <w:pPr>
      <w:tabs>
        <w:tab w:val="center" w:pos="4680"/>
        <w:tab w:val="right" w:pos="9360"/>
      </w:tabs>
      <w:spacing w:after="0"/>
    </w:pPr>
  </w:style>
  <w:style w:type="character" w:customStyle="1" w:styleId="FooterChar">
    <w:name w:val="Footer Char"/>
    <w:basedOn w:val="DefaultParagraphFont"/>
    <w:link w:val="Footer"/>
    <w:uiPriority w:val="99"/>
    <w:rsid w:val="00817E18"/>
    <w:rPr>
      <w:rFonts w:ascii="Tisa Offc Serif Pro" w:hAnsi="Tisa Offc Serif Pro"/>
      <w:sz w:val="20"/>
    </w:rPr>
  </w:style>
  <w:style w:type="paragraph" w:styleId="Revision">
    <w:name w:val="Revision"/>
    <w:hidden/>
    <w:uiPriority w:val="99"/>
    <w:semiHidden/>
    <w:rsid w:val="00EC0D38"/>
    <w:pPr>
      <w:spacing w:after="0" w:line="240" w:lineRule="auto"/>
    </w:pPr>
    <w:rPr>
      <w:rFonts w:ascii="Tisa Offc Serif Pro" w:hAnsi="Tisa Offc Serif Pro"/>
      <w:sz w:val="20"/>
    </w:rPr>
  </w:style>
  <w:style w:type="table" w:styleId="TableGrid">
    <w:name w:val="Table Grid"/>
    <w:basedOn w:val="TableNormal"/>
    <w:uiPriority w:val="59"/>
    <w:rsid w:val="00C44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413E"/>
    <w:rPr>
      <w:sz w:val="16"/>
      <w:szCs w:val="16"/>
    </w:rPr>
  </w:style>
  <w:style w:type="paragraph" w:styleId="CommentText">
    <w:name w:val="annotation text"/>
    <w:basedOn w:val="Normal"/>
    <w:link w:val="CommentTextChar"/>
    <w:uiPriority w:val="99"/>
    <w:unhideWhenUsed/>
    <w:rsid w:val="0047413E"/>
    <w:rPr>
      <w:rFonts w:ascii="Tisa Offc Serif Pro" w:hAnsi="Tisa Offc Serif Pro"/>
      <w:szCs w:val="20"/>
    </w:rPr>
  </w:style>
  <w:style w:type="character" w:customStyle="1" w:styleId="CommentTextChar">
    <w:name w:val="Comment Text Char"/>
    <w:basedOn w:val="DefaultParagraphFont"/>
    <w:link w:val="CommentText"/>
    <w:uiPriority w:val="99"/>
    <w:rsid w:val="0047413E"/>
    <w:rPr>
      <w:rFonts w:ascii="Tisa Offc Serif Pro" w:hAnsi="Tisa Offc Serif Pro"/>
      <w:sz w:val="20"/>
      <w:szCs w:val="20"/>
    </w:rPr>
  </w:style>
  <w:style w:type="paragraph" w:styleId="CommentSubject">
    <w:name w:val="annotation subject"/>
    <w:basedOn w:val="CommentText"/>
    <w:next w:val="CommentText"/>
    <w:link w:val="CommentSubjectChar"/>
    <w:uiPriority w:val="99"/>
    <w:semiHidden/>
    <w:unhideWhenUsed/>
    <w:rsid w:val="00244380"/>
    <w:rPr>
      <w:rFonts w:ascii="Cambria" w:hAnsi="Cambria"/>
      <w:b/>
      <w:bCs/>
    </w:rPr>
  </w:style>
  <w:style w:type="character" w:customStyle="1" w:styleId="CommentSubjectChar">
    <w:name w:val="Comment Subject Char"/>
    <w:basedOn w:val="CommentTextChar"/>
    <w:link w:val="CommentSubject"/>
    <w:uiPriority w:val="99"/>
    <w:semiHidden/>
    <w:rsid w:val="00244380"/>
    <w:rPr>
      <w:rFonts w:ascii="Cambria" w:hAnsi="Cambria"/>
      <w:b/>
      <w:bCs/>
      <w:sz w:val="20"/>
      <w:szCs w:val="20"/>
    </w:rPr>
  </w:style>
  <w:style w:type="character" w:styleId="HTMLCite">
    <w:name w:val="HTML Cite"/>
    <w:basedOn w:val="DefaultParagraphFont"/>
    <w:uiPriority w:val="99"/>
    <w:semiHidden/>
    <w:unhideWhenUsed/>
    <w:rsid w:val="00FD1452"/>
    <w:rPr>
      <w:i/>
      <w:iCs/>
    </w:rPr>
  </w:style>
  <w:style w:type="character" w:styleId="FollowedHyperlink">
    <w:name w:val="FollowedHyperlink"/>
    <w:basedOn w:val="DefaultParagraphFont"/>
    <w:uiPriority w:val="99"/>
    <w:semiHidden/>
    <w:unhideWhenUsed/>
    <w:rsid w:val="005B6581"/>
    <w:rPr>
      <w:color w:val="666699" w:themeColor="followedHyperlink"/>
      <w:u w:val="single"/>
    </w:rPr>
  </w:style>
  <w:style w:type="paragraph" w:styleId="TOC4">
    <w:name w:val="toc 4"/>
    <w:basedOn w:val="Normal"/>
    <w:next w:val="Normal"/>
    <w:autoRedefine/>
    <w:uiPriority w:val="39"/>
    <w:unhideWhenUsed/>
    <w:rsid w:val="00C01F87"/>
    <w:pPr>
      <w:spacing w:after="100" w:line="259" w:lineRule="auto"/>
      <w:ind w:left="660"/>
      <w:jc w:val="left"/>
    </w:pPr>
    <w:rPr>
      <w:rFonts w:asciiTheme="minorHAnsi" w:eastAsiaTheme="minorEastAsia" w:hAnsiTheme="minorHAnsi"/>
      <w:kern w:val="2"/>
      <w:sz w:val="22"/>
      <w14:ligatures w14:val="standardContextual"/>
    </w:rPr>
  </w:style>
  <w:style w:type="paragraph" w:styleId="TOC5">
    <w:name w:val="toc 5"/>
    <w:basedOn w:val="Normal"/>
    <w:next w:val="Normal"/>
    <w:autoRedefine/>
    <w:uiPriority w:val="39"/>
    <w:unhideWhenUsed/>
    <w:rsid w:val="00C01F87"/>
    <w:pPr>
      <w:spacing w:after="100" w:line="259" w:lineRule="auto"/>
      <w:ind w:left="880"/>
      <w:jc w:val="left"/>
    </w:pPr>
    <w:rPr>
      <w:rFonts w:asciiTheme="minorHAnsi" w:eastAsiaTheme="minorEastAsia" w:hAnsiTheme="minorHAnsi"/>
      <w:kern w:val="2"/>
      <w:sz w:val="22"/>
      <w14:ligatures w14:val="standardContextual"/>
    </w:rPr>
  </w:style>
  <w:style w:type="paragraph" w:styleId="TOC6">
    <w:name w:val="toc 6"/>
    <w:basedOn w:val="Normal"/>
    <w:next w:val="Normal"/>
    <w:autoRedefine/>
    <w:uiPriority w:val="39"/>
    <w:unhideWhenUsed/>
    <w:rsid w:val="00C01F87"/>
    <w:pPr>
      <w:spacing w:after="100" w:line="259" w:lineRule="auto"/>
      <w:ind w:left="1100"/>
      <w:jc w:val="left"/>
    </w:pPr>
    <w:rPr>
      <w:rFonts w:asciiTheme="minorHAnsi" w:eastAsiaTheme="minorEastAsia" w:hAnsiTheme="minorHAnsi"/>
      <w:kern w:val="2"/>
      <w:sz w:val="22"/>
      <w14:ligatures w14:val="standardContextual"/>
    </w:rPr>
  </w:style>
  <w:style w:type="paragraph" w:styleId="TOC7">
    <w:name w:val="toc 7"/>
    <w:basedOn w:val="Normal"/>
    <w:next w:val="Normal"/>
    <w:autoRedefine/>
    <w:uiPriority w:val="39"/>
    <w:unhideWhenUsed/>
    <w:rsid w:val="00C01F87"/>
    <w:pPr>
      <w:spacing w:after="100" w:line="259" w:lineRule="auto"/>
      <w:ind w:left="1320"/>
      <w:jc w:val="left"/>
    </w:pPr>
    <w:rPr>
      <w:rFonts w:asciiTheme="minorHAnsi" w:eastAsiaTheme="minorEastAsia" w:hAnsiTheme="minorHAnsi"/>
      <w:kern w:val="2"/>
      <w:sz w:val="22"/>
      <w14:ligatures w14:val="standardContextual"/>
    </w:rPr>
  </w:style>
  <w:style w:type="paragraph" w:styleId="TOC8">
    <w:name w:val="toc 8"/>
    <w:basedOn w:val="Normal"/>
    <w:next w:val="Normal"/>
    <w:autoRedefine/>
    <w:uiPriority w:val="39"/>
    <w:unhideWhenUsed/>
    <w:rsid w:val="00C01F87"/>
    <w:pPr>
      <w:spacing w:after="100" w:line="259" w:lineRule="auto"/>
      <w:ind w:left="1540"/>
      <w:jc w:val="left"/>
    </w:pPr>
    <w:rPr>
      <w:rFonts w:asciiTheme="minorHAnsi" w:eastAsiaTheme="minorEastAsia" w:hAnsiTheme="minorHAnsi"/>
      <w:kern w:val="2"/>
      <w:sz w:val="22"/>
      <w14:ligatures w14:val="standardContextual"/>
    </w:rPr>
  </w:style>
  <w:style w:type="paragraph" w:styleId="TOC9">
    <w:name w:val="toc 9"/>
    <w:basedOn w:val="Normal"/>
    <w:next w:val="Normal"/>
    <w:autoRedefine/>
    <w:uiPriority w:val="39"/>
    <w:unhideWhenUsed/>
    <w:rsid w:val="00C01F87"/>
    <w:pPr>
      <w:spacing w:after="100" w:line="259" w:lineRule="auto"/>
      <w:ind w:left="1760"/>
      <w:jc w:val="left"/>
    </w:pPr>
    <w:rPr>
      <w:rFonts w:asciiTheme="minorHAnsi" w:eastAsiaTheme="minorEastAsia" w:hAnsiTheme="minorHAnsi"/>
      <w:kern w:val="2"/>
      <w:sz w:val="22"/>
      <w14:ligatures w14:val="standardContextual"/>
    </w:rPr>
  </w:style>
  <w:style w:type="character" w:styleId="PlaceholderText">
    <w:name w:val="Placeholder Text"/>
    <w:basedOn w:val="DefaultParagraphFont"/>
    <w:uiPriority w:val="99"/>
    <w:unhideWhenUsed/>
    <w:rsid w:val="000000D1"/>
    <w:rPr>
      <w:color w:val="666666"/>
    </w:rPr>
  </w:style>
  <w:style w:type="character" w:customStyle="1" w:styleId="small-caps">
    <w:name w:val="small-caps"/>
    <w:basedOn w:val="DefaultParagraphFont"/>
    <w:rsid w:val="000000D1"/>
  </w:style>
  <w:style w:type="paragraph" w:styleId="NormalWeb">
    <w:name w:val="Normal (Web)"/>
    <w:basedOn w:val="Normal"/>
    <w:uiPriority w:val="99"/>
    <w:semiHidden/>
    <w:unhideWhenUsed/>
    <w:rsid w:val="000000D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4487">
      <w:bodyDiv w:val="1"/>
      <w:marLeft w:val="0"/>
      <w:marRight w:val="0"/>
      <w:marTop w:val="0"/>
      <w:marBottom w:val="0"/>
      <w:divBdr>
        <w:top w:val="none" w:sz="0" w:space="0" w:color="auto"/>
        <w:left w:val="none" w:sz="0" w:space="0" w:color="auto"/>
        <w:bottom w:val="none" w:sz="0" w:space="0" w:color="auto"/>
        <w:right w:val="none" w:sz="0" w:space="0" w:color="auto"/>
      </w:divBdr>
      <w:divsChild>
        <w:div w:id="144977336">
          <w:marLeft w:val="0"/>
          <w:marRight w:val="0"/>
          <w:marTop w:val="0"/>
          <w:marBottom w:val="0"/>
          <w:divBdr>
            <w:top w:val="none" w:sz="0" w:space="0" w:color="auto"/>
            <w:left w:val="none" w:sz="0" w:space="0" w:color="auto"/>
            <w:bottom w:val="none" w:sz="0" w:space="0" w:color="auto"/>
            <w:right w:val="none" w:sz="0" w:space="0" w:color="auto"/>
          </w:divBdr>
          <w:divsChild>
            <w:div w:id="1601403996">
              <w:marLeft w:val="0"/>
              <w:marRight w:val="0"/>
              <w:marTop w:val="0"/>
              <w:marBottom w:val="0"/>
              <w:divBdr>
                <w:top w:val="none" w:sz="0" w:space="0" w:color="auto"/>
                <w:left w:val="none" w:sz="0" w:space="0" w:color="auto"/>
                <w:bottom w:val="none" w:sz="0" w:space="0" w:color="auto"/>
                <w:right w:val="none" w:sz="0" w:space="0" w:color="auto"/>
              </w:divBdr>
            </w:div>
          </w:divsChild>
        </w:div>
        <w:div w:id="2111851621">
          <w:marLeft w:val="0"/>
          <w:marRight w:val="0"/>
          <w:marTop w:val="0"/>
          <w:marBottom w:val="150"/>
          <w:divBdr>
            <w:top w:val="none" w:sz="0" w:space="0" w:color="auto"/>
            <w:left w:val="none" w:sz="0" w:space="0" w:color="auto"/>
            <w:bottom w:val="none" w:sz="0" w:space="0" w:color="auto"/>
            <w:right w:val="none" w:sz="0" w:space="0" w:color="auto"/>
          </w:divBdr>
          <w:divsChild>
            <w:div w:id="165557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2905">
      <w:bodyDiv w:val="1"/>
      <w:marLeft w:val="0"/>
      <w:marRight w:val="0"/>
      <w:marTop w:val="0"/>
      <w:marBottom w:val="0"/>
      <w:divBdr>
        <w:top w:val="none" w:sz="0" w:space="0" w:color="auto"/>
        <w:left w:val="none" w:sz="0" w:space="0" w:color="auto"/>
        <w:bottom w:val="none" w:sz="0" w:space="0" w:color="auto"/>
        <w:right w:val="none" w:sz="0" w:space="0" w:color="auto"/>
      </w:divBdr>
      <w:divsChild>
        <w:div w:id="832600970">
          <w:marLeft w:val="0"/>
          <w:marRight w:val="0"/>
          <w:marTop w:val="210"/>
          <w:marBottom w:val="210"/>
          <w:divBdr>
            <w:top w:val="none" w:sz="0" w:space="0" w:color="auto"/>
            <w:left w:val="none" w:sz="0" w:space="0" w:color="auto"/>
            <w:bottom w:val="none" w:sz="0" w:space="0" w:color="auto"/>
            <w:right w:val="none" w:sz="0" w:space="0" w:color="auto"/>
          </w:divBdr>
          <w:divsChild>
            <w:div w:id="467472717">
              <w:marLeft w:val="0"/>
              <w:marRight w:val="0"/>
              <w:marTop w:val="210"/>
              <w:marBottom w:val="210"/>
              <w:divBdr>
                <w:top w:val="none" w:sz="0" w:space="0" w:color="auto"/>
                <w:left w:val="none" w:sz="0" w:space="0" w:color="auto"/>
                <w:bottom w:val="none" w:sz="0" w:space="0" w:color="auto"/>
                <w:right w:val="none" w:sz="0" w:space="0" w:color="auto"/>
              </w:divBdr>
              <w:divsChild>
                <w:div w:id="1452743239">
                  <w:marLeft w:val="0"/>
                  <w:marRight w:val="0"/>
                  <w:marTop w:val="210"/>
                  <w:marBottom w:val="210"/>
                  <w:divBdr>
                    <w:top w:val="none" w:sz="0" w:space="0" w:color="auto"/>
                    <w:left w:val="none" w:sz="0" w:space="0" w:color="auto"/>
                    <w:bottom w:val="none" w:sz="0" w:space="0" w:color="auto"/>
                    <w:right w:val="none" w:sz="0" w:space="0" w:color="auto"/>
                  </w:divBdr>
                  <w:divsChild>
                    <w:div w:id="476725768">
                      <w:marLeft w:val="0"/>
                      <w:marRight w:val="0"/>
                      <w:marTop w:val="210"/>
                      <w:marBottom w:val="210"/>
                      <w:divBdr>
                        <w:top w:val="none" w:sz="0" w:space="0" w:color="auto"/>
                        <w:left w:val="none" w:sz="0" w:space="0" w:color="auto"/>
                        <w:bottom w:val="none" w:sz="0" w:space="0" w:color="auto"/>
                        <w:right w:val="none" w:sz="0" w:space="0" w:color="auto"/>
                      </w:divBdr>
                    </w:div>
                  </w:divsChild>
                </w:div>
                <w:div w:id="1476992526">
                  <w:marLeft w:val="0"/>
                  <w:marRight w:val="0"/>
                  <w:marTop w:val="210"/>
                  <w:marBottom w:val="210"/>
                  <w:divBdr>
                    <w:top w:val="none" w:sz="0" w:space="0" w:color="auto"/>
                    <w:left w:val="none" w:sz="0" w:space="0" w:color="auto"/>
                    <w:bottom w:val="none" w:sz="0" w:space="0" w:color="auto"/>
                    <w:right w:val="none" w:sz="0" w:space="0" w:color="auto"/>
                  </w:divBdr>
                  <w:divsChild>
                    <w:div w:id="771125405">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 w:id="57020208">
      <w:bodyDiv w:val="1"/>
      <w:marLeft w:val="0"/>
      <w:marRight w:val="0"/>
      <w:marTop w:val="0"/>
      <w:marBottom w:val="0"/>
      <w:divBdr>
        <w:top w:val="none" w:sz="0" w:space="0" w:color="auto"/>
        <w:left w:val="none" w:sz="0" w:space="0" w:color="auto"/>
        <w:bottom w:val="none" w:sz="0" w:space="0" w:color="auto"/>
        <w:right w:val="none" w:sz="0" w:space="0" w:color="auto"/>
      </w:divBdr>
      <w:divsChild>
        <w:div w:id="1934825190">
          <w:marLeft w:val="0"/>
          <w:marRight w:val="0"/>
          <w:marTop w:val="0"/>
          <w:marBottom w:val="0"/>
          <w:divBdr>
            <w:top w:val="none" w:sz="0" w:space="0" w:color="auto"/>
            <w:left w:val="none" w:sz="0" w:space="0" w:color="auto"/>
            <w:bottom w:val="none" w:sz="0" w:space="0" w:color="auto"/>
            <w:right w:val="none" w:sz="0" w:space="0" w:color="auto"/>
          </w:divBdr>
        </w:div>
      </w:divsChild>
    </w:div>
    <w:div w:id="93940793">
      <w:bodyDiv w:val="1"/>
      <w:marLeft w:val="0"/>
      <w:marRight w:val="0"/>
      <w:marTop w:val="0"/>
      <w:marBottom w:val="0"/>
      <w:divBdr>
        <w:top w:val="none" w:sz="0" w:space="0" w:color="auto"/>
        <w:left w:val="none" w:sz="0" w:space="0" w:color="auto"/>
        <w:bottom w:val="none" w:sz="0" w:space="0" w:color="auto"/>
        <w:right w:val="none" w:sz="0" w:space="0" w:color="auto"/>
      </w:divBdr>
      <w:divsChild>
        <w:div w:id="588393315">
          <w:marLeft w:val="0"/>
          <w:marRight w:val="0"/>
          <w:marTop w:val="210"/>
          <w:marBottom w:val="210"/>
          <w:divBdr>
            <w:top w:val="none" w:sz="0" w:space="0" w:color="auto"/>
            <w:left w:val="none" w:sz="0" w:space="0" w:color="auto"/>
            <w:bottom w:val="none" w:sz="0" w:space="0" w:color="auto"/>
            <w:right w:val="none" w:sz="0" w:space="0" w:color="auto"/>
          </w:divBdr>
        </w:div>
        <w:div w:id="1317761742">
          <w:marLeft w:val="420"/>
          <w:marRight w:val="0"/>
          <w:marTop w:val="210"/>
          <w:marBottom w:val="210"/>
          <w:divBdr>
            <w:top w:val="none" w:sz="0" w:space="0" w:color="auto"/>
            <w:left w:val="none" w:sz="0" w:space="0" w:color="auto"/>
            <w:bottom w:val="none" w:sz="0" w:space="0" w:color="auto"/>
            <w:right w:val="none" w:sz="0" w:space="0" w:color="auto"/>
          </w:divBdr>
          <w:divsChild>
            <w:div w:id="2029717356">
              <w:marLeft w:val="0"/>
              <w:marRight w:val="0"/>
              <w:marTop w:val="210"/>
              <w:marBottom w:val="210"/>
              <w:divBdr>
                <w:top w:val="none" w:sz="0" w:space="0" w:color="auto"/>
                <w:left w:val="none" w:sz="0" w:space="0" w:color="auto"/>
                <w:bottom w:val="none" w:sz="0" w:space="0" w:color="auto"/>
                <w:right w:val="none" w:sz="0" w:space="0" w:color="auto"/>
              </w:divBdr>
            </w:div>
          </w:divsChild>
        </w:div>
        <w:div w:id="1987203511">
          <w:marLeft w:val="420"/>
          <w:marRight w:val="0"/>
          <w:marTop w:val="210"/>
          <w:marBottom w:val="210"/>
          <w:divBdr>
            <w:top w:val="none" w:sz="0" w:space="0" w:color="auto"/>
            <w:left w:val="none" w:sz="0" w:space="0" w:color="auto"/>
            <w:bottom w:val="none" w:sz="0" w:space="0" w:color="auto"/>
            <w:right w:val="none" w:sz="0" w:space="0" w:color="auto"/>
          </w:divBdr>
          <w:divsChild>
            <w:div w:id="2090542145">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 w:id="117072305">
      <w:bodyDiv w:val="1"/>
      <w:marLeft w:val="0"/>
      <w:marRight w:val="0"/>
      <w:marTop w:val="0"/>
      <w:marBottom w:val="0"/>
      <w:divBdr>
        <w:top w:val="none" w:sz="0" w:space="0" w:color="auto"/>
        <w:left w:val="none" w:sz="0" w:space="0" w:color="auto"/>
        <w:bottom w:val="none" w:sz="0" w:space="0" w:color="auto"/>
        <w:right w:val="none" w:sz="0" w:space="0" w:color="auto"/>
      </w:divBdr>
      <w:divsChild>
        <w:div w:id="293755066">
          <w:marLeft w:val="420"/>
          <w:marRight w:val="0"/>
          <w:marTop w:val="210"/>
          <w:marBottom w:val="210"/>
          <w:divBdr>
            <w:top w:val="none" w:sz="0" w:space="0" w:color="auto"/>
            <w:left w:val="none" w:sz="0" w:space="0" w:color="auto"/>
            <w:bottom w:val="none" w:sz="0" w:space="0" w:color="auto"/>
            <w:right w:val="none" w:sz="0" w:space="0" w:color="auto"/>
          </w:divBdr>
        </w:div>
        <w:div w:id="2050642333">
          <w:marLeft w:val="420"/>
          <w:marRight w:val="0"/>
          <w:marTop w:val="210"/>
          <w:marBottom w:val="210"/>
          <w:divBdr>
            <w:top w:val="none" w:sz="0" w:space="0" w:color="auto"/>
            <w:left w:val="none" w:sz="0" w:space="0" w:color="auto"/>
            <w:bottom w:val="none" w:sz="0" w:space="0" w:color="auto"/>
            <w:right w:val="none" w:sz="0" w:space="0" w:color="auto"/>
          </w:divBdr>
          <w:divsChild>
            <w:div w:id="1814833498">
              <w:marLeft w:val="0"/>
              <w:marRight w:val="0"/>
              <w:marTop w:val="210"/>
              <w:marBottom w:val="210"/>
              <w:divBdr>
                <w:top w:val="none" w:sz="0" w:space="0" w:color="auto"/>
                <w:left w:val="none" w:sz="0" w:space="0" w:color="auto"/>
                <w:bottom w:val="none" w:sz="0" w:space="0" w:color="auto"/>
                <w:right w:val="none" w:sz="0" w:space="0" w:color="auto"/>
              </w:divBdr>
              <w:divsChild>
                <w:div w:id="448859924">
                  <w:marLeft w:val="0"/>
                  <w:marRight w:val="0"/>
                  <w:marTop w:val="210"/>
                  <w:marBottom w:val="210"/>
                  <w:divBdr>
                    <w:top w:val="none" w:sz="0" w:space="0" w:color="auto"/>
                    <w:left w:val="none" w:sz="0" w:space="0" w:color="auto"/>
                    <w:bottom w:val="none" w:sz="0" w:space="0" w:color="auto"/>
                    <w:right w:val="none" w:sz="0" w:space="0" w:color="auto"/>
                  </w:divBdr>
                  <w:divsChild>
                    <w:div w:id="45841968">
                      <w:marLeft w:val="900"/>
                      <w:marRight w:val="1350"/>
                      <w:marTop w:val="150"/>
                      <w:marBottom w:val="150"/>
                      <w:divBdr>
                        <w:top w:val="dotted" w:sz="6" w:space="1" w:color="BBBBBB"/>
                        <w:left w:val="none" w:sz="0" w:space="0" w:color="BBBBBB"/>
                        <w:bottom w:val="dotted" w:sz="6" w:space="1" w:color="BBBBBB"/>
                        <w:right w:val="none" w:sz="0" w:space="0" w:color="BBBBBB"/>
                      </w:divBdr>
                      <w:divsChild>
                        <w:div w:id="488325725">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67209886">
      <w:bodyDiv w:val="1"/>
      <w:marLeft w:val="0"/>
      <w:marRight w:val="0"/>
      <w:marTop w:val="0"/>
      <w:marBottom w:val="0"/>
      <w:divBdr>
        <w:top w:val="none" w:sz="0" w:space="0" w:color="auto"/>
        <w:left w:val="none" w:sz="0" w:space="0" w:color="auto"/>
        <w:bottom w:val="none" w:sz="0" w:space="0" w:color="auto"/>
        <w:right w:val="none" w:sz="0" w:space="0" w:color="auto"/>
      </w:divBdr>
      <w:divsChild>
        <w:div w:id="824127108">
          <w:marLeft w:val="600"/>
          <w:marRight w:val="0"/>
          <w:marTop w:val="264"/>
          <w:marBottom w:val="264"/>
          <w:divBdr>
            <w:top w:val="none" w:sz="0" w:space="0" w:color="auto"/>
            <w:left w:val="none" w:sz="0" w:space="0" w:color="auto"/>
            <w:bottom w:val="none" w:sz="0" w:space="0" w:color="auto"/>
            <w:right w:val="none" w:sz="0" w:space="0" w:color="auto"/>
          </w:divBdr>
        </w:div>
      </w:divsChild>
    </w:div>
    <w:div w:id="205683646">
      <w:bodyDiv w:val="1"/>
      <w:marLeft w:val="0"/>
      <w:marRight w:val="0"/>
      <w:marTop w:val="0"/>
      <w:marBottom w:val="0"/>
      <w:divBdr>
        <w:top w:val="none" w:sz="0" w:space="0" w:color="auto"/>
        <w:left w:val="none" w:sz="0" w:space="0" w:color="auto"/>
        <w:bottom w:val="none" w:sz="0" w:space="0" w:color="auto"/>
        <w:right w:val="none" w:sz="0" w:space="0" w:color="auto"/>
      </w:divBdr>
    </w:div>
    <w:div w:id="271203903">
      <w:bodyDiv w:val="1"/>
      <w:marLeft w:val="0"/>
      <w:marRight w:val="0"/>
      <w:marTop w:val="0"/>
      <w:marBottom w:val="0"/>
      <w:divBdr>
        <w:top w:val="none" w:sz="0" w:space="0" w:color="auto"/>
        <w:left w:val="none" w:sz="0" w:space="0" w:color="auto"/>
        <w:bottom w:val="none" w:sz="0" w:space="0" w:color="auto"/>
        <w:right w:val="none" w:sz="0" w:space="0" w:color="auto"/>
      </w:divBdr>
      <w:divsChild>
        <w:div w:id="326834927">
          <w:marLeft w:val="240"/>
          <w:marRight w:val="0"/>
          <w:marTop w:val="60"/>
          <w:marBottom w:val="60"/>
          <w:divBdr>
            <w:top w:val="none" w:sz="0" w:space="0" w:color="auto"/>
            <w:left w:val="none" w:sz="0" w:space="0" w:color="auto"/>
            <w:bottom w:val="none" w:sz="0" w:space="0" w:color="auto"/>
            <w:right w:val="none" w:sz="0" w:space="0" w:color="auto"/>
          </w:divBdr>
          <w:divsChild>
            <w:div w:id="1923954605">
              <w:marLeft w:val="0"/>
              <w:marRight w:val="0"/>
              <w:marTop w:val="0"/>
              <w:marBottom w:val="0"/>
              <w:divBdr>
                <w:top w:val="none" w:sz="0" w:space="0" w:color="auto"/>
                <w:left w:val="none" w:sz="0" w:space="0" w:color="auto"/>
                <w:bottom w:val="none" w:sz="0" w:space="0" w:color="auto"/>
                <w:right w:val="none" w:sz="0" w:space="0" w:color="auto"/>
              </w:divBdr>
            </w:div>
          </w:divsChild>
        </w:div>
        <w:div w:id="1515611247">
          <w:marLeft w:val="240"/>
          <w:marRight w:val="0"/>
          <w:marTop w:val="60"/>
          <w:marBottom w:val="60"/>
          <w:divBdr>
            <w:top w:val="none" w:sz="0" w:space="0" w:color="auto"/>
            <w:left w:val="none" w:sz="0" w:space="0" w:color="auto"/>
            <w:bottom w:val="none" w:sz="0" w:space="0" w:color="auto"/>
            <w:right w:val="none" w:sz="0" w:space="0" w:color="auto"/>
          </w:divBdr>
          <w:divsChild>
            <w:div w:id="14874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88634">
      <w:bodyDiv w:val="1"/>
      <w:marLeft w:val="0"/>
      <w:marRight w:val="0"/>
      <w:marTop w:val="0"/>
      <w:marBottom w:val="0"/>
      <w:divBdr>
        <w:top w:val="none" w:sz="0" w:space="0" w:color="auto"/>
        <w:left w:val="none" w:sz="0" w:space="0" w:color="auto"/>
        <w:bottom w:val="none" w:sz="0" w:space="0" w:color="auto"/>
        <w:right w:val="none" w:sz="0" w:space="0" w:color="auto"/>
      </w:divBdr>
      <w:divsChild>
        <w:div w:id="162207146">
          <w:marLeft w:val="0"/>
          <w:marRight w:val="0"/>
          <w:marTop w:val="210"/>
          <w:marBottom w:val="210"/>
          <w:divBdr>
            <w:top w:val="none" w:sz="0" w:space="0" w:color="auto"/>
            <w:left w:val="none" w:sz="0" w:space="0" w:color="auto"/>
            <w:bottom w:val="none" w:sz="0" w:space="0" w:color="auto"/>
            <w:right w:val="none" w:sz="0" w:space="0" w:color="auto"/>
          </w:divBdr>
        </w:div>
        <w:div w:id="854227503">
          <w:marLeft w:val="420"/>
          <w:marRight w:val="0"/>
          <w:marTop w:val="210"/>
          <w:marBottom w:val="210"/>
          <w:divBdr>
            <w:top w:val="none" w:sz="0" w:space="0" w:color="auto"/>
            <w:left w:val="none" w:sz="0" w:space="0" w:color="auto"/>
            <w:bottom w:val="none" w:sz="0" w:space="0" w:color="auto"/>
            <w:right w:val="none" w:sz="0" w:space="0" w:color="auto"/>
          </w:divBdr>
        </w:div>
      </w:divsChild>
    </w:div>
    <w:div w:id="377625795">
      <w:bodyDiv w:val="1"/>
      <w:marLeft w:val="0"/>
      <w:marRight w:val="0"/>
      <w:marTop w:val="0"/>
      <w:marBottom w:val="0"/>
      <w:divBdr>
        <w:top w:val="none" w:sz="0" w:space="0" w:color="auto"/>
        <w:left w:val="none" w:sz="0" w:space="0" w:color="auto"/>
        <w:bottom w:val="none" w:sz="0" w:space="0" w:color="auto"/>
        <w:right w:val="none" w:sz="0" w:space="0" w:color="auto"/>
      </w:divBdr>
      <w:divsChild>
        <w:div w:id="1333025597">
          <w:marLeft w:val="240"/>
          <w:marRight w:val="0"/>
          <w:marTop w:val="60"/>
          <w:marBottom w:val="60"/>
          <w:divBdr>
            <w:top w:val="none" w:sz="0" w:space="0" w:color="auto"/>
            <w:left w:val="none" w:sz="0" w:space="0" w:color="auto"/>
            <w:bottom w:val="none" w:sz="0" w:space="0" w:color="auto"/>
            <w:right w:val="none" w:sz="0" w:space="0" w:color="auto"/>
          </w:divBdr>
          <w:divsChild>
            <w:div w:id="17896574">
              <w:marLeft w:val="240"/>
              <w:marRight w:val="0"/>
              <w:marTop w:val="60"/>
              <w:marBottom w:val="60"/>
              <w:divBdr>
                <w:top w:val="none" w:sz="0" w:space="0" w:color="auto"/>
                <w:left w:val="none" w:sz="0" w:space="0" w:color="auto"/>
                <w:bottom w:val="none" w:sz="0" w:space="0" w:color="auto"/>
                <w:right w:val="none" w:sz="0" w:space="0" w:color="auto"/>
              </w:divBdr>
              <w:divsChild>
                <w:div w:id="1379665717">
                  <w:marLeft w:val="0"/>
                  <w:marRight w:val="0"/>
                  <w:marTop w:val="0"/>
                  <w:marBottom w:val="0"/>
                  <w:divBdr>
                    <w:top w:val="none" w:sz="0" w:space="0" w:color="auto"/>
                    <w:left w:val="none" w:sz="0" w:space="0" w:color="auto"/>
                    <w:bottom w:val="none" w:sz="0" w:space="0" w:color="auto"/>
                    <w:right w:val="none" w:sz="0" w:space="0" w:color="auto"/>
                  </w:divBdr>
                </w:div>
              </w:divsChild>
            </w:div>
            <w:div w:id="259996451">
              <w:marLeft w:val="462"/>
              <w:marRight w:val="0"/>
              <w:marTop w:val="0"/>
              <w:marBottom w:val="0"/>
              <w:divBdr>
                <w:top w:val="none" w:sz="0" w:space="0" w:color="auto"/>
                <w:left w:val="none" w:sz="0" w:space="0" w:color="auto"/>
                <w:bottom w:val="none" w:sz="0" w:space="0" w:color="auto"/>
                <w:right w:val="none" w:sz="0" w:space="0" w:color="auto"/>
              </w:divBdr>
            </w:div>
            <w:div w:id="462502602">
              <w:marLeft w:val="240"/>
              <w:marRight w:val="0"/>
              <w:marTop w:val="60"/>
              <w:marBottom w:val="60"/>
              <w:divBdr>
                <w:top w:val="none" w:sz="0" w:space="0" w:color="auto"/>
                <w:left w:val="none" w:sz="0" w:space="0" w:color="auto"/>
                <w:bottom w:val="none" w:sz="0" w:space="0" w:color="auto"/>
                <w:right w:val="none" w:sz="0" w:space="0" w:color="auto"/>
              </w:divBdr>
              <w:divsChild>
                <w:div w:id="1661691972">
                  <w:marLeft w:val="0"/>
                  <w:marRight w:val="0"/>
                  <w:marTop w:val="0"/>
                  <w:marBottom w:val="0"/>
                  <w:divBdr>
                    <w:top w:val="none" w:sz="0" w:space="0" w:color="auto"/>
                    <w:left w:val="none" w:sz="0" w:space="0" w:color="auto"/>
                    <w:bottom w:val="none" w:sz="0" w:space="0" w:color="auto"/>
                    <w:right w:val="none" w:sz="0" w:space="0" w:color="auto"/>
                  </w:divBdr>
                </w:div>
              </w:divsChild>
            </w:div>
            <w:div w:id="569577749">
              <w:marLeft w:val="240"/>
              <w:marRight w:val="0"/>
              <w:marTop w:val="60"/>
              <w:marBottom w:val="60"/>
              <w:divBdr>
                <w:top w:val="none" w:sz="0" w:space="0" w:color="auto"/>
                <w:left w:val="none" w:sz="0" w:space="0" w:color="auto"/>
                <w:bottom w:val="none" w:sz="0" w:space="0" w:color="auto"/>
                <w:right w:val="none" w:sz="0" w:space="0" w:color="auto"/>
              </w:divBdr>
              <w:divsChild>
                <w:div w:id="581569324">
                  <w:marLeft w:val="0"/>
                  <w:marRight w:val="0"/>
                  <w:marTop w:val="0"/>
                  <w:marBottom w:val="0"/>
                  <w:divBdr>
                    <w:top w:val="none" w:sz="0" w:space="0" w:color="auto"/>
                    <w:left w:val="none" w:sz="0" w:space="0" w:color="auto"/>
                    <w:bottom w:val="none" w:sz="0" w:space="0" w:color="auto"/>
                    <w:right w:val="none" w:sz="0" w:space="0" w:color="auto"/>
                  </w:divBdr>
                </w:div>
              </w:divsChild>
            </w:div>
            <w:div w:id="831213028">
              <w:marLeft w:val="240"/>
              <w:marRight w:val="0"/>
              <w:marTop w:val="60"/>
              <w:marBottom w:val="60"/>
              <w:divBdr>
                <w:top w:val="none" w:sz="0" w:space="0" w:color="auto"/>
                <w:left w:val="none" w:sz="0" w:space="0" w:color="auto"/>
                <w:bottom w:val="none" w:sz="0" w:space="0" w:color="auto"/>
                <w:right w:val="none" w:sz="0" w:space="0" w:color="auto"/>
              </w:divBdr>
              <w:divsChild>
                <w:div w:id="2083675861">
                  <w:marLeft w:val="0"/>
                  <w:marRight w:val="0"/>
                  <w:marTop w:val="0"/>
                  <w:marBottom w:val="0"/>
                  <w:divBdr>
                    <w:top w:val="none" w:sz="0" w:space="0" w:color="auto"/>
                    <w:left w:val="none" w:sz="0" w:space="0" w:color="auto"/>
                    <w:bottom w:val="none" w:sz="0" w:space="0" w:color="auto"/>
                    <w:right w:val="none" w:sz="0" w:space="0" w:color="auto"/>
                  </w:divBdr>
                </w:div>
              </w:divsChild>
            </w:div>
            <w:div w:id="1279950024">
              <w:marLeft w:val="240"/>
              <w:marRight w:val="0"/>
              <w:marTop w:val="60"/>
              <w:marBottom w:val="60"/>
              <w:divBdr>
                <w:top w:val="none" w:sz="0" w:space="0" w:color="auto"/>
                <w:left w:val="none" w:sz="0" w:space="0" w:color="auto"/>
                <w:bottom w:val="none" w:sz="0" w:space="0" w:color="auto"/>
                <w:right w:val="none" w:sz="0" w:space="0" w:color="auto"/>
              </w:divBdr>
              <w:divsChild>
                <w:div w:id="748038325">
                  <w:marLeft w:val="0"/>
                  <w:marRight w:val="0"/>
                  <w:marTop w:val="0"/>
                  <w:marBottom w:val="0"/>
                  <w:divBdr>
                    <w:top w:val="none" w:sz="0" w:space="0" w:color="auto"/>
                    <w:left w:val="none" w:sz="0" w:space="0" w:color="auto"/>
                    <w:bottom w:val="none" w:sz="0" w:space="0" w:color="auto"/>
                    <w:right w:val="none" w:sz="0" w:space="0" w:color="auto"/>
                  </w:divBdr>
                </w:div>
              </w:divsChild>
            </w:div>
            <w:div w:id="1282961263">
              <w:marLeft w:val="240"/>
              <w:marRight w:val="0"/>
              <w:marTop w:val="60"/>
              <w:marBottom w:val="60"/>
              <w:divBdr>
                <w:top w:val="none" w:sz="0" w:space="0" w:color="auto"/>
                <w:left w:val="none" w:sz="0" w:space="0" w:color="auto"/>
                <w:bottom w:val="none" w:sz="0" w:space="0" w:color="auto"/>
                <w:right w:val="none" w:sz="0" w:space="0" w:color="auto"/>
              </w:divBdr>
              <w:divsChild>
                <w:div w:id="997732304">
                  <w:marLeft w:val="0"/>
                  <w:marRight w:val="0"/>
                  <w:marTop w:val="0"/>
                  <w:marBottom w:val="0"/>
                  <w:divBdr>
                    <w:top w:val="none" w:sz="0" w:space="0" w:color="auto"/>
                    <w:left w:val="none" w:sz="0" w:space="0" w:color="auto"/>
                    <w:bottom w:val="none" w:sz="0" w:space="0" w:color="auto"/>
                    <w:right w:val="none" w:sz="0" w:space="0" w:color="auto"/>
                  </w:divBdr>
                </w:div>
              </w:divsChild>
            </w:div>
            <w:div w:id="1729986330">
              <w:marLeft w:val="240"/>
              <w:marRight w:val="0"/>
              <w:marTop w:val="60"/>
              <w:marBottom w:val="60"/>
              <w:divBdr>
                <w:top w:val="none" w:sz="0" w:space="0" w:color="auto"/>
                <w:left w:val="none" w:sz="0" w:space="0" w:color="auto"/>
                <w:bottom w:val="none" w:sz="0" w:space="0" w:color="auto"/>
                <w:right w:val="none" w:sz="0" w:space="0" w:color="auto"/>
              </w:divBdr>
              <w:divsChild>
                <w:div w:id="10795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87037">
          <w:marLeft w:val="240"/>
          <w:marRight w:val="0"/>
          <w:marTop w:val="60"/>
          <w:marBottom w:val="60"/>
          <w:divBdr>
            <w:top w:val="none" w:sz="0" w:space="0" w:color="auto"/>
            <w:left w:val="none" w:sz="0" w:space="0" w:color="auto"/>
            <w:bottom w:val="none" w:sz="0" w:space="0" w:color="auto"/>
            <w:right w:val="none" w:sz="0" w:space="0" w:color="auto"/>
          </w:divBdr>
        </w:div>
      </w:divsChild>
    </w:div>
    <w:div w:id="418603748">
      <w:bodyDiv w:val="1"/>
      <w:marLeft w:val="0"/>
      <w:marRight w:val="0"/>
      <w:marTop w:val="0"/>
      <w:marBottom w:val="0"/>
      <w:divBdr>
        <w:top w:val="none" w:sz="0" w:space="0" w:color="auto"/>
        <w:left w:val="none" w:sz="0" w:space="0" w:color="auto"/>
        <w:bottom w:val="none" w:sz="0" w:space="0" w:color="auto"/>
        <w:right w:val="none" w:sz="0" w:space="0" w:color="auto"/>
      </w:divBdr>
      <w:divsChild>
        <w:div w:id="626158957">
          <w:marLeft w:val="1260"/>
          <w:marRight w:val="0"/>
          <w:marTop w:val="210"/>
          <w:marBottom w:val="210"/>
          <w:divBdr>
            <w:top w:val="none" w:sz="0" w:space="0" w:color="auto"/>
            <w:left w:val="none" w:sz="0" w:space="0" w:color="auto"/>
            <w:bottom w:val="none" w:sz="0" w:space="0" w:color="auto"/>
            <w:right w:val="none" w:sz="0" w:space="0" w:color="auto"/>
          </w:divBdr>
        </w:div>
        <w:div w:id="639729008">
          <w:marLeft w:val="1260"/>
          <w:marRight w:val="0"/>
          <w:marTop w:val="210"/>
          <w:marBottom w:val="210"/>
          <w:divBdr>
            <w:top w:val="none" w:sz="0" w:space="0" w:color="auto"/>
            <w:left w:val="none" w:sz="0" w:space="0" w:color="auto"/>
            <w:bottom w:val="none" w:sz="0" w:space="0" w:color="auto"/>
            <w:right w:val="none" w:sz="0" w:space="0" w:color="auto"/>
          </w:divBdr>
        </w:div>
        <w:div w:id="1147552196">
          <w:marLeft w:val="840"/>
          <w:marRight w:val="0"/>
          <w:marTop w:val="210"/>
          <w:marBottom w:val="210"/>
          <w:divBdr>
            <w:top w:val="none" w:sz="0" w:space="0" w:color="auto"/>
            <w:left w:val="none" w:sz="0" w:space="0" w:color="auto"/>
            <w:bottom w:val="none" w:sz="0" w:space="0" w:color="auto"/>
            <w:right w:val="none" w:sz="0" w:space="0" w:color="auto"/>
          </w:divBdr>
        </w:div>
        <w:div w:id="1341275214">
          <w:marLeft w:val="1260"/>
          <w:marRight w:val="0"/>
          <w:marTop w:val="210"/>
          <w:marBottom w:val="210"/>
          <w:divBdr>
            <w:top w:val="none" w:sz="0" w:space="0" w:color="auto"/>
            <w:left w:val="none" w:sz="0" w:space="0" w:color="auto"/>
            <w:bottom w:val="none" w:sz="0" w:space="0" w:color="auto"/>
            <w:right w:val="none" w:sz="0" w:space="0" w:color="auto"/>
          </w:divBdr>
        </w:div>
      </w:divsChild>
    </w:div>
    <w:div w:id="480586080">
      <w:bodyDiv w:val="1"/>
      <w:marLeft w:val="0"/>
      <w:marRight w:val="0"/>
      <w:marTop w:val="0"/>
      <w:marBottom w:val="0"/>
      <w:divBdr>
        <w:top w:val="none" w:sz="0" w:space="0" w:color="auto"/>
        <w:left w:val="none" w:sz="0" w:space="0" w:color="auto"/>
        <w:bottom w:val="none" w:sz="0" w:space="0" w:color="auto"/>
        <w:right w:val="none" w:sz="0" w:space="0" w:color="auto"/>
      </w:divBdr>
    </w:div>
    <w:div w:id="507404139">
      <w:bodyDiv w:val="1"/>
      <w:marLeft w:val="0"/>
      <w:marRight w:val="0"/>
      <w:marTop w:val="0"/>
      <w:marBottom w:val="0"/>
      <w:divBdr>
        <w:top w:val="none" w:sz="0" w:space="0" w:color="auto"/>
        <w:left w:val="none" w:sz="0" w:space="0" w:color="auto"/>
        <w:bottom w:val="none" w:sz="0" w:space="0" w:color="auto"/>
        <w:right w:val="none" w:sz="0" w:space="0" w:color="auto"/>
      </w:divBdr>
    </w:div>
    <w:div w:id="515196491">
      <w:bodyDiv w:val="1"/>
      <w:marLeft w:val="0"/>
      <w:marRight w:val="0"/>
      <w:marTop w:val="0"/>
      <w:marBottom w:val="0"/>
      <w:divBdr>
        <w:top w:val="none" w:sz="0" w:space="0" w:color="auto"/>
        <w:left w:val="none" w:sz="0" w:space="0" w:color="auto"/>
        <w:bottom w:val="none" w:sz="0" w:space="0" w:color="auto"/>
        <w:right w:val="none" w:sz="0" w:space="0" w:color="auto"/>
      </w:divBdr>
      <w:divsChild>
        <w:div w:id="1176073145">
          <w:marLeft w:val="240"/>
          <w:marRight w:val="0"/>
          <w:marTop w:val="60"/>
          <w:marBottom w:val="60"/>
          <w:divBdr>
            <w:top w:val="none" w:sz="0" w:space="0" w:color="auto"/>
            <w:left w:val="none" w:sz="0" w:space="0" w:color="auto"/>
            <w:bottom w:val="none" w:sz="0" w:space="0" w:color="auto"/>
            <w:right w:val="none" w:sz="0" w:space="0" w:color="auto"/>
          </w:divBdr>
          <w:divsChild>
            <w:div w:id="1968119638">
              <w:marLeft w:val="0"/>
              <w:marRight w:val="0"/>
              <w:marTop w:val="0"/>
              <w:marBottom w:val="0"/>
              <w:divBdr>
                <w:top w:val="none" w:sz="0" w:space="0" w:color="auto"/>
                <w:left w:val="none" w:sz="0" w:space="0" w:color="auto"/>
                <w:bottom w:val="none" w:sz="0" w:space="0" w:color="auto"/>
                <w:right w:val="none" w:sz="0" w:space="0" w:color="auto"/>
              </w:divBdr>
            </w:div>
          </w:divsChild>
        </w:div>
        <w:div w:id="2137942701">
          <w:marLeft w:val="240"/>
          <w:marRight w:val="0"/>
          <w:marTop w:val="60"/>
          <w:marBottom w:val="60"/>
          <w:divBdr>
            <w:top w:val="none" w:sz="0" w:space="0" w:color="auto"/>
            <w:left w:val="none" w:sz="0" w:space="0" w:color="auto"/>
            <w:bottom w:val="none" w:sz="0" w:space="0" w:color="auto"/>
            <w:right w:val="none" w:sz="0" w:space="0" w:color="auto"/>
          </w:divBdr>
          <w:divsChild>
            <w:div w:id="73238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23495">
      <w:bodyDiv w:val="1"/>
      <w:marLeft w:val="0"/>
      <w:marRight w:val="0"/>
      <w:marTop w:val="0"/>
      <w:marBottom w:val="0"/>
      <w:divBdr>
        <w:top w:val="none" w:sz="0" w:space="0" w:color="auto"/>
        <w:left w:val="none" w:sz="0" w:space="0" w:color="auto"/>
        <w:bottom w:val="none" w:sz="0" w:space="0" w:color="auto"/>
        <w:right w:val="none" w:sz="0" w:space="0" w:color="auto"/>
      </w:divBdr>
    </w:div>
    <w:div w:id="527791023">
      <w:bodyDiv w:val="1"/>
      <w:marLeft w:val="0"/>
      <w:marRight w:val="0"/>
      <w:marTop w:val="0"/>
      <w:marBottom w:val="0"/>
      <w:divBdr>
        <w:top w:val="none" w:sz="0" w:space="0" w:color="auto"/>
        <w:left w:val="none" w:sz="0" w:space="0" w:color="auto"/>
        <w:bottom w:val="none" w:sz="0" w:space="0" w:color="auto"/>
        <w:right w:val="none" w:sz="0" w:space="0" w:color="auto"/>
      </w:divBdr>
    </w:div>
    <w:div w:id="542836963">
      <w:bodyDiv w:val="1"/>
      <w:marLeft w:val="0"/>
      <w:marRight w:val="0"/>
      <w:marTop w:val="0"/>
      <w:marBottom w:val="0"/>
      <w:divBdr>
        <w:top w:val="none" w:sz="0" w:space="0" w:color="auto"/>
        <w:left w:val="none" w:sz="0" w:space="0" w:color="auto"/>
        <w:bottom w:val="none" w:sz="0" w:space="0" w:color="auto"/>
        <w:right w:val="none" w:sz="0" w:space="0" w:color="auto"/>
      </w:divBdr>
      <w:divsChild>
        <w:div w:id="717050433">
          <w:marLeft w:val="0"/>
          <w:marRight w:val="0"/>
          <w:marTop w:val="0"/>
          <w:marBottom w:val="0"/>
          <w:divBdr>
            <w:top w:val="none" w:sz="0" w:space="0" w:color="auto"/>
            <w:left w:val="none" w:sz="0" w:space="0" w:color="auto"/>
            <w:bottom w:val="none" w:sz="0" w:space="0" w:color="auto"/>
            <w:right w:val="none" w:sz="0" w:space="0" w:color="auto"/>
          </w:divBdr>
        </w:div>
      </w:divsChild>
    </w:div>
    <w:div w:id="555092084">
      <w:bodyDiv w:val="1"/>
      <w:marLeft w:val="0"/>
      <w:marRight w:val="0"/>
      <w:marTop w:val="0"/>
      <w:marBottom w:val="0"/>
      <w:divBdr>
        <w:top w:val="none" w:sz="0" w:space="0" w:color="auto"/>
        <w:left w:val="none" w:sz="0" w:space="0" w:color="auto"/>
        <w:bottom w:val="none" w:sz="0" w:space="0" w:color="auto"/>
        <w:right w:val="none" w:sz="0" w:space="0" w:color="auto"/>
      </w:divBdr>
    </w:div>
    <w:div w:id="607006554">
      <w:bodyDiv w:val="1"/>
      <w:marLeft w:val="0"/>
      <w:marRight w:val="0"/>
      <w:marTop w:val="0"/>
      <w:marBottom w:val="0"/>
      <w:divBdr>
        <w:top w:val="none" w:sz="0" w:space="0" w:color="auto"/>
        <w:left w:val="none" w:sz="0" w:space="0" w:color="auto"/>
        <w:bottom w:val="none" w:sz="0" w:space="0" w:color="auto"/>
        <w:right w:val="none" w:sz="0" w:space="0" w:color="auto"/>
      </w:divBdr>
    </w:div>
    <w:div w:id="609315311">
      <w:bodyDiv w:val="1"/>
      <w:marLeft w:val="0"/>
      <w:marRight w:val="0"/>
      <w:marTop w:val="0"/>
      <w:marBottom w:val="0"/>
      <w:divBdr>
        <w:top w:val="none" w:sz="0" w:space="0" w:color="auto"/>
        <w:left w:val="none" w:sz="0" w:space="0" w:color="auto"/>
        <w:bottom w:val="none" w:sz="0" w:space="0" w:color="auto"/>
        <w:right w:val="none" w:sz="0" w:space="0" w:color="auto"/>
      </w:divBdr>
    </w:div>
    <w:div w:id="618488197">
      <w:bodyDiv w:val="1"/>
      <w:marLeft w:val="0"/>
      <w:marRight w:val="0"/>
      <w:marTop w:val="0"/>
      <w:marBottom w:val="0"/>
      <w:divBdr>
        <w:top w:val="none" w:sz="0" w:space="0" w:color="auto"/>
        <w:left w:val="none" w:sz="0" w:space="0" w:color="auto"/>
        <w:bottom w:val="none" w:sz="0" w:space="0" w:color="auto"/>
        <w:right w:val="none" w:sz="0" w:space="0" w:color="auto"/>
      </w:divBdr>
      <w:divsChild>
        <w:div w:id="1646931600">
          <w:marLeft w:val="240"/>
          <w:marRight w:val="0"/>
          <w:marTop w:val="60"/>
          <w:marBottom w:val="60"/>
          <w:divBdr>
            <w:top w:val="none" w:sz="0" w:space="0" w:color="auto"/>
            <w:left w:val="none" w:sz="0" w:space="0" w:color="auto"/>
            <w:bottom w:val="none" w:sz="0" w:space="0" w:color="auto"/>
            <w:right w:val="none" w:sz="0" w:space="0" w:color="auto"/>
          </w:divBdr>
          <w:divsChild>
            <w:div w:id="1002783347">
              <w:marLeft w:val="0"/>
              <w:marRight w:val="0"/>
              <w:marTop w:val="0"/>
              <w:marBottom w:val="0"/>
              <w:divBdr>
                <w:top w:val="none" w:sz="0" w:space="0" w:color="auto"/>
                <w:left w:val="none" w:sz="0" w:space="0" w:color="auto"/>
                <w:bottom w:val="none" w:sz="0" w:space="0" w:color="auto"/>
                <w:right w:val="none" w:sz="0" w:space="0" w:color="auto"/>
              </w:divBdr>
            </w:div>
          </w:divsChild>
        </w:div>
        <w:div w:id="1760367171">
          <w:marLeft w:val="240"/>
          <w:marRight w:val="0"/>
          <w:marTop w:val="60"/>
          <w:marBottom w:val="60"/>
          <w:divBdr>
            <w:top w:val="none" w:sz="0" w:space="0" w:color="auto"/>
            <w:left w:val="none" w:sz="0" w:space="0" w:color="auto"/>
            <w:bottom w:val="none" w:sz="0" w:space="0" w:color="auto"/>
            <w:right w:val="none" w:sz="0" w:space="0" w:color="auto"/>
          </w:divBdr>
          <w:divsChild>
            <w:div w:id="73402581">
              <w:marLeft w:val="240"/>
              <w:marRight w:val="0"/>
              <w:marTop w:val="60"/>
              <w:marBottom w:val="60"/>
              <w:divBdr>
                <w:top w:val="none" w:sz="0" w:space="0" w:color="auto"/>
                <w:left w:val="none" w:sz="0" w:space="0" w:color="auto"/>
                <w:bottom w:val="none" w:sz="0" w:space="0" w:color="auto"/>
                <w:right w:val="none" w:sz="0" w:space="0" w:color="auto"/>
              </w:divBdr>
              <w:divsChild>
                <w:div w:id="1778477754">
                  <w:marLeft w:val="0"/>
                  <w:marRight w:val="0"/>
                  <w:marTop w:val="0"/>
                  <w:marBottom w:val="0"/>
                  <w:divBdr>
                    <w:top w:val="none" w:sz="0" w:space="0" w:color="auto"/>
                    <w:left w:val="none" w:sz="0" w:space="0" w:color="auto"/>
                    <w:bottom w:val="none" w:sz="0" w:space="0" w:color="auto"/>
                    <w:right w:val="none" w:sz="0" w:space="0" w:color="auto"/>
                  </w:divBdr>
                </w:div>
              </w:divsChild>
            </w:div>
            <w:div w:id="854537843">
              <w:marLeft w:val="240"/>
              <w:marRight w:val="0"/>
              <w:marTop w:val="60"/>
              <w:marBottom w:val="60"/>
              <w:divBdr>
                <w:top w:val="none" w:sz="0" w:space="0" w:color="auto"/>
                <w:left w:val="none" w:sz="0" w:space="0" w:color="auto"/>
                <w:bottom w:val="none" w:sz="0" w:space="0" w:color="auto"/>
                <w:right w:val="none" w:sz="0" w:space="0" w:color="auto"/>
              </w:divBdr>
              <w:divsChild>
                <w:div w:id="166169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71241">
      <w:bodyDiv w:val="1"/>
      <w:marLeft w:val="0"/>
      <w:marRight w:val="0"/>
      <w:marTop w:val="0"/>
      <w:marBottom w:val="0"/>
      <w:divBdr>
        <w:top w:val="none" w:sz="0" w:space="0" w:color="auto"/>
        <w:left w:val="none" w:sz="0" w:space="0" w:color="auto"/>
        <w:bottom w:val="none" w:sz="0" w:space="0" w:color="auto"/>
        <w:right w:val="none" w:sz="0" w:space="0" w:color="auto"/>
      </w:divBdr>
    </w:div>
    <w:div w:id="787966149">
      <w:bodyDiv w:val="1"/>
      <w:marLeft w:val="0"/>
      <w:marRight w:val="0"/>
      <w:marTop w:val="0"/>
      <w:marBottom w:val="0"/>
      <w:divBdr>
        <w:top w:val="none" w:sz="0" w:space="0" w:color="auto"/>
        <w:left w:val="none" w:sz="0" w:space="0" w:color="auto"/>
        <w:bottom w:val="none" w:sz="0" w:space="0" w:color="auto"/>
        <w:right w:val="none" w:sz="0" w:space="0" w:color="auto"/>
      </w:divBdr>
    </w:div>
    <w:div w:id="920258421">
      <w:bodyDiv w:val="1"/>
      <w:marLeft w:val="0"/>
      <w:marRight w:val="0"/>
      <w:marTop w:val="0"/>
      <w:marBottom w:val="0"/>
      <w:divBdr>
        <w:top w:val="none" w:sz="0" w:space="0" w:color="auto"/>
        <w:left w:val="none" w:sz="0" w:space="0" w:color="auto"/>
        <w:bottom w:val="none" w:sz="0" w:space="0" w:color="auto"/>
        <w:right w:val="none" w:sz="0" w:space="0" w:color="auto"/>
      </w:divBdr>
      <w:divsChild>
        <w:div w:id="2044015644">
          <w:marLeft w:val="720"/>
          <w:marRight w:val="576"/>
          <w:marTop w:val="120"/>
          <w:marBottom w:val="240"/>
          <w:divBdr>
            <w:top w:val="none" w:sz="0" w:space="0" w:color="auto"/>
            <w:left w:val="none" w:sz="0" w:space="0" w:color="auto"/>
            <w:bottom w:val="none" w:sz="0" w:space="0" w:color="auto"/>
            <w:right w:val="none" w:sz="0" w:space="0" w:color="auto"/>
          </w:divBdr>
        </w:div>
      </w:divsChild>
    </w:div>
    <w:div w:id="925043002">
      <w:bodyDiv w:val="1"/>
      <w:marLeft w:val="0"/>
      <w:marRight w:val="0"/>
      <w:marTop w:val="0"/>
      <w:marBottom w:val="0"/>
      <w:divBdr>
        <w:top w:val="none" w:sz="0" w:space="0" w:color="auto"/>
        <w:left w:val="none" w:sz="0" w:space="0" w:color="auto"/>
        <w:bottom w:val="none" w:sz="0" w:space="0" w:color="auto"/>
        <w:right w:val="none" w:sz="0" w:space="0" w:color="auto"/>
      </w:divBdr>
      <w:divsChild>
        <w:div w:id="173307546">
          <w:marLeft w:val="240"/>
          <w:marRight w:val="0"/>
          <w:marTop w:val="60"/>
          <w:marBottom w:val="60"/>
          <w:divBdr>
            <w:top w:val="none" w:sz="0" w:space="0" w:color="auto"/>
            <w:left w:val="none" w:sz="0" w:space="0" w:color="auto"/>
            <w:bottom w:val="none" w:sz="0" w:space="0" w:color="auto"/>
            <w:right w:val="none" w:sz="0" w:space="0" w:color="auto"/>
          </w:divBdr>
          <w:divsChild>
            <w:div w:id="501630904">
              <w:marLeft w:val="240"/>
              <w:marRight w:val="0"/>
              <w:marTop w:val="60"/>
              <w:marBottom w:val="60"/>
              <w:divBdr>
                <w:top w:val="none" w:sz="0" w:space="0" w:color="auto"/>
                <w:left w:val="none" w:sz="0" w:space="0" w:color="auto"/>
                <w:bottom w:val="none" w:sz="0" w:space="0" w:color="auto"/>
                <w:right w:val="none" w:sz="0" w:space="0" w:color="auto"/>
              </w:divBdr>
              <w:divsChild>
                <w:div w:id="1709376580">
                  <w:marLeft w:val="0"/>
                  <w:marRight w:val="0"/>
                  <w:marTop w:val="0"/>
                  <w:marBottom w:val="0"/>
                  <w:divBdr>
                    <w:top w:val="none" w:sz="0" w:space="0" w:color="auto"/>
                    <w:left w:val="none" w:sz="0" w:space="0" w:color="auto"/>
                    <w:bottom w:val="none" w:sz="0" w:space="0" w:color="auto"/>
                    <w:right w:val="none" w:sz="0" w:space="0" w:color="auto"/>
                  </w:divBdr>
                </w:div>
              </w:divsChild>
            </w:div>
            <w:div w:id="530873645">
              <w:marLeft w:val="240"/>
              <w:marRight w:val="0"/>
              <w:marTop w:val="60"/>
              <w:marBottom w:val="60"/>
              <w:divBdr>
                <w:top w:val="none" w:sz="0" w:space="0" w:color="auto"/>
                <w:left w:val="none" w:sz="0" w:space="0" w:color="auto"/>
                <w:bottom w:val="none" w:sz="0" w:space="0" w:color="auto"/>
                <w:right w:val="none" w:sz="0" w:space="0" w:color="auto"/>
              </w:divBdr>
              <w:divsChild>
                <w:div w:id="54972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84929">
          <w:marLeft w:val="416"/>
          <w:marRight w:val="0"/>
          <w:marTop w:val="0"/>
          <w:marBottom w:val="0"/>
          <w:divBdr>
            <w:top w:val="none" w:sz="0" w:space="0" w:color="auto"/>
            <w:left w:val="none" w:sz="0" w:space="0" w:color="auto"/>
            <w:bottom w:val="none" w:sz="0" w:space="0" w:color="auto"/>
            <w:right w:val="none" w:sz="0" w:space="0" w:color="auto"/>
          </w:divBdr>
        </w:div>
        <w:div w:id="1832869739">
          <w:marLeft w:val="240"/>
          <w:marRight w:val="0"/>
          <w:marTop w:val="60"/>
          <w:marBottom w:val="60"/>
          <w:divBdr>
            <w:top w:val="none" w:sz="0" w:space="0" w:color="auto"/>
            <w:left w:val="none" w:sz="0" w:space="0" w:color="auto"/>
            <w:bottom w:val="none" w:sz="0" w:space="0" w:color="auto"/>
            <w:right w:val="none" w:sz="0" w:space="0" w:color="auto"/>
          </w:divBdr>
          <w:divsChild>
            <w:div w:id="4075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91166">
      <w:bodyDiv w:val="1"/>
      <w:marLeft w:val="0"/>
      <w:marRight w:val="0"/>
      <w:marTop w:val="0"/>
      <w:marBottom w:val="0"/>
      <w:divBdr>
        <w:top w:val="none" w:sz="0" w:space="0" w:color="auto"/>
        <w:left w:val="none" w:sz="0" w:space="0" w:color="auto"/>
        <w:bottom w:val="none" w:sz="0" w:space="0" w:color="auto"/>
        <w:right w:val="none" w:sz="0" w:space="0" w:color="auto"/>
      </w:divBdr>
      <w:divsChild>
        <w:div w:id="247617944">
          <w:marLeft w:val="240"/>
          <w:marRight w:val="0"/>
          <w:marTop w:val="60"/>
          <w:marBottom w:val="60"/>
          <w:divBdr>
            <w:top w:val="none" w:sz="0" w:space="0" w:color="auto"/>
            <w:left w:val="none" w:sz="0" w:space="0" w:color="auto"/>
            <w:bottom w:val="none" w:sz="0" w:space="0" w:color="auto"/>
            <w:right w:val="none" w:sz="0" w:space="0" w:color="auto"/>
          </w:divBdr>
          <w:divsChild>
            <w:div w:id="1443724290">
              <w:marLeft w:val="240"/>
              <w:marRight w:val="0"/>
              <w:marTop w:val="60"/>
              <w:marBottom w:val="60"/>
              <w:divBdr>
                <w:top w:val="none" w:sz="0" w:space="0" w:color="auto"/>
                <w:left w:val="none" w:sz="0" w:space="0" w:color="auto"/>
                <w:bottom w:val="none" w:sz="0" w:space="0" w:color="auto"/>
                <w:right w:val="none" w:sz="0" w:space="0" w:color="auto"/>
              </w:divBdr>
              <w:divsChild>
                <w:div w:id="1179932016">
                  <w:marLeft w:val="0"/>
                  <w:marRight w:val="0"/>
                  <w:marTop w:val="0"/>
                  <w:marBottom w:val="0"/>
                  <w:divBdr>
                    <w:top w:val="none" w:sz="0" w:space="0" w:color="auto"/>
                    <w:left w:val="none" w:sz="0" w:space="0" w:color="auto"/>
                    <w:bottom w:val="none" w:sz="0" w:space="0" w:color="auto"/>
                    <w:right w:val="none" w:sz="0" w:space="0" w:color="auto"/>
                  </w:divBdr>
                </w:div>
              </w:divsChild>
            </w:div>
            <w:div w:id="1619067197">
              <w:marLeft w:val="240"/>
              <w:marRight w:val="0"/>
              <w:marTop w:val="60"/>
              <w:marBottom w:val="60"/>
              <w:divBdr>
                <w:top w:val="none" w:sz="0" w:space="0" w:color="auto"/>
                <w:left w:val="none" w:sz="0" w:space="0" w:color="auto"/>
                <w:bottom w:val="none" w:sz="0" w:space="0" w:color="auto"/>
                <w:right w:val="none" w:sz="0" w:space="0" w:color="auto"/>
              </w:divBdr>
              <w:divsChild>
                <w:div w:id="16917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03982">
          <w:marLeft w:val="240"/>
          <w:marRight w:val="0"/>
          <w:marTop w:val="60"/>
          <w:marBottom w:val="60"/>
          <w:divBdr>
            <w:top w:val="none" w:sz="0" w:space="0" w:color="auto"/>
            <w:left w:val="none" w:sz="0" w:space="0" w:color="auto"/>
            <w:bottom w:val="none" w:sz="0" w:space="0" w:color="auto"/>
            <w:right w:val="none" w:sz="0" w:space="0" w:color="auto"/>
          </w:divBdr>
          <w:divsChild>
            <w:div w:id="974213520">
              <w:marLeft w:val="0"/>
              <w:marRight w:val="0"/>
              <w:marTop w:val="0"/>
              <w:marBottom w:val="0"/>
              <w:divBdr>
                <w:top w:val="none" w:sz="0" w:space="0" w:color="auto"/>
                <w:left w:val="none" w:sz="0" w:space="0" w:color="auto"/>
                <w:bottom w:val="none" w:sz="0" w:space="0" w:color="auto"/>
                <w:right w:val="none" w:sz="0" w:space="0" w:color="auto"/>
              </w:divBdr>
            </w:div>
          </w:divsChild>
        </w:div>
        <w:div w:id="1751925392">
          <w:marLeft w:val="416"/>
          <w:marRight w:val="0"/>
          <w:marTop w:val="0"/>
          <w:marBottom w:val="0"/>
          <w:divBdr>
            <w:top w:val="none" w:sz="0" w:space="0" w:color="auto"/>
            <w:left w:val="none" w:sz="0" w:space="0" w:color="auto"/>
            <w:bottom w:val="none" w:sz="0" w:space="0" w:color="auto"/>
            <w:right w:val="none" w:sz="0" w:space="0" w:color="auto"/>
          </w:divBdr>
        </w:div>
      </w:divsChild>
    </w:div>
    <w:div w:id="1084491075">
      <w:bodyDiv w:val="1"/>
      <w:marLeft w:val="0"/>
      <w:marRight w:val="0"/>
      <w:marTop w:val="0"/>
      <w:marBottom w:val="0"/>
      <w:divBdr>
        <w:top w:val="none" w:sz="0" w:space="0" w:color="auto"/>
        <w:left w:val="none" w:sz="0" w:space="0" w:color="auto"/>
        <w:bottom w:val="none" w:sz="0" w:space="0" w:color="auto"/>
        <w:right w:val="none" w:sz="0" w:space="0" w:color="auto"/>
      </w:divBdr>
    </w:div>
    <w:div w:id="1144813908">
      <w:bodyDiv w:val="1"/>
      <w:marLeft w:val="0"/>
      <w:marRight w:val="0"/>
      <w:marTop w:val="0"/>
      <w:marBottom w:val="0"/>
      <w:divBdr>
        <w:top w:val="none" w:sz="0" w:space="0" w:color="auto"/>
        <w:left w:val="none" w:sz="0" w:space="0" w:color="auto"/>
        <w:bottom w:val="none" w:sz="0" w:space="0" w:color="auto"/>
        <w:right w:val="none" w:sz="0" w:space="0" w:color="auto"/>
      </w:divBdr>
    </w:div>
    <w:div w:id="1220240926">
      <w:bodyDiv w:val="1"/>
      <w:marLeft w:val="0"/>
      <w:marRight w:val="0"/>
      <w:marTop w:val="0"/>
      <w:marBottom w:val="0"/>
      <w:divBdr>
        <w:top w:val="none" w:sz="0" w:space="0" w:color="auto"/>
        <w:left w:val="none" w:sz="0" w:space="0" w:color="auto"/>
        <w:bottom w:val="none" w:sz="0" w:space="0" w:color="auto"/>
        <w:right w:val="none" w:sz="0" w:space="0" w:color="auto"/>
      </w:divBdr>
    </w:div>
    <w:div w:id="1230116241">
      <w:bodyDiv w:val="1"/>
      <w:marLeft w:val="0"/>
      <w:marRight w:val="0"/>
      <w:marTop w:val="0"/>
      <w:marBottom w:val="0"/>
      <w:divBdr>
        <w:top w:val="none" w:sz="0" w:space="0" w:color="auto"/>
        <w:left w:val="none" w:sz="0" w:space="0" w:color="auto"/>
        <w:bottom w:val="none" w:sz="0" w:space="0" w:color="auto"/>
        <w:right w:val="none" w:sz="0" w:space="0" w:color="auto"/>
      </w:divBdr>
    </w:div>
    <w:div w:id="1261914661">
      <w:bodyDiv w:val="1"/>
      <w:marLeft w:val="0"/>
      <w:marRight w:val="0"/>
      <w:marTop w:val="0"/>
      <w:marBottom w:val="0"/>
      <w:divBdr>
        <w:top w:val="none" w:sz="0" w:space="0" w:color="auto"/>
        <w:left w:val="none" w:sz="0" w:space="0" w:color="auto"/>
        <w:bottom w:val="none" w:sz="0" w:space="0" w:color="auto"/>
        <w:right w:val="none" w:sz="0" w:space="0" w:color="auto"/>
      </w:divBdr>
      <w:divsChild>
        <w:div w:id="27266037">
          <w:marLeft w:val="0"/>
          <w:marRight w:val="0"/>
          <w:marTop w:val="0"/>
          <w:marBottom w:val="150"/>
          <w:divBdr>
            <w:top w:val="single" w:sz="6" w:space="5" w:color="DDDDDD"/>
            <w:left w:val="single" w:sz="6" w:space="5" w:color="DDDDDD"/>
            <w:bottom w:val="single" w:sz="6" w:space="5" w:color="DDDDDD"/>
            <w:right w:val="single" w:sz="6" w:space="5" w:color="DDDDDD"/>
          </w:divBdr>
          <w:divsChild>
            <w:div w:id="124395642">
              <w:marLeft w:val="0"/>
              <w:marRight w:val="0"/>
              <w:marTop w:val="0"/>
              <w:marBottom w:val="0"/>
              <w:divBdr>
                <w:top w:val="none" w:sz="0" w:space="0" w:color="auto"/>
                <w:left w:val="none" w:sz="0" w:space="0" w:color="auto"/>
                <w:bottom w:val="none" w:sz="0" w:space="0" w:color="auto"/>
                <w:right w:val="none" w:sz="0" w:space="0" w:color="auto"/>
              </w:divBdr>
              <w:divsChild>
                <w:div w:id="1623027283">
                  <w:marLeft w:val="0"/>
                  <w:marRight w:val="0"/>
                  <w:marTop w:val="0"/>
                  <w:marBottom w:val="0"/>
                  <w:divBdr>
                    <w:top w:val="none" w:sz="0" w:space="0" w:color="auto"/>
                    <w:left w:val="none" w:sz="0" w:space="0" w:color="auto"/>
                    <w:bottom w:val="none" w:sz="0" w:space="0" w:color="auto"/>
                    <w:right w:val="none" w:sz="0" w:space="0" w:color="auto"/>
                  </w:divBdr>
                </w:div>
                <w:div w:id="184077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562484">
      <w:bodyDiv w:val="1"/>
      <w:marLeft w:val="0"/>
      <w:marRight w:val="0"/>
      <w:marTop w:val="0"/>
      <w:marBottom w:val="0"/>
      <w:divBdr>
        <w:top w:val="none" w:sz="0" w:space="0" w:color="auto"/>
        <w:left w:val="none" w:sz="0" w:space="0" w:color="auto"/>
        <w:bottom w:val="none" w:sz="0" w:space="0" w:color="auto"/>
        <w:right w:val="none" w:sz="0" w:space="0" w:color="auto"/>
      </w:divBdr>
      <w:divsChild>
        <w:div w:id="679628300">
          <w:marLeft w:val="0"/>
          <w:marRight w:val="0"/>
          <w:marTop w:val="210"/>
          <w:marBottom w:val="210"/>
          <w:divBdr>
            <w:top w:val="none" w:sz="0" w:space="0" w:color="auto"/>
            <w:left w:val="none" w:sz="0" w:space="0" w:color="auto"/>
            <w:bottom w:val="none" w:sz="0" w:space="0" w:color="auto"/>
            <w:right w:val="none" w:sz="0" w:space="0" w:color="auto"/>
          </w:divBdr>
          <w:divsChild>
            <w:div w:id="8799481">
              <w:marLeft w:val="0"/>
              <w:marRight w:val="0"/>
              <w:marTop w:val="210"/>
              <w:marBottom w:val="210"/>
              <w:divBdr>
                <w:top w:val="none" w:sz="0" w:space="0" w:color="auto"/>
                <w:left w:val="none" w:sz="0" w:space="0" w:color="auto"/>
                <w:bottom w:val="none" w:sz="0" w:space="0" w:color="auto"/>
                <w:right w:val="none" w:sz="0" w:space="0" w:color="auto"/>
              </w:divBdr>
              <w:divsChild>
                <w:div w:id="362706091">
                  <w:marLeft w:val="0"/>
                  <w:marRight w:val="0"/>
                  <w:marTop w:val="210"/>
                  <w:marBottom w:val="210"/>
                  <w:divBdr>
                    <w:top w:val="none" w:sz="0" w:space="0" w:color="auto"/>
                    <w:left w:val="none" w:sz="0" w:space="0" w:color="auto"/>
                    <w:bottom w:val="none" w:sz="0" w:space="0" w:color="auto"/>
                    <w:right w:val="none" w:sz="0" w:space="0" w:color="auto"/>
                  </w:divBdr>
                  <w:divsChild>
                    <w:div w:id="1808887606">
                      <w:marLeft w:val="0"/>
                      <w:marRight w:val="0"/>
                      <w:marTop w:val="210"/>
                      <w:marBottom w:val="210"/>
                      <w:divBdr>
                        <w:top w:val="none" w:sz="0" w:space="0" w:color="auto"/>
                        <w:left w:val="none" w:sz="0" w:space="0" w:color="auto"/>
                        <w:bottom w:val="none" w:sz="0" w:space="0" w:color="auto"/>
                        <w:right w:val="none" w:sz="0" w:space="0" w:color="auto"/>
                      </w:divBdr>
                    </w:div>
                  </w:divsChild>
                </w:div>
                <w:div w:id="934097796">
                  <w:marLeft w:val="0"/>
                  <w:marRight w:val="0"/>
                  <w:marTop w:val="210"/>
                  <w:marBottom w:val="210"/>
                  <w:divBdr>
                    <w:top w:val="none" w:sz="0" w:space="0" w:color="auto"/>
                    <w:left w:val="none" w:sz="0" w:space="0" w:color="auto"/>
                    <w:bottom w:val="none" w:sz="0" w:space="0" w:color="auto"/>
                    <w:right w:val="none" w:sz="0" w:space="0" w:color="auto"/>
                  </w:divBdr>
                  <w:divsChild>
                    <w:div w:id="1840848422">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 w:id="1313759021">
      <w:bodyDiv w:val="1"/>
      <w:marLeft w:val="0"/>
      <w:marRight w:val="0"/>
      <w:marTop w:val="0"/>
      <w:marBottom w:val="0"/>
      <w:divBdr>
        <w:top w:val="none" w:sz="0" w:space="0" w:color="auto"/>
        <w:left w:val="none" w:sz="0" w:space="0" w:color="auto"/>
        <w:bottom w:val="none" w:sz="0" w:space="0" w:color="auto"/>
        <w:right w:val="none" w:sz="0" w:space="0" w:color="auto"/>
      </w:divBdr>
      <w:divsChild>
        <w:div w:id="251165905">
          <w:marLeft w:val="0"/>
          <w:marRight w:val="0"/>
          <w:marTop w:val="210"/>
          <w:marBottom w:val="210"/>
          <w:divBdr>
            <w:top w:val="none" w:sz="0" w:space="0" w:color="auto"/>
            <w:left w:val="none" w:sz="0" w:space="0" w:color="auto"/>
            <w:bottom w:val="none" w:sz="0" w:space="0" w:color="auto"/>
            <w:right w:val="none" w:sz="0" w:space="0" w:color="auto"/>
          </w:divBdr>
          <w:divsChild>
            <w:div w:id="885142145">
              <w:marLeft w:val="0"/>
              <w:marRight w:val="0"/>
              <w:marTop w:val="210"/>
              <w:marBottom w:val="210"/>
              <w:divBdr>
                <w:top w:val="none" w:sz="0" w:space="0" w:color="auto"/>
                <w:left w:val="none" w:sz="0" w:space="0" w:color="auto"/>
                <w:bottom w:val="none" w:sz="0" w:space="0" w:color="auto"/>
                <w:right w:val="none" w:sz="0" w:space="0" w:color="auto"/>
              </w:divBdr>
              <w:divsChild>
                <w:div w:id="1498301690">
                  <w:marLeft w:val="900"/>
                  <w:marRight w:val="1350"/>
                  <w:marTop w:val="150"/>
                  <w:marBottom w:val="150"/>
                  <w:divBdr>
                    <w:top w:val="dotted" w:sz="6" w:space="1" w:color="BBBBBB"/>
                    <w:left w:val="none" w:sz="0" w:space="0" w:color="BBBBBB"/>
                    <w:bottom w:val="dotted" w:sz="6" w:space="1" w:color="BBBBBB"/>
                    <w:right w:val="none" w:sz="0" w:space="0" w:color="BBBBBB"/>
                  </w:divBdr>
                  <w:divsChild>
                    <w:div w:id="1749156916">
                      <w:marLeft w:val="360"/>
                      <w:marRight w:val="0"/>
                      <w:marTop w:val="45"/>
                      <w:marBottom w:val="45"/>
                      <w:divBdr>
                        <w:top w:val="none" w:sz="0" w:space="0" w:color="auto"/>
                        <w:left w:val="none" w:sz="0" w:space="0" w:color="auto"/>
                        <w:bottom w:val="none" w:sz="0" w:space="0" w:color="auto"/>
                        <w:right w:val="none" w:sz="0" w:space="0" w:color="auto"/>
                      </w:divBdr>
                    </w:div>
                    <w:div w:id="2133938167">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1590192568">
          <w:marLeft w:val="0"/>
          <w:marRight w:val="0"/>
          <w:marTop w:val="210"/>
          <w:marBottom w:val="210"/>
          <w:divBdr>
            <w:top w:val="none" w:sz="0" w:space="0" w:color="auto"/>
            <w:left w:val="none" w:sz="0" w:space="0" w:color="auto"/>
            <w:bottom w:val="none" w:sz="0" w:space="0" w:color="auto"/>
            <w:right w:val="none" w:sz="0" w:space="0" w:color="auto"/>
          </w:divBdr>
          <w:divsChild>
            <w:div w:id="1118597918">
              <w:marLeft w:val="0"/>
              <w:marRight w:val="0"/>
              <w:marTop w:val="210"/>
              <w:marBottom w:val="210"/>
              <w:divBdr>
                <w:top w:val="none" w:sz="0" w:space="0" w:color="auto"/>
                <w:left w:val="none" w:sz="0" w:space="0" w:color="auto"/>
                <w:bottom w:val="none" w:sz="0" w:space="0" w:color="auto"/>
                <w:right w:val="none" w:sz="0" w:space="0" w:color="auto"/>
              </w:divBdr>
            </w:div>
          </w:divsChild>
        </w:div>
        <w:div w:id="1924945404">
          <w:marLeft w:val="0"/>
          <w:marRight w:val="0"/>
          <w:marTop w:val="210"/>
          <w:marBottom w:val="210"/>
          <w:divBdr>
            <w:top w:val="none" w:sz="0" w:space="0" w:color="auto"/>
            <w:left w:val="none" w:sz="0" w:space="0" w:color="auto"/>
            <w:bottom w:val="none" w:sz="0" w:space="0" w:color="auto"/>
            <w:right w:val="none" w:sz="0" w:space="0" w:color="auto"/>
          </w:divBdr>
          <w:divsChild>
            <w:div w:id="269048581">
              <w:marLeft w:val="0"/>
              <w:marRight w:val="0"/>
              <w:marTop w:val="210"/>
              <w:marBottom w:val="210"/>
              <w:divBdr>
                <w:top w:val="none" w:sz="0" w:space="0" w:color="auto"/>
                <w:left w:val="none" w:sz="0" w:space="0" w:color="auto"/>
                <w:bottom w:val="none" w:sz="0" w:space="0" w:color="auto"/>
                <w:right w:val="none" w:sz="0" w:space="0" w:color="auto"/>
              </w:divBdr>
              <w:divsChild>
                <w:div w:id="1488936797">
                  <w:marLeft w:val="900"/>
                  <w:marRight w:val="1350"/>
                  <w:marTop w:val="150"/>
                  <w:marBottom w:val="150"/>
                  <w:divBdr>
                    <w:top w:val="dotted" w:sz="6" w:space="1" w:color="BBBBBB"/>
                    <w:left w:val="none" w:sz="0" w:space="0" w:color="BBBBBB"/>
                    <w:bottom w:val="dotted" w:sz="6" w:space="1" w:color="BBBBBB"/>
                    <w:right w:val="none" w:sz="0" w:space="0" w:color="BBBBBB"/>
                  </w:divBdr>
                  <w:divsChild>
                    <w:div w:id="932128960">
                      <w:marLeft w:val="360"/>
                      <w:marRight w:val="0"/>
                      <w:marTop w:val="45"/>
                      <w:marBottom w:val="45"/>
                      <w:divBdr>
                        <w:top w:val="none" w:sz="0" w:space="0" w:color="auto"/>
                        <w:left w:val="none" w:sz="0" w:space="0" w:color="auto"/>
                        <w:bottom w:val="none" w:sz="0" w:space="0" w:color="auto"/>
                        <w:right w:val="none" w:sz="0" w:space="0" w:color="auto"/>
                      </w:divBdr>
                    </w:div>
                    <w:div w:id="2085450875">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 w:id="1315452933">
      <w:bodyDiv w:val="1"/>
      <w:marLeft w:val="0"/>
      <w:marRight w:val="0"/>
      <w:marTop w:val="0"/>
      <w:marBottom w:val="0"/>
      <w:divBdr>
        <w:top w:val="none" w:sz="0" w:space="0" w:color="auto"/>
        <w:left w:val="none" w:sz="0" w:space="0" w:color="auto"/>
        <w:bottom w:val="none" w:sz="0" w:space="0" w:color="auto"/>
        <w:right w:val="none" w:sz="0" w:space="0" w:color="auto"/>
      </w:divBdr>
    </w:div>
    <w:div w:id="1354650884">
      <w:bodyDiv w:val="1"/>
      <w:marLeft w:val="0"/>
      <w:marRight w:val="0"/>
      <w:marTop w:val="0"/>
      <w:marBottom w:val="0"/>
      <w:divBdr>
        <w:top w:val="none" w:sz="0" w:space="0" w:color="auto"/>
        <w:left w:val="none" w:sz="0" w:space="0" w:color="auto"/>
        <w:bottom w:val="none" w:sz="0" w:space="0" w:color="auto"/>
        <w:right w:val="none" w:sz="0" w:space="0" w:color="auto"/>
      </w:divBdr>
      <w:divsChild>
        <w:div w:id="456416842">
          <w:marLeft w:val="240"/>
          <w:marRight w:val="0"/>
          <w:marTop w:val="60"/>
          <w:marBottom w:val="60"/>
          <w:divBdr>
            <w:top w:val="none" w:sz="0" w:space="0" w:color="auto"/>
            <w:left w:val="none" w:sz="0" w:space="0" w:color="auto"/>
            <w:bottom w:val="none" w:sz="0" w:space="0" w:color="auto"/>
            <w:right w:val="none" w:sz="0" w:space="0" w:color="auto"/>
          </w:divBdr>
        </w:div>
        <w:div w:id="1058095426">
          <w:marLeft w:val="240"/>
          <w:marRight w:val="0"/>
          <w:marTop w:val="60"/>
          <w:marBottom w:val="60"/>
          <w:divBdr>
            <w:top w:val="none" w:sz="0" w:space="0" w:color="auto"/>
            <w:left w:val="none" w:sz="0" w:space="0" w:color="auto"/>
            <w:bottom w:val="none" w:sz="0" w:space="0" w:color="auto"/>
            <w:right w:val="none" w:sz="0" w:space="0" w:color="auto"/>
          </w:divBdr>
          <w:divsChild>
            <w:div w:id="224529504">
              <w:marLeft w:val="240"/>
              <w:marRight w:val="0"/>
              <w:marTop w:val="60"/>
              <w:marBottom w:val="60"/>
              <w:divBdr>
                <w:top w:val="none" w:sz="0" w:space="0" w:color="auto"/>
                <w:left w:val="none" w:sz="0" w:space="0" w:color="auto"/>
                <w:bottom w:val="none" w:sz="0" w:space="0" w:color="auto"/>
                <w:right w:val="none" w:sz="0" w:space="0" w:color="auto"/>
              </w:divBdr>
              <w:divsChild>
                <w:div w:id="1642343998">
                  <w:marLeft w:val="0"/>
                  <w:marRight w:val="0"/>
                  <w:marTop w:val="0"/>
                  <w:marBottom w:val="0"/>
                  <w:divBdr>
                    <w:top w:val="none" w:sz="0" w:space="0" w:color="auto"/>
                    <w:left w:val="none" w:sz="0" w:space="0" w:color="auto"/>
                    <w:bottom w:val="none" w:sz="0" w:space="0" w:color="auto"/>
                    <w:right w:val="none" w:sz="0" w:space="0" w:color="auto"/>
                  </w:divBdr>
                </w:div>
              </w:divsChild>
            </w:div>
            <w:div w:id="252207814">
              <w:marLeft w:val="240"/>
              <w:marRight w:val="0"/>
              <w:marTop w:val="60"/>
              <w:marBottom w:val="60"/>
              <w:divBdr>
                <w:top w:val="none" w:sz="0" w:space="0" w:color="auto"/>
                <w:left w:val="none" w:sz="0" w:space="0" w:color="auto"/>
                <w:bottom w:val="none" w:sz="0" w:space="0" w:color="auto"/>
                <w:right w:val="none" w:sz="0" w:space="0" w:color="auto"/>
              </w:divBdr>
              <w:divsChild>
                <w:div w:id="2038921001">
                  <w:marLeft w:val="0"/>
                  <w:marRight w:val="0"/>
                  <w:marTop w:val="0"/>
                  <w:marBottom w:val="0"/>
                  <w:divBdr>
                    <w:top w:val="none" w:sz="0" w:space="0" w:color="auto"/>
                    <w:left w:val="none" w:sz="0" w:space="0" w:color="auto"/>
                    <w:bottom w:val="none" w:sz="0" w:space="0" w:color="auto"/>
                    <w:right w:val="none" w:sz="0" w:space="0" w:color="auto"/>
                  </w:divBdr>
                </w:div>
              </w:divsChild>
            </w:div>
            <w:div w:id="757992202">
              <w:marLeft w:val="240"/>
              <w:marRight w:val="0"/>
              <w:marTop w:val="60"/>
              <w:marBottom w:val="60"/>
              <w:divBdr>
                <w:top w:val="none" w:sz="0" w:space="0" w:color="auto"/>
                <w:left w:val="none" w:sz="0" w:space="0" w:color="auto"/>
                <w:bottom w:val="none" w:sz="0" w:space="0" w:color="auto"/>
                <w:right w:val="none" w:sz="0" w:space="0" w:color="auto"/>
              </w:divBdr>
              <w:divsChild>
                <w:div w:id="1622300662">
                  <w:marLeft w:val="0"/>
                  <w:marRight w:val="0"/>
                  <w:marTop w:val="0"/>
                  <w:marBottom w:val="0"/>
                  <w:divBdr>
                    <w:top w:val="none" w:sz="0" w:space="0" w:color="auto"/>
                    <w:left w:val="none" w:sz="0" w:space="0" w:color="auto"/>
                    <w:bottom w:val="none" w:sz="0" w:space="0" w:color="auto"/>
                    <w:right w:val="none" w:sz="0" w:space="0" w:color="auto"/>
                  </w:divBdr>
                </w:div>
              </w:divsChild>
            </w:div>
            <w:div w:id="872184683">
              <w:marLeft w:val="240"/>
              <w:marRight w:val="0"/>
              <w:marTop w:val="60"/>
              <w:marBottom w:val="60"/>
              <w:divBdr>
                <w:top w:val="none" w:sz="0" w:space="0" w:color="auto"/>
                <w:left w:val="none" w:sz="0" w:space="0" w:color="auto"/>
                <w:bottom w:val="none" w:sz="0" w:space="0" w:color="auto"/>
                <w:right w:val="none" w:sz="0" w:space="0" w:color="auto"/>
              </w:divBdr>
              <w:divsChild>
                <w:div w:id="469174637">
                  <w:marLeft w:val="0"/>
                  <w:marRight w:val="0"/>
                  <w:marTop w:val="0"/>
                  <w:marBottom w:val="0"/>
                  <w:divBdr>
                    <w:top w:val="none" w:sz="0" w:space="0" w:color="auto"/>
                    <w:left w:val="none" w:sz="0" w:space="0" w:color="auto"/>
                    <w:bottom w:val="none" w:sz="0" w:space="0" w:color="auto"/>
                    <w:right w:val="none" w:sz="0" w:space="0" w:color="auto"/>
                  </w:divBdr>
                </w:div>
              </w:divsChild>
            </w:div>
            <w:div w:id="1138916070">
              <w:marLeft w:val="240"/>
              <w:marRight w:val="0"/>
              <w:marTop w:val="60"/>
              <w:marBottom w:val="60"/>
              <w:divBdr>
                <w:top w:val="none" w:sz="0" w:space="0" w:color="auto"/>
                <w:left w:val="none" w:sz="0" w:space="0" w:color="auto"/>
                <w:bottom w:val="none" w:sz="0" w:space="0" w:color="auto"/>
                <w:right w:val="none" w:sz="0" w:space="0" w:color="auto"/>
              </w:divBdr>
              <w:divsChild>
                <w:div w:id="1571425433">
                  <w:marLeft w:val="0"/>
                  <w:marRight w:val="0"/>
                  <w:marTop w:val="0"/>
                  <w:marBottom w:val="0"/>
                  <w:divBdr>
                    <w:top w:val="none" w:sz="0" w:space="0" w:color="auto"/>
                    <w:left w:val="none" w:sz="0" w:space="0" w:color="auto"/>
                    <w:bottom w:val="none" w:sz="0" w:space="0" w:color="auto"/>
                    <w:right w:val="none" w:sz="0" w:space="0" w:color="auto"/>
                  </w:divBdr>
                </w:div>
              </w:divsChild>
            </w:div>
            <w:div w:id="1333920929">
              <w:marLeft w:val="240"/>
              <w:marRight w:val="0"/>
              <w:marTop w:val="60"/>
              <w:marBottom w:val="60"/>
              <w:divBdr>
                <w:top w:val="none" w:sz="0" w:space="0" w:color="auto"/>
                <w:left w:val="none" w:sz="0" w:space="0" w:color="auto"/>
                <w:bottom w:val="none" w:sz="0" w:space="0" w:color="auto"/>
                <w:right w:val="none" w:sz="0" w:space="0" w:color="auto"/>
              </w:divBdr>
              <w:divsChild>
                <w:div w:id="550382437">
                  <w:marLeft w:val="0"/>
                  <w:marRight w:val="0"/>
                  <w:marTop w:val="0"/>
                  <w:marBottom w:val="0"/>
                  <w:divBdr>
                    <w:top w:val="none" w:sz="0" w:space="0" w:color="auto"/>
                    <w:left w:val="none" w:sz="0" w:space="0" w:color="auto"/>
                    <w:bottom w:val="none" w:sz="0" w:space="0" w:color="auto"/>
                    <w:right w:val="none" w:sz="0" w:space="0" w:color="auto"/>
                  </w:divBdr>
                </w:div>
              </w:divsChild>
            </w:div>
            <w:div w:id="1413161984">
              <w:marLeft w:val="240"/>
              <w:marRight w:val="0"/>
              <w:marTop w:val="60"/>
              <w:marBottom w:val="60"/>
              <w:divBdr>
                <w:top w:val="none" w:sz="0" w:space="0" w:color="auto"/>
                <w:left w:val="none" w:sz="0" w:space="0" w:color="auto"/>
                <w:bottom w:val="none" w:sz="0" w:space="0" w:color="auto"/>
                <w:right w:val="none" w:sz="0" w:space="0" w:color="auto"/>
              </w:divBdr>
              <w:divsChild>
                <w:div w:id="1274706634">
                  <w:marLeft w:val="0"/>
                  <w:marRight w:val="0"/>
                  <w:marTop w:val="0"/>
                  <w:marBottom w:val="0"/>
                  <w:divBdr>
                    <w:top w:val="none" w:sz="0" w:space="0" w:color="auto"/>
                    <w:left w:val="none" w:sz="0" w:space="0" w:color="auto"/>
                    <w:bottom w:val="none" w:sz="0" w:space="0" w:color="auto"/>
                    <w:right w:val="none" w:sz="0" w:space="0" w:color="auto"/>
                  </w:divBdr>
                </w:div>
              </w:divsChild>
            </w:div>
            <w:div w:id="1726030275">
              <w:marLeft w:val="462"/>
              <w:marRight w:val="0"/>
              <w:marTop w:val="0"/>
              <w:marBottom w:val="0"/>
              <w:divBdr>
                <w:top w:val="none" w:sz="0" w:space="0" w:color="auto"/>
                <w:left w:val="none" w:sz="0" w:space="0" w:color="auto"/>
                <w:bottom w:val="none" w:sz="0" w:space="0" w:color="auto"/>
                <w:right w:val="none" w:sz="0" w:space="0" w:color="auto"/>
              </w:divBdr>
            </w:div>
          </w:divsChild>
        </w:div>
      </w:divsChild>
    </w:div>
    <w:div w:id="1398435053">
      <w:bodyDiv w:val="1"/>
      <w:marLeft w:val="0"/>
      <w:marRight w:val="0"/>
      <w:marTop w:val="0"/>
      <w:marBottom w:val="0"/>
      <w:divBdr>
        <w:top w:val="none" w:sz="0" w:space="0" w:color="auto"/>
        <w:left w:val="none" w:sz="0" w:space="0" w:color="auto"/>
        <w:bottom w:val="none" w:sz="0" w:space="0" w:color="auto"/>
        <w:right w:val="none" w:sz="0" w:space="0" w:color="auto"/>
      </w:divBdr>
      <w:divsChild>
        <w:div w:id="666985382">
          <w:marLeft w:val="0"/>
          <w:marRight w:val="0"/>
          <w:marTop w:val="210"/>
          <w:marBottom w:val="210"/>
          <w:divBdr>
            <w:top w:val="none" w:sz="0" w:space="0" w:color="auto"/>
            <w:left w:val="none" w:sz="0" w:space="0" w:color="auto"/>
            <w:bottom w:val="none" w:sz="0" w:space="0" w:color="auto"/>
            <w:right w:val="none" w:sz="0" w:space="0" w:color="auto"/>
          </w:divBdr>
        </w:div>
        <w:div w:id="2043699642">
          <w:marLeft w:val="420"/>
          <w:marRight w:val="0"/>
          <w:marTop w:val="210"/>
          <w:marBottom w:val="210"/>
          <w:divBdr>
            <w:top w:val="none" w:sz="0" w:space="0" w:color="auto"/>
            <w:left w:val="none" w:sz="0" w:space="0" w:color="auto"/>
            <w:bottom w:val="none" w:sz="0" w:space="0" w:color="auto"/>
            <w:right w:val="none" w:sz="0" w:space="0" w:color="auto"/>
          </w:divBdr>
        </w:div>
      </w:divsChild>
    </w:div>
    <w:div w:id="1404722010">
      <w:bodyDiv w:val="1"/>
      <w:marLeft w:val="0"/>
      <w:marRight w:val="0"/>
      <w:marTop w:val="0"/>
      <w:marBottom w:val="0"/>
      <w:divBdr>
        <w:top w:val="none" w:sz="0" w:space="0" w:color="auto"/>
        <w:left w:val="none" w:sz="0" w:space="0" w:color="auto"/>
        <w:bottom w:val="none" w:sz="0" w:space="0" w:color="auto"/>
        <w:right w:val="none" w:sz="0" w:space="0" w:color="auto"/>
      </w:divBdr>
      <w:divsChild>
        <w:div w:id="1729495941">
          <w:marLeft w:val="420"/>
          <w:marRight w:val="0"/>
          <w:marTop w:val="210"/>
          <w:marBottom w:val="210"/>
          <w:divBdr>
            <w:top w:val="none" w:sz="0" w:space="0" w:color="auto"/>
            <w:left w:val="none" w:sz="0" w:space="0" w:color="auto"/>
            <w:bottom w:val="none" w:sz="0" w:space="0" w:color="auto"/>
            <w:right w:val="none" w:sz="0" w:space="0" w:color="auto"/>
          </w:divBdr>
          <w:divsChild>
            <w:div w:id="848829885">
              <w:marLeft w:val="0"/>
              <w:marRight w:val="0"/>
              <w:marTop w:val="210"/>
              <w:marBottom w:val="210"/>
              <w:divBdr>
                <w:top w:val="none" w:sz="0" w:space="0" w:color="auto"/>
                <w:left w:val="none" w:sz="0" w:space="0" w:color="auto"/>
                <w:bottom w:val="none" w:sz="0" w:space="0" w:color="auto"/>
                <w:right w:val="none" w:sz="0" w:space="0" w:color="auto"/>
              </w:divBdr>
              <w:divsChild>
                <w:div w:id="1831553771">
                  <w:marLeft w:val="0"/>
                  <w:marRight w:val="0"/>
                  <w:marTop w:val="210"/>
                  <w:marBottom w:val="210"/>
                  <w:divBdr>
                    <w:top w:val="none" w:sz="0" w:space="0" w:color="auto"/>
                    <w:left w:val="none" w:sz="0" w:space="0" w:color="auto"/>
                    <w:bottom w:val="none" w:sz="0" w:space="0" w:color="auto"/>
                    <w:right w:val="none" w:sz="0" w:space="0" w:color="auto"/>
                  </w:divBdr>
                  <w:divsChild>
                    <w:div w:id="1860970188">
                      <w:marLeft w:val="900"/>
                      <w:marRight w:val="1350"/>
                      <w:marTop w:val="150"/>
                      <w:marBottom w:val="150"/>
                      <w:divBdr>
                        <w:top w:val="dotted" w:sz="6" w:space="1" w:color="BBBBBB"/>
                        <w:left w:val="none" w:sz="0" w:space="0" w:color="BBBBBB"/>
                        <w:bottom w:val="dotted" w:sz="6" w:space="1" w:color="BBBBBB"/>
                        <w:right w:val="none" w:sz="0" w:space="0" w:color="BBBBBB"/>
                      </w:divBdr>
                      <w:divsChild>
                        <w:div w:id="36634960">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 w:id="2122987412">
          <w:marLeft w:val="420"/>
          <w:marRight w:val="0"/>
          <w:marTop w:val="210"/>
          <w:marBottom w:val="210"/>
          <w:divBdr>
            <w:top w:val="none" w:sz="0" w:space="0" w:color="auto"/>
            <w:left w:val="none" w:sz="0" w:space="0" w:color="auto"/>
            <w:bottom w:val="none" w:sz="0" w:space="0" w:color="auto"/>
            <w:right w:val="none" w:sz="0" w:space="0" w:color="auto"/>
          </w:divBdr>
        </w:div>
      </w:divsChild>
    </w:div>
    <w:div w:id="1410733821">
      <w:bodyDiv w:val="1"/>
      <w:marLeft w:val="0"/>
      <w:marRight w:val="0"/>
      <w:marTop w:val="0"/>
      <w:marBottom w:val="0"/>
      <w:divBdr>
        <w:top w:val="none" w:sz="0" w:space="0" w:color="auto"/>
        <w:left w:val="none" w:sz="0" w:space="0" w:color="auto"/>
        <w:bottom w:val="none" w:sz="0" w:space="0" w:color="auto"/>
        <w:right w:val="none" w:sz="0" w:space="0" w:color="auto"/>
      </w:divBdr>
      <w:divsChild>
        <w:div w:id="932738823">
          <w:marLeft w:val="1008"/>
          <w:marRight w:val="0"/>
          <w:marTop w:val="0"/>
          <w:marBottom w:val="100"/>
          <w:divBdr>
            <w:top w:val="none" w:sz="0" w:space="0" w:color="auto"/>
            <w:left w:val="none" w:sz="0" w:space="0" w:color="auto"/>
            <w:bottom w:val="none" w:sz="0" w:space="0" w:color="auto"/>
            <w:right w:val="none" w:sz="0" w:space="0" w:color="auto"/>
          </w:divBdr>
        </w:div>
        <w:div w:id="1393044264">
          <w:marLeft w:val="2448"/>
          <w:marRight w:val="0"/>
          <w:marTop w:val="0"/>
          <w:marBottom w:val="40"/>
          <w:divBdr>
            <w:top w:val="none" w:sz="0" w:space="0" w:color="auto"/>
            <w:left w:val="none" w:sz="0" w:space="0" w:color="auto"/>
            <w:bottom w:val="none" w:sz="0" w:space="0" w:color="auto"/>
            <w:right w:val="none" w:sz="0" w:space="0" w:color="auto"/>
          </w:divBdr>
        </w:div>
        <w:div w:id="1109008189">
          <w:marLeft w:val="2448"/>
          <w:marRight w:val="0"/>
          <w:marTop w:val="0"/>
          <w:marBottom w:val="360"/>
          <w:divBdr>
            <w:top w:val="none" w:sz="0" w:space="0" w:color="auto"/>
            <w:left w:val="none" w:sz="0" w:space="0" w:color="auto"/>
            <w:bottom w:val="none" w:sz="0" w:space="0" w:color="auto"/>
            <w:right w:val="none" w:sz="0" w:space="0" w:color="auto"/>
          </w:divBdr>
        </w:div>
        <w:div w:id="947858481">
          <w:marLeft w:val="1008"/>
          <w:marRight w:val="0"/>
          <w:marTop w:val="0"/>
          <w:marBottom w:val="100"/>
          <w:divBdr>
            <w:top w:val="none" w:sz="0" w:space="0" w:color="auto"/>
            <w:left w:val="none" w:sz="0" w:space="0" w:color="auto"/>
            <w:bottom w:val="none" w:sz="0" w:space="0" w:color="auto"/>
            <w:right w:val="none" w:sz="0" w:space="0" w:color="auto"/>
          </w:divBdr>
        </w:div>
        <w:div w:id="1255867095">
          <w:marLeft w:val="2448"/>
          <w:marRight w:val="0"/>
          <w:marTop w:val="0"/>
          <w:marBottom w:val="40"/>
          <w:divBdr>
            <w:top w:val="none" w:sz="0" w:space="0" w:color="auto"/>
            <w:left w:val="none" w:sz="0" w:space="0" w:color="auto"/>
            <w:bottom w:val="none" w:sz="0" w:space="0" w:color="auto"/>
            <w:right w:val="none" w:sz="0" w:space="0" w:color="auto"/>
          </w:divBdr>
        </w:div>
        <w:div w:id="891813975">
          <w:marLeft w:val="2448"/>
          <w:marRight w:val="0"/>
          <w:marTop w:val="0"/>
          <w:marBottom w:val="100"/>
          <w:divBdr>
            <w:top w:val="none" w:sz="0" w:space="0" w:color="auto"/>
            <w:left w:val="none" w:sz="0" w:space="0" w:color="auto"/>
            <w:bottom w:val="none" w:sz="0" w:space="0" w:color="auto"/>
            <w:right w:val="none" w:sz="0" w:space="0" w:color="auto"/>
          </w:divBdr>
        </w:div>
        <w:div w:id="9600817">
          <w:marLeft w:val="2981"/>
          <w:marRight w:val="0"/>
          <w:marTop w:val="0"/>
          <w:marBottom w:val="100"/>
          <w:divBdr>
            <w:top w:val="none" w:sz="0" w:space="0" w:color="auto"/>
            <w:left w:val="none" w:sz="0" w:space="0" w:color="auto"/>
            <w:bottom w:val="none" w:sz="0" w:space="0" w:color="auto"/>
            <w:right w:val="none" w:sz="0" w:space="0" w:color="auto"/>
          </w:divBdr>
        </w:div>
        <w:div w:id="437532843">
          <w:marLeft w:val="2981"/>
          <w:marRight w:val="0"/>
          <w:marTop w:val="0"/>
          <w:marBottom w:val="100"/>
          <w:divBdr>
            <w:top w:val="none" w:sz="0" w:space="0" w:color="auto"/>
            <w:left w:val="none" w:sz="0" w:space="0" w:color="auto"/>
            <w:bottom w:val="none" w:sz="0" w:space="0" w:color="auto"/>
            <w:right w:val="none" w:sz="0" w:space="0" w:color="auto"/>
          </w:divBdr>
        </w:div>
        <w:div w:id="1560703090">
          <w:marLeft w:val="2981"/>
          <w:marRight w:val="0"/>
          <w:marTop w:val="0"/>
          <w:marBottom w:val="100"/>
          <w:divBdr>
            <w:top w:val="none" w:sz="0" w:space="0" w:color="auto"/>
            <w:left w:val="none" w:sz="0" w:space="0" w:color="auto"/>
            <w:bottom w:val="none" w:sz="0" w:space="0" w:color="auto"/>
            <w:right w:val="none" w:sz="0" w:space="0" w:color="auto"/>
          </w:divBdr>
        </w:div>
        <w:div w:id="1774590209">
          <w:marLeft w:val="2448"/>
          <w:marRight w:val="0"/>
          <w:marTop w:val="0"/>
          <w:marBottom w:val="100"/>
          <w:divBdr>
            <w:top w:val="none" w:sz="0" w:space="0" w:color="auto"/>
            <w:left w:val="none" w:sz="0" w:space="0" w:color="auto"/>
            <w:bottom w:val="none" w:sz="0" w:space="0" w:color="auto"/>
            <w:right w:val="none" w:sz="0" w:space="0" w:color="auto"/>
          </w:divBdr>
        </w:div>
      </w:divsChild>
    </w:div>
    <w:div w:id="1418746110">
      <w:bodyDiv w:val="1"/>
      <w:marLeft w:val="0"/>
      <w:marRight w:val="0"/>
      <w:marTop w:val="0"/>
      <w:marBottom w:val="0"/>
      <w:divBdr>
        <w:top w:val="none" w:sz="0" w:space="0" w:color="auto"/>
        <w:left w:val="none" w:sz="0" w:space="0" w:color="auto"/>
        <w:bottom w:val="none" w:sz="0" w:space="0" w:color="auto"/>
        <w:right w:val="none" w:sz="0" w:space="0" w:color="auto"/>
      </w:divBdr>
      <w:divsChild>
        <w:div w:id="1409112716">
          <w:marLeft w:val="0"/>
          <w:marRight w:val="0"/>
          <w:marTop w:val="210"/>
          <w:marBottom w:val="210"/>
          <w:divBdr>
            <w:top w:val="none" w:sz="0" w:space="0" w:color="auto"/>
            <w:left w:val="none" w:sz="0" w:space="0" w:color="auto"/>
            <w:bottom w:val="none" w:sz="0" w:space="0" w:color="auto"/>
            <w:right w:val="none" w:sz="0" w:space="0" w:color="auto"/>
          </w:divBdr>
          <w:divsChild>
            <w:div w:id="2059743925">
              <w:marLeft w:val="0"/>
              <w:marRight w:val="0"/>
              <w:marTop w:val="210"/>
              <w:marBottom w:val="210"/>
              <w:divBdr>
                <w:top w:val="none" w:sz="0" w:space="0" w:color="auto"/>
                <w:left w:val="none" w:sz="0" w:space="0" w:color="auto"/>
                <w:bottom w:val="none" w:sz="0" w:space="0" w:color="auto"/>
                <w:right w:val="none" w:sz="0" w:space="0" w:color="auto"/>
              </w:divBdr>
              <w:divsChild>
                <w:div w:id="1028023596">
                  <w:marLeft w:val="900"/>
                  <w:marRight w:val="1350"/>
                  <w:marTop w:val="150"/>
                  <w:marBottom w:val="150"/>
                  <w:divBdr>
                    <w:top w:val="dotted" w:sz="6" w:space="1" w:color="BBBBBB"/>
                    <w:left w:val="none" w:sz="0" w:space="0" w:color="BBBBBB"/>
                    <w:bottom w:val="dotted" w:sz="6" w:space="1" w:color="BBBBBB"/>
                    <w:right w:val="none" w:sz="0" w:space="0" w:color="BBBBBB"/>
                  </w:divBdr>
                  <w:divsChild>
                    <w:div w:id="41100566">
                      <w:marLeft w:val="360"/>
                      <w:marRight w:val="0"/>
                      <w:marTop w:val="45"/>
                      <w:marBottom w:val="45"/>
                      <w:divBdr>
                        <w:top w:val="none" w:sz="0" w:space="0" w:color="auto"/>
                        <w:left w:val="none" w:sz="0" w:space="0" w:color="auto"/>
                        <w:bottom w:val="none" w:sz="0" w:space="0" w:color="auto"/>
                        <w:right w:val="none" w:sz="0" w:space="0" w:color="auto"/>
                      </w:divBdr>
                    </w:div>
                    <w:div w:id="465044931">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1643805710">
          <w:marLeft w:val="0"/>
          <w:marRight w:val="0"/>
          <w:marTop w:val="210"/>
          <w:marBottom w:val="210"/>
          <w:divBdr>
            <w:top w:val="none" w:sz="0" w:space="0" w:color="auto"/>
            <w:left w:val="none" w:sz="0" w:space="0" w:color="auto"/>
            <w:bottom w:val="none" w:sz="0" w:space="0" w:color="auto"/>
            <w:right w:val="none" w:sz="0" w:space="0" w:color="auto"/>
          </w:divBdr>
          <w:divsChild>
            <w:div w:id="1641886646">
              <w:marLeft w:val="0"/>
              <w:marRight w:val="0"/>
              <w:marTop w:val="210"/>
              <w:marBottom w:val="210"/>
              <w:divBdr>
                <w:top w:val="none" w:sz="0" w:space="0" w:color="auto"/>
                <w:left w:val="none" w:sz="0" w:space="0" w:color="auto"/>
                <w:bottom w:val="none" w:sz="0" w:space="0" w:color="auto"/>
                <w:right w:val="none" w:sz="0" w:space="0" w:color="auto"/>
              </w:divBdr>
            </w:div>
          </w:divsChild>
        </w:div>
        <w:div w:id="1784612682">
          <w:marLeft w:val="0"/>
          <w:marRight w:val="0"/>
          <w:marTop w:val="210"/>
          <w:marBottom w:val="210"/>
          <w:divBdr>
            <w:top w:val="none" w:sz="0" w:space="0" w:color="auto"/>
            <w:left w:val="none" w:sz="0" w:space="0" w:color="auto"/>
            <w:bottom w:val="none" w:sz="0" w:space="0" w:color="auto"/>
            <w:right w:val="none" w:sz="0" w:space="0" w:color="auto"/>
          </w:divBdr>
          <w:divsChild>
            <w:div w:id="1283154430">
              <w:marLeft w:val="0"/>
              <w:marRight w:val="0"/>
              <w:marTop w:val="210"/>
              <w:marBottom w:val="210"/>
              <w:divBdr>
                <w:top w:val="none" w:sz="0" w:space="0" w:color="auto"/>
                <w:left w:val="none" w:sz="0" w:space="0" w:color="auto"/>
                <w:bottom w:val="none" w:sz="0" w:space="0" w:color="auto"/>
                <w:right w:val="none" w:sz="0" w:space="0" w:color="auto"/>
              </w:divBdr>
              <w:divsChild>
                <w:div w:id="1467043664">
                  <w:marLeft w:val="900"/>
                  <w:marRight w:val="1350"/>
                  <w:marTop w:val="150"/>
                  <w:marBottom w:val="150"/>
                  <w:divBdr>
                    <w:top w:val="dotted" w:sz="6" w:space="1" w:color="BBBBBB"/>
                    <w:left w:val="none" w:sz="0" w:space="0" w:color="BBBBBB"/>
                    <w:bottom w:val="dotted" w:sz="6" w:space="1" w:color="BBBBBB"/>
                    <w:right w:val="none" w:sz="0" w:space="0" w:color="BBBBBB"/>
                  </w:divBdr>
                  <w:divsChild>
                    <w:div w:id="110057144">
                      <w:marLeft w:val="360"/>
                      <w:marRight w:val="0"/>
                      <w:marTop w:val="45"/>
                      <w:marBottom w:val="45"/>
                      <w:divBdr>
                        <w:top w:val="none" w:sz="0" w:space="0" w:color="auto"/>
                        <w:left w:val="none" w:sz="0" w:space="0" w:color="auto"/>
                        <w:bottom w:val="none" w:sz="0" w:space="0" w:color="auto"/>
                        <w:right w:val="none" w:sz="0" w:space="0" w:color="auto"/>
                      </w:divBdr>
                    </w:div>
                    <w:div w:id="2064911206">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 w:id="1492453638">
      <w:bodyDiv w:val="1"/>
      <w:marLeft w:val="0"/>
      <w:marRight w:val="0"/>
      <w:marTop w:val="0"/>
      <w:marBottom w:val="0"/>
      <w:divBdr>
        <w:top w:val="none" w:sz="0" w:space="0" w:color="auto"/>
        <w:left w:val="none" w:sz="0" w:space="0" w:color="auto"/>
        <w:bottom w:val="none" w:sz="0" w:space="0" w:color="auto"/>
        <w:right w:val="none" w:sz="0" w:space="0" w:color="auto"/>
      </w:divBdr>
      <w:divsChild>
        <w:div w:id="237978357">
          <w:marLeft w:val="0"/>
          <w:marRight w:val="0"/>
          <w:marTop w:val="210"/>
          <w:marBottom w:val="210"/>
          <w:divBdr>
            <w:top w:val="none" w:sz="0" w:space="0" w:color="auto"/>
            <w:left w:val="none" w:sz="0" w:space="0" w:color="auto"/>
            <w:bottom w:val="none" w:sz="0" w:space="0" w:color="auto"/>
            <w:right w:val="none" w:sz="0" w:space="0" w:color="auto"/>
          </w:divBdr>
          <w:divsChild>
            <w:div w:id="1675840254">
              <w:marLeft w:val="0"/>
              <w:marRight w:val="0"/>
              <w:marTop w:val="210"/>
              <w:marBottom w:val="210"/>
              <w:divBdr>
                <w:top w:val="none" w:sz="0" w:space="0" w:color="auto"/>
                <w:left w:val="none" w:sz="0" w:space="0" w:color="auto"/>
                <w:bottom w:val="none" w:sz="0" w:space="0" w:color="auto"/>
                <w:right w:val="none" w:sz="0" w:space="0" w:color="auto"/>
              </w:divBdr>
            </w:div>
          </w:divsChild>
        </w:div>
        <w:div w:id="384179048">
          <w:marLeft w:val="0"/>
          <w:marRight w:val="0"/>
          <w:marTop w:val="210"/>
          <w:marBottom w:val="210"/>
          <w:divBdr>
            <w:top w:val="none" w:sz="0" w:space="0" w:color="auto"/>
            <w:left w:val="none" w:sz="0" w:space="0" w:color="auto"/>
            <w:bottom w:val="none" w:sz="0" w:space="0" w:color="auto"/>
            <w:right w:val="none" w:sz="0" w:space="0" w:color="auto"/>
          </w:divBdr>
          <w:divsChild>
            <w:div w:id="1478954919">
              <w:marLeft w:val="0"/>
              <w:marRight w:val="0"/>
              <w:marTop w:val="210"/>
              <w:marBottom w:val="210"/>
              <w:divBdr>
                <w:top w:val="none" w:sz="0" w:space="0" w:color="auto"/>
                <w:left w:val="none" w:sz="0" w:space="0" w:color="auto"/>
                <w:bottom w:val="none" w:sz="0" w:space="0" w:color="auto"/>
                <w:right w:val="none" w:sz="0" w:space="0" w:color="auto"/>
              </w:divBdr>
              <w:divsChild>
                <w:div w:id="1963998291">
                  <w:marLeft w:val="900"/>
                  <w:marRight w:val="1350"/>
                  <w:marTop w:val="150"/>
                  <w:marBottom w:val="150"/>
                  <w:divBdr>
                    <w:top w:val="dotted" w:sz="6" w:space="1" w:color="BBBBBB"/>
                    <w:left w:val="none" w:sz="0" w:space="0" w:color="BBBBBB"/>
                    <w:bottom w:val="dotted" w:sz="6" w:space="1" w:color="BBBBBB"/>
                    <w:right w:val="none" w:sz="0" w:space="0" w:color="BBBBBB"/>
                  </w:divBdr>
                  <w:divsChild>
                    <w:div w:id="1118523804">
                      <w:marLeft w:val="360"/>
                      <w:marRight w:val="0"/>
                      <w:marTop w:val="45"/>
                      <w:marBottom w:val="45"/>
                      <w:divBdr>
                        <w:top w:val="none" w:sz="0" w:space="0" w:color="auto"/>
                        <w:left w:val="none" w:sz="0" w:space="0" w:color="auto"/>
                        <w:bottom w:val="none" w:sz="0" w:space="0" w:color="auto"/>
                        <w:right w:val="none" w:sz="0" w:space="0" w:color="auto"/>
                      </w:divBdr>
                    </w:div>
                    <w:div w:id="1256862859">
                      <w:marLeft w:val="360"/>
                      <w:marRight w:val="0"/>
                      <w:marTop w:val="45"/>
                      <w:marBottom w:val="45"/>
                      <w:divBdr>
                        <w:top w:val="none" w:sz="0" w:space="0" w:color="auto"/>
                        <w:left w:val="none" w:sz="0" w:space="0" w:color="auto"/>
                        <w:bottom w:val="none" w:sz="0" w:space="0" w:color="auto"/>
                        <w:right w:val="none" w:sz="0" w:space="0" w:color="auto"/>
                      </w:divBdr>
                    </w:div>
                    <w:div w:id="1988048339">
                      <w:marLeft w:val="360"/>
                      <w:marRight w:val="0"/>
                      <w:marTop w:val="45"/>
                      <w:marBottom w:val="45"/>
                      <w:divBdr>
                        <w:top w:val="none" w:sz="0" w:space="0" w:color="auto"/>
                        <w:left w:val="none" w:sz="0" w:space="0" w:color="auto"/>
                        <w:bottom w:val="none" w:sz="0" w:space="0" w:color="auto"/>
                        <w:right w:val="none" w:sz="0" w:space="0" w:color="auto"/>
                      </w:divBdr>
                    </w:div>
                    <w:div w:id="2145544099">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 w:id="1525248510">
      <w:bodyDiv w:val="1"/>
      <w:marLeft w:val="0"/>
      <w:marRight w:val="0"/>
      <w:marTop w:val="0"/>
      <w:marBottom w:val="0"/>
      <w:divBdr>
        <w:top w:val="none" w:sz="0" w:space="0" w:color="auto"/>
        <w:left w:val="none" w:sz="0" w:space="0" w:color="auto"/>
        <w:bottom w:val="none" w:sz="0" w:space="0" w:color="auto"/>
        <w:right w:val="none" w:sz="0" w:space="0" w:color="auto"/>
      </w:divBdr>
      <w:divsChild>
        <w:div w:id="676688885">
          <w:marLeft w:val="240"/>
          <w:marRight w:val="0"/>
          <w:marTop w:val="60"/>
          <w:marBottom w:val="60"/>
          <w:divBdr>
            <w:top w:val="none" w:sz="0" w:space="0" w:color="auto"/>
            <w:left w:val="none" w:sz="0" w:space="0" w:color="auto"/>
            <w:bottom w:val="none" w:sz="0" w:space="0" w:color="auto"/>
            <w:right w:val="none" w:sz="0" w:space="0" w:color="auto"/>
          </w:divBdr>
          <w:divsChild>
            <w:div w:id="1842742123">
              <w:marLeft w:val="0"/>
              <w:marRight w:val="0"/>
              <w:marTop w:val="0"/>
              <w:marBottom w:val="0"/>
              <w:divBdr>
                <w:top w:val="none" w:sz="0" w:space="0" w:color="auto"/>
                <w:left w:val="none" w:sz="0" w:space="0" w:color="auto"/>
                <w:bottom w:val="none" w:sz="0" w:space="0" w:color="auto"/>
                <w:right w:val="none" w:sz="0" w:space="0" w:color="auto"/>
              </w:divBdr>
            </w:div>
          </w:divsChild>
        </w:div>
        <w:div w:id="1322343272">
          <w:marLeft w:val="240"/>
          <w:marRight w:val="0"/>
          <w:marTop w:val="60"/>
          <w:marBottom w:val="60"/>
          <w:divBdr>
            <w:top w:val="none" w:sz="0" w:space="0" w:color="auto"/>
            <w:left w:val="none" w:sz="0" w:space="0" w:color="auto"/>
            <w:bottom w:val="none" w:sz="0" w:space="0" w:color="auto"/>
            <w:right w:val="none" w:sz="0" w:space="0" w:color="auto"/>
          </w:divBdr>
          <w:divsChild>
            <w:div w:id="369719723">
              <w:marLeft w:val="240"/>
              <w:marRight w:val="0"/>
              <w:marTop w:val="60"/>
              <w:marBottom w:val="60"/>
              <w:divBdr>
                <w:top w:val="none" w:sz="0" w:space="0" w:color="auto"/>
                <w:left w:val="none" w:sz="0" w:space="0" w:color="auto"/>
                <w:bottom w:val="none" w:sz="0" w:space="0" w:color="auto"/>
                <w:right w:val="none" w:sz="0" w:space="0" w:color="auto"/>
              </w:divBdr>
              <w:divsChild>
                <w:div w:id="344134531">
                  <w:marLeft w:val="0"/>
                  <w:marRight w:val="0"/>
                  <w:marTop w:val="0"/>
                  <w:marBottom w:val="0"/>
                  <w:divBdr>
                    <w:top w:val="none" w:sz="0" w:space="0" w:color="auto"/>
                    <w:left w:val="none" w:sz="0" w:space="0" w:color="auto"/>
                    <w:bottom w:val="none" w:sz="0" w:space="0" w:color="auto"/>
                    <w:right w:val="none" w:sz="0" w:space="0" w:color="auto"/>
                  </w:divBdr>
                </w:div>
              </w:divsChild>
            </w:div>
            <w:div w:id="1652632746">
              <w:marLeft w:val="240"/>
              <w:marRight w:val="0"/>
              <w:marTop w:val="60"/>
              <w:marBottom w:val="60"/>
              <w:divBdr>
                <w:top w:val="none" w:sz="0" w:space="0" w:color="auto"/>
                <w:left w:val="none" w:sz="0" w:space="0" w:color="auto"/>
                <w:bottom w:val="none" w:sz="0" w:space="0" w:color="auto"/>
                <w:right w:val="none" w:sz="0" w:space="0" w:color="auto"/>
              </w:divBdr>
              <w:divsChild>
                <w:div w:id="56415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983783">
      <w:bodyDiv w:val="1"/>
      <w:marLeft w:val="0"/>
      <w:marRight w:val="0"/>
      <w:marTop w:val="0"/>
      <w:marBottom w:val="0"/>
      <w:divBdr>
        <w:top w:val="none" w:sz="0" w:space="0" w:color="auto"/>
        <w:left w:val="none" w:sz="0" w:space="0" w:color="auto"/>
        <w:bottom w:val="none" w:sz="0" w:space="0" w:color="auto"/>
        <w:right w:val="none" w:sz="0" w:space="0" w:color="auto"/>
      </w:divBdr>
    </w:div>
    <w:div w:id="1577669852">
      <w:bodyDiv w:val="1"/>
      <w:marLeft w:val="0"/>
      <w:marRight w:val="0"/>
      <w:marTop w:val="0"/>
      <w:marBottom w:val="0"/>
      <w:divBdr>
        <w:top w:val="none" w:sz="0" w:space="0" w:color="auto"/>
        <w:left w:val="none" w:sz="0" w:space="0" w:color="auto"/>
        <w:bottom w:val="none" w:sz="0" w:space="0" w:color="auto"/>
        <w:right w:val="none" w:sz="0" w:space="0" w:color="auto"/>
      </w:divBdr>
      <w:divsChild>
        <w:div w:id="28990520">
          <w:marLeft w:val="420"/>
          <w:marRight w:val="0"/>
          <w:marTop w:val="210"/>
          <w:marBottom w:val="210"/>
          <w:divBdr>
            <w:top w:val="none" w:sz="0" w:space="0" w:color="auto"/>
            <w:left w:val="none" w:sz="0" w:space="0" w:color="auto"/>
            <w:bottom w:val="none" w:sz="0" w:space="0" w:color="auto"/>
            <w:right w:val="none" w:sz="0" w:space="0" w:color="auto"/>
          </w:divBdr>
          <w:divsChild>
            <w:div w:id="1211765321">
              <w:marLeft w:val="0"/>
              <w:marRight w:val="0"/>
              <w:marTop w:val="210"/>
              <w:marBottom w:val="210"/>
              <w:divBdr>
                <w:top w:val="none" w:sz="0" w:space="0" w:color="auto"/>
                <w:left w:val="none" w:sz="0" w:space="0" w:color="auto"/>
                <w:bottom w:val="none" w:sz="0" w:space="0" w:color="auto"/>
                <w:right w:val="none" w:sz="0" w:space="0" w:color="auto"/>
              </w:divBdr>
            </w:div>
          </w:divsChild>
        </w:div>
        <w:div w:id="121464898">
          <w:marLeft w:val="420"/>
          <w:marRight w:val="0"/>
          <w:marTop w:val="210"/>
          <w:marBottom w:val="210"/>
          <w:divBdr>
            <w:top w:val="none" w:sz="0" w:space="0" w:color="auto"/>
            <w:left w:val="none" w:sz="0" w:space="0" w:color="auto"/>
            <w:bottom w:val="none" w:sz="0" w:space="0" w:color="auto"/>
            <w:right w:val="none" w:sz="0" w:space="0" w:color="auto"/>
          </w:divBdr>
          <w:divsChild>
            <w:div w:id="1671177712">
              <w:marLeft w:val="0"/>
              <w:marRight w:val="0"/>
              <w:marTop w:val="210"/>
              <w:marBottom w:val="210"/>
              <w:divBdr>
                <w:top w:val="none" w:sz="0" w:space="0" w:color="auto"/>
                <w:left w:val="none" w:sz="0" w:space="0" w:color="auto"/>
                <w:bottom w:val="none" w:sz="0" w:space="0" w:color="auto"/>
                <w:right w:val="none" w:sz="0" w:space="0" w:color="auto"/>
              </w:divBdr>
            </w:div>
          </w:divsChild>
        </w:div>
        <w:div w:id="541329709">
          <w:marLeft w:val="420"/>
          <w:marRight w:val="0"/>
          <w:marTop w:val="210"/>
          <w:marBottom w:val="210"/>
          <w:divBdr>
            <w:top w:val="none" w:sz="0" w:space="0" w:color="auto"/>
            <w:left w:val="none" w:sz="0" w:space="0" w:color="auto"/>
            <w:bottom w:val="none" w:sz="0" w:space="0" w:color="auto"/>
            <w:right w:val="none" w:sz="0" w:space="0" w:color="auto"/>
          </w:divBdr>
          <w:divsChild>
            <w:div w:id="2058821148">
              <w:marLeft w:val="0"/>
              <w:marRight w:val="0"/>
              <w:marTop w:val="210"/>
              <w:marBottom w:val="210"/>
              <w:divBdr>
                <w:top w:val="none" w:sz="0" w:space="0" w:color="auto"/>
                <w:left w:val="none" w:sz="0" w:space="0" w:color="auto"/>
                <w:bottom w:val="none" w:sz="0" w:space="0" w:color="auto"/>
                <w:right w:val="none" w:sz="0" w:space="0" w:color="auto"/>
              </w:divBdr>
            </w:div>
          </w:divsChild>
        </w:div>
        <w:div w:id="994525405">
          <w:marLeft w:val="420"/>
          <w:marRight w:val="0"/>
          <w:marTop w:val="210"/>
          <w:marBottom w:val="210"/>
          <w:divBdr>
            <w:top w:val="none" w:sz="0" w:space="0" w:color="auto"/>
            <w:left w:val="none" w:sz="0" w:space="0" w:color="auto"/>
            <w:bottom w:val="none" w:sz="0" w:space="0" w:color="auto"/>
            <w:right w:val="none" w:sz="0" w:space="0" w:color="auto"/>
          </w:divBdr>
          <w:divsChild>
            <w:div w:id="1217543127">
              <w:marLeft w:val="0"/>
              <w:marRight w:val="0"/>
              <w:marTop w:val="210"/>
              <w:marBottom w:val="210"/>
              <w:divBdr>
                <w:top w:val="none" w:sz="0" w:space="0" w:color="auto"/>
                <w:left w:val="none" w:sz="0" w:space="0" w:color="auto"/>
                <w:bottom w:val="none" w:sz="0" w:space="0" w:color="auto"/>
                <w:right w:val="none" w:sz="0" w:space="0" w:color="auto"/>
              </w:divBdr>
            </w:div>
          </w:divsChild>
        </w:div>
        <w:div w:id="1429157263">
          <w:marLeft w:val="420"/>
          <w:marRight w:val="0"/>
          <w:marTop w:val="210"/>
          <w:marBottom w:val="210"/>
          <w:divBdr>
            <w:top w:val="none" w:sz="0" w:space="0" w:color="auto"/>
            <w:left w:val="none" w:sz="0" w:space="0" w:color="auto"/>
            <w:bottom w:val="none" w:sz="0" w:space="0" w:color="auto"/>
            <w:right w:val="none" w:sz="0" w:space="0" w:color="auto"/>
          </w:divBdr>
          <w:divsChild>
            <w:div w:id="216822918">
              <w:marLeft w:val="0"/>
              <w:marRight w:val="0"/>
              <w:marTop w:val="210"/>
              <w:marBottom w:val="210"/>
              <w:divBdr>
                <w:top w:val="none" w:sz="0" w:space="0" w:color="auto"/>
                <w:left w:val="none" w:sz="0" w:space="0" w:color="auto"/>
                <w:bottom w:val="none" w:sz="0" w:space="0" w:color="auto"/>
                <w:right w:val="none" w:sz="0" w:space="0" w:color="auto"/>
              </w:divBdr>
            </w:div>
          </w:divsChild>
        </w:div>
        <w:div w:id="1507136737">
          <w:marLeft w:val="420"/>
          <w:marRight w:val="0"/>
          <w:marTop w:val="210"/>
          <w:marBottom w:val="210"/>
          <w:divBdr>
            <w:top w:val="none" w:sz="0" w:space="0" w:color="auto"/>
            <w:left w:val="none" w:sz="0" w:space="0" w:color="auto"/>
            <w:bottom w:val="none" w:sz="0" w:space="0" w:color="auto"/>
            <w:right w:val="none" w:sz="0" w:space="0" w:color="auto"/>
          </w:divBdr>
          <w:divsChild>
            <w:div w:id="1089814108">
              <w:marLeft w:val="0"/>
              <w:marRight w:val="0"/>
              <w:marTop w:val="210"/>
              <w:marBottom w:val="210"/>
              <w:divBdr>
                <w:top w:val="none" w:sz="0" w:space="0" w:color="auto"/>
                <w:left w:val="none" w:sz="0" w:space="0" w:color="auto"/>
                <w:bottom w:val="none" w:sz="0" w:space="0" w:color="auto"/>
                <w:right w:val="none" w:sz="0" w:space="0" w:color="auto"/>
              </w:divBdr>
            </w:div>
          </w:divsChild>
        </w:div>
        <w:div w:id="1611080932">
          <w:marLeft w:val="420"/>
          <w:marRight w:val="0"/>
          <w:marTop w:val="210"/>
          <w:marBottom w:val="210"/>
          <w:divBdr>
            <w:top w:val="none" w:sz="0" w:space="0" w:color="auto"/>
            <w:left w:val="none" w:sz="0" w:space="0" w:color="auto"/>
            <w:bottom w:val="none" w:sz="0" w:space="0" w:color="auto"/>
            <w:right w:val="none" w:sz="0" w:space="0" w:color="auto"/>
          </w:divBdr>
          <w:divsChild>
            <w:div w:id="1540045750">
              <w:marLeft w:val="0"/>
              <w:marRight w:val="0"/>
              <w:marTop w:val="210"/>
              <w:marBottom w:val="210"/>
              <w:divBdr>
                <w:top w:val="none" w:sz="0" w:space="0" w:color="auto"/>
                <w:left w:val="none" w:sz="0" w:space="0" w:color="auto"/>
                <w:bottom w:val="none" w:sz="0" w:space="0" w:color="auto"/>
                <w:right w:val="none" w:sz="0" w:space="0" w:color="auto"/>
              </w:divBdr>
            </w:div>
          </w:divsChild>
        </w:div>
        <w:div w:id="1684824584">
          <w:marLeft w:val="420"/>
          <w:marRight w:val="0"/>
          <w:marTop w:val="210"/>
          <w:marBottom w:val="210"/>
          <w:divBdr>
            <w:top w:val="none" w:sz="0" w:space="0" w:color="auto"/>
            <w:left w:val="none" w:sz="0" w:space="0" w:color="auto"/>
            <w:bottom w:val="none" w:sz="0" w:space="0" w:color="auto"/>
            <w:right w:val="none" w:sz="0" w:space="0" w:color="auto"/>
          </w:divBdr>
          <w:divsChild>
            <w:div w:id="1696997447">
              <w:marLeft w:val="0"/>
              <w:marRight w:val="0"/>
              <w:marTop w:val="210"/>
              <w:marBottom w:val="210"/>
              <w:divBdr>
                <w:top w:val="none" w:sz="0" w:space="0" w:color="auto"/>
                <w:left w:val="none" w:sz="0" w:space="0" w:color="auto"/>
                <w:bottom w:val="none" w:sz="0" w:space="0" w:color="auto"/>
                <w:right w:val="none" w:sz="0" w:space="0" w:color="auto"/>
              </w:divBdr>
            </w:div>
          </w:divsChild>
        </w:div>
        <w:div w:id="1712800955">
          <w:marLeft w:val="420"/>
          <w:marRight w:val="0"/>
          <w:marTop w:val="210"/>
          <w:marBottom w:val="210"/>
          <w:divBdr>
            <w:top w:val="none" w:sz="0" w:space="0" w:color="auto"/>
            <w:left w:val="none" w:sz="0" w:space="0" w:color="auto"/>
            <w:bottom w:val="none" w:sz="0" w:space="0" w:color="auto"/>
            <w:right w:val="none" w:sz="0" w:space="0" w:color="auto"/>
          </w:divBdr>
          <w:divsChild>
            <w:div w:id="2025933568">
              <w:marLeft w:val="0"/>
              <w:marRight w:val="0"/>
              <w:marTop w:val="210"/>
              <w:marBottom w:val="210"/>
              <w:divBdr>
                <w:top w:val="none" w:sz="0" w:space="0" w:color="auto"/>
                <w:left w:val="none" w:sz="0" w:space="0" w:color="auto"/>
                <w:bottom w:val="none" w:sz="0" w:space="0" w:color="auto"/>
                <w:right w:val="none" w:sz="0" w:space="0" w:color="auto"/>
              </w:divBdr>
            </w:div>
          </w:divsChild>
        </w:div>
        <w:div w:id="2037924760">
          <w:marLeft w:val="420"/>
          <w:marRight w:val="0"/>
          <w:marTop w:val="210"/>
          <w:marBottom w:val="210"/>
          <w:divBdr>
            <w:top w:val="none" w:sz="0" w:space="0" w:color="auto"/>
            <w:left w:val="none" w:sz="0" w:space="0" w:color="auto"/>
            <w:bottom w:val="none" w:sz="0" w:space="0" w:color="auto"/>
            <w:right w:val="none" w:sz="0" w:space="0" w:color="auto"/>
          </w:divBdr>
          <w:divsChild>
            <w:div w:id="1643390198">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 w:id="1593272151">
      <w:bodyDiv w:val="1"/>
      <w:marLeft w:val="0"/>
      <w:marRight w:val="0"/>
      <w:marTop w:val="0"/>
      <w:marBottom w:val="0"/>
      <w:divBdr>
        <w:top w:val="none" w:sz="0" w:space="0" w:color="auto"/>
        <w:left w:val="none" w:sz="0" w:space="0" w:color="auto"/>
        <w:bottom w:val="none" w:sz="0" w:space="0" w:color="auto"/>
        <w:right w:val="none" w:sz="0" w:space="0" w:color="auto"/>
      </w:divBdr>
    </w:div>
    <w:div w:id="1693871220">
      <w:bodyDiv w:val="1"/>
      <w:marLeft w:val="0"/>
      <w:marRight w:val="0"/>
      <w:marTop w:val="0"/>
      <w:marBottom w:val="0"/>
      <w:divBdr>
        <w:top w:val="none" w:sz="0" w:space="0" w:color="auto"/>
        <w:left w:val="none" w:sz="0" w:space="0" w:color="auto"/>
        <w:bottom w:val="none" w:sz="0" w:space="0" w:color="auto"/>
        <w:right w:val="none" w:sz="0" w:space="0" w:color="auto"/>
      </w:divBdr>
    </w:div>
    <w:div w:id="1697464917">
      <w:bodyDiv w:val="1"/>
      <w:marLeft w:val="0"/>
      <w:marRight w:val="0"/>
      <w:marTop w:val="0"/>
      <w:marBottom w:val="0"/>
      <w:divBdr>
        <w:top w:val="none" w:sz="0" w:space="0" w:color="auto"/>
        <w:left w:val="none" w:sz="0" w:space="0" w:color="auto"/>
        <w:bottom w:val="none" w:sz="0" w:space="0" w:color="auto"/>
        <w:right w:val="none" w:sz="0" w:space="0" w:color="auto"/>
      </w:divBdr>
    </w:div>
    <w:div w:id="1794857875">
      <w:bodyDiv w:val="1"/>
      <w:marLeft w:val="0"/>
      <w:marRight w:val="0"/>
      <w:marTop w:val="0"/>
      <w:marBottom w:val="0"/>
      <w:divBdr>
        <w:top w:val="none" w:sz="0" w:space="0" w:color="auto"/>
        <w:left w:val="none" w:sz="0" w:space="0" w:color="auto"/>
        <w:bottom w:val="none" w:sz="0" w:space="0" w:color="auto"/>
        <w:right w:val="none" w:sz="0" w:space="0" w:color="auto"/>
      </w:divBdr>
      <w:divsChild>
        <w:div w:id="1098402029">
          <w:marLeft w:val="0"/>
          <w:marRight w:val="0"/>
          <w:marTop w:val="0"/>
          <w:marBottom w:val="150"/>
          <w:divBdr>
            <w:top w:val="none" w:sz="0" w:space="0" w:color="auto"/>
            <w:left w:val="none" w:sz="0" w:space="0" w:color="auto"/>
            <w:bottom w:val="none" w:sz="0" w:space="0" w:color="auto"/>
            <w:right w:val="none" w:sz="0" w:space="0" w:color="auto"/>
          </w:divBdr>
          <w:divsChild>
            <w:div w:id="1873571192">
              <w:marLeft w:val="0"/>
              <w:marRight w:val="0"/>
              <w:marTop w:val="0"/>
              <w:marBottom w:val="0"/>
              <w:divBdr>
                <w:top w:val="none" w:sz="0" w:space="0" w:color="auto"/>
                <w:left w:val="none" w:sz="0" w:space="0" w:color="auto"/>
                <w:bottom w:val="none" w:sz="0" w:space="0" w:color="auto"/>
                <w:right w:val="none" w:sz="0" w:space="0" w:color="auto"/>
              </w:divBdr>
            </w:div>
          </w:divsChild>
        </w:div>
        <w:div w:id="1474905823">
          <w:marLeft w:val="0"/>
          <w:marRight w:val="0"/>
          <w:marTop w:val="0"/>
          <w:marBottom w:val="0"/>
          <w:divBdr>
            <w:top w:val="none" w:sz="0" w:space="0" w:color="auto"/>
            <w:left w:val="none" w:sz="0" w:space="0" w:color="auto"/>
            <w:bottom w:val="none" w:sz="0" w:space="0" w:color="auto"/>
            <w:right w:val="none" w:sz="0" w:space="0" w:color="auto"/>
          </w:divBdr>
          <w:divsChild>
            <w:div w:id="11544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34900">
      <w:bodyDiv w:val="1"/>
      <w:marLeft w:val="0"/>
      <w:marRight w:val="0"/>
      <w:marTop w:val="0"/>
      <w:marBottom w:val="0"/>
      <w:divBdr>
        <w:top w:val="none" w:sz="0" w:space="0" w:color="auto"/>
        <w:left w:val="none" w:sz="0" w:space="0" w:color="auto"/>
        <w:bottom w:val="none" w:sz="0" w:space="0" w:color="auto"/>
        <w:right w:val="none" w:sz="0" w:space="0" w:color="auto"/>
      </w:divBdr>
    </w:div>
    <w:div w:id="1918131386">
      <w:bodyDiv w:val="1"/>
      <w:marLeft w:val="0"/>
      <w:marRight w:val="0"/>
      <w:marTop w:val="0"/>
      <w:marBottom w:val="0"/>
      <w:divBdr>
        <w:top w:val="none" w:sz="0" w:space="0" w:color="auto"/>
        <w:left w:val="none" w:sz="0" w:space="0" w:color="auto"/>
        <w:bottom w:val="none" w:sz="0" w:space="0" w:color="auto"/>
        <w:right w:val="none" w:sz="0" w:space="0" w:color="auto"/>
      </w:divBdr>
      <w:divsChild>
        <w:div w:id="1904214993">
          <w:marLeft w:val="600"/>
          <w:marRight w:val="0"/>
          <w:marTop w:val="264"/>
          <w:marBottom w:val="264"/>
          <w:divBdr>
            <w:top w:val="none" w:sz="0" w:space="0" w:color="auto"/>
            <w:left w:val="none" w:sz="0" w:space="0" w:color="auto"/>
            <w:bottom w:val="none" w:sz="0" w:space="0" w:color="auto"/>
            <w:right w:val="none" w:sz="0" w:space="0" w:color="auto"/>
          </w:divBdr>
        </w:div>
      </w:divsChild>
    </w:div>
    <w:div w:id="1951467698">
      <w:bodyDiv w:val="1"/>
      <w:marLeft w:val="0"/>
      <w:marRight w:val="0"/>
      <w:marTop w:val="0"/>
      <w:marBottom w:val="0"/>
      <w:divBdr>
        <w:top w:val="none" w:sz="0" w:space="0" w:color="auto"/>
        <w:left w:val="none" w:sz="0" w:space="0" w:color="auto"/>
        <w:bottom w:val="none" w:sz="0" w:space="0" w:color="auto"/>
        <w:right w:val="none" w:sz="0" w:space="0" w:color="auto"/>
      </w:divBdr>
      <w:divsChild>
        <w:div w:id="1038313025">
          <w:marLeft w:val="0"/>
          <w:marRight w:val="0"/>
          <w:marTop w:val="210"/>
          <w:marBottom w:val="210"/>
          <w:divBdr>
            <w:top w:val="none" w:sz="0" w:space="0" w:color="auto"/>
            <w:left w:val="none" w:sz="0" w:space="0" w:color="auto"/>
            <w:bottom w:val="none" w:sz="0" w:space="0" w:color="auto"/>
            <w:right w:val="none" w:sz="0" w:space="0" w:color="auto"/>
          </w:divBdr>
          <w:divsChild>
            <w:div w:id="1622102854">
              <w:marLeft w:val="0"/>
              <w:marRight w:val="0"/>
              <w:marTop w:val="210"/>
              <w:marBottom w:val="210"/>
              <w:divBdr>
                <w:top w:val="none" w:sz="0" w:space="0" w:color="auto"/>
                <w:left w:val="none" w:sz="0" w:space="0" w:color="auto"/>
                <w:bottom w:val="none" w:sz="0" w:space="0" w:color="auto"/>
                <w:right w:val="none" w:sz="0" w:space="0" w:color="auto"/>
              </w:divBdr>
            </w:div>
          </w:divsChild>
        </w:div>
        <w:div w:id="1815638720">
          <w:marLeft w:val="0"/>
          <w:marRight w:val="0"/>
          <w:marTop w:val="210"/>
          <w:marBottom w:val="210"/>
          <w:divBdr>
            <w:top w:val="none" w:sz="0" w:space="0" w:color="auto"/>
            <w:left w:val="none" w:sz="0" w:space="0" w:color="auto"/>
            <w:bottom w:val="none" w:sz="0" w:space="0" w:color="auto"/>
            <w:right w:val="none" w:sz="0" w:space="0" w:color="auto"/>
          </w:divBdr>
          <w:divsChild>
            <w:div w:id="259028206">
              <w:marLeft w:val="0"/>
              <w:marRight w:val="0"/>
              <w:marTop w:val="210"/>
              <w:marBottom w:val="210"/>
              <w:divBdr>
                <w:top w:val="none" w:sz="0" w:space="0" w:color="auto"/>
                <w:left w:val="none" w:sz="0" w:space="0" w:color="auto"/>
                <w:bottom w:val="none" w:sz="0" w:space="0" w:color="auto"/>
                <w:right w:val="none" w:sz="0" w:space="0" w:color="auto"/>
              </w:divBdr>
              <w:divsChild>
                <w:div w:id="525992090">
                  <w:marLeft w:val="900"/>
                  <w:marRight w:val="1350"/>
                  <w:marTop w:val="150"/>
                  <w:marBottom w:val="150"/>
                  <w:divBdr>
                    <w:top w:val="dotted" w:sz="6" w:space="1" w:color="BBBBBB"/>
                    <w:left w:val="none" w:sz="0" w:space="0" w:color="BBBBBB"/>
                    <w:bottom w:val="dotted" w:sz="6" w:space="1" w:color="BBBBBB"/>
                    <w:right w:val="none" w:sz="0" w:space="0" w:color="BBBBBB"/>
                  </w:divBdr>
                  <w:divsChild>
                    <w:div w:id="619800810">
                      <w:marLeft w:val="360"/>
                      <w:marRight w:val="0"/>
                      <w:marTop w:val="45"/>
                      <w:marBottom w:val="45"/>
                      <w:divBdr>
                        <w:top w:val="none" w:sz="0" w:space="0" w:color="auto"/>
                        <w:left w:val="none" w:sz="0" w:space="0" w:color="auto"/>
                        <w:bottom w:val="none" w:sz="0" w:space="0" w:color="auto"/>
                        <w:right w:val="none" w:sz="0" w:space="0" w:color="auto"/>
                      </w:divBdr>
                    </w:div>
                    <w:div w:id="1624965797">
                      <w:marLeft w:val="360"/>
                      <w:marRight w:val="0"/>
                      <w:marTop w:val="45"/>
                      <w:marBottom w:val="45"/>
                      <w:divBdr>
                        <w:top w:val="none" w:sz="0" w:space="0" w:color="auto"/>
                        <w:left w:val="none" w:sz="0" w:space="0" w:color="auto"/>
                        <w:bottom w:val="none" w:sz="0" w:space="0" w:color="auto"/>
                        <w:right w:val="none" w:sz="0" w:space="0" w:color="auto"/>
                      </w:divBdr>
                    </w:div>
                    <w:div w:id="2112702368">
                      <w:marLeft w:val="360"/>
                      <w:marRight w:val="0"/>
                      <w:marTop w:val="45"/>
                      <w:marBottom w:val="45"/>
                      <w:divBdr>
                        <w:top w:val="none" w:sz="0" w:space="0" w:color="auto"/>
                        <w:left w:val="none" w:sz="0" w:space="0" w:color="auto"/>
                        <w:bottom w:val="none" w:sz="0" w:space="0" w:color="auto"/>
                        <w:right w:val="none" w:sz="0" w:space="0" w:color="auto"/>
                      </w:divBdr>
                    </w:div>
                    <w:div w:id="2147047958">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 w:id="2044331159">
      <w:bodyDiv w:val="1"/>
      <w:marLeft w:val="0"/>
      <w:marRight w:val="0"/>
      <w:marTop w:val="0"/>
      <w:marBottom w:val="0"/>
      <w:divBdr>
        <w:top w:val="none" w:sz="0" w:space="0" w:color="auto"/>
        <w:left w:val="none" w:sz="0" w:space="0" w:color="auto"/>
        <w:bottom w:val="none" w:sz="0" w:space="0" w:color="auto"/>
        <w:right w:val="none" w:sz="0" w:space="0" w:color="auto"/>
      </w:divBdr>
      <w:divsChild>
        <w:div w:id="1589851642">
          <w:marLeft w:val="475"/>
          <w:marRight w:val="0"/>
          <w:marTop w:val="240"/>
          <w:marBottom w:val="120"/>
          <w:divBdr>
            <w:top w:val="none" w:sz="0" w:space="0" w:color="auto"/>
            <w:left w:val="none" w:sz="0" w:space="0" w:color="auto"/>
            <w:bottom w:val="none" w:sz="0" w:space="0" w:color="auto"/>
            <w:right w:val="none" w:sz="0" w:space="0" w:color="auto"/>
          </w:divBdr>
        </w:div>
        <w:div w:id="159194745">
          <w:marLeft w:val="994"/>
          <w:marRight w:val="0"/>
          <w:marTop w:val="240"/>
          <w:marBottom w:val="120"/>
          <w:divBdr>
            <w:top w:val="none" w:sz="0" w:space="0" w:color="auto"/>
            <w:left w:val="none" w:sz="0" w:space="0" w:color="auto"/>
            <w:bottom w:val="none" w:sz="0" w:space="0" w:color="auto"/>
            <w:right w:val="none" w:sz="0" w:space="0" w:color="auto"/>
          </w:divBdr>
        </w:div>
        <w:div w:id="485167363">
          <w:marLeft w:val="994"/>
          <w:marRight w:val="0"/>
          <w:marTop w:val="240"/>
          <w:marBottom w:val="120"/>
          <w:divBdr>
            <w:top w:val="none" w:sz="0" w:space="0" w:color="auto"/>
            <w:left w:val="none" w:sz="0" w:space="0" w:color="auto"/>
            <w:bottom w:val="none" w:sz="0" w:space="0" w:color="auto"/>
            <w:right w:val="none" w:sz="0" w:space="0" w:color="auto"/>
          </w:divBdr>
        </w:div>
        <w:div w:id="1207372557">
          <w:marLeft w:val="994"/>
          <w:marRight w:val="0"/>
          <w:marTop w:val="240"/>
          <w:marBottom w:val="240"/>
          <w:divBdr>
            <w:top w:val="none" w:sz="0" w:space="0" w:color="auto"/>
            <w:left w:val="none" w:sz="0" w:space="0" w:color="auto"/>
            <w:bottom w:val="none" w:sz="0" w:space="0" w:color="auto"/>
            <w:right w:val="none" w:sz="0" w:space="0" w:color="auto"/>
          </w:divBdr>
        </w:div>
      </w:divsChild>
    </w:div>
    <w:div w:id="2061006565">
      <w:bodyDiv w:val="1"/>
      <w:marLeft w:val="0"/>
      <w:marRight w:val="0"/>
      <w:marTop w:val="0"/>
      <w:marBottom w:val="0"/>
      <w:divBdr>
        <w:top w:val="none" w:sz="0" w:space="0" w:color="auto"/>
        <w:left w:val="none" w:sz="0" w:space="0" w:color="auto"/>
        <w:bottom w:val="none" w:sz="0" w:space="0" w:color="auto"/>
        <w:right w:val="none" w:sz="0" w:space="0" w:color="auto"/>
      </w:divBdr>
    </w:div>
    <w:div w:id="2080401731">
      <w:bodyDiv w:val="1"/>
      <w:marLeft w:val="0"/>
      <w:marRight w:val="0"/>
      <w:marTop w:val="0"/>
      <w:marBottom w:val="0"/>
      <w:divBdr>
        <w:top w:val="none" w:sz="0" w:space="0" w:color="auto"/>
        <w:left w:val="none" w:sz="0" w:space="0" w:color="auto"/>
        <w:bottom w:val="none" w:sz="0" w:space="0" w:color="auto"/>
        <w:right w:val="none" w:sz="0" w:space="0" w:color="auto"/>
      </w:divBdr>
      <w:divsChild>
        <w:div w:id="195000495">
          <w:marLeft w:val="0"/>
          <w:marRight w:val="0"/>
          <w:marTop w:val="0"/>
          <w:marBottom w:val="0"/>
          <w:divBdr>
            <w:top w:val="none" w:sz="0" w:space="0" w:color="auto"/>
            <w:left w:val="none" w:sz="0" w:space="0" w:color="auto"/>
            <w:bottom w:val="none" w:sz="0" w:space="0" w:color="auto"/>
            <w:right w:val="none" w:sz="0" w:space="0" w:color="auto"/>
          </w:divBdr>
        </w:div>
        <w:div w:id="25921646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8.png"/><Relationship Id="rId21" Type="http://schemas.microsoft.com/office/2007/relationships/diagramDrawing" Target="diagrams/drawing1.xml"/><Relationship Id="rId42" Type="http://schemas.openxmlformats.org/officeDocument/2006/relationships/hyperlink" Target="https://www.bloomberglaw.com/product/tax/document/X35DFBH8?jcsearch=ORS%20317.705&amp;summary=yes" TargetMode="External"/><Relationship Id="rId47" Type="http://schemas.openxmlformats.org/officeDocument/2006/relationships/hyperlink" Target="https://www.bloomberglaw.com/product/tax/document/1?citation=72%20p%20s%20sc%209705&amp;summary=yes" TargetMode="External"/><Relationship Id="rId63" Type="http://schemas.openxmlformats.org/officeDocument/2006/relationships/hyperlink" Target="https://docs.legis.wisconsin.gov/statutes/statutes/71/xii/775" TargetMode="External"/><Relationship Id="rId68" Type="http://schemas.openxmlformats.org/officeDocument/2006/relationships/hyperlink" Target="https://docs.legis.wisconsin.gov/code/admin_code/tax/2/62/8" TargetMode="External"/><Relationship Id="rId7" Type="http://schemas.openxmlformats.org/officeDocument/2006/relationships/endnotes" Target="endnotes.xml"/><Relationship Id="rId71"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6.png"/><Relationship Id="rId29" Type="http://schemas.microsoft.com/office/2011/relationships/commentsExtended" Target="commentsExtended.xml"/><Relationship Id="rId11" Type="http://schemas.openxmlformats.org/officeDocument/2006/relationships/hyperlink" Target="https://www.mtc.gov/uniformity/project-on-state-taxation-of-partnerships/" TargetMode="External"/><Relationship Id="rId24" Type="http://schemas.openxmlformats.org/officeDocument/2006/relationships/image" Target="media/image7.png"/><Relationship Id="rId32" Type="http://schemas.openxmlformats.org/officeDocument/2006/relationships/image" Target="media/image9.png"/><Relationship Id="rId37" Type="http://schemas.openxmlformats.org/officeDocument/2006/relationships/hyperlink" Target="https://revisor.mo.gov/main/OneChapterRng.aspx?tb1=143.005%20to%20143.998" TargetMode="External"/><Relationship Id="rId40" Type="http://schemas.openxmlformats.org/officeDocument/2006/relationships/hyperlink" Target="https://www.bloomberglaw.com/product/tax/document/1?citation=N.D.%20Cent.%20Code%20%C2%A7%2057-38.1-09&amp;amp;summary=yes" TargetMode="External"/><Relationship Id="rId45" Type="http://schemas.openxmlformats.org/officeDocument/2006/relationships/hyperlink" Target="https://www.bloomberglaw.com/product/tax/document/1?citation=72%20p%20s%20sc%207602.6&amp;summary=yes" TargetMode="External"/><Relationship Id="rId53" Type="http://schemas.openxmlformats.org/officeDocument/2006/relationships/hyperlink" Target="https://www.revenue.wi.gov/TaxForms2023/2023-Schedule-A-01-Inst.pdf" TargetMode="External"/><Relationship Id="rId58" Type="http://schemas.openxmlformats.org/officeDocument/2006/relationships/hyperlink" Target="https://docs.legis.wisconsin.gov/statutes/statutes/71/iii/21/6/d/1" TargetMode="External"/><Relationship Id="rId66" Type="http://schemas.openxmlformats.org/officeDocument/2006/relationships/hyperlink" Target="https://docs.legis.wisconsin.gov/code/admin_code/tax/2/61/7/e" TargetMode="External"/><Relationship Id="rId5" Type="http://schemas.openxmlformats.org/officeDocument/2006/relationships/webSettings" Target="webSettings.xml"/><Relationship Id="rId61" Type="http://schemas.openxmlformats.org/officeDocument/2006/relationships/hyperlink" Target="https://docs.legis.wisconsin.gov/statutes/statutes/71/iv/255/5/a/6" TargetMode="External"/><Relationship Id="rId19" Type="http://schemas.openxmlformats.org/officeDocument/2006/relationships/diagramQuickStyle" Target="diagrams/quickStyle1.xml"/><Relationship Id="rId14" Type="http://schemas.openxmlformats.org/officeDocument/2006/relationships/image" Target="media/image4.png"/><Relationship Id="rId22" Type="http://schemas.openxmlformats.org/officeDocument/2006/relationships/hyperlink" Target="https://www.uniformlaws.org/viewdocument/final-act-98?CommunityKey=52456941-7883-47a5-91b6-d2f086d0bb44&amp;tab=librarydocuments" TargetMode="External"/><Relationship Id="rId27" Type="http://schemas.openxmlformats.org/officeDocument/2006/relationships/hyperlink" Target="https://www.mtc.gov/wp-content/uploads/2023/02/Model-Compact-Article-IV-UDITPA-2015V2.pdf" TargetMode="External"/><Relationship Id="rId30" Type="http://schemas.microsoft.com/office/2016/09/relationships/commentsIds" Target="commentsIds.xml"/><Relationship Id="rId35" Type="http://schemas.openxmlformats.org/officeDocument/2006/relationships/image" Target="media/image12.png"/><Relationship Id="rId43" Type="http://schemas.openxmlformats.org/officeDocument/2006/relationships/hyperlink" Target="https://www.bloomberglaw.com/product/tax/document/1?citation=72%20p%20s%20sc%207401(3)&amp;summary=yes" TargetMode="External"/><Relationship Id="rId48" Type="http://schemas.openxmlformats.org/officeDocument/2006/relationships/hyperlink" Target="https://www.revenue.pa.gov/FormsandPublications/PAPersonalIncomeTaxGuide/Pages/Pass-Through-Entities.aspx" TargetMode="External"/><Relationship Id="rId56" Type="http://schemas.openxmlformats.org/officeDocument/2006/relationships/hyperlink" Target="https://docs.legis.wisconsin.gov/statutes/statutes/71/i/04/1" TargetMode="External"/><Relationship Id="rId64" Type="http://schemas.openxmlformats.org/officeDocument/2006/relationships/hyperlink" Target="https://docs.legis.wisconsin.gov/code/admin_code/tax/2/39" TargetMode="External"/><Relationship Id="rId69"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www.revenue.wi.gov/WisconsinTaxBulletin/208-01-20-WTB.pdf"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diagramData" Target="diagrams/data1.xml"/><Relationship Id="rId25" Type="http://schemas.openxmlformats.org/officeDocument/2006/relationships/hyperlink" Target="https://www.mtc.gov/uniformity/project-on-state-taxation-of-partnerships/" TargetMode="External"/><Relationship Id="rId33" Type="http://schemas.openxmlformats.org/officeDocument/2006/relationships/image" Target="media/image10.png"/><Relationship Id="rId38" Type="http://schemas.openxmlformats.org/officeDocument/2006/relationships/hyperlink" Target="https://www.tax.ny.gov/pdf/rulemaking/dec1123/corpreform/text.pdf" TargetMode="External"/><Relationship Id="rId46" Type="http://schemas.openxmlformats.org/officeDocument/2006/relationships/hyperlink" Target="https://www.bloomberglaw.com/product/tax/document/1?citation=61%20pa%20code%20sc%20153.29&amp;summary=yes" TargetMode="External"/><Relationship Id="rId59" Type="http://schemas.openxmlformats.org/officeDocument/2006/relationships/hyperlink" Target="https://docs.legis.wisconsin.gov/statutes/statutes/71/iv/255/5/a/6" TargetMode="External"/><Relationship Id="rId67" Type="http://schemas.openxmlformats.org/officeDocument/2006/relationships/hyperlink" Target="https://docs.legis.wisconsin.gov/code/admin_code/tax/2/62/7" TargetMode="External"/><Relationship Id="rId20" Type="http://schemas.openxmlformats.org/officeDocument/2006/relationships/diagramColors" Target="diagrams/colors1.xml"/><Relationship Id="rId41" Type="http://schemas.openxmlformats.org/officeDocument/2006/relationships/hyperlink" Target="https://www.bloomberglaw.com/product/tax/document/1?citation=N.D.%20Cent.%20Code%20%C2%A7%2057-38.1&amp;amp;summary=yes" TargetMode="External"/><Relationship Id="rId54" Type="http://schemas.openxmlformats.org/officeDocument/2006/relationships/hyperlink" Target="https://www.revenue.wi.gov/Pages/FAQS/ise-passthrough-tax.aspx" TargetMode="External"/><Relationship Id="rId62" Type="http://schemas.openxmlformats.org/officeDocument/2006/relationships/hyperlink" Target="https://docs.legis.wisconsin.gov/statutes/statutes/71/v/362"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svg"/><Relationship Id="rId23" Type="http://schemas.openxmlformats.org/officeDocument/2006/relationships/hyperlink" Target="https://www.uniformlaws.org/viewdocument/final-act-83?CommunityKey=bbea059c-6853-4f45-b69b-7ca2e49cf740&amp;tab=librarydocuments" TargetMode="External"/><Relationship Id="rId28" Type="http://schemas.openxmlformats.org/officeDocument/2006/relationships/comments" Target="comments.xml"/><Relationship Id="rId36" Type="http://schemas.openxmlformats.org/officeDocument/2006/relationships/hyperlink" Target="https://www.mtc.gov/wp-content/uploads/2023/02/Add-Back-FINAL-version.pdf" TargetMode="External"/><Relationship Id="rId49" Type="http://schemas.openxmlformats.org/officeDocument/2006/relationships/hyperlink" Target="https://www.revenue.wi.gov/TaxForms2023/2023-Schedule3K-1-Inst.pdf" TargetMode="External"/><Relationship Id="rId57" Type="http://schemas.openxmlformats.org/officeDocument/2006/relationships/hyperlink" Target="https://docs.legis.wisconsin.gov/statutes/statutes/71/ii/14" TargetMode="External"/><Relationship Id="rId10" Type="http://schemas.openxmlformats.org/officeDocument/2006/relationships/hyperlink" Target="mailto:hhecht@mtc.gov" TargetMode="External"/><Relationship Id="rId31" Type="http://schemas.microsoft.com/office/2018/08/relationships/commentsExtensible" Target="commentsExtensible.xml"/><Relationship Id="rId44" Type="http://schemas.openxmlformats.org/officeDocument/2006/relationships/hyperlink" Target="https://www.bloomberglaw.com/product/tax/document/1?citation=61%20pa%20code%20sc%20109.5&amp;summary=yes" TargetMode="External"/><Relationship Id="rId52" Type="http://schemas.openxmlformats.org/officeDocument/2006/relationships/hyperlink" Target="https://www.revenue.wi.gov/WisconsinTaxBulletin/209-04-20-WTB.pdf" TargetMode="External"/><Relationship Id="rId60" Type="http://schemas.openxmlformats.org/officeDocument/2006/relationships/hyperlink" Target="https://docs.legis.wisconsin.gov/statutes/statutes/71/iv/255/1/n" TargetMode="External"/><Relationship Id="rId65" Type="http://schemas.openxmlformats.org/officeDocument/2006/relationships/hyperlink" Target="https://docs.legis.wisconsin.gov/code/admin_code/tax/2/41" TargetMode="External"/><Relationship Id="rId4" Type="http://schemas.openxmlformats.org/officeDocument/2006/relationships/settings" Target="settings.xml"/><Relationship Id="rId9" Type="http://schemas.microsoft.com/office/2007/relationships/hdphoto" Target="media/hdphoto1.wdp"/><Relationship Id="rId13" Type="http://schemas.openxmlformats.org/officeDocument/2006/relationships/image" Target="media/image3.png"/><Relationship Id="rId18" Type="http://schemas.openxmlformats.org/officeDocument/2006/relationships/diagramLayout" Target="diagrams/layout1.xml"/><Relationship Id="rId39" Type="http://schemas.openxmlformats.org/officeDocument/2006/relationships/hyperlink" Target="https://www.bloomberglaw.com/product/tax/document/1?citation=N.D.%20Cent.%20Code%20%C2%A7%2057-38.1&amp;amp;summary=yes" TargetMode="External"/><Relationship Id="rId34" Type="http://schemas.openxmlformats.org/officeDocument/2006/relationships/image" Target="media/image11.png"/><Relationship Id="rId50" Type="http://schemas.openxmlformats.org/officeDocument/2006/relationships/hyperlink" Target="https://www.revenue.wi.gov/WisconsinTaxBulletin/197-04-17-combined.pdf" TargetMode="External"/><Relationship Id="rId55" Type="http://schemas.openxmlformats.org/officeDocument/2006/relationships/hyperlink" Target="https://www.revenue.wi.gov/Pages/FAQS/ise-pass.aspx" TargetMode="Externa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3.png"/></Relationships>
</file>

<file path=word/_rels/footnotes.xml.rels><?xml version="1.0" encoding="UTF-8" standalone="yes"?>
<Relationships xmlns="http://schemas.openxmlformats.org/package/2006/relationships"><Relationship Id="rId8" Type="http://schemas.openxmlformats.org/officeDocument/2006/relationships/hyperlink" Target="https://www.mtc.gov/uniformity/project-on-state-taxation-of-partnerships/" TargetMode="External"/><Relationship Id="rId3" Type="http://schemas.openxmlformats.org/officeDocument/2006/relationships/hyperlink" Target="https://www.gao.gov/products/gao-14-379r" TargetMode="External"/><Relationship Id="rId7" Type="http://schemas.openxmlformats.org/officeDocument/2006/relationships/hyperlink" Target="https://www.gao.gov/products/gao-14-732" TargetMode="External"/><Relationship Id="rId2" Type="http://schemas.openxmlformats.org/officeDocument/2006/relationships/hyperlink" Target="https://www.gao.gov/products/gao-23-106020" TargetMode="External"/><Relationship Id="rId1" Type="http://schemas.openxmlformats.org/officeDocument/2006/relationships/hyperlink" Target="https://www.law.berkeley.edu/wp-content/uploads/2022/03/2022-Michael-Love.pdf" TargetMode="External"/><Relationship Id="rId6" Type="http://schemas.openxmlformats.org/officeDocument/2006/relationships/hyperlink" Target="https://papers.ssrn.com/sol3/papers.cfm?abstract_id=1479609" TargetMode="External"/><Relationship Id="rId11" Type="http://schemas.openxmlformats.org/officeDocument/2006/relationships/hyperlink" Target="https://www.mtc.gov/wp-content/uploads/2023/12/White-Paper-on-Guaranteed-Payments-Final-Version-October-12-2023-Updated-12-11-23.pdf" TargetMode="External"/><Relationship Id="rId5" Type="http://schemas.openxmlformats.org/officeDocument/2006/relationships/hyperlink" Target="https://repository.law.umich.edu/cgi/viewcontent.cgi?article=1045&amp;context=mbelr" TargetMode="External"/><Relationship Id="rId10" Type="http://schemas.openxmlformats.org/officeDocument/2006/relationships/hyperlink" Target="https://www.mtc.gov/wp-content/uploads/2023/06/Model-Statute-for-Combined-Filing-Finnigan-Adopted.pdf" TargetMode="External"/><Relationship Id="rId4" Type="http://schemas.openxmlformats.org/officeDocument/2006/relationships/hyperlink" Target="https://papers.ssrn.com/sol3/papers.cfm?abstract_id=5014267" TargetMode="External"/><Relationship Id="rId9" Type="http://schemas.openxmlformats.org/officeDocument/2006/relationships/hyperlink" Target="https://www.mtc.gov/wp-content/uploads/2023/02/Combined-Reporting-FINAL-version.pdf"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9967D66-860F-4A55-B3E6-A7F88A0A47F6}" type="doc">
      <dgm:prSet loTypeId="urn:microsoft.com/office/officeart/2005/8/layout/gear1" loCatId="relationship" qsTypeId="urn:microsoft.com/office/officeart/2005/8/quickstyle/3d1" qsCatId="3D" csTypeId="urn:microsoft.com/office/officeart/2005/8/colors/accent0_3" csCatId="mainScheme" phldr="1"/>
      <dgm:spPr/>
    </dgm:pt>
    <dgm:pt modelId="{ACF66A72-EA72-47AF-9D86-9C959C220B2B}">
      <dgm:prSet phldrT="[Text]"/>
      <dgm:spPr>
        <a:gradFill rotWithShape="0">
          <a:gsLst>
            <a:gs pos="0">
              <a:srgbClr val="3A6B86"/>
            </a:gs>
            <a:gs pos="32000">
              <a:srgbClr val="0EA4E0"/>
            </a:gs>
            <a:gs pos="100000">
              <a:schemeClr val="dk2">
                <a:hueOff val="0"/>
                <a:satOff val="0"/>
                <a:lumOff val="0"/>
                <a:alphaOff val="0"/>
                <a:shade val="94000"/>
                <a:satMod val="135000"/>
              </a:schemeClr>
            </a:gs>
          </a:gsLst>
        </a:gradFill>
      </dgm:spPr>
      <dgm:t>
        <a:bodyPr/>
        <a:lstStyle/>
        <a:p>
          <a:pPr algn="ctr"/>
          <a:r>
            <a:rPr lang="en-US" b="1"/>
            <a:t>State Tax Sourcing  Rules</a:t>
          </a:r>
          <a:endParaRPr lang="en-US" b="1" dirty="0"/>
        </a:p>
      </dgm:t>
    </dgm:pt>
    <dgm:pt modelId="{2A3C0D7F-7E67-4168-B474-DE5C8F805620}" type="parTrans" cxnId="{E27506FB-A07E-4DC9-B230-0DC05BB89EE9}">
      <dgm:prSet/>
      <dgm:spPr/>
      <dgm:t>
        <a:bodyPr/>
        <a:lstStyle/>
        <a:p>
          <a:pPr algn="ctr"/>
          <a:endParaRPr lang="en-US"/>
        </a:p>
      </dgm:t>
    </dgm:pt>
    <dgm:pt modelId="{3497B1D9-3386-4887-879B-EF24BEB2F57A}" type="sibTrans" cxnId="{E27506FB-A07E-4DC9-B230-0DC05BB89EE9}">
      <dgm:prSet/>
      <dgm:spPr/>
      <dgm:t>
        <a:bodyPr/>
        <a:lstStyle/>
        <a:p>
          <a:pPr algn="ctr"/>
          <a:endParaRPr lang="en-US"/>
        </a:p>
      </dgm:t>
    </dgm:pt>
    <dgm:pt modelId="{634AB32D-D9C7-49D1-B1A2-7D1A67D012BA}">
      <dgm:prSet phldrT="[Text]"/>
      <dgm:spPr>
        <a:gradFill rotWithShape="0">
          <a:gsLst>
            <a:gs pos="0">
              <a:srgbClr val="3A6B86"/>
            </a:gs>
            <a:gs pos="33000">
              <a:srgbClr val="0EA4E0"/>
            </a:gs>
            <a:gs pos="100000">
              <a:schemeClr val="dk2">
                <a:hueOff val="0"/>
                <a:satOff val="0"/>
                <a:lumOff val="0"/>
                <a:alphaOff val="0"/>
                <a:shade val="94000"/>
                <a:satMod val="135000"/>
              </a:schemeClr>
            </a:gs>
          </a:gsLst>
        </a:gradFill>
      </dgm:spPr>
      <dgm:t>
        <a:bodyPr/>
        <a:lstStyle/>
        <a:p>
          <a:pPr algn="ctr"/>
          <a:r>
            <a:rPr lang="en-US" b="1" dirty="0"/>
            <a:t>Federal Tax Law</a:t>
          </a:r>
        </a:p>
      </dgm:t>
    </dgm:pt>
    <dgm:pt modelId="{E018AD67-B71B-4888-BC30-A35E976674A2}" type="parTrans" cxnId="{DA09E3B0-E3DC-4965-950D-2458A76D60F1}">
      <dgm:prSet/>
      <dgm:spPr/>
      <dgm:t>
        <a:bodyPr/>
        <a:lstStyle/>
        <a:p>
          <a:pPr algn="ctr"/>
          <a:endParaRPr lang="en-US"/>
        </a:p>
      </dgm:t>
    </dgm:pt>
    <dgm:pt modelId="{70FDD498-BCB0-48B8-8C68-F30307D90DCF}" type="sibTrans" cxnId="{DA09E3B0-E3DC-4965-950D-2458A76D60F1}">
      <dgm:prSet/>
      <dgm:spPr/>
      <dgm:t>
        <a:bodyPr/>
        <a:lstStyle/>
        <a:p>
          <a:pPr algn="ctr"/>
          <a:endParaRPr lang="en-US"/>
        </a:p>
      </dgm:t>
    </dgm:pt>
    <dgm:pt modelId="{FF5C248F-4593-4649-912D-29839BB9EB6E}">
      <dgm:prSet phldrT="[Text]"/>
      <dgm:spPr>
        <a:gradFill rotWithShape="0">
          <a:gsLst>
            <a:gs pos="0">
              <a:srgbClr val="3A6B86"/>
            </a:gs>
            <a:gs pos="30000">
              <a:srgbClr val="0EA4E0"/>
            </a:gs>
            <a:gs pos="100000">
              <a:schemeClr val="dk2">
                <a:hueOff val="0"/>
                <a:satOff val="0"/>
                <a:lumOff val="0"/>
                <a:alphaOff val="0"/>
                <a:shade val="94000"/>
                <a:satMod val="135000"/>
              </a:schemeClr>
            </a:gs>
          </a:gsLst>
        </a:gradFill>
      </dgm:spPr>
      <dgm:t>
        <a:bodyPr/>
        <a:lstStyle/>
        <a:p>
          <a:pPr algn="ctr"/>
          <a:r>
            <a:rPr lang="en-US" b="1" dirty="0"/>
            <a:t>State Laws Governing Formation</a:t>
          </a:r>
        </a:p>
      </dgm:t>
    </dgm:pt>
    <dgm:pt modelId="{1CA40E43-649F-40D0-A7B5-ECA1A6A5885C}" type="parTrans" cxnId="{623A0610-4EC0-4963-83A6-562AC7992AB1}">
      <dgm:prSet/>
      <dgm:spPr/>
      <dgm:t>
        <a:bodyPr/>
        <a:lstStyle/>
        <a:p>
          <a:pPr algn="ctr"/>
          <a:endParaRPr lang="en-US"/>
        </a:p>
      </dgm:t>
    </dgm:pt>
    <dgm:pt modelId="{879B037B-B3D4-4954-B819-F68050D35AFA}" type="sibTrans" cxnId="{623A0610-4EC0-4963-83A6-562AC7992AB1}">
      <dgm:prSet/>
      <dgm:spPr/>
      <dgm:t>
        <a:bodyPr/>
        <a:lstStyle/>
        <a:p>
          <a:pPr algn="ctr"/>
          <a:endParaRPr lang="en-US"/>
        </a:p>
      </dgm:t>
    </dgm:pt>
    <dgm:pt modelId="{28A72FB6-9D17-494A-9ED7-73A9B48B5FA9}" type="pres">
      <dgm:prSet presAssocID="{29967D66-860F-4A55-B3E6-A7F88A0A47F6}" presName="composite" presStyleCnt="0">
        <dgm:presLayoutVars>
          <dgm:chMax val="3"/>
          <dgm:animLvl val="lvl"/>
          <dgm:resizeHandles val="exact"/>
        </dgm:presLayoutVars>
      </dgm:prSet>
      <dgm:spPr/>
    </dgm:pt>
    <dgm:pt modelId="{3F79211A-6AE0-46B6-A9AC-98EBA60B5CB9}" type="pres">
      <dgm:prSet presAssocID="{ACF66A72-EA72-47AF-9D86-9C959C220B2B}" presName="gear1" presStyleLbl="node1" presStyleIdx="0" presStyleCnt="3" custLinFactNeighborX="2280" custLinFactNeighborY="31164">
        <dgm:presLayoutVars>
          <dgm:chMax val="1"/>
          <dgm:bulletEnabled val="1"/>
        </dgm:presLayoutVars>
      </dgm:prSet>
      <dgm:spPr/>
    </dgm:pt>
    <dgm:pt modelId="{83618245-1C2F-4F52-A897-D560152EF526}" type="pres">
      <dgm:prSet presAssocID="{ACF66A72-EA72-47AF-9D86-9C959C220B2B}" presName="gear1srcNode" presStyleLbl="node1" presStyleIdx="0" presStyleCnt="3"/>
      <dgm:spPr/>
    </dgm:pt>
    <dgm:pt modelId="{6794F3DE-38E0-423E-94AC-FFE41F14238D}" type="pres">
      <dgm:prSet presAssocID="{ACF66A72-EA72-47AF-9D86-9C959C220B2B}" presName="gear1dstNode" presStyleLbl="node1" presStyleIdx="0" presStyleCnt="3"/>
      <dgm:spPr/>
    </dgm:pt>
    <dgm:pt modelId="{8DE9F62A-2CBA-4D04-8686-636C4A9B2FD5}" type="pres">
      <dgm:prSet presAssocID="{634AB32D-D9C7-49D1-B1A2-7D1A67D012BA}" presName="gear2" presStyleLbl="node1" presStyleIdx="1" presStyleCnt="3" custScaleX="126428" custScaleY="129415" custLinFactNeighborX="-15267" custLinFactNeighborY="33154">
        <dgm:presLayoutVars>
          <dgm:chMax val="1"/>
          <dgm:bulletEnabled val="1"/>
        </dgm:presLayoutVars>
      </dgm:prSet>
      <dgm:spPr/>
    </dgm:pt>
    <dgm:pt modelId="{80FE7762-EF4A-41C3-A007-3A71BB784433}" type="pres">
      <dgm:prSet presAssocID="{634AB32D-D9C7-49D1-B1A2-7D1A67D012BA}" presName="gear2srcNode" presStyleLbl="node1" presStyleIdx="1" presStyleCnt="3"/>
      <dgm:spPr/>
    </dgm:pt>
    <dgm:pt modelId="{71ECE182-59A0-4226-B7AA-0C0834799BDD}" type="pres">
      <dgm:prSet presAssocID="{634AB32D-D9C7-49D1-B1A2-7D1A67D012BA}" presName="gear2dstNode" presStyleLbl="node1" presStyleIdx="1" presStyleCnt="3"/>
      <dgm:spPr/>
    </dgm:pt>
    <dgm:pt modelId="{4BE08933-97D6-406D-BDD6-87D7145DA32F}" type="pres">
      <dgm:prSet presAssocID="{FF5C248F-4593-4649-912D-29839BB9EB6E}" presName="gear3" presStyleLbl="node1" presStyleIdx="2" presStyleCnt="3" custScaleX="132006" custScaleY="127818" custLinFactNeighborX="-4"/>
      <dgm:spPr/>
    </dgm:pt>
    <dgm:pt modelId="{E3B686E3-EB3E-4AB2-8AF7-1271B0F5908C}" type="pres">
      <dgm:prSet presAssocID="{FF5C248F-4593-4649-912D-29839BB9EB6E}" presName="gear3tx" presStyleLbl="node1" presStyleIdx="2" presStyleCnt="3">
        <dgm:presLayoutVars>
          <dgm:chMax val="1"/>
          <dgm:bulletEnabled val="1"/>
        </dgm:presLayoutVars>
      </dgm:prSet>
      <dgm:spPr/>
    </dgm:pt>
    <dgm:pt modelId="{D4490D89-3F3A-433F-9995-7CB92B0877C2}" type="pres">
      <dgm:prSet presAssocID="{FF5C248F-4593-4649-912D-29839BB9EB6E}" presName="gear3srcNode" presStyleLbl="node1" presStyleIdx="2" presStyleCnt="3"/>
      <dgm:spPr/>
    </dgm:pt>
    <dgm:pt modelId="{EBA65171-0568-4A1A-A8EF-678BE86059E9}" type="pres">
      <dgm:prSet presAssocID="{FF5C248F-4593-4649-912D-29839BB9EB6E}" presName="gear3dstNode" presStyleLbl="node1" presStyleIdx="2" presStyleCnt="3"/>
      <dgm:spPr/>
    </dgm:pt>
    <dgm:pt modelId="{97E0D12F-B8E0-491D-B296-4D3DA061E040}" type="pres">
      <dgm:prSet presAssocID="{3497B1D9-3386-4887-879B-EF24BEB2F57A}" presName="connector1" presStyleLbl="sibTrans2D1" presStyleIdx="0" presStyleCnt="3"/>
      <dgm:spPr/>
    </dgm:pt>
    <dgm:pt modelId="{E0AB9ADC-F36A-48B2-8E49-3243A599C2A6}" type="pres">
      <dgm:prSet presAssocID="{70FDD498-BCB0-48B8-8C68-F30307D90DCF}" presName="connector2" presStyleLbl="sibTrans2D1" presStyleIdx="1" presStyleCnt="3" custLinFactNeighborX="-20468" custLinFactNeighborY="20464"/>
      <dgm:spPr/>
    </dgm:pt>
    <dgm:pt modelId="{1D65D046-D1FF-4C65-A5B0-EB57BFD9A613}" type="pres">
      <dgm:prSet presAssocID="{879B037B-B3D4-4954-B819-F68050D35AFA}" presName="connector3" presStyleLbl="sibTrans2D1" presStyleIdx="2" presStyleCnt="3" custLinFactNeighborX="-11705"/>
      <dgm:spPr/>
    </dgm:pt>
  </dgm:ptLst>
  <dgm:cxnLst>
    <dgm:cxn modelId="{8DA7DB01-44FB-4443-A389-75F5F775B952}" type="presOf" srcId="{634AB32D-D9C7-49D1-B1A2-7D1A67D012BA}" destId="{71ECE182-59A0-4226-B7AA-0C0834799BDD}" srcOrd="2" destOrd="0" presId="urn:microsoft.com/office/officeart/2005/8/layout/gear1"/>
    <dgm:cxn modelId="{6125350A-EC96-4E2A-8E70-53CFFCE8F30E}" type="presOf" srcId="{634AB32D-D9C7-49D1-B1A2-7D1A67D012BA}" destId="{80FE7762-EF4A-41C3-A007-3A71BB784433}" srcOrd="1" destOrd="0" presId="urn:microsoft.com/office/officeart/2005/8/layout/gear1"/>
    <dgm:cxn modelId="{5F23440B-E4A3-435B-8A83-8228590F1104}" type="presOf" srcId="{ACF66A72-EA72-47AF-9D86-9C959C220B2B}" destId="{6794F3DE-38E0-423E-94AC-FFE41F14238D}" srcOrd="2" destOrd="0" presId="urn:microsoft.com/office/officeart/2005/8/layout/gear1"/>
    <dgm:cxn modelId="{623A0610-4EC0-4963-83A6-562AC7992AB1}" srcId="{29967D66-860F-4A55-B3E6-A7F88A0A47F6}" destId="{FF5C248F-4593-4649-912D-29839BB9EB6E}" srcOrd="2" destOrd="0" parTransId="{1CA40E43-649F-40D0-A7B5-ECA1A6A5885C}" sibTransId="{879B037B-B3D4-4954-B819-F68050D35AFA}"/>
    <dgm:cxn modelId="{4965AA48-CB0D-4EE4-A8D1-86F45C55C097}" type="presOf" srcId="{3497B1D9-3386-4887-879B-EF24BEB2F57A}" destId="{97E0D12F-B8E0-491D-B296-4D3DA061E040}" srcOrd="0" destOrd="0" presId="urn:microsoft.com/office/officeart/2005/8/layout/gear1"/>
    <dgm:cxn modelId="{C0E1CF4E-5B58-4C89-810C-F888C8BE2BED}" type="presOf" srcId="{634AB32D-D9C7-49D1-B1A2-7D1A67D012BA}" destId="{8DE9F62A-2CBA-4D04-8686-636C4A9B2FD5}" srcOrd="0" destOrd="0" presId="urn:microsoft.com/office/officeart/2005/8/layout/gear1"/>
    <dgm:cxn modelId="{9CC2E376-2E2A-4923-80DD-3630FAD5A2EE}" type="presOf" srcId="{FF5C248F-4593-4649-912D-29839BB9EB6E}" destId="{4BE08933-97D6-406D-BDD6-87D7145DA32F}" srcOrd="0" destOrd="0" presId="urn:microsoft.com/office/officeart/2005/8/layout/gear1"/>
    <dgm:cxn modelId="{BD1AFE7B-D9AA-49A7-850C-6411E757B748}" type="presOf" srcId="{FF5C248F-4593-4649-912D-29839BB9EB6E}" destId="{D4490D89-3F3A-433F-9995-7CB92B0877C2}" srcOrd="2" destOrd="0" presId="urn:microsoft.com/office/officeart/2005/8/layout/gear1"/>
    <dgm:cxn modelId="{E19B818D-9716-4BC8-A1D0-028455004CC6}" type="presOf" srcId="{FF5C248F-4593-4649-912D-29839BB9EB6E}" destId="{E3B686E3-EB3E-4AB2-8AF7-1271B0F5908C}" srcOrd="1" destOrd="0" presId="urn:microsoft.com/office/officeart/2005/8/layout/gear1"/>
    <dgm:cxn modelId="{E5186693-DEB8-441E-819E-6643D367EDF1}" type="presOf" srcId="{879B037B-B3D4-4954-B819-F68050D35AFA}" destId="{1D65D046-D1FF-4C65-A5B0-EB57BFD9A613}" srcOrd="0" destOrd="0" presId="urn:microsoft.com/office/officeart/2005/8/layout/gear1"/>
    <dgm:cxn modelId="{C6ADB7AB-8E98-4CDD-8079-604941134B88}" type="presOf" srcId="{29967D66-860F-4A55-B3E6-A7F88A0A47F6}" destId="{28A72FB6-9D17-494A-9ED7-73A9B48B5FA9}" srcOrd="0" destOrd="0" presId="urn:microsoft.com/office/officeart/2005/8/layout/gear1"/>
    <dgm:cxn modelId="{A5829AAE-BB0E-4364-8683-EE1EC9CF1D5D}" type="presOf" srcId="{FF5C248F-4593-4649-912D-29839BB9EB6E}" destId="{EBA65171-0568-4A1A-A8EF-678BE86059E9}" srcOrd="3" destOrd="0" presId="urn:microsoft.com/office/officeart/2005/8/layout/gear1"/>
    <dgm:cxn modelId="{DA09E3B0-E3DC-4965-950D-2458A76D60F1}" srcId="{29967D66-860F-4A55-B3E6-A7F88A0A47F6}" destId="{634AB32D-D9C7-49D1-B1A2-7D1A67D012BA}" srcOrd="1" destOrd="0" parTransId="{E018AD67-B71B-4888-BC30-A35E976674A2}" sibTransId="{70FDD498-BCB0-48B8-8C68-F30307D90DCF}"/>
    <dgm:cxn modelId="{2973D1C0-F7FE-4FBB-B59E-27F1F237700A}" type="presOf" srcId="{ACF66A72-EA72-47AF-9D86-9C959C220B2B}" destId="{3F79211A-6AE0-46B6-A9AC-98EBA60B5CB9}" srcOrd="0" destOrd="0" presId="urn:microsoft.com/office/officeart/2005/8/layout/gear1"/>
    <dgm:cxn modelId="{47B812C6-3255-4F30-819F-88588D572674}" type="presOf" srcId="{70FDD498-BCB0-48B8-8C68-F30307D90DCF}" destId="{E0AB9ADC-F36A-48B2-8E49-3243A599C2A6}" srcOrd="0" destOrd="0" presId="urn:microsoft.com/office/officeart/2005/8/layout/gear1"/>
    <dgm:cxn modelId="{9A914FEC-BA68-412F-9905-B844E82920D9}" type="presOf" srcId="{ACF66A72-EA72-47AF-9D86-9C959C220B2B}" destId="{83618245-1C2F-4F52-A897-D560152EF526}" srcOrd="1" destOrd="0" presId="urn:microsoft.com/office/officeart/2005/8/layout/gear1"/>
    <dgm:cxn modelId="{E27506FB-A07E-4DC9-B230-0DC05BB89EE9}" srcId="{29967D66-860F-4A55-B3E6-A7F88A0A47F6}" destId="{ACF66A72-EA72-47AF-9D86-9C959C220B2B}" srcOrd="0" destOrd="0" parTransId="{2A3C0D7F-7E67-4168-B474-DE5C8F805620}" sibTransId="{3497B1D9-3386-4887-879B-EF24BEB2F57A}"/>
    <dgm:cxn modelId="{CEBF51F2-EF7D-4C31-9D37-12A06BF5DE5D}" type="presParOf" srcId="{28A72FB6-9D17-494A-9ED7-73A9B48B5FA9}" destId="{3F79211A-6AE0-46B6-A9AC-98EBA60B5CB9}" srcOrd="0" destOrd="0" presId="urn:microsoft.com/office/officeart/2005/8/layout/gear1"/>
    <dgm:cxn modelId="{D7D1BA90-F3DE-4204-98B1-C3F28B5A9E0E}" type="presParOf" srcId="{28A72FB6-9D17-494A-9ED7-73A9B48B5FA9}" destId="{83618245-1C2F-4F52-A897-D560152EF526}" srcOrd="1" destOrd="0" presId="urn:microsoft.com/office/officeart/2005/8/layout/gear1"/>
    <dgm:cxn modelId="{8E9274A8-5141-421C-8A3F-4DEBA69EA8D7}" type="presParOf" srcId="{28A72FB6-9D17-494A-9ED7-73A9B48B5FA9}" destId="{6794F3DE-38E0-423E-94AC-FFE41F14238D}" srcOrd="2" destOrd="0" presId="urn:microsoft.com/office/officeart/2005/8/layout/gear1"/>
    <dgm:cxn modelId="{2C835980-F806-4716-B1E8-CDBB73F94178}" type="presParOf" srcId="{28A72FB6-9D17-494A-9ED7-73A9B48B5FA9}" destId="{8DE9F62A-2CBA-4D04-8686-636C4A9B2FD5}" srcOrd="3" destOrd="0" presId="urn:microsoft.com/office/officeart/2005/8/layout/gear1"/>
    <dgm:cxn modelId="{F75CFCA6-E9B3-41C7-A132-92DF15B5101D}" type="presParOf" srcId="{28A72FB6-9D17-494A-9ED7-73A9B48B5FA9}" destId="{80FE7762-EF4A-41C3-A007-3A71BB784433}" srcOrd="4" destOrd="0" presId="urn:microsoft.com/office/officeart/2005/8/layout/gear1"/>
    <dgm:cxn modelId="{5DDE6964-B5B9-4FA6-9965-15D15E201272}" type="presParOf" srcId="{28A72FB6-9D17-494A-9ED7-73A9B48B5FA9}" destId="{71ECE182-59A0-4226-B7AA-0C0834799BDD}" srcOrd="5" destOrd="0" presId="urn:microsoft.com/office/officeart/2005/8/layout/gear1"/>
    <dgm:cxn modelId="{5B5C8052-D6CC-4ADE-A08D-8CF5B6022F8E}" type="presParOf" srcId="{28A72FB6-9D17-494A-9ED7-73A9B48B5FA9}" destId="{4BE08933-97D6-406D-BDD6-87D7145DA32F}" srcOrd="6" destOrd="0" presId="urn:microsoft.com/office/officeart/2005/8/layout/gear1"/>
    <dgm:cxn modelId="{0E5DF43C-0168-48C0-91EA-81DA7C7967AD}" type="presParOf" srcId="{28A72FB6-9D17-494A-9ED7-73A9B48B5FA9}" destId="{E3B686E3-EB3E-4AB2-8AF7-1271B0F5908C}" srcOrd="7" destOrd="0" presId="urn:microsoft.com/office/officeart/2005/8/layout/gear1"/>
    <dgm:cxn modelId="{7BB0A2F0-3DD4-4603-AA9B-0D17816F4387}" type="presParOf" srcId="{28A72FB6-9D17-494A-9ED7-73A9B48B5FA9}" destId="{D4490D89-3F3A-433F-9995-7CB92B0877C2}" srcOrd="8" destOrd="0" presId="urn:microsoft.com/office/officeart/2005/8/layout/gear1"/>
    <dgm:cxn modelId="{E203665A-D61E-402A-9C06-3F6D127D2123}" type="presParOf" srcId="{28A72FB6-9D17-494A-9ED7-73A9B48B5FA9}" destId="{EBA65171-0568-4A1A-A8EF-678BE86059E9}" srcOrd="9" destOrd="0" presId="urn:microsoft.com/office/officeart/2005/8/layout/gear1"/>
    <dgm:cxn modelId="{78344B2B-EB00-47B6-9687-8C4BDCB6C618}" type="presParOf" srcId="{28A72FB6-9D17-494A-9ED7-73A9B48B5FA9}" destId="{97E0D12F-B8E0-491D-B296-4D3DA061E040}" srcOrd="10" destOrd="0" presId="urn:microsoft.com/office/officeart/2005/8/layout/gear1"/>
    <dgm:cxn modelId="{36882D15-1398-43DB-BFD3-5CA2CF024EE7}" type="presParOf" srcId="{28A72FB6-9D17-494A-9ED7-73A9B48B5FA9}" destId="{E0AB9ADC-F36A-48B2-8E49-3243A599C2A6}" srcOrd="11" destOrd="0" presId="urn:microsoft.com/office/officeart/2005/8/layout/gear1"/>
    <dgm:cxn modelId="{8FB65850-F376-4159-B1FA-D27145709825}" type="presParOf" srcId="{28A72FB6-9D17-494A-9ED7-73A9B48B5FA9}" destId="{1D65D046-D1FF-4C65-A5B0-EB57BFD9A613}" srcOrd="12" destOrd="0" presId="urn:microsoft.com/office/officeart/2005/8/layout/gear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79211A-6AE0-46B6-A9AC-98EBA60B5CB9}">
      <dsp:nvSpPr>
        <dsp:cNvPr id="0" name=""/>
        <dsp:cNvSpPr/>
      </dsp:nvSpPr>
      <dsp:spPr>
        <a:xfrm>
          <a:off x="2144912" y="1451860"/>
          <a:ext cx="1651952" cy="1651952"/>
        </a:xfrm>
        <a:prstGeom prst="gear9">
          <a:avLst/>
        </a:prstGeom>
        <a:gradFill rotWithShape="0">
          <a:gsLst>
            <a:gs pos="0">
              <a:srgbClr val="3A6B86"/>
            </a:gs>
            <a:gs pos="32000">
              <a:srgbClr val="0EA4E0"/>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b="1" kern="1200"/>
            <a:t>State Tax Sourcing  Rules</a:t>
          </a:r>
          <a:endParaRPr lang="en-US" sz="1400" b="1" kern="1200" dirty="0"/>
        </a:p>
      </dsp:txBody>
      <dsp:txXfrm>
        <a:off x="2477028" y="1838822"/>
        <a:ext cx="987720" cy="849137"/>
      </dsp:txXfrm>
    </dsp:sp>
    <dsp:sp modelId="{8DE9F62A-2CBA-4D04-8686-636C4A9B2FD5}">
      <dsp:nvSpPr>
        <dsp:cNvPr id="0" name=""/>
        <dsp:cNvSpPr/>
      </dsp:nvSpPr>
      <dsp:spPr>
        <a:xfrm>
          <a:off x="803935" y="1283019"/>
          <a:ext cx="1518931" cy="1554817"/>
        </a:xfrm>
        <a:prstGeom prst="gear6">
          <a:avLst/>
        </a:prstGeom>
        <a:gradFill rotWithShape="0">
          <a:gsLst>
            <a:gs pos="0">
              <a:srgbClr val="3A6B86"/>
            </a:gs>
            <a:gs pos="33000">
              <a:srgbClr val="0EA4E0"/>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b="1" kern="1200" dirty="0"/>
            <a:t>Federal Tax Law</a:t>
          </a:r>
        </a:p>
      </dsp:txBody>
      <dsp:txXfrm>
        <a:off x="1186330" y="1673020"/>
        <a:ext cx="754141" cy="774815"/>
      </dsp:txXfrm>
    </dsp:sp>
    <dsp:sp modelId="{4BE08933-97D6-406D-BDD6-87D7145DA32F}">
      <dsp:nvSpPr>
        <dsp:cNvPr id="0" name=""/>
        <dsp:cNvSpPr/>
      </dsp:nvSpPr>
      <dsp:spPr>
        <a:xfrm rot="20700000">
          <a:off x="1621570" y="77835"/>
          <a:ext cx="1571948" cy="1486560"/>
        </a:xfrm>
        <a:prstGeom prst="gear6">
          <a:avLst/>
        </a:prstGeom>
        <a:gradFill rotWithShape="0">
          <a:gsLst>
            <a:gs pos="0">
              <a:srgbClr val="3A6B86"/>
            </a:gs>
            <a:gs pos="30000">
              <a:srgbClr val="0EA4E0"/>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US" sz="1300" b="1" kern="1200" dirty="0"/>
            <a:t>State Laws Governing Formation</a:t>
          </a:r>
        </a:p>
      </dsp:txBody>
      <dsp:txXfrm rot="-20700000">
        <a:off x="1971409" y="398816"/>
        <a:ext cx="872270" cy="844597"/>
      </dsp:txXfrm>
    </dsp:sp>
    <dsp:sp modelId="{97E0D12F-B8E0-491D-B296-4D3DA061E040}">
      <dsp:nvSpPr>
        <dsp:cNvPr id="0" name=""/>
        <dsp:cNvSpPr/>
      </dsp:nvSpPr>
      <dsp:spPr>
        <a:xfrm>
          <a:off x="1967612" y="1209674"/>
          <a:ext cx="2114499" cy="2114499"/>
        </a:xfrm>
        <a:prstGeom prst="circularArrow">
          <a:avLst>
            <a:gd name="adj1" fmla="val 4687"/>
            <a:gd name="adj2" fmla="val 299029"/>
            <a:gd name="adj3" fmla="val 2478891"/>
            <a:gd name="adj4" fmla="val 15944046"/>
            <a:gd name="adj5" fmla="val 5469"/>
          </a:avLst>
        </a:prstGeom>
        <a:gradFill rotWithShape="0">
          <a:gsLst>
            <a:gs pos="0">
              <a:schemeClr val="dk2">
                <a:tint val="60000"/>
                <a:hueOff val="0"/>
                <a:satOff val="0"/>
                <a:lumOff val="0"/>
                <a:alphaOff val="0"/>
                <a:shade val="51000"/>
                <a:satMod val="130000"/>
              </a:schemeClr>
            </a:gs>
            <a:gs pos="80000">
              <a:schemeClr val="dk2">
                <a:tint val="60000"/>
                <a:hueOff val="0"/>
                <a:satOff val="0"/>
                <a:lumOff val="0"/>
                <a:alphaOff val="0"/>
                <a:shade val="93000"/>
                <a:satMod val="130000"/>
              </a:schemeClr>
            </a:gs>
            <a:gs pos="100000">
              <a:schemeClr val="dk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E0AB9ADC-F36A-48B2-8E49-3243A599C2A6}">
      <dsp:nvSpPr>
        <dsp:cNvPr id="0" name=""/>
        <dsp:cNvSpPr/>
      </dsp:nvSpPr>
      <dsp:spPr>
        <a:xfrm>
          <a:off x="618889" y="1115072"/>
          <a:ext cx="1536315" cy="1536315"/>
        </a:xfrm>
        <a:prstGeom prst="leftCircularArrow">
          <a:avLst>
            <a:gd name="adj1" fmla="val 6452"/>
            <a:gd name="adj2" fmla="val 429999"/>
            <a:gd name="adj3" fmla="val 10489124"/>
            <a:gd name="adj4" fmla="val 14837806"/>
            <a:gd name="adj5" fmla="val 7527"/>
          </a:avLst>
        </a:prstGeom>
        <a:gradFill rotWithShape="0">
          <a:gsLst>
            <a:gs pos="0">
              <a:schemeClr val="dk2">
                <a:tint val="60000"/>
                <a:hueOff val="0"/>
                <a:satOff val="0"/>
                <a:lumOff val="0"/>
                <a:alphaOff val="0"/>
                <a:shade val="51000"/>
                <a:satMod val="130000"/>
              </a:schemeClr>
            </a:gs>
            <a:gs pos="80000">
              <a:schemeClr val="dk2">
                <a:tint val="60000"/>
                <a:hueOff val="0"/>
                <a:satOff val="0"/>
                <a:lumOff val="0"/>
                <a:alphaOff val="0"/>
                <a:shade val="93000"/>
                <a:satMod val="130000"/>
              </a:schemeClr>
            </a:gs>
            <a:gs pos="100000">
              <a:schemeClr val="dk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1D65D046-D1FF-4C65-A5B0-EB57BFD9A613}">
      <dsp:nvSpPr>
        <dsp:cNvPr id="0" name=""/>
        <dsp:cNvSpPr/>
      </dsp:nvSpPr>
      <dsp:spPr>
        <a:xfrm>
          <a:off x="1352854" y="-20187"/>
          <a:ext cx="1656457" cy="1656457"/>
        </a:xfrm>
        <a:prstGeom prst="circularArrow">
          <a:avLst>
            <a:gd name="adj1" fmla="val 5984"/>
            <a:gd name="adj2" fmla="val 394124"/>
            <a:gd name="adj3" fmla="val 13313824"/>
            <a:gd name="adj4" fmla="val 10508221"/>
            <a:gd name="adj5" fmla="val 6981"/>
          </a:avLst>
        </a:prstGeom>
        <a:gradFill rotWithShape="0">
          <a:gsLst>
            <a:gs pos="0">
              <a:schemeClr val="dk2">
                <a:tint val="60000"/>
                <a:hueOff val="0"/>
                <a:satOff val="0"/>
                <a:lumOff val="0"/>
                <a:alphaOff val="0"/>
                <a:shade val="51000"/>
                <a:satMod val="130000"/>
              </a:schemeClr>
            </a:gs>
            <a:gs pos="80000">
              <a:schemeClr val="dk2">
                <a:tint val="60000"/>
                <a:hueOff val="0"/>
                <a:satOff val="0"/>
                <a:lumOff val="0"/>
                <a:alphaOff val="0"/>
                <a:shade val="93000"/>
                <a:satMod val="130000"/>
              </a:schemeClr>
            </a:gs>
            <a:gs pos="100000">
              <a:schemeClr val="dk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B4460-9450-48AD-9775-41B18975D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162</Pages>
  <Words>79599</Words>
  <Characters>453717</Characters>
  <Application>Microsoft Office Word</Application>
  <DocSecurity>4</DocSecurity>
  <Lines>3780</Lines>
  <Paragraphs>1064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532252</CharactersWithSpaces>
  <SharedDoc>false</SharedDoc>
  <HLinks>
    <vt:vector size="426" baseType="variant">
      <vt:variant>
        <vt:i4>2097270</vt:i4>
      </vt:variant>
      <vt:variant>
        <vt:i4>399</vt:i4>
      </vt:variant>
      <vt:variant>
        <vt:i4>0</vt:i4>
      </vt:variant>
      <vt:variant>
        <vt:i4>5</vt:i4>
      </vt:variant>
      <vt:variant>
        <vt:lpwstr>https://www.irs.gov/statistics/soi-tax-stats-partnership-statistics</vt:lpwstr>
      </vt:variant>
      <vt:variant>
        <vt:lpwstr/>
      </vt:variant>
      <vt:variant>
        <vt:i4>5898317</vt:i4>
      </vt:variant>
      <vt:variant>
        <vt:i4>396</vt:i4>
      </vt:variant>
      <vt:variant>
        <vt:i4>0</vt:i4>
      </vt:variant>
      <vt:variant>
        <vt:i4>5</vt:i4>
      </vt:variant>
      <vt:variant>
        <vt:lpwstr>https://www.mtc.gov/Uniformity/Project-Teams/Partnership-Tax</vt:lpwstr>
      </vt:variant>
      <vt:variant>
        <vt:lpwstr/>
      </vt:variant>
      <vt:variant>
        <vt:i4>7471196</vt:i4>
      </vt:variant>
      <vt:variant>
        <vt:i4>393</vt:i4>
      </vt:variant>
      <vt:variant>
        <vt:i4>0</vt:i4>
      </vt:variant>
      <vt:variant>
        <vt:i4>5</vt:i4>
      </vt:variant>
      <vt:variant>
        <vt:lpwstr>mailto:hhecht@mtc.gov</vt:lpwstr>
      </vt:variant>
      <vt:variant>
        <vt:lpwstr/>
      </vt:variant>
      <vt:variant>
        <vt:i4>1114167</vt:i4>
      </vt:variant>
      <vt:variant>
        <vt:i4>386</vt:i4>
      </vt:variant>
      <vt:variant>
        <vt:i4>0</vt:i4>
      </vt:variant>
      <vt:variant>
        <vt:i4>5</vt:i4>
      </vt:variant>
      <vt:variant>
        <vt:lpwstr/>
      </vt:variant>
      <vt:variant>
        <vt:lpwstr>_Toc132631722</vt:lpwstr>
      </vt:variant>
      <vt:variant>
        <vt:i4>1114167</vt:i4>
      </vt:variant>
      <vt:variant>
        <vt:i4>380</vt:i4>
      </vt:variant>
      <vt:variant>
        <vt:i4>0</vt:i4>
      </vt:variant>
      <vt:variant>
        <vt:i4>5</vt:i4>
      </vt:variant>
      <vt:variant>
        <vt:lpwstr/>
      </vt:variant>
      <vt:variant>
        <vt:lpwstr>_Toc132631721</vt:lpwstr>
      </vt:variant>
      <vt:variant>
        <vt:i4>1114167</vt:i4>
      </vt:variant>
      <vt:variant>
        <vt:i4>374</vt:i4>
      </vt:variant>
      <vt:variant>
        <vt:i4>0</vt:i4>
      </vt:variant>
      <vt:variant>
        <vt:i4>5</vt:i4>
      </vt:variant>
      <vt:variant>
        <vt:lpwstr/>
      </vt:variant>
      <vt:variant>
        <vt:lpwstr>_Toc132631720</vt:lpwstr>
      </vt:variant>
      <vt:variant>
        <vt:i4>1179703</vt:i4>
      </vt:variant>
      <vt:variant>
        <vt:i4>368</vt:i4>
      </vt:variant>
      <vt:variant>
        <vt:i4>0</vt:i4>
      </vt:variant>
      <vt:variant>
        <vt:i4>5</vt:i4>
      </vt:variant>
      <vt:variant>
        <vt:lpwstr/>
      </vt:variant>
      <vt:variant>
        <vt:lpwstr>_Toc132631719</vt:lpwstr>
      </vt:variant>
      <vt:variant>
        <vt:i4>1179703</vt:i4>
      </vt:variant>
      <vt:variant>
        <vt:i4>362</vt:i4>
      </vt:variant>
      <vt:variant>
        <vt:i4>0</vt:i4>
      </vt:variant>
      <vt:variant>
        <vt:i4>5</vt:i4>
      </vt:variant>
      <vt:variant>
        <vt:lpwstr/>
      </vt:variant>
      <vt:variant>
        <vt:lpwstr>_Toc132631718</vt:lpwstr>
      </vt:variant>
      <vt:variant>
        <vt:i4>1179703</vt:i4>
      </vt:variant>
      <vt:variant>
        <vt:i4>356</vt:i4>
      </vt:variant>
      <vt:variant>
        <vt:i4>0</vt:i4>
      </vt:variant>
      <vt:variant>
        <vt:i4>5</vt:i4>
      </vt:variant>
      <vt:variant>
        <vt:lpwstr/>
      </vt:variant>
      <vt:variant>
        <vt:lpwstr>_Toc132631717</vt:lpwstr>
      </vt:variant>
      <vt:variant>
        <vt:i4>1179703</vt:i4>
      </vt:variant>
      <vt:variant>
        <vt:i4>350</vt:i4>
      </vt:variant>
      <vt:variant>
        <vt:i4>0</vt:i4>
      </vt:variant>
      <vt:variant>
        <vt:i4>5</vt:i4>
      </vt:variant>
      <vt:variant>
        <vt:lpwstr/>
      </vt:variant>
      <vt:variant>
        <vt:lpwstr>_Toc132631716</vt:lpwstr>
      </vt:variant>
      <vt:variant>
        <vt:i4>1179703</vt:i4>
      </vt:variant>
      <vt:variant>
        <vt:i4>344</vt:i4>
      </vt:variant>
      <vt:variant>
        <vt:i4>0</vt:i4>
      </vt:variant>
      <vt:variant>
        <vt:i4>5</vt:i4>
      </vt:variant>
      <vt:variant>
        <vt:lpwstr/>
      </vt:variant>
      <vt:variant>
        <vt:lpwstr>_Toc132631715</vt:lpwstr>
      </vt:variant>
      <vt:variant>
        <vt:i4>1179703</vt:i4>
      </vt:variant>
      <vt:variant>
        <vt:i4>338</vt:i4>
      </vt:variant>
      <vt:variant>
        <vt:i4>0</vt:i4>
      </vt:variant>
      <vt:variant>
        <vt:i4>5</vt:i4>
      </vt:variant>
      <vt:variant>
        <vt:lpwstr/>
      </vt:variant>
      <vt:variant>
        <vt:lpwstr>_Toc132631714</vt:lpwstr>
      </vt:variant>
      <vt:variant>
        <vt:i4>1179703</vt:i4>
      </vt:variant>
      <vt:variant>
        <vt:i4>332</vt:i4>
      </vt:variant>
      <vt:variant>
        <vt:i4>0</vt:i4>
      </vt:variant>
      <vt:variant>
        <vt:i4>5</vt:i4>
      </vt:variant>
      <vt:variant>
        <vt:lpwstr/>
      </vt:variant>
      <vt:variant>
        <vt:lpwstr>_Toc132631713</vt:lpwstr>
      </vt:variant>
      <vt:variant>
        <vt:i4>1179703</vt:i4>
      </vt:variant>
      <vt:variant>
        <vt:i4>326</vt:i4>
      </vt:variant>
      <vt:variant>
        <vt:i4>0</vt:i4>
      </vt:variant>
      <vt:variant>
        <vt:i4>5</vt:i4>
      </vt:variant>
      <vt:variant>
        <vt:lpwstr/>
      </vt:variant>
      <vt:variant>
        <vt:lpwstr>_Toc132631712</vt:lpwstr>
      </vt:variant>
      <vt:variant>
        <vt:i4>1179703</vt:i4>
      </vt:variant>
      <vt:variant>
        <vt:i4>320</vt:i4>
      </vt:variant>
      <vt:variant>
        <vt:i4>0</vt:i4>
      </vt:variant>
      <vt:variant>
        <vt:i4>5</vt:i4>
      </vt:variant>
      <vt:variant>
        <vt:lpwstr/>
      </vt:variant>
      <vt:variant>
        <vt:lpwstr>_Toc132631711</vt:lpwstr>
      </vt:variant>
      <vt:variant>
        <vt:i4>1179703</vt:i4>
      </vt:variant>
      <vt:variant>
        <vt:i4>314</vt:i4>
      </vt:variant>
      <vt:variant>
        <vt:i4>0</vt:i4>
      </vt:variant>
      <vt:variant>
        <vt:i4>5</vt:i4>
      </vt:variant>
      <vt:variant>
        <vt:lpwstr/>
      </vt:variant>
      <vt:variant>
        <vt:lpwstr>_Toc132631710</vt:lpwstr>
      </vt:variant>
      <vt:variant>
        <vt:i4>1245239</vt:i4>
      </vt:variant>
      <vt:variant>
        <vt:i4>308</vt:i4>
      </vt:variant>
      <vt:variant>
        <vt:i4>0</vt:i4>
      </vt:variant>
      <vt:variant>
        <vt:i4>5</vt:i4>
      </vt:variant>
      <vt:variant>
        <vt:lpwstr/>
      </vt:variant>
      <vt:variant>
        <vt:lpwstr>_Toc132631709</vt:lpwstr>
      </vt:variant>
      <vt:variant>
        <vt:i4>1245239</vt:i4>
      </vt:variant>
      <vt:variant>
        <vt:i4>302</vt:i4>
      </vt:variant>
      <vt:variant>
        <vt:i4>0</vt:i4>
      </vt:variant>
      <vt:variant>
        <vt:i4>5</vt:i4>
      </vt:variant>
      <vt:variant>
        <vt:lpwstr/>
      </vt:variant>
      <vt:variant>
        <vt:lpwstr>_Toc132631708</vt:lpwstr>
      </vt:variant>
      <vt:variant>
        <vt:i4>1245239</vt:i4>
      </vt:variant>
      <vt:variant>
        <vt:i4>296</vt:i4>
      </vt:variant>
      <vt:variant>
        <vt:i4>0</vt:i4>
      </vt:variant>
      <vt:variant>
        <vt:i4>5</vt:i4>
      </vt:variant>
      <vt:variant>
        <vt:lpwstr/>
      </vt:variant>
      <vt:variant>
        <vt:lpwstr>_Toc132631707</vt:lpwstr>
      </vt:variant>
      <vt:variant>
        <vt:i4>1245239</vt:i4>
      </vt:variant>
      <vt:variant>
        <vt:i4>290</vt:i4>
      </vt:variant>
      <vt:variant>
        <vt:i4>0</vt:i4>
      </vt:variant>
      <vt:variant>
        <vt:i4>5</vt:i4>
      </vt:variant>
      <vt:variant>
        <vt:lpwstr/>
      </vt:variant>
      <vt:variant>
        <vt:lpwstr>_Toc132631706</vt:lpwstr>
      </vt:variant>
      <vt:variant>
        <vt:i4>1245239</vt:i4>
      </vt:variant>
      <vt:variant>
        <vt:i4>284</vt:i4>
      </vt:variant>
      <vt:variant>
        <vt:i4>0</vt:i4>
      </vt:variant>
      <vt:variant>
        <vt:i4>5</vt:i4>
      </vt:variant>
      <vt:variant>
        <vt:lpwstr/>
      </vt:variant>
      <vt:variant>
        <vt:lpwstr>_Toc132631705</vt:lpwstr>
      </vt:variant>
      <vt:variant>
        <vt:i4>1245239</vt:i4>
      </vt:variant>
      <vt:variant>
        <vt:i4>278</vt:i4>
      </vt:variant>
      <vt:variant>
        <vt:i4>0</vt:i4>
      </vt:variant>
      <vt:variant>
        <vt:i4>5</vt:i4>
      </vt:variant>
      <vt:variant>
        <vt:lpwstr/>
      </vt:variant>
      <vt:variant>
        <vt:lpwstr>_Toc132631704</vt:lpwstr>
      </vt:variant>
      <vt:variant>
        <vt:i4>1245239</vt:i4>
      </vt:variant>
      <vt:variant>
        <vt:i4>272</vt:i4>
      </vt:variant>
      <vt:variant>
        <vt:i4>0</vt:i4>
      </vt:variant>
      <vt:variant>
        <vt:i4>5</vt:i4>
      </vt:variant>
      <vt:variant>
        <vt:lpwstr/>
      </vt:variant>
      <vt:variant>
        <vt:lpwstr>_Toc132631703</vt:lpwstr>
      </vt:variant>
      <vt:variant>
        <vt:i4>1245239</vt:i4>
      </vt:variant>
      <vt:variant>
        <vt:i4>266</vt:i4>
      </vt:variant>
      <vt:variant>
        <vt:i4>0</vt:i4>
      </vt:variant>
      <vt:variant>
        <vt:i4>5</vt:i4>
      </vt:variant>
      <vt:variant>
        <vt:lpwstr/>
      </vt:variant>
      <vt:variant>
        <vt:lpwstr>_Toc132631702</vt:lpwstr>
      </vt:variant>
      <vt:variant>
        <vt:i4>1245239</vt:i4>
      </vt:variant>
      <vt:variant>
        <vt:i4>260</vt:i4>
      </vt:variant>
      <vt:variant>
        <vt:i4>0</vt:i4>
      </vt:variant>
      <vt:variant>
        <vt:i4>5</vt:i4>
      </vt:variant>
      <vt:variant>
        <vt:lpwstr/>
      </vt:variant>
      <vt:variant>
        <vt:lpwstr>_Toc132631701</vt:lpwstr>
      </vt:variant>
      <vt:variant>
        <vt:i4>1245239</vt:i4>
      </vt:variant>
      <vt:variant>
        <vt:i4>254</vt:i4>
      </vt:variant>
      <vt:variant>
        <vt:i4>0</vt:i4>
      </vt:variant>
      <vt:variant>
        <vt:i4>5</vt:i4>
      </vt:variant>
      <vt:variant>
        <vt:lpwstr/>
      </vt:variant>
      <vt:variant>
        <vt:lpwstr>_Toc132631700</vt:lpwstr>
      </vt:variant>
      <vt:variant>
        <vt:i4>1703990</vt:i4>
      </vt:variant>
      <vt:variant>
        <vt:i4>248</vt:i4>
      </vt:variant>
      <vt:variant>
        <vt:i4>0</vt:i4>
      </vt:variant>
      <vt:variant>
        <vt:i4>5</vt:i4>
      </vt:variant>
      <vt:variant>
        <vt:lpwstr/>
      </vt:variant>
      <vt:variant>
        <vt:lpwstr>_Toc132631699</vt:lpwstr>
      </vt:variant>
      <vt:variant>
        <vt:i4>1703990</vt:i4>
      </vt:variant>
      <vt:variant>
        <vt:i4>242</vt:i4>
      </vt:variant>
      <vt:variant>
        <vt:i4>0</vt:i4>
      </vt:variant>
      <vt:variant>
        <vt:i4>5</vt:i4>
      </vt:variant>
      <vt:variant>
        <vt:lpwstr/>
      </vt:variant>
      <vt:variant>
        <vt:lpwstr>_Toc132631698</vt:lpwstr>
      </vt:variant>
      <vt:variant>
        <vt:i4>1703990</vt:i4>
      </vt:variant>
      <vt:variant>
        <vt:i4>236</vt:i4>
      </vt:variant>
      <vt:variant>
        <vt:i4>0</vt:i4>
      </vt:variant>
      <vt:variant>
        <vt:i4>5</vt:i4>
      </vt:variant>
      <vt:variant>
        <vt:lpwstr/>
      </vt:variant>
      <vt:variant>
        <vt:lpwstr>_Toc132631697</vt:lpwstr>
      </vt:variant>
      <vt:variant>
        <vt:i4>1703990</vt:i4>
      </vt:variant>
      <vt:variant>
        <vt:i4>230</vt:i4>
      </vt:variant>
      <vt:variant>
        <vt:i4>0</vt:i4>
      </vt:variant>
      <vt:variant>
        <vt:i4>5</vt:i4>
      </vt:variant>
      <vt:variant>
        <vt:lpwstr/>
      </vt:variant>
      <vt:variant>
        <vt:lpwstr>_Toc132631696</vt:lpwstr>
      </vt:variant>
      <vt:variant>
        <vt:i4>1703990</vt:i4>
      </vt:variant>
      <vt:variant>
        <vt:i4>224</vt:i4>
      </vt:variant>
      <vt:variant>
        <vt:i4>0</vt:i4>
      </vt:variant>
      <vt:variant>
        <vt:i4>5</vt:i4>
      </vt:variant>
      <vt:variant>
        <vt:lpwstr/>
      </vt:variant>
      <vt:variant>
        <vt:lpwstr>_Toc132631695</vt:lpwstr>
      </vt:variant>
      <vt:variant>
        <vt:i4>1703990</vt:i4>
      </vt:variant>
      <vt:variant>
        <vt:i4>218</vt:i4>
      </vt:variant>
      <vt:variant>
        <vt:i4>0</vt:i4>
      </vt:variant>
      <vt:variant>
        <vt:i4>5</vt:i4>
      </vt:variant>
      <vt:variant>
        <vt:lpwstr/>
      </vt:variant>
      <vt:variant>
        <vt:lpwstr>_Toc132631694</vt:lpwstr>
      </vt:variant>
      <vt:variant>
        <vt:i4>1703990</vt:i4>
      </vt:variant>
      <vt:variant>
        <vt:i4>212</vt:i4>
      </vt:variant>
      <vt:variant>
        <vt:i4>0</vt:i4>
      </vt:variant>
      <vt:variant>
        <vt:i4>5</vt:i4>
      </vt:variant>
      <vt:variant>
        <vt:lpwstr/>
      </vt:variant>
      <vt:variant>
        <vt:lpwstr>_Toc132631693</vt:lpwstr>
      </vt:variant>
      <vt:variant>
        <vt:i4>1703990</vt:i4>
      </vt:variant>
      <vt:variant>
        <vt:i4>206</vt:i4>
      </vt:variant>
      <vt:variant>
        <vt:i4>0</vt:i4>
      </vt:variant>
      <vt:variant>
        <vt:i4>5</vt:i4>
      </vt:variant>
      <vt:variant>
        <vt:lpwstr/>
      </vt:variant>
      <vt:variant>
        <vt:lpwstr>_Toc132631692</vt:lpwstr>
      </vt:variant>
      <vt:variant>
        <vt:i4>1703990</vt:i4>
      </vt:variant>
      <vt:variant>
        <vt:i4>200</vt:i4>
      </vt:variant>
      <vt:variant>
        <vt:i4>0</vt:i4>
      </vt:variant>
      <vt:variant>
        <vt:i4>5</vt:i4>
      </vt:variant>
      <vt:variant>
        <vt:lpwstr/>
      </vt:variant>
      <vt:variant>
        <vt:lpwstr>_Toc132631691</vt:lpwstr>
      </vt:variant>
      <vt:variant>
        <vt:i4>1703990</vt:i4>
      </vt:variant>
      <vt:variant>
        <vt:i4>194</vt:i4>
      </vt:variant>
      <vt:variant>
        <vt:i4>0</vt:i4>
      </vt:variant>
      <vt:variant>
        <vt:i4>5</vt:i4>
      </vt:variant>
      <vt:variant>
        <vt:lpwstr/>
      </vt:variant>
      <vt:variant>
        <vt:lpwstr>_Toc132631690</vt:lpwstr>
      </vt:variant>
      <vt:variant>
        <vt:i4>1769526</vt:i4>
      </vt:variant>
      <vt:variant>
        <vt:i4>188</vt:i4>
      </vt:variant>
      <vt:variant>
        <vt:i4>0</vt:i4>
      </vt:variant>
      <vt:variant>
        <vt:i4>5</vt:i4>
      </vt:variant>
      <vt:variant>
        <vt:lpwstr/>
      </vt:variant>
      <vt:variant>
        <vt:lpwstr>_Toc132631689</vt:lpwstr>
      </vt:variant>
      <vt:variant>
        <vt:i4>1769526</vt:i4>
      </vt:variant>
      <vt:variant>
        <vt:i4>182</vt:i4>
      </vt:variant>
      <vt:variant>
        <vt:i4>0</vt:i4>
      </vt:variant>
      <vt:variant>
        <vt:i4>5</vt:i4>
      </vt:variant>
      <vt:variant>
        <vt:lpwstr/>
      </vt:variant>
      <vt:variant>
        <vt:lpwstr>_Toc132631688</vt:lpwstr>
      </vt:variant>
      <vt:variant>
        <vt:i4>1769526</vt:i4>
      </vt:variant>
      <vt:variant>
        <vt:i4>176</vt:i4>
      </vt:variant>
      <vt:variant>
        <vt:i4>0</vt:i4>
      </vt:variant>
      <vt:variant>
        <vt:i4>5</vt:i4>
      </vt:variant>
      <vt:variant>
        <vt:lpwstr/>
      </vt:variant>
      <vt:variant>
        <vt:lpwstr>_Toc132631687</vt:lpwstr>
      </vt:variant>
      <vt:variant>
        <vt:i4>1769526</vt:i4>
      </vt:variant>
      <vt:variant>
        <vt:i4>170</vt:i4>
      </vt:variant>
      <vt:variant>
        <vt:i4>0</vt:i4>
      </vt:variant>
      <vt:variant>
        <vt:i4>5</vt:i4>
      </vt:variant>
      <vt:variant>
        <vt:lpwstr/>
      </vt:variant>
      <vt:variant>
        <vt:lpwstr>_Toc132631686</vt:lpwstr>
      </vt:variant>
      <vt:variant>
        <vt:i4>1769526</vt:i4>
      </vt:variant>
      <vt:variant>
        <vt:i4>164</vt:i4>
      </vt:variant>
      <vt:variant>
        <vt:i4>0</vt:i4>
      </vt:variant>
      <vt:variant>
        <vt:i4>5</vt:i4>
      </vt:variant>
      <vt:variant>
        <vt:lpwstr/>
      </vt:variant>
      <vt:variant>
        <vt:lpwstr>_Toc132631685</vt:lpwstr>
      </vt:variant>
      <vt:variant>
        <vt:i4>1769526</vt:i4>
      </vt:variant>
      <vt:variant>
        <vt:i4>158</vt:i4>
      </vt:variant>
      <vt:variant>
        <vt:i4>0</vt:i4>
      </vt:variant>
      <vt:variant>
        <vt:i4>5</vt:i4>
      </vt:variant>
      <vt:variant>
        <vt:lpwstr/>
      </vt:variant>
      <vt:variant>
        <vt:lpwstr>_Toc132631684</vt:lpwstr>
      </vt:variant>
      <vt:variant>
        <vt:i4>1769526</vt:i4>
      </vt:variant>
      <vt:variant>
        <vt:i4>152</vt:i4>
      </vt:variant>
      <vt:variant>
        <vt:i4>0</vt:i4>
      </vt:variant>
      <vt:variant>
        <vt:i4>5</vt:i4>
      </vt:variant>
      <vt:variant>
        <vt:lpwstr/>
      </vt:variant>
      <vt:variant>
        <vt:lpwstr>_Toc132631683</vt:lpwstr>
      </vt:variant>
      <vt:variant>
        <vt:i4>1769526</vt:i4>
      </vt:variant>
      <vt:variant>
        <vt:i4>146</vt:i4>
      </vt:variant>
      <vt:variant>
        <vt:i4>0</vt:i4>
      </vt:variant>
      <vt:variant>
        <vt:i4>5</vt:i4>
      </vt:variant>
      <vt:variant>
        <vt:lpwstr/>
      </vt:variant>
      <vt:variant>
        <vt:lpwstr>_Toc132631682</vt:lpwstr>
      </vt:variant>
      <vt:variant>
        <vt:i4>1769526</vt:i4>
      </vt:variant>
      <vt:variant>
        <vt:i4>140</vt:i4>
      </vt:variant>
      <vt:variant>
        <vt:i4>0</vt:i4>
      </vt:variant>
      <vt:variant>
        <vt:i4>5</vt:i4>
      </vt:variant>
      <vt:variant>
        <vt:lpwstr/>
      </vt:variant>
      <vt:variant>
        <vt:lpwstr>_Toc132631681</vt:lpwstr>
      </vt:variant>
      <vt:variant>
        <vt:i4>1769526</vt:i4>
      </vt:variant>
      <vt:variant>
        <vt:i4>134</vt:i4>
      </vt:variant>
      <vt:variant>
        <vt:i4>0</vt:i4>
      </vt:variant>
      <vt:variant>
        <vt:i4>5</vt:i4>
      </vt:variant>
      <vt:variant>
        <vt:lpwstr/>
      </vt:variant>
      <vt:variant>
        <vt:lpwstr>_Toc132631680</vt:lpwstr>
      </vt:variant>
      <vt:variant>
        <vt:i4>1310774</vt:i4>
      </vt:variant>
      <vt:variant>
        <vt:i4>128</vt:i4>
      </vt:variant>
      <vt:variant>
        <vt:i4>0</vt:i4>
      </vt:variant>
      <vt:variant>
        <vt:i4>5</vt:i4>
      </vt:variant>
      <vt:variant>
        <vt:lpwstr/>
      </vt:variant>
      <vt:variant>
        <vt:lpwstr>_Toc132631679</vt:lpwstr>
      </vt:variant>
      <vt:variant>
        <vt:i4>1310774</vt:i4>
      </vt:variant>
      <vt:variant>
        <vt:i4>122</vt:i4>
      </vt:variant>
      <vt:variant>
        <vt:i4>0</vt:i4>
      </vt:variant>
      <vt:variant>
        <vt:i4>5</vt:i4>
      </vt:variant>
      <vt:variant>
        <vt:lpwstr/>
      </vt:variant>
      <vt:variant>
        <vt:lpwstr>_Toc132631678</vt:lpwstr>
      </vt:variant>
      <vt:variant>
        <vt:i4>1310774</vt:i4>
      </vt:variant>
      <vt:variant>
        <vt:i4>116</vt:i4>
      </vt:variant>
      <vt:variant>
        <vt:i4>0</vt:i4>
      </vt:variant>
      <vt:variant>
        <vt:i4>5</vt:i4>
      </vt:variant>
      <vt:variant>
        <vt:lpwstr/>
      </vt:variant>
      <vt:variant>
        <vt:lpwstr>_Toc132631677</vt:lpwstr>
      </vt:variant>
      <vt:variant>
        <vt:i4>1310774</vt:i4>
      </vt:variant>
      <vt:variant>
        <vt:i4>110</vt:i4>
      </vt:variant>
      <vt:variant>
        <vt:i4>0</vt:i4>
      </vt:variant>
      <vt:variant>
        <vt:i4>5</vt:i4>
      </vt:variant>
      <vt:variant>
        <vt:lpwstr/>
      </vt:variant>
      <vt:variant>
        <vt:lpwstr>_Toc132631676</vt:lpwstr>
      </vt:variant>
      <vt:variant>
        <vt:i4>1310774</vt:i4>
      </vt:variant>
      <vt:variant>
        <vt:i4>104</vt:i4>
      </vt:variant>
      <vt:variant>
        <vt:i4>0</vt:i4>
      </vt:variant>
      <vt:variant>
        <vt:i4>5</vt:i4>
      </vt:variant>
      <vt:variant>
        <vt:lpwstr/>
      </vt:variant>
      <vt:variant>
        <vt:lpwstr>_Toc132631675</vt:lpwstr>
      </vt:variant>
      <vt:variant>
        <vt:i4>1310774</vt:i4>
      </vt:variant>
      <vt:variant>
        <vt:i4>98</vt:i4>
      </vt:variant>
      <vt:variant>
        <vt:i4>0</vt:i4>
      </vt:variant>
      <vt:variant>
        <vt:i4>5</vt:i4>
      </vt:variant>
      <vt:variant>
        <vt:lpwstr/>
      </vt:variant>
      <vt:variant>
        <vt:lpwstr>_Toc132631674</vt:lpwstr>
      </vt:variant>
      <vt:variant>
        <vt:i4>1310774</vt:i4>
      </vt:variant>
      <vt:variant>
        <vt:i4>92</vt:i4>
      </vt:variant>
      <vt:variant>
        <vt:i4>0</vt:i4>
      </vt:variant>
      <vt:variant>
        <vt:i4>5</vt:i4>
      </vt:variant>
      <vt:variant>
        <vt:lpwstr/>
      </vt:variant>
      <vt:variant>
        <vt:lpwstr>_Toc132631673</vt:lpwstr>
      </vt:variant>
      <vt:variant>
        <vt:i4>1310774</vt:i4>
      </vt:variant>
      <vt:variant>
        <vt:i4>86</vt:i4>
      </vt:variant>
      <vt:variant>
        <vt:i4>0</vt:i4>
      </vt:variant>
      <vt:variant>
        <vt:i4>5</vt:i4>
      </vt:variant>
      <vt:variant>
        <vt:lpwstr/>
      </vt:variant>
      <vt:variant>
        <vt:lpwstr>_Toc132631672</vt:lpwstr>
      </vt:variant>
      <vt:variant>
        <vt:i4>1310774</vt:i4>
      </vt:variant>
      <vt:variant>
        <vt:i4>80</vt:i4>
      </vt:variant>
      <vt:variant>
        <vt:i4>0</vt:i4>
      </vt:variant>
      <vt:variant>
        <vt:i4>5</vt:i4>
      </vt:variant>
      <vt:variant>
        <vt:lpwstr/>
      </vt:variant>
      <vt:variant>
        <vt:lpwstr>_Toc132631671</vt:lpwstr>
      </vt:variant>
      <vt:variant>
        <vt:i4>1310774</vt:i4>
      </vt:variant>
      <vt:variant>
        <vt:i4>74</vt:i4>
      </vt:variant>
      <vt:variant>
        <vt:i4>0</vt:i4>
      </vt:variant>
      <vt:variant>
        <vt:i4>5</vt:i4>
      </vt:variant>
      <vt:variant>
        <vt:lpwstr/>
      </vt:variant>
      <vt:variant>
        <vt:lpwstr>_Toc132631670</vt:lpwstr>
      </vt:variant>
      <vt:variant>
        <vt:i4>1376310</vt:i4>
      </vt:variant>
      <vt:variant>
        <vt:i4>68</vt:i4>
      </vt:variant>
      <vt:variant>
        <vt:i4>0</vt:i4>
      </vt:variant>
      <vt:variant>
        <vt:i4>5</vt:i4>
      </vt:variant>
      <vt:variant>
        <vt:lpwstr/>
      </vt:variant>
      <vt:variant>
        <vt:lpwstr>_Toc132631669</vt:lpwstr>
      </vt:variant>
      <vt:variant>
        <vt:i4>1376310</vt:i4>
      </vt:variant>
      <vt:variant>
        <vt:i4>62</vt:i4>
      </vt:variant>
      <vt:variant>
        <vt:i4>0</vt:i4>
      </vt:variant>
      <vt:variant>
        <vt:i4>5</vt:i4>
      </vt:variant>
      <vt:variant>
        <vt:lpwstr/>
      </vt:variant>
      <vt:variant>
        <vt:lpwstr>_Toc132631668</vt:lpwstr>
      </vt:variant>
      <vt:variant>
        <vt:i4>1376310</vt:i4>
      </vt:variant>
      <vt:variant>
        <vt:i4>56</vt:i4>
      </vt:variant>
      <vt:variant>
        <vt:i4>0</vt:i4>
      </vt:variant>
      <vt:variant>
        <vt:i4>5</vt:i4>
      </vt:variant>
      <vt:variant>
        <vt:lpwstr/>
      </vt:variant>
      <vt:variant>
        <vt:lpwstr>_Toc132631667</vt:lpwstr>
      </vt:variant>
      <vt:variant>
        <vt:i4>1376310</vt:i4>
      </vt:variant>
      <vt:variant>
        <vt:i4>50</vt:i4>
      </vt:variant>
      <vt:variant>
        <vt:i4>0</vt:i4>
      </vt:variant>
      <vt:variant>
        <vt:i4>5</vt:i4>
      </vt:variant>
      <vt:variant>
        <vt:lpwstr/>
      </vt:variant>
      <vt:variant>
        <vt:lpwstr>_Toc132631666</vt:lpwstr>
      </vt:variant>
      <vt:variant>
        <vt:i4>1376310</vt:i4>
      </vt:variant>
      <vt:variant>
        <vt:i4>44</vt:i4>
      </vt:variant>
      <vt:variant>
        <vt:i4>0</vt:i4>
      </vt:variant>
      <vt:variant>
        <vt:i4>5</vt:i4>
      </vt:variant>
      <vt:variant>
        <vt:lpwstr/>
      </vt:variant>
      <vt:variant>
        <vt:lpwstr>_Toc132631665</vt:lpwstr>
      </vt:variant>
      <vt:variant>
        <vt:i4>1376310</vt:i4>
      </vt:variant>
      <vt:variant>
        <vt:i4>38</vt:i4>
      </vt:variant>
      <vt:variant>
        <vt:i4>0</vt:i4>
      </vt:variant>
      <vt:variant>
        <vt:i4>5</vt:i4>
      </vt:variant>
      <vt:variant>
        <vt:lpwstr/>
      </vt:variant>
      <vt:variant>
        <vt:lpwstr>_Toc132631664</vt:lpwstr>
      </vt:variant>
      <vt:variant>
        <vt:i4>1376310</vt:i4>
      </vt:variant>
      <vt:variant>
        <vt:i4>32</vt:i4>
      </vt:variant>
      <vt:variant>
        <vt:i4>0</vt:i4>
      </vt:variant>
      <vt:variant>
        <vt:i4>5</vt:i4>
      </vt:variant>
      <vt:variant>
        <vt:lpwstr/>
      </vt:variant>
      <vt:variant>
        <vt:lpwstr>_Toc132631663</vt:lpwstr>
      </vt:variant>
      <vt:variant>
        <vt:i4>1376310</vt:i4>
      </vt:variant>
      <vt:variant>
        <vt:i4>26</vt:i4>
      </vt:variant>
      <vt:variant>
        <vt:i4>0</vt:i4>
      </vt:variant>
      <vt:variant>
        <vt:i4>5</vt:i4>
      </vt:variant>
      <vt:variant>
        <vt:lpwstr/>
      </vt:variant>
      <vt:variant>
        <vt:lpwstr>_Toc132631662</vt:lpwstr>
      </vt:variant>
      <vt:variant>
        <vt:i4>1376310</vt:i4>
      </vt:variant>
      <vt:variant>
        <vt:i4>20</vt:i4>
      </vt:variant>
      <vt:variant>
        <vt:i4>0</vt:i4>
      </vt:variant>
      <vt:variant>
        <vt:i4>5</vt:i4>
      </vt:variant>
      <vt:variant>
        <vt:lpwstr/>
      </vt:variant>
      <vt:variant>
        <vt:lpwstr>_Toc132631661</vt:lpwstr>
      </vt:variant>
      <vt:variant>
        <vt:i4>1376310</vt:i4>
      </vt:variant>
      <vt:variant>
        <vt:i4>14</vt:i4>
      </vt:variant>
      <vt:variant>
        <vt:i4>0</vt:i4>
      </vt:variant>
      <vt:variant>
        <vt:i4>5</vt:i4>
      </vt:variant>
      <vt:variant>
        <vt:lpwstr/>
      </vt:variant>
      <vt:variant>
        <vt:lpwstr>_Toc132631660</vt:lpwstr>
      </vt:variant>
      <vt:variant>
        <vt:i4>1441846</vt:i4>
      </vt:variant>
      <vt:variant>
        <vt:i4>8</vt:i4>
      </vt:variant>
      <vt:variant>
        <vt:i4>0</vt:i4>
      </vt:variant>
      <vt:variant>
        <vt:i4>5</vt:i4>
      </vt:variant>
      <vt:variant>
        <vt:lpwstr/>
      </vt:variant>
      <vt:variant>
        <vt:lpwstr>_Toc132631659</vt:lpwstr>
      </vt:variant>
      <vt:variant>
        <vt:i4>1441846</vt:i4>
      </vt:variant>
      <vt:variant>
        <vt:i4>2</vt:i4>
      </vt:variant>
      <vt:variant>
        <vt:i4>0</vt:i4>
      </vt:variant>
      <vt:variant>
        <vt:i4>5</vt:i4>
      </vt:variant>
      <vt:variant>
        <vt:lpwstr/>
      </vt:variant>
      <vt:variant>
        <vt:lpwstr>_Toc132631658</vt:lpwstr>
      </vt:variant>
      <vt:variant>
        <vt:i4>2162756</vt:i4>
      </vt:variant>
      <vt:variant>
        <vt:i4>6</vt:i4>
      </vt:variant>
      <vt:variant>
        <vt:i4>0</vt:i4>
      </vt:variant>
      <vt:variant>
        <vt:i4>5</vt:i4>
      </vt:variant>
      <vt:variant>
        <vt:lpwstr>https://www.irs.gov/pub/int_practice_units/jto_p_09_06_05_19.pdf</vt:lpwstr>
      </vt:variant>
      <vt:variant>
        <vt:lpwstr/>
      </vt:variant>
      <vt:variant>
        <vt:i4>327707</vt:i4>
      </vt:variant>
      <vt:variant>
        <vt:i4>3</vt:i4>
      </vt:variant>
      <vt:variant>
        <vt:i4>0</vt:i4>
      </vt:variant>
      <vt:variant>
        <vt:i4>5</vt:i4>
      </vt:variant>
      <vt:variant>
        <vt:lpwstr>https://www.uniformlaws.org/viewdocument/enactment-kit-73?CommunityKey=52456941-7883-47a5-91b6-d2f086d0bb44&amp;tab=librarydocuments</vt:lpwstr>
      </vt:variant>
      <vt:variant>
        <vt:lpwstr/>
      </vt:variant>
      <vt:variant>
        <vt:i4>5898317</vt:i4>
      </vt:variant>
      <vt:variant>
        <vt:i4>0</vt:i4>
      </vt:variant>
      <vt:variant>
        <vt:i4>0</vt:i4>
      </vt:variant>
      <vt:variant>
        <vt:i4>5</vt:i4>
      </vt:variant>
      <vt:variant>
        <vt:lpwstr>https://www.mtc.gov/Uniformity/Project-Teams/Partnership-Tax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Hecht</dc:creator>
  <cp:keywords/>
  <dc:description/>
  <cp:lastModifiedBy>Helen Hecht</cp:lastModifiedBy>
  <cp:revision>2</cp:revision>
  <dcterms:created xsi:type="dcterms:W3CDTF">2025-05-19T16:24:00Z</dcterms:created>
  <dcterms:modified xsi:type="dcterms:W3CDTF">2025-05-19T16:24:00Z</dcterms:modified>
</cp:coreProperties>
</file>