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7888D" w14:textId="27457ACF" w:rsidR="0027141F" w:rsidRPr="00BD61E0" w:rsidRDefault="00F23354" w:rsidP="00F0129D">
      <w:pPr>
        <w:pStyle w:val="Heading1"/>
        <w:numPr>
          <w:ilvl w:val="0"/>
          <w:numId w:val="0"/>
        </w:numPr>
        <w:rPr>
          <w:b/>
          <w:bCs/>
        </w:rPr>
      </w:pPr>
      <w:bookmarkStart w:id="0" w:name="_Hlk155727665"/>
      <w:r w:rsidRPr="00BD61E0">
        <w:rPr>
          <w:b/>
          <w:bCs/>
        </w:rPr>
        <w:t xml:space="preserve">Proposed </w:t>
      </w:r>
      <w:r w:rsidR="00A33AD9">
        <w:rPr>
          <w:b/>
          <w:bCs/>
        </w:rPr>
        <w:t xml:space="preserve">Model </w:t>
      </w:r>
      <w:r w:rsidR="00F0129D">
        <w:rPr>
          <w:b/>
          <w:bCs/>
        </w:rPr>
        <w:t xml:space="preserve">Digital Product </w:t>
      </w:r>
      <w:r w:rsidRPr="00BD61E0">
        <w:rPr>
          <w:b/>
          <w:bCs/>
        </w:rPr>
        <w:t>Definition</w:t>
      </w:r>
      <w:r w:rsidR="00352E61">
        <w:rPr>
          <w:b/>
          <w:bCs/>
        </w:rPr>
        <w:t xml:space="preserve"> and Related Exemption </w:t>
      </w:r>
      <w:r w:rsidR="00BD61E0" w:rsidRPr="00BD61E0">
        <w:rPr>
          <w:b/>
          <w:bCs/>
        </w:rPr>
        <w:t>–</w:t>
      </w:r>
      <w:r w:rsidR="0027141F" w:rsidRPr="00BD61E0">
        <w:rPr>
          <w:b/>
          <w:bCs/>
        </w:rPr>
        <w:t xml:space="preserve"> 202</w:t>
      </w:r>
      <w:r w:rsidR="005E0C9A">
        <w:rPr>
          <w:b/>
          <w:bCs/>
        </w:rPr>
        <w:t>5</w:t>
      </w:r>
      <w:r w:rsidR="00884C30">
        <w:rPr>
          <w:b/>
          <w:bCs/>
        </w:rPr>
        <w:t>0</w:t>
      </w:r>
      <w:r w:rsidR="0079396F">
        <w:rPr>
          <w:b/>
          <w:bCs/>
        </w:rPr>
        <w:t>509</w:t>
      </w:r>
      <w:r w:rsidR="00884C30">
        <w:rPr>
          <w:b/>
          <w:bCs/>
        </w:rPr>
        <w:t xml:space="preserve"> Draft</w:t>
      </w:r>
    </w:p>
    <w:p w14:paraId="13878B22" w14:textId="0C4D3A8F" w:rsidR="00352E61" w:rsidRPr="00BD61E0" w:rsidRDefault="002C6FDC" w:rsidP="00BD61E0">
      <w:r>
        <w:t xml:space="preserve">The </w:t>
      </w:r>
      <w:r w:rsidR="00EA1850">
        <w:t xml:space="preserve">following </w:t>
      </w:r>
      <w:r w:rsidR="00AC6855">
        <w:t xml:space="preserve">proposed </w:t>
      </w:r>
      <w:r>
        <w:t>statu</w:t>
      </w:r>
      <w:r w:rsidR="00EA1850">
        <w:t>tes</w:t>
      </w:r>
      <w:r>
        <w:t xml:space="preserve"> and regulat</w:t>
      </w:r>
      <w:r w:rsidR="00EA1850">
        <w:t>ions</w:t>
      </w:r>
      <w:r>
        <w:t xml:space="preserve"> </w:t>
      </w:r>
      <w:r w:rsidR="00A33AD9">
        <w:t>are p</w:t>
      </w:r>
      <w:r w:rsidR="00EA1850">
        <w:t>resented</w:t>
      </w:r>
      <w:r w:rsidR="00A33AD9">
        <w:t xml:space="preserve"> </w:t>
      </w:r>
      <w:r w:rsidR="00EA1850">
        <w:t xml:space="preserve">to the digital products definition </w:t>
      </w:r>
      <w:r w:rsidR="00A33AD9">
        <w:t>study group</w:t>
      </w:r>
      <w:r w:rsidR="00EA1850">
        <w:t xml:space="preserve"> for possible </w:t>
      </w:r>
      <w:r w:rsidR="004E37BB">
        <w:t>use</w:t>
      </w:r>
      <w:r w:rsidR="00EA1850">
        <w:t xml:space="preserve"> in </w:t>
      </w:r>
      <w:r w:rsidR="0040108C">
        <w:t>the</w:t>
      </w:r>
      <w:r w:rsidR="00A33AD9">
        <w:t xml:space="preserve"> whitepaper being drafted by </w:t>
      </w:r>
      <w:r w:rsidR="0040108C">
        <w:t xml:space="preserve">the MTC </w:t>
      </w:r>
      <w:r w:rsidR="00EA1850">
        <w:t>d</w:t>
      </w:r>
      <w:r w:rsidR="0040108C">
        <w:t xml:space="preserve">igital </w:t>
      </w:r>
      <w:r w:rsidR="00EA1850">
        <w:t>p</w:t>
      </w:r>
      <w:r w:rsidR="0040108C">
        <w:t>roducts work group.</w:t>
      </w:r>
      <w:r w:rsidR="00A33AD9">
        <w:t xml:space="preserve"> </w:t>
      </w:r>
      <w:r w:rsidR="004E37BB">
        <w:t>While not all-inclusive, t</w:t>
      </w:r>
      <w:r w:rsidR="0040108C">
        <w:t xml:space="preserve">he </w:t>
      </w:r>
      <w:r w:rsidR="00EA1850">
        <w:t>proposal</w:t>
      </w:r>
      <w:r w:rsidR="0040108C">
        <w:t xml:space="preserve"> </w:t>
      </w:r>
      <w:r w:rsidR="00AC6855">
        <w:t xml:space="preserve">defines a </w:t>
      </w:r>
      <w:r w:rsidR="00441D0D">
        <w:t xml:space="preserve">broad </w:t>
      </w:r>
      <w:r w:rsidR="00AC6855">
        <w:t xml:space="preserve">range </w:t>
      </w:r>
      <w:r w:rsidR="00441D0D">
        <w:t xml:space="preserve">of digital products </w:t>
      </w:r>
      <w:r>
        <w:t xml:space="preserve">and </w:t>
      </w:r>
      <w:r w:rsidR="002B3876">
        <w:t xml:space="preserve">an </w:t>
      </w:r>
      <w:r>
        <w:t>exempt</w:t>
      </w:r>
      <w:r w:rsidR="002B3876">
        <w:t>ion</w:t>
      </w:r>
      <w:r>
        <w:t xml:space="preserve"> </w:t>
      </w:r>
      <w:r w:rsidR="00AC6855">
        <w:t xml:space="preserve">if the </w:t>
      </w:r>
      <w:r>
        <w:t xml:space="preserve">digital products </w:t>
      </w:r>
      <w:r w:rsidR="00AC6855">
        <w:t xml:space="preserve">are </w:t>
      </w:r>
      <w:r>
        <w:t xml:space="preserve">sold for use in a trade or business. </w:t>
      </w:r>
      <w:r w:rsidR="00CD5E0D">
        <w:t xml:space="preserve"> </w:t>
      </w:r>
      <w:r w:rsidR="00352E61">
        <w:t xml:space="preserve">  </w:t>
      </w:r>
    </w:p>
    <w:p w14:paraId="272400A9" w14:textId="1D62DC2E" w:rsidR="00352E61" w:rsidRDefault="00AB71A4" w:rsidP="00352E61">
      <w:pPr>
        <w:pStyle w:val="Heading2"/>
        <w:numPr>
          <w:ilvl w:val="1"/>
          <w:numId w:val="3"/>
        </w:numPr>
        <w:tabs>
          <w:tab w:val="clear" w:pos="1440"/>
        </w:tabs>
        <w:ind w:left="720" w:hanging="360"/>
      </w:pPr>
      <w:r>
        <w:t>Proposed s</w:t>
      </w:r>
      <w:r w:rsidR="0011187F">
        <w:t>tatutory provisions</w:t>
      </w:r>
    </w:p>
    <w:p w14:paraId="1B069380" w14:textId="7282EA3C" w:rsidR="00780DE1" w:rsidRDefault="009B7526" w:rsidP="005F4E83">
      <w:pPr>
        <w:pStyle w:val="Heading3"/>
        <w:numPr>
          <w:ilvl w:val="2"/>
          <w:numId w:val="3"/>
        </w:numPr>
        <w:ind w:left="1080" w:hanging="360"/>
      </w:pPr>
      <w:r>
        <w:t xml:space="preserve">The state sales and use tax imposition statute would include the </w:t>
      </w:r>
      <w:r w:rsidR="00657005">
        <w:t>sale or use of an “automated digital product” defined as follows:</w:t>
      </w:r>
      <w:r>
        <w:t xml:space="preserve"> </w:t>
      </w:r>
      <w:r w:rsidR="005E0C9A">
        <w:t>“Automated digital</w:t>
      </w:r>
      <w:bookmarkStart w:id="1" w:name="_Hlk155779202"/>
      <w:r w:rsidR="00780DE1">
        <w:t xml:space="preserve"> product” - an item</w:t>
      </w:r>
      <w:r w:rsidR="001F2BC7">
        <w:t>,</w:t>
      </w:r>
      <w:r w:rsidR="00780DE1">
        <w:t xml:space="preserve"> including software</w:t>
      </w:r>
      <w:r w:rsidR="001F2BC7">
        <w:t xml:space="preserve"> or</w:t>
      </w:r>
      <w:r w:rsidR="002B3876">
        <w:t xml:space="preserve"> </w:t>
      </w:r>
      <w:r w:rsidR="001F2BC7">
        <w:t xml:space="preserve">a </w:t>
      </w:r>
      <w:r w:rsidR="00780DE1">
        <w:t>service</w:t>
      </w:r>
      <w:r w:rsidR="001F2BC7">
        <w:t xml:space="preserve"> or</w:t>
      </w:r>
      <w:r w:rsidR="002434D3" w:rsidRPr="002434D3">
        <w:t xml:space="preserve"> </w:t>
      </w:r>
      <w:r w:rsidR="002434D3">
        <w:t>a</w:t>
      </w:r>
      <w:r w:rsidR="002434D3" w:rsidRPr="002434D3">
        <w:t xml:space="preserve"> </w:t>
      </w:r>
      <w:r w:rsidR="002F1595">
        <w:t>right</w:t>
      </w:r>
      <w:r w:rsidR="002434D3" w:rsidRPr="002434D3">
        <w:t xml:space="preserve"> to access or use </w:t>
      </w:r>
      <w:r w:rsidR="002434D3">
        <w:t>the</w:t>
      </w:r>
      <w:r w:rsidR="002434D3" w:rsidRPr="002434D3">
        <w:t xml:space="preserve"> item regardless of </w:t>
      </w:r>
      <w:r w:rsidR="002434D3">
        <w:t>duration</w:t>
      </w:r>
      <w:r w:rsidR="002434D3" w:rsidRPr="002434D3">
        <w:t xml:space="preserve">, </w:t>
      </w:r>
      <w:r w:rsidR="00587D98">
        <w:t xml:space="preserve">that is provided in a binary format </w:t>
      </w:r>
      <w:r w:rsidR="005E0C9A">
        <w:t xml:space="preserve">and </w:t>
      </w:r>
      <w:r w:rsidR="00CE3E67">
        <w:t>for which</w:t>
      </w:r>
      <w:r w:rsidR="005E0C9A">
        <w:t xml:space="preserve"> additional human in</w:t>
      </w:r>
      <w:r w:rsidR="00F57034">
        <w:t>tervention</w:t>
      </w:r>
      <w:r w:rsidR="005E0C9A">
        <w:t xml:space="preserve"> </w:t>
      </w:r>
      <w:r w:rsidR="00887B6B">
        <w:t xml:space="preserve">required </w:t>
      </w:r>
      <w:r w:rsidR="002D4E50">
        <w:t>to produce</w:t>
      </w:r>
      <w:r w:rsidR="005E0C9A">
        <w:t xml:space="preserve"> </w:t>
      </w:r>
      <w:r w:rsidR="003F6239">
        <w:t xml:space="preserve">the same or </w:t>
      </w:r>
      <w:r w:rsidR="005E0C9A">
        <w:t xml:space="preserve">a </w:t>
      </w:r>
      <w:r w:rsidR="003F6239">
        <w:t xml:space="preserve">substantially </w:t>
      </w:r>
      <w:r w:rsidR="005E0C9A">
        <w:t xml:space="preserve">similar </w:t>
      </w:r>
      <w:r w:rsidR="00CF513F">
        <w:t>item</w:t>
      </w:r>
      <w:r w:rsidR="005E0C9A">
        <w:t xml:space="preserve"> for additional customers is minimal</w:t>
      </w:r>
      <w:bookmarkEnd w:id="1"/>
      <w:r w:rsidR="00DA4BEC">
        <w:t>.</w:t>
      </w:r>
    </w:p>
    <w:p w14:paraId="45B5B55D" w14:textId="08BB5A01" w:rsidR="005F4E83" w:rsidRDefault="005F4E83" w:rsidP="005F4E83">
      <w:pPr>
        <w:pStyle w:val="Heading3"/>
        <w:numPr>
          <w:ilvl w:val="2"/>
          <w:numId w:val="3"/>
        </w:numPr>
        <w:ind w:left="1080" w:hanging="360"/>
      </w:pPr>
      <w:r>
        <w:t xml:space="preserve">Exemption:  </w:t>
      </w:r>
      <w:bookmarkStart w:id="2" w:name="_Hlk193630927"/>
      <w:r>
        <w:t xml:space="preserve">A product is exempt from taxation as an automated digital product if </w:t>
      </w:r>
      <w:r w:rsidR="007411E7">
        <w:t>the product</w:t>
      </w:r>
      <w:r>
        <w:t xml:space="preserve"> </w:t>
      </w:r>
      <w:bookmarkStart w:id="3" w:name="_Hlk192145930"/>
      <w:r w:rsidR="007411E7">
        <w:t>will be used pr</w:t>
      </w:r>
      <w:r w:rsidR="00704292">
        <w:t>edominantly</w:t>
      </w:r>
      <w:r w:rsidR="007411E7">
        <w:t xml:space="preserve"> </w:t>
      </w:r>
      <w:r w:rsidR="005E2D16">
        <w:t>for</w:t>
      </w:r>
      <w:r w:rsidR="007411E7">
        <w:t xml:space="preserve"> a </w:t>
      </w:r>
      <w:r w:rsidR="00812BD4">
        <w:t xml:space="preserve">trade or </w:t>
      </w:r>
      <w:r w:rsidR="007411E7">
        <w:t>business</w:t>
      </w:r>
      <w:bookmarkEnd w:id="3"/>
      <w:r>
        <w:t>.</w:t>
      </w:r>
      <w:bookmarkEnd w:id="2"/>
      <w:r w:rsidR="00657005">
        <w:t xml:space="preserve"> </w:t>
      </w:r>
    </w:p>
    <w:p w14:paraId="17B48CE5" w14:textId="03722AD9" w:rsidR="005E0C9A" w:rsidRDefault="00AB71A4" w:rsidP="005E0C9A">
      <w:pPr>
        <w:pStyle w:val="Heading2"/>
        <w:numPr>
          <w:ilvl w:val="1"/>
          <w:numId w:val="3"/>
        </w:numPr>
        <w:tabs>
          <w:tab w:val="clear" w:pos="1440"/>
        </w:tabs>
        <w:ind w:left="720" w:hanging="360"/>
      </w:pPr>
      <w:r>
        <w:t>Proposed regulations</w:t>
      </w:r>
    </w:p>
    <w:p w14:paraId="7451E22D" w14:textId="69BE2C5C" w:rsidR="002338E9" w:rsidRDefault="002338E9" w:rsidP="002338E9">
      <w:pPr>
        <w:pStyle w:val="Heading3"/>
        <w:numPr>
          <w:ilvl w:val="2"/>
          <w:numId w:val="3"/>
        </w:numPr>
        <w:ind w:left="1080" w:hanging="360"/>
      </w:pPr>
      <w:r w:rsidRPr="002338E9">
        <w:t xml:space="preserve">In determining whether a </w:t>
      </w:r>
      <w:r>
        <w:t>product</w:t>
      </w:r>
      <w:r w:rsidRPr="002338E9">
        <w:t xml:space="preserve"> requires minimal human in</w:t>
      </w:r>
      <w:r w:rsidR="005215D0">
        <w:t>tervention</w:t>
      </w:r>
      <w:r w:rsidR="00C054B2">
        <w:t>,</w:t>
      </w:r>
      <w:r w:rsidRPr="002338E9">
        <w:t xml:space="preserve"> the </w:t>
      </w:r>
      <w:r w:rsidR="00614CCB">
        <w:t>definition</w:t>
      </w:r>
      <w:r w:rsidRPr="002338E9">
        <w:t xml:space="preserve"> only looks to the supplier</w:t>
      </w:r>
      <w:r>
        <w:t xml:space="preserve"> of the </w:t>
      </w:r>
      <w:r w:rsidR="00160A08">
        <w:t>product</w:t>
      </w:r>
      <w:r>
        <w:t xml:space="preserve">, without regard to any human </w:t>
      </w:r>
      <w:r w:rsidR="00D25E69">
        <w:t>intervention</w:t>
      </w:r>
      <w:r>
        <w:t xml:space="preserve"> on the side of the user (e.g.</w:t>
      </w:r>
      <w:r w:rsidR="00AC6855">
        <w:t>,</w:t>
      </w:r>
      <w:r>
        <w:t xml:space="preserve"> where the user may input certain parameters into an automated system to obtain a customized result). Furthermore, the definition focuses on the </w:t>
      </w:r>
      <w:r w:rsidR="0040108C">
        <w:t xml:space="preserve">human </w:t>
      </w:r>
      <w:r w:rsidR="00441D0D">
        <w:t>effort to pro</w:t>
      </w:r>
      <w:r w:rsidR="00A131EF">
        <w:t>vide</w:t>
      </w:r>
      <w:r w:rsidR="00441D0D">
        <w:t xml:space="preserve"> </w:t>
      </w:r>
      <w:r>
        <w:t xml:space="preserve">the </w:t>
      </w:r>
      <w:r w:rsidR="00F63BD1">
        <w:t>product</w:t>
      </w:r>
      <w:r>
        <w:t xml:space="preserve"> and therefore does not include human </w:t>
      </w:r>
      <w:r w:rsidR="005215D0">
        <w:t>effort</w:t>
      </w:r>
      <w:r>
        <w:t xml:space="preserve"> in creating or supporting the system</w:t>
      </w:r>
      <w:r w:rsidR="00E53B2D">
        <w:t xml:space="preserve"> by which the </w:t>
      </w:r>
      <w:r w:rsidR="00887B6B">
        <w:t>item</w:t>
      </w:r>
      <w:r w:rsidR="00E53B2D">
        <w:t xml:space="preserve"> is provided</w:t>
      </w:r>
      <w:r>
        <w:t xml:space="preserve">, such as setting up the system environment needed for the provision of the </w:t>
      </w:r>
      <w:r w:rsidR="00F63BD1">
        <w:t>product</w:t>
      </w:r>
      <w:r>
        <w:t xml:space="preserve">, maintaining and updating the system environment, dealing with system errors, or making other generic, non-specific adjustments unrelated to individual user requests. Finally, the threshold of minimal human </w:t>
      </w:r>
      <w:r w:rsidR="00D25E69">
        <w:t>intervention</w:t>
      </w:r>
      <w:r>
        <w:t xml:space="preserve"> would not be crossed where the provision of the </w:t>
      </w:r>
      <w:r w:rsidR="0081107A">
        <w:t xml:space="preserve">same or similar </w:t>
      </w:r>
      <w:r w:rsidR="00A131EF">
        <w:t>product</w:t>
      </w:r>
      <w:r w:rsidR="00887B6B">
        <w:t xml:space="preserve"> </w:t>
      </w:r>
      <w:r>
        <w:t xml:space="preserve">to new users </w:t>
      </w:r>
      <w:r w:rsidR="00887B6B">
        <w:t xml:space="preserve">generally requires </w:t>
      </w:r>
      <w:r>
        <w:t>very limited human response to individual user requests / input or where in individual cases involving particular, more complex problems, the program running the system direct</w:t>
      </w:r>
      <w:r w:rsidR="00C054B2">
        <w:t>s</w:t>
      </w:r>
      <w:r>
        <w:t xml:space="preserve"> the customer to a staff member.</w:t>
      </w:r>
    </w:p>
    <w:p w14:paraId="49AF644B" w14:textId="196921BD" w:rsidR="000D571D" w:rsidRDefault="00812BD4" w:rsidP="00831A23">
      <w:pPr>
        <w:pStyle w:val="Heading4"/>
        <w:numPr>
          <w:ilvl w:val="0"/>
          <w:numId w:val="0"/>
        </w:numPr>
        <w:ind w:left="1440"/>
      </w:pPr>
      <w:r>
        <w:t>Source</w:t>
      </w:r>
      <w:r w:rsidR="00385218">
        <w:t xml:space="preserve"> - </w:t>
      </w:r>
      <w:r w:rsidR="000D571D">
        <w:t xml:space="preserve">The text is based on </w:t>
      </w:r>
      <w:hyperlink r:id="rId8" w:history="1">
        <w:r w:rsidR="000D571D" w:rsidRPr="005E7B5B">
          <w:rPr>
            <w:rStyle w:val="Hyperlink"/>
          </w:rPr>
          <w:t>United Nations Model Double Taxation Convention Between Developed and Developing Countries</w:t>
        </w:r>
      </w:hyperlink>
      <w:r w:rsidR="000D571D">
        <w:t xml:space="preserve"> (2021) </w:t>
      </w:r>
      <w:r w:rsidR="005E7B5B">
        <w:t xml:space="preserve">Commentary on Article 12B </w:t>
      </w:r>
      <w:r w:rsidR="000D571D">
        <w:t>¶ 5</w:t>
      </w:r>
      <w:r w:rsidR="001F5ABD">
        <w:t>3</w:t>
      </w:r>
      <w:r w:rsidR="000D571D">
        <w:t xml:space="preserve"> and </w:t>
      </w:r>
      <w:hyperlink r:id="rId9" w:history="1">
        <w:r w:rsidR="00DC6A4F" w:rsidRPr="002719D4">
          <w:rPr>
            <w:rStyle w:val="Hyperlink"/>
          </w:rPr>
          <w:t>OECD, “Tax Challenges Arising from Digitalisation – Report on Pillar One Blueprint: Inclusive Framework on BEPS”</w:t>
        </w:r>
      </w:hyperlink>
      <w:r w:rsidR="00DC6A4F">
        <w:t xml:space="preserve"> </w:t>
      </w:r>
      <w:r w:rsidR="000D571D">
        <w:t>Box 2.2.</w:t>
      </w:r>
    </w:p>
    <w:p w14:paraId="4CE83D03" w14:textId="0EA2EA6F" w:rsidR="002E1FF5" w:rsidRDefault="002E1FF5" w:rsidP="002E1FF5">
      <w:pPr>
        <w:pStyle w:val="Heading3"/>
        <w:numPr>
          <w:ilvl w:val="2"/>
          <w:numId w:val="3"/>
        </w:numPr>
        <w:ind w:left="1080" w:hanging="360"/>
      </w:pPr>
      <w:r>
        <w:t>A</w:t>
      </w:r>
      <w:r w:rsidR="00C054B2">
        <w:t>n indicator</w:t>
      </w:r>
      <w:r>
        <w:t xml:space="preserve"> of </w:t>
      </w:r>
      <w:r w:rsidR="00C054B2">
        <w:t>an</w:t>
      </w:r>
      <w:r>
        <w:t xml:space="preserve"> “automated</w:t>
      </w:r>
      <w:r w:rsidR="00C054B2">
        <w:t xml:space="preserve"> digital product</w:t>
      </w:r>
      <w:r>
        <w:t>”</w:t>
      </w:r>
      <w:r w:rsidR="005215D0">
        <w:t xml:space="preserve"> is</w:t>
      </w:r>
      <w:r>
        <w:t xml:space="preserve"> the ability to scale up and provide the same type of </w:t>
      </w:r>
      <w:r w:rsidR="00F63BD1">
        <w:t>product</w:t>
      </w:r>
      <w:r>
        <w:t xml:space="preserve"> to new users with minimal human </w:t>
      </w:r>
      <w:r w:rsidR="00D25E69">
        <w:t>intervention</w:t>
      </w:r>
      <w:r>
        <w:t xml:space="preserve">. This </w:t>
      </w:r>
      <w:r w:rsidR="005215D0">
        <w:t>aspect</w:t>
      </w:r>
      <w:r>
        <w:t xml:space="preserve"> aims to identify products that benefit from significant economies of scale, rather than to suggest that there is no human </w:t>
      </w:r>
      <w:r w:rsidR="00035D9B">
        <w:t>involvement</w:t>
      </w:r>
      <w:r>
        <w:t xml:space="preserve"> required</w:t>
      </w:r>
      <w:r w:rsidR="00E53B2D">
        <w:t xml:space="preserve"> </w:t>
      </w:r>
      <w:r w:rsidR="00035D9B">
        <w:t>in the business</w:t>
      </w:r>
      <w:r>
        <w:t xml:space="preserve">. For many businesses with automated digital products, developing the system that delivers the </w:t>
      </w:r>
      <w:r w:rsidR="00F63BD1">
        <w:t>product</w:t>
      </w:r>
      <w:r>
        <w:t xml:space="preserve"> may require a large degree of upfront human </w:t>
      </w:r>
      <w:r w:rsidR="005215D0">
        <w:t>effort</w:t>
      </w:r>
      <w:r>
        <w:t xml:space="preserve"> and capital inputs (such as creating algorithms to deliver the automated </w:t>
      </w:r>
      <w:r w:rsidR="00F63BD1">
        <w:t>product</w:t>
      </w:r>
      <w:r w:rsidR="00C054B2">
        <w:t>,</w:t>
      </w:r>
      <w:r>
        <w:t xml:space="preserve"> including tailoring the offering to the user’s preferences). The definition distinguishes products by looking to whether the marginal cost in terms of additional human </w:t>
      </w:r>
      <w:r w:rsidR="005215D0">
        <w:t xml:space="preserve">effort to </w:t>
      </w:r>
      <w:r>
        <w:t>provid</w:t>
      </w:r>
      <w:r w:rsidR="005215D0">
        <w:t>e</w:t>
      </w:r>
      <w:r>
        <w:t xml:space="preserve"> the same </w:t>
      </w:r>
      <w:r w:rsidR="007A5AC2">
        <w:t xml:space="preserve">or </w:t>
      </w:r>
      <w:r w:rsidR="007A5AC2">
        <w:lastRenderedPageBreak/>
        <w:t xml:space="preserve">substantially similar </w:t>
      </w:r>
      <w:r>
        <w:t xml:space="preserve">product to additional users is nil or almost nil. In other words, </w:t>
      </w:r>
      <w:r w:rsidR="00C054B2">
        <w:t>after</w:t>
      </w:r>
      <w:r>
        <w:t xml:space="preserve"> the product is developed (such as the music catalogue or social media platform), the business can provide that product to one use</w:t>
      </w:r>
      <w:r w:rsidR="00091DB8">
        <w:t>r</w:t>
      </w:r>
      <w:r>
        <w:t xml:space="preserve"> or to </w:t>
      </w:r>
      <w:r w:rsidR="00C054B2">
        <w:t>many</w:t>
      </w:r>
      <w:r>
        <w:t xml:space="preserve"> users with the same basic process; whereas a business with a nonautomated product would see a proportionate increase in the costs per unit in connection with providing the </w:t>
      </w:r>
      <w:r w:rsidR="00AC6855">
        <w:t>product</w:t>
      </w:r>
      <w:r>
        <w:t xml:space="preserve"> to new customers.</w:t>
      </w:r>
    </w:p>
    <w:p w14:paraId="4852744A" w14:textId="4E58E650" w:rsidR="000D571D" w:rsidRDefault="00812BD4" w:rsidP="00831A23">
      <w:pPr>
        <w:pStyle w:val="Heading4"/>
        <w:numPr>
          <w:ilvl w:val="0"/>
          <w:numId w:val="0"/>
        </w:numPr>
        <w:ind w:left="1440"/>
      </w:pPr>
      <w:r>
        <w:t>Source</w:t>
      </w:r>
      <w:r w:rsidR="00385218">
        <w:t xml:space="preserve"> - </w:t>
      </w:r>
      <w:r w:rsidR="000D571D">
        <w:t xml:space="preserve">The text is based on </w:t>
      </w:r>
      <w:hyperlink r:id="rId10" w:history="1">
        <w:r w:rsidR="000D571D" w:rsidRPr="005E7B5B">
          <w:rPr>
            <w:rStyle w:val="Hyperlink"/>
          </w:rPr>
          <w:t>United Nations Model Double Taxation Convention Between Developed and Developing Countries</w:t>
        </w:r>
      </w:hyperlink>
      <w:r w:rsidR="000D571D">
        <w:t xml:space="preserve"> (2021) </w:t>
      </w:r>
      <w:r w:rsidR="005E7B5B">
        <w:t xml:space="preserve">Commentary on Article 12B </w:t>
      </w:r>
      <w:r w:rsidR="000D571D">
        <w:t xml:space="preserve">¶ 54 and </w:t>
      </w:r>
      <w:hyperlink r:id="rId11" w:history="1">
        <w:r w:rsidR="00DC6A4F" w:rsidRPr="002719D4">
          <w:rPr>
            <w:rStyle w:val="Hyperlink"/>
          </w:rPr>
          <w:t>OECD, “Tax Challenges Arising from Digitalisation – Report on Pillar One Blueprint: Inclusive Framework on BEPS”</w:t>
        </w:r>
      </w:hyperlink>
      <w:r w:rsidR="000D571D">
        <w:t xml:space="preserve"> Box 2.2.</w:t>
      </w:r>
    </w:p>
    <w:p w14:paraId="003BB00F" w14:textId="248A669B" w:rsidR="00AA072E" w:rsidRDefault="00AB71A4" w:rsidP="005E0C9A">
      <w:pPr>
        <w:pStyle w:val="Heading3"/>
        <w:numPr>
          <w:ilvl w:val="2"/>
          <w:numId w:val="3"/>
        </w:numPr>
        <w:ind w:left="1080" w:hanging="360"/>
      </w:pPr>
      <w:r>
        <w:t>S</w:t>
      </w:r>
      <w:r w:rsidR="0055239A">
        <w:t xml:space="preserve">ome </w:t>
      </w:r>
      <w:r w:rsidR="00CD5E0D">
        <w:t xml:space="preserve">transactions involving </w:t>
      </w:r>
      <w:r w:rsidR="0055239A">
        <w:t xml:space="preserve">automated digital products </w:t>
      </w:r>
      <w:r w:rsidR="00CD5E0D">
        <w:t xml:space="preserve">may be </w:t>
      </w:r>
      <w:r w:rsidR="0055239A">
        <w:t xml:space="preserve">preempted by the </w:t>
      </w:r>
      <w:r w:rsidR="00BE7F22">
        <w:t xml:space="preserve">federal </w:t>
      </w:r>
      <w:r w:rsidR="0055239A">
        <w:t>Internet Tax Freedom Act</w:t>
      </w:r>
      <w:r w:rsidR="009539C3">
        <w:t>.</w:t>
      </w:r>
    </w:p>
    <w:p w14:paraId="49228086" w14:textId="0FBA8857" w:rsidR="00144819" w:rsidRDefault="00144819" w:rsidP="00813EB5">
      <w:pPr>
        <w:pStyle w:val="Heading2"/>
      </w:pPr>
      <w:r>
        <w:t>Explanation</w:t>
      </w:r>
    </w:p>
    <w:p w14:paraId="38CE828A" w14:textId="77777777" w:rsidR="00144819" w:rsidRDefault="00144819" w:rsidP="00144819">
      <w:pPr>
        <w:pStyle w:val="BodyText1"/>
      </w:pPr>
      <w:r w:rsidRPr="006D256B">
        <w:t>In principle, a retail sales tax should be a broad-based single-stage levy on consumer expenditures</w:t>
      </w:r>
      <w:r>
        <w:t xml:space="preserve"> with a low tax rate</w:t>
      </w:r>
      <w:r w:rsidRPr="006D256B">
        <w:t>.</w:t>
      </w:r>
      <w:r>
        <w:t xml:space="preserve">  In practice, in most states, the sale of tangible personal property is generally taxed, while only the sale of specific services is taxed.</w:t>
      </w:r>
    </w:p>
    <w:p w14:paraId="27F69A5C" w14:textId="445716DC" w:rsidR="00C51112" w:rsidRDefault="00144819" w:rsidP="007768C8">
      <w:pPr>
        <w:pStyle w:val="BodyText1"/>
      </w:pPr>
      <w:r>
        <w:t>Digital products do not fit well with the traditional sales tax distinctions between the sale of taxable tangible personal property and the sale of nontaxable services.  Digital products tend to be less “tangible” than nondigital products</w:t>
      </w:r>
      <w:r w:rsidR="00657005">
        <w:t xml:space="preserve">, prompting some states to tax </w:t>
      </w:r>
      <w:r w:rsidR="0081107A">
        <w:t>software by treating it as tangible personal property or by specifically including it in the tax base.</w:t>
      </w:r>
      <w:r>
        <w:t xml:space="preserve"> And now, the distinction between software and services is becoming blurred, such that the term “software as a service” has come into use.</w:t>
      </w:r>
    </w:p>
    <w:p w14:paraId="7B3E0505" w14:textId="6CAF2591" w:rsidR="00144819" w:rsidRDefault="00144819" w:rsidP="00144819">
      <w:pPr>
        <w:pStyle w:val="BodyText1"/>
      </w:pPr>
      <w:r>
        <w:t>For these reasons, states with selective tax bases may recognize that digital products deserve a separate classification in the tax base.  In some cases, the classification will overlap with existing tax</w:t>
      </w:r>
      <w:r w:rsidR="00AC2708">
        <w:t>able items</w:t>
      </w:r>
      <w:r>
        <w:t xml:space="preserve">.  In other cases, the classification </w:t>
      </w:r>
      <w:r w:rsidR="005215D0">
        <w:t>will</w:t>
      </w:r>
      <w:r>
        <w:t xml:space="preserve"> expand the tax base</w:t>
      </w:r>
      <w:r w:rsidR="00B34336">
        <w:t xml:space="preserve"> in recognition that</w:t>
      </w:r>
      <w:r>
        <w:t xml:space="preserve"> digital products </w:t>
      </w:r>
      <w:r w:rsidR="00657005">
        <w:t xml:space="preserve">have </w:t>
      </w:r>
      <w:r>
        <w:t xml:space="preserve">distinct attributes that </w:t>
      </w:r>
      <w:r w:rsidR="00B34336">
        <w:t xml:space="preserve">justify </w:t>
      </w:r>
      <w:r>
        <w:t>distinct tax treatment.</w:t>
      </w:r>
    </w:p>
    <w:p w14:paraId="15537C6B" w14:textId="2491A3A0" w:rsidR="00144819" w:rsidRDefault="004D1DDE" w:rsidP="00144819">
      <w:pPr>
        <w:pStyle w:val="BodyText1"/>
      </w:pPr>
      <w:r>
        <w:t xml:space="preserve">One </w:t>
      </w:r>
      <w:r w:rsidR="00091DB8">
        <w:t>criterion</w:t>
      </w:r>
      <w:r w:rsidR="009B7526">
        <w:t xml:space="preserve"> for </w:t>
      </w:r>
      <w:r w:rsidR="00B34336">
        <w:t>the</w:t>
      </w:r>
      <w:r w:rsidR="009B7526">
        <w:t xml:space="preserve"> proposed definition</w:t>
      </w:r>
      <w:r w:rsidR="00144819">
        <w:t xml:space="preserve"> is that the item must be in a binary format, specifically inc</w:t>
      </w:r>
      <w:r w:rsidR="00144819" w:rsidRPr="00D915A7">
        <w:t xml:space="preserve">luding </w:t>
      </w:r>
      <w:r w:rsidR="00A50141">
        <w:t xml:space="preserve">products that may also be </w:t>
      </w:r>
      <w:r w:rsidR="00144819" w:rsidRPr="00D915A7">
        <w:t xml:space="preserve">software </w:t>
      </w:r>
      <w:r w:rsidR="00A50141">
        <w:t>or</w:t>
      </w:r>
      <w:r w:rsidR="00144819" w:rsidRPr="00D915A7">
        <w:t xml:space="preserve"> service</w:t>
      </w:r>
      <w:r w:rsidR="00A50141">
        <w:t>s</w:t>
      </w:r>
      <w:r w:rsidR="00144819">
        <w:t xml:space="preserve">.  Binary format is the </w:t>
      </w:r>
      <w:r w:rsidR="00792A52">
        <w:t xml:space="preserve">current, </w:t>
      </w:r>
      <w:r w:rsidR="00144819">
        <w:t xml:space="preserve">basic characteristic of a product that is digital.  </w:t>
      </w:r>
      <w:r w:rsidR="00792A52">
        <w:t xml:space="preserve">If a state wanted to future-proof the definition for quantum computing, it could add “qubit format” as an addition format.  </w:t>
      </w:r>
      <w:r w:rsidR="00144819">
        <w:t xml:space="preserve">The reference to software and services is not an essential element of the definition, but has been added to explicitly eliminate the </w:t>
      </w:r>
      <w:r w:rsidR="00A50141">
        <w:t xml:space="preserve">boundaries of </w:t>
      </w:r>
      <w:r w:rsidR="00144819">
        <w:t>software and services.</w:t>
      </w:r>
      <w:r w:rsidR="007B7427">
        <w:t xml:space="preserve">  </w:t>
      </w:r>
      <w:r w:rsidR="00D30F1F">
        <w:t>To comply with specific enumeration requirement of section 332 of the Streamlined Sales Tax Agreement, the definition specifically includes</w:t>
      </w:r>
      <w:r w:rsidR="002F1595">
        <w:t xml:space="preserve"> the right to </w:t>
      </w:r>
      <w:r w:rsidR="007B7427">
        <w:t>access or use the item regardless of duration</w:t>
      </w:r>
      <w:r w:rsidR="00D30F1F">
        <w:t>.</w:t>
      </w:r>
      <w:r w:rsidR="007B7427">
        <w:t xml:space="preserve"> </w:t>
      </w:r>
    </w:p>
    <w:p w14:paraId="50624520" w14:textId="237A68C0" w:rsidR="00144819" w:rsidRDefault="004D1DDE" w:rsidP="00144819">
      <w:pPr>
        <w:pStyle w:val="BodyText1"/>
      </w:pPr>
      <w:r>
        <w:t>A</w:t>
      </w:r>
      <w:r w:rsidR="008703CF">
        <w:t xml:space="preserve"> second criterion </w:t>
      </w:r>
      <w:r w:rsidR="009B7526">
        <w:t xml:space="preserve">considers the degree of human effort or </w:t>
      </w:r>
      <w:r w:rsidR="008703CF" w:rsidRPr="000A511A">
        <w:t xml:space="preserve">intervention </w:t>
      </w:r>
      <w:r w:rsidR="008703CF">
        <w:t>by the service provider</w:t>
      </w:r>
      <w:r w:rsidR="009B7526">
        <w:t xml:space="preserve"> </w:t>
      </w:r>
      <w:r w:rsidR="00792A52">
        <w:t>to provide the product</w:t>
      </w:r>
      <w:r w:rsidR="009B7526">
        <w:t xml:space="preserve"> for use by other customers</w:t>
      </w:r>
      <w:r w:rsidR="008703CF" w:rsidRPr="000A511A">
        <w:t>.</w:t>
      </w:r>
      <w:r w:rsidR="008703CF">
        <w:t xml:space="preserve"> The objective is to make the definition more compatible with the selective tax systems of the many states that do not broadly tax professional services.</w:t>
      </w:r>
    </w:p>
    <w:p w14:paraId="248DAC88" w14:textId="699ACEF7" w:rsidR="005928E4" w:rsidRDefault="00BA404D" w:rsidP="00394FCC">
      <w:pPr>
        <w:pStyle w:val="BodyText1"/>
      </w:pPr>
      <w:r>
        <w:t>A third criterion</w:t>
      </w:r>
      <w:r w:rsidR="00657005">
        <w:t>, expressed as an exemption,</w:t>
      </w:r>
      <w:r w:rsidR="009B7526">
        <w:t xml:space="preserve"> </w:t>
      </w:r>
      <w:r w:rsidR="00657005">
        <w:t xml:space="preserve">is that the </w:t>
      </w:r>
      <w:r>
        <w:t xml:space="preserve">automated digital product </w:t>
      </w:r>
      <w:r w:rsidRPr="00BA404D">
        <w:t>be used predominantly for a trade or business</w:t>
      </w:r>
      <w:r>
        <w:t xml:space="preserve">.  </w:t>
      </w:r>
      <w:r w:rsidR="005928E4">
        <w:t xml:space="preserve">The term “trade or business” is used in federal Internal Revenue Code and Treasury Regulations, and </w:t>
      </w:r>
      <w:r w:rsidR="00D900DB">
        <w:t>federal interpretations</w:t>
      </w:r>
      <w:r w:rsidR="005928E4">
        <w:t xml:space="preserve"> </w:t>
      </w:r>
      <w:r w:rsidR="005928E4">
        <w:lastRenderedPageBreak/>
        <w:t>could be used for guidance.  T</w:t>
      </w:r>
      <w:r w:rsidR="00122B47">
        <w:t xml:space="preserve">he objective </w:t>
      </w:r>
      <w:r w:rsidR="005928E4">
        <w:t xml:space="preserve">of the </w:t>
      </w:r>
      <w:r w:rsidR="009B7526">
        <w:t>exemption</w:t>
      </w:r>
      <w:r w:rsidR="005928E4">
        <w:t xml:space="preserve"> </w:t>
      </w:r>
      <w:r w:rsidR="00122B47">
        <w:t>is to prevent the pyramiding of taxes</w:t>
      </w:r>
      <w:r w:rsidR="00657005">
        <w:t xml:space="preserve">.  The criterion </w:t>
      </w:r>
      <w:r w:rsidR="009B7526">
        <w:t xml:space="preserve">is </w:t>
      </w:r>
      <w:r>
        <w:t>drafted as an exemption because it depends upon the use of the product, a characteristic that is determined by the buyer.  Thus, the buyer will need to claim the exemption.</w:t>
      </w:r>
      <w:r w:rsidR="005928E4">
        <w:t xml:space="preserve">  </w:t>
      </w:r>
    </w:p>
    <w:p w14:paraId="025042A6" w14:textId="7302C673" w:rsidR="00394FCC" w:rsidRDefault="00394FCC" w:rsidP="00394FCC">
      <w:pPr>
        <w:pStyle w:val="BodyText1"/>
      </w:pPr>
      <w:r>
        <w:t>The business purpose exemption is an essential complement to the definition of “automated digital product” because t</w:t>
      </w:r>
      <w:r w:rsidRPr="00394FCC">
        <w:t>he exemption eliminates the taxation of transactions traditionally treated as the nontaxable sale of intangible rights, such as the sale of digital publishing or performing rights.</w:t>
      </w:r>
      <w:r>
        <w:t xml:space="preserve">  Section 332 of the Streamlined Sales Tax Agreement achieves a similar result for </w:t>
      </w:r>
      <w:r w:rsidR="005928E4">
        <w:t xml:space="preserve">the taxation of </w:t>
      </w:r>
      <w:r>
        <w:t>“specified digital products” by only imposing the tax on an “end user” unless specified otherwise. Under the Agreement, an “end user” includes any person other than a person who receives by contract a product for further commercial broadcast, rebroadcast, transmission, retransmission, licensing, relicensing, distribution, redistribution or exhibition of the product, in whole or in part, to another person or persons.</w:t>
      </w:r>
    </w:p>
    <w:p w14:paraId="249117FC" w14:textId="2FA04036" w:rsidR="00BA404D" w:rsidRDefault="00BA404D" w:rsidP="00BA404D">
      <w:pPr>
        <w:ind w:firstLine="720"/>
      </w:pPr>
      <w:r>
        <w:t>The publication or public performance of a copyrighted work in a digital format for a fee would generally constitute the sale of an automated digital product.  Examples include the sale of downloaded digital books or music, the sale of music or video streaming service subscriptions, the sale of digital access to a live-streamed event, and the sale of digital recordings on tangible storage media such as compact discs.  However, t</w:t>
      </w:r>
      <w:r w:rsidRPr="00C95A31">
        <w:t>he sale of publishing</w:t>
      </w:r>
      <w:r>
        <w:t xml:space="preserve"> or performance</w:t>
      </w:r>
      <w:r w:rsidRPr="00C95A31">
        <w:t xml:space="preserve"> rights </w:t>
      </w:r>
      <w:r>
        <w:t>to a business would be exempt</w:t>
      </w:r>
      <w:r w:rsidRPr="00C95A31">
        <w:t>.</w:t>
      </w:r>
    </w:p>
    <w:p w14:paraId="03789175" w14:textId="52410475" w:rsidR="004D1DDE" w:rsidRDefault="00A76792" w:rsidP="00A76792">
      <w:pPr>
        <w:ind w:firstLine="720"/>
      </w:pPr>
      <w:r>
        <w:t xml:space="preserve">The definition of “automated digital product” would include some </w:t>
      </w:r>
      <w:r w:rsidR="000A3F27">
        <w:t>products</w:t>
      </w:r>
      <w:r>
        <w:t xml:space="preserve"> preempted by the federal Internet Tax Freedom Act</w:t>
      </w:r>
      <w:r w:rsidR="004D1DDE" w:rsidRPr="004D1DDE">
        <w:t xml:space="preserve">.  </w:t>
      </w:r>
      <w:r>
        <w:t>A proposed rule acknowledges that possibility but does not articulate specific products</w:t>
      </w:r>
      <w:r w:rsidR="0099226F">
        <w:t xml:space="preserve"> that would be preempted</w:t>
      </w:r>
      <w:r>
        <w:t xml:space="preserve"> </w:t>
      </w:r>
      <w:r w:rsidR="0099226F">
        <w:t>because of the uncertainty regarding the scope of the</w:t>
      </w:r>
      <w:r w:rsidR="000A3F27">
        <w:t xml:space="preserve"> moratorium on discriminatory taxes, </w:t>
      </w:r>
      <w:r w:rsidR="0099226F">
        <w:t xml:space="preserve">because </w:t>
      </w:r>
      <w:r w:rsidR="000A3F27">
        <w:t xml:space="preserve">of </w:t>
      </w:r>
      <w:r w:rsidR="0099226F">
        <w:t>the</w:t>
      </w:r>
      <w:r w:rsidR="000A3F27">
        <w:t xml:space="preserve"> complex definitions relating to the moratorium on “internet access,” and because of the complex requirements of the exception to the moratoriums.</w:t>
      </w:r>
      <w:r w:rsidR="004D1DDE" w:rsidRPr="004D1DDE">
        <w:t xml:space="preserve"> </w:t>
      </w:r>
      <w:r w:rsidR="00BE7F22">
        <w:t>A state would be free to adopt a more elaborate explanation.</w:t>
      </w:r>
    </w:p>
    <w:p w14:paraId="7F7D92CF" w14:textId="7C2C84E4" w:rsidR="007B1151" w:rsidRDefault="007B1151" w:rsidP="007B1151">
      <w:pPr>
        <w:ind w:firstLine="720"/>
      </w:pPr>
      <w:r>
        <w:t xml:space="preserve">Unlike the Streamlined Sales Tax </w:t>
      </w:r>
      <w:r w:rsidR="006D1F09">
        <w:t xml:space="preserve">Agreement </w:t>
      </w:r>
      <w:r>
        <w:t>definitions for “specified digital products,” the definition of “automated digital product” does not require that the product be transferred electronically.  Electronic transfer, presumably over the Internet, should not be a criterion because it will further implicate the Internet Tax Freedom Act.</w:t>
      </w:r>
    </w:p>
    <w:p w14:paraId="41BE49DB" w14:textId="77777777" w:rsidR="007B1151" w:rsidRDefault="007B1151" w:rsidP="007B1151">
      <w:pPr>
        <w:pStyle w:val="BodyText1"/>
      </w:pPr>
      <w:r>
        <w:t xml:space="preserve">A state could narrow the application of the definition of “automated digital product” by taxing only specific types of automated digital products, or by excluding specific types of automated digital products. </w:t>
      </w:r>
    </w:p>
    <w:p w14:paraId="3C2439D7" w14:textId="77777777" w:rsidR="007B1151" w:rsidRDefault="007B1151" w:rsidP="007B1151">
      <w:pPr>
        <w:pStyle w:val="BodyText1"/>
      </w:pPr>
      <w:r>
        <w:t>A state could separately tax digital products that are not automated.</w:t>
      </w:r>
    </w:p>
    <w:p w14:paraId="63314257" w14:textId="5E0D2FAA" w:rsidR="00813EB5" w:rsidRDefault="00813EB5" w:rsidP="00813EB5">
      <w:pPr>
        <w:pStyle w:val="Heading2"/>
      </w:pPr>
      <w:r>
        <w:t>C</w:t>
      </w:r>
      <w:r w:rsidR="00AE3CE7">
        <w:t>ritique</w:t>
      </w:r>
    </w:p>
    <w:p w14:paraId="4DF3074E" w14:textId="6C19CE5B" w:rsidR="00AE3CE7" w:rsidRDefault="00AE3CE7" w:rsidP="00AE3CE7">
      <w:pPr>
        <w:pStyle w:val="Heading3"/>
      </w:pPr>
      <w:r>
        <w:t>Clarity</w:t>
      </w:r>
      <w:r w:rsidR="00512733">
        <w:t xml:space="preserve"> and ease of application.</w:t>
      </w:r>
    </w:p>
    <w:p w14:paraId="48A23A38" w14:textId="1A5D51CF" w:rsidR="002E31AC" w:rsidRDefault="00AE3CE7" w:rsidP="00831A23">
      <w:pPr>
        <w:ind w:firstLine="720"/>
      </w:pPr>
      <w:r>
        <w:t xml:space="preserve">In many cases, the determination of </w:t>
      </w:r>
      <w:r w:rsidR="00D25E69">
        <w:t>minim</w:t>
      </w:r>
      <w:r>
        <w:t>al</w:t>
      </w:r>
      <w:r w:rsidR="00D25E69">
        <w:t xml:space="preserve"> human </w:t>
      </w:r>
      <w:r w:rsidR="00B502CF">
        <w:t>intervention</w:t>
      </w:r>
      <w:r>
        <w:t xml:space="preserve"> will be clear. But, the concept could be difficult to apply in some situations.  In those situations, states could look to guidance from organizations that have used the concept in other contexts, including</w:t>
      </w:r>
      <w:r w:rsidR="0051437E">
        <w:t>:</w:t>
      </w:r>
    </w:p>
    <w:p w14:paraId="7E63DC2C" w14:textId="6877CF29" w:rsidR="002E31AC" w:rsidRDefault="0051437E" w:rsidP="00AE3CE7">
      <w:pPr>
        <w:pStyle w:val="ListParagraph"/>
        <w:numPr>
          <w:ilvl w:val="0"/>
          <w:numId w:val="4"/>
        </w:numPr>
      </w:pPr>
      <w:r>
        <w:t>the definition of “automated digital service” in the</w:t>
      </w:r>
      <w:r w:rsidR="00035D9B">
        <w:t xml:space="preserve"> </w:t>
      </w:r>
      <w:hyperlink r:id="rId12" w:history="1">
        <w:r w:rsidR="00922EED" w:rsidRPr="005E7B5B">
          <w:rPr>
            <w:rStyle w:val="Hyperlink"/>
          </w:rPr>
          <w:t>United Nations Model Double Taxation Convention Between Developed and Developing Countries</w:t>
        </w:r>
      </w:hyperlink>
      <w:r w:rsidR="002E31AC">
        <w:t xml:space="preserve"> (2021) </w:t>
      </w:r>
      <w:r w:rsidR="00724D61">
        <w:t xml:space="preserve">Article 12B </w:t>
      </w:r>
      <w:r w:rsidR="002E31AC">
        <w:t>¶ 5.</w:t>
      </w:r>
    </w:p>
    <w:p w14:paraId="74DC9B5C" w14:textId="44879D4A" w:rsidR="002E31AC" w:rsidRDefault="0051437E" w:rsidP="00AE3CE7">
      <w:pPr>
        <w:pStyle w:val="ListParagraph"/>
        <w:numPr>
          <w:ilvl w:val="0"/>
          <w:numId w:val="4"/>
        </w:numPr>
      </w:pPr>
      <w:r>
        <w:t xml:space="preserve">the definition of “automated digital service” in the </w:t>
      </w:r>
      <w:hyperlink r:id="rId13" w:history="1">
        <w:r w:rsidR="002E31AC" w:rsidRPr="002719D4">
          <w:rPr>
            <w:rStyle w:val="Hyperlink"/>
          </w:rPr>
          <w:t>OECD, “Tax Challenges Arising from Digitalisation – Report on Pillar One Blueprint: Inclusive Framework on BEPS”</w:t>
        </w:r>
      </w:hyperlink>
      <w:r w:rsidR="00091DB8">
        <w:t xml:space="preserve"> (2020)</w:t>
      </w:r>
      <w:r w:rsidR="002E31AC">
        <w:t xml:space="preserve"> Box 2.1</w:t>
      </w:r>
      <w:r>
        <w:t>, and</w:t>
      </w:r>
    </w:p>
    <w:p w14:paraId="05640435" w14:textId="5F461B01" w:rsidR="003B61C1" w:rsidRDefault="0051437E" w:rsidP="00AE3CE7">
      <w:pPr>
        <w:pStyle w:val="ListParagraph"/>
        <w:numPr>
          <w:ilvl w:val="0"/>
          <w:numId w:val="4"/>
        </w:numPr>
      </w:pPr>
      <w:r>
        <w:t xml:space="preserve">the definition of “electronically supplied service” in </w:t>
      </w:r>
      <w:r w:rsidR="003B61C1">
        <w:t xml:space="preserve">the </w:t>
      </w:r>
      <w:hyperlink r:id="rId14" w:history="1">
        <w:r w:rsidR="003B61C1" w:rsidRPr="003B61C1">
          <w:rPr>
            <w:rStyle w:val="Hyperlink"/>
          </w:rPr>
          <w:t>Council of</w:t>
        </w:r>
        <w:r w:rsidR="003B61C1">
          <w:rPr>
            <w:rStyle w:val="Hyperlink"/>
          </w:rPr>
          <w:t xml:space="preserve"> the</w:t>
        </w:r>
        <w:r w:rsidR="003B61C1" w:rsidRPr="003B61C1">
          <w:rPr>
            <w:rStyle w:val="Hyperlink"/>
          </w:rPr>
          <w:t xml:space="preserve"> European Union Implementing Regulation No. 282/2011</w:t>
        </w:r>
      </w:hyperlink>
      <w:r w:rsidR="003B61C1">
        <w:t xml:space="preserve"> (2011) Article 7.</w:t>
      </w:r>
    </w:p>
    <w:p w14:paraId="69022A30" w14:textId="1412FD8E" w:rsidR="003B61C1" w:rsidRDefault="00812BD4" w:rsidP="00AE3CE7">
      <w:r>
        <w:t>States</w:t>
      </w:r>
      <w:r w:rsidR="001042FB">
        <w:t xml:space="preserve"> </w:t>
      </w:r>
      <w:r w:rsidR="001E0771">
        <w:t xml:space="preserve">would not be bound by </w:t>
      </w:r>
      <w:r w:rsidR="00AE3CE7">
        <w:t xml:space="preserve">published </w:t>
      </w:r>
      <w:r w:rsidR="001042FB">
        <w:t>guidance</w:t>
      </w:r>
      <w:r w:rsidR="001E0771">
        <w:t>, but could use published guidance</w:t>
      </w:r>
      <w:r w:rsidR="001042FB">
        <w:t xml:space="preserve"> as reference material for interpreting “minimal human in</w:t>
      </w:r>
      <w:r w:rsidR="00D25E69">
        <w:t>tervention</w:t>
      </w:r>
      <w:r w:rsidR="001042FB">
        <w:t>.”</w:t>
      </w:r>
      <w:r w:rsidR="00182F97">
        <w:t xml:space="preserve">  E.g.:</w:t>
      </w:r>
    </w:p>
    <w:p w14:paraId="1B84DC82" w14:textId="7C0E9494" w:rsidR="00182F97" w:rsidRDefault="00C26482" w:rsidP="00AE3CE7">
      <w:pPr>
        <w:pStyle w:val="ListParagraph"/>
        <w:numPr>
          <w:ilvl w:val="0"/>
          <w:numId w:val="5"/>
        </w:numPr>
      </w:pPr>
      <w:hyperlink r:id="rId15" w:history="1">
        <w:r w:rsidRPr="005E7B5B">
          <w:rPr>
            <w:rStyle w:val="Hyperlink"/>
          </w:rPr>
          <w:t>United Nations Model Double Taxation Convention Between Developed and Developing Countries</w:t>
        </w:r>
      </w:hyperlink>
      <w:r w:rsidR="00182F97">
        <w:t xml:space="preserve"> (2021) </w:t>
      </w:r>
      <w:r w:rsidR="005E7B5B">
        <w:t xml:space="preserve">Commentary on Article 12B </w:t>
      </w:r>
      <w:r w:rsidR="00182F97">
        <w:t>¶ 53, 54.</w:t>
      </w:r>
    </w:p>
    <w:p w14:paraId="4AF0CFC1" w14:textId="77777777" w:rsidR="00182044" w:rsidRDefault="00182044" w:rsidP="00AE3CE7">
      <w:pPr>
        <w:pStyle w:val="ListParagraph"/>
        <w:numPr>
          <w:ilvl w:val="0"/>
          <w:numId w:val="5"/>
        </w:numPr>
      </w:pPr>
      <w:hyperlink r:id="rId16" w:history="1">
        <w:r w:rsidRPr="002719D4">
          <w:rPr>
            <w:rStyle w:val="Hyperlink"/>
          </w:rPr>
          <w:t>OECD, “Tax Challenges Arising from Digitalisation – Report on Pillar One Blueprint: Inclusive Framework on BEPS”</w:t>
        </w:r>
      </w:hyperlink>
      <w:r>
        <w:t>, Box 2.2</w:t>
      </w:r>
    </w:p>
    <w:p w14:paraId="5A1BB7BC" w14:textId="0B091F77" w:rsidR="00182044" w:rsidRDefault="00182044" w:rsidP="00AE3CE7">
      <w:pPr>
        <w:pStyle w:val="ListParagraph"/>
        <w:numPr>
          <w:ilvl w:val="0"/>
          <w:numId w:val="5"/>
        </w:numPr>
      </w:pPr>
      <w:hyperlink r:id="rId17" w:history="1">
        <w:r w:rsidRPr="00DC72F2">
          <w:rPr>
            <w:rStyle w:val="Hyperlink"/>
          </w:rPr>
          <w:t xml:space="preserve">Value Added Tax Committee Working Paper No. </w:t>
        </w:r>
        <w:r>
          <w:rPr>
            <w:rStyle w:val="Hyperlink"/>
          </w:rPr>
          <w:t>843</w:t>
        </w:r>
      </w:hyperlink>
      <w:r>
        <w:t xml:space="preserve"> (2015).</w:t>
      </w:r>
    </w:p>
    <w:p w14:paraId="4AA19C54" w14:textId="0079DAB2" w:rsidR="00182044" w:rsidRDefault="00182044" w:rsidP="00AE3CE7">
      <w:pPr>
        <w:pStyle w:val="ListParagraph"/>
        <w:numPr>
          <w:ilvl w:val="0"/>
          <w:numId w:val="5"/>
        </w:numPr>
      </w:pPr>
      <w:hyperlink r:id="rId18" w:history="1">
        <w:r w:rsidRPr="00DC72F2">
          <w:rPr>
            <w:rStyle w:val="Hyperlink"/>
          </w:rPr>
          <w:t xml:space="preserve">Value Added Tax Committee Working Paper No. </w:t>
        </w:r>
        <w:r>
          <w:rPr>
            <w:rStyle w:val="Hyperlink"/>
          </w:rPr>
          <w:t>896</w:t>
        </w:r>
      </w:hyperlink>
      <w:r>
        <w:t xml:space="preserve"> (2016).</w:t>
      </w:r>
    </w:p>
    <w:bookmarkStart w:id="4" w:name="_Hlk187675277"/>
    <w:p w14:paraId="1647DBA4" w14:textId="73B04D9D" w:rsidR="00182F97" w:rsidRDefault="00982E43" w:rsidP="00AE3CE7">
      <w:pPr>
        <w:pStyle w:val="ListParagraph"/>
        <w:numPr>
          <w:ilvl w:val="0"/>
          <w:numId w:val="5"/>
        </w:numPr>
      </w:pPr>
      <w:r>
        <w:fldChar w:fldCharType="begin"/>
      </w:r>
      <w:r>
        <w:instrText>HYPERLINK "https://circabc.europa.eu/sd/a/d3e89803-eecf-4b1a-87d2-2ccf342ee346/919%20-%20Minimal"</w:instrText>
      </w:r>
      <w:r>
        <w:fldChar w:fldCharType="separate"/>
      </w:r>
      <w:r w:rsidR="00DC72F2" w:rsidRPr="00DC72F2">
        <w:rPr>
          <w:rStyle w:val="Hyperlink"/>
        </w:rPr>
        <w:t>Value Added Tax Committee Working Paper No. 919</w:t>
      </w:r>
      <w:r>
        <w:rPr>
          <w:rStyle w:val="Hyperlink"/>
        </w:rPr>
        <w:fldChar w:fldCharType="end"/>
      </w:r>
      <w:r w:rsidR="00DC72F2">
        <w:t xml:space="preserve"> (2017)</w:t>
      </w:r>
      <w:bookmarkEnd w:id="4"/>
      <w:r w:rsidR="00DC72F2">
        <w:t>.</w:t>
      </w:r>
    </w:p>
    <w:p w14:paraId="2D49747D" w14:textId="4A1B2320" w:rsidR="00AD195C" w:rsidRDefault="00AD195C" w:rsidP="00AE3CE7">
      <w:pPr>
        <w:pStyle w:val="ListParagraph"/>
        <w:numPr>
          <w:ilvl w:val="0"/>
          <w:numId w:val="5"/>
        </w:numPr>
      </w:pPr>
      <w:hyperlink r:id="rId19" w:history="1">
        <w:r w:rsidRPr="00DC72F2">
          <w:rPr>
            <w:rStyle w:val="Hyperlink"/>
          </w:rPr>
          <w:t>Value Added Tax Committee Working Paper No. 9</w:t>
        </w:r>
        <w:r>
          <w:rPr>
            <w:rStyle w:val="Hyperlink"/>
          </w:rPr>
          <w:t>90</w:t>
        </w:r>
      </w:hyperlink>
      <w:r>
        <w:t xml:space="preserve"> (2020).</w:t>
      </w:r>
    </w:p>
    <w:p w14:paraId="4C6C1C73" w14:textId="6646217C" w:rsidR="00BA404D" w:rsidRDefault="00BA404D" w:rsidP="00BA404D">
      <w:r>
        <w:t>Examples:</w:t>
      </w:r>
    </w:p>
    <w:p w14:paraId="5CEC1231" w14:textId="77777777" w:rsidR="00BA404D" w:rsidRDefault="00BA404D" w:rsidP="00BA404D">
      <w:pPr>
        <w:pStyle w:val="ListParagraph"/>
        <w:numPr>
          <w:ilvl w:val="0"/>
          <w:numId w:val="7"/>
        </w:numPr>
        <w:contextualSpacing w:val="0"/>
      </w:pPr>
      <w:r>
        <w:t xml:space="preserve">An online seminar in which the customer can ask questions and receive feedback during the seminar would not be an “automated digital product” because the human intervention in providing the product for individual customers would be more than minimal. See, </w:t>
      </w:r>
      <w:r w:rsidRPr="00D25E69">
        <w:t>Value Added Tax Committee Working Paper No. 919</w:t>
      </w:r>
      <w:r>
        <w:t xml:space="preserve"> § 3.1.3</w:t>
      </w:r>
      <w:r w:rsidRPr="00D25E69">
        <w:t xml:space="preserve"> (2017)</w:t>
      </w:r>
      <w:r>
        <w:t>.</w:t>
      </w:r>
    </w:p>
    <w:p w14:paraId="6782C89A" w14:textId="11A67412" w:rsidR="00BA404D" w:rsidRDefault="00BA404D" w:rsidP="00BA404D">
      <w:pPr>
        <w:pStyle w:val="ListParagraph"/>
        <w:numPr>
          <w:ilvl w:val="0"/>
          <w:numId w:val="7"/>
        </w:numPr>
        <w:contextualSpacing w:val="0"/>
      </w:pPr>
      <w:r>
        <w:t xml:space="preserve">The charge for an attorney’s title opinion received by the customer in a binary format, such as Portable Document Format (PDF), would not constitute the sale of an automated digital product because the title opinion is customized for each individual customer by the attorney. See, </w:t>
      </w:r>
      <w:r w:rsidRPr="00F57034">
        <w:t>Value Added Tax Committee Working Paper No. 919</w:t>
      </w:r>
      <w:r>
        <w:t xml:space="preserve"> § 3.1.5</w:t>
      </w:r>
      <w:r w:rsidRPr="00F57034">
        <w:t xml:space="preserve"> (2017).</w:t>
      </w:r>
    </w:p>
    <w:p w14:paraId="5770DA8D" w14:textId="558A28D8" w:rsidR="00BA404D" w:rsidRDefault="00BA404D" w:rsidP="00DA09CC">
      <w:pPr>
        <w:pStyle w:val="ListParagraph"/>
        <w:numPr>
          <w:ilvl w:val="0"/>
          <w:numId w:val="7"/>
        </w:numPr>
        <w:contextualSpacing w:val="0"/>
      </w:pPr>
      <w:r>
        <w:t xml:space="preserve">A supply of services by a website providing automatic search and filter functions for dating purposes stays within the limits of “minimal human intervention.” However, if individual advice/assessment of the chances to succeed in the relationship/etc., is performed by a human being at the request of the customer, “minimal human intervention” is exceeded. Where the consideration paid includes the automatic search and the possibility for the customer to have individual assessment, then this is not an automated digital product, even if the customer does not use this possibility of individual assessment. Where there are two different services, with different considerations, the automatic search service will be an automated digital product and the search service that includes a human assessment will not be an automated digital product. See, </w:t>
      </w:r>
      <w:r w:rsidRPr="00F57034">
        <w:t xml:space="preserve">Value Added Tax Committee Working Paper No. 919 </w:t>
      </w:r>
      <w:r>
        <w:t>§ 3.1.5</w:t>
      </w:r>
      <w:r w:rsidRPr="00F57034">
        <w:t xml:space="preserve"> (2017).</w:t>
      </w:r>
    </w:p>
    <w:p w14:paraId="6925BA97" w14:textId="4889C7BF" w:rsidR="00DA09CC" w:rsidRDefault="00391F37" w:rsidP="00DA09CC">
      <w:pPr>
        <w:pStyle w:val="ListParagraph"/>
        <w:numPr>
          <w:ilvl w:val="0"/>
          <w:numId w:val="8"/>
        </w:numPr>
      </w:pPr>
      <w:r>
        <w:t>A</w:t>
      </w:r>
      <w:r w:rsidR="00DA09CC">
        <w:t xml:space="preserve"> state’s bunding rules </w:t>
      </w:r>
      <w:r>
        <w:t>might</w:t>
      </w:r>
      <w:r w:rsidR="00DA09CC">
        <w:t xml:space="preserve"> </w:t>
      </w:r>
      <w:r>
        <w:t>require a different</w:t>
      </w:r>
      <w:r w:rsidR="0078340E">
        <w:t xml:space="preserve"> </w:t>
      </w:r>
      <w:r w:rsidR="00DA09CC">
        <w:t>outcome.</w:t>
      </w:r>
      <w:r w:rsidR="0078340E">
        <w:t xml:space="preserve">  For example, </w:t>
      </w:r>
      <w:r w:rsidR="00B73E2F">
        <w:t>i</w:t>
      </w:r>
      <w:r w:rsidR="0078340E">
        <w:t>f the automated search function and the human assessment were sold for one non-itemized price, and it was determined that the functions were distinct and identifiable, and one function was not essential to the other, a state bundling rule might unbundle the transaction.</w:t>
      </w:r>
    </w:p>
    <w:p w14:paraId="37F4C727" w14:textId="66086BBB" w:rsidR="00BE3554" w:rsidRDefault="00BE3554" w:rsidP="00172B05">
      <w:pPr>
        <w:pStyle w:val="Heading3"/>
      </w:pPr>
      <w:r>
        <w:t xml:space="preserve">Revenue generation and </w:t>
      </w:r>
      <w:r w:rsidR="00512733">
        <w:t>stability</w:t>
      </w:r>
      <w:r>
        <w:t>.</w:t>
      </w:r>
    </w:p>
    <w:p w14:paraId="223CD3DB" w14:textId="0AAE97F4" w:rsidR="00BE3554" w:rsidRDefault="00BE3554" w:rsidP="00BE3554">
      <w:pPr>
        <w:ind w:firstLine="720"/>
      </w:pPr>
      <w:r>
        <w:t>The proposed definition</w:t>
      </w:r>
      <w:r w:rsidR="00237D45">
        <w:t xml:space="preserve"> of an automated digital product</w:t>
      </w:r>
      <w:r>
        <w:t xml:space="preserve"> is broad, but </w:t>
      </w:r>
      <w:r w:rsidR="00237D45">
        <w:t xml:space="preserve">would exclude </w:t>
      </w:r>
      <w:r w:rsidR="00FC7CBA">
        <w:t>many products that are produced by humans and delivered in a digital format</w:t>
      </w:r>
      <w:r>
        <w:t xml:space="preserve">. </w:t>
      </w:r>
      <w:r w:rsidR="005524FC">
        <w:t xml:space="preserve">Nevertheless, these provisions </w:t>
      </w:r>
      <w:r>
        <w:t>should generate more revenue that the revenue generated by the taxation of “specified digital products</w:t>
      </w:r>
      <w:r w:rsidR="00B73E2F">
        <w:t>”</w:t>
      </w:r>
      <w:r>
        <w:t xml:space="preserve"> under the Streamlined Sales Tax Agreement.</w:t>
      </w:r>
    </w:p>
    <w:p w14:paraId="0F68844C" w14:textId="35B0267C" w:rsidR="004D1DDE" w:rsidRDefault="004D1DDE" w:rsidP="005B2F17">
      <w:pPr>
        <w:ind w:firstLine="720"/>
      </w:pPr>
      <w:r w:rsidRPr="004D1DDE">
        <w:t xml:space="preserve">The “minimal human intervention” </w:t>
      </w:r>
      <w:r>
        <w:t xml:space="preserve">criterion makes the proposed tax definition narrower than </w:t>
      </w:r>
      <w:r w:rsidRPr="004D1DDE">
        <w:t xml:space="preserve">Washington’s </w:t>
      </w:r>
      <w:r w:rsidR="005B2F17">
        <w:t xml:space="preserve">tax on </w:t>
      </w:r>
      <w:r w:rsidRPr="004D1DDE">
        <w:t>“digital automated services</w:t>
      </w:r>
      <w:r w:rsidR="00734248">
        <w:t>,</w:t>
      </w:r>
      <w:r w:rsidRPr="004D1DDE">
        <w:t>”</w:t>
      </w:r>
      <w:r>
        <w:t xml:space="preserve"> </w:t>
      </w:r>
      <w:r w:rsidR="00734248">
        <w:t>which</w:t>
      </w:r>
      <w:r w:rsidR="005B2F17">
        <w:t xml:space="preserve"> taxes “</w:t>
      </w:r>
      <w:r w:rsidR="005B2F17" w:rsidRPr="005B2F17">
        <w:t>any service transferred electronically that uses one or more software applications</w:t>
      </w:r>
      <w:r w:rsidR="005B2F17">
        <w:t xml:space="preserve">,” </w:t>
      </w:r>
      <w:r w:rsidR="00734248">
        <w:t>but</w:t>
      </w:r>
      <w:r w:rsidR="005B2F17">
        <w:t xml:space="preserve"> </w:t>
      </w:r>
      <w:r w:rsidRPr="004D1DDE">
        <w:t xml:space="preserve">excludes “any service that </w:t>
      </w:r>
      <w:r w:rsidRPr="004D1DDE">
        <w:rPr>
          <w:i/>
          <w:iCs/>
        </w:rPr>
        <w:t>primarily</w:t>
      </w:r>
      <w:r w:rsidRPr="004D1DDE">
        <w:t xml:space="preserve"> involves the application of human effort by the seller.”  Washington RCW 82.04.192(3)(b) (emphasis added).</w:t>
      </w:r>
    </w:p>
    <w:p w14:paraId="6EC19213" w14:textId="6D30D005" w:rsidR="00BE3554" w:rsidRDefault="00BE3554" w:rsidP="00BE3554">
      <w:pPr>
        <w:ind w:firstLine="720"/>
      </w:pPr>
      <w:r>
        <w:t xml:space="preserve">As more products become automated, particularly with the </w:t>
      </w:r>
      <w:r w:rsidR="00A82C0F">
        <w:t>development</w:t>
      </w:r>
      <w:r>
        <w:t xml:space="preserve"> of </w:t>
      </w:r>
      <w:r w:rsidR="00734248">
        <w:t xml:space="preserve">applications generated by </w:t>
      </w:r>
      <w:r>
        <w:t xml:space="preserve">artificial intelligence, the </w:t>
      </w:r>
      <w:r w:rsidR="00752DFC">
        <w:t xml:space="preserve">proposed </w:t>
      </w:r>
      <w:r>
        <w:t xml:space="preserve">tax base may actually expand. </w:t>
      </w:r>
    </w:p>
    <w:p w14:paraId="5568CFC4" w14:textId="5556B9EA" w:rsidR="00BE3554" w:rsidRDefault="00550519" w:rsidP="00550519">
      <w:pPr>
        <w:pStyle w:val="Heading3"/>
      </w:pPr>
      <w:r>
        <w:t>Compatibility</w:t>
      </w:r>
      <w:r w:rsidR="00BE3554">
        <w:t xml:space="preserve"> with other tax</w:t>
      </w:r>
      <w:r w:rsidR="00AA2F5D">
        <w:t xml:space="preserve"> provisions</w:t>
      </w:r>
      <w:r w:rsidR="007A5AC2">
        <w:t xml:space="preserve"> including bundling</w:t>
      </w:r>
      <w:r w:rsidR="00BE3554">
        <w:t>.</w:t>
      </w:r>
    </w:p>
    <w:p w14:paraId="1FB2437D" w14:textId="0CC74718" w:rsidR="00BE3554" w:rsidRDefault="007A2E24" w:rsidP="007A2E24">
      <w:pPr>
        <w:ind w:firstLine="720"/>
      </w:pPr>
      <w:r>
        <w:t xml:space="preserve">The proposed definition is intended to be compatible with the selective tax systems of the many states that do not broadly tax professional services.  If human professionals are </w:t>
      </w:r>
      <w:r w:rsidR="00392DE5">
        <w:t xml:space="preserve">more than minimally </w:t>
      </w:r>
      <w:r>
        <w:t>involved in providing the digital product</w:t>
      </w:r>
      <w:r w:rsidR="000F384A">
        <w:t xml:space="preserve"> to individual customers</w:t>
      </w:r>
      <w:r>
        <w:t>, the product will not be included in the tax base as an automated digital product.</w:t>
      </w:r>
    </w:p>
    <w:p w14:paraId="36B52D52" w14:textId="2FFBACF0" w:rsidR="007A2E24" w:rsidRDefault="00AC2708" w:rsidP="007A2E24">
      <w:pPr>
        <w:ind w:firstLine="720"/>
      </w:pPr>
      <w:r>
        <w:t>T</w:t>
      </w:r>
      <w:r w:rsidR="007A2E24">
        <w:t>he proposed definition may overlap with</w:t>
      </w:r>
      <w:r w:rsidR="00B80698">
        <w:t xml:space="preserve"> existing definitions of</w:t>
      </w:r>
      <w:r w:rsidR="007A2E24">
        <w:t xml:space="preserve"> taxable tangible personal property </w:t>
      </w:r>
      <w:r w:rsidR="00B80698">
        <w:t>and</w:t>
      </w:r>
      <w:r w:rsidR="007A2E24">
        <w:t xml:space="preserve"> taxable services.  </w:t>
      </w:r>
      <w:r w:rsidR="00C20C09">
        <w:t xml:space="preserve">For example, a compact disc </w:t>
      </w:r>
      <w:r w:rsidR="00B94DC3">
        <w:t xml:space="preserve">of recorded music </w:t>
      </w:r>
      <w:r w:rsidR="00C20C09">
        <w:t xml:space="preserve">would be tangible personal property and an automated digital product.  </w:t>
      </w:r>
      <w:r w:rsidR="00734248">
        <w:t xml:space="preserve">A music “streaming service” may be a taxable service and an automated digital product. </w:t>
      </w:r>
      <w:r w:rsidR="00B80698">
        <w:t>T</w:t>
      </w:r>
      <w:r w:rsidR="007A2E24">
        <w:t>he overlap should be inconsequential if the tax rate is the same.</w:t>
      </w:r>
      <w:r w:rsidR="00B80698">
        <w:t xml:space="preserve">  </w:t>
      </w:r>
    </w:p>
    <w:p w14:paraId="4639A81B" w14:textId="033D400A" w:rsidR="00512733" w:rsidRDefault="00512733" w:rsidP="007A2E24">
      <w:pPr>
        <w:ind w:firstLine="720"/>
      </w:pPr>
      <w:r>
        <w:t xml:space="preserve">In some instances, the proposed definition may overlap with existing definitions of other </w:t>
      </w:r>
      <w:r w:rsidR="00550519">
        <w:t xml:space="preserve">taxable </w:t>
      </w:r>
      <w:r>
        <w:t xml:space="preserve">products that have a different tax rate, such as communication or </w:t>
      </w:r>
      <w:r w:rsidR="00550519">
        <w:t>tele</w:t>
      </w:r>
      <w:r>
        <w:t xml:space="preserve">communication services.  In those instances, </w:t>
      </w:r>
      <w:r w:rsidR="00550519">
        <w:t xml:space="preserve">language should be added to </w:t>
      </w:r>
      <w:r>
        <w:t>exclude</w:t>
      </w:r>
      <w:r w:rsidR="00550519">
        <w:t xml:space="preserve"> the other products</w:t>
      </w:r>
      <w:r>
        <w:t xml:space="preserve"> from the definition.  </w:t>
      </w:r>
    </w:p>
    <w:p w14:paraId="0A6BEBB2" w14:textId="46B0CC1F" w:rsidR="00B80698" w:rsidRDefault="00B80698" w:rsidP="007A2E24">
      <w:pPr>
        <w:ind w:firstLine="720"/>
      </w:pPr>
      <w:bookmarkStart w:id="5" w:name="_Hlk193355931"/>
      <w:r>
        <w:t xml:space="preserve">The exemption for predominant use in a trade or business is limited to </w:t>
      </w:r>
      <w:r w:rsidR="00310DFF">
        <w:t xml:space="preserve">the sale of products as </w:t>
      </w:r>
      <w:r>
        <w:t>automated digital products</w:t>
      </w:r>
      <w:r w:rsidR="00310DFF">
        <w:t>,</w:t>
      </w:r>
      <w:r w:rsidR="00752DFC">
        <w:t xml:space="preserve"> and is not intended as an expansion of the exemption to </w:t>
      </w:r>
      <w:r w:rsidR="00310DFF">
        <w:t xml:space="preserve">the sale of </w:t>
      </w:r>
      <w:r w:rsidR="00752DFC">
        <w:t>other</w:t>
      </w:r>
      <w:r w:rsidR="00657005">
        <w:t xml:space="preserve"> types of</w:t>
      </w:r>
      <w:r w:rsidR="00752DFC">
        <w:t xml:space="preserve"> taxable items</w:t>
      </w:r>
      <w:bookmarkEnd w:id="5"/>
      <w:r>
        <w:t>.</w:t>
      </w:r>
      <w:r w:rsidR="00310DFF">
        <w:t xml:space="preserve">  </w:t>
      </w:r>
      <w:r w:rsidR="00657005">
        <w:t>For example, i</w:t>
      </w:r>
      <w:r w:rsidR="00310DFF">
        <w:t>f the sale of an automated digital product</w:t>
      </w:r>
      <w:r w:rsidR="00C26482">
        <w:t xml:space="preserve"> used in a trade of business would be</w:t>
      </w:r>
      <w:r w:rsidR="00310DFF">
        <w:t xml:space="preserve"> tax</w:t>
      </w:r>
      <w:r w:rsidR="00734248">
        <w:t>able</w:t>
      </w:r>
      <w:r w:rsidR="00310DFF">
        <w:t xml:space="preserve"> in a state as </w:t>
      </w:r>
      <w:r w:rsidR="00657005">
        <w:t>the</w:t>
      </w:r>
      <w:r w:rsidR="00310DFF">
        <w:t xml:space="preserve"> </w:t>
      </w:r>
      <w:r w:rsidR="00C26482">
        <w:t xml:space="preserve">non-exempt </w:t>
      </w:r>
      <w:r w:rsidR="00310DFF">
        <w:t xml:space="preserve">sale of tangible personal property or </w:t>
      </w:r>
      <w:r w:rsidR="00657005">
        <w:t>the</w:t>
      </w:r>
      <w:r w:rsidR="00310DFF">
        <w:t xml:space="preserve"> </w:t>
      </w:r>
      <w:r w:rsidR="00C26482">
        <w:t xml:space="preserve">non-exempt </w:t>
      </w:r>
      <w:r w:rsidR="00657005">
        <w:t xml:space="preserve">sale of a </w:t>
      </w:r>
      <w:r w:rsidR="00C26482">
        <w:t xml:space="preserve">taxable </w:t>
      </w:r>
      <w:r w:rsidR="00310DFF">
        <w:t>service</w:t>
      </w:r>
      <w:r w:rsidR="00C26482">
        <w:t>, it would remain taxable.</w:t>
      </w:r>
    </w:p>
    <w:p w14:paraId="4D6B1C83" w14:textId="7D691878" w:rsidR="00AA2F5D" w:rsidRDefault="00AA2F5D" w:rsidP="007A2E24">
      <w:pPr>
        <w:ind w:firstLine="720"/>
      </w:pPr>
      <w:r w:rsidRPr="00AA2F5D">
        <w:t xml:space="preserve">The </w:t>
      </w:r>
      <w:r>
        <w:t>bundling or unbundling of products by a producer</w:t>
      </w:r>
      <w:r w:rsidRPr="00AA2F5D">
        <w:t xml:space="preserve"> is likely to </w:t>
      </w:r>
      <w:r w:rsidR="006D1F09">
        <w:t>be determined by</w:t>
      </w:r>
      <w:r w:rsidRPr="00AA2F5D">
        <w:t xml:space="preserve"> economic or marketing considerations.  However, the addition of automated digital products to the sales tax base may motivate some providers to </w:t>
      </w:r>
      <w:r>
        <w:t>combine</w:t>
      </w:r>
      <w:r w:rsidRPr="00AA2F5D">
        <w:t xml:space="preserve"> automated products with non-automated products so that the </w:t>
      </w:r>
      <w:r>
        <w:t>combined</w:t>
      </w:r>
      <w:r w:rsidRPr="00AA2F5D">
        <w:t xml:space="preserve"> product will have more than minimal human intervention.  </w:t>
      </w:r>
      <w:r>
        <w:t>Accordingly, a state’s bundling rules should be reviewed.</w:t>
      </w:r>
    </w:p>
    <w:p w14:paraId="7FB76918" w14:textId="1B96E34D" w:rsidR="00A806BE" w:rsidRDefault="00AA2F5D" w:rsidP="007A2E24">
      <w:pPr>
        <w:ind w:firstLine="720"/>
      </w:pPr>
      <w:r>
        <w:t>The Streamlined Sales Tax Agreement Library of Definitions defines a “bundled transaction” as “the retail sale of two or more products, except real property and services to real property, where (1) the products are otherwise distinct and identifiable, and</w:t>
      </w:r>
      <w:r w:rsidR="00A806BE">
        <w:t xml:space="preserve"> </w:t>
      </w:r>
      <w:r>
        <w:t xml:space="preserve">(2) the products are sold for one non-itemized price.” </w:t>
      </w:r>
      <w:r w:rsidR="00A806BE">
        <w:t xml:space="preserve">Because the definition refers to “products,” the general definition should be applicable to “automated digital products.”  </w:t>
      </w:r>
      <w:r w:rsidR="00790263">
        <w:t>Section 330 of the Agreement provides that member states “are not restricted in their tax treatment of bundled transactions except as otherwise provided in the Agreement.”</w:t>
      </w:r>
    </w:p>
    <w:p w14:paraId="5E307182" w14:textId="3DDBB4DC" w:rsidR="00AA2F5D" w:rsidRDefault="00A806BE" w:rsidP="007A2E24">
      <w:pPr>
        <w:ind w:firstLine="720"/>
      </w:pPr>
      <w:r>
        <w:t xml:space="preserve">Part C of the </w:t>
      </w:r>
      <w:r w:rsidR="00694C33">
        <w:t xml:space="preserve">Streamlined </w:t>
      </w:r>
      <w:r>
        <w:t>definition</w:t>
      </w:r>
      <w:r w:rsidR="00C16AD4">
        <w:t xml:space="preserve"> of “bundled transaction”</w:t>
      </w:r>
      <w:r>
        <w:t xml:space="preserve"> </w:t>
      </w:r>
      <w:r w:rsidR="00C16AD4">
        <w:t>could be problematic because</w:t>
      </w:r>
      <w:r>
        <w:t xml:space="preserve"> it refers to “tangible personal property” and “services</w:t>
      </w:r>
      <w:r w:rsidR="00790263">
        <w:t>,</w:t>
      </w:r>
      <w:r>
        <w:t>”</w:t>
      </w:r>
      <w:r w:rsidR="00790263" w:rsidRPr="00790263">
        <w:t xml:space="preserve"> </w:t>
      </w:r>
      <w:r w:rsidR="00790263">
        <w:t>with the term “service</w:t>
      </w:r>
      <w:r w:rsidR="00D940B6">
        <w:t>s</w:t>
      </w:r>
      <w:r w:rsidR="00790263">
        <w:t xml:space="preserve">” being undefined in the Agreement. </w:t>
      </w:r>
      <w:r>
        <w:t xml:space="preserve"> </w:t>
      </w:r>
      <w:r w:rsidR="00C16AD4">
        <w:t>A</w:t>
      </w:r>
      <w:r>
        <w:t xml:space="preserve">n </w:t>
      </w:r>
      <w:r w:rsidR="00C16AD4">
        <w:t>“</w:t>
      </w:r>
      <w:r>
        <w:t>automated digital product</w:t>
      </w:r>
      <w:r w:rsidR="00C16AD4">
        <w:t>” is a separate classificatio</w:t>
      </w:r>
      <w:r w:rsidR="00790263">
        <w:t>n that is not dependent upon the product being tangible personal property or a service.  However, it may be assumed that an “automated digital product” is either tangible personal property or a service, such that Part C applies.</w:t>
      </w:r>
      <w:r w:rsidR="00AA2F5D">
        <w:t xml:space="preserve">  </w:t>
      </w:r>
    </w:p>
    <w:p w14:paraId="1BF32507" w14:textId="00E201F4" w:rsidR="00512733" w:rsidRDefault="00B02017" w:rsidP="00512733">
      <w:pPr>
        <w:ind w:firstLine="720"/>
      </w:pPr>
      <w:bookmarkStart w:id="6" w:name="_Hlk197678388"/>
      <w:r>
        <w:t xml:space="preserve">If a state has exemptions that are limited to tangible personal property or taxable services, the state should consider expanding the exemptions to </w:t>
      </w:r>
      <w:r w:rsidR="004F738B">
        <w:t xml:space="preserve">explicitly </w:t>
      </w:r>
      <w:r>
        <w:t>cover automated digital products.</w:t>
      </w:r>
      <w:r w:rsidR="00A225DC">
        <w:t xml:space="preserve"> </w:t>
      </w:r>
    </w:p>
    <w:bookmarkEnd w:id="6"/>
    <w:p w14:paraId="05DCFA2D" w14:textId="775852BB" w:rsidR="00B02017" w:rsidRDefault="00B02017" w:rsidP="00391F37">
      <w:pPr>
        <w:pStyle w:val="Heading3"/>
        <w:keepNext/>
      </w:pPr>
      <w:r>
        <w:t>Pyramiding of taxes.</w:t>
      </w:r>
    </w:p>
    <w:p w14:paraId="4E6FD689" w14:textId="57D0AD66" w:rsidR="00B02017" w:rsidRDefault="00B02017" w:rsidP="00B02017">
      <w:pPr>
        <w:ind w:firstLine="720"/>
      </w:pPr>
      <w:r>
        <w:t xml:space="preserve">There should be little pyramiding of taxes because an automated digital product is exempt if the product will be used predominantly for a trade or business.  Since the exempt use is determined by the customer, the customer will have to declare the exempt use by using existing state procedures, such as submitting an exemption certificate. </w:t>
      </w:r>
      <w:r w:rsidR="002C6FDC">
        <w:t>In addition, the need for customers to provide documentation to sellers</w:t>
      </w:r>
      <w:r w:rsidR="00C26482">
        <w:t xml:space="preserve"> could</w:t>
      </w:r>
      <w:r w:rsidR="002C6FDC">
        <w:t xml:space="preserve"> be reduced by </w:t>
      </w:r>
      <w:r w:rsidR="00C26482">
        <w:t>a</w:t>
      </w:r>
      <w:r w:rsidR="002C6FDC">
        <w:t xml:space="preserve"> state through the use of rebuttable presumptions</w:t>
      </w:r>
      <w:r w:rsidR="00C26482">
        <w:t xml:space="preserve"> for products that would only have a business purpose</w:t>
      </w:r>
      <w:r w:rsidR="002C6FDC">
        <w:t>.</w:t>
      </w:r>
    </w:p>
    <w:p w14:paraId="29D1100B" w14:textId="561FB0F6" w:rsidR="004D1DDE" w:rsidRDefault="002C6FDC" w:rsidP="007B1151">
      <w:pPr>
        <w:pStyle w:val="Heading3"/>
        <w:keepNext/>
      </w:pPr>
      <w:r>
        <w:t>Sourcing</w:t>
      </w:r>
    </w:p>
    <w:p w14:paraId="4E0CD7FC" w14:textId="129EDD1D" w:rsidR="00875238" w:rsidRDefault="005928E4" w:rsidP="00875238">
      <w:pPr>
        <w:ind w:firstLine="720"/>
      </w:pPr>
      <w:r>
        <w:t>T</w:t>
      </w:r>
      <w:r w:rsidR="004D1DDE">
        <w:t>he exemption</w:t>
      </w:r>
      <w:r w:rsidRPr="005928E4">
        <w:t xml:space="preserve"> </w:t>
      </w:r>
      <w:r>
        <w:t xml:space="preserve">for automated digital products that </w:t>
      </w:r>
      <w:r w:rsidRPr="00BA404D">
        <w:t>will be used predominantly for a trade or business</w:t>
      </w:r>
      <w:r>
        <w:t xml:space="preserve"> should</w:t>
      </w:r>
      <w:r w:rsidR="004D1DDE">
        <w:t xml:space="preserve"> reduce sourcing difficulties that may result from commercial transactions that involve multiple business users at multiple locations.</w:t>
      </w:r>
      <w:r w:rsidR="00875238">
        <w:t xml:space="preserve"> However, depending upon the state, sourcing may need to be </w:t>
      </w:r>
      <w:r w:rsidR="009F70F1">
        <w:t xml:space="preserve">clarified or </w:t>
      </w:r>
      <w:r w:rsidR="00875238">
        <w:t>specified.  The general sourcing rules in section 309 of the Streamlined Sales Tax Agreement should be sufficient because the sourcing rules apply to “all sales regardless of the characterization of a product as tangible personal property, a digital good, or a service.”</w:t>
      </w:r>
    </w:p>
    <w:p w14:paraId="30914056" w14:textId="5DC6BD54" w:rsidR="004D1DDE" w:rsidRDefault="004D1DDE" w:rsidP="004D1DDE">
      <w:pPr>
        <w:ind w:firstLine="720"/>
      </w:pPr>
    </w:p>
    <w:bookmarkEnd w:id="0"/>
    <w:sectPr w:rsidR="004D1DDE" w:rsidSect="00BE522D">
      <w:footerReference w:type="even" r:id="rId20"/>
      <w:footerReference w:type="default" r:id="rId21"/>
      <w:pgSz w:w="12240" w:h="15840" w:code="1"/>
      <w:pgMar w:top="1152" w:right="1296" w:bottom="1152"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65CF7" w14:textId="77777777" w:rsidR="00CF62EE" w:rsidRDefault="00CF62EE">
      <w:pPr>
        <w:spacing w:after="0"/>
      </w:pPr>
      <w:r>
        <w:separator/>
      </w:r>
    </w:p>
  </w:endnote>
  <w:endnote w:type="continuationSeparator" w:id="0">
    <w:p w14:paraId="5FCB493E" w14:textId="77777777" w:rsidR="00CF62EE" w:rsidRDefault="00CF62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FBDCA" w14:textId="77777777" w:rsidR="00053715" w:rsidRDefault="000537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E0E692" w14:textId="77777777" w:rsidR="00053715" w:rsidRDefault="00053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195665"/>
      <w:docPartObj>
        <w:docPartGallery w:val="Page Numbers (Bottom of Page)"/>
        <w:docPartUnique/>
      </w:docPartObj>
    </w:sdtPr>
    <w:sdtEndPr>
      <w:rPr>
        <w:noProof/>
      </w:rPr>
    </w:sdtEndPr>
    <w:sdtContent>
      <w:p w14:paraId="779BF5DA" w14:textId="19A61F99" w:rsidR="008A1575" w:rsidRDefault="008A15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DFFBDA" w14:textId="77777777" w:rsidR="008A1575" w:rsidRDefault="008A1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C14BF" w14:textId="77777777" w:rsidR="00CF62EE" w:rsidRDefault="00CF62EE">
      <w:pPr>
        <w:spacing w:after="0"/>
      </w:pPr>
      <w:r>
        <w:separator/>
      </w:r>
    </w:p>
  </w:footnote>
  <w:footnote w:type="continuationSeparator" w:id="0">
    <w:p w14:paraId="142C9192" w14:textId="77777777" w:rsidR="00CF62EE" w:rsidRDefault="00CF62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7358C"/>
    <w:multiLevelType w:val="hybridMultilevel"/>
    <w:tmpl w:val="FB78F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C11A0"/>
    <w:multiLevelType w:val="hybridMultilevel"/>
    <w:tmpl w:val="96582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BA219D"/>
    <w:multiLevelType w:val="multilevel"/>
    <w:tmpl w:val="48623BD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decimal"/>
      <w:pStyle w:val="Heading6"/>
      <w:lvlText w:val="(%6)"/>
      <w:lvlJc w:val="left"/>
      <w:pPr>
        <w:tabs>
          <w:tab w:val="num" w:pos="4248"/>
        </w:tabs>
        <w:ind w:left="4248" w:hanging="648"/>
      </w:pPr>
    </w:lvl>
    <w:lvl w:ilvl="6">
      <w:start w:val="1"/>
      <w:numFmt w:val="lowerLetter"/>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upperLetter"/>
      <w:pStyle w:val="Heading9"/>
      <w:lvlText w:val="(%9)"/>
      <w:lvlJc w:val="left"/>
      <w:pPr>
        <w:tabs>
          <w:tab w:val="num" w:pos="6120"/>
        </w:tabs>
        <w:ind w:left="5760" w:firstLine="0"/>
      </w:pPr>
    </w:lvl>
  </w:abstractNum>
  <w:abstractNum w:abstractNumId="3" w15:restartNumberingAfterBreak="0">
    <w:nsid w:val="44025037"/>
    <w:multiLevelType w:val="hybridMultilevel"/>
    <w:tmpl w:val="0D0CC6F4"/>
    <w:lvl w:ilvl="0" w:tplc="E8886C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4158E"/>
    <w:multiLevelType w:val="hybridMultilevel"/>
    <w:tmpl w:val="2EF85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4F45F0"/>
    <w:multiLevelType w:val="hybridMultilevel"/>
    <w:tmpl w:val="9CAC1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7101548">
    <w:abstractNumId w:val="2"/>
  </w:num>
  <w:num w:numId="2" w16cid:durableId="695691243">
    <w:abstractNumId w:val="0"/>
  </w:num>
  <w:num w:numId="3" w16cid:durableId="8500707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4513399">
    <w:abstractNumId w:val="4"/>
  </w:num>
  <w:num w:numId="5" w16cid:durableId="955600710">
    <w:abstractNumId w:val="5"/>
  </w:num>
  <w:num w:numId="6" w16cid:durableId="18368739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4173676">
    <w:abstractNumId w:val="1"/>
  </w:num>
  <w:num w:numId="8" w16cid:durableId="315498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FED"/>
    <w:rsid w:val="00011A78"/>
    <w:rsid w:val="00012BDE"/>
    <w:rsid w:val="000148EE"/>
    <w:rsid w:val="000235E5"/>
    <w:rsid w:val="000247E2"/>
    <w:rsid w:val="00034FC1"/>
    <w:rsid w:val="00035D9B"/>
    <w:rsid w:val="0003779B"/>
    <w:rsid w:val="000514BA"/>
    <w:rsid w:val="00053715"/>
    <w:rsid w:val="00083384"/>
    <w:rsid w:val="00091DB8"/>
    <w:rsid w:val="000A3F27"/>
    <w:rsid w:val="000A511A"/>
    <w:rsid w:val="000A5D6D"/>
    <w:rsid w:val="000C1E8B"/>
    <w:rsid w:val="000C2C2F"/>
    <w:rsid w:val="000D3B14"/>
    <w:rsid w:val="000D571D"/>
    <w:rsid w:val="000E1248"/>
    <w:rsid w:val="000E2B3B"/>
    <w:rsid w:val="000E2FB2"/>
    <w:rsid w:val="000E4459"/>
    <w:rsid w:val="000E67DE"/>
    <w:rsid w:val="000F0E77"/>
    <w:rsid w:val="000F384A"/>
    <w:rsid w:val="000F4B8C"/>
    <w:rsid w:val="001042FB"/>
    <w:rsid w:val="0011187F"/>
    <w:rsid w:val="00112314"/>
    <w:rsid w:val="00112E95"/>
    <w:rsid w:val="00113FDD"/>
    <w:rsid w:val="00122B47"/>
    <w:rsid w:val="00123492"/>
    <w:rsid w:val="00127289"/>
    <w:rsid w:val="001324DD"/>
    <w:rsid w:val="00140B81"/>
    <w:rsid w:val="00144819"/>
    <w:rsid w:val="001503FD"/>
    <w:rsid w:val="00160A08"/>
    <w:rsid w:val="0016220F"/>
    <w:rsid w:val="00162E3E"/>
    <w:rsid w:val="00172B05"/>
    <w:rsid w:val="00173DCE"/>
    <w:rsid w:val="001747F9"/>
    <w:rsid w:val="001775CE"/>
    <w:rsid w:val="00182044"/>
    <w:rsid w:val="00182F97"/>
    <w:rsid w:val="001947A7"/>
    <w:rsid w:val="001D1F90"/>
    <w:rsid w:val="001D262D"/>
    <w:rsid w:val="001E0771"/>
    <w:rsid w:val="001E3E42"/>
    <w:rsid w:val="001E5769"/>
    <w:rsid w:val="001F2BC7"/>
    <w:rsid w:val="001F5ABD"/>
    <w:rsid w:val="00201078"/>
    <w:rsid w:val="00203850"/>
    <w:rsid w:val="002338E9"/>
    <w:rsid w:val="00237903"/>
    <w:rsid w:val="00237D45"/>
    <w:rsid w:val="002421F1"/>
    <w:rsid w:val="002434D3"/>
    <w:rsid w:val="00245834"/>
    <w:rsid w:val="00250CE3"/>
    <w:rsid w:val="00253521"/>
    <w:rsid w:val="00254B02"/>
    <w:rsid w:val="0025521D"/>
    <w:rsid w:val="0025524B"/>
    <w:rsid w:val="00256F9C"/>
    <w:rsid w:val="00257050"/>
    <w:rsid w:val="00267D22"/>
    <w:rsid w:val="0027141F"/>
    <w:rsid w:val="002719D4"/>
    <w:rsid w:val="00273D68"/>
    <w:rsid w:val="00287D04"/>
    <w:rsid w:val="002973FC"/>
    <w:rsid w:val="002A1555"/>
    <w:rsid w:val="002A3199"/>
    <w:rsid w:val="002A37FD"/>
    <w:rsid w:val="002B1ADB"/>
    <w:rsid w:val="002B3876"/>
    <w:rsid w:val="002B7162"/>
    <w:rsid w:val="002C1B64"/>
    <w:rsid w:val="002C6303"/>
    <w:rsid w:val="002C6FDC"/>
    <w:rsid w:val="002C78F8"/>
    <w:rsid w:val="002D2FD4"/>
    <w:rsid w:val="002D4E50"/>
    <w:rsid w:val="002D77EE"/>
    <w:rsid w:val="002E1FF5"/>
    <w:rsid w:val="002E31AC"/>
    <w:rsid w:val="002E497F"/>
    <w:rsid w:val="002F0C83"/>
    <w:rsid w:val="002F1595"/>
    <w:rsid w:val="00300A5D"/>
    <w:rsid w:val="003011EC"/>
    <w:rsid w:val="00310DFF"/>
    <w:rsid w:val="00311565"/>
    <w:rsid w:val="00321129"/>
    <w:rsid w:val="00325F83"/>
    <w:rsid w:val="00327B83"/>
    <w:rsid w:val="00331C5F"/>
    <w:rsid w:val="003374C8"/>
    <w:rsid w:val="00347BF3"/>
    <w:rsid w:val="00347FD6"/>
    <w:rsid w:val="00350CC3"/>
    <w:rsid w:val="00352E61"/>
    <w:rsid w:val="00353A8D"/>
    <w:rsid w:val="00353F2B"/>
    <w:rsid w:val="0035609C"/>
    <w:rsid w:val="00363F5A"/>
    <w:rsid w:val="00364DD6"/>
    <w:rsid w:val="0036504D"/>
    <w:rsid w:val="0036653F"/>
    <w:rsid w:val="0038514F"/>
    <w:rsid w:val="00385218"/>
    <w:rsid w:val="00387F9E"/>
    <w:rsid w:val="00391F37"/>
    <w:rsid w:val="00392DE5"/>
    <w:rsid w:val="00393CC0"/>
    <w:rsid w:val="00394FCC"/>
    <w:rsid w:val="003A04B4"/>
    <w:rsid w:val="003A0816"/>
    <w:rsid w:val="003A15D2"/>
    <w:rsid w:val="003A1702"/>
    <w:rsid w:val="003B13B8"/>
    <w:rsid w:val="003B30C3"/>
    <w:rsid w:val="003B61C1"/>
    <w:rsid w:val="003C10FC"/>
    <w:rsid w:val="003C44AB"/>
    <w:rsid w:val="003D2A1D"/>
    <w:rsid w:val="003E5997"/>
    <w:rsid w:val="003F4AE5"/>
    <w:rsid w:val="003F6239"/>
    <w:rsid w:val="0040108C"/>
    <w:rsid w:val="0040488D"/>
    <w:rsid w:val="00406521"/>
    <w:rsid w:val="00407246"/>
    <w:rsid w:val="0042490E"/>
    <w:rsid w:val="004416D0"/>
    <w:rsid w:val="00441D0D"/>
    <w:rsid w:val="004440FF"/>
    <w:rsid w:val="00445C94"/>
    <w:rsid w:val="00446994"/>
    <w:rsid w:val="004472E3"/>
    <w:rsid w:val="00447DF7"/>
    <w:rsid w:val="0046260A"/>
    <w:rsid w:val="00464AD9"/>
    <w:rsid w:val="00465A59"/>
    <w:rsid w:val="00472582"/>
    <w:rsid w:val="004748CB"/>
    <w:rsid w:val="004812A9"/>
    <w:rsid w:val="004825E2"/>
    <w:rsid w:val="00491008"/>
    <w:rsid w:val="00496CFC"/>
    <w:rsid w:val="004A32AD"/>
    <w:rsid w:val="004A5957"/>
    <w:rsid w:val="004B4249"/>
    <w:rsid w:val="004B50E7"/>
    <w:rsid w:val="004C311B"/>
    <w:rsid w:val="004C792C"/>
    <w:rsid w:val="004C7ACE"/>
    <w:rsid w:val="004D11C5"/>
    <w:rsid w:val="004D1DDE"/>
    <w:rsid w:val="004D4B84"/>
    <w:rsid w:val="004D5A64"/>
    <w:rsid w:val="004D6526"/>
    <w:rsid w:val="004E2382"/>
    <w:rsid w:val="004E37BB"/>
    <w:rsid w:val="004F5865"/>
    <w:rsid w:val="004F738B"/>
    <w:rsid w:val="00505BC6"/>
    <w:rsid w:val="0051003A"/>
    <w:rsid w:val="00512733"/>
    <w:rsid w:val="0051437E"/>
    <w:rsid w:val="00516323"/>
    <w:rsid w:val="005215D0"/>
    <w:rsid w:val="005228AC"/>
    <w:rsid w:val="00525256"/>
    <w:rsid w:val="0053733E"/>
    <w:rsid w:val="00544D10"/>
    <w:rsid w:val="00550519"/>
    <w:rsid w:val="0055239A"/>
    <w:rsid w:val="005524FC"/>
    <w:rsid w:val="00564FCA"/>
    <w:rsid w:val="00572BEE"/>
    <w:rsid w:val="00580480"/>
    <w:rsid w:val="00587D98"/>
    <w:rsid w:val="005928E4"/>
    <w:rsid w:val="00595AEC"/>
    <w:rsid w:val="00596CD2"/>
    <w:rsid w:val="00596E3B"/>
    <w:rsid w:val="005A2041"/>
    <w:rsid w:val="005A2BAC"/>
    <w:rsid w:val="005A51EA"/>
    <w:rsid w:val="005B0B1E"/>
    <w:rsid w:val="005B2F17"/>
    <w:rsid w:val="005B46AF"/>
    <w:rsid w:val="005B6D34"/>
    <w:rsid w:val="005C4C40"/>
    <w:rsid w:val="005C575A"/>
    <w:rsid w:val="005C7A61"/>
    <w:rsid w:val="005D1359"/>
    <w:rsid w:val="005E0C9A"/>
    <w:rsid w:val="005E2D16"/>
    <w:rsid w:val="005E3DA3"/>
    <w:rsid w:val="005E4BD7"/>
    <w:rsid w:val="005E753B"/>
    <w:rsid w:val="005E7B5B"/>
    <w:rsid w:val="005F1DE5"/>
    <w:rsid w:val="005F3EDE"/>
    <w:rsid w:val="005F4E83"/>
    <w:rsid w:val="006047DD"/>
    <w:rsid w:val="00614CCB"/>
    <w:rsid w:val="00651055"/>
    <w:rsid w:val="00657005"/>
    <w:rsid w:val="00670B8B"/>
    <w:rsid w:val="00694C33"/>
    <w:rsid w:val="006A0546"/>
    <w:rsid w:val="006A525A"/>
    <w:rsid w:val="006A7192"/>
    <w:rsid w:val="006C2668"/>
    <w:rsid w:val="006C492F"/>
    <w:rsid w:val="006C5301"/>
    <w:rsid w:val="006D1F09"/>
    <w:rsid w:val="006D256B"/>
    <w:rsid w:val="006D45F0"/>
    <w:rsid w:val="006D4649"/>
    <w:rsid w:val="006D4753"/>
    <w:rsid w:val="006D528E"/>
    <w:rsid w:val="006D787F"/>
    <w:rsid w:val="006E4861"/>
    <w:rsid w:val="006E7702"/>
    <w:rsid w:val="006F6516"/>
    <w:rsid w:val="00702D62"/>
    <w:rsid w:val="00704292"/>
    <w:rsid w:val="007054C3"/>
    <w:rsid w:val="007118AA"/>
    <w:rsid w:val="00711C68"/>
    <w:rsid w:val="0071515F"/>
    <w:rsid w:val="00716270"/>
    <w:rsid w:val="007200CC"/>
    <w:rsid w:val="00724D61"/>
    <w:rsid w:val="00732A0B"/>
    <w:rsid w:val="00734248"/>
    <w:rsid w:val="00735B30"/>
    <w:rsid w:val="007411E7"/>
    <w:rsid w:val="00747DB4"/>
    <w:rsid w:val="00752260"/>
    <w:rsid w:val="00752DFC"/>
    <w:rsid w:val="00767E8B"/>
    <w:rsid w:val="00771BE7"/>
    <w:rsid w:val="007768C8"/>
    <w:rsid w:val="007778A6"/>
    <w:rsid w:val="00780DE1"/>
    <w:rsid w:val="00781AA9"/>
    <w:rsid w:val="0078340E"/>
    <w:rsid w:val="00790263"/>
    <w:rsid w:val="00792232"/>
    <w:rsid w:val="00792A52"/>
    <w:rsid w:val="0079396F"/>
    <w:rsid w:val="00793CC5"/>
    <w:rsid w:val="007A2E24"/>
    <w:rsid w:val="007A53BF"/>
    <w:rsid w:val="007A5631"/>
    <w:rsid w:val="007A5AC2"/>
    <w:rsid w:val="007B1151"/>
    <w:rsid w:val="007B46F2"/>
    <w:rsid w:val="007B5FC6"/>
    <w:rsid w:val="007B7427"/>
    <w:rsid w:val="007C20B9"/>
    <w:rsid w:val="007C685A"/>
    <w:rsid w:val="007D155F"/>
    <w:rsid w:val="007E0908"/>
    <w:rsid w:val="007F03B1"/>
    <w:rsid w:val="008042AD"/>
    <w:rsid w:val="00804C65"/>
    <w:rsid w:val="00810F86"/>
    <w:rsid w:val="0081107A"/>
    <w:rsid w:val="00812BD4"/>
    <w:rsid w:val="00813A61"/>
    <w:rsid w:val="00813EB5"/>
    <w:rsid w:val="00821859"/>
    <w:rsid w:val="00822758"/>
    <w:rsid w:val="0082438A"/>
    <w:rsid w:val="008306DB"/>
    <w:rsid w:val="00831A23"/>
    <w:rsid w:val="00844D5B"/>
    <w:rsid w:val="0085763C"/>
    <w:rsid w:val="00864CB9"/>
    <w:rsid w:val="008703CF"/>
    <w:rsid w:val="00875238"/>
    <w:rsid w:val="00875D20"/>
    <w:rsid w:val="00876F2E"/>
    <w:rsid w:val="00883D55"/>
    <w:rsid w:val="00884C30"/>
    <w:rsid w:val="00886167"/>
    <w:rsid w:val="00887B6B"/>
    <w:rsid w:val="00894296"/>
    <w:rsid w:val="008A1575"/>
    <w:rsid w:val="008A5819"/>
    <w:rsid w:val="008A6701"/>
    <w:rsid w:val="008B1101"/>
    <w:rsid w:val="008B3C23"/>
    <w:rsid w:val="008C0435"/>
    <w:rsid w:val="008C079B"/>
    <w:rsid w:val="008C5DC2"/>
    <w:rsid w:val="008C6916"/>
    <w:rsid w:val="008D362A"/>
    <w:rsid w:val="008D5746"/>
    <w:rsid w:val="008F5250"/>
    <w:rsid w:val="008F5B3E"/>
    <w:rsid w:val="00902735"/>
    <w:rsid w:val="00905BE0"/>
    <w:rsid w:val="009205C9"/>
    <w:rsid w:val="00922EED"/>
    <w:rsid w:val="0092328D"/>
    <w:rsid w:val="00931AC8"/>
    <w:rsid w:val="00931E61"/>
    <w:rsid w:val="00932415"/>
    <w:rsid w:val="00943101"/>
    <w:rsid w:val="00945F65"/>
    <w:rsid w:val="00947844"/>
    <w:rsid w:val="00952CB9"/>
    <w:rsid w:val="009539C3"/>
    <w:rsid w:val="009553A9"/>
    <w:rsid w:val="00960409"/>
    <w:rsid w:val="00963A46"/>
    <w:rsid w:val="009652E9"/>
    <w:rsid w:val="00965A7E"/>
    <w:rsid w:val="00966DC3"/>
    <w:rsid w:val="009758E7"/>
    <w:rsid w:val="00982E43"/>
    <w:rsid w:val="00983E05"/>
    <w:rsid w:val="009849AE"/>
    <w:rsid w:val="00985F4E"/>
    <w:rsid w:val="00985FED"/>
    <w:rsid w:val="0099226F"/>
    <w:rsid w:val="00992670"/>
    <w:rsid w:val="00993FD8"/>
    <w:rsid w:val="00994ADA"/>
    <w:rsid w:val="009A020F"/>
    <w:rsid w:val="009A2A90"/>
    <w:rsid w:val="009A2E09"/>
    <w:rsid w:val="009A5681"/>
    <w:rsid w:val="009B0F6A"/>
    <w:rsid w:val="009B4540"/>
    <w:rsid w:val="009B7526"/>
    <w:rsid w:val="009C5D23"/>
    <w:rsid w:val="009E7BD5"/>
    <w:rsid w:val="009F70F1"/>
    <w:rsid w:val="00A131EF"/>
    <w:rsid w:val="00A16752"/>
    <w:rsid w:val="00A225DC"/>
    <w:rsid w:val="00A22CE5"/>
    <w:rsid w:val="00A2412D"/>
    <w:rsid w:val="00A268BD"/>
    <w:rsid w:val="00A33AD9"/>
    <w:rsid w:val="00A50141"/>
    <w:rsid w:val="00A50885"/>
    <w:rsid w:val="00A60DBB"/>
    <w:rsid w:val="00A75575"/>
    <w:rsid w:val="00A76792"/>
    <w:rsid w:val="00A806BE"/>
    <w:rsid w:val="00A82C0F"/>
    <w:rsid w:val="00A850BC"/>
    <w:rsid w:val="00A96167"/>
    <w:rsid w:val="00AA072E"/>
    <w:rsid w:val="00AA2340"/>
    <w:rsid w:val="00AA2F5D"/>
    <w:rsid w:val="00AB438A"/>
    <w:rsid w:val="00AB46D9"/>
    <w:rsid w:val="00AB71A4"/>
    <w:rsid w:val="00AC2708"/>
    <w:rsid w:val="00AC3658"/>
    <w:rsid w:val="00AC6855"/>
    <w:rsid w:val="00AD195C"/>
    <w:rsid w:val="00AD3C08"/>
    <w:rsid w:val="00AD6D26"/>
    <w:rsid w:val="00AE3994"/>
    <w:rsid w:val="00AE3CE7"/>
    <w:rsid w:val="00AE6673"/>
    <w:rsid w:val="00AF1CE1"/>
    <w:rsid w:val="00AF32C4"/>
    <w:rsid w:val="00AF4E5A"/>
    <w:rsid w:val="00B01CB2"/>
    <w:rsid w:val="00B02017"/>
    <w:rsid w:val="00B0362C"/>
    <w:rsid w:val="00B13AAE"/>
    <w:rsid w:val="00B15325"/>
    <w:rsid w:val="00B23361"/>
    <w:rsid w:val="00B24DDF"/>
    <w:rsid w:val="00B34336"/>
    <w:rsid w:val="00B502CF"/>
    <w:rsid w:val="00B545FD"/>
    <w:rsid w:val="00B573D6"/>
    <w:rsid w:val="00B67548"/>
    <w:rsid w:val="00B73E2F"/>
    <w:rsid w:val="00B759D7"/>
    <w:rsid w:val="00B80698"/>
    <w:rsid w:val="00B83823"/>
    <w:rsid w:val="00B90874"/>
    <w:rsid w:val="00B91EA0"/>
    <w:rsid w:val="00B94DC3"/>
    <w:rsid w:val="00BA404D"/>
    <w:rsid w:val="00BB03C0"/>
    <w:rsid w:val="00BB41C0"/>
    <w:rsid w:val="00BB4A06"/>
    <w:rsid w:val="00BB7761"/>
    <w:rsid w:val="00BC1A24"/>
    <w:rsid w:val="00BC4790"/>
    <w:rsid w:val="00BD61E0"/>
    <w:rsid w:val="00BD7373"/>
    <w:rsid w:val="00BE3554"/>
    <w:rsid w:val="00BE522D"/>
    <w:rsid w:val="00BE7F22"/>
    <w:rsid w:val="00C054B2"/>
    <w:rsid w:val="00C105AD"/>
    <w:rsid w:val="00C16AD4"/>
    <w:rsid w:val="00C20BB6"/>
    <w:rsid w:val="00C20C09"/>
    <w:rsid w:val="00C2612D"/>
    <w:rsid w:val="00C26482"/>
    <w:rsid w:val="00C32A29"/>
    <w:rsid w:val="00C35735"/>
    <w:rsid w:val="00C51112"/>
    <w:rsid w:val="00C552B0"/>
    <w:rsid w:val="00C6010A"/>
    <w:rsid w:val="00C73EA3"/>
    <w:rsid w:val="00C81C06"/>
    <w:rsid w:val="00C8450C"/>
    <w:rsid w:val="00C84D71"/>
    <w:rsid w:val="00C95A31"/>
    <w:rsid w:val="00CB0EA4"/>
    <w:rsid w:val="00CC1572"/>
    <w:rsid w:val="00CC7375"/>
    <w:rsid w:val="00CD0294"/>
    <w:rsid w:val="00CD5984"/>
    <w:rsid w:val="00CD5E0D"/>
    <w:rsid w:val="00CE0731"/>
    <w:rsid w:val="00CE1E73"/>
    <w:rsid w:val="00CE36BB"/>
    <w:rsid w:val="00CE3A4F"/>
    <w:rsid w:val="00CE3E67"/>
    <w:rsid w:val="00CF1408"/>
    <w:rsid w:val="00CF513F"/>
    <w:rsid w:val="00CF62EE"/>
    <w:rsid w:val="00CF660D"/>
    <w:rsid w:val="00D15AF4"/>
    <w:rsid w:val="00D21601"/>
    <w:rsid w:val="00D25E69"/>
    <w:rsid w:val="00D30F1F"/>
    <w:rsid w:val="00D33628"/>
    <w:rsid w:val="00D37E2C"/>
    <w:rsid w:val="00D458F2"/>
    <w:rsid w:val="00D56225"/>
    <w:rsid w:val="00D609EC"/>
    <w:rsid w:val="00D611DC"/>
    <w:rsid w:val="00D6220E"/>
    <w:rsid w:val="00D7004E"/>
    <w:rsid w:val="00D70607"/>
    <w:rsid w:val="00D729F6"/>
    <w:rsid w:val="00D73BC2"/>
    <w:rsid w:val="00D74D82"/>
    <w:rsid w:val="00D81744"/>
    <w:rsid w:val="00D8192E"/>
    <w:rsid w:val="00D83AF0"/>
    <w:rsid w:val="00D83E6F"/>
    <w:rsid w:val="00D900DB"/>
    <w:rsid w:val="00D915A7"/>
    <w:rsid w:val="00D940B6"/>
    <w:rsid w:val="00DA052A"/>
    <w:rsid w:val="00DA09CC"/>
    <w:rsid w:val="00DA2594"/>
    <w:rsid w:val="00DA4BEC"/>
    <w:rsid w:val="00DC0B12"/>
    <w:rsid w:val="00DC1014"/>
    <w:rsid w:val="00DC375C"/>
    <w:rsid w:val="00DC6A4F"/>
    <w:rsid w:val="00DC72F2"/>
    <w:rsid w:val="00DD26DF"/>
    <w:rsid w:val="00DD7B62"/>
    <w:rsid w:val="00DE3F42"/>
    <w:rsid w:val="00DE42B7"/>
    <w:rsid w:val="00E06BE9"/>
    <w:rsid w:val="00E07F4E"/>
    <w:rsid w:val="00E30146"/>
    <w:rsid w:val="00E33236"/>
    <w:rsid w:val="00E470C2"/>
    <w:rsid w:val="00E4721E"/>
    <w:rsid w:val="00E53B2D"/>
    <w:rsid w:val="00E60AD4"/>
    <w:rsid w:val="00E64364"/>
    <w:rsid w:val="00E748A0"/>
    <w:rsid w:val="00E753B2"/>
    <w:rsid w:val="00E856F6"/>
    <w:rsid w:val="00E953E2"/>
    <w:rsid w:val="00EA09D1"/>
    <w:rsid w:val="00EA0A5C"/>
    <w:rsid w:val="00EA1850"/>
    <w:rsid w:val="00EA1939"/>
    <w:rsid w:val="00EA2CB2"/>
    <w:rsid w:val="00EB6ED7"/>
    <w:rsid w:val="00EC380F"/>
    <w:rsid w:val="00EF0B05"/>
    <w:rsid w:val="00EF4837"/>
    <w:rsid w:val="00EF4C82"/>
    <w:rsid w:val="00EF57FF"/>
    <w:rsid w:val="00F0129D"/>
    <w:rsid w:val="00F0244D"/>
    <w:rsid w:val="00F03E2E"/>
    <w:rsid w:val="00F1031C"/>
    <w:rsid w:val="00F15D0D"/>
    <w:rsid w:val="00F17CF1"/>
    <w:rsid w:val="00F23354"/>
    <w:rsid w:val="00F330B6"/>
    <w:rsid w:val="00F35700"/>
    <w:rsid w:val="00F42BFA"/>
    <w:rsid w:val="00F560C8"/>
    <w:rsid w:val="00F57034"/>
    <w:rsid w:val="00F63BD1"/>
    <w:rsid w:val="00F66AA9"/>
    <w:rsid w:val="00F80781"/>
    <w:rsid w:val="00F80D3A"/>
    <w:rsid w:val="00F81ECE"/>
    <w:rsid w:val="00F85BC5"/>
    <w:rsid w:val="00F860E5"/>
    <w:rsid w:val="00F86E88"/>
    <w:rsid w:val="00F925ED"/>
    <w:rsid w:val="00F92D3A"/>
    <w:rsid w:val="00F94260"/>
    <w:rsid w:val="00FA134F"/>
    <w:rsid w:val="00FA5B1B"/>
    <w:rsid w:val="00FB019F"/>
    <w:rsid w:val="00FB0821"/>
    <w:rsid w:val="00FB0F99"/>
    <w:rsid w:val="00FC3178"/>
    <w:rsid w:val="00FC4320"/>
    <w:rsid w:val="00FC73DA"/>
    <w:rsid w:val="00FC746B"/>
    <w:rsid w:val="00FC7CBA"/>
    <w:rsid w:val="00FD2ECB"/>
    <w:rsid w:val="00FE20C8"/>
    <w:rsid w:val="00FF0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12C7F"/>
  <w15:chartTrackingRefBased/>
  <w15:docId w15:val="{70D488C5-1628-4939-9123-9E211342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3C0"/>
    <w:pPr>
      <w:spacing w:after="120"/>
    </w:pPr>
    <w:rPr>
      <w:rFonts w:ascii="Arial" w:hAnsi="Arial"/>
      <w:sz w:val="24"/>
    </w:rPr>
  </w:style>
  <w:style w:type="paragraph" w:styleId="Heading1">
    <w:name w:val="heading 1"/>
    <w:basedOn w:val="Normal"/>
    <w:next w:val="Heading2"/>
    <w:link w:val="Heading1Char"/>
    <w:qFormat/>
    <w:rsid w:val="00123492"/>
    <w:pPr>
      <w:keepNext/>
      <w:numPr>
        <w:numId w:val="1"/>
      </w:numPr>
      <w:tabs>
        <w:tab w:val="num" w:pos="360"/>
      </w:tabs>
      <w:ind w:left="360" w:hanging="360"/>
      <w:outlineLvl w:val="0"/>
    </w:pPr>
    <w:rPr>
      <w:kern w:val="28"/>
    </w:rPr>
  </w:style>
  <w:style w:type="paragraph" w:styleId="Heading2">
    <w:name w:val="heading 2"/>
    <w:basedOn w:val="Normal"/>
    <w:qFormat/>
    <w:rsid w:val="00BB03C0"/>
    <w:pPr>
      <w:numPr>
        <w:ilvl w:val="1"/>
        <w:numId w:val="1"/>
      </w:numPr>
      <w:tabs>
        <w:tab w:val="clear" w:pos="1440"/>
      </w:tabs>
      <w:ind w:left="720" w:hanging="360"/>
      <w:outlineLvl w:val="1"/>
    </w:pPr>
  </w:style>
  <w:style w:type="paragraph" w:styleId="Heading3">
    <w:name w:val="heading 3"/>
    <w:basedOn w:val="Heading1"/>
    <w:link w:val="Heading3Char"/>
    <w:qFormat/>
    <w:rsid w:val="00BB03C0"/>
    <w:pPr>
      <w:keepNext w:val="0"/>
      <w:numPr>
        <w:ilvl w:val="2"/>
      </w:numPr>
      <w:tabs>
        <w:tab w:val="clear" w:pos="2160"/>
        <w:tab w:val="num" w:pos="720"/>
      </w:tabs>
      <w:ind w:left="1080" w:hanging="360"/>
      <w:outlineLvl w:val="2"/>
    </w:pPr>
  </w:style>
  <w:style w:type="paragraph" w:styleId="Heading4">
    <w:name w:val="heading 4"/>
    <w:basedOn w:val="Normal"/>
    <w:qFormat/>
    <w:rsid w:val="00BB03C0"/>
    <w:pPr>
      <w:numPr>
        <w:ilvl w:val="3"/>
        <w:numId w:val="1"/>
      </w:numPr>
      <w:tabs>
        <w:tab w:val="clear" w:pos="2880"/>
      </w:tabs>
      <w:ind w:left="1440" w:hanging="360"/>
      <w:outlineLvl w:val="3"/>
    </w:pPr>
  </w:style>
  <w:style w:type="paragraph" w:styleId="Heading5">
    <w:name w:val="heading 5"/>
    <w:basedOn w:val="Normal"/>
    <w:qFormat/>
    <w:rsid w:val="00BB03C0"/>
    <w:pPr>
      <w:numPr>
        <w:ilvl w:val="4"/>
        <w:numId w:val="1"/>
      </w:numPr>
      <w:tabs>
        <w:tab w:val="clear" w:pos="3600"/>
      </w:tabs>
      <w:ind w:left="1800" w:hanging="360"/>
      <w:outlineLvl w:val="4"/>
    </w:pPr>
  </w:style>
  <w:style w:type="paragraph" w:styleId="Heading6">
    <w:name w:val="heading 6"/>
    <w:basedOn w:val="Normal"/>
    <w:qFormat/>
    <w:rsid w:val="00BB03C0"/>
    <w:pPr>
      <w:numPr>
        <w:ilvl w:val="5"/>
        <w:numId w:val="1"/>
      </w:numPr>
      <w:tabs>
        <w:tab w:val="clear" w:pos="4248"/>
      </w:tabs>
      <w:ind w:left="2160" w:hanging="360"/>
      <w:outlineLvl w:val="5"/>
    </w:pPr>
  </w:style>
  <w:style w:type="paragraph" w:styleId="Heading7">
    <w:name w:val="heading 7"/>
    <w:basedOn w:val="Normal"/>
    <w:qFormat/>
    <w:rsid w:val="00BB03C0"/>
    <w:pPr>
      <w:numPr>
        <w:ilvl w:val="6"/>
        <w:numId w:val="1"/>
      </w:numPr>
      <w:tabs>
        <w:tab w:val="clear" w:pos="5040"/>
      </w:tabs>
      <w:ind w:left="2520" w:hanging="360"/>
      <w:outlineLvl w:val="6"/>
    </w:pPr>
  </w:style>
  <w:style w:type="paragraph" w:styleId="Heading8">
    <w:name w:val="heading 8"/>
    <w:basedOn w:val="Normal"/>
    <w:qFormat/>
    <w:rsid w:val="00BB03C0"/>
    <w:pPr>
      <w:numPr>
        <w:ilvl w:val="7"/>
        <w:numId w:val="1"/>
      </w:numPr>
      <w:tabs>
        <w:tab w:val="clear" w:pos="5760"/>
      </w:tabs>
      <w:ind w:left="2880" w:hanging="360"/>
      <w:outlineLvl w:val="7"/>
    </w:pPr>
  </w:style>
  <w:style w:type="paragraph" w:styleId="Heading9">
    <w:name w:val="heading 9"/>
    <w:basedOn w:val="Normal"/>
    <w:qFormat/>
    <w:rsid w:val="00BB03C0"/>
    <w:pPr>
      <w:numPr>
        <w:ilvl w:val="8"/>
        <w:numId w:val="1"/>
      </w:numPr>
      <w:tabs>
        <w:tab w:val="clear" w:pos="6120"/>
      </w:tabs>
      <w:ind w:left="324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320"/>
        <w:tab w:val="right" w:pos="8640"/>
      </w:tabs>
    </w:pPr>
  </w:style>
  <w:style w:type="paragraph" w:customStyle="1" w:styleId="MainHeading">
    <w:name w:val="Main Heading"/>
    <w:basedOn w:val="Normal"/>
    <w:next w:val="Heading1"/>
    <w:rPr>
      <w:b/>
    </w:rPr>
  </w:style>
  <w:style w:type="paragraph" w:styleId="Footer">
    <w:name w:val="footer"/>
    <w:basedOn w:val="Normal"/>
    <w:link w:val="FooterChar"/>
    <w:uiPriority w:val="99"/>
    <w:pPr>
      <w:tabs>
        <w:tab w:val="center" w:pos="4320"/>
        <w:tab w:val="right" w:pos="8640"/>
      </w:tabs>
    </w:pPr>
  </w:style>
  <w:style w:type="character" w:styleId="Hyperlink">
    <w:name w:val="Hyperlink"/>
    <w:semiHidden/>
    <w:rPr>
      <w:color w:val="0000FF"/>
      <w:u w:val="single"/>
    </w:rPr>
  </w:style>
  <w:style w:type="character" w:styleId="PageNumber">
    <w:name w:val="page number"/>
    <w:basedOn w:val="DefaultParagraphFont"/>
    <w:semiHidden/>
  </w:style>
  <w:style w:type="paragraph" w:styleId="Quote">
    <w:name w:val="Quote"/>
    <w:basedOn w:val="Normal"/>
    <w:next w:val="Normal"/>
    <w:link w:val="QuoteChar"/>
    <w:uiPriority w:val="29"/>
    <w:qFormat/>
    <w:rsid w:val="006D528E"/>
    <w:pPr>
      <w:ind w:left="720" w:right="720"/>
    </w:pPr>
    <w:rPr>
      <w:iCs/>
      <w:color w:val="000000"/>
      <w:sz w:val="22"/>
    </w:rPr>
  </w:style>
  <w:style w:type="character" w:customStyle="1" w:styleId="QuoteChar">
    <w:name w:val="Quote Char"/>
    <w:link w:val="Quote"/>
    <w:uiPriority w:val="29"/>
    <w:rsid w:val="006D528E"/>
    <w:rPr>
      <w:rFonts w:ascii="Arial" w:hAnsi="Arial"/>
      <w:iCs/>
      <w:color w:val="000000"/>
      <w:sz w:val="22"/>
    </w:rPr>
  </w:style>
  <w:style w:type="character" w:customStyle="1" w:styleId="FooterChar">
    <w:name w:val="Footer Char"/>
    <w:basedOn w:val="DefaultParagraphFont"/>
    <w:link w:val="Footer"/>
    <w:uiPriority w:val="99"/>
    <w:rsid w:val="008A1575"/>
    <w:rPr>
      <w:rFonts w:ascii="Arial" w:hAnsi="Arial"/>
      <w:sz w:val="24"/>
    </w:rPr>
  </w:style>
  <w:style w:type="paragraph" w:styleId="ListParagraph">
    <w:name w:val="List Paragraph"/>
    <w:basedOn w:val="Normal"/>
    <w:uiPriority w:val="34"/>
    <w:qFormat/>
    <w:rsid w:val="00140B81"/>
    <w:pPr>
      <w:ind w:left="720"/>
      <w:contextualSpacing/>
    </w:pPr>
  </w:style>
  <w:style w:type="character" w:styleId="UnresolvedMention">
    <w:name w:val="Unresolved Mention"/>
    <w:basedOn w:val="DefaultParagraphFont"/>
    <w:uiPriority w:val="99"/>
    <w:semiHidden/>
    <w:unhideWhenUsed/>
    <w:rsid w:val="004C311B"/>
    <w:rPr>
      <w:color w:val="605E5C"/>
      <w:shd w:val="clear" w:color="auto" w:fill="E1DFDD"/>
    </w:rPr>
  </w:style>
  <w:style w:type="character" w:styleId="CommentReference">
    <w:name w:val="annotation reference"/>
    <w:basedOn w:val="DefaultParagraphFont"/>
    <w:uiPriority w:val="99"/>
    <w:semiHidden/>
    <w:unhideWhenUsed/>
    <w:rsid w:val="003C44AB"/>
    <w:rPr>
      <w:sz w:val="16"/>
      <w:szCs w:val="16"/>
    </w:rPr>
  </w:style>
  <w:style w:type="paragraph" w:styleId="CommentText">
    <w:name w:val="annotation text"/>
    <w:basedOn w:val="Normal"/>
    <w:link w:val="CommentTextChar"/>
    <w:uiPriority w:val="99"/>
    <w:unhideWhenUsed/>
    <w:rsid w:val="003C44AB"/>
    <w:rPr>
      <w:sz w:val="20"/>
    </w:rPr>
  </w:style>
  <w:style w:type="character" w:customStyle="1" w:styleId="CommentTextChar">
    <w:name w:val="Comment Text Char"/>
    <w:basedOn w:val="DefaultParagraphFont"/>
    <w:link w:val="CommentText"/>
    <w:uiPriority w:val="99"/>
    <w:rsid w:val="003C44AB"/>
    <w:rPr>
      <w:rFonts w:ascii="Arial" w:hAnsi="Arial"/>
    </w:rPr>
  </w:style>
  <w:style w:type="paragraph" w:styleId="CommentSubject">
    <w:name w:val="annotation subject"/>
    <w:basedOn w:val="CommentText"/>
    <w:next w:val="CommentText"/>
    <w:link w:val="CommentSubjectChar"/>
    <w:uiPriority w:val="99"/>
    <w:semiHidden/>
    <w:unhideWhenUsed/>
    <w:rsid w:val="003C44AB"/>
    <w:rPr>
      <w:b/>
      <w:bCs/>
    </w:rPr>
  </w:style>
  <w:style w:type="character" w:customStyle="1" w:styleId="CommentSubjectChar">
    <w:name w:val="Comment Subject Char"/>
    <w:basedOn w:val="CommentTextChar"/>
    <w:link w:val="CommentSubject"/>
    <w:uiPriority w:val="99"/>
    <w:semiHidden/>
    <w:rsid w:val="003C44AB"/>
    <w:rPr>
      <w:rFonts w:ascii="Arial" w:hAnsi="Arial"/>
      <w:b/>
      <w:bCs/>
    </w:rPr>
  </w:style>
  <w:style w:type="character" w:styleId="FollowedHyperlink">
    <w:name w:val="FollowedHyperlink"/>
    <w:basedOn w:val="DefaultParagraphFont"/>
    <w:uiPriority w:val="99"/>
    <w:semiHidden/>
    <w:unhideWhenUsed/>
    <w:rsid w:val="00393CC0"/>
    <w:rPr>
      <w:color w:val="954F72" w:themeColor="followedHyperlink"/>
      <w:u w:val="single"/>
    </w:rPr>
  </w:style>
  <w:style w:type="character" w:customStyle="1" w:styleId="Heading1Char">
    <w:name w:val="Heading 1 Char"/>
    <w:basedOn w:val="DefaultParagraphFont"/>
    <w:link w:val="Heading1"/>
    <w:rsid w:val="0027141F"/>
    <w:rPr>
      <w:rFonts w:ascii="Arial" w:hAnsi="Arial"/>
      <w:kern w:val="28"/>
      <w:sz w:val="24"/>
    </w:rPr>
  </w:style>
  <w:style w:type="character" w:customStyle="1" w:styleId="Heading3Char">
    <w:name w:val="Heading 3 Char"/>
    <w:basedOn w:val="DefaultParagraphFont"/>
    <w:link w:val="Heading3"/>
    <w:rsid w:val="00A50885"/>
    <w:rPr>
      <w:rFonts w:ascii="Arial" w:hAnsi="Arial"/>
      <w:kern w:val="28"/>
      <w:sz w:val="24"/>
    </w:rPr>
  </w:style>
  <w:style w:type="paragraph" w:customStyle="1" w:styleId="BodyText1">
    <w:name w:val="Body Text 1"/>
    <w:basedOn w:val="Normal"/>
    <w:link w:val="BodyText1Char"/>
    <w:qFormat/>
    <w:rsid w:val="00406521"/>
    <w:pPr>
      <w:ind w:firstLine="720"/>
    </w:pPr>
  </w:style>
  <w:style w:type="character" w:customStyle="1" w:styleId="BodyText1Char">
    <w:name w:val="Body Text 1 Char"/>
    <w:basedOn w:val="DefaultParagraphFont"/>
    <w:link w:val="BodyText1"/>
    <w:rsid w:val="00406521"/>
    <w:rPr>
      <w:rFonts w:ascii="Arial" w:hAnsi="Arial"/>
      <w:sz w:val="24"/>
    </w:rPr>
  </w:style>
  <w:style w:type="character" w:customStyle="1" w:styleId="coconcept127">
    <w:name w:val="co_concept_1_27"/>
    <w:basedOn w:val="DefaultParagraphFont"/>
    <w:rsid w:val="00780DE1"/>
  </w:style>
  <w:style w:type="paragraph" w:styleId="Revision">
    <w:name w:val="Revision"/>
    <w:hidden/>
    <w:uiPriority w:val="99"/>
    <w:semiHidden/>
    <w:rsid w:val="00352E6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979355">
      <w:bodyDiv w:val="1"/>
      <w:marLeft w:val="0"/>
      <w:marRight w:val="0"/>
      <w:marTop w:val="0"/>
      <w:marBottom w:val="0"/>
      <w:divBdr>
        <w:top w:val="none" w:sz="0" w:space="0" w:color="auto"/>
        <w:left w:val="none" w:sz="0" w:space="0" w:color="auto"/>
        <w:bottom w:val="none" w:sz="0" w:space="0" w:color="auto"/>
        <w:right w:val="none" w:sz="0" w:space="0" w:color="auto"/>
      </w:divBdr>
    </w:div>
    <w:div w:id="737290315">
      <w:bodyDiv w:val="1"/>
      <w:marLeft w:val="0"/>
      <w:marRight w:val="0"/>
      <w:marTop w:val="0"/>
      <w:marBottom w:val="0"/>
      <w:divBdr>
        <w:top w:val="none" w:sz="0" w:space="0" w:color="auto"/>
        <w:left w:val="none" w:sz="0" w:space="0" w:color="auto"/>
        <w:bottom w:val="none" w:sz="0" w:space="0" w:color="auto"/>
        <w:right w:val="none" w:sz="0" w:space="0" w:color="auto"/>
      </w:divBdr>
    </w:div>
    <w:div w:id="1440099597">
      <w:bodyDiv w:val="1"/>
      <w:marLeft w:val="0"/>
      <w:marRight w:val="0"/>
      <w:marTop w:val="0"/>
      <w:marBottom w:val="0"/>
      <w:divBdr>
        <w:top w:val="none" w:sz="0" w:space="0" w:color="auto"/>
        <w:left w:val="none" w:sz="0" w:space="0" w:color="auto"/>
        <w:bottom w:val="none" w:sz="0" w:space="0" w:color="auto"/>
        <w:right w:val="none" w:sz="0" w:space="0" w:color="auto"/>
      </w:divBdr>
    </w:div>
    <w:div w:id="1580746898">
      <w:bodyDiv w:val="1"/>
      <w:marLeft w:val="0"/>
      <w:marRight w:val="0"/>
      <w:marTop w:val="0"/>
      <w:marBottom w:val="0"/>
      <w:divBdr>
        <w:top w:val="none" w:sz="0" w:space="0" w:color="auto"/>
        <w:left w:val="none" w:sz="0" w:space="0" w:color="auto"/>
        <w:bottom w:val="none" w:sz="0" w:space="0" w:color="auto"/>
        <w:right w:val="none" w:sz="0" w:space="0" w:color="auto"/>
      </w:divBdr>
    </w:div>
    <w:div w:id="1914512245">
      <w:bodyDiv w:val="1"/>
      <w:marLeft w:val="0"/>
      <w:marRight w:val="0"/>
      <w:marTop w:val="0"/>
      <w:marBottom w:val="0"/>
      <w:divBdr>
        <w:top w:val="none" w:sz="0" w:space="0" w:color="auto"/>
        <w:left w:val="none" w:sz="0" w:space="0" w:color="auto"/>
        <w:bottom w:val="none" w:sz="0" w:space="0" w:color="auto"/>
        <w:right w:val="none" w:sz="0" w:space="0" w:color="auto"/>
      </w:divBdr>
      <w:divsChild>
        <w:div w:id="1798333980">
          <w:marLeft w:val="0"/>
          <w:marRight w:val="0"/>
          <w:marTop w:val="0"/>
          <w:marBottom w:val="0"/>
          <w:divBdr>
            <w:top w:val="none" w:sz="0" w:space="0" w:color="3D3D3D"/>
            <w:left w:val="none" w:sz="0" w:space="0" w:color="3D3D3D"/>
            <w:bottom w:val="none" w:sz="0" w:space="0" w:color="3D3D3D"/>
            <w:right w:val="none" w:sz="0" w:space="0" w:color="3D3D3D"/>
          </w:divBdr>
          <w:divsChild>
            <w:div w:id="272175987">
              <w:marLeft w:val="0"/>
              <w:marRight w:val="0"/>
              <w:marTop w:val="0"/>
              <w:marBottom w:val="0"/>
              <w:divBdr>
                <w:top w:val="none" w:sz="0" w:space="0" w:color="3D3D3D"/>
                <w:left w:val="none" w:sz="0" w:space="0" w:color="3D3D3D"/>
                <w:bottom w:val="none" w:sz="0" w:space="0" w:color="3D3D3D"/>
                <w:right w:val="none" w:sz="0" w:space="0" w:color="3D3D3D"/>
              </w:divBdr>
            </w:div>
            <w:div w:id="71971959">
              <w:marLeft w:val="0"/>
              <w:marRight w:val="0"/>
              <w:marTop w:val="0"/>
              <w:marBottom w:val="0"/>
              <w:divBdr>
                <w:top w:val="none" w:sz="0" w:space="0" w:color="3D3D3D"/>
                <w:left w:val="none" w:sz="0" w:space="0" w:color="3D3D3D"/>
                <w:bottom w:val="none" w:sz="0" w:space="0" w:color="3D3D3D"/>
                <w:right w:val="none" w:sz="0" w:space="0" w:color="3D3D3D"/>
              </w:divBdr>
              <w:divsChild>
                <w:div w:id="686371987">
                  <w:marLeft w:val="0"/>
                  <w:marRight w:val="0"/>
                  <w:marTop w:val="0"/>
                  <w:marBottom w:val="0"/>
                  <w:divBdr>
                    <w:top w:val="none" w:sz="0" w:space="0" w:color="3D3D3D"/>
                    <w:left w:val="none" w:sz="0" w:space="0" w:color="3D3D3D"/>
                    <w:bottom w:val="none" w:sz="0" w:space="0" w:color="3D3D3D"/>
                    <w:right w:val="none" w:sz="0" w:space="0" w:color="3D3D3D"/>
                  </w:divBdr>
                </w:div>
              </w:divsChild>
            </w:div>
            <w:div w:id="889003178">
              <w:marLeft w:val="0"/>
              <w:marRight w:val="0"/>
              <w:marTop w:val="209"/>
              <w:marBottom w:val="0"/>
              <w:divBdr>
                <w:top w:val="none" w:sz="0" w:space="0" w:color="3D3D3D"/>
                <w:left w:val="none" w:sz="0" w:space="0" w:color="3D3D3D"/>
                <w:bottom w:val="none" w:sz="0" w:space="0" w:color="3D3D3D"/>
                <w:right w:val="none" w:sz="0" w:space="0" w:color="3D3D3D"/>
              </w:divBdr>
              <w:divsChild>
                <w:div w:id="1597640473">
                  <w:marLeft w:val="0"/>
                  <w:marRight w:val="0"/>
                  <w:marTop w:val="0"/>
                  <w:marBottom w:val="0"/>
                  <w:divBdr>
                    <w:top w:val="none" w:sz="0" w:space="0" w:color="3D3D3D"/>
                    <w:left w:val="none" w:sz="0" w:space="0" w:color="3D3D3D"/>
                    <w:bottom w:val="none" w:sz="0" w:space="0" w:color="3D3D3D"/>
                    <w:right w:val="none" w:sz="0" w:space="0" w:color="3D3D3D"/>
                  </w:divBdr>
                </w:div>
              </w:divsChild>
            </w:div>
            <w:div w:id="62962565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2553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ing.desa.un.org/sites/default/files/2023-05/UN%20Model_2021.pdf" TargetMode="External"/><Relationship Id="rId13" Type="http://schemas.openxmlformats.org/officeDocument/2006/relationships/hyperlink" Target="https://www.oecd.org/tax/beps/tax-challenges-arising-from-digitalisation-report-on-pillar-one-blueprint-beba0634-en.htm" TargetMode="External"/><Relationship Id="rId18" Type="http://schemas.openxmlformats.org/officeDocument/2006/relationships/hyperlink" Target="https://circabc.europa.eu/sd/a/e263d4ea-78b8-426b-a548-e5d2d73ae4f6/896%20-%20Electronically%20supplied%20services;%20minimal%20human%20intervention.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financing.desa.un.org/sites/default/files/2023-05/UN%20Model_2021.pdf" TargetMode="External"/><Relationship Id="rId17" Type="http://schemas.openxmlformats.org/officeDocument/2006/relationships/hyperlink" Target="https://circabc.europa.eu/sd/a/e346e09e-f06e-44cc-8f39-4334fb99c841/843%20-%20scope%20of%20notion%20of%20electronically%20supplied%20services.pdf" TargetMode="External"/><Relationship Id="rId2" Type="http://schemas.openxmlformats.org/officeDocument/2006/relationships/numbering" Target="numbering.xml"/><Relationship Id="rId16" Type="http://schemas.openxmlformats.org/officeDocument/2006/relationships/hyperlink" Target="https://www.oecd.org/tax/beps/tax-challenges-arising-from-digitalisation-report-on-pillar-one-blueprint-beba0634-en.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cd.org/tax/beps/tax-challenges-arising-from-digitalisation-report-on-pillar-one-blueprint-beba0634-en.htm" TargetMode="External"/><Relationship Id="rId5" Type="http://schemas.openxmlformats.org/officeDocument/2006/relationships/webSettings" Target="webSettings.xml"/><Relationship Id="rId15" Type="http://schemas.openxmlformats.org/officeDocument/2006/relationships/hyperlink" Target="https://financing.desa.un.org/sites/default/files/2023-05/UN%20Model_2021.pdf" TargetMode="External"/><Relationship Id="rId23" Type="http://schemas.openxmlformats.org/officeDocument/2006/relationships/theme" Target="theme/theme1.xml"/><Relationship Id="rId10" Type="http://schemas.openxmlformats.org/officeDocument/2006/relationships/hyperlink" Target="https://financing.desa.un.org/sites/default/files/2023-05/UN%20Model_2021.pdf" TargetMode="External"/><Relationship Id="rId19" Type="http://schemas.openxmlformats.org/officeDocument/2006/relationships/hyperlink" Target="https://www.vatupdate.com/wp-content/uploads/2020/06/WP-990-Sharing-economy-platforms-immovable-property.pdf" TargetMode="External"/><Relationship Id="rId4" Type="http://schemas.openxmlformats.org/officeDocument/2006/relationships/settings" Target="settings.xml"/><Relationship Id="rId9" Type="http://schemas.openxmlformats.org/officeDocument/2006/relationships/hyperlink" Target="https://www.oecd.org/tax/beps/tax-challenges-arising-from-digitalisation-report-on-pillar-one-blueprint-beba0634-en.htm" TargetMode="External"/><Relationship Id="rId14" Type="http://schemas.openxmlformats.org/officeDocument/2006/relationships/hyperlink" Target="https://eur-lex.europa.eu/legal-content/EN/TXT/?uri=CELEX%3A02011R0282-20220701"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RL%20Outline%20Profi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7EE9E-04F5-4DAD-B075-F08F75615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RL Outline Profile</Template>
  <TotalTime>1</TotalTime>
  <Pages>3</Pages>
  <Words>3066</Words>
  <Characters>16528</Characters>
  <Application>Microsoft Office Word</Application>
  <DocSecurity>4</DocSecurity>
  <Lines>284</Lines>
  <Paragraphs>93</Paragraphs>
  <ScaleCrop>false</ScaleCrop>
  <HeadingPairs>
    <vt:vector size="2" baseType="variant">
      <vt:variant>
        <vt:lpstr>Title</vt:lpstr>
      </vt:variant>
      <vt:variant>
        <vt:i4>1</vt:i4>
      </vt:variant>
    </vt:vector>
  </HeadingPairs>
  <TitlesOfParts>
    <vt:vector size="1" baseType="lpstr">
      <vt:lpstr>This is the title</vt:lpstr>
    </vt:vector>
  </TitlesOfParts>
  <Company>Texas Comptroller of Public Accounts</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dc:title>
  <dc:subject/>
  <dc:creator>Ray Langenberg</dc:creator>
  <cp:keywords/>
  <cp:lastModifiedBy>Helen Hecht</cp:lastModifiedBy>
  <cp:revision>2</cp:revision>
  <cp:lastPrinted>2025-05-09T20:47:00Z</cp:lastPrinted>
  <dcterms:created xsi:type="dcterms:W3CDTF">2025-05-19T18:24:00Z</dcterms:created>
  <dcterms:modified xsi:type="dcterms:W3CDTF">2025-05-19T18:24:00Z</dcterms:modified>
</cp:coreProperties>
</file>