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AAA8" w14:textId="053FFCEA" w:rsidR="00AA190A" w:rsidRDefault="00AA190A" w:rsidP="004843D2">
      <w:pPr>
        <w:rPr>
          <w:rFonts w:ascii="Georgia" w:hAnsi="Georgia"/>
          <w:b/>
          <w:bCs/>
          <w:color w:val="A80410"/>
          <w:sz w:val="56"/>
          <w:szCs w:val="180"/>
        </w:rPr>
      </w:pPr>
      <w:bookmarkStart w:id="0" w:name="_Hlk142738703"/>
    </w:p>
    <w:p w14:paraId="792CCA57" w14:textId="27F9531D" w:rsidR="00916C78" w:rsidRDefault="00916C78" w:rsidP="006A570E">
      <w:pPr>
        <w:spacing w:after="0"/>
        <w:jc w:val="left"/>
        <w:rPr>
          <w:i/>
          <w:iCs/>
          <w:sz w:val="22"/>
          <w:szCs w:val="20"/>
        </w:rPr>
      </w:pPr>
    </w:p>
    <w:p w14:paraId="3DADE5A7" w14:textId="24F8ACFE" w:rsidR="00916C78" w:rsidRDefault="00916C78" w:rsidP="00FF5FF5">
      <w:pPr>
        <w:pBdr>
          <w:bottom w:val="single" w:sz="24" w:space="1" w:color="591200" w:themeColor="accent6" w:themeShade="80"/>
        </w:pBdr>
        <w:shd w:val="clear" w:color="auto" w:fill="FFFFFF" w:themeFill="background1"/>
        <w:jc w:val="center"/>
        <w:rPr>
          <w:i/>
          <w:iCs/>
          <w:sz w:val="22"/>
          <w:szCs w:val="20"/>
        </w:rPr>
      </w:pPr>
    </w:p>
    <w:p w14:paraId="27607B0D" w14:textId="1BF75799" w:rsidR="00F31B02" w:rsidRDefault="00F31B02" w:rsidP="00FF5FF5">
      <w:pPr>
        <w:pBdr>
          <w:bottom w:val="single" w:sz="24" w:space="1" w:color="591200" w:themeColor="accent6" w:themeShade="80"/>
        </w:pBdr>
        <w:shd w:val="clear" w:color="auto" w:fill="FFFFFF" w:themeFill="background1"/>
        <w:jc w:val="center"/>
        <w:rPr>
          <w:i/>
          <w:iCs/>
          <w:sz w:val="22"/>
          <w:szCs w:val="20"/>
        </w:rPr>
      </w:pPr>
    </w:p>
    <w:p w14:paraId="4C23C895" w14:textId="4EB3983B" w:rsidR="0019545B" w:rsidRDefault="00DD2697" w:rsidP="00FF5FF5">
      <w:pPr>
        <w:pBdr>
          <w:bottom w:val="single" w:sz="24" w:space="1" w:color="591200" w:themeColor="accent6" w:themeShade="80"/>
        </w:pBdr>
        <w:shd w:val="clear" w:color="auto" w:fill="FFFFFF" w:themeFill="background1"/>
        <w:jc w:val="center"/>
        <w:rPr>
          <w:i/>
          <w:iCs/>
          <w:sz w:val="22"/>
          <w:szCs w:val="20"/>
        </w:rPr>
      </w:pPr>
      <w:r>
        <w:rPr>
          <w:noProof/>
        </w:rPr>
        <w:drawing>
          <wp:anchor distT="0" distB="0" distL="114300" distR="114300" simplePos="0" relativeHeight="251631104" behindDoc="0" locked="0" layoutInCell="1" allowOverlap="1" wp14:anchorId="2220A04F" wp14:editId="44BF21AD">
            <wp:simplePos x="0" y="0"/>
            <wp:positionH relativeFrom="column">
              <wp:posOffset>2043340</wp:posOffset>
            </wp:positionH>
            <wp:positionV relativeFrom="paragraph">
              <wp:posOffset>262618</wp:posOffset>
            </wp:positionV>
            <wp:extent cx="1373505" cy="730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1373505" cy="730250"/>
                    </a:xfrm>
                    <a:prstGeom prst="rect">
                      <a:avLst/>
                    </a:prstGeom>
                    <a:noFill/>
                    <a:effectLst/>
                  </pic:spPr>
                </pic:pic>
              </a:graphicData>
            </a:graphic>
            <wp14:sizeRelH relativeFrom="page">
              <wp14:pctWidth>0</wp14:pctWidth>
            </wp14:sizeRelH>
            <wp14:sizeRelV relativeFrom="page">
              <wp14:pctHeight>0</wp14:pctHeight>
            </wp14:sizeRelV>
          </wp:anchor>
        </w:drawing>
      </w:r>
    </w:p>
    <w:p w14:paraId="1B0575A8" w14:textId="1CC50DEA" w:rsidR="0019545B" w:rsidRDefault="0019545B" w:rsidP="00FF5FF5">
      <w:pPr>
        <w:pBdr>
          <w:bottom w:val="single" w:sz="24" w:space="1" w:color="591200" w:themeColor="accent6" w:themeShade="80"/>
        </w:pBdr>
        <w:shd w:val="clear" w:color="auto" w:fill="FFFFFF" w:themeFill="background1"/>
        <w:jc w:val="center"/>
        <w:rPr>
          <w:i/>
          <w:iCs/>
          <w:sz w:val="22"/>
          <w:szCs w:val="20"/>
        </w:rPr>
      </w:pPr>
    </w:p>
    <w:p w14:paraId="21426499" w14:textId="0B1A0B77" w:rsidR="0019545B" w:rsidRDefault="0019545B" w:rsidP="00FF5FF5">
      <w:pPr>
        <w:pBdr>
          <w:bottom w:val="single" w:sz="24" w:space="1" w:color="591200" w:themeColor="accent6" w:themeShade="80"/>
        </w:pBdr>
        <w:shd w:val="clear" w:color="auto" w:fill="FFFFFF" w:themeFill="background1"/>
        <w:jc w:val="center"/>
        <w:rPr>
          <w:i/>
          <w:iCs/>
          <w:sz w:val="22"/>
          <w:szCs w:val="20"/>
        </w:rPr>
      </w:pPr>
    </w:p>
    <w:p w14:paraId="62535E10" w14:textId="77777777" w:rsidR="009E5ED3" w:rsidRDefault="009E5ED3"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p>
    <w:p w14:paraId="627ABF8D" w14:textId="2DB908D0" w:rsidR="00FF5FF5" w:rsidRPr="00DD2697" w:rsidRDefault="00844079"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r w:rsidRPr="00DD2697">
        <w:rPr>
          <w:rFonts w:ascii="Californian FB" w:hAnsi="Californian FB"/>
          <w:b/>
          <w:bCs/>
          <w:color w:val="000000" w:themeColor="text1"/>
          <w:sz w:val="48"/>
          <w:szCs w:val="44"/>
        </w:rPr>
        <w:t xml:space="preserve">State </w:t>
      </w:r>
      <w:r w:rsidR="000A2267" w:rsidRPr="00DD2697">
        <w:rPr>
          <w:rFonts w:ascii="Californian FB" w:hAnsi="Californian FB"/>
          <w:b/>
          <w:bCs/>
          <w:color w:val="000000" w:themeColor="text1"/>
          <w:sz w:val="48"/>
          <w:szCs w:val="44"/>
        </w:rPr>
        <w:t>Tax Sourcing</w:t>
      </w:r>
      <w:r w:rsidRPr="00DD2697">
        <w:rPr>
          <w:rFonts w:ascii="Californian FB" w:hAnsi="Californian FB"/>
          <w:b/>
          <w:bCs/>
          <w:color w:val="000000" w:themeColor="text1"/>
          <w:sz w:val="48"/>
          <w:szCs w:val="44"/>
        </w:rPr>
        <w:t xml:space="preserve"> of </w:t>
      </w:r>
      <w:r w:rsidR="00D43666" w:rsidRPr="00DD2697">
        <w:rPr>
          <w:rFonts w:ascii="Californian FB" w:hAnsi="Californian FB"/>
          <w:b/>
          <w:bCs/>
          <w:color w:val="000000" w:themeColor="text1"/>
          <w:sz w:val="48"/>
          <w:szCs w:val="44"/>
        </w:rPr>
        <w:br/>
      </w:r>
      <w:r w:rsidR="000A2267" w:rsidRPr="00DD2697">
        <w:rPr>
          <w:rFonts w:ascii="Californian FB" w:hAnsi="Californian FB"/>
          <w:b/>
          <w:bCs/>
          <w:color w:val="000000" w:themeColor="text1"/>
          <w:sz w:val="48"/>
          <w:szCs w:val="44"/>
        </w:rPr>
        <w:t xml:space="preserve">Certain </w:t>
      </w:r>
      <w:r w:rsidR="001D6DFF" w:rsidRPr="00DD2697">
        <w:rPr>
          <w:rFonts w:ascii="Californian FB" w:hAnsi="Californian FB"/>
          <w:b/>
          <w:bCs/>
          <w:color w:val="000000" w:themeColor="text1"/>
          <w:sz w:val="48"/>
          <w:szCs w:val="44"/>
        </w:rPr>
        <w:t>Guaranteed Payments</w:t>
      </w:r>
      <w:r w:rsidR="006066C8" w:rsidRPr="00DD2697">
        <w:rPr>
          <w:rFonts w:ascii="Californian FB" w:hAnsi="Californian FB"/>
          <w:b/>
          <w:bCs/>
          <w:color w:val="000000" w:themeColor="text1"/>
          <w:sz w:val="48"/>
          <w:szCs w:val="44"/>
        </w:rPr>
        <w:br/>
      </w:r>
      <w:r w:rsidR="00FA7927" w:rsidRPr="00DD2697">
        <w:rPr>
          <w:rFonts w:ascii="Californian FB" w:hAnsi="Californian FB"/>
          <w:b/>
          <w:bCs/>
          <w:color w:val="000000" w:themeColor="text1"/>
          <w:sz w:val="48"/>
          <w:szCs w:val="44"/>
        </w:rPr>
        <w:t xml:space="preserve">Made to Individual Partners for </w:t>
      </w:r>
      <w:r w:rsidR="00C23413" w:rsidRPr="00DD2697">
        <w:rPr>
          <w:rFonts w:ascii="Californian FB" w:hAnsi="Californian FB"/>
          <w:b/>
          <w:bCs/>
          <w:color w:val="000000" w:themeColor="text1"/>
          <w:sz w:val="48"/>
          <w:szCs w:val="44"/>
        </w:rPr>
        <w:t>Services</w:t>
      </w:r>
      <w:r w:rsidR="00C23413" w:rsidRPr="00DD2697">
        <w:rPr>
          <w:rFonts w:ascii="Californian FB" w:hAnsi="Californian FB"/>
          <w:b/>
          <w:bCs/>
          <w:color w:val="000000" w:themeColor="text1"/>
          <w:sz w:val="44"/>
          <w:szCs w:val="40"/>
        </w:rPr>
        <w:t xml:space="preserve"> </w:t>
      </w:r>
    </w:p>
    <w:p w14:paraId="75A0CECD" w14:textId="5BA84C0F" w:rsidR="00FF5FF5" w:rsidRPr="00C93290" w:rsidRDefault="00C23413" w:rsidP="00283D73">
      <w:pPr>
        <w:pBdr>
          <w:bottom w:val="single" w:sz="24" w:space="1" w:color="591200" w:themeColor="accent6" w:themeShade="80"/>
        </w:pBdr>
        <w:shd w:val="clear" w:color="auto" w:fill="FFFFB9"/>
        <w:spacing w:after="120"/>
        <w:jc w:val="center"/>
        <w:rPr>
          <w:rFonts w:ascii="Californian FB" w:hAnsi="Californian FB"/>
          <w:b/>
          <w:bCs/>
          <w:color w:val="680000"/>
          <w:sz w:val="28"/>
          <w:szCs w:val="24"/>
        </w:rPr>
      </w:pPr>
      <w:r w:rsidRPr="00FA7927">
        <w:rPr>
          <w:rFonts w:ascii="Californian FB" w:hAnsi="Californian FB"/>
          <w:b/>
          <w:bCs/>
          <w:color w:val="000000" w:themeColor="text1"/>
          <w:sz w:val="36"/>
          <w:szCs w:val="32"/>
        </w:rPr>
        <w:br/>
      </w:r>
      <w:r w:rsidR="00FF5FF5" w:rsidRPr="00C93290">
        <w:rPr>
          <w:rFonts w:ascii="Californian FB" w:hAnsi="Californian FB"/>
          <w:b/>
          <w:bCs/>
          <w:color w:val="680000"/>
          <w:sz w:val="32"/>
          <w:szCs w:val="28"/>
        </w:rPr>
        <w:t>Multistate Tax Commission</w:t>
      </w:r>
    </w:p>
    <w:p w14:paraId="352A811D" w14:textId="6A58F82D" w:rsidR="00FF5FF5" w:rsidRDefault="00FF5FF5" w:rsidP="00283D73">
      <w:pPr>
        <w:pBdr>
          <w:bottom w:val="single" w:sz="24" w:space="1" w:color="591200" w:themeColor="accent6" w:themeShade="80"/>
        </w:pBdr>
        <w:shd w:val="clear" w:color="auto" w:fill="FFFFB9"/>
        <w:spacing w:after="120"/>
        <w:jc w:val="center"/>
        <w:rPr>
          <w:rFonts w:ascii="Californian FB" w:hAnsi="Californian FB"/>
          <w:b/>
          <w:bCs/>
          <w:color w:val="680000"/>
          <w:sz w:val="22"/>
          <w:szCs w:val="20"/>
        </w:rPr>
      </w:pPr>
      <w:r w:rsidRPr="00C93290">
        <w:rPr>
          <w:rFonts w:ascii="Californian FB" w:hAnsi="Californian FB"/>
          <w:b/>
          <w:bCs/>
          <w:color w:val="680000"/>
          <w:sz w:val="22"/>
          <w:szCs w:val="20"/>
        </w:rPr>
        <w:t xml:space="preserve">DRAFT – </w:t>
      </w:r>
      <w:r w:rsidR="00283D73">
        <w:rPr>
          <w:rFonts w:ascii="Californian FB" w:hAnsi="Californian FB"/>
          <w:b/>
          <w:bCs/>
          <w:color w:val="680000"/>
          <w:sz w:val="22"/>
          <w:szCs w:val="20"/>
        </w:rPr>
        <w:t>OCTOBER 12</w:t>
      </w:r>
      <w:r w:rsidRPr="00C93290">
        <w:rPr>
          <w:rFonts w:ascii="Californian FB" w:hAnsi="Californian FB"/>
          <w:b/>
          <w:bCs/>
          <w:color w:val="680000"/>
          <w:sz w:val="22"/>
          <w:szCs w:val="20"/>
        </w:rPr>
        <w:t>, 2023</w:t>
      </w:r>
    </w:p>
    <w:p w14:paraId="367EBC8F" w14:textId="2B0D785C" w:rsidR="00283D73" w:rsidRPr="00C93290" w:rsidRDefault="00283D73" w:rsidP="00163EC0">
      <w:pPr>
        <w:pBdr>
          <w:bottom w:val="single" w:sz="24" w:space="1" w:color="591200" w:themeColor="accent6" w:themeShade="80"/>
        </w:pBdr>
        <w:shd w:val="clear" w:color="auto" w:fill="FFFFB9"/>
        <w:spacing w:after="120"/>
        <w:jc w:val="center"/>
        <w:rPr>
          <w:rFonts w:ascii="Californian FB" w:hAnsi="Californian FB"/>
          <w:b/>
          <w:bCs/>
          <w:color w:val="680000"/>
          <w:sz w:val="22"/>
          <w:szCs w:val="20"/>
        </w:rPr>
      </w:pPr>
      <w:r>
        <w:rPr>
          <w:rFonts w:ascii="Californian FB" w:hAnsi="Californian FB"/>
          <w:b/>
          <w:bCs/>
          <w:color w:val="680000"/>
          <w:sz w:val="22"/>
          <w:szCs w:val="20"/>
        </w:rPr>
        <w:t xml:space="preserve">(Changes from Prior Version </w:t>
      </w:r>
      <w:r w:rsidR="00163EC0">
        <w:rPr>
          <w:rFonts w:ascii="Californian FB" w:hAnsi="Californian FB"/>
          <w:b/>
          <w:bCs/>
          <w:color w:val="680000"/>
          <w:sz w:val="22"/>
          <w:szCs w:val="20"/>
        </w:rPr>
        <w:t>and</w:t>
      </w:r>
      <w:r w:rsidR="00163EC0">
        <w:rPr>
          <w:rFonts w:ascii="Californian FB" w:hAnsi="Californian FB"/>
          <w:b/>
          <w:bCs/>
          <w:color w:val="680000"/>
          <w:sz w:val="22"/>
          <w:szCs w:val="20"/>
        </w:rPr>
        <w:br/>
        <w:t xml:space="preserve">Addition to Section IV </w:t>
      </w:r>
      <w:r>
        <w:rPr>
          <w:rFonts w:ascii="Californian FB" w:hAnsi="Californian FB"/>
          <w:b/>
          <w:bCs/>
          <w:color w:val="680000"/>
          <w:sz w:val="22"/>
          <w:szCs w:val="20"/>
        </w:rPr>
        <w:t>Highlighted)</w:t>
      </w:r>
    </w:p>
    <w:p w14:paraId="3AA80C14" w14:textId="77777777" w:rsidR="00FF5FF5" w:rsidRPr="00C93290" w:rsidRDefault="00FF5FF5" w:rsidP="00C93290">
      <w:pPr>
        <w:pBdr>
          <w:bottom w:val="single" w:sz="24" w:space="1" w:color="591200" w:themeColor="accent6" w:themeShade="80"/>
        </w:pBdr>
        <w:shd w:val="clear" w:color="auto" w:fill="FFFFFF" w:themeFill="background1"/>
        <w:spacing w:after="120"/>
        <w:jc w:val="center"/>
        <w:rPr>
          <w:rFonts w:ascii="Californian FB" w:hAnsi="Californian FB"/>
          <w:b/>
          <w:bCs/>
          <w:color w:val="680000"/>
          <w:sz w:val="22"/>
          <w:szCs w:val="20"/>
        </w:rPr>
      </w:pPr>
      <w:r w:rsidRPr="00C93290">
        <w:rPr>
          <w:rFonts w:ascii="Californian FB" w:hAnsi="Californian FB"/>
          <w:b/>
          <w:bCs/>
          <w:color w:val="680000"/>
          <w:sz w:val="22"/>
          <w:szCs w:val="20"/>
        </w:rPr>
        <w:t>FOR DISCUSSION PURPOSES ONLY</w:t>
      </w:r>
    </w:p>
    <w:p w14:paraId="3BD9DF68" w14:textId="5BE42D3C" w:rsidR="00FF5FF5" w:rsidRDefault="00FF5FF5"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p>
    <w:p w14:paraId="01368B75" w14:textId="305C74B8" w:rsidR="0019545B" w:rsidRPr="00C00E8D" w:rsidRDefault="00942EC3" w:rsidP="00FF5FF5">
      <w:pPr>
        <w:pBdr>
          <w:bottom w:val="single" w:sz="24" w:space="1" w:color="591200" w:themeColor="accent6" w:themeShade="80"/>
        </w:pBdr>
        <w:shd w:val="clear" w:color="auto" w:fill="FFFFFF" w:themeFill="background1"/>
        <w:jc w:val="center"/>
        <w:rPr>
          <w:rFonts w:ascii="Californian FB" w:hAnsi="Californian FB"/>
          <w:b/>
          <w:bCs/>
          <w:color w:val="000000" w:themeColor="text1"/>
          <w:sz w:val="44"/>
          <w:szCs w:val="40"/>
        </w:rPr>
      </w:pPr>
      <w:r>
        <w:rPr>
          <w:rFonts w:ascii="Californian FB" w:hAnsi="Californian FB"/>
          <w:b/>
          <w:bCs/>
          <w:color w:val="000000" w:themeColor="text1"/>
          <w:sz w:val="44"/>
          <w:szCs w:val="40"/>
        </w:rPr>
        <w:pict w14:anchorId="65F68BCF">
          <v:rect id="_x0000_i1025" style="width:0;height:1.5pt" o:hralign="center" o:hrstd="t" o:hr="t" fillcolor="#a0a0a0" stroked="f"/>
        </w:pict>
      </w:r>
    </w:p>
    <w:p w14:paraId="41BA676E" w14:textId="0A30356A"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767DDC60" w14:textId="557C49E8"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1C2C2D03" w14:textId="65C79CDC"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35D99CC8" w14:textId="78607DF8"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28CD80B7" w14:textId="6ECFBC6D"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327C9A88" w14:textId="714133D6"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2BC52665" w14:textId="455EAFEE" w:rsidR="004843D2" w:rsidRDefault="004843D2" w:rsidP="00FF5FF5">
      <w:pPr>
        <w:pBdr>
          <w:bottom w:val="single" w:sz="24" w:space="1" w:color="591200" w:themeColor="accent6" w:themeShade="80"/>
        </w:pBdr>
        <w:shd w:val="clear" w:color="auto" w:fill="FFFFFF" w:themeFill="background1"/>
        <w:jc w:val="center"/>
        <w:rPr>
          <w:i/>
          <w:iCs/>
          <w:sz w:val="22"/>
          <w:szCs w:val="20"/>
        </w:rPr>
      </w:pPr>
    </w:p>
    <w:p w14:paraId="41B8EF1F" w14:textId="003D410C" w:rsidR="00E85560" w:rsidRPr="00435DBA" w:rsidRDefault="009B161D" w:rsidP="00435DBA">
      <w:pPr>
        <w:shd w:val="clear" w:color="auto" w:fill="FFFFFF" w:themeFill="background1"/>
        <w:ind w:left="-720" w:right="-720"/>
        <w:jc w:val="center"/>
        <w:rPr>
          <w:i/>
          <w:iCs/>
          <w:sz w:val="18"/>
          <w:szCs w:val="18"/>
        </w:rPr>
      </w:pPr>
      <w:r w:rsidRPr="00435DBA">
        <w:rPr>
          <w:i/>
          <w:iCs/>
          <w:sz w:val="18"/>
          <w:szCs w:val="18"/>
        </w:rPr>
        <w:t xml:space="preserve">This white paper is prepared by the staff of the Multistate Tax Commission </w:t>
      </w:r>
      <w:r w:rsidR="00120DCC" w:rsidRPr="00435DBA">
        <w:rPr>
          <w:i/>
          <w:iCs/>
          <w:sz w:val="18"/>
          <w:szCs w:val="18"/>
        </w:rPr>
        <w:t>(MTC)</w:t>
      </w:r>
      <w:r w:rsidR="00C93290" w:rsidRPr="00435DBA">
        <w:rPr>
          <w:i/>
          <w:iCs/>
          <w:sz w:val="18"/>
          <w:szCs w:val="18"/>
        </w:rPr>
        <w:t xml:space="preserve"> </w:t>
      </w:r>
      <w:r w:rsidRPr="00435DBA">
        <w:rPr>
          <w:i/>
          <w:iCs/>
          <w:sz w:val="18"/>
          <w:szCs w:val="18"/>
        </w:rPr>
        <w:t xml:space="preserve">as part of </w:t>
      </w:r>
      <w:r w:rsidR="00EE070D" w:rsidRPr="00435DBA">
        <w:rPr>
          <w:i/>
          <w:iCs/>
          <w:sz w:val="18"/>
          <w:szCs w:val="18"/>
        </w:rPr>
        <w:t>the MTC’s</w:t>
      </w:r>
      <w:r w:rsidR="00756309" w:rsidRPr="00435DBA">
        <w:rPr>
          <w:i/>
          <w:iCs/>
          <w:sz w:val="18"/>
          <w:szCs w:val="18"/>
        </w:rPr>
        <w:t xml:space="preserve"> </w:t>
      </w:r>
      <w:r w:rsidR="00E85560" w:rsidRPr="00435DBA">
        <w:rPr>
          <w:i/>
          <w:iCs/>
          <w:sz w:val="18"/>
          <w:szCs w:val="18"/>
        </w:rPr>
        <w:br/>
      </w:r>
      <w:r w:rsidRPr="00435DBA">
        <w:rPr>
          <w:i/>
          <w:iCs/>
          <w:sz w:val="18"/>
          <w:szCs w:val="18"/>
        </w:rPr>
        <w:t>uniformity project on state taxation of partnerships</w:t>
      </w:r>
      <w:r w:rsidR="00EE070D" w:rsidRPr="00435DBA">
        <w:rPr>
          <w:i/>
          <w:iCs/>
          <w:sz w:val="18"/>
          <w:szCs w:val="18"/>
        </w:rPr>
        <w:t>,</w:t>
      </w:r>
      <w:r w:rsidR="00C93290" w:rsidRPr="00435DBA">
        <w:rPr>
          <w:i/>
          <w:iCs/>
          <w:sz w:val="18"/>
          <w:szCs w:val="18"/>
        </w:rPr>
        <w:t xml:space="preserve"> published as of the date shown,</w:t>
      </w:r>
      <w:r w:rsidRPr="00435DBA">
        <w:rPr>
          <w:i/>
          <w:iCs/>
          <w:sz w:val="18"/>
          <w:szCs w:val="18"/>
        </w:rPr>
        <w:t xml:space="preserve"> and </w:t>
      </w:r>
      <w:r w:rsidR="00C93290" w:rsidRPr="00435DBA">
        <w:rPr>
          <w:i/>
          <w:iCs/>
          <w:sz w:val="18"/>
          <w:szCs w:val="18"/>
        </w:rPr>
        <w:t>may be</w:t>
      </w:r>
      <w:r w:rsidRPr="00435DBA">
        <w:rPr>
          <w:i/>
          <w:iCs/>
          <w:sz w:val="18"/>
          <w:szCs w:val="18"/>
        </w:rPr>
        <w:t xml:space="preserve"> subject to revision. </w:t>
      </w:r>
      <w:r w:rsidR="00EE070D" w:rsidRPr="00435DBA">
        <w:rPr>
          <w:i/>
          <w:iCs/>
          <w:sz w:val="18"/>
          <w:szCs w:val="18"/>
        </w:rPr>
        <w:br/>
        <w:t>This draft white paper is not intended to provide accounting or legal advice to taxpayers and cannot be cited for that purpose.</w:t>
      </w:r>
    </w:p>
    <w:p w14:paraId="0DC1296C" w14:textId="065CA434" w:rsidR="00822499" w:rsidRPr="006066C8" w:rsidRDefault="00EE070D" w:rsidP="006066C8">
      <w:pPr>
        <w:shd w:val="clear" w:color="auto" w:fill="FFFFFF" w:themeFill="background1"/>
        <w:ind w:left="-720" w:right="-720"/>
        <w:jc w:val="center"/>
        <w:rPr>
          <w:i/>
          <w:iCs/>
          <w:sz w:val="18"/>
          <w:szCs w:val="18"/>
        </w:rPr>
      </w:pPr>
      <w:r w:rsidRPr="00435DBA">
        <w:rPr>
          <w:i/>
          <w:iCs/>
          <w:sz w:val="18"/>
          <w:szCs w:val="18"/>
        </w:rPr>
        <w:lastRenderedPageBreak/>
        <w:t xml:space="preserve">Those with questions on the white paper </w:t>
      </w:r>
      <w:r w:rsidR="00AB4E9B" w:rsidRPr="00435DBA">
        <w:rPr>
          <w:i/>
          <w:iCs/>
          <w:sz w:val="18"/>
          <w:szCs w:val="18"/>
        </w:rPr>
        <w:t>may</w:t>
      </w:r>
      <w:r w:rsidRPr="00435DBA">
        <w:rPr>
          <w:i/>
          <w:iCs/>
          <w:sz w:val="18"/>
          <w:szCs w:val="18"/>
        </w:rPr>
        <w:t xml:space="preserve"> contact Helen Hecht, at </w:t>
      </w:r>
      <w:hyperlink r:id="rId9" w:history="1">
        <w:r w:rsidRPr="00435DBA">
          <w:rPr>
            <w:rStyle w:val="Hyperlink"/>
            <w:i/>
            <w:iCs/>
            <w:sz w:val="18"/>
            <w:szCs w:val="18"/>
          </w:rPr>
          <w:t>hhecht@mtc.gov</w:t>
        </w:r>
      </w:hyperlink>
      <w:r w:rsidRPr="00435DBA">
        <w:rPr>
          <w:i/>
          <w:iCs/>
          <w:sz w:val="18"/>
          <w:szCs w:val="18"/>
        </w:rPr>
        <w:t xml:space="preserve">.  </w:t>
      </w:r>
    </w:p>
    <w:p w14:paraId="13521AE0" w14:textId="2B14204E" w:rsidR="00464AC0" w:rsidRPr="00464AC0" w:rsidRDefault="00464AC0" w:rsidP="00464AC0">
      <w:pPr>
        <w:pStyle w:val="TOC1"/>
      </w:pPr>
      <w:bookmarkStart w:id="1" w:name="_Toc104209200"/>
      <w:r w:rsidRPr="00464AC0">
        <w:t>Contents</w:t>
      </w:r>
    </w:p>
    <w:p w14:paraId="60920C60" w14:textId="074BD424" w:rsidR="00163EC0" w:rsidRDefault="0047413E">
      <w:pPr>
        <w:pStyle w:val="TOC1"/>
        <w:rPr>
          <w:rFonts w:asciiTheme="minorHAnsi" w:eastAsiaTheme="minorEastAsia" w:hAnsiTheme="minorHAnsi"/>
          <w:b w:val="0"/>
          <w:bCs w:val="0"/>
          <w:noProof/>
          <w:color w:val="auto"/>
          <w:kern w:val="2"/>
          <w:sz w:val="22"/>
          <w:szCs w:val="22"/>
          <w14:ligatures w14:val="standardContextual"/>
        </w:rPr>
      </w:pPr>
      <w:r>
        <w:fldChar w:fldCharType="begin"/>
      </w:r>
      <w:r>
        <w:instrText xml:space="preserve"> TOC \o "1-3" \h \z \u </w:instrText>
      </w:r>
      <w:r>
        <w:fldChar w:fldCharType="separate"/>
      </w:r>
      <w:hyperlink w:anchor="_Toc153291121" w:history="1">
        <w:r w:rsidR="00163EC0" w:rsidRPr="00EB21AD">
          <w:rPr>
            <w:rStyle w:val="Hyperlink"/>
            <w:noProof/>
          </w:rPr>
          <w:t>Introduction</w:t>
        </w:r>
        <w:r w:rsidR="00163EC0">
          <w:rPr>
            <w:noProof/>
            <w:webHidden/>
          </w:rPr>
          <w:tab/>
        </w:r>
        <w:r w:rsidR="00163EC0">
          <w:rPr>
            <w:noProof/>
            <w:webHidden/>
          </w:rPr>
          <w:fldChar w:fldCharType="begin"/>
        </w:r>
        <w:r w:rsidR="00163EC0">
          <w:rPr>
            <w:noProof/>
            <w:webHidden/>
          </w:rPr>
          <w:instrText xml:space="preserve"> PAGEREF _Toc153291121 \h </w:instrText>
        </w:r>
        <w:r w:rsidR="00163EC0">
          <w:rPr>
            <w:noProof/>
            <w:webHidden/>
          </w:rPr>
        </w:r>
        <w:r w:rsidR="00163EC0">
          <w:rPr>
            <w:noProof/>
            <w:webHidden/>
          </w:rPr>
          <w:fldChar w:fldCharType="separate"/>
        </w:r>
        <w:r w:rsidR="00942EC3">
          <w:rPr>
            <w:noProof/>
            <w:webHidden/>
          </w:rPr>
          <w:t>5</w:t>
        </w:r>
        <w:r w:rsidR="00163EC0">
          <w:rPr>
            <w:noProof/>
            <w:webHidden/>
          </w:rPr>
          <w:fldChar w:fldCharType="end"/>
        </w:r>
      </w:hyperlink>
    </w:p>
    <w:p w14:paraId="5DF1999D" w14:textId="0758BC84" w:rsidR="00163EC0" w:rsidRDefault="00942EC3">
      <w:pPr>
        <w:pStyle w:val="TOC3"/>
        <w:rPr>
          <w:rFonts w:asciiTheme="minorHAnsi" w:eastAsiaTheme="minorEastAsia" w:hAnsiTheme="minorHAnsi"/>
          <w:noProof/>
          <w:kern w:val="2"/>
          <w:sz w:val="22"/>
          <w14:ligatures w14:val="standardContextual"/>
        </w:rPr>
      </w:pPr>
      <w:hyperlink w:anchor="_Toc153291122" w:history="1">
        <w:r w:rsidR="00163EC0" w:rsidRPr="00EB21AD">
          <w:rPr>
            <w:rStyle w:val="Hyperlink"/>
            <w:noProof/>
          </w:rPr>
          <w:t>Scope of this White Paper</w:t>
        </w:r>
        <w:r w:rsidR="00163EC0">
          <w:rPr>
            <w:noProof/>
            <w:webHidden/>
          </w:rPr>
          <w:tab/>
        </w:r>
        <w:r w:rsidR="00163EC0">
          <w:rPr>
            <w:noProof/>
            <w:webHidden/>
          </w:rPr>
          <w:fldChar w:fldCharType="begin"/>
        </w:r>
        <w:r w:rsidR="00163EC0">
          <w:rPr>
            <w:noProof/>
            <w:webHidden/>
          </w:rPr>
          <w:instrText xml:space="preserve"> PAGEREF _Toc153291122 \h </w:instrText>
        </w:r>
        <w:r w:rsidR="00163EC0">
          <w:rPr>
            <w:noProof/>
            <w:webHidden/>
          </w:rPr>
        </w:r>
        <w:r w:rsidR="00163EC0">
          <w:rPr>
            <w:noProof/>
            <w:webHidden/>
          </w:rPr>
          <w:fldChar w:fldCharType="separate"/>
        </w:r>
        <w:r>
          <w:rPr>
            <w:noProof/>
            <w:webHidden/>
          </w:rPr>
          <w:t>5</w:t>
        </w:r>
        <w:r w:rsidR="00163EC0">
          <w:rPr>
            <w:noProof/>
            <w:webHidden/>
          </w:rPr>
          <w:fldChar w:fldCharType="end"/>
        </w:r>
      </w:hyperlink>
    </w:p>
    <w:p w14:paraId="189EF49A" w14:textId="5649FA1C" w:rsidR="00163EC0" w:rsidRDefault="00942EC3">
      <w:pPr>
        <w:pStyle w:val="TOC3"/>
        <w:rPr>
          <w:rFonts w:asciiTheme="minorHAnsi" w:eastAsiaTheme="minorEastAsia" w:hAnsiTheme="minorHAnsi"/>
          <w:noProof/>
          <w:kern w:val="2"/>
          <w:sz w:val="22"/>
          <w14:ligatures w14:val="standardContextual"/>
        </w:rPr>
      </w:pPr>
      <w:hyperlink w:anchor="_Toc153291123" w:history="1">
        <w:r w:rsidR="00163EC0" w:rsidRPr="00EB21AD">
          <w:rPr>
            <w:rStyle w:val="Hyperlink"/>
            <w:noProof/>
          </w:rPr>
          <w:t>MTC Partnership Work Group</w:t>
        </w:r>
        <w:r w:rsidR="00163EC0">
          <w:rPr>
            <w:noProof/>
            <w:webHidden/>
          </w:rPr>
          <w:tab/>
        </w:r>
        <w:r w:rsidR="00163EC0">
          <w:rPr>
            <w:noProof/>
            <w:webHidden/>
          </w:rPr>
          <w:fldChar w:fldCharType="begin"/>
        </w:r>
        <w:r w:rsidR="00163EC0">
          <w:rPr>
            <w:noProof/>
            <w:webHidden/>
          </w:rPr>
          <w:instrText xml:space="preserve"> PAGEREF _Toc153291123 \h </w:instrText>
        </w:r>
        <w:r w:rsidR="00163EC0">
          <w:rPr>
            <w:noProof/>
            <w:webHidden/>
          </w:rPr>
        </w:r>
        <w:r w:rsidR="00163EC0">
          <w:rPr>
            <w:noProof/>
            <w:webHidden/>
          </w:rPr>
          <w:fldChar w:fldCharType="separate"/>
        </w:r>
        <w:r>
          <w:rPr>
            <w:noProof/>
            <w:webHidden/>
          </w:rPr>
          <w:t>5</w:t>
        </w:r>
        <w:r w:rsidR="00163EC0">
          <w:rPr>
            <w:noProof/>
            <w:webHidden/>
          </w:rPr>
          <w:fldChar w:fldCharType="end"/>
        </w:r>
      </w:hyperlink>
    </w:p>
    <w:p w14:paraId="251A863F" w14:textId="5F5CC057" w:rsidR="00163EC0" w:rsidRDefault="00942EC3">
      <w:pPr>
        <w:pStyle w:val="TOC3"/>
        <w:rPr>
          <w:rFonts w:asciiTheme="minorHAnsi" w:eastAsiaTheme="minorEastAsia" w:hAnsiTheme="minorHAnsi"/>
          <w:noProof/>
          <w:kern w:val="2"/>
          <w:sz w:val="22"/>
          <w14:ligatures w14:val="standardContextual"/>
        </w:rPr>
      </w:pPr>
      <w:hyperlink w:anchor="_Toc153291124" w:history="1">
        <w:r w:rsidR="00163EC0" w:rsidRPr="00EB21AD">
          <w:rPr>
            <w:rStyle w:val="Hyperlink"/>
            <w:noProof/>
          </w:rPr>
          <w:t>Reason for the White Paper</w:t>
        </w:r>
        <w:r w:rsidR="00163EC0">
          <w:rPr>
            <w:noProof/>
            <w:webHidden/>
          </w:rPr>
          <w:tab/>
        </w:r>
        <w:r w:rsidR="00163EC0">
          <w:rPr>
            <w:noProof/>
            <w:webHidden/>
          </w:rPr>
          <w:fldChar w:fldCharType="begin"/>
        </w:r>
        <w:r w:rsidR="00163EC0">
          <w:rPr>
            <w:noProof/>
            <w:webHidden/>
          </w:rPr>
          <w:instrText xml:space="preserve"> PAGEREF _Toc153291124 \h </w:instrText>
        </w:r>
        <w:r w:rsidR="00163EC0">
          <w:rPr>
            <w:noProof/>
            <w:webHidden/>
          </w:rPr>
        </w:r>
        <w:r w:rsidR="00163EC0">
          <w:rPr>
            <w:noProof/>
            <w:webHidden/>
          </w:rPr>
          <w:fldChar w:fldCharType="separate"/>
        </w:r>
        <w:r>
          <w:rPr>
            <w:noProof/>
            <w:webHidden/>
          </w:rPr>
          <w:t>5</w:t>
        </w:r>
        <w:r w:rsidR="00163EC0">
          <w:rPr>
            <w:noProof/>
            <w:webHidden/>
          </w:rPr>
          <w:fldChar w:fldCharType="end"/>
        </w:r>
      </w:hyperlink>
    </w:p>
    <w:p w14:paraId="059CF19D" w14:textId="69256BE8" w:rsidR="00163EC0" w:rsidRDefault="00942EC3">
      <w:pPr>
        <w:pStyle w:val="TOC3"/>
        <w:rPr>
          <w:rFonts w:asciiTheme="minorHAnsi" w:eastAsiaTheme="minorEastAsia" w:hAnsiTheme="minorHAnsi"/>
          <w:noProof/>
          <w:kern w:val="2"/>
          <w:sz w:val="22"/>
          <w14:ligatures w14:val="standardContextual"/>
        </w:rPr>
      </w:pPr>
      <w:hyperlink w:anchor="_Toc153291125" w:history="1">
        <w:r w:rsidR="00163EC0" w:rsidRPr="00EB21AD">
          <w:rPr>
            <w:rStyle w:val="Hyperlink"/>
            <w:noProof/>
          </w:rPr>
          <w:t>Approach Taken in the White Paper</w:t>
        </w:r>
        <w:r w:rsidR="00163EC0">
          <w:rPr>
            <w:noProof/>
            <w:webHidden/>
          </w:rPr>
          <w:tab/>
        </w:r>
        <w:r w:rsidR="00163EC0">
          <w:rPr>
            <w:noProof/>
            <w:webHidden/>
          </w:rPr>
          <w:fldChar w:fldCharType="begin"/>
        </w:r>
        <w:r w:rsidR="00163EC0">
          <w:rPr>
            <w:noProof/>
            <w:webHidden/>
          </w:rPr>
          <w:instrText xml:space="preserve"> PAGEREF _Toc153291125 \h </w:instrText>
        </w:r>
        <w:r w:rsidR="00163EC0">
          <w:rPr>
            <w:noProof/>
            <w:webHidden/>
          </w:rPr>
        </w:r>
        <w:r w:rsidR="00163EC0">
          <w:rPr>
            <w:noProof/>
            <w:webHidden/>
          </w:rPr>
          <w:fldChar w:fldCharType="separate"/>
        </w:r>
        <w:r>
          <w:rPr>
            <w:noProof/>
            <w:webHidden/>
          </w:rPr>
          <w:t>5</w:t>
        </w:r>
        <w:r w:rsidR="00163EC0">
          <w:rPr>
            <w:noProof/>
            <w:webHidden/>
          </w:rPr>
          <w:fldChar w:fldCharType="end"/>
        </w:r>
      </w:hyperlink>
    </w:p>
    <w:p w14:paraId="70EDB587" w14:textId="11F80B81" w:rsidR="00163EC0" w:rsidRDefault="00942EC3">
      <w:pPr>
        <w:pStyle w:val="TOC3"/>
        <w:rPr>
          <w:rFonts w:asciiTheme="minorHAnsi" w:eastAsiaTheme="minorEastAsia" w:hAnsiTheme="minorHAnsi"/>
          <w:noProof/>
          <w:kern w:val="2"/>
          <w:sz w:val="22"/>
          <w14:ligatures w14:val="standardContextual"/>
        </w:rPr>
      </w:pPr>
      <w:hyperlink w:anchor="_Toc153291126" w:history="1">
        <w:r w:rsidR="00163EC0" w:rsidRPr="00EB21AD">
          <w:rPr>
            <w:rStyle w:val="Hyperlink"/>
            <w:noProof/>
          </w:rPr>
          <w:t>Note on Complexity</w:t>
        </w:r>
        <w:r w:rsidR="00163EC0">
          <w:rPr>
            <w:noProof/>
            <w:webHidden/>
          </w:rPr>
          <w:tab/>
        </w:r>
        <w:r w:rsidR="00163EC0">
          <w:rPr>
            <w:noProof/>
            <w:webHidden/>
          </w:rPr>
          <w:fldChar w:fldCharType="begin"/>
        </w:r>
        <w:r w:rsidR="00163EC0">
          <w:rPr>
            <w:noProof/>
            <w:webHidden/>
          </w:rPr>
          <w:instrText xml:space="preserve"> PAGEREF _Toc153291126 \h </w:instrText>
        </w:r>
        <w:r w:rsidR="00163EC0">
          <w:rPr>
            <w:noProof/>
            <w:webHidden/>
          </w:rPr>
        </w:r>
        <w:r w:rsidR="00163EC0">
          <w:rPr>
            <w:noProof/>
            <w:webHidden/>
          </w:rPr>
          <w:fldChar w:fldCharType="separate"/>
        </w:r>
        <w:r>
          <w:rPr>
            <w:noProof/>
            <w:webHidden/>
          </w:rPr>
          <w:t>5</w:t>
        </w:r>
        <w:r w:rsidR="00163EC0">
          <w:rPr>
            <w:noProof/>
            <w:webHidden/>
          </w:rPr>
          <w:fldChar w:fldCharType="end"/>
        </w:r>
      </w:hyperlink>
    </w:p>
    <w:p w14:paraId="6A59DD4C" w14:textId="27E3653F"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127" w:history="1">
        <w:r w:rsidR="00163EC0" w:rsidRPr="00EB21AD">
          <w:rPr>
            <w:rStyle w:val="Hyperlink"/>
            <w:noProof/>
          </w:rPr>
          <w:t>Executive Summary</w:t>
        </w:r>
        <w:r w:rsidR="00163EC0">
          <w:rPr>
            <w:noProof/>
            <w:webHidden/>
          </w:rPr>
          <w:tab/>
        </w:r>
        <w:r w:rsidR="00163EC0">
          <w:rPr>
            <w:noProof/>
            <w:webHidden/>
          </w:rPr>
          <w:fldChar w:fldCharType="begin"/>
        </w:r>
        <w:r w:rsidR="00163EC0">
          <w:rPr>
            <w:noProof/>
            <w:webHidden/>
          </w:rPr>
          <w:instrText xml:space="preserve"> PAGEREF _Toc153291127 \h </w:instrText>
        </w:r>
        <w:r w:rsidR="00163EC0">
          <w:rPr>
            <w:noProof/>
            <w:webHidden/>
          </w:rPr>
        </w:r>
        <w:r w:rsidR="00163EC0">
          <w:rPr>
            <w:noProof/>
            <w:webHidden/>
          </w:rPr>
          <w:fldChar w:fldCharType="separate"/>
        </w:r>
        <w:r>
          <w:rPr>
            <w:noProof/>
            <w:webHidden/>
          </w:rPr>
          <w:t>6</w:t>
        </w:r>
        <w:r w:rsidR="00163EC0">
          <w:rPr>
            <w:noProof/>
            <w:webHidden/>
          </w:rPr>
          <w:fldChar w:fldCharType="end"/>
        </w:r>
      </w:hyperlink>
    </w:p>
    <w:p w14:paraId="148BA41F" w14:textId="4A5C99AA"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128" w:history="1">
        <w:r w:rsidR="00163EC0" w:rsidRPr="00EB21AD">
          <w:rPr>
            <w:rStyle w:val="Hyperlink"/>
            <w:noProof/>
          </w:rPr>
          <w:t>Section I. Important Context</w:t>
        </w:r>
        <w:r w:rsidR="00163EC0">
          <w:rPr>
            <w:noProof/>
            <w:webHidden/>
          </w:rPr>
          <w:tab/>
        </w:r>
        <w:r w:rsidR="00163EC0">
          <w:rPr>
            <w:noProof/>
            <w:webHidden/>
          </w:rPr>
          <w:fldChar w:fldCharType="begin"/>
        </w:r>
        <w:r w:rsidR="00163EC0">
          <w:rPr>
            <w:noProof/>
            <w:webHidden/>
          </w:rPr>
          <w:instrText xml:space="preserve"> PAGEREF _Toc153291128 \h </w:instrText>
        </w:r>
        <w:r w:rsidR="00163EC0">
          <w:rPr>
            <w:noProof/>
            <w:webHidden/>
          </w:rPr>
        </w:r>
        <w:r w:rsidR="00163EC0">
          <w:rPr>
            <w:noProof/>
            <w:webHidden/>
          </w:rPr>
          <w:fldChar w:fldCharType="separate"/>
        </w:r>
        <w:r>
          <w:rPr>
            <w:noProof/>
            <w:webHidden/>
          </w:rPr>
          <w:t>7</w:t>
        </w:r>
        <w:r w:rsidR="00163EC0">
          <w:rPr>
            <w:noProof/>
            <w:webHidden/>
          </w:rPr>
          <w:fldChar w:fldCharType="end"/>
        </w:r>
      </w:hyperlink>
    </w:p>
    <w:p w14:paraId="4C24083C" w14:textId="0D395C35"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29" w:history="1">
        <w:r w:rsidR="00163EC0" w:rsidRPr="00EB21AD">
          <w:rPr>
            <w:rStyle w:val="Hyperlink"/>
            <w:noProof/>
          </w:rPr>
          <w:t>I. A. Terms Used in this White Paper</w:t>
        </w:r>
        <w:r w:rsidR="00163EC0">
          <w:rPr>
            <w:noProof/>
            <w:webHidden/>
          </w:rPr>
          <w:tab/>
        </w:r>
        <w:r w:rsidR="00163EC0">
          <w:rPr>
            <w:noProof/>
            <w:webHidden/>
          </w:rPr>
          <w:fldChar w:fldCharType="begin"/>
        </w:r>
        <w:r w:rsidR="00163EC0">
          <w:rPr>
            <w:noProof/>
            <w:webHidden/>
          </w:rPr>
          <w:instrText xml:space="preserve"> PAGEREF _Toc153291129 \h </w:instrText>
        </w:r>
        <w:r w:rsidR="00163EC0">
          <w:rPr>
            <w:noProof/>
            <w:webHidden/>
          </w:rPr>
        </w:r>
        <w:r w:rsidR="00163EC0">
          <w:rPr>
            <w:noProof/>
            <w:webHidden/>
          </w:rPr>
          <w:fldChar w:fldCharType="separate"/>
        </w:r>
        <w:r>
          <w:rPr>
            <w:noProof/>
            <w:webHidden/>
          </w:rPr>
          <w:t>7</w:t>
        </w:r>
        <w:r w:rsidR="00163EC0">
          <w:rPr>
            <w:noProof/>
            <w:webHidden/>
          </w:rPr>
          <w:fldChar w:fldCharType="end"/>
        </w:r>
      </w:hyperlink>
    </w:p>
    <w:p w14:paraId="1D5CD0DF" w14:textId="63348DBD"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30" w:history="1">
        <w:r w:rsidR="00163EC0" w:rsidRPr="00EB21AD">
          <w:rPr>
            <w:rStyle w:val="Hyperlink"/>
            <w:noProof/>
          </w:rPr>
          <w:t>I. B. Summary of Partnership Accounting Rules – Book &amp; Tax</w:t>
        </w:r>
        <w:r w:rsidR="00163EC0">
          <w:rPr>
            <w:noProof/>
            <w:webHidden/>
          </w:rPr>
          <w:tab/>
        </w:r>
        <w:r w:rsidR="00163EC0">
          <w:rPr>
            <w:noProof/>
            <w:webHidden/>
          </w:rPr>
          <w:fldChar w:fldCharType="begin"/>
        </w:r>
        <w:r w:rsidR="00163EC0">
          <w:rPr>
            <w:noProof/>
            <w:webHidden/>
          </w:rPr>
          <w:instrText xml:space="preserve"> PAGEREF _Toc153291130 \h </w:instrText>
        </w:r>
        <w:r w:rsidR="00163EC0">
          <w:rPr>
            <w:noProof/>
            <w:webHidden/>
          </w:rPr>
        </w:r>
        <w:r w:rsidR="00163EC0">
          <w:rPr>
            <w:noProof/>
            <w:webHidden/>
          </w:rPr>
          <w:fldChar w:fldCharType="separate"/>
        </w:r>
        <w:r>
          <w:rPr>
            <w:noProof/>
            <w:webHidden/>
          </w:rPr>
          <w:t>8</w:t>
        </w:r>
        <w:r w:rsidR="00163EC0">
          <w:rPr>
            <w:noProof/>
            <w:webHidden/>
          </w:rPr>
          <w:fldChar w:fldCharType="end"/>
        </w:r>
      </w:hyperlink>
    </w:p>
    <w:p w14:paraId="0CC5C425" w14:textId="7BE40F8B"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31" w:history="1">
        <w:r w:rsidR="00163EC0" w:rsidRPr="00EB21AD">
          <w:rPr>
            <w:rStyle w:val="Hyperlink"/>
            <w:noProof/>
          </w:rPr>
          <w:t>I. C. Federal Reporting of Guaranteed Payment Information</w:t>
        </w:r>
        <w:r w:rsidR="00163EC0">
          <w:rPr>
            <w:noProof/>
            <w:webHidden/>
          </w:rPr>
          <w:tab/>
        </w:r>
        <w:r w:rsidR="00163EC0">
          <w:rPr>
            <w:noProof/>
            <w:webHidden/>
          </w:rPr>
          <w:fldChar w:fldCharType="begin"/>
        </w:r>
        <w:r w:rsidR="00163EC0">
          <w:rPr>
            <w:noProof/>
            <w:webHidden/>
          </w:rPr>
          <w:instrText xml:space="preserve"> PAGEREF _Toc153291131 \h </w:instrText>
        </w:r>
        <w:r w:rsidR="00163EC0">
          <w:rPr>
            <w:noProof/>
            <w:webHidden/>
          </w:rPr>
        </w:r>
        <w:r w:rsidR="00163EC0">
          <w:rPr>
            <w:noProof/>
            <w:webHidden/>
          </w:rPr>
          <w:fldChar w:fldCharType="separate"/>
        </w:r>
        <w:r>
          <w:rPr>
            <w:noProof/>
            <w:webHidden/>
          </w:rPr>
          <w:t>9</w:t>
        </w:r>
        <w:r w:rsidR="00163EC0">
          <w:rPr>
            <w:noProof/>
            <w:webHidden/>
          </w:rPr>
          <w:fldChar w:fldCharType="end"/>
        </w:r>
      </w:hyperlink>
    </w:p>
    <w:p w14:paraId="1A027DB6" w14:textId="52686BA3" w:rsidR="00163EC0" w:rsidRDefault="00942EC3">
      <w:pPr>
        <w:pStyle w:val="TOC3"/>
        <w:rPr>
          <w:rFonts w:asciiTheme="minorHAnsi" w:eastAsiaTheme="minorEastAsia" w:hAnsiTheme="minorHAnsi"/>
          <w:noProof/>
          <w:kern w:val="2"/>
          <w:sz w:val="22"/>
          <w14:ligatures w14:val="standardContextual"/>
        </w:rPr>
      </w:pPr>
      <w:hyperlink w:anchor="_Toc153291132" w:history="1">
        <w:r w:rsidR="00163EC0" w:rsidRPr="00EB21AD">
          <w:rPr>
            <w:rStyle w:val="Hyperlink"/>
            <w:noProof/>
          </w:rPr>
          <w:t>Reporting of Guaranteed Payments Starts with the Partnership Return</w:t>
        </w:r>
        <w:r w:rsidR="00163EC0">
          <w:rPr>
            <w:noProof/>
            <w:webHidden/>
          </w:rPr>
          <w:tab/>
        </w:r>
        <w:r w:rsidR="00163EC0">
          <w:rPr>
            <w:noProof/>
            <w:webHidden/>
          </w:rPr>
          <w:fldChar w:fldCharType="begin"/>
        </w:r>
        <w:r w:rsidR="00163EC0">
          <w:rPr>
            <w:noProof/>
            <w:webHidden/>
          </w:rPr>
          <w:instrText xml:space="preserve"> PAGEREF _Toc153291132 \h </w:instrText>
        </w:r>
        <w:r w:rsidR="00163EC0">
          <w:rPr>
            <w:noProof/>
            <w:webHidden/>
          </w:rPr>
        </w:r>
        <w:r w:rsidR="00163EC0">
          <w:rPr>
            <w:noProof/>
            <w:webHidden/>
          </w:rPr>
          <w:fldChar w:fldCharType="separate"/>
        </w:r>
        <w:r>
          <w:rPr>
            <w:noProof/>
            <w:webHidden/>
          </w:rPr>
          <w:t>9</w:t>
        </w:r>
        <w:r w:rsidR="00163EC0">
          <w:rPr>
            <w:noProof/>
            <w:webHidden/>
          </w:rPr>
          <w:fldChar w:fldCharType="end"/>
        </w:r>
      </w:hyperlink>
    </w:p>
    <w:p w14:paraId="6C9D606B" w14:textId="1E97CA59" w:rsidR="00163EC0" w:rsidRDefault="00942EC3">
      <w:pPr>
        <w:pStyle w:val="TOC3"/>
        <w:rPr>
          <w:rFonts w:asciiTheme="minorHAnsi" w:eastAsiaTheme="minorEastAsia" w:hAnsiTheme="minorHAnsi"/>
          <w:noProof/>
          <w:kern w:val="2"/>
          <w:sz w:val="22"/>
          <w14:ligatures w14:val="standardContextual"/>
        </w:rPr>
      </w:pPr>
      <w:hyperlink w:anchor="_Toc153291133" w:history="1">
        <w:r w:rsidR="00163EC0" w:rsidRPr="00EB21AD">
          <w:rPr>
            <w:rStyle w:val="Hyperlink"/>
            <w:noProof/>
          </w:rPr>
          <w:t>Items from the Partnership Return then Flow Through on Schedule K-1s to Partners</w:t>
        </w:r>
        <w:r w:rsidR="00163EC0">
          <w:rPr>
            <w:noProof/>
            <w:webHidden/>
          </w:rPr>
          <w:tab/>
        </w:r>
        <w:r w:rsidR="00163EC0">
          <w:rPr>
            <w:noProof/>
            <w:webHidden/>
          </w:rPr>
          <w:fldChar w:fldCharType="begin"/>
        </w:r>
        <w:r w:rsidR="00163EC0">
          <w:rPr>
            <w:noProof/>
            <w:webHidden/>
          </w:rPr>
          <w:instrText xml:space="preserve"> PAGEREF _Toc153291133 \h </w:instrText>
        </w:r>
        <w:r w:rsidR="00163EC0">
          <w:rPr>
            <w:noProof/>
            <w:webHidden/>
          </w:rPr>
        </w:r>
        <w:r w:rsidR="00163EC0">
          <w:rPr>
            <w:noProof/>
            <w:webHidden/>
          </w:rPr>
          <w:fldChar w:fldCharType="separate"/>
        </w:r>
        <w:r>
          <w:rPr>
            <w:noProof/>
            <w:webHidden/>
          </w:rPr>
          <w:t>10</w:t>
        </w:r>
        <w:r w:rsidR="00163EC0">
          <w:rPr>
            <w:noProof/>
            <w:webHidden/>
          </w:rPr>
          <w:fldChar w:fldCharType="end"/>
        </w:r>
      </w:hyperlink>
    </w:p>
    <w:p w14:paraId="6C88D6A3" w14:textId="1FB64E4D" w:rsidR="00163EC0" w:rsidRDefault="00942EC3">
      <w:pPr>
        <w:pStyle w:val="TOC3"/>
        <w:rPr>
          <w:rFonts w:asciiTheme="minorHAnsi" w:eastAsiaTheme="minorEastAsia" w:hAnsiTheme="minorHAnsi"/>
          <w:noProof/>
          <w:kern w:val="2"/>
          <w:sz w:val="22"/>
          <w14:ligatures w14:val="standardContextual"/>
        </w:rPr>
      </w:pPr>
      <w:hyperlink w:anchor="_Toc153291134" w:history="1">
        <w:r w:rsidR="00163EC0" w:rsidRPr="00EB21AD">
          <w:rPr>
            <w:rStyle w:val="Hyperlink"/>
            <w:noProof/>
          </w:rPr>
          <w:t>The Partners Then Report Information from their Schedule K-1</w:t>
        </w:r>
        <w:r w:rsidR="00163EC0">
          <w:rPr>
            <w:noProof/>
            <w:webHidden/>
          </w:rPr>
          <w:tab/>
        </w:r>
        <w:r w:rsidR="00163EC0">
          <w:rPr>
            <w:noProof/>
            <w:webHidden/>
          </w:rPr>
          <w:fldChar w:fldCharType="begin"/>
        </w:r>
        <w:r w:rsidR="00163EC0">
          <w:rPr>
            <w:noProof/>
            <w:webHidden/>
          </w:rPr>
          <w:instrText xml:space="preserve"> PAGEREF _Toc153291134 \h </w:instrText>
        </w:r>
        <w:r w:rsidR="00163EC0">
          <w:rPr>
            <w:noProof/>
            <w:webHidden/>
          </w:rPr>
        </w:r>
        <w:r w:rsidR="00163EC0">
          <w:rPr>
            <w:noProof/>
            <w:webHidden/>
          </w:rPr>
          <w:fldChar w:fldCharType="separate"/>
        </w:r>
        <w:r>
          <w:rPr>
            <w:noProof/>
            <w:webHidden/>
          </w:rPr>
          <w:t>11</w:t>
        </w:r>
        <w:r w:rsidR="00163EC0">
          <w:rPr>
            <w:noProof/>
            <w:webHidden/>
          </w:rPr>
          <w:fldChar w:fldCharType="end"/>
        </w:r>
      </w:hyperlink>
    </w:p>
    <w:p w14:paraId="589F2F76" w14:textId="3C5FECB1" w:rsidR="00163EC0" w:rsidRDefault="00942EC3">
      <w:pPr>
        <w:pStyle w:val="TOC3"/>
        <w:rPr>
          <w:rFonts w:asciiTheme="minorHAnsi" w:eastAsiaTheme="minorEastAsia" w:hAnsiTheme="minorHAnsi"/>
          <w:noProof/>
          <w:kern w:val="2"/>
          <w:sz w:val="22"/>
          <w14:ligatures w14:val="standardContextual"/>
        </w:rPr>
      </w:pPr>
      <w:hyperlink w:anchor="_Toc153291135" w:history="1">
        <w:r w:rsidR="00163EC0" w:rsidRPr="00EB21AD">
          <w:rPr>
            <w:rStyle w:val="Hyperlink"/>
            <w:noProof/>
          </w:rPr>
          <w:t>An Individual Partner may Exclude Guaranteed Payments For Services Performed Overseas</w:t>
        </w:r>
        <w:r w:rsidR="00163EC0">
          <w:rPr>
            <w:noProof/>
            <w:webHidden/>
          </w:rPr>
          <w:tab/>
        </w:r>
        <w:r w:rsidR="00163EC0">
          <w:rPr>
            <w:noProof/>
            <w:webHidden/>
          </w:rPr>
          <w:fldChar w:fldCharType="begin"/>
        </w:r>
        <w:r w:rsidR="00163EC0">
          <w:rPr>
            <w:noProof/>
            <w:webHidden/>
          </w:rPr>
          <w:instrText xml:space="preserve"> PAGEREF _Toc153291135 \h </w:instrText>
        </w:r>
        <w:r w:rsidR="00163EC0">
          <w:rPr>
            <w:noProof/>
            <w:webHidden/>
          </w:rPr>
        </w:r>
        <w:r w:rsidR="00163EC0">
          <w:rPr>
            <w:noProof/>
            <w:webHidden/>
          </w:rPr>
          <w:fldChar w:fldCharType="separate"/>
        </w:r>
        <w:r>
          <w:rPr>
            <w:noProof/>
            <w:webHidden/>
          </w:rPr>
          <w:t>12</w:t>
        </w:r>
        <w:r w:rsidR="00163EC0">
          <w:rPr>
            <w:noProof/>
            <w:webHidden/>
          </w:rPr>
          <w:fldChar w:fldCharType="end"/>
        </w:r>
      </w:hyperlink>
    </w:p>
    <w:p w14:paraId="6DECB2A2" w14:textId="1A8BC104" w:rsidR="00163EC0" w:rsidRDefault="00942EC3">
      <w:pPr>
        <w:pStyle w:val="TOC3"/>
        <w:rPr>
          <w:rFonts w:asciiTheme="minorHAnsi" w:eastAsiaTheme="minorEastAsia" w:hAnsiTheme="minorHAnsi"/>
          <w:noProof/>
          <w:kern w:val="2"/>
          <w:sz w:val="22"/>
          <w14:ligatures w14:val="standardContextual"/>
        </w:rPr>
      </w:pPr>
      <w:hyperlink w:anchor="_Toc153291136" w:history="1">
        <w:r w:rsidR="00163EC0" w:rsidRPr="00EB21AD">
          <w:rPr>
            <w:rStyle w:val="Hyperlink"/>
            <w:noProof/>
          </w:rPr>
          <w:t>Amounts from Schedule 1 are then Reported on the Form 1040</w:t>
        </w:r>
        <w:r w:rsidR="00163EC0">
          <w:rPr>
            <w:noProof/>
            <w:webHidden/>
          </w:rPr>
          <w:tab/>
        </w:r>
        <w:r w:rsidR="00163EC0">
          <w:rPr>
            <w:noProof/>
            <w:webHidden/>
          </w:rPr>
          <w:fldChar w:fldCharType="begin"/>
        </w:r>
        <w:r w:rsidR="00163EC0">
          <w:rPr>
            <w:noProof/>
            <w:webHidden/>
          </w:rPr>
          <w:instrText xml:space="preserve"> PAGEREF _Toc153291136 \h </w:instrText>
        </w:r>
        <w:r w:rsidR="00163EC0">
          <w:rPr>
            <w:noProof/>
            <w:webHidden/>
          </w:rPr>
        </w:r>
        <w:r w:rsidR="00163EC0">
          <w:rPr>
            <w:noProof/>
            <w:webHidden/>
          </w:rPr>
          <w:fldChar w:fldCharType="separate"/>
        </w:r>
        <w:r>
          <w:rPr>
            <w:noProof/>
            <w:webHidden/>
          </w:rPr>
          <w:t>13</w:t>
        </w:r>
        <w:r w:rsidR="00163EC0">
          <w:rPr>
            <w:noProof/>
            <w:webHidden/>
          </w:rPr>
          <w:fldChar w:fldCharType="end"/>
        </w:r>
      </w:hyperlink>
    </w:p>
    <w:p w14:paraId="2C8DD8DB" w14:textId="6D3C98DA"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37" w:history="1">
        <w:r w:rsidR="00163EC0" w:rsidRPr="00EB21AD">
          <w:rPr>
            <w:rStyle w:val="Hyperlink"/>
            <w:noProof/>
          </w:rPr>
          <w:t>I. D.  General State Sourcing Methods</w:t>
        </w:r>
        <w:r w:rsidR="00163EC0">
          <w:rPr>
            <w:noProof/>
            <w:webHidden/>
          </w:rPr>
          <w:tab/>
        </w:r>
        <w:r w:rsidR="00163EC0">
          <w:rPr>
            <w:noProof/>
            <w:webHidden/>
          </w:rPr>
          <w:fldChar w:fldCharType="begin"/>
        </w:r>
        <w:r w:rsidR="00163EC0">
          <w:rPr>
            <w:noProof/>
            <w:webHidden/>
          </w:rPr>
          <w:instrText xml:space="preserve"> PAGEREF _Toc153291137 \h </w:instrText>
        </w:r>
        <w:r w:rsidR="00163EC0">
          <w:rPr>
            <w:noProof/>
            <w:webHidden/>
          </w:rPr>
        </w:r>
        <w:r w:rsidR="00163EC0">
          <w:rPr>
            <w:noProof/>
            <w:webHidden/>
          </w:rPr>
          <w:fldChar w:fldCharType="separate"/>
        </w:r>
        <w:r>
          <w:rPr>
            <w:noProof/>
            <w:webHidden/>
          </w:rPr>
          <w:t>14</w:t>
        </w:r>
        <w:r w:rsidR="00163EC0">
          <w:rPr>
            <w:noProof/>
            <w:webHidden/>
          </w:rPr>
          <w:fldChar w:fldCharType="end"/>
        </w:r>
      </w:hyperlink>
    </w:p>
    <w:p w14:paraId="58C50187" w14:textId="2B8D0A0B" w:rsidR="00163EC0" w:rsidRDefault="00942EC3">
      <w:pPr>
        <w:pStyle w:val="TOC3"/>
        <w:rPr>
          <w:rFonts w:asciiTheme="minorHAnsi" w:eastAsiaTheme="minorEastAsia" w:hAnsiTheme="minorHAnsi"/>
          <w:noProof/>
          <w:kern w:val="2"/>
          <w:sz w:val="22"/>
          <w14:ligatures w14:val="standardContextual"/>
        </w:rPr>
      </w:pPr>
      <w:hyperlink w:anchor="_Toc153291138" w:history="1">
        <w:r w:rsidR="00163EC0" w:rsidRPr="00EB21AD">
          <w:rPr>
            <w:rStyle w:val="Hyperlink"/>
            <w:noProof/>
          </w:rPr>
          <w:t>Two General Sourcing Methods</w:t>
        </w:r>
        <w:r w:rsidR="00163EC0">
          <w:rPr>
            <w:noProof/>
            <w:webHidden/>
          </w:rPr>
          <w:tab/>
        </w:r>
        <w:r w:rsidR="00163EC0">
          <w:rPr>
            <w:noProof/>
            <w:webHidden/>
          </w:rPr>
          <w:fldChar w:fldCharType="begin"/>
        </w:r>
        <w:r w:rsidR="00163EC0">
          <w:rPr>
            <w:noProof/>
            <w:webHidden/>
          </w:rPr>
          <w:instrText xml:space="preserve"> PAGEREF _Toc153291138 \h </w:instrText>
        </w:r>
        <w:r w:rsidR="00163EC0">
          <w:rPr>
            <w:noProof/>
            <w:webHidden/>
          </w:rPr>
        </w:r>
        <w:r w:rsidR="00163EC0">
          <w:rPr>
            <w:noProof/>
            <w:webHidden/>
          </w:rPr>
          <w:fldChar w:fldCharType="separate"/>
        </w:r>
        <w:r>
          <w:rPr>
            <w:noProof/>
            <w:webHidden/>
          </w:rPr>
          <w:t>14</w:t>
        </w:r>
        <w:r w:rsidR="00163EC0">
          <w:rPr>
            <w:noProof/>
            <w:webHidden/>
          </w:rPr>
          <w:fldChar w:fldCharType="end"/>
        </w:r>
      </w:hyperlink>
    </w:p>
    <w:p w14:paraId="18D88C2F" w14:textId="5CD492A6" w:rsidR="00163EC0" w:rsidRDefault="00942EC3">
      <w:pPr>
        <w:pStyle w:val="TOC3"/>
        <w:rPr>
          <w:rFonts w:asciiTheme="minorHAnsi" w:eastAsiaTheme="minorEastAsia" w:hAnsiTheme="minorHAnsi"/>
          <w:noProof/>
          <w:kern w:val="2"/>
          <w:sz w:val="22"/>
          <w14:ligatures w14:val="standardContextual"/>
        </w:rPr>
      </w:pPr>
      <w:hyperlink w:anchor="_Toc153291139" w:history="1">
        <w:r w:rsidR="00163EC0" w:rsidRPr="00EB21AD">
          <w:rPr>
            <w:rStyle w:val="Hyperlink"/>
            <w:noProof/>
          </w:rPr>
          <w:t>General Application to Resident and Nonresident Individuals</w:t>
        </w:r>
        <w:r w:rsidR="00163EC0">
          <w:rPr>
            <w:noProof/>
            <w:webHidden/>
          </w:rPr>
          <w:tab/>
        </w:r>
        <w:r w:rsidR="00163EC0">
          <w:rPr>
            <w:noProof/>
            <w:webHidden/>
          </w:rPr>
          <w:fldChar w:fldCharType="begin"/>
        </w:r>
        <w:r w:rsidR="00163EC0">
          <w:rPr>
            <w:noProof/>
            <w:webHidden/>
          </w:rPr>
          <w:instrText xml:space="preserve"> PAGEREF _Toc153291139 \h </w:instrText>
        </w:r>
        <w:r w:rsidR="00163EC0">
          <w:rPr>
            <w:noProof/>
            <w:webHidden/>
          </w:rPr>
        </w:r>
        <w:r w:rsidR="00163EC0">
          <w:rPr>
            <w:noProof/>
            <w:webHidden/>
          </w:rPr>
          <w:fldChar w:fldCharType="separate"/>
        </w:r>
        <w:r>
          <w:rPr>
            <w:noProof/>
            <w:webHidden/>
          </w:rPr>
          <w:t>14</w:t>
        </w:r>
        <w:r w:rsidR="00163EC0">
          <w:rPr>
            <w:noProof/>
            <w:webHidden/>
          </w:rPr>
          <w:fldChar w:fldCharType="end"/>
        </w:r>
      </w:hyperlink>
    </w:p>
    <w:p w14:paraId="4686AF61" w14:textId="52D9E830" w:rsidR="00163EC0" w:rsidRDefault="00942EC3">
      <w:pPr>
        <w:pStyle w:val="TOC3"/>
        <w:rPr>
          <w:rFonts w:asciiTheme="minorHAnsi" w:eastAsiaTheme="minorEastAsia" w:hAnsiTheme="minorHAnsi"/>
          <w:noProof/>
          <w:kern w:val="2"/>
          <w:sz w:val="22"/>
          <w14:ligatures w14:val="standardContextual"/>
        </w:rPr>
      </w:pPr>
      <w:hyperlink w:anchor="_Toc153291140" w:history="1">
        <w:r w:rsidR="00163EC0" w:rsidRPr="00EB21AD">
          <w:rPr>
            <w:rStyle w:val="Hyperlink"/>
            <w:noProof/>
          </w:rPr>
          <w:t>General Application to Partnership Related Income</w:t>
        </w:r>
        <w:r w:rsidR="00163EC0">
          <w:rPr>
            <w:noProof/>
            <w:webHidden/>
          </w:rPr>
          <w:tab/>
        </w:r>
        <w:r w:rsidR="00163EC0">
          <w:rPr>
            <w:noProof/>
            <w:webHidden/>
          </w:rPr>
          <w:fldChar w:fldCharType="begin"/>
        </w:r>
        <w:r w:rsidR="00163EC0">
          <w:rPr>
            <w:noProof/>
            <w:webHidden/>
          </w:rPr>
          <w:instrText xml:space="preserve"> PAGEREF _Toc153291140 \h </w:instrText>
        </w:r>
        <w:r w:rsidR="00163EC0">
          <w:rPr>
            <w:noProof/>
            <w:webHidden/>
          </w:rPr>
        </w:r>
        <w:r w:rsidR="00163EC0">
          <w:rPr>
            <w:noProof/>
            <w:webHidden/>
          </w:rPr>
          <w:fldChar w:fldCharType="separate"/>
        </w:r>
        <w:r>
          <w:rPr>
            <w:noProof/>
            <w:webHidden/>
          </w:rPr>
          <w:t>14</w:t>
        </w:r>
        <w:r w:rsidR="00163EC0">
          <w:rPr>
            <w:noProof/>
            <w:webHidden/>
          </w:rPr>
          <w:fldChar w:fldCharType="end"/>
        </w:r>
      </w:hyperlink>
    </w:p>
    <w:p w14:paraId="380300F1" w14:textId="73B09650" w:rsidR="00163EC0" w:rsidRDefault="00942EC3">
      <w:pPr>
        <w:pStyle w:val="TOC3"/>
        <w:rPr>
          <w:rFonts w:asciiTheme="minorHAnsi" w:eastAsiaTheme="minorEastAsia" w:hAnsiTheme="minorHAnsi"/>
          <w:noProof/>
          <w:kern w:val="2"/>
          <w:sz w:val="22"/>
          <w14:ligatures w14:val="standardContextual"/>
        </w:rPr>
      </w:pPr>
      <w:hyperlink w:anchor="_Toc153291141" w:history="1">
        <w:r w:rsidR="00163EC0" w:rsidRPr="00EB21AD">
          <w:rPr>
            <w:rStyle w:val="Hyperlink"/>
            <w:noProof/>
          </w:rPr>
          <w:t>Applying State Versus Federal Sourcing Rules to Income Taxed on a Pass-Through Basis</w:t>
        </w:r>
        <w:r w:rsidR="00163EC0">
          <w:rPr>
            <w:noProof/>
            <w:webHidden/>
          </w:rPr>
          <w:tab/>
        </w:r>
        <w:r w:rsidR="00163EC0">
          <w:rPr>
            <w:noProof/>
            <w:webHidden/>
          </w:rPr>
          <w:fldChar w:fldCharType="begin"/>
        </w:r>
        <w:r w:rsidR="00163EC0">
          <w:rPr>
            <w:noProof/>
            <w:webHidden/>
          </w:rPr>
          <w:instrText xml:space="preserve"> PAGEREF _Toc153291141 \h </w:instrText>
        </w:r>
        <w:r w:rsidR="00163EC0">
          <w:rPr>
            <w:noProof/>
            <w:webHidden/>
          </w:rPr>
        </w:r>
        <w:r w:rsidR="00163EC0">
          <w:rPr>
            <w:noProof/>
            <w:webHidden/>
          </w:rPr>
          <w:fldChar w:fldCharType="separate"/>
        </w:r>
        <w:r>
          <w:rPr>
            <w:noProof/>
            <w:webHidden/>
          </w:rPr>
          <w:t>15</w:t>
        </w:r>
        <w:r w:rsidR="00163EC0">
          <w:rPr>
            <w:noProof/>
            <w:webHidden/>
          </w:rPr>
          <w:fldChar w:fldCharType="end"/>
        </w:r>
      </w:hyperlink>
    </w:p>
    <w:p w14:paraId="6647FC2F" w14:textId="4314BFCE"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42" w:history="1">
        <w:r w:rsidR="00163EC0" w:rsidRPr="00EB21AD">
          <w:rPr>
            <w:rStyle w:val="Hyperlink"/>
            <w:noProof/>
          </w:rPr>
          <w:t>I. E. Aggregate and Entity Theories as Applied to Partnership Payments</w:t>
        </w:r>
        <w:r w:rsidR="00163EC0">
          <w:rPr>
            <w:noProof/>
            <w:webHidden/>
          </w:rPr>
          <w:tab/>
        </w:r>
        <w:r w:rsidR="00163EC0">
          <w:rPr>
            <w:noProof/>
            <w:webHidden/>
          </w:rPr>
          <w:fldChar w:fldCharType="begin"/>
        </w:r>
        <w:r w:rsidR="00163EC0">
          <w:rPr>
            <w:noProof/>
            <w:webHidden/>
          </w:rPr>
          <w:instrText xml:space="preserve"> PAGEREF _Toc153291142 \h </w:instrText>
        </w:r>
        <w:r w:rsidR="00163EC0">
          <w:rPr>
            <w:noProof/>
            <w:webHidden/>
          </w:rPr>
        </w:r>
        <w:r w:rsidR="00163EC0">
          <w:rPr>
            <w:noProof/>
            <w:webHidden/>
          </w:rPr>
          <w:fldChar w:fldCharType="separate"/>
        </w:r>
        <w:r>
          <w:rPr>
            <w:noProof/>
            <w:webHidden/>
          </w:rPr>
          <w:t>16</w:t>
        </w:r>
        <w:r w:rsidR="00163EC0">
          <w:rPr>
            <w:noProof/>
            <w:webHidden/>
          </w:rPr>
          <w:fldChar w:fldCharType="end"/>
        </w:r>
      </w:hyperlink>
    </w:p>
    <w:p w14:paraId="72A280B8" w14:textId="72134B22" w:rsidR="00163EC0" w:rsidRDefault="00942EC3">
      <w:pPr>
        <w:pStyle w:val="TOC3"/>
        <w:rPr>
          <w:rFonts w:asciiTheme="minorHAnsi" w:eastAsiaTheme="minorEastAsia" w:hAnsiTheme="minorHAnsi"/>
          <w:noProof/>
          <w:kern w:val="2"/>
          <w:sz w:val="22"/>
          <w14:ligatures w14:val="standardContextual"/>
        </w:rPr>
      </w:pPr>
      <w:hyperlink w:anchor="_Toc153291143" w:history="1">
        <w:r w:rsidR="00163EC0" w:rsidRPr="00EB21AD">
          <w:rPr>
            <w:rStyle w:val="Hyperlink"/>
            <w:noProof/>
          </w:rPr>
          <w:t>Partnership Payments</w:t>
        </w:r>
        <w:r w:rsidR="00163EC0">
          <w:rPr>
            <w:noProof/>
            <w:webHidden/>
          </w:rPr>
          <w:tab/>
        </w:r>
        <w:r w:rsidR="00163EC0">
          <w:rPr>
            <w:noProof/>
            <w:webHidden/>
          </w:rPr>
          <w:fldChar w:fldCharType="begin"/>
        </w:r>
        <w:r w:rsidR="00163EC0">
          <w:rPr>
            <w:noProof/>
            <w:webHidden/>
          </w:rPr>
          <w:instrText xml:space="preserve"> PAGEREF _Toc153291143 \h </w:instrText>
        </w:r>
        <w:r w:rsidR="00163EC0">
          <w:rPr>
            <w:noProof/>
            <w:webHidden/>
          </w:rPr>
        </w:r>
        <w:r w:rsidR="00163EC0">
          <w:rPr>
            <w:noProof/>
            <w:webHidden/>
          </w:rPr>
          <w:fldChar w:fldCharType="separate"/>
        </w:r>
        <w:r>
          <w:rPr>
            <w:noProof/>
            <w:webHidden/>
          </w:rPr>
          <w:t>16</w:t>
        </w:r>
        <w:r w:rsidR="00163EC0">
          <w:rPr>
            <w:noProof/>
            <w:webHidden/>
          </w:rPr>
          <w:fldChar w:fldCharType="end"/>
        </w:r>
      </w:hyperlink>
    </w:p>
    <w:p w14:paraId="5F311764" w14:textId="626B2F8B" w:rsidR="00163EC0" w:rsidRDefault="00942EC3">
      <w:pPr>
        <w:pStyle w:val="TOC3"/>
        <w:rPr>
          <w:rFonts w:asciiTheme="minorHAnsi" w:eastAsiaTheme="minorEastAsia" w:hAnsiTheme="minorHAnsi"/>
          <w:noProof/>
          <w:kern w:val="2"/>
          <w:sz w:val="22"/>
          <w14:ligatures w14:val="standardContextual"/>
        </w:rPr>
      </w:pPr>
      <w:hyperlink w:anchor="_Toc153291144" w:history="1">
        <w:r w:rsidR="00163EC0" w:rsidRPr="00EB21AD">
          <w:rPr>
            <w:rStyle w:val="Hyperlink"/>
            <w:noProof/>
          </w:rPr>
          <w:t>Aggregate and Entity Theories</w:t>
        </w:r>
        <w:r w:rsidR="00163EC0">
          <w:rPr>
            <w:noProof/>
            <w:webHidden/>
          </w:rPr>
          <w:tab/>
        </w:r>
        <w:r w:rsidR="00163EC0">
          <w:rPr>
            <w:noProof/>
            <w:webHidden/>
          </w:rPr>
          <w:fldChar w:fldCharType="begin"/>
        </w:r>
        <w:r w:rsidR="00163EC0">
          <w:rPr>
            <w:noProof/>
            <w:webHidden/>
          </w:rPr>
          <w:instrText xml:space="preserve"> PAGEREF _Toc153291144 \h </w:instrText>
        </w:r>
        <w:r w:rsidR="00163EC0">
          <w:rPr>
            <w:noProof/>
            <w:webHidden/>
          </w:rPr>
        </w:r>
        <w:r w:rsidR="00163EC0">
          <w:rPr>
            <w:noProof/>
            <w:webHidden/>
          </w:rPr>
          <w:fldChar w:fldCharType="separate"/>
        </w:r>
        <w:r>
          <w:rPr>
            <w:noProof/>
            <w:webHidden/>
          </w:rPr>
          <w:t>16</w:t>
        </w:r>
        <w:r w:rsidR="00163EC0">
          <w:rPr>
            <w:noProof/>
            <w:webHidden/>
          </w:rPr>
          <w:fldChar w:fldCharType="end"/>
        </w:r>
      </w:hyperlink>
    </w:p>
    <w:p w14:paraId="795B3D9A" w14:textId="72C7C696" w:rsidR="00163EC0" w:rsidRDefault="00942EC3">
      <w:pPr>
        <w:pStyle w:val="TOC3"/>
        <w:rPr>
          <w:rFonts w:asciiTheme="minorHAnsi" w:eastAsiaTheme="minorEastAsia" w:hAnsiTheme="minorHAnsi"/>
          <w:noProof/>
          <w:kern w:val="2"/>
          <w:sz w:val="22"/>
          <w14:ligatures w14:val="standardContextual"/>
        </w:rPr>
      </w:pPr>
      <w:hyperlink w:anchor="_Toc153291145" w:history="1">
        <w:r w:rsidR="00163EC0" w:rsidRPr="00EB21AD">
          <w:rPr>
            <w:rStyle w:val="Hyperlink"/>
            <w:noProof/>
          </w:rPr>
          <w:t>Distributive Share/Distributions – Aggregate Theory</w:t>
        </w:r>
        <w:r w:rsidR="00163EC0">
          <w:rPr>
            <w:noProof/>
            <w:webHidden/>
          </w:rPr>
          <w:tab/>
        </w:r>
        <w:r w:rsidR="00163EC0">
          <w:rPr>
            <w:noProof/>
            <w:webHidden/>
          </w:rPr>
          <w:fldChar w:fldCharType="begin"/>
        </w:r>
        <w:r w:rsidR="00163EC0">
          <w:rPr>
            <w:noProof/>
            <w:webHidden/>
          </w:rPr>
          <w:instrText xml:space="preserve"> PAGEREF _Toc153291145 \h </w:instrText>
        </w:r>
        <w:r w:rsidR="00163EC0">
          <w:rPr>
            <w:noProof/>
            <w:webHidden/>
          </w:rPr>
        </w:r>
        <w:r w:rsidR="00163EC0">
          <w:rPr>
            <w:noProof/>
            <w:webHidden/>
          </w:rPr>
          <w:fldChar w:fldCharType="separate"/>
        </w:r>
        <w:r>
          <w:rPr>
            <w:noProof/>
            <w:webHidden/>
          </w:rPr>
          <w:t>17</w:t>
        </w:r>
        <w:r w:rsidR="00163EC0">
          <w:rPr>
            <w:noProof/>
            <w:webHidden/>
          </w:rPr>
          <w:fldChar w:fldCharType="end"/>
        </w:r>
      </w:hyperlink>
    </w:p>
    <w:p w14:paraId="3C573AD3" w14:textId="11322636" w:rsidR="00163EC0" w:rsidRDefault="00942EC3">
      <w:pPr>
        <w:pStyle w:val="TOC3"/>
        <w:rPr>
          <w:rFonts w:asciiTheme="minorHAnsi" w:eastAsiaTheme="minorEastAsia" w:hAnsiTheme="minorHAnsi"/>
          <w:noProof/>
          <w:kern w:val="2"/>
          <w:sz w:val="22"/>
          <w14:ligatures w14:val="standardContextual"/>
        </w:rPr>
      </w:pPr>
      <w:hyperlink w:anchor="_Toc153291146" w:history="1">
        <w:r w:rsidR="00163EC0" w:rsidRPr="00EB21AD">
          <w:rPr>
            <w:rStyle w:val="Hyperlink"/>
            <w:noProof/>
          </w:rPr>
          <w:t>Partner-Partnership Transactions – Entity Theory</w:t>
        </w:r>
        <w:r w:rsidR="00163EC0">
          <w:rPr>
            <w:noProof/>
            <w:webHidden/>
          </w:rPr>
          <w:tab/>
        </w:r>
        <w:r w:rsidR="00163EC0">
          <w:rPr>
            <w:noProof/>
            <w:webHidden/>
          </w:rPr>
          <w:fldChar w:fldCharType="begin"/>
        </w:r>
        <w:r w:rsidR="00163EC0">
          <w:rPr>
            <w:noProof/>
            <w:webHidden/>
          </w:rPr>
          <w:instrText xml:space="preserve"> PAGEREF _Toc153291146 \h </w:instrText>
        </w:r>
        <w:r w:rsidR="00163EC0">
          <w:rPr>
            <w:noProof/>
            <w:webHidden/>
          </w:rPr>
        </w:r>
        <w:r w:rsidR="00163EC0">
          <w:rPr>
            <w:noProof/>
            <w:webHidden/>
          </w:rPr>
          <w:fldChar w:fldCharType="separate"/>
        </w:r>
        <w:r>
          <w:rPr>
            <w:noProof/>
            <w:webHidden/>
          </w:rPr>
          <w:t>18</w:t>
        </w:r>
        <w:r w:rsidR="00163EC0">
          <w:rPr>
            <w:noProof/>
            <w:webHidden/>
          </w:rPr>
          <w:fldChar w:fldCharType="end"/>
        </w:r>
      </w:hyperlink>
    </w:p>
    <w:p w14:paraId="7978907C" w14:textId="67818726" w:rsidR="00163EC0" w:rsidRDefault="00942EC3">
      <w:pPr>
        <w:pStyle w:val="TOC3"/>
        <w:rPr>
          <w:rFonts w:asciiTheme="minorHAnsi" w:eastAsiaTheme="minorEastAsia" w:hAnsiTheme="minorHAnsi"/>
          <w:noProof/>
          <w:kern w:val="2"/>
          <w:sz w:val="22"/>
          <w14:ligatures w14:val="standardContextual"/>
        </w:rPr>
      </w:pPr>
      <w:hyperlink w:anchor="_Toc153291147" w:history="1">
        <w:r w:rsidR="00163EC0" w:rsidRPr="00EB21AD">
          <w:rPr>
            <w:rStyle w:val="Hyperlink"/>
            <w:noProof/>
          </w:rPr>
          <w:t>Guaranteed Payments – Aggregate or Entity Theory?</w:t>
        </w:r>
        <w:r w:rsidR="00163EC0">
          <w:rPr>
            <w:noProof/>
            <w:webHidden/>
          </w:rPr>
          <w:tab/>
        </w:r>
        <w:r w:rsidR="00163EC0">
          <w:rPr>
            <w:noProof/>
            <w:webHidden/>
          </w:rPr>
          <w:fldChar w:fldCharType="begin"/>
        </w:r>
        <w:r w:rsidR="00163EC0">
          <w:rPr>
            <w:noProof/>
            <w:webHidden/>
          </w:rPr>
          <w:instrText xml:space="preserve"> PAGEREF _Toc153291147 \h </w:instrText>
        </w:r>
        <w:r w:rsidR="00163EC0">
          <w:rPr>
            <w:noProof/>
            <w:webHidden/>
          </w:rPr>
        </w:r>
        <w:r w:rsidR="00163EC0">
          <w:rPr>
            <w:noProof/>
            <w:webHidden/>
          </w:rPr>
          <w:fldChar w:fldCharType="separate"/>
        </w:r>
        <w:r>
          <w:rPr>
            <w:noProof/>
            <w:webHidden/>
          </w:rPr>
          <w:t>18</w:t>
        </w:r>
        <w:r w:rsidR="00163EC0">
          <w:rPr>
            <w:noProof/>
            <w:webHidden/>
          </w:rPr>
          <w:fldChar w:fldCharType="end"/>
        </w:r>
      </w:hyperlink>
    </w:p>
    <w:p w14:paraId="214BCB1A" w14:textId="52602CE7" w:rsidR="00163EC0" w:rsidRDefault="00942EC3">
      <w:pPr>
        <w:pStyle w:val="TOC3"/>
        <w:rPr>
          <w:rFonts w:asciiTheme="minorHAnsi" w:eastAsiaTheme="minorEastAsia" w:hAnsiTheme="minorHAnsi"/>
          <w:noProof/>
          <w:kern w:val="2"/>
          <w:sz w:val="22"/>
          <w14:ligatures w14:val="standardContextual"/>
        </w:rPr>
      </w:pPr>
      <w:hyperlink w:anchor="_Toc153291148" w:history="1">
        <w:r w:rsidR="00163EC0" w:rsidRPr="00EB21AD">
          <w:rPr>
            <w:rStyle w:val="Hyperlink"/>
            <w:noProof/>
          </w:rPr>
          <w:t>Congress’s Decision to Apply Entity Approach to Guaranteed Payments</w:t>
        </w:r>
        <w:r w:rsidR="00163EC0">
          <w:rPr>
            <w:noProof/>
            <w:webHidden/>
          </w:rPr>
          <w:tab/>
        </w:r>
        <w:r w:rsidR="00163EC0">
          <w:rPr>
            <w:noProof/>
            <w:webHidden/>
          </w:rPr>
          <w:fldChar w:fldCharType="begin"/>
        </w:r>
        <w:r w:rsidR="00163EC0">
          <w:rPr>
            <w:noProof/>
            <w:webHidden/>
          </w:rPr>
          <w:instrText xml:space="preserve"> PAGEREF _Toc153291148 \h </w:instrText>
        </w:r>
        <w:r w:rsidR="00163EC0">
          <w:rPr>
            <w:noProof/>
            <w:webHidden/>
          </w:rPr>
        </w:r>
        <w:r w:rsidR="00163EC0">
          <w:rPr>
            <w:noProof/>
            <w:webHidden/>
          </w:rPr>
          <w:fldChar w:fldCharType="separate"/>
        </w:r>
        <w:r>
          <w:rPr>
            <w:noProof/>
            <w:webHidden/>
          </w:rPr>
          <w:t>20</w:t>
        </w:r>
        <w:r w:rsidR="00163EC0">
          <w:rPr>
            <w:noProof/>
            <w:webHidden/>
          </w:rPr>
          <w:fldChar w:fldCharType="end"/>
        </w:r>
      </w:hyperlink>
    </w:p>
    <w:p w14:paraId="73BB6734" w14:textId="09DFA1D7"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49" w:history="1">
        <w:r w:rsidR="00163EC0" w:rsidRPr="00EB21AD">
          <w:rPr>
            <w:rStyle w:val="Hyperlink"/>
            <w:noProof/>
          </w:rPr>
          <w:t>I. F. How Do Aggregate or Entity Approaches Affect State Sourcing?</w:t>
        </w:r>
        <w:r w:rsidR="00163EC0">
          <w:rPr>
            <w:noProof/>
            <w:webHidden/>
          </w:rPr>
          <w:tab/>
        </w:r>
        <w:r w:rsidR="00163EC0">
          <w:rPr>
            <w:noProof/>
            <w:webHidden/>
          </w:rPr>
          <w:fldChar w:fldCharType="begin"/>
        </w:r>
        <w:r w:rsidR="00163EC0">
          <w:rPr>
            <w:noProof/>
            <w:webHidden/>
          </w:rPr>
          <w:instrText xml:space="preserve"> PAGEREF _Toc153291149 \h </w:instrText>
        </w:r>
        <w:r w:rsidR="00163EC0">
          <w:rPr>
            <w:noProof/>
            <w:webHidden/>
          </w:rPr>
        </w:r>
        <w:r w:rsidR="00163EC0">
          <w:rPr>
            <w:noProof/>
            <w:webHidden/>
          </w:rPr>
          <w:fldChar w:fldCharType="separate"/>
        </w:r>
        <w:r>
          <w:rPr>
            <w:noProof/>
            <w:webHidden/>
          </w:rPr>
          <w:t>21</w:t>
        </w:r>
        <w:r w:rsidR="00163EC0">
          <w:rPr>
            <w:noProof/>
            <w:webHidden/>
          </w:rPr>
          <w:fldChar w:fldCharType="end"/>
        </w:r>
      </w:hyperlink>
    </w:p>
    <w:p w14:paraId="77733005" w14:textId="203E9CFE" w:rsidR="00163EC0" w:rsidRDefault="00942EC3">
      <w:pPr>
        <w:pStyle w:val="TOC3"/>
        <w:rPr>
          <w:rFonts w:asciiTheme="minorHAnsi" w:eastAsiaTheme="minorEastAsia" w:hAnsiTheme="minorHAnsi"/>
          <w:noProof/>
          <w:kern w:val="2"/>
          <w:sz w:val="22"/>
          <w14:ligatures w14:val="standardContextual"/>
        </w:rPr>
      </w:pPr>
      <w:hyperlink w:anchor="_Toc153291150" w:history="1">
        <w:r w:rsidR="00163EC0" w:rsidRPr="00EB21AD">
          <w:rPr>
            <w:rStyle w:val="Hyperlink"/>
            <w:noProof/>
          </w:rPr>
          <w:t>Comparing the Sourcing of the Categories of Payments</w:t>
        </w:r>
        <w:r w:rsidR="00163EC0">
          <w:rPr>
            <w:noProof/>
            <w:webHidden/>
          </w:rPr>
          <w:tab/>
        </w:r>
        <w:r w:rsidR="00163EC0">
          <w:rPr>
            <w:noProof/>
            <w:webHidden/>
          </w:rPr>
          <w:fldChar w:fldCharType="begin"/>
        </w:r>
        <w:r w:rsidR="00163EC0">
          <w:rPr>
            <w:noProof/>
            <w:webHidden/>
          </w:rPr>
          <w:instrText xml:space="preserve"> PAGEREF _Toc153291150 \h </w:instrText>
        </w:r>
        <w:r w:rsidR="00163EC0">
          <w:rPr>
            <w:noProof/>
            <w:webHidden/>
          </w:rPr>
        </w:r>
        <w:r w:rsidR="00163EC0">
          <w:rPr>
            <w:noProof/>
            <w:webHidden/>
          </w:rPr>
          <w:fldChar w:fldCharType="separate"/>
        </w:r>
        <w:r>
          <w:rPr>
            <w:noProof/>
            <w:webHidden/>
          </w:rPr>
          <w:t>21</w:t>
        </w:r>
        <w:r w:rsidR="00163EC0">
          <w:rPr>
            <w:noProof/>
            <w:webHidden/>
          </w:rPr>
          <w:fldChar w:fldCharType="end"/>
        </w:r>
      </w:hyperlink>
    </w:p>
    <w:p w14:paraId="19063305" w14:textId="740368DE" w:rsidR="00163EC0" w:rsidRDefault="00942EC3">
      <w:pPr>
        <w:pStyle w:val="TOC3"/>
        <w:rPr>
          <w:rFonts w:asciiTheme="minorHAnsi" w:eastAsiaTheme="minorEastAsia" w:hAnsiTheme="minorHAnsi"/>
          <w:noProof/>
          <w:kern w:val="2"/>
          <w:sz w:val="22"/>
          <w14:ligatures w14:val="standardContextual"/>
        </w:rPr>
      </w:pPr>
      <w:hyperlink w:anchor="_Toc153291151" w:history="1">
        <w:r w:rsidR="00163EC0" w:rsidRPr="00EB21AD">
          <w:rPr>
            <w:rStyle w:val="Hyperlink"/>
            <w:noProof/>
          </w:rPr>
          <w:t>Why Sourcing of Guaranteed Payments May Not Follow the Entity Approach</w:t>
        </w:r>
        <w:r w:rsidR="00163EC0">
          <w:rPr>
            <w:noProof/>
            <w:webHidden/>
          </w:rPr>
          <w:tab/>
        </w:r>
        <w:r w:rsidR="00163EC0">
          <w:rPr>
            <w:noProof/>
            <w:webHidden/>
          </w:rPr>
          <w:fldChar w:fldCharType="begin"/>
        </w:r>
        <w:r w:rsidR="00163EC0">
          <w:rPr>
            <w:noProof/>
            <w:webHidden/>
          </w:rPr>
          <w:instrText xml:space="preserve"> PAGEREF _Toc153291151 \h </w:instrText>
        </w:r>
        <w:r w:rsidR="00163EC0">
          <w:rPr>
            <w:noProof/>
            <w:webHidden/>
          </w:rPr>
        </w:r>
        <w:r w:rsidR="00163EC0">
          <w:rPr>
            <w:noProof/>
            <w:webHidden/>
          </w:rPr>
          <w:fldChar w:fldCharType="separate"/>
        </w:r>
        <w:r>
          <w:rPr>
            <w:noProof/>
            <w:webHidden/>
          </w:rPr>
          <w:t>21</w:t>
        </w:r>
        <w:r w:rsidR="00163EC0">
          <w:rPr>
            <w:noProof/>
            <w:webHidden/>
          </w:rPr>
          <w:fldChar w:fldCharType="end"/>
        </w:r>
      </w:hyperlink>
    </w:p>
    <w:p w14:paraId="1DDFFC64" w14:textId="09CE2CDD"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52" w:history="1">
        <w:r w:rsidR="00163EC0" w:rsidRPr="00EB21AD">
          <w:rPr>
            <w:rStyle w:val="Hyperlink"/>
            <w:noProof/>
          </w:rPr>
          <w:t xml:space="preserve">I. G. Other Considerations – </w:t>
        </w:r>
        <w:r w:rsidR="00163EC0" w:rsidRPr="00EB21AD">
          <w:rPr>
            <w:rStyle w:val="Hyperlink"/>
            <w:noProof/>
            <w:shd w:val="clear" w:color="auto" w:fill="FFFFB9"/>
          </w:rPr>
          <w:t>Equity</w:t>
        </w:r>
        <w:r w:rsidR="00163EC0" w:rsidRPr="00EB21AD">
          <w:rPr>
            <w:rStyle w:val="Hyperlink"/>
            <w:noProof/>
          </w:rPr>
          <w:t>, Complexity, &amp; Possible Tax Avoidance</w:t>
        </w:r>
        <w:r w:rsidR="00163EC0">
          <w:rPr>
            <w:noProof/>
            <w:webHidden/>
          </w:rPr>
          <w:tab/>
        </w:r>
        <w:r w:rsidR="00163EC0">
          <w:rPr>
            <w:noProof/>
            <w:webHidden/>
          </w:rPr>
          <w:fldChar w:fldCharType="begin"/>
        </w:r>
        <w:r w:rsidR="00163EC0">
          <w:rPr>
            <w:noProof/>
            <w:webHidden/>
          </w:rPr>
          <w:instrText xml:space="preserve"> PAGEREF _Toc153291152 \h </w:instrText>
        </w:r>
        <w:r w:rsidR="00163EC0">
          <w:rPr>
            <w:noProof/>
            <w:webHidden/>
          </w:rPr>
        </w:r>
        <w:r w:rsidR="00163EC0">
          <w:rPr>
            <w:noProof/>
            <w:webHidden/>
          </w:rPr>
          <w:fldChar w:fldCharType="separate"/>
        </w:r>
        <w:r>
          <w:rPr>
            <w:noProof/>
            <w:webHidden/>
          </w:rPr>
          <w:t>22</w:t>
        </w:r>
        <w:r w:rsidR="00163EC0">
          <w:rPr>
            <w:noProof/>
            <w:webHidden/>
          </w:rPr>
          <w:fldChar w:fldCharType="end"/>
        </w:r>
      </w:hyperlink>
    </w:p>
    <w:p w14:paraId="34E25D4C" w14:textId="038AF687" w:rsidR="00163EC0" w:rsidRDefault="00942EC3">
      <w:pPr>
        <w:pStyle w:val="TOC3"/>
        <w:rPr>
          <w:rFonts w:asciiTheme="minorHAnsi" w:eastAsiaTheme="minorEastAsia" w:hAnsiTheme="minorHAnsi"/>
          <w:noProof/>
          <w:kern w:val="2"/>
          <w:sz w:val="22"/>
          <w14:ligatures w14:val="standardContextual"/>
        </w:rPr>
      </w:pPr>
      <w:hyperlink w:anchor="_Toc153291153" w:history="1">
        <w:r w:rsidR="00163EC0" w:rsidRPr="00EB21AD">
          <w:rPr>
            <w:rStyle w:val="Hyperlink"/>
            <w:noProof/>
          </w:rPr>
          <w:t>Equity</w:t>
        </w:r>
        <w:r w:rsidR="00163EC0">
          <w:rPr>
            <w:noProof/>
            <w:webHidden/>
          </w:rPr>
          <w:tab/>
        </w:r>
        <w:r w:rsidR="00163EC0">
          <w:rPr>
            <w:noProof/>
            <w:webHidden/>
          </w:rPr>
          <w:fldChar w:fldCharType="begin"/>
        </w:r>
        <w:r w:rsidR="00163EC0">
          <w:rPr>
            <w:noProof/>
            <w:webHidden/>
          </w:rPr>
          <w:instrText xml:space="preserve"> PAGEREF _Toc153291153 \h </w:instrText>
        </w:r>
        <w:r w:rsidR="00163EC0">
          <w:rPr>
            <w:noProof/>
            <w:webHidden/>
          </w:rPr>
        </w:r>
        <w:r w:rsidR="00163EC0">
          <w:rPr>
            <w:noProof/>
            <w:webHidden/>
          </w:rPr>
          <w:fldChar w:fldCharType="separate"/>
        </w:r>
        <w:r>
          <w:rPr>
            <w:noProof/>
            <w:webHidden/>
          </w:rPr>
          <w:t>22</w:t>
        </w:r>
        <w:r w:rsidR="00163EC0">
          <w:rPr>
            <w:noProof/>
            <w:webHidden/>
          </w:rPr>
          <w:fldChar w:fldCharType="end"/>
        </w:r>
      </w:hyperlink>
    </w:p>
    <w:p w14:paraId="6B2205B2" w14:textId="41DF8A9A" w:rsidR="00163EC0" w:rsidRDefault="00942EC3">
      <w:pPr>
        <w:pStyle w:val="TOC3"/>
        <w:rPr>
          <w:rFonts w:asciiTheme="minorHAnsi" w:eastAsiaTheme="minorEastAsia" w:hAnsiTheme="minorHAnsi"/>
          <w:noProof/>
          <w:kern w:val="2"/>
          <w:sz w:val="22"/>
          <w14:ligatures w14:val="standardContextual"/>
        </w:rPr>
      </w:pPr>
      <w:hyperlink w:anchor="_Toc153291154" w:history="1">
        <w:r w:rsidR="00163EC0" w:rsidRPr="00EB21AD">
          <w:rPr>
            <w:rStyle w:val="Hyperlink"/>
            <w:noProof/>
          </w:rPr>
          <w:t>Complexity</w:t>
        </w:r>
        <w:r w:rsidR="00163EC0">
          <w:rPr>
            <w:noProof/>
            <w:webHidden/>
          </w:rPr>
          <w:tab/>
        </w:r>
        <w:r w:rsidR="00163EC0">
          <w:rPr>
            <w:noProof/>
            <w:webHidden/>
          </w:rPr>
          <w:fldChar w:fldCharType="begin"/>
        </w:r>
        <w:r w:rsidR="00163EC0">
          <w:rPr>
            <w:noProof/>
            <w:webHidden/>
          </w:rPr>
          <w:instrText xml:space="preserve"> PAGEREF _Toc153291154 \h </w:instrText>
        </w:r>
        <w:r w:rsidR="00163EC0">
          <w:rPr>
            <w:noProof/>
            <w:webHidden/>
          </w:rPr>
        </w:r>
        <w:r w:rsidR="00163EC0">
          <w:rPr>
            <w:noProof/>
            <w:webHidden/>
          </w:rPr>
          <w:fldChar w:fldCharType="separate"/>
        </w:r>
        <w:r>
          <w:rPr>
            <w:noProof/>
            <w:webHidden/>
          </w:rPr>
          <w:t>22</w:t>
        </w:r>
        <w:r w:rsidR="00163EC0">
          <w:rPr>
            <w:noProof/>
            <w:webHidden/>
          </w:rPr>
          <w:fldChar w:fldCharType="end"/>
        </w:r>
      </w:hyperlink>
    </w:p>
    <w:p w14:paraId="13417CBF" w14:textId="04863B4A" w:rsidR="00163EC0" w:rsidRDefault="00942EC3">
      <w:pPr>
        <w:pStyle w:val="TOC3"/>
        <w:rPr>
          <w:rFonts w:asciiTheme="minorHAnsi" w:eastAsiaTheme="minorEastAsia" w:hAnsiTheme="minorHAnsi"/>
          <w:noProof/>
          <w:kern w:val="2"/>
          <w:sz w:val="22"/>
          <w14:ligatures w14:val="standardContextual"/>
        </w:rPr>
      </w:pPr>
      <w:hyperlink w:anchor="_Toc153291155" w:history="1">
        <w:r w:rsidR="00163EC0" w:rsidRPr="00EB21AD">
          <w:rPr>
            <w:rStyle w:val="Hyperlink"/>
            <w:noProof/>
          </w:rPr>
          <w:t>Possible Tax Avoidance - Income Shifting</w:t>
        </w:r>
        <w:r w:rsidR="00163EC0">
          <w:rPr>
            <w:noProof/>
            <w:webHidden/>
          </w:rPr>
          <w:tab/>
        </w:r>
        <w:r w:rsidR="00163EC0">
          <w:rPr>
            <w:noProof/>
            <w:webHidden/>
          </w:rPr>
          <w:fldChar w:fldCharType="begin"/>
        </w:r>
        <w:r w:rsidR="00163EC0">
          <w:rPr>
            <w:noProof/>
            <w:webHidden/>
          </w:rPr>
          <w:instrText xml:space="preserve"> PAGEREF _Toc153291155 \h </w:instrText>
        </w:r>
        <w:r w:rsidR="00163EC0">
          <w:rPr>
            <w:noProof/>
            <w:webHidden/>
          </w:rPr>
        </w:r>
        <w:r w:rsidR="00163EC0">
          <w:rPr>
            <w:noProof/>
            <w:webHidden/>
          </w:rPr>
          <w:fldChar w:fldCharType="separate"/>
        </w:r>
        <w:r>
          <w:rPr>
            <w:noProof/>
            <w:webHidden/>
          </w:rPr>
          <w:t>24</w:t>
        </w:r>
        <w:r w:rsidR="00163EC0">
          <w:rPr>
            <w:noProof/>
            <w:webHidden/>
          </w:rPr>
          <w:fldChar w:fldCharType="end"/>
        </w:r>
      </w:hyperlink>
    </w:p>
    <w:p w14:paraId="525B6142" w14:textId="26B6EFB5"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56" w:history="1">
        <w:r w:rsidR="00163EC0" w:rsidRPr="00EB21AD">
          <w:rPr>
            <w:rStyle w:val="Hyperlink"/>
            <w:noProof/>
          </w:rPr>
          <w:t>I.G. Summary</w:t>
        </w:r>
        <w:r w:rsidR="00163EC0">
          <w:rPr>
            <w:noProof/>
            <w:webHidden/>
          </w:rPr>
          <w:tab/>
        </w:r>
        <w:r w:rsidR="00163EC0">
          <w:rPr>
            <w:noProof/>
            <w:webHidden/>
          </w:rPr>
          <w:fldChar w:fldCharType="begin"/>
        </w:r>
        <w:r w:rsidR="00163EC0">
          <w:rPr>
            <w:noProof/>
            <w:webHidden/>
          </w:rPr>
          <w:instrText xml:space="preserve"> PAGEREF _Toc153291156 \h </w:instrText>
        </w:r>
        <w:r w:rsidR="00163EC0">
          <w:rPr>
            <w:noProof/>
            <w:webHidden/>
          </w:rPr>
        </w:r>
        <w:r w:rsidR="00163EC0">
          <w:rPr>
            <w:noProof/>
            <w:webHidden/>
          </w:rPr>
          <w:fldChar w:fldCharType="separate"/>
        </w:r>
        <w:r>
          <w:rPr>
            <w:noProof/>
            <w:webHidden/>
          </w:rPr>
          <w:t>24</w:t>
        </w:r>
        <w:r w:rsidR="00163EC0">
          <w:rPr>
            <w:noProof/>
            <w:webHidden/>
          </w:rPr>
          <w:fldChar w:fldCharType="end"/>
        </w:r>
      </w:hyperlink>
    </w:p>
    <w:p w14:paraId="548BF066" w14:textId="77777777" w:rsidR="00163EC0" w:rsidRDefault="00163EC0">
      <w:pPr>
        <w:spacing w:line="276" w:lineRule="auto"/>
        <w:jc w:val="left"/>
        <w:rPr>
          <w:rStyle w:val="Hyperlink"/>
          <w:b/>
          <w:bCs/>
          <w:noProof/>
          <w:sz w:val="28"/>
          <w:szCs w:val="32"/>
        </w:rPr>
      </w:pPr>
      <w:r>
        <w:rPr>
          <w:rStyle w:val="Hyperlink"/>
          <w:noProof/>
        </w:rPr>
        <w:br w:type="page"/>
      </w:r>
    </w:p>
    <w:p w14:paraId="16AF11D2" w14:textId="2AC82B02"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157" w:history="1">
        <w:r w:rsidR="00163EC0" w:rsidRPr="00EB21AD">
          <w:rPr>
            <w:rStyle w:val="Hyperlink"/>
            <w:noProof/>
          </w:rPr>
          <w:t>II: Specific Federal Rules for Guaranteed Payments</w:t>
        </w:r>
        <w:r w:rsidR="00163EC0">
          <w:rPr>
            <w:noProof/>
            <w:webHidden/>
          </w:rPr>
          <w:tab/>
        </w:r>
        <w:r w:rsidR="00163EC0">
          <w:rPr>
            <w:noProof/>
            <w:webHidden/>
          </w:rPr>
          <w:fldChar w:fldCharType="begin"/>
        </w:r>
        <w:r w:rsidR="00163EC0">
          <w:rPr>
            <w:noProof/>
            <w:webHidden/>
          </w:rPr>
          <w:instrText xml:space="preserve"> PAGEREF _Toc153291157 \h </w:instrText>
        </w:r>
        <w:r w:rsidR="00163EC0">
          <w:rPr>
            <w:noProof/>
            <w:webHidden/>
          </w:rPr>
        </w:r>
        <w:r w:rsidR="00163EC0">
          <w:rPr>
            <w:noProof/>
            <w:webHidden/>
          </w:rPr>
          <w:fldChar w:fldCharType="separate"/>
        </w:r>
        <w:r>
          <w:rPr>
            <w:noProof/>
            <w:webHidden/>
          </w:rPr>
          <w:t>25</w:t>
        </w:r>
        <w:r w:rsidR="00163EC0">
          <w:rPr>
            <w:noProof/>
            <w:webHidden/>
          </w:rPr>
          <w:fldChar w:fldCharType="end"/>
        </w:r>
      </w:hyperlink>
    </w:p>
    <w:p w14:paraId="554B6DE5" w14:textId="52C467E5"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58" w:history="1">
        <w:r w:rsidR="00163EC0" w:rsidRPr="00EB21AD">
          <w:rPr>
            <w:rStyle w:val="Hyperlink"/>
            <w:noProof/>
          </w:rPr>
          <w:t>II. A. Subchapter K</w:t>
        </w:r>
        <w:r w:rsidR="00163EC0">
          <w:rPr>
            <w:noProof/>
            <w:webHidden/>
          </w:rPr>
          <w:tab/>
        </w:r>
        <w:r w:rsidR="00163EC0">
          <w:rPr>
            <w:noProof/>
            <w:webHidden/>
          </w:rPr>
          <w:fldChar w:fldCharType="begin"/>
        </w:r>
        <w:r w:rsidR="00163EC0">
          <w:rPr>
            <w:noProof/>
            <w:webHidden/>
          </w:rPr>
          <w:instrText xml:space="preserve"> PAGEREF _Toc153291158 \h </w:instrText>
        </w:r>
        <w:r w:rsidR="00163EC0">
          <w:rPr>
            <w:noProof/>
            <w:webHidden/>
          </w:rPr>
        </w:r>
        <w:r w:rsidR="00163EC0">
          <w:rPr>
            <w:noProof/>
            <w:webHidden/>
          </w:rPr>
          <w:fldChar w:fldCharType="separate"/>
        </w:r>
        <w:r>
          <w:rPr>
            <w:noProof/>
            <w:webHidden/>
          </w:rPr>
          <w:t>25</w:t>
        </w:r>
        <w:r w:rsidR="00163EC0">
          <w:rPr>
            <w:noProof/>
            <w:webHidden/>
          </w:rPr>
          <w:fldChar w:fldCharType="end"/>
        </w:r>
      </w:hyperlink>
    </w:p>
    <w:p w14:paraId="49C3C468" w14:textId="52B84CB9" w:rsidR="00163EC0" w:rsidRDefault="00942EC3">
      <w:pPr>
        <w:pStyle w:val="TOC3"/>
        <w:rPr>
          <w:rFonts w:asciiTheme="minorHAnsi" w:eastAsiaTheme="minorEastAsia" w:hAnsiTheme="minorHAnsi"/>
          <w:noProof/>
          <w:kern w:val="2"/>
          <w:sz w:val="22"/>
          <w14:ligatures w14:val="standardContextual"/>
        </w:rPr>
      </w:pPr>
      <w:hyperlink w:anchor="_Toc153291159" w:history="1">
        <w:r w:rsidR="00163EC0" w:rsidRPr="00EB21AD">
          <w:rPr>
            <w:rStyle w:val="Hyperlink"/>
            <w:noProof/>
          </w:rPr>
          <w:t>Relevant Provisions of Subchapter K</w:t>
        </w:r>
        <w:r w:rsidR="00163EC0">
          <w:rPr>
            <w:noProof/>
            <w:webHidden/>
          </w:rPr>
          <w:tab/>
        </w:r>
        <w:r w:rsidR="00163EC0">
          <w:rPr>
            <w:noProof/>
            <w:webHidden/>
          </w:rPr>
          <w:fldChar w:fldCharType="begin"/>
        </w:r>
        <w:r w:rsidR="00163EC0">
          <w:rPr>
            <w:noProof/>
            <w:webHidden/>
          </w:rPr>
          <w:instrText xml:space="preserve"> PAGEREF _Toc153291159 \h </w:instrText>
        </w:r>
        <w:r w:rsidR="00163EC0">
          <w:rPr>
            <w:noProof/>
            <w:webHidden/>
          </w:rPr>
        </w:r>
        <w:r w:rsidR="00163EC0">
          <w:rPr>
            <w:noProof/>
            <w:webHidden/>
          </w:rPr>
          <w:fldChar w:fldCharType="separate"/>
        </w:r>
        <w:r>
          <w:rPr>
            <w:noProof/>
            <w:webHidden/>
          </w:rPr>
          <w:t>25</w:t>
        </w:r>
        <w:r w:rsidR="00163EC0">
          <w:rPr>
            <w:noProof/>
            <w:webHidden/>
          </w:rPr>
          <w:fldChar w:fldCharType="end"/>
        </w:r>
      </w:hyperlink>
    </w:p>
    <w:p w14:paraId="765297EE" w14:textId="34795C06" w:rsidR="00163EC0" w:rsidRDefault="00942EC3">
      <w:pPr>
        <w:pStyle w:val="TOC3"/>
        <w:rPr>
          <w:rFonts w:asciiTheme="minorHAnsi" w:eastAsiaTheme="minorEastAsia" w:hAnsiTheme="minorHAnsi"/>
          <w:noProof/>
          <w:kern w:val="2"/>
          <w:sz w:val="22"/>
          <w14:ligatures w14:val="standardContextual"/>
        </w:rPr>
      </w:pPr>
      <w:hyperlink w:anchor="_Toc153291160" w:history="1">
        <w:r w:rsidR="00163EC0" w:rsidRPr="00EB21AD">
          <w:rPr>
            <w:rStyle w:val="Hyperlink"/>
            <w:noProof/>
          </w:rPr>
          <w:t>Application to Different Types of Payments</w:t>
        </w:r>
        <w:r w:rsidR="00163EC0">
          <w:rPr>
            <w:noProof/>
            <w:webHidden/>
          </w:rPr>
          <w:tab/>
        </w:r>
        <w:r w:rsidR="00163EC0">
          <w:rPr>
            <w:noProof/>
            <w:webHidden/>
          </w:rPr>
          <w:fldChar w:fldCharType="begin"/>
        </w:r>
        <w:r w:rsidR="00163EC0">
          <w:rPr>
            <w:noProof/>
            <w:webHidden/>
          </w:rPr>
          <w:instrText xml:space="preserve"> PAGEREF _Toc153291160 \h </w:instrText>
        </w:r>
        <w:r w:rsidR="00163EC0">
          <w:rPr>
            <w:noProof/>
            <w:webHidden/>
          </w:rPr>
        </w:r>
        <w:r w:rsidR="00163EC0">
          <w:rPr>
            <w:noProof/>
            <w:webHidden/>
          </w:rPr>
          <w:fldChar w:fldCharType="separate"/>
        </w:r>
        <w:r>
          <w:rPr>
            <w:noProof/>
            <w:webHidden/>
          </w:rPr>
          <w:t>26</w:t>
        </w:r>
        <w:r w:rsidR="00163EC0">
          <w:rPr>
            <w:noProof/>
            <w:webHidden/>
          </w:rPr>
          <w:fldChar w:fldCharType="end"/>
        </w:r>
      </w:hyperlink>
    </w:p>
    <w:p w14:paraId="599B709B" w14:textId="6A70E599" w:rsidR="00163EC0" w:rsidRDefault="00942EC3">
      <w:pPr>
        <w:pStyle w:val="TOC3"/>
        <w:rPr>
          <w:rFonts w:asciiTheme="minorHAnsi" w:eastAsiaTheme="minorEastAsia" w:hAnsiTheme="minorHAnsi"/>
          <w:noProof/>
          <w:kern w:val="2"/>
          <w:sz w:val="22"/>
          <w14:ligatures w14:val="standardContextual"/>
        </w:rPr>
      </w:pPr>
      <w:hyperlink w:anchor="_Toc153291161" w:history="1">
        <w:r w:rsidR="00163EC0" w:rsidRPr="00EB21AD">
          <w:rPr>
            <w:rStyle w:val="Hyperlink"/>
            <w:noProof/>
          </w:rPr>
          <w:t>2015 Proposed Regulations</w:t>
        </w:r>
        <w:r w:rsidR="00163EC0">
          <w:rPr>
            <w:noProof/>
            <w:webHidden/>
          </w:rPr>
          <w:tab/>
        </w:r>
        <w:r w:rsidR="00163EC0">
          <w:rPr>
            <w:noProof/>
            <w:webHidden/>
          </w:rPr>
          <w:fldChar w:fldCharType="begin"/>
        </w:r>
        <w:r w:rsidR="00163EC0">
          <w:rPr>
            <w:noProof/>
            <w:webHidden/>
          </w:rPr>
          <w:instrText xml:space="preserve"> PAGEREF _Toc153291161 \h </w:instrText>
        </w:r>
        <w:r w:rsidR="00163EC0">
          <w:rPr>
            <w:noProof/>
            <w:webHidden/>
          </w:rPr>
        </w:r>
        <w:r w:rsidR="00163EC0">
          <w:rPr>
            <w:noProof/>
            <w:webHidden/>
          </w:rPr>
          <w:fldChar w:fldCharType="separate"/>
        </w:r>
        <w:r>
          <w:rPr>
            <w:noProof/>
            <w:webHidden/>
          </w:rPr>
          <w:t>27</w:t>
        </w:r>
        <w:r w:rsidR="00163EC0">
          <w:rPr>
            <w:noProof/>
            <w:webHidden/>
          </w:rPr>
          <w:fldChar w:fldCharType="end"/>
        </w:r>
      </w:hyperlink>
    </w:p>
    <w:p w14:paraId="3B3BE0EC" w14:textId="0FDC1C12"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62" w:history="1">
        <w:r w:rsidR="00163EC0" w:rsidRPr="00EB21AD">
          <w:rPr>
            <w:rStyle w:val="Hyperlink"/>
            <w:noProof/>
          </w:rPr>
          <w:t>II. B. Substantive Tax Rules</w:t>
        </w:r>
        <w:r w:rsidR="00163EC0">
          <w:rPr>
            <w:noProof/>
            <w:webHidden/>
          </w:rPr>
          <w:tab/>
        </w:r>
        <w:r w:rsidR="00163EC0">
          <w:rPr>
            <w:noProof/>
            <w:webHidden/>
          </w:rPr>
          <w:fldChar w:fldCharType="begin"/>
        </w:r>
        <w:r w:rsidR="00163EC0">
          <w:rPr>
            <w:noProof/>
            <w:webHidden/>
          </w:rPr>
          <w:instrText xml:space="preserve"> PAGEREF _Toc153291162 \h </w:instrText>
        </w:r>
        <w:r w:rsidR="00163EC0">
          <w:rPr>
            <w:noProof/>
            <w:webHidden/>
          </w:rPr>
        </w:r>
        <w:r w:rsidR="00163EC0">
          <w:rPr>
            <w:noProof/>
            <w:webHidden/>
          </w:rPr>
          <w:fldChar w:fldCharType="separate"/>
        </w:r>
        <w:r>
          <w:rPr>
            <w:noProof/>
            <w:webHidden/>
          </w:rPr>
          <w:t>29</w:t>
        </w:r>
        <w:r w:rsidR="00163EC0">
          <w:rPr>
            <w:noProof/>
            <w:webHidden/>
          </w:rPr>
          <w:fldChar w:fldCharType="end"/>
        </w:r>
      </w:hyperlink>
    </w:p>
    <w:p w14:paraId="033085D2" w14:textId="117852EE"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63" w:history="1">
        <w:r w:rsidR="00163EC0" w:rsidRPr="00EB21AD">
          <w:rPr>
            <w:rStyle w:val="Hyperlink"/>
            <w:noProof/>
          </w:rPr>
          <w:t>II. C. Federal Income Sourcing</w:t>
        </w:r>
        <w:r w:rsidR="00163EC0">
          <w:rPr>
            <w:noProof/>
            <w:webHidden/>
          </w:rPr>
          <w:tab/>
        </w:r>
        <w:r w:rsidR="00163EC0">
          <w:rPr>
            <w:noProof/>
            <w:webHidden/>
          </w:rPr>
          <w:fldChar w:fldCharType="begin"/>
        </w:r>
        <w:r w:rsidR="00163EC0">
          <w:rPr>
            <w:noProof/>
            <w:webHidden/>
          </w:rPr>
          <w:instrText xml:space="preserve"> PAGEREF _Toc153291163 \h </w:instrText>
        </w:r>
        <w:r w:rsidR="00163EC0">
          <w:rPr>
            <w:noProof/>
            <w:webHidden/>
          </w:rPr>
        </w:r>
        <w:r w:rsidR="00163EC0">
          <w:rPr>
            <w:noProof/>
            <w:webHidden/>
          </w:rPr>
          <w:fldChar w:fldCharType="separate"/>
        </w:r>
        <w:r>
          <w:rPr>
            <w:noProof/>
            <w:webHidden/>
          </w:rPr>
          <w:t>29</w:t>
        </w:r>
        <w:r w:rsidR="00163EC0">
          <w:rPr>
            <w:noProof/>
            <w:webHidden/>
          </w:rPr>
          <w:fldChar w:fldCharType="end"/>
        </w:r>
      </w:hyperlink>
    </w:p>
    <w:p w14:paraId="778A72B9" w14:textId="64818920"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64" w:history="1">
        <w:r w:rsidR="00163EC0" w:rsidRPr="00EB21AD">
          <w:rPr>
            <w:rStyle w:val="Hyperlink"/>
            <w:noProof/>
          </w:rPr>
          <w:t>II. D. Retirement Income</w:t>
        </w:r>
        <w:r w:rsidR="00163EC0">
          <w:rPr>
            <w:noProof/>
            <w:webHidden/>
          </w:rPr>
          <w:tab/>
        </w:r>
        <w:r w:rsidR="00163EC0">
          <w:rPr>
            <w:noProof/>
            <w:webHidden/>
          </w:rPr>
          <w:fldChar w:fldCharType="begin"/>
        </w:r>
        <w:r w:rsidR="00163EC0">
          <w:rPr>
            <w:noProof/>
            <w:webHidden/>
          </w:rPr>
          <w:instrText xml:space="preserve"> PAGEREF _Toc153291164 \h </w:instrText>
        </w:r>
        <w:r w:rsidR="00163EC0">
          <w:rPr>
            <w:noProof/>
            <w:webHidden/>
          </w:rPr>
        </w:r>
        <w:r w:rsidR="00163EC0">
          <w:rPr>
            <w:noProof/>
            <w:webHidden/>
          </w:rPr>
          <w:fldChar w:fldCharType="separate"/>
        </w:r>
        <w:r>
          <w:rPr>
            <w:noProof/>
            <w:webHidden/>
          </w:rPr>
          <w:t>30</w:t>
        </w:r>
        <w:r w:rsidR="00163EC0">
          <w:rPr>
            <w:noProof/>
            <w:webHidden/>
          </w:rPr>
          <w:fldChar w:fldCharType="end"/>
        </w:r>
      </w:hyperlink>
    </w:p>
    <w:p w14:paraId="15600E36" w14:textId="5249841E"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65" w:history="1">
        <w:r w:rsidR="00163EC0" w:rsidRPr="00EB21AD">
          <w:rPr>
            <w:rStyle w:val="Hyperlink"/>
            <w:noProof/>
          </w:rPr>
          <w:t>II. F. Summary</w:t>
        </w:r>
        <w:r w:rsidR="00163EC0">
          <w:rPr>
            <w:noProof/>
            <w:webHidden/>
          </w:rPr>
          <w:tab/>
        </w:r>
        <w:r w:rsidR="00163EC0">
          <w:rPr>
            <w:noProof/>
            <w:webHidden/>
          </w:rPr>
          <w:fldChar w:fldCharType="begin"/>
        </w:r>
        <w:r w:rsidR="00163EC0">
          <w:rPr>
            <w:noProof/>
            <w:webHidden/>
          </w:rPr>
          <w:instrText xml:space="preserve"> PAGEREF _Toc153291165 \h </w:instrText>
        </w:r>
        <w:r w:rsidR="00163EC0">
          <w:rPr>
            <w:noProof/>
            <w:webHidden/>
          </w:rPr>
        </w:r>
        <w:r w:rsidR="00163EC0">
          <w:rPr>
            <w:noProof/>
            <w:webHidden/>
          </w:rPr>
          <w:fldChar w:fldCharType="separate"/>
        </w:r>
        <w:r>
          <w:rPr>
            <w:noProof/>
            <w:webHidden/>
          </w:rPr>
          <w:t>30</w:t>
        </w:r>
        <w:r w:rsidR="00163EC0">
          <w:rPr>
            <w:noProof/>
            <w:webHidden/>
          </w:rPr>
          <w:fldChar w:fldCharType="end"/>
        </w:r>
      </w:hyperlink>
    </w:p>
    <w:p w14:paraId="210DE07F" w14:textId="61C6DF6D"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166" w:history="1">
        <w:r w:rsidR="00163EC0" w:rsidRPr="00EB21AD">
          <w:rPr>
            <w:rStyle w:val="Hyperlink"/>
            <w:noProof/>
          </w:rPr>
          <w:t>III. Amounts and Types of Guaranteed Payments</w:t>
        </w:r>
        <w:r w:rsidR="00163EC0">
          <w:rPr>
            <w:noProof/>
            <w:webHidden/>
          </w:rPr>
          <w:tab/>
        </w:r>
        <w:r w:rsidR="00163EC0">
          <w:rPr>
            <w:noProof/>
            <w:webHidden/>
          </w:rPr>
          <w:fldChar w:fldCharType="begin"/>
        </w:r>
        <w:r w:rsidR="00163EC0">
          <w:rPr>
            <w:noProof/>
            <w:webHidden/>
          </w:rPr>
          <w:instrText xml:space="preserve"> PAGEREF _Toc153291166 \h </w:instrText>
        </w:r>
        <w:r w:rsidR="00163EC0">
          <w:rPr>
            <w:noProof/>
            <w:webHidden/>
          </w:rPr>
        </w:r>
        <w:r w:rsidR="00163EC0">
          <w:rPr>
            <w:noProof/>
            <w:webHidden/>
          </w:rPr>
          <w:fldChar w:fldCharType="separate"/>
        </w:r>
        <w:r>
          <w:rPr>
            <w:noProof/>
            <w:webHidden/>
          </w:rPr>
          <w:t>31</w:t>
        </w:r>
        <w:r w:rsidR="00163EC0">
          <w:rPr>
            <w:noProof/>
            <w:webHidden/>
          </w:rPr>
          <w:fldChar w:fldCharType="end"/>
        </w:r>
      </w:hyperlink>
    </w:p>
    <w:p w14:paraId="2C6A286D" w14:textId="43D594B6" w:rsidR="00163EC0" w:rsidRDefault="00942EC3">
      <w:pPr>
        <w:pStyle w:val="TOC3"/>
        <w:tabs>
          <w:tab w:val="left" w:pos="3376"/>
        </w:tabs>
        <w:rPr>
          <w:rFonts w:asciiTheme="minorHAnsi" w:eastAsiaTheme="minorEastAsia" w:hAnsiTheme="minorHAnsi"/>
          <w:noProof/>
          <w:kern w:val="2"/>
          <w:sz w:val="22"/>
          <w14:ligatures w14:val="standardContextual"/>
        </w:rPr>
      </w:pPr>
      <w:hyperlink w:anchor="_Toc153291167" w:history="1">
        <w:r w:rsidR="00163EC0" w:rsidRPr="00EB21AD">
          <w:rPr>
            <w:rStyle w:val="Hyperlink"/>
            <w:noProof/>
          </w:rPr>
          <w:t>Percentage of Total Net Income</w:t>
        </w:r>
        <w:r w:rsidR="00163EC0">
          <w:rPr>
            <w:rFonts w:asciiTheme="minorHAnsi" w:eastAsiaTheme="minorEastAsia" w:hAnsiTheme="minorHAnsi"/>
            <w:noProof/>
            <w:kern w:val="2"/>
            <w:sz w:val="22"/>
            <w14:ligatures w14:val="standardContextual"/>
          </w:rPr>
          <w:tab/>
        </w:r>
        <w:r w:rsidR="00163EC0" w:rsidRPr="00EB21AD">
          <w:rPr>
            <w:rStyle w:val="Hyperlink"/>
            <w:noProof/>
          </w:rPr>
          <w:t xml:space="preserve">    (amounts here shown in thousands)</w:t>
        </w:r>
        <w:r w:rsidR="00163EC0">
          <w:rPr>
            <w:noProof/>
            <w:webHidden/>
          </w:rPr>
          <w:tab/>
        </w:r>
        <w:r w:rsidR="00163EC0">
          <w:rPr>
            <w:noProof/>
            <w:webHidden/>
          </w:rPr>
          <w:fldChar w:fldCharType="begin"/>
        </w:r>
        <w:r w:rsidR="00163EC0">
          <w:rPr>
            <w:noProof/>
            <w:webHidden/>
          </w:rPr>
          <w:instrText xml:space="preserve"> PAGEREF _Toc153291167 \h </w:instrText>
        </w:r>
        <w:r w:rsidR="00163EC0">
          <w:rPr>
            <w:noProof/>
            <w:webHidden/>
          </w:rPr>
        </w:r>
        <w:r w:rsidR="00163EC0">
          <w:rPr>
            <w:noProof/>
            <w:webHidden/>
          </w:rPr>
          <w:fldChar w:fldCharType="separate"/>
        </w:r>
        <w:r>
          <w:rPr>
            <w:noProof/>
            <w:webHidden/>
          </w:rPr>
          <w:t>31</w:t>
        </w:r>
        <w:r w:rsidR="00163EC0">
          <w:rPr>
            <w:noProof/>
            <w:webHidden/>
          </w:rPr>
          <w:fldChar w:fldCharType="end"/>
        </w:r>
      </w:hyperlink>
    </w:p>
    <w:p w14:paraId="7F9DB197" w14:textId="4A45A052" w:rsidR="00163EC0" w:rsidRDefault="00942EC3">
      <w:pPr>
        <w:pStyle w:val="TOC3"/>
        <w:rPr>
          <w:rFonts w:asciiTheme="minorHAnsi" w:eastAsiaTheme="minorEastAsia" w:hAnsiTheme="minorHAnsi"/>
          <w:noProof/>
          <w:kern w:val="2"/>
          <w:sz w:val="22"/>
          <w14:ligatures w14:val="standardContextual"/>
        </w:rPr>
      </w:pPr>
      <w:hyperlink w:anchor="_Toc153291168" w:history="1">
        <w:r w:rsidR="00163EC0" w:rsidRPr="00EB21AD">
          <w:rPr>
            <w:rStyle w:val="Hyperlink"/>
            <w:noProof/>
          </w:rPr>
          <w:t>Rankings by Industry</w:t>
        </w:r>
        <w:r w:rsidR="00163EC0">
          <w:rPr>
            <w:noProof/>
            <w:webHidden/>
          </w:rPr>
          <w:tab/>
        </w:r>
        <w:r w:rsidR="00163EC0">
          <w:rPr>
            <w:noProof/>
            <w:webHidden/>
          </w:rPr>
          <w:fldChar w:fldCharType="begin"/>
        </w:r>
        <w:r w:rsidR="00163EC0">
          <w:rPr>
            <w:noProof/>
            <w:webHidden/>
          </w:rPr>
          <w:instrText xml:space="preserve"> PAGEREF _Toc153291168 \h </w:instrText>
        </w:r>
        <w:r w:rsidR="00163EC0">
          <w:rPr>
            <w:noProof/>
            <w:webHidden/>
          </w:rPr>
        </w:r>
        <w:r w:rsidR="00163EC0">
          <w:rPr>
            <w:noProof/>
            <w:webHidden/>
          </w:rPr>
          <w:fldChar w:fldCharType="separate"/>
        </w:r>
        <w:r>
          <w:rPr>
            <w:noProof/>
            <w:webHidden/>
          </w:rPr>
          <w:t>31</w:t>
        </w:r>
        <w:r w:rsidR="00163EC0">
          <w:rPr>
            <w:noProof/>
            <w:webHidden/>
          </w:rPr>
          <w:fldChar w:fldCharType="end"/>
        </w:r>
      </w:hyperlink>
    </w:p>
    <w:p w14:paraId="5FB2DF72" w14:textId="494B663E" w:rsidR="00163EC0" w:rsidRDefault="00942EC3">
      <w:pPr>
        <w:pStyle w:val="TOC3"/>
        <w:rPr>
          <w:rFonts w:asciiTheme="minorHAnsi" w:eastAsiaTheme="minorEastAsia" w:hAnsiTheme="minorHAnsi"/>
          <w:noProof/>
          <w:kern w:val="2"/>
          <w:sz w:val="22"/>
          <w14:ligatures w14:val="standardContextual"/>
        </w:rPr>
      </w:pPr>
      <w:hyperlink w:anchor="_Toc153291169" w:history="1">
        <w:r w:rsidR="00163EC0" w:rsidRPr="00EB21AD">
          <w:rPr>
            <w:rStyle w:val="Hyperlink"/>
            <w:noProof/>
          </w:rPr>
          <w:t>Common Guaranteed Payments and Alternatives</w:t>
        </w:r>
        <w:r w:rsidR="00163EC0">
          <w:rPr>
            <w:noProof/>
            <w:webHidden/>
          </w:rPr>
          <w:tab/>
        </w:r>
        <w:r w:rsidR="00163EC0">
          <w:rPr>
            <w:noProof/>
            <w:webHidden/>
          </w:rPr>
          <w:fldChar w:fldCharType="begin"/>
        </w:r>
        <w:r w:rsidR="00163EC0">
          <w:rPr>
            <w:noProof/>
            <w:webHidden/>
          </w:rPr>
          <w:instrText xml:space="preserve"> PAGEREF _Toc153291169 \h </w:instrText>
        </w:r>
        <w:r w:rsidR="00163EC0">
          <w:rPr>
            <w:noProof/>
            <w:webHidden/>
          </w:rPr>
        </w:r>
        <w:r w:rsidR="00163EC0">
          <w:rPr>
            <w:noProof/>
            <w:webHidden/>
          </w:rPr>
          <w:fldChar w:fldCharType="separate"/>
        </w:r>
        <w:r>
          <w:rPr>
            <w:noProof/>
            <w:webHidden/>
          </w:rPr>
          <w:t>34</w:t>
        </w:r>
        <w:r w:rsidR="00163EC0">
          <w:rPr>
            <w:noProof/>
            <w:webHidden/>
          </w:rPr>
          <w:fldChar w:fldCharType="end"/>
        </w:r>
      </w:hyperlink>
    </w:p>
    <w:p w14:paraId="6C330056" w14:textId="0BE7EC7F"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170" w:history="1">
        <w:r w:rsidR="00163EC0" w:rsidRPr="00EB21AD">
          <w:rPr>
            <w:rStyle w:val="Hyperlink"/>
            <w:noProof/>
          </w:rPr>
          <w:t>IV. State Sourcing  and Related Rules</w:t>
        </w:r>
        <w:r w:rsidR="00163EC0">
          <w:rPr>
            <w:noProof/>
            <w:webHidden/>
          </w:rPr>
          <w:tab/>
        </w:r>
        <w:r w:rsidR="00163EC0">
          <w:rPr>
            <w:noProof/>
            <w:webHidden/>
          </w:rPr>
          <w:fldChar w:fldCharType="begin"/>
        </w:r>
        <w:r w:rsidR="00163EC0">
          <w:rPr>
            <w:noProof/>
            <w:webHidden/>
          </w:rPr>
          <w:instrText xml:space="preserve"> PAGEREF _Toc153291170 \h </w:instrText>
        </w:r>
        <w:r w:rsidR="00163EC0">
          <w:rPr>
            <w:noProof/>
            <w:webHidden/>
          </w:rPr>
        </w:r>
        <w:r w:rsidR="00163EC0">
          <w:rPr>
            <w:noProof/>
            <w:webHidden/>
          </w:rPr>
          <w:fldChar w:fldCharType="separate"/>
        </w:r>
        <w:r>
          <w:rPr>
            <w:noProof/>
            <w:webHidden/>
          </w:rPr>
          <w:t>35</w:t>
        </w:r>
        <w:r w:rsidR="00163EC0">
          <w:rPr>
            <w:noProof/>
            <w:webHidden/>
          </w:rPr>
          <w:fldChar w:fldCharType="end"/>
        </w:r>
      </w:hyperlink>
    </w:p>
    <w:p w14:paraId="7BA0E0F8" w14:textId="50E71D89"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71" w:history="1">
        <w:r w:rsidR="00163EC0" w:rsidRPr="00EB21AD">
          <w:rPr>
            <w:rStyle w:val="Hyperlink"/>
            <w:noProof/>
          </w:rPr>
          <w:t>IV. A.  Summary of Guaranteed Payment Issues Addressed by States</w:t>
        </w:r>
        <w:r w:rsidR="00163EC0">
          <w:rPr>
            <w:noProof/>
            <w:webHidden/>
          </w:rPr>
          <w:tab/>
        </w:r>
        <w:r w:rsidR="00163EC0">
          <w:rPr>
            <w:noProof/>
            <w:webHidden/>
          </w:rPr>
          <w:fldChar w:fldCharType="begin"/>
        </w:r>
        <w:r w:rsidR="00163EC0">
          <w:rPr>
            <w:noProof/>
            <w:webHidden/>
          </w:rPr>
          <w:instrText xml:space="preserve"> PAGEREF _Toc153291171 \h </w:instrText>
        </w:r>
        <w:r w:rsidR="00163EC0">
          <w:rPr>
            <w:noProof/>
            <w:webHidden/>
          </w:rPr>
        </w:r>
        <w:r w:rsidR="00163EC0">
          <w:rPr>
            <w:noProof/>
            <w:webHidden/>
          </w:rPr>
          <w:fldChar w:fldCharType="separate"/>
        </w:r>
        <w:r>
          <w:rPr>
            <w:noProof/>
            <w:webHidden/>
          </w:rPr>
          <w:t>35</w:t>
        </w:r>
        <w:r w:rsidR="00163EC0">
          <w:rPr>
            <w:noProof/>
            <w:webHidden/>
          </w:rPr>
          <w:fldChar w:fldCharType="end"/>
        </w:r>
      </w:hyperlink>
    </w:p>
    <w:p w14:paraId="65E38280" w14:textId="34696A42"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172" w:history="1">
        <w:r w:rsidR="00163EC0" w:rsidRPr="00EB21AD">
          <w:rPr>
            <w:rStyle w:val="Hyperlink"/>
            <w:rFonts w:asciiTheme="majorHAnsi" w:eastAsiaTheme="majorEastAsia" w:hAnsiTheme="majorHAnsi" w:cstheme="majorBidi"/>
            <w:b/>
            <w:noProof/>
          </w:rPr>
          <w:t>IV. B.  State Rules on Guaranteed Payments</w:t>
        </w:r>
        <w:r w:rsidR="00163EC0">
          <w:rPr>
            <w:noProof/>
            <w:webHidden/>
          </w:rPr>
          <w:tab/>
        </w:r>
        <w:r w:rsidR="00163EC0">
          <w:rPr>
            <w:noProof/>
            <w:webHidden/>
          </w:rPr>
          <w:fldChar w:fldCharType="begin"/>
        </w:r>
        <w:r w:rsidR="00163EC0">
          <w:rPr>
            <w:noProof/>
            <w:webHidden/>
          </w:rPr>
          <w:instrText xml:space="preserve"> PAGEREF _Toc153291172 \h </w:instrText>
        </w:r>
        <w:r w:rsidR="00163EC0">
          <w:rPr>
            <w:noProof/>
            <w:webHidden/>
          </w:rPr>
        </w:r>
        <w:r w:rsidR="00163EC0">
          <w:rPr>
            <w:noProof/>
            <w:webHidden/>
          </w:rPr>
          <w:fldChar w:fldCharType="separate"/>
        </w:r>
        <w:r>
          <w:rPr>
            <w:noProof/>
            <w:webHidden/>
          </w:rPr>
          <w:t>37</w:t>
        </w:r>
        <w:r w:rsidR="00163EC0">
          <w:rPr>
            <w:noProof/>
            <w:webHidden/>
          </w:rPr>
          <w:fldChar w:fldCharType="end"/>
        </w:r>
      </w:hyperlink>
    </w:p>
    <w:p w14:paraId="641264CE" w14:textId="60442076" w:rsidR="00163EC0" w:rsidRDefault="00942EC3">
      <w:pPr>
        <w:pStyle w:val="TOC3"/>
        <w:rPr>
          <w:rFonts w:asciiTheme="minorHAnsi" w:eastAsiaTheme="minorEastAsia" w:hAnsiTheme="minorHAnsi"/>
          <w:noProof/>
          <w:kern w:val="2"/>
          <w:sz w:val="22"/>
          <w14:ligatures w14:val="standardContextual"/>
        </w:rPr>
      </w:pPr>
      <w:hyperlink w:anchor="_Toc153291173" w:history="1">
        <w:r w:rsidR="00163EC0" w:rsidRPr="00EB21AD">
          <w:rPr>
            <w:rStyle w:val="Hyperlink"/>
            <w:rFonts w:ascii="Californian FB" w:eastAsia="Times New Roman" w:hAnsi="Californian FB" w:cs="Times New Roman"/>
            <w:b/>
            <w:noProof/>
          </w:rPr>
          <w:t>Alabama</w:t>
        </w:r>
        <w:r w:rsidR="00163EC0">
          <w:rPr>
            <w:noProof/>
            <w:webHidden/>
          </w:rPr>
          <w:tab/>
        </w:r>
        <w:r w:rsidR="00163EC0">
          <w:rPr>
            <w:noProof/>
            <w:webHidden/>
          </w:rPr>
          <w:fldChar w:fldCharType="begin"/>
        </w:r>
        <w:r w:rsidR="00163EC0">
          <w:rPr>
            <w:noProof/>
            <w:webHidden/>
          </w:rPr>
          <w:instrText xml:space="preserve"> PAGEREF _Toc153291173 \h </w:instrText>
        </w:r>
        <w:r w:rsidR="00163EC0">
          <w:rPr>
            <w:noProof/>
            <w:webHidden/>
          </w:rPr>
        </w:r>
        <w:r w:rsidR="00163EC0">
          <w:rPr>
            <w:noProof/>
            <w:webHidden/>
          </w:rPr>
          <w:fldChar w:fldCharType="separate"/>
        </w:r>
        <w:r>
          <w:rPr>
            <w:noProof/>
            <w:webHidden/>
          </w:rPr>
          <w:t>37</w:t>
        </w:r>
        <w:r w:rsidR="00163EC0">
          <w:rPr>
            <w:noProof/>
            <w:webHidden/>
          </w:rPr>
          <w:fldChar w:fldCharType="end"/>
        </w:r>
      </w:hyperlink>
    </w:p>
    <w:p w14:paraId="30B219CA" w14:textId="41441A21" w:rsidR="00163EC0" w:rsidRDefault="00942EC3">
      <w:pPr>
        <w:pStyle w:val="TOC3"/>
        <w:rPr>
          <w:rFonts w:asciiTheme="minorHAnsi" w:eastAsiaTheme="minorEastAsia" w:hAnsiTheme="minorHAnsi"/>
          <w:noProof/>
          <w:kern w:val="2"/>
          <w:sz w:val="22"/>
          <w14:ligatures w14:val="standardContextual"/>
        </w:rPr>
      </w:pPr>
      <w:hyperlink w:anchor="_Toc153291174" w:history="1">
        <w:r w:rsidR="00163EC0" w:rsidRPr="00EB21AD">
          <w:rPr>
            <w:rStyle w:val="Hyperlink"/>
            <w:rFonts w:ascii="Californian FB" w:eastAsia="Times New Roman" w:hAnsi="Californian FB" w:cs="Times New Roman"/>
            <w:b/>
            <w:noProof/>
          </w:rPr>
          <w:t>California</w:t>
        </w:r>
        <w:r w:rsidR="00163EC0">
          <w:rPr>
            <w:noProof/>
            <w:webHidden/>
          </w:rPr>
          <w:tab/>
        </w:r>
        <w:r w:rsidR="00163EC0">
          <w:rPr>
            <w:noProof/>
            <w:webHidden/>
          </w:rPr>
          <w:fldChar w:fldCharType="begin"/>
        </w:r>
        <w:r w:rsidR="00163EC0">
          <w:rPr>
            <w:noProof/>
            <w:webHidden/>
          </w:rPr>
          <w:instrText xml:space="preserve"> PAGEREF _Toc153291174 \h </w:instrText>
        </w:r>
        <w:r w:rsidR="00163EC0">
          <w:rPr>
            <w:noProof/>
            <w:webHidden/>
          </w:rPr>
        </w:r>
        <w:r w:rsidR="00163EC0">
          <w:rPr>
            <w:noProof/>
            <w:webHidden/>
          </w:rPr>
          <w:fldChar w:fldCharType="separate"/>
        </w:r>
        <w:r>
          <w:rPr>
            <w:noProof/>
            <w:webHidden/>
          </w:rPr>
          <w:t>37</w:t>
        </w:r>
        <w:r w:rsidR="00163EC0">
          <w:rPr>
            <w:noProof/>
            <w:webHidden/>
          </w:rPr>
          <w:fldChar w:fldCharType="end"/>
        </w:r>
      </w:hyperlink>
    </w:p>
    <w:p w14:paraId="3B9423E3" w14:textId="00644036" w:rsidR="00163EC0" w:rsidRDefault="00942EC3">
      <w:pPr>
        <w:pStyle w:val="TOC3"/>
        <w:rPr>
          <w:rFonts w:asciiTheme="minorHAnsi" w:eastAsiaTheme="minorEastAsia" w:hAnsiTheme="minorHAnsi"/>
          <w:noProof/>
          <w:kern w:val="2"/>
          <w:sz w:val="22"/>
          <w14:ligatures w14:val="standardContextual"/>
        </w:rPr>
      </w:pPr>
      <w:hyperlink w:anchor="_Toc153291175" w:history="1">
        <w:r w:rsidR="00163EC0" w:rsidRPr="00EB21AD">
          <w:rPr>
            <w:rStyle w:val="Hyperlink"/>
            <w:rFonts w:ascii="Californian FB" w:eastAsia="Times New Roman" w:hAnsi="Californian FB" w:cs="Times New Roman"/>
            <w:b/>
            <w:noProof/>
          </w:rPr>
          <w:t>Colorado</w:t>
        </w:r>
        <w:r w:rsidR="00163EC0">
          <w:rPr>
            <w:noProof/>
            <w:webHidden/>
          </w:rPr>
          <w:tab/>
        </w:r>
        <w:r w:rsidR="00163EC0">
          <w:rPr>
            <w:noProof/>
            <w:webHidden/>
          </w:rPr>
          <w:fldChar w:fldCharType="begin"/>
        </w:r>
        <w:r w:rsidR="00163EC0">
          <w:rPr>
            <w:noProof/>
            <w:webHidden/>
          </w:rPr>
          <w:instrText xml:space="preserve"> PAGEREF _Toc153291175 \h </w:instrText>
        </w:r>
        <w:r w:rsidR="00163EC0">
          <w:rPr>
            <w:noProof/>
            <w:webHidden/>
          </w:rPr>
        </w:r>
        <w:r w:rsidR="00163EC0">
          <w:rPr>
            <w:noProof/>
            <w:webHidden/>
          </w:rPr>
          <w:fldChar w:fldCharType="separate"/>
        </w:r>
        <w:r>
          <w:rPr>
            <w:noProof/>
            <w:webHidden/>
          </w:rPr>
          <w:t>39</w:t>
        </w:r>
        <w:r w:rsidR="00163EC0">
          <w:rPr>
            <w:noProof/>
            <w:webHidden/>
          </w:rPr>
          <w:fldChar w:fldCharType="end"/>
        </w:r>
      </w:hyperlink>
    </w:p>
    <w:p w14:paraId="3D319C93" w14:textId="16638FAD" w:rsidR="00163EC0" w:rsidRDefault="00942EC3">
      <w:pPr>
        <w:pStyle w:val="TOC3"/>
        <w:rPr>
          <w:rFonts w:asciiTheme="minorHAnsi" w:eastAsiaTheme="minorEastAsia" w:hAnsiTheme="minorHAnsi"/>
          <w:noProof/>
          <w:kern w:val="2"/>
          <w:sz w:val="22"/>
          <w14:ligatures w14:val="standardContextual"/>
        </w:rPr>
      </w:pPr>
      <w:hyperlink w:anchor="_Toc153291176" w:history="1">
        <w:r w:rsidR="00163EC0" w:rsidRPr="00EB21AD">
          <w:rPr>
            <w:rStyle w:val="Hyperlink"/>
            <w:rFonts w:ascii="Californian FB" w:eastAsia="Times New Roman" w:hAnsi="Californian FB" w:cs="Times New Roman"/>
            <w:b/>
            <w:noProof/>
          </w:rPr>
          <w:t>Connecticut</w:t>
        </w:r>
        <w:r w:rsidR="00163EC0">
          <w:rPr>
            <w:noProof/>
            <w:webHidden/>
          </w:rPr>
          <w:tab/>
        </w:r>
        <w:r w:rsidR="00163EC0">
          <w:rPr>
            <w:noProof/>
            <w:webHidden/>
          </w:rPr>
          <w:fldChar w:fldCharType="begin"/>
        </w:r>
        <w:r w:rsidR="00163EC0">
          <w:rPr>
            <w:noProof/>
            <w:webHidden/>
          </w:rPr>
          <w:instrText xml:space="preserve"> PAGEREF _Toc153291176 \h </w:instrText>
        </w:r>
        <w:r w:rsidR="00163EC0">
          <w:rPr>
            <w:noProof/>
            <w:webHidden/>
          </w:rPr>
        </w:r>
        <w:r w:rsidR="00163EC0">
          <w:rPr>
            <w:noProof/>
            <w:webHidden/>
          </w:rPr>
          <w:fldChar w:fldCharType="separate"/>
        </w:r>
        <w:r>
          <w:rPr>
            <w:noProof/>
            <w:webHidden/>
          </w:rPr>
          <w:t>39</w:t>
        </w:r>
        <w:r w:rsidR="00163EC0">
          <w:rPr>
            <w:noProof/>
            <w:webHidden/>
          </w:rPr>
          <w:fldChar w:fldCharType="end"/>
        </w:r>
      </w:hyperlink>
    </w:p>
    <w:p w14:paraId="33507677" w14:textId="7A8B5E37" w:rsidR="00163EC0" w:rsidRDefault="00942EC3">
      <w:pPr>
        <w:pStyle w:val="TOC3"/>
        <w:rPr>
          <w:rFonts w:asciiTheme="minorHAnsi" w:eastAsiaTheme="minorEastAsia" w:hAnsiTheme="minorHAnsi"/>
          <w:noProof/>
          <w:kern w:val="2"/>
          <w:sz w:val="22"/>
          <w14:ligatures w14:val="standardContextual"/>
        </w:rPr>
      </w:pPr>
      <w:hyperlink w:anchor="_Toc153291177" w:history="1">
        <w:r w:rsidR="00163EC0" w:rsidRPr="00EB21AD">
          <w:rPr>
            <w:rStyle w:val="Hyperlink"/>
            <w:rFonts w:ascii="Californian FB" w:eastAsia="Times New Roman" w:hAnsi="Californian FB" w:cs="Times New Roman"/>
            <w:b/>
            <w:noProof/>
          </w:rPr>
          <w:t>Georgia</w:t>
        </w:r>
        <w:r w:rsidR="00163EC0">
          <w:rPr>
            <w:noProof/>
            <w:webHidden/>
          </w:rPr>
          <w:tab/>
        </w:r>
        <w:r w:rsidR="00163EC0">
          <w:rPr>
            <w:noProof/>
            <w:webHidden/>
          </w:rPr>
          <w:fldChar w:fldCharType="begin"/>
        </w:r>
        <w:r w:rsidR="00163EC0">
          <w:rPr>
            <w:noProof/>
            <w:webHidden/>
          </w:rPr>
          <w:instrText xml:space="preserve"> PAGEREF _Toc153291177 \h </w:instrText>
        </w:r>
        <w:r w:rsidR="00163EC0">
          <w:rPr>
            <w:noProof/>
            <w:webHidden/>
          </w:rPr>
        </w:r>
        <w:r w:rsidR="00163EC0">
          <w:rPr>
            <w:noProof/>
            <w:webHidden/>
          </w:rPr>
          <w:fldChar w:fldCharType="separate"/>
        </w:r>
        <w:r>
          <w:rPr>
            <w:noProof/>
            <w:webHidden/>
          </w:rPr>
          <w:t>40</w:t>
        </w:r>
        <w:r w:rsidR="00163EC0">
          <w:rPr>
            <w:noProof/>
            <w:webHidden/>
          </w:rPr>
          <w:fldChar w:fldCharType="end"/>
        </w:r>
      </w:hyperlink>
    </w:p>
    <w:p w14:paraId="30DD7C83" w14:textId="57DAA4EC" w:rsidR="00163EC0" w:rsidRDefault="00942EC3">
      <w:pPr>
        <w:pStyle w:val="TOC3"/>
        <w:rPr>
          <w:rFonts w:asciiTheme="minorHAnsi" w:eastAsiaTheme="minorEastAsia" w:hAnsiTheme="minorHAnsi"/>
          <w:noProof/>
          <w:kern w:val="2"/>
          <w:sz w:val="22"/>
          <w14:ligatures w14:val="standardContextual"/>
        </w:rPr>
      </w:pPr>
      <w:hyperlink w:anchor="_Toc153291178" w:history="1">
        <w:r w:rsidR="00163EC0" w:rsidRPr="00EB21AD">
          <w:rPr>
            <w:rStyle w:val="Hyperlink"/>
            <w:rFonts w:ascii="Californian FB" w:eastAsia="Times New Roman" w:hAnsi="Californian FB" w:cs="Times New Roman"/>
            <w:b/>
            <w:noProof/>
          </w:rPr>
          <w:t>Idaho</w:t>
        </w:r>
        <w:r w:rsidR="00163EC0">
          <w:rPr>
            <w:noProof/>
            <w:webHidden/>
          </w:rPr>
          <w:tab/>
        </w:r>
        <w:r w:rsidR="00163EC0">
          <w:rPr>
            <w:noProof/>
            <w:webHidden/>
          </w:rPr>
          <w:fldChar w:fldCharType="begin"/>
        </w:r>
        <w:r w:rsidR="00163EC0">
          <w:rPr>
            <w:noProof/>
            <w:webHidden/>
          </w:rPr>
          <w:instrText xml:space="preserve"> PAGEREF _Toc153291178 \h </w:instrText>
        </w:r>
        <w:r w:rsidR="00163EC0">
          <w:rPr>
            <w:noProof/>
            <w:webHidden/>
          </w:rPr>
        </w:r>
        <w:r w:rsidR="00163EC0">
          <w:rPr>
            <w:noProof/>
            <w:webHidden/>
          </w:rPr>
          <w:fldChar w:fldCharType="separate"/>
        </w:r>
        <w:r>
          <w:rPr>
            <w:noProof/>
            <w:webHidden/>
          </w:rPr>
          <w:t>40</w:t>
        </w:r>
        <w:r w:rsidR="00163EC0">
          <w:rPr>
            <w:noProof/>
            <w:webHidden/>
          </w:rPr>
          <w:fldChar w:fldCharType="end"/>
        </w:r>
      </w:hyperlink>
    </w:p>
    <w:p w14:paraId="3BFE79CB" w14:textId="67362510" w:rsidR="00163EC0" w:rsidRDefault="00942EC3">
      <w:pPr>
        <w:pStyle w:val="TOC3"/>
        <w:rPr>
          <w:rFonts w:asciiTheme="minorHAnsi" w:eastAsiaTheme="minorEastAsia" w:hAnsiTheme="minorHAnsi"/>
          <w:noProof/>
          <w:kern w:val="2"/>
          <w:sz w:val="22"/>
          <w14:ligatures w14:val="standardContextual"/>
        </w:rPr>
      </w:pPr>
      <w:hyperlink w:anchor="_Toc153291179" w:history="1">
        <w:r w:rsidR="00163EC0" w:rsidRPr="00EB21AD">
          <w:rPr>
            <w:rStyle w:val="Hyperlink"/>
            <w:rFonts w:ascii="Californian FB" w:eastAsia="Times New Roman" w:hAnsi="Californian FB" w:cs="Times New Roman"/>
            <w:b/>
            <w:noProof/>
          </w:rPr>
          <w:t>Illinois</w:t>
        </w:r>
        <w:r w:rsidR="00163EC0">
          <w:rPr>
            <w:noProof/>
            <w:webHidden/>
          </w:rPr>
          <w:tab/>
        </w:r>
        <w:r w:rsidR="00163EC0">
          <w:rPr>
            <w:noProof/>
            <w:webHidden/>
          </w:rPr>
          <w:fldChar w:fldCharType="begin"/>
        </w:r>
        <w:r w:rsidR="00163EC0">
          <w:rPr>
            <w:noProof/>
            <w:webHidden/>
          </w:rPr>
          <w:instrText xml:space="preserve"> PAGEREF _Toc153291179 \h </w:instrText>
        </w:r>
        <w:r w:rsidR="00163EC0">
          <w:rPr>
            <w:noProof/>
            <w:webHidden/>
          </w:rPr>
        </w:r>
        <w:r w:rsidR="00163EC0">
          <w:rPr>
            <w:noProof/>
            <w:webHidden/>
          </w:rPr>
          <w:fldChar w:fldCharType="separate"/>
        </w:r>
        <w:r>
          <w:rPr>
            <w:noProof/>
            <w:webHidden/>
          </w:rPr>
          <w:t>40</w:t>
        </w:r>
        <w:r w:rsidR="00163EC0">
          <w:rPr>
            <w:noProof/>
            <w:webHidden/>
          </w:rPr>
          <w:fldChar w:fldCharType="end"/>
        </w:r>
      </w:hyperlink>
    </w:p>
    <w:p w14:paraId="2C93302C" w14:textId="5202FB26" w:rsidR="00163EC0" w:rsidRDefault="00942EC3">
      <w:pPr>
        <w:pStyle w:val="TOC3"/>
        <w:rPr>
          <w:rFonts w:asciiTheme="minorHAnsi" w:eastAsiaTheme="minorEastAsia" w:hAnsiTheme="minorHAnsi"/>
          <w:noProof/>
          <w:kern w:val="2"/>
          <w:sz w:val="22"/>
          <w14:ligatures w14:val="standardContextual"/>
        </w:rPr>
      </w:pPr>
      <w:hyperlink w:anchor="_Toc153291180" w:history="1">
        <w:r w:rsidR="00163EC0" w:rsidRPr="00EB21AD">
          <w:rPr>
            <w:rStyle w:val="Hyperlink"/>
            <w:rFonts w:ascii="Californian FB" w:eastAsia="Times New Roman" w:hAnsi="Californian FB" w:cs="Times New Roman"/>
            <w:b/>
            <w:noProof/>
          </w:rPr>
          <w:t>Indiana</w:t>
        </w:r>
        <w:r w:rsidR="00163EC0">
          <w:rPr>
            <w:noProof/>
            <w:webHidden/>
          </w:rPr>
          <w:tab/>
        </w:r>
        <w:r w:rsidR="00163EC0">
          <w:rPr>
            <w:noProof/>
            <w:webHidden/>
          </w:rPr>
          <w:fldChar w:fldCharType="begin"/>
        </w:r>
        <w:r w:rsidR="00163EC0">
          <w:rPr>
            <w:noProof/>
            <w:webHidden/>
          </w:rPr>
          <w:instrText xml:space="preserve"> PAGEREF _Toc153291180 \h </w:instrText>
        </w:r>
        <w:r w:rsidR="00163EC0">
          <w:rPr>
            <w:noProof/>
            <w:webHidden/>
          </w:rPr>
        </w:r>
        <w:r w:rsidR="00163EC0">
          <w:rPr>
            <w:noProof/>
            <w:webHidden/>
          </w:rPr>
          <w:fldChar w:fldCharType="separate"/>
        </w:r>
        <w:r>
          <w:rPr>
            <w:noProof/>
            <w:webHidden/>
          </w:rPr>
          <w:t>41</w:t>
        </w:r>
        <w:r w:rsidR="00163EC0">
          <w:rPr>
            <w:noProof/>
            <w:webHidden/>
          </w:rPr>
          <w:fldChar w:fldCharType="end"/>
        </w:r>
      </w:hyperlink>
    </w:p>
    <w:p w14:paraId="25ABD024" w14:textId="0E581B8C" w:rsidR="00163EC0" w:rsidRDefault="00942EC3">
      <w:pPr>
        <w:pStyle w:val="TOC3"/>
        <w:rPr>
          <w:rFonts w:asciiTheme="minorHAnsi" w:eastAsiaTheme="minorEastAsia" w:hAnsiTheme="minorHAnsi"/>
          <w:noProof/>
          <w:kern w:val="2"/>
          <w:sz w:val="22"/>
          <w14:ligatures w14:val="standardContextual"/>
        </w:rPr>
      </w:pPr>
      <w:hyperlink w:anchor="_Toc153291181" w:history="1">
        <w:r w:rsidR="00163EC0" w:rsidRPr="00EB21AD">
          <w:rPr>
            <w:rStyle w:val="Hyperlink"/>
            <w:rFonts w:ascii="Californian FB" w:eastAsia="Times New Roman" w:hAnsi="Californian FB" w:cs="Times New Roman"/>
            <w:b/>
            <w:noProof/>
          </w:rPr>
          <w:t>Kansas</w:t>
        </w:r>
        <w:r w:rsidR="00163EC0">
          <w:rPr>
            <w:noProof/>
            <w:webHidden/>
          </w:rPr>
          <w:tab/>
        </w:r>
        <w:r w:rsidR="00163EC0">
          <w:rPr>
            <w:noProof/>
            <w:webHidden/>
          </w:rPr>
          <w:fldChar w:fldCharType="begin"/>
        </w:r>
        <w:r w:rsidR="00163EC0">
          <w:rPr>
            <w:noProof/>
            <w:webHidden/>
          </w:rPr>
          <w:instrText xml:space="preserve"> PAGEREF _Toc153291181 \h </w:instrText>
        </w:r>
        <w:r w:rsidR="00163EC0">
          <w:rPr>
            <w:noProof/>
            <w:webHidden/>
          </w:rPr>
        </w:r>
        <w:r w:rsidR="00163EC0">
          <w:rPr>
            <w:noProof/>
            <w:webHidden/>
          </w:rPr>
          <w:fldChar w:fldCharType="separate"/>
        </w:r>
        <w:r>
          <w:rPr>
            <w:noProof/>
            <w:webHidden/>
          </w:rPr>
          <w:t>41</w:t>
        </w:r>
        <w:r w:rsidR="00163EC0">
          <w:rPr>
            <w:noProof/>
            <w:webHidden/>
          </w:rPr>
          <w:fldChar w:fldCharType="end"/>
        </w:r>
      </w:hyperlink>
    </w:p>
    <w:p w14:paraId="4B5CCBD8" w14:textId="6BD2CC11" w:rsidR="00163EC0" w:rsidRDefault="00942EC3">
      <w:pPr>
        <w:pStyle w:val="TOC3"/>
        <w:rPr>
          <w:rFonts w:asciiTheme="minorHAnsi" w:eastAsiaTheme="minorEastAsia" w:hAnsiTheme="minorHAnsi"/>
          <w:noProof/>
          <w:kern w:val="2"/>
          <w:sz w:val="22"/>
          <w14:ligatures w14:val="standardContextual"/>
        </w:rPr>
      </w:pPr>
      <w:hyperlink w:anchor="_Toc153291182" w:history="1">
        <w:r w:rsidR="00163EC0" w:rsidRPr="00EB21AD">
          <w:rPr>
            <w:rStyle w:val="Hyperlink"/>
            <w:rFonts w:ascii="Californian FB" w:eastAsia="Times New Roman" w:hAnsi="Californian FB" w:cs="Times New Roman"/>
            <w:b/>
            <w:noProof/>
          </w:rPr>
          <w:t>Maine</w:t>
        </w:r>
        <w:r w:rsidR="00163EC0">
          <w:rPr>
            <w:noProof/>
            <w:webHidden/>
          </w:rPr>
          <w:tab/>
        </w:r>
        <w:r w:rsidR="00163EC0">
          <w:rPr>
            <w:noProof/>
            <w:webHidden/>
          </w:rPr>
          <w:fldChar w:fldCharType="begin"/>
        </w:r>
        <w:r w:rsidR="00163EC0">
          <w:rPr>
            <w:noProof/>
            <w:webHidden/>
          </w:rPr>
          <w:instrText xml:space="preserve"> PAGEREF _Toc153291182 \h </w:instrText>
        </w:r>
        <w:r w:rsidR="00163EC0">
          <w:rPr>
            <w:noProof/>
            <w:webHidden/>
          </w:rPr>
        </w:r>
        <w:r w:rsidR="00163EC0">
          <w:rPr>
            <w:noProof/>
            <w:webHidden/>
          </w:rPr>
          <w:fldChar w:fldCharType="separate"/>
        </w:r>
        <w:r>
          <w:rPr>
            <w:noProof/>
            <w:webHidden/>
          </w:rPr>
          <w:t>41</w:t>
        </w:r>
        <w:r w:rsidR="00163EC0">
          <w:rPr>
            <w:noProof/>
            <w:webHidden/>
          </w:rPr>
          <w:fldChar w:fldCharType="end"/>
        </w:r>
      </w:hyperlink>
    </w:p>
    <w:p w14:paraId="42050458" w14:textId="36D91A56" w:rsidR="00163EC0" w:rsidRDefault="00942EC3">
      <w:pPr>
        <w:pStyle w:val="TOC3"/>
        <w:rPr>
          <w:rFonts w:asciiTheme="minorHAnsi" w:eastAsiaTheme="minorEastAsia" w:hAnsiTheme="minorHAnsi"/>
          <w:noProof/>
          <w:kern w:val="2"/>
          <w:sz w:val="22"/>
          <w14:ligatures w14:val="standardContextual"/>
        </w:rPr>
      </w:pPr>
      <w:hyperlink w:anchor="_Toc153291183" w:history="1">
        <w:r w:rsidR="00163EC0" w:rsidRPr="00EB21AD">
          <w:rPr>
            <w:rStyle w:val="Hyperlink"/>
            <w:rFonts w:ascii="Californian FB" w:eastAsia="Times New Roman" w:hAnsi="Californian FB" w:cs="Times New Roman"/>
            <w:b/>
            <w:noProof/>
          </w:rPr>
          <w:t>Maryland</w:t>
        </w:r>
        <w:r w:rsidR="00163EC0">
          <w:rPr>
            <w:noProof/>
            <w:webHidden/>
          </w:rPr>
          <w:tab/>
        </w:r>
        <w:r w:rsidR="00163EC0">
          <w:rPr>
            <w:noProof/>
            <w:webHidden/>
          </w:rPr>
          <w:fldChar w:fldCharType="begin"/>
        </w:r>
        <w:r w:rsidR="00163EC0">
          <w:rPr>
            <w:noProof/>
            <w:webHidden/>
          </w:rPr>
          <w:instrText xml:space="preserve"> PAGEREF _Toc153291183 \h </w:instrText>
        </w:r>
        <w:r w:rsidR="00163EC0">
          <w:rPr>
            <w:noProof/>
            <w:webHidden/>
          </w:rPr>
        </w:r>
        <w:r w:rsidR="00163EC0">
          <w:rPr>
            <w:noProof/>
            <w:webHidden/>
          </w:rPr>
          <w:fldChar w:fldCharType="separate"/>
        </w:r>
        <w:r>
          <w:rPr>
            <w:noProof/>
            <w:webHidden/>
          </w:rPr>
          <w:t>41</w:t>
        </w:r>
        <w:r w:rsidR="00163EC0">
          <w:rPr>
            <w:noProof/>
            <w:webHidden/>
          </w:rPr>
          <w:fldChar w:fldCharType="end"/>
        </w:r>
      </w:hyperlink>
    </w:p>
    <w:p w14:paraId="55848CDE" w14:textId="04F6A09B" w:rsidR="00163EC0" w:rsidRDefault="00942EC3">
      <w:pPr>
        <w:pStyle w:val="TOC3"/>
        <w:rPr>
          <w:rFonts w:asciiTheme="minorHAnsi" w:eastAsiaTheme="minorEastAsia" w:hAnsiTheme="minorHAnsi"/>
          <w:noProof/>
          <w:kern w:val="2"/>
          <w:sz w:val="22"/>
          <w14:ligatures w14:val="standardContextual"/>
        </w:rPr>
      </w:pPr>
      <w:hyperlink w:anchor="_Toc153291184" w:history="1">
        <w:r w:rsidR="00163EC0" w:rsidRPr="00EB21AD">
          <w:rPr>
            <w:rStyle w:val="Hyperlink"/>
            <w:rFonts w:ascii="Californian FB" w:eastAsia="Times New Roman" w:hAnsi="Californian FB" w:cs="Times New Roman"/>
            <w:b/>
            <w:noProof/>
          </w:rPr>
          <w:t>Massachusetts</w:t>
        </w:r>
        <w:r w:rsidR="00163EC0">
          <w:rPr>
            <w:noProof/>
            <w:webHidden/>
          </w:rPr>
          <w:tab/>
        </w:r>
        <w:r w:rsidR="00163EC0">
          <w:rPr>
            <w:noProof/>
            <w:webHidden/>
          </w:rPr>
          <w:fldChar w:fldCharType="begin"/>
        </w:r>
        <w:r w:rsidR="00163EC0">
          <w:rPr>
            <w:noProof/>
            <w:webHidden/>
          </w:rPr>
          <w:instrText xml:space="preserve"> PAGEREF _Toc153291184 \h </w:instrText>
        </w:r>
        <w:r w:rsidR="00163EC0">
          <w:rPr>
            <w:noProof/>
            <w:webHidden/>
          </w:rPr>
        </w:r>
        <w:r w:rsidR="00163EC0">
          <w:rPr>
            <w:noProof/>
            <w:webHidden/>
          </w:rPr>
          <w:fldChar w:fldCharType="separate"/>
        </w:r>
        <w:r>
          <w:rPr>
            <w:noProof/>
            <w:webHidden/>
          </w:rPr>
          <w:t>41</w:t>
        </w:r>
        <w:r w:rsidR="00163EC0">
          <w:rPr>
            <w:noProof/>
            <w:webHidden/>
          </w:rPr>
          <w:fldChar w:fldCharType="end"/>
        </w:r>
      </w:hyperlink>
    </w:p>
    <w:p w14:paraId="591D05E0" w14:textId="25C50E38" w:rsidR="00163EC0" w:rsidRDefault="00942EC3">
      <w:pPr>
        <w:pStyle w:val="TOC3"/>
        <w:rPr>
          <w:rFonts w:asciiTheme="minorHAnsi" w:eastAsiaTheme="minorEastAsia" w:hAnsiTheme="minorHAnsi"/>
          <w:noProof/>
          <w:kern w:val="2"/>
          <w:sz w:val="22"/>
          <w14:ligatures w14:val="standardContextual"/>
        </w:rPr>
      </w:pPr>
      <w:hyperlink w:anchor="_Toc153291185" w:history="1">
        <w:r w:rsidR="00163EC0" w:rsidRPr="00EB21AD">
          <w:rPr>
            <w:rStyle w:val="Hyperlink"/>
            <w:rFonts w:ascii="Californian FB" w:eastAsia="Times New Roman" w:hAnsi="Californian FB" w:cs="Times New Roman"/>
            <w:b/>
            <w:noProof/>
          </w:rPr>
          <w:t>Michigan</w:t>
        </w:r>
        <w:r w:rsidR="00163EC0">
          <w:rPr>
            <w:noProof/>
            <w:webHidden/>
          </w:rPr>
          <w:tab/>
        </w:r>
        <w:r w:rsidR="00163EC0">
          <w:rPr>
            <w:noProof/>
            <w:webHidden/>
          </w:rPr>
          <w:fldChar w:fldCharType="begin"/>
        </w:r>
        <w:r w:rsidR="00163EC0">
          <w:rPr>
            <w:noProof/>
            <w:webHidden/>
          </w:rPr>
          <w:instrText xml:space="preserve"> PAGEREF _Toc153291185 \h </w:instrText>
        </w:r>
        <w:r w:rsidR="00163EC0">
          <w:rPr>
            <w:noProof/>
            <w:webHidden/>
          </w:rPr>
        </w:r>
        <w:r w:rsidR="00163EC0">
          <w:rPr>
            <w:noProof/>
            <w:webHidden/>
          </w:rPr>
          <w:fldChar w:fldCharType="separate"/>
        </w:r>
        <w:r>
          <w:rPr>
            <w:noProof/>
            <w:webHidden/>
          </w:rPr>
          <w:t>42</w:t>
        </w:r>
        <w:r w:rsidR="00163EC0">
          <w:rPr>
            <w:noProof/>
            <w:webHidden/>
          </w:rPr>
          <w:fldChar w:fldCharType="end"/>
        </w:r>
      </w:hyperlink>
    </w:p>
    <w:p w14:paraId="49774B6D" w14:textId="2C9A916E" w:rsidR="00163EC0" w:rsidRDefault="00942EC3">
      <w:pPr>
        <w:pStyle w:val="TOC3"/>
        <w:rPr>
          <w:rFonts w:asciiTheme="minorHAnsi" w:eastAsiaTheme="minorEastAsia" w:hAnsiTheme="minorHAnsi"/>
          <w:noProof/>
          <w:kern w:val="2"/>
          <w:sz w:val="22"/>
          <w14:ligatures w14:val="standardContextual"/>
        </w:rPr>
      </w:pPr>
      <w:hyperlink w:anchor="_Toc153291186" w:history="1">
        <w:r w:rsidR="00163EC0" w:rsidRPr="00EB21AD">
          <w:rPr>
            <w:rStyle w:val="Hyperlink"/>
            <w:rFonts w:ascii="Californian FB" w:eastAsia="Times New Roman" w:hAnsi="Californian FB" w:cs="Times New Roman"/>
            <w:b/>
            <w:noProof/>
          </w:rPr>
          <w:t>Minnesota</w:t>
        </w:r>
        <w:r w:rsidR="00163EC0">
          <w:rPr>
            <w:noProof/>
            <w:webHidden/>
          </w:rPr>
          <w:tab/>
        </w:r>
        <w:r w:rsidR="00163EC0">
          <w:rPr>
            <w:noProof/>
            <w:webHidden/>
          </w:rPr>
          <w:fldChar w:fldCharType="begin"/>
        </w:r>
        <w:r w:rsidR="00163EC0">
          <w:rPr>
            <w:noProof/>
            <w:webHidden/>
          </w:rPr>
          <w:instrText xml:space="preserve"> PAGEREF _Toc153291186 \h </w:instrText>
        </w:r>
        <w:r w:rsidR="00163EC0">
          <w:rPr>
            <w:noProof/>
            <w:webHidden/>
          </w:rPr>
        </w:r>
        <w:r w:rsidR="00163EC0">
          <w:rPr>
            <w:noProof/>
            <w:webHidden/>
          </w:rPr>
          <w:fldChar w:fldCharType="separate"/>
        </w:r>
        <w:r>
          <w:rPr>
            <w:noProof/>
            <w:webHidden/>
          </w:rPr>
          <w:t>42</w:t>
        </w:r>
        <w:r w:rsidR="00163EC0">
          <w:rPr>
            <w:noProof/>
            <w:webHidden/>
          </w:rPr>
          <w:fldChar w:fldCharType="end"/>
        </w:r>
      </w:hyperlink>
    </w:p>
    <w:p w14:paraId="00956167" w14:textId="1FF72E5D" w:rsidR="00163EC0" w:rsidRDefault="00942EC3">
      <w:pPr>
        <w:pStyle w:val="TOC3"/>
        <w:rPr>
          <w:rFonts w:asciiTheme="minorHAnsi" w:eastAsiaTheme="minorEastAsia" w:hAnsiTheme="minorHAnsi"/>
          <w:noProof/>
          <w:kern w:val="2"/>
          <w:sz w:val="22"/>
          <w14:ligatures w14:val="standardContextual"/>
        </w:rPr>
      </w:pPr>
      <w:hyperlink w:anchor="_Toc153291187" w:history="1">
        <w:r w:rsidR="00163EC0" w:rsidRPr="00EB21AD">
          <w:rPr>
            <w:rStyle w:val="Hyperlink"/>
            <w:rFonts w:ascii="Californian FB" w:eastAsia="Times New Roman" w:hAnsi="Californian FB" w:cs="Times New Roman"/>
            <w:b/>
            <w:noProof/>
          </w:rPr>
          <w:t>Mississippi</w:t>
        </w:r>
        <w:r w:rsidR="00163EC0">
          <w:rPr>
            <w:noProof/>
            <w:webHidden/>
          </w:rPr>
          <w:tab/>
        </w:r>
        <w:r w:rsidR="00163EC0">
          <w:rPr>
            <w:noProof/>
            <w:webHidden/>
          </w:rPr>
          <w:fldChar w:fldCharType="begin"/>
        </w:r>
        <w:r w:rsidR="00163EC0">
          <w:rPr>
            <w:noProof/>
            <w:webHidden/>
          </w:rPr>
          <w:instrText xml:space="preserve"> PAGEREF _Toc153291187 \h </w:instrText>
        </w:r>
        <w:r w:rsidR="00163EC0">
          <w:rPr>
            <w:noProof/>
            <w:webHidden/>
          </w:rPr>
        </w:r>
        <w:r w:rsidR="00163EC0">
          <w:rPr>
            <w:noProof/>
            <w:webHidden/>
          </w:rPr>
          <w:fldChar w:fldCharType="separate"/>
        </w:r>
        <w:r>
          <w:rPr>
            <w:noProof/>
            <w:webHidden/>
          </w:rPr>
          <w:t>43</w:t>
        </w:r>
        <w:r w:rsidR="00163EC0">
          <w:rPr>
            <w:noProof/>
            <w:webHidden/>
          </w:rPr>
          <w:fldChar w:fldCharType="end"/>
        </w:r>
      </w:hyperlink>
    </w:p>
    <w:p w14:paraId="7DC666DC" w14:textId="52B9B196" w:rsidR="00163EC0" w:rsidRDefault="00942EC3">
      <w:pPr>
        <w:pStyle w:val="TOC3"/>
        <w:rPr>
          <w:rFonts w:asciiTheme="minorHAnsi" w:eastAsiaTheme="minorEastAsia" w:hAnsiTheme="minorHAnsi"/>
          <w:noProof/>
          <w:kern w:val="2"/>
          <w:sz w:val="22"/>
          <w14:ligatures w14:val="standardContextual"/>
        </w:rPr>
      </w:pPr>
      <w:hyperlink w:anchor="_Toc153291188" w:history="1">
        <w:r w:rsidR="00163EC0" w:rsidRPr="00EB21AD">
          <w:rPr>
            <w:rStyle w:val="Hyperlink"/>
            <w:rFonts w:ascii="Californian FB" w:eastAsia="Times New Roman" w:hAnsi="Californian FB" w:cs="Times New Roman"/>
            <w:b/>
            <w:noProof/>
          </w:rPr>
          <w:t>Missouri</w:t>
        </w:r>
        <w:r w:rsidR="00163EC0">
          <w:rPr>
            <w:noProof/>
            <w:webHidden/>
          </w:rPr>
          <w:tab/>
        </w:r>
        <w:r w:rsidR="00163EC0">
          <w:rPr>
            <w:noProof/>
            <w:webHidden/>
          </w:rPr>
          <w:fldChar w:fldCharType="begin"/>
        </w:r>
        <w:r w:rsidR="00163EC0">
          <w:rPr>
            <w:noProof/>
            <w:webHidden/>
          </w:rPr>
          <w:instrText xml:space="preserve"> PAGEREF _Toc153291188 \h </w:instrText>
        </w:r>
        <w:r w:rsidR="00163EC0">
          <w:rPr>
            <w:noProof/>
            <w:webHidden/>
          </w:rPr>
        </w:r>
        <w:r w:rsidR="00163EC0">
          <w:rPr>
            <w:noProof/>
            <w:webHidden/>
          </w:rPr>
          <w:fldChar w:fldCharType="separate"/>
        </w:r>
        <w:r>
          <w:rPr>
            <w:noProof/>
            <w:webHidden/>
          </w:rPr>
          <w:t>43</w:t>
        </w:r>
        <w:r w:rsidR="00163EC0">
          <w:rPr>
            <w:noProof/>
            <w:webHidden/>
          </w:rPr>
          <w:fldChar w:fldCharType="end"/>
        </w:r>
      </w:hyperlink>
    </w:p>
    <w:p w14:paraId="3F64F9D6" w14:textId="4F36732E" w:rsidR="00163EC0" w:rsidRDefault="00942EC3">
      <w:pPr>
        <w:pStyle w:val="TOC3"/>
        <w:rPr>
          <w:rFonts w:asciiTheme="minorHAnsi" w:eastAsiaTheme="minorEastAsia" w:hAnsiTheme="minorHAnsi"/>
          <w:noProof/>
          <w:kern w:val="2"/>
          <w:sz w:val="22"/>
          <w14:ligatures w14:val="standardContextual"/>
        </w:rPr>
      </w:pPr>
      <w:hyperlink w:anchor="_Toc153291189" w:history="1">
        <w:r w:rsidR="00163EC0" w:rsidRPr="00EB21AD">
          <w:rPr>
            <w:rStyle w:val="Hyperlink"/>
            <w:rFonts w:ascii="Californian FB" w:eastAsia="Times New Roman" w:hAnsi="Californian FB" w:cs="Times New Roman"/>
            <w:b/>
            <w:noProof/>
          </w:rPr>
          <w:t>Montana</w:t>
        </w:r>
        <w:r w:rsidR="00163EC0">
          <w:rPr>
            <w:noProof/>
            <w:webHidden/>
          </w:rPr>
          <w:tab/>
        </w:r>
        <w:r w:rsidR="00163EC0">
          <w:rPr>
            <w:noProof/>
            <w:webHidden/>
          </w:rPr>
          <w:fldChar w:fldCharType="begin"/>
        </w:r>
        <w:r w:rsidR="00163EC0">
          <w:rPr>
            <w:noProof/>
            <w:webHidden/>
          </w:rPr>
          <w:instrText xml:space="preserve"> PAGEREF _Toc153291189 \h </w:instrText>
        </w:r>
        <w:r w:rsidR="00163EC0">
          <w:rPr>
            <w:noProof/>
            <w:webHidden/>
          </w:rPr>
        </w:r>
        <w:r w:rsidR="00163EC0">
          <w:rPr>
            <w:noProof/>
            <w:webHidden/>
          </w:rPr>
          <w:fldChar w:fldCharType="separate"/>
        </w:r>
        <w:r>
          <w:rPr>
            <w:noProof/>
            <w:webHidden/>
          </w:rPr>
          <w:t>43</w:t>
        </w:r>
        <w:r w:rsidR="00163EC0">
          <w:rPr>
            <w:noProof/>
            <w:webHidden/>
          </w:rPr>
          <w:fldChar w:fldCharType="end"/>
        </w:r>
      </w:hyperlink>
    </w:p>
    <w:p w14:paraId="1FD16C1F" w14:textId="13094E4D" w:rsidR="00163EC0" w:rsidRDefault="00942EC3">
      <w:pPr>
        <w:pStyle w:val="TOC3"/>
        <w:rPr>
          <w:rFonts w:asciiTheme="minorHAnsi" w:eastAsiaTheme="minorEastAsia" w:hAnsiTheme="minorHAnsi"/>
          <w:noProof/>
          <w:kern w:val="2"/>
          <w:sz w:val="22"/>
          <w14:ligatures w14:val="standardContextual"/>
        </w:rPr>
      </w:pPr>
      <w:hyperlink w:anchor="_Toc153291190" w:history="1">
        <w:r w:rsidR="00163EC0" w:rsidRPr="00EB21AD">
          <w:rPr>
            <w:rStyle w:val="Hyperlink"/>
            <w:rFonts w:ascii="Californian FB" w:eastAsia="Times New Roman" w:hAnsi="Californian FB" w:cs="Times New Roman"/>
            <w:b/>
            <w:noProof/>
          </w:rPr>
          <w:t>Nebraska</w:t>
        </w:r>
        <w:r w:rsidR="00163EC0">
          <w:rPr>
            <w:noProof/>
            <w:webHidden/>
          </w:rPr>
          <w:tab/>
        </w:r>
        <w:r w:rsidR="00163EC0">
          <w:rPr>
            <w:noProof/>
            <w:webHidden/>
          </w:rPr>
          <w:fldChar w:fldCharType="begin"/>
        </w:r>
        <w:r w:rsidR="00163EC0">
          <w:rPr>
            <w:noProof/>
            <w:webHidden/>
          </w:rPr>
          <w:instrText xml:space="preserve"> PAGEREF _Toc153291190 \h </w:instrText>
        </w:r>
        <w:r w:rsidR="00163EC0">
          <w:rPr>
            <w:noProof/>
            <w:webHidden/>
          </w:rPr>
        </w:r>
        <w:r w:rsidR="00163EC0">
          <w:rPr>
            <w:noProof/>
            <w:webHidden/>
          </w:rPr>
          <w:fldChar w:fldCharType="separate"/>
        </w:r>
        <w:r>
          <w:rPr>
            <w:noProof/>
            <w:webHidden/>
          </w:rPr>
          <w:t>44</w:t>
        </w:r>
        <w:r w:rsidR="00163EC0">
          <w:rPr>
            <w:noProof/>
            <w:webHidden/>
          </w:rPr>
          <w:fldChar w:fldCharType="end"/>
        </w:r>
      </w:hyperlink>
    </w:p>
    <w:p w14:paraId="402DB1E3" w14:textId="0F293117" w:rsidR="00163EC0" w:rsidRDefault="00942EC3">
      <w:pPr>
        <w:pStyle w:val="TOC3"/>
        <w:rPr>
          <w:rFonts w:asciiTheme="minorHAnsi" w:eastAsiaTheme="minorEastAsia" w:hAnsiTheme="minorHAnsi"/>
          <w:noProof/>
          <w:kern w:val="2"/>
          <w:sz w:val="22"/>
          <w14:ligatures w14:val="standardContextual"/>
        </w:rPr>
      </w:pPr>
      <w:hyperlink w:anchor="_Toc153291191" w:history="1">
        <w:r w:rsidR="00163EC0" w:rsidRPr="00EB21AD">
          <w:rPr>
            <w:rStyle w:val="Hyperlink"/>
            <w:rFonts w:ascii="Californian FB" w:eastAsia="Times New Roman" w:hAnsi="Californian FB" w:cs="Times New Roman"/>
            <w:b/>
            <w:noProof/>
          </w:rPr>
          <w:t>New Jersey</w:t>
        </w:r>
        <w:r w:rsidR="00163EC0">
          <w:rPr>
            <w:noProof/>
            <w:webHidden/>
          </w:rPr>
          <w:tab/>
        </w:r>
        <w:r w:rsidR="00163EC0">
          <w:rPr>
            <w:noProof/>
            <w:webHidden/>
          </w:rPr>
          <w:fldChar w:fldCharType="begin"/>
        </w:r>
        <w:r w:rsidR="00163EC0">
          <w:rPr>
            <w:noProof/>
            <w:webHidden/>
          </w:rPr>
          <w:instrText xml:space="preserve"> PAGEREF _Toc153291191 \h </w:instrText>
        </w:r>
        <w:r w:rsidR="00163EC0">
          <w:rPr>
            <w:noProof/>
            <w:webHidden/>
          </w:rPr>
        </w:r>
        <w:r w:rsidR="00163EC0">
          <w:rPr>
            <w:noProof/>
            <w:webHidden/>
          </w:rPr>
          <w:fldChar w:fldCharType="separate"/>
        </w:r>
        <w:r>
          <w:rPr>
            <w:noProof/>
            <w:webHidden/>
          </w:rPr>
          <w:t>44</w:t>
        </w:r>
        <w:r w:rsidR="00163EC0">
          <w:rPr>
            <w:noProof/>
            <w:webHidden/>
          </w:rPr>
          <w:fldChar w:fldCharType="end"/>
        </w:r>
      </w:hyperlink>
    </w:p>
    <w:p w14:paraId="340E1606" w14:textId="362C1A1E" w:rsidR="00163EC0" w:rsidRDefault="00942EC3">
      <w:pPr>
        <w:pStyle w:val="TOC3"/>
        <w:rPr>
          <w:rFonts w:asciiTheme="minorHAnsi" w:eastAsiaTheme="minorEastAsia" w:hAnsiTheme="minorHAnsi"/>
          <w:noProof/>
          <w:kern w:val="2"/>
          <w:sz w:val="22"/>
          <w14:ligatures w14:val="standardContextual"/>
        </w:rPr>
      </w:pPr>
      <w:hyperlink w:anchor="_Toc153291192" w:history="1">
        <w:r w:rsidR="00163EC0" w:rsidRPr="00EB21AD">
          <w:rPr>
            <w:rStyle w:val="Hyperlink"/>
            <w:rFonts w:ascii="Californian FB" w:eastAsia="Times New Roman" w:hAnsi="Californian FB" w:cs="Times New Roman"/>
            <w:b/>
            <w:noProof/>
          </w:rPr>
          <w:t>New Mexico</w:t>
        </w:r>
        <w:r w:rsidR="00163EC0">
          <w:rPr>
            <w:noProof/>
            <w:webHidden/>
          </w:rPr>
          <w:tab/>
        </w:r>
        <w:r w:rsidR="00163EC0">
          <w:rPr>
            <w:noProof/>
            <w:webHidden/>
          </w:rPr>
          <w:fldChar w:fldCharType="begin"/>
        </w:r>
        <w:r w:rsidR="00163EC0">
          <w:rPr>
            <w:noProof/>
            <w:webHidden/>
          </w:rPr>
          <w:instrText xml:space="preserve"> PAGEREF _Toc153291192 \h </w:instrText>
        </w:r>
        <w:r w:rsidR="00163EC0">
          <w:rPr>
            <w:noProof/>
            <w:webHidden/>
          </w:rPr>
        </w:r>
        <w:r w:rsidR="00163EC0">
          <w:rPr>
            <w:noProof/>
            <w:webHidden/>
          </w:rPr>
          <w:fldChar w:fldCharType="separate"/>
        </w:r>
        <w:r>
          <w:rPr>
            <w:noProof/>
            <w:webHidden/>
          </w:rPr>
          <w:t>45</w:t>
        </w:r>
        <w:r w:rsidR="00163EC0">
          <w:rPr>
            <w:noProof/>
            <w:webHidden/>
          </w:rPr>
          <w:fldChar w:fldCharType="end"/>
        </w:r>
      </w:hyperlink>
    </w:p>
    <w:p w14:paraId="1B6FC5BD" w14:textId="02C2B60A" w:rsidR="00163EC0" w:rsidRDefault="00942EC3">
      <w:pPr>
        <w:pStyle w:val="TOC3"/>
        <w:rPr>
          <w:rFonts w:asciiTheme="minorHAnsi" w:eastAsiaTheme="minorEastAsia" w:hAnsiTheme="minorHAnsi"/>
          <w:noProof/>
          <w:kern w:val="2"/>
          <w:sz w:val="22"/>
          <w14:ligatures w14:val="standardContextual"/>
        </w:rPr>
      </w:pPr>
      <w:hyperlink w:anchor="_Toc153291193" w:history="1">
        <w:r w:rsidR="00163EC0" w:rsidRPr="00EB21AD">
          <w:rPr>
            <w:rStyle w:val="Hyperlink"/>
            <w:rFonts w:ascii="Californian FB" w:eastAsia="Times New Roman" w:hAnsi="Californian FB" w:cs="Times New Roman"/>
            <w:b/>
            <w:noProof/>
          </w:rPr>
          <w:t>New York</w:t>
        </w:r>
        <w:r w:rsidR="00163EC0">
          <w:rPr>
            <w:noProof/>
            <w:webHidden/>
          </w:rPr>
          <w:tab/>
        </w:r>
        <w:r w:rsidR="00163EC0">
          <w:rPr>
            <w:noProof/>
            <w:webHidden/>
          </w:rPr>
          <w:fldChar w:fldCharType="begin"/>
        </w:r>
        <w:r w:rsidR="00163EC0">
          <w:rPr>
            <w:noProof/>
            <w:webHidden/>
          </w:rPr>
          <w:instrText xml:space="preserve"> PAGEREF _Toc153291193 \h </w:instrText>
        </w:r>
        <w:r w:rsidR="00163EC0">
          <w:rPr>
            <w:noProof/>
            <w:webHidden/>
          </w:rPr>
        </w:r>
        <w:r w:rsidR="00163EC0">
          <w:rPr>
            <w:noProof/>
            <w:webHidden/>
          </w:rPr>
          <w:fldChar w:fldCharType="separate"/>
        </w:r>
        <w:r>
          <w:rPr>
            <w:noProof/>
            <w:webHidden/>
          </w:rPr>
          <w:t>46</w:t>
        </w:r>
        <w:r w:rsidR="00163EC0">
          <w:rPr>
            <w:noProof/>
            <w:webHidden/>
          </w:rPr>
          <w:fldChar w:fldCharType="end"/>
        </w:r>
      </w:hyperlink>
    </w:p>
    <w:p w14:paraId="2A01AA2B" w14:textId="42A552D8" w:rsidR="00163EC0" w:rsidRDefault="00942EC3">
      <w:pPr>
        <w:pStyle w:val="TOC3"/>
        <w:rPr>
          <w:rFonts w:asciiTheme="minorHAnsi" w:eastAsiaTheme="minorEastAsia" w:hAnsiTheme="minorHAnsi"/>
          <w:noProof/>
          <w:kern w:val="2"/>
          <w:sz w:val="22"/>
          <w14:ligatures w14:val="standardContextual"/>
        </w:rPr>
      </w:pPr>
      <w:hyperlink w:anchor="_Toc153291194" w:history="1">
        <w:r w:rsidR="00163EC0" w:rsidRPr="00EB21AD">
          <w:rPr>
            <w:rStyle w:val="Hyperlink"/>
            <w:rFonts w:ascii="Californian FB" w:eastAsia="Times New Roman" w:hAnsi="Californian FB" w:cs="Times New Roman"/>
            <w:b/>
            <w:noProof/>
          </w:rPr>
          <w:t>North Carolina</w:t>
        </w:r>
        <w:r w:rsidR="00163EC0">
          <w:rPr>
            <w:noProof/>
            <w:webHidden/>
          </w:rPr>
          <w:tab/>
        </w:r>
        <w:r w:rsidR="00163EC0">
          <w:rPr>
            <w:noProof/>
            <w:webHidden/>
          </w:rPr>
          <w:fldChar w:fldCharType="begin"/>
        </w:r>
        <w:r w:rsidR="00163EC0">
          <w:rPr>
            <w:noProof/>
            <w:webHidden/>
          </w:rPr>
          <w:instrText xml:space="preserve"> PAGEREF _Toc153291194 \h </w:instrText>
        </w:r>
        <w:r w:rsidR="00163EC0">
          <w:rPr>
            <w:noProof/>
            <w:webHidden/>
          </w:rPr>
        </w:r>
        <w:r w:rsidR="00163EC0">
          <w:rPr>
            <w:noProof/>
            <w:webHidden/>
          </w:rPr>
          <w:fldChar w:fldCharType="separate"/>
        </w:r>
        <w:r>
          <w:rPr>
            <w:noProof/>
            <w:webHidden/>
          </w:rPr>
          <w:t>46</w:t>
        </w:r>
        <w:r w:rsidR="00163EC0">
          <w:rPr>
            <w:noProof/>
            <w:webHidden/>
          </w:rPr>
          <w:fldChar w:fldCharType="end"/>
        </w:r>
      </w:hyperlink>
    </w:p>
    <w:p w14:paraId="1CEA0A8A" w14:textId="3E41AA7B" w:rsidR="00163EC0" w:rsidRDefault="00942EC3">
      <w:pPr>
        <w:pStyle w:val="TOC3"/>
        <w:rPr>
          <w:rFonts w:asciiTheme="minorHAnsi" w:eastAsiaTheme="minorEastAsia" w:hAnsiTheme="minorHAnsi"/>
          <w:noProof/>
          <w:kern w:val="2"/>
          <w:sz w:val="22"/>
          <w14:ligatures w14:val="standardContextual"/>
        </w:rPr>
      </w:pPr>
      <w:hyperlink w:anchor="_Toc153291195" w:history="1">
        <w:r w:rsidR="00163EC0" w:rsidRPr="00EB21AD">
          <w:rPr>
            <w:rStyle w:val="Hyperlink"/>
            <w:rFonts w:ascii="Californian FB" w:eastAsia="Times New Roman" w:hAnsi="Californian FB" w:cs="Times New Roman"/>
            <w:b/>
            <w:noProof/>
          </w:rPr>
          <w:t>North Dakota</w:t>
        </w:r>
        <w:r w:rsidR="00163EC0">
          <w:rPr>
            <w:noProof/>
            <w:webHidden/>
          </w:rPr>
          <w:tab/>
        </w:r>
        <w:r w:rsidR="00163EC0">
          <w:rPr>
            <w:noProof/>
            <w:webHidden/>
          </w:rPr>
          <w:fldChar w:fldCharType="begin"/>
        </w:r>
        <w:r w:rsidR="00163EC0">
          <w:rPr>
            <w:noProof/>
            <w:webHidden/>
          </w:rPr>
          <w:instrText xml:space="preserve"> PAGEREF _Toc153291195 \h </w:instrText>
        </w:r>
        <w:r w:rsidR="00163EC0">
          <w:rPr>
            <w:noProof/>
            <w:webHidden/>
          </w:rPr>
        </w:r>
        <w:r w:rsidR="00163EC0">
          <w:rPr>
            <w:noProof/>
            <w:webHidden/>
          </w:rPr>
          <w:fldChar w:fldCharType="separate"/>
        </w:r>
        <w:r>
          <w:rPr>
            <w:noProof/>
            <w:webHidden/>
          </w:rPr>
          <w:t>47</w:t>
        </w:r>
        <w:r w:rsidR="00163EC0">
          <w:rPr>
            <w:noProof/>
            <w:webHidden/>
          </w:rPr>
          <w:fldChar w:fldCharType="end"/>
        </w:r>
      </w:hyperlink>
    </w:p>
    <w:p w14:paraId="59A31E95" w14:textId="4B44739A" w:rsidR="00163EC0" w:rsidRDefault="00942EC3">
      <w:pPr>
        <w:pStyle w:val="TOC3"/>
        <w:rPr>
          <w:rFonts w:asciiTheme="minorHAnsi" w:eastAsiaTheme="minorEastAsia" w:hAnsiTheme="minorHAnsi"/>
          <w:noProof/>
          <w:kern w:val="2"/>
          <w:sz w:val="22"/>
          <w14:ligatures w14:val="standardContextual"/>
        </w:rPr>
      </w:pPr>
      <w:hyperlink w:anchor="_Toc153291196" w:history="1">
        <w:r w:rsidR="00163EC0" w:rsidRPr="00EB21AD">
          <w:rPr>
            <w:rStyle w:val="Hyperlink"/>
            <w:rFonts w:ascii="Californian FB" w:eastAsia="Times New Roman" w:hAnsi="Californian FB" w:cs="Times New Roman"/>
            <w:b/>
            <w:noProof/>
          </w:rPr>
          <w:t>Ohio</w:t>
        </w:r>
        <w:r w:rsidR="00163EC0">
          <w:rPr>
            <w:noProof/>
            <w:webHidden/>
          </w:rPr>
          <w:tab/>
        </w:r>
        <w:r w:rsidR="00163EC0">
          <w:rPr>
            <w:noProof/>
            <w:webHidden/>
          </w:rPr>
          <w:fldChar w:fldCharType="begin"/>
        </w:r>
        <w:r w:rsidR="00163EC0">
          <w:rPr>
            <w:noProof/>
            <w:webHidden/>
          </w:rPr>
          <w:instrText xml:space="preserve"> PAGEREF _Toc153291196 \h </w:instrText>
        </w:r>
        <w:r w:rsidR="00163EC0">
          <w:rPr>
            <w:noProof/>
            <w:webHidden/>
          </w:rPr>
        </w:r>
        <w:r w:rsidR="00163EC0">
          <w:rPr>
            <w:noProof/>
            <w:webHidden/>
          </w:rPr>
          <w:fldChar w:fldCharType="separate"/>
        </w:r>
        <w:r>
          <w:rPr>
            <w:noProof/>
            <w:webHidden/>
          </w:rPr>
          <w:t>48</w:t>
        </w:r>
        <w:r w:rsidR="00163EC0">
          <w:rPr>
            <w:noProof/>
            <w:webHidden/>
          </w:rPr>
          <w:fldChar w:fldCharType="end"/>
        </w:r>
      </w:hyperlink>
    </w:p>
    <w:p w14:paraId="61D91AC9" w14:textId="3CF9BE73" w:rsidR="00163EC0" w:rsidRDefault="00942EC3">
      <w:pPr>
        <w:pStyle w:val="TOC3"/>
        <w:rPr>
          <w:rFonts w:asciiTheme="minorHAnsi" w:eastAsiaTheme="minorEastAsia" w:hAnsiTheme="minorHAnsi"/>
          <w:noProof/>
          <w:kern w:val="2"/>
          <w:sz w:val="22"/>
          <w14:ligatures w14:val="standardContextual"/>
        </w:rPr>
      </w:pPr>
      <w:hyperlink w:anchor="_Toc153291197" w:history="1">
        <w:r w:rsidR="00163EC0" w:rsidRPr="00EB21AD">
          <w:rPr>
            <w:rStyle w:val="Hyperlink"/>
            <w:rFonts w:ascii="Californian FB" w:eastAsia="Times New Roman" w:hAnsi="Californian FB" w:cs="Times New Roman"/>
            <w:b/>
            <w:noProof/>
          </w:rPr>
          <w:t>Oregon</w:t>
        </w:r>
        <w:r w:rsidR="00163EC0">
          <w:rPr>
            <w:noProof/>
            <w:webHidden/>
          </w:rPr>
          <w:tab/>
        </w:r>
        <w:r w:rsidR="00163EC0">
          <w:rPr>
            <w:noProof/>
            <w:webHidden/>
          </w:rPr>
          <w:fldChar w:fldCharType="begin"/>
        </w:r>
        <w:r w:rsidR="00163EC0">
          <w:rPr>
            <w:noProof/>
            <w:webHidden/>
          </w:rPr>
          <w:instrText xml:space="preserve"> PAGEREF _Toc153291197 \h </w:instrText>
        </w:r>
        <w:r w:rsidR="00163EC0">
          <w:rPr>
            <w:noProof/>
            <w:webHidden/>
          </w:rPr>
        </w:r>
        <w:r w:rsidR="00163EC0">
          <w:rPr>
            <w:noProof/>
            <w:webHidden/>
          </w:rPr>
          <w:fldChar w:fldCharType="separate"/>
        </w:r>
        <w:r>
          <w:rPr>
            <w:noProof/>
            <w:webHidden/>
          </w:rPr>
          <w:t>48</w:t>
        </w:r>
        <w:r w:rsidR="00163EC0">
          <w:rPr>
            <w:noProof/>
            <w:webHidden/>
          </w:rPr>
          <w:fldChar w:fldCharType="end"/>
        </w:r>
      </w:hyperlink>
    </w:p>
    <w:p w14:paraId="60E576FF" w14:textId="6CBDAE66" w:rsidR="00163EC0" w:rsidRDefault="00942EC3">
      <w:pPr>
        <w:pStyle w:val="TOC3"/>
        <w:rPr>
          <w:rFonts w:asciiTheme="minorHAnsi" w:eastAsiaTheme="minorEastAsia" w:hAnsiTheme="minorHAnsi"/>
          <w:noProof/>
          <w:kern w:val="2"/>
          <w:sz w:val="22"/>
          <w14:ligatures w14:val="standardContextual"/>
        </w:rPr>
      </w:pPr>
      <w:hyperlink w:anchor="_Toc153291198" w:history="1">
        <w:r w:rsidR="00163EC0" w:rsidRPr="00EB21AD">
          <w:rPr>
            <w:rStyle w:val="Hyperlink"/>
            <w:rFonts w:ascii="Californian FB" w:eastAsia="Times New Roman" w:hAnsi="Californian FB" w:cs="Times New Roman"/>
            <w:b/>
            <w:noProof/>
          </w:rPr>
          <w:t>Pennsylvania</w:t>
        </w:r>
        <w:r w:rsidR="00163EC0">
          <w:rPr>
            <w:noProof/>
            <w:webHidden/>
          </w:rPr>
          <w:tab/>
        </w:r>
        <w:r w:rsidR="00163EC0">
          <w:rPr>
            <w:noProof/>
            <w:webHidden/>
          </w:rPr>
          <w:fldChar w:fldCharType="begin"/>
        </w:r>
        <w:r w:rsidR="00163EC0">
          <w:rPr>
            <w:noProof/>
            <w:webHidden/>
          </w:rPr>
          <w:instrText xml:space="preserve"> PAGEREF _Toc153291198 \h </w:instrText>
        </w:r>
        <w:r w:rsidR="00163EC0">
          <w:rPr>
            <w:noProof/>
            <w:webHidden/>
          </w:rPr>
        </w:r>
        <w:r w:rsidR="00163EC0">
          <w:rPr>
            <w:noProof/>
            <w:webHidden/>
          </w:rPr>
          <w:fldChar w:fldCharType="separate"/>
        </w:r>
        <w:r>
          <w:rPr>
            <w:noProof/>
            <w:webHidden/>
          </w:rPr>
          <w:t>49</w:t>
        </w:r>
        <w:r w:rsidR="00163EC0">
          <w:rPr>
            <w:noProof/>
            <w:webHidden/>
          </w:rPr>
          <w:fldChar w:fldCharType="end"/>
        </w:r>
      </w:hyperlink>
    </w:p>
    <w:p w14:paraId="5E12F6A4" w14:textId="62B0E311" w:rsidR="00163EC0" w:rsidRDefault="00942EC3">
      <w:pPr>
        <w:pStyle w:val="TOC3"/>
        <w:rPr>
          <w:rFonts w:asciiTheme="minorHAnsi" w:eastAsiaTheme="minorEastAsia" w:hAnsiTheme="minorHAnsi"/>
          <w:noProof/>
          <w:kern w:val="2"/>
          <w:sz w:val="22"/>
          <w14:ligatures w14:val="standardContextual"/>
        </w:rPr>
      </w:pPr>
      <w:hyperlink w:anchor="_Toc153291199" w:history="1">
        <w:r w:rsidR="00163EC0" w:rsidRPr="00EB21AD">
          <w:rPr>
            <w:rStyle w:val="Hyperlink"/>
            <w:rFonts w:ascii="Californian FB" w:eastAsia="Times New Roman" w:hAnsi="Californian FB" w:cs="Times New Roman"/>
            <w:b/>
            <w:noProof/>
          </w:rPr>
          <w:t>Rhode Island</w:t>
        </w:r>
        <w:r w:rsidR="00163EC0">
          <w:rPr>
            <w:noProof/>
            <w:webHidden/>
          </w:rPr>
          <w:tab/>
        </w:r>
        <w:r w:rsidR="00163EC0">
          <w:rPr>
            <w:noProof/>
            <w:webHidden/>
          </w:rPr>
          <w:fldChar w:fldCharType="begin"/>
        </w:r>
        <w:r w:rsidR="00163EC0">
          <w:rPr>
            <w:noProof/>
            <w:webHidden/>
          </w:rPr>
          <w:instrText xml:space="preserve"> PAGEREF _Toc153291199 \h </w:instrText>
        </w:r>
        <w:r w:rsidR="00163EC0">
          <w:rPr>
            <w:noProof/>
            <w:webHidden/>
          </w:rPr>
        </w:r>
        <w:r w:rsidR="00163EC0">
          <w:rPr>
            <w:noProof/>
            <w:webHidden/>
          </w:rPr>
          <w:fldChar w:fldCharType="separate"/>
        </w:r>
        <w:r>
          <w:rPr>
            <w:noProof/>
            <w:webHidden/>
          </w:rPr>
          <w:t>50</w:t>
        </w:r>
        <w:r w:rsidR="00163EC0">
          <w:rPr>
            <w:noProof/>
            <w:webHidden/>
          </w:rPr>
          <w:fldChar w:fldCharType="end"/>
        </w:r>
      </w:hyperlink>
    </w:p>
    <w:p w14:paraId="188CE1E6" w14:textId="2EA6A18F" w:rsidR="00163EC0" w:rsidRDefault="00942EC3">
      <w:pPr>
        <w:pStyle w:val="TOC3"/>
        <w:rPr>
          <w:rFonts w:asciiTheme="minorHAnsi" w:eastAsiaTheme="minorEastAsia" w:hAnsiTheme="minorHAnsi"/>
          <w:noProof/>
          <w:kern w:val="2"/>
          <w:sz w:val="22"/>
          <w14:ligatures w14:val="standardContextual"/>
        </w:rPr>
      </w:pPr>
      <w:hyperlink w:anchor="_Toc153291200" w:history="1">
        <w:r w:rsidR="00163EC0" w:rsidRPr="00EB21AD">
          <w:rPr>
            <w:rStyle w:val="Hyperlink"/>
            <w:rFonts w:ascii="Californian FB" w:eastAsia="Times New Roman" w:hAnsi="Californian FB" w:cs="Times New Roman"/>
            <w:b/>
            <w:noProof/>
          </w:rPr>
          <w:t>South Carolina</w:t>
        </w:r>
        <w:r w:rsidR="00163EC0">
          <w:rPr>
            <w:noProof/>
            <w:webHidden/>
          </w:rPr>
          <w:tab/>
        </w:r>
        <w:r w:rsidR="00163EC0">
          <w:rPr>
            <w:noProof/>
            <w:webHidden/>
          </w:rPr>
          <w:fldChar w:fldCharType="begin"/>
        </w:r>
        <w:r w:rsidR="00163EC0">
          <w:rPr>
            <w:noProof/>
            <w:webHidden/>
          </w:rPr>
          <w:instrText xml:space="preserve"> PAGEREF _Toc153291200 \h </w:instrText>
        </w:r>
        <w:r w:rsidR="00163EC0">
          <w:rPr>
            <w:noProof/>
            <w:webHidden/>
          </w:rPr>
        </w:r>
        <w:r w:rsidR="00163EC0">
          <w:rPr>
            <w:noProof/>
            <w:webHidden/>
          </w:rPr>
          <w:fldChar w:fldCharType="separate"/>
        </w:r>
        <w:r>
          <w:rPr>
            <w:noProof/>
            <w:webHidden/>
          </w:rPr>
          <w:t>50</w:t>
        </w:r>
        <w:r w:rsidR="00163EC0">
          <w:rPr>
            <w:noProof/>
            <w:webHidden/>
          </w:rPr>
          <w:fldChar w:fldCharType="end"/>
        </w:r>
      </w:hyperlink>
    </w:p>
    <w:p w14:paraId="6FC2F2BE" w14:textId="51C62BF6" w:rsidR="00163EC0" w:rsidRDefault="00942EC3">
      <w:pPr>
        <w:pStyle w:val="TOC3"/>
        <w:rPr>
          <w:rFonts w:asciiTheme="minorHAnsi" w:eastAsiaTheme="minorEastAsia" w:hAnsiTheme="minorHAnsi"/>
          <w:noProof/>
          <w:kern w:val="2"/>
          <w:sz w:val="22"/>
          <w14:ligatures w14:val="standardContextual"/>
        </w:rPr>
      </w:pPr>
      <w:hyperlink w:anchor="_Toc153291201" w:history="1">
        <w:r w:rsidR="00163EC0" w:rsidRPr="00EB21AD">
          <w:rPr>
            <w:rStyle w:val="Hyperlink"/>
            <w:rFonts w:ascii="Californian FB" w:eastAsia="Times New Roman" w:hAnsi="Californian FB" w:cs="Times New Roman"/>
            <w:b/>
            <w:noProof/>
          </w:rPr>
          <w:t>Utah</w:t>
        </w:r>
        <w:r w:rsidR="00163EC0">
          <w:rPr>
            <w:noProof/>
            <w:webHidden/>
          </w:rPr>
          <w:tab/>
        </w:r>
        <w:r w:rsidR="00163EC0">
          <w:rPr>
            <w:noProof/>
            <w:webHidden/>
          </w:rPr>
          <w:fldChar w:fldCharType="begin"/>
        </w:r>
        <w:r w:rsidR="00163EC0">
          <w:rPr>
            <w:noProof/>
            <w:webHidden/>
          </w:rPr>
          <w:instrText xml:space="preserve"> PAGEREF _Toc153291201 \h </w:instrText>
        </w:r>
        <w:r w:rsidR="00163EC0">
          <w:rPr>
            <w:noProof/>
            <w:webHidden/>
          </w:rPr>
        </w:r>
        <w:r w:rsidR="00163EC0">
          <w:rPr>
            <w:noProof/>
            <w:webHidden/>
          </w:rPr>
          <w:fldChar w:fldCharType="separate"/>
        </w:r>
        <w:r>
          <w:rPr>
            <w:noProof/>
            <w:webHidden/>
          </w:rPr>
          <w:t>51</w:t>
        </w:r>
        <w:r w:rsidR="00163EC0">
          <w:rPr>
            <w:noProof/>
            <w:webHidden/>
          </w:rPr>
          <w:fldChar w:fldCharType="end"/>
        </w:r>
      </w:hyperlink>
    </w:p>
    <w:p w14:paraId="24E75A16" w14:textId="7326B220" w:rsidR="00163EC0" w:rsidRDefault="00942EC3">
      <w:pPr>
        <w:pStyle w:val="TOC3"/>
        <w:rPr>
          <w:rFonts w:asciiTheme="minorHAnsi" w:eastAsiaTheme="minorEastAsia" w:hAnsiTheme="minorHAnsi"/>
          <w:noProof/>
          <w:kern w:val="2"/>
          <w:sz w:val="22"/>
          <w14:ligatures w14:val="standardContextual"/>
        </w:rPr>
      </w:pPr>
      <w:hyperlink w:anchor="_Toc153291202" w:history="1">
        <w:r w:rsidR="00163EC0" w:rsidRPr="00EB21AD">
          <w:rPr>
            <w:rStyle w:val="Hyperlink"/>
            <w:rFonts w:ascii="Californian FB" w:eastAsia="Times New Roman" w:hAnsi="Californian FB" w:cs="Times New Roman"/>
            <w:b/>
            <w:noProof/>
          </w:rPr>
          <w:t>Vermont</w:t>
        </w:r>
        <w:r w:rsidR="00163EC0">
          <w:rPr>
            <w:noProof/>
            <w:webHidden/>
          </w:rPr>
          <w:tab/>
        </w:r>
        <w:r w:rsidR="00163EC0">
          <w:rPr>
            <w:noProof/>
            <w:webHidden/>
          </w:rPr>
          <w:fldChar w:fldCharType="begin"/>
        </w:r>
        <w:r w:rsidR="00163EC0">
          <w:rPr>
            <w:noProof/>
            <w:webHidden/>
          </w:rPr>
          <w:instrText xml:space="preserve"> PAGEREF _Toc153291202 \h </w:instrText>
        </w:r>
        <w:r w:rsidR="00163EC0">
          <w:rPr>
            <w:noProof/>
            <w:webHidden/>
          </w:rPr>
        </w:r>
        <w:r w:rsidR="00163EC0">
          <w:rPr>
            <w:noProof/>
            <w:webHidden/>
          </w:rPr>
          <w:fldChar w:fldCharType="separate"/>
        </w:r>
        <w:r>
          <w:rPr>
            <w:noProof/>
            <w:webHidden/>
          </w:rPr>
          <w:t>51</w:t>
        </w:r>
        <w:r w:rsidR="00163EC0">
          <w:rPr>
            <w:noProof/>
            <w:webHidden/>
          </w:rPr>
          <w:fldChar w:fldCharType="end"/>
        </w:r>
      </w:hyperlink>
    </w:p>
    <w:p w14:paraId="5A77C998" w14:textId="5966A7AB" w:rsidR="00163EC0" w:rsidRDefault="00942EC3">
      <w:pPr>
        <w:pStyle w:val="TOC3"/>
        <w:rPr>
          <w:rFonts w:asciiTheme="minorHAnsi" w:eastAsiaTheme="minorEastAsia" w:hAnsiTheme="minorHAnsi"/>
          <w:noProof/>
          <w:kern w:val="2"/>
          <w:sz w:val="22"/>
          <w14:ligatures w14:val="standardContextual"/>
        </w:rPr>
      </w:pPr>
      <w:hyperlink w:anchor="_Toc153291203" w:history="1">
        <w:r w:rsidR="00163EC0" w:rsidRPr="00EB21AD">
          <w:rPr>
            <w:rStyle w:val="Hyperlink"/>
            <w:rFonts w:ascii="Californian FB" w:eastAsia="Times New Roman" w:hAnsi="Californian FB" w:cs="Times New Roman"/>
            <w:b/>
            <w:noProof/>
          </w:rPr>
          <w:t>Virginia</w:t>
        </w:r>
        <w:r w:rsidR="00163EC0">
          <w:rPr>
            <w:noProof/>
            <w:webHidden/>
          </w:rPr>
          <w:tab/>
        </w:r>
        <w:r w:rsidR="00163EC0">
          <w:rPr>
            <w:noProof/>
            <w:webHidden/>
          </w:rPr>
          <w:fldChar w:fldCharType="begin"/>
        </w:r>
        <w:r w:rsidR="00163EC0">
          <w:rPr>
            <w:noProof/>
            <w:webHidden/>
          </w:rPr>
          <w:instrText xml:space="preserve"> PAGEREF _Toc153291203 \h </w:instrText>
        </w:r>
        <w:r w:rsidR="00163EC0">
          <w:rPr>
            <w:noProof/>
            <w:webHidden/>
          </w:rPr>
        </w:r>
        <w:r w:rsidR="00163EC0">
          <w:rPr>
            <w:noProof/>
            <w:webHidden/>
          </w:rPr>
          <w:fldChar w:fldCharType="separate"/>
        </w:r>
        <w:r>
          <w:rPr>
            <w:noProof/>
            <w:webHidden/>
          </w:rPr>
          <w:t>51</w:t>
        </w:r>
        <w:r w:rsidR="00163EC0">
          <w:rPr>
            <w:noProof/>
            <w:webHidden/>
          </w:rPr>
          <w:fldChar w:fldCharType="end"/>
        </w:r>
      </w:hyperlink>
    </w:p>
    <w:p w14:paraId="407DB09F" w14:textId="411CED84" w:rsidR="00163EC0" w:rsidRDefault="00942EC3">
      <w:pPr>
        <w:pStyle w:val="TOC3"/>
        <w:rPr>
          <w:rFonts w:asciiTheme="minorHAnsi" w:eastAsiaTheme="minorEastAsia" w:hAnsiTheme="minorHAnsi"/>
          <w:noProof/>
          <w:kern w:val="2"/>
          <w:sz w:val="22"/>
          <w14:ligatures w14:val="standardContextual"/>
        </w:rPr>
      </w:pPr>
      <w:hyperlink w:anchor="_Toc153291204" w:history="1">
        <w:r w:rsidR="00163EC0" w:rsidRPr="00EB21AD">
          <w:rPr>
            <w:rStyle w:val="Hyperlink"/>
            <w:rFonts w:ascii="Californian FB" w:eastAsia="Times New Roman" w:hAnsi="Californian FB" w:cs="Times New Roman"/>
            <w:b/>
            <w:noProof/>
          </w:rPr>
          <w:t>West Virginia</w:t>
        </w:r>
        <w:r w:rsidR="00163EC0">
          <w:rPr>
            <w:noProof/>
            <w:webHidden/>
          </w:rPr>
          <w:tab/>
        </w:r>
        <w:r w:rsidR="00163EC0">
          <w:rPr>
            <w:noProof/>
            <w:webHidden/>
          </w:rPr>
          <w:fldChar w:fldCharType="begin"/>
        </w:r>
        <w:r w:rsidR="00163EC0">
          <w:rPr>
            <w:noProof/>
            <w:webHidden/>
          </w:rPr>
          <w:instrText xml:space="preserve"> PAGEREF _Toc153291204 \h </w:instrText>
        </w:r>
        <w:r w:rsidR="00163EC0">
          <w:rPr>
            <w:noProof/>
            <w:webHidden/>
          </w:rPr>
        </w:r>
        <w:r w:rsidR="00163EC0">
          <w:rPr>
            <w:noProof/>
            <w:webHidden/>
          </w:rPr>
          <w:fldChar w:fldCharType="separate"/>
        </w:r>
        <w:r>
          <w:rPr>
            <w:noProof/>
            <w:webHidden/>
          </w:rPr>
          <w:t>51</w:t>
        </w:r>
        <w:r w:rsidR="00163EC0">
          <w:rPr>
            <w:noProof/>
            <w:webHidden/>
          </w:rPr>
          <w:fldChar w:fldCharType="end"/>
        </w:r>
      </w:hyperlink>
    </w:p>
    <w:p w14:paraId="30EDACE3" w14:textId="19D1C3FC" w:rsidR="00163EC0" w:rsidRDefault="00942EC3">
      <w:pPr>
        <w:pStyle w:val="TOC3"/>
        <w:rPr>
          <w:rFonts w:asciiTheme="minorHAnsi" w:eastAsiaTheme="minorEastAsia" w:hAnsiTheme="minorHAnsi"/>
          <w:noProof/>
          <w:kern w:val="2"/>
          <w:sz w:val="22"/>
          <w14:ligatures w14:val="standardContextual"/>
        </w:rPr>
      </w:pPr>
      <w:hyperlink w:anchor="_Toc153291205" w:history="1">
        <w:r w:rsidR="00163EC0" w:rsidRPr="00EB21AD">
          <w:rPr>
            <w:rStyle w:val="Hyperlink"/>
            <w:rFonts w:ascii="Californian FB" w:eastAsia="Times New Roman" w:hAnsi="Californian FB" w:cs="Times New Roman"/>
            <w:b/>
            <w:noProof/>
          </w:rPr>
          <w:t>Wisconsin</w:t>
        </w:r>
        <w:r w:rsidR="00163EC0">
          <w:rPr>
            <w:noProof/>
            <w:webHidden/>
          </w:rPr>
          <w:tab/>
        </w:r>
        <w:r w:rsidR="00163EC0">
          <w:rPr>
            <w:noProof/>
            <w:webHidden/>
          </w:rPr>
          <w:fldChar w:fldCharType="begin"/>
        </w:r>
        <w:r w:rsidR="00163EC0">
          <w:rPr>
            <w:noProof/>
            <w:webHidden/>
          </w:rPr>
          <w:instrText xml:space="preserve"> PAGEREF _Toc153291205 \h </w:instrText>
        </w:r>
        <w:r w:rsidR="00163EC0">
          <w:rPr>
            <w:noProof/>
            <w:webHidden/>
          </w:rPr>
        </w:r>
        <w:r w:rsidR="00163EC0">
          <w:rPr>
            <w:noProof/>
            <w:webHidden/>
          </w:rPr>
          <w:fldChar w:fldCharType="separate"/>
        </w:r>
        <w:r>
          <w:rPr>
            <w:noProof/>
            <w:webHidden/>
          </w:rPr>
          <w:t>52</w:t>
        </w:r>
        <w:r w:rsidR="00163EC0">
          <w:rPr>
            <w:noProof/>
            <w:webHidden/>
          </w:rPr>
          <w:fldChar w:fldCharType="end"/>
        </w:r>
      </w:hyperlink>
    </w:p>
    <w:p w14:paraId="290E543D" w14:textId="1A1AA954" w:rsidR="00163EC0" w:rsidRDefault="00942EC3">
      <w:pPr>
        <w:pStyle w:val="TOC1"/>
        <w:rPr>
          <w:rFonts w:asciiTheme="minorHAnsi" w:eastAsiaTheme="minorEastAsia" w:hAnsiTheme="minorHAnsi"/>
          <w:b w:val="0"/>
          <w:bCs w:val="0"/>
          <w:noProof/>
          <w:color w:val="auto"/>
          <w:kern w:val="2"/>
          <w:sz w:val="22"/>
          <w:szCs w:val="22"/>
          <w14:ligatures w14:val="standardContextual"/>
        </w:rPr>
      </w:pPr>
      <w:hyperlink w:anchor="_Toc153291206" w:history="1">
        <w:r w:rsidR="00163EC0" w:rsidRPr="00EB21AD">
          <w:rPr>
            <w:rStyle w:val="Hyperlink"/>
            <w:noProof/>
          </w:rPr>
          <w:t>V. Findings – Considerations – Recommendations</w:t>
        </w:r>
        <w:r w:rsidR="00163EC0">
          <w:rPr>
            <w:noProof/>
            <w:webHidden/>
          </w:rPr>
          <w:tab/>
        </w:r>
        <w:r w:rsidR="00163EC0">
          <w:rPr>
            <w:noProof/>
            <w:webHidden/>
          </w:rPr>
          <w:fldChar w:fldCharType="begin"/>
        </w:r>
        <w:r w:rsidR="00163EC0">
          <w:rPr>
            <w:noProof/>
            <w:webHidden/>
          </w:rPr>
          <w:instrText xml:space="preserve"> PAGEREF _Toc153291206 \h </w:instrText>
        </w:r>
        <w:r w:rsidR="00163EC0">
          <w:rPr>
            <w:noProof/>
            <w:webHidden/>
          </w:rPr>
        </w:r>
        <w:r w:rsidR="00163EC0">
          <w:rPr>
            <w:noProof/>
            <w:webHidden/>
          </w:rPr>
          <w:fldChar w:fldCharType="separate"/>
        </w:r>
        <w:r>
          <w:rPr>
            <w:noProof/>
            <w:webHidden/>
          </w:rPr>
          <w:t>53</w:t>
        </w:r>
        <w:r w:rsidR="00163EC0">
          <w:rPr>
            <w:noProof/>
            <w:webHidden/>
          </w:rPr>
          <w:fldChar w:fldCharType="end"/>
        </w:r>
      </w:hyperlink>
    </w:p>
    <w:p w14:paraId="25C25E7C" w14:textId="7A3C68D0"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207" w:history="1">
        <w:r w:rsidR="00163EC0" w:rsidRPr="00EB21AD">
          <w:rPr>
            <w:rStyle w:val="Hyperlink"/>
            <w:noProof/>
          </w:rPr>
          <w:t>V. A. Relevant Findings</w:t>
        </w:r>
        <w:r w:rsidR="00163EC0">
          <w:rPr>
            <w:noProof/>
            <w:webHidden/>
          </w:rPr>
          <w:tab/>
        </w:r>
        <w:r w:rsidR="00163EC0">
          <w:rPr>
            <w:noProof/>
            <w:webHidden/>
          </w:rPr>
          <w:fldChar w:fldCharType="begin"/>
        </w:r>
        <w:r w:rsidR="00163EC0">
          <w:rPr>
            <w:noProof/>
            <w:webHidden/>
          </w:rPr>
          <w:instrText xml:space="preserve"> PAGEREF _Toc153291207 \h </w:instrText>
        </w:r>
        <w:r w:rsidR="00163EC0">
          <w:rPr>
            <w:noProof/>
            <w:webHidden/>
          </w:rPr>
        </w:r>
        <w:r w:rsidR="00163EC0">
          <w:rPr>
            <w:noProof/>
            <w:webHidden/>
          </w:rPr>
          <w:fldChar w:fldCharType="separate"/>
        </w:r>
        <w:r>
          <w:rPr>
            <w:noProof/>
            <w:webHidden/>
          </w:rPr>
          <w:t>53</w:t>
        </w:r>
        <w:r w:rsidR="00163EC0">
          <w:rPr>
            <w:noProof/>
            <w:webHidden/>
          </w:rPr>
          <w:fldChar w:fldCharType="end"/>
        </w:r>
      </w:hyperlink>
    </w:p>
    <w:p w14:paraId="2CAF88F9" w14:textId="2F77BE70" w:rsidR="00163EC0" w:rsidRDefault="00942EC3">
      <w:pPr>
        <w:pStyle w:val="TOC3"/>
        <w:rPr>
          <w:rFonts w:asciiTheme="minorHAnsi" w:eastAsiaTheme="minorEastAsia" w:hAnsiTheme="minorHAnsi"/>
          <w:noProof/>
          <w:kern w:val="2"/>
          <w:sz w:val="22"/>
          <w14:ligatures w14:val="standardContextual"/>
        </w:rPr>
      </w:pPr>
      <w:hyperlink w:anchor="_Toc153291208" w:history="1">
        <w:r w:rsidR="00163EC0" w:rsidRPr="00EB21AD">
          <w:rPr>
            <w:rStyle w:val="Hyperlink"/>
            <w:noProof/>
          </w:rPr>
          <w:t>Important Federal Tax and Related Rules:</w:t>
        </w:r>
        <w:r w:rsidR="00163EC0">
          <w:rPr>
            <w:noProof/>
            <w:webHidden/>
          </w:rPr>
          <w:tab/>
        </w:r>
        <w:r w:rsidR="00163EC0">
          <w:rPr>
            <w:noProof/>
            <w:webHidden/>
          </w:rPr>
          <w:fldChar w:fldCharType="begin"/>
        </w:r>
        <w:r w:rsidR="00163EC0">
          <w:rPr>
            <w:noProof/>
            <w:webHidden/>
          </w:rPr>
          <w:instrText xml:space="preserve"> PAGEREF _Toc153291208 \h </w:instrText>
        </w:r>
        <w:r w:rsidR="00163EC0">
          <w:rPr>
            <w:noProof/>
            <w:webHidden/>
          </w:rPr>
        </w:r>
        <w:r w:rsidR="00163EC0">
          <w:rPr>
            <w:noProof/>
            <w:webHidden/>
          </w:rPr>
          <w:fldChar w:fldCharType="separate"/>
        </w:r>
        <w:r>
          <w:rPr>
            <w:noProof/>
            <w:webHidden/>
          </w:rPr>
          <w:t>53</w:t>
        </w:r>
        <w:r w:rsidR="00163EC0">
          <w:rPr>
            <w:noProof/>
            <w:webHidden/>
          </w:rPr>
          <w:fldChar w:fldCharType="end"/>
        </w:r>
      </w:hyperlink>
    </w:p>
    <w:p w14:paraId="65268EB3" w14:textId="44F6C5DC" w:rsidR="00163EC0" w:rsidRDefault="00942EC3">
      <w:pPr>
        <w:pStyle w:val="TOC3"/>
        <w:rPr>
          <w:rFonts w:asciiTheme="minorHAnsi" w:eastAsiaTheme="minorEastAsia" w:hAnsiTheme="minorHAnsi"/>
          <w:noProof/>
          <w:kern w:val="2"/>
          <w:sz w:val="22"/>
          <w14:ligatures w14:val="standardContextual"/>
        </w:rPr>
      </w:pPr>
      <w:hyperlink w:anchor="_Toc153291209" w:history="1">
        <w:r w:rsidR="00163EC0" w:rsidRPr="00EB21AD">
          <w:rPr>
            <w:rStyle w:val="Hyperlink"/>
            <w:noProof/>
          </w:rPr>
          <w:t>Types and Amounts of Guaranteed Payments</w:t>
        </w:r>
        <w:r w:rsidR="00163EC0">
          <w:rPr>
            <w:noProof/>
            <w:webHidden/>
          </w:rPr>
          <w:tab/>
        </w:r>
        <w:r w:rsidR="00163EC0">
          <w:rPr>
            <w:noProof/>
            <w:webHidden/>
          </w:rPr>
          <w:fldChar w:fldCharType="begin"/>
        </w:r>
        <w:r w:rsidR="00163EC0">
          <w:rPr>
            <w:noProof/>
            <w:webHidden/>
          </w:rPr>
          <w:instrText xml:space="preserve"> PAGEREF _Toc153291209 \h </w:instrText>
        </w:r>
        <w:r w:rsidR="00163EC0">
          <w:rPr>
            <w:noProof/>
            <w:webHidden/>
          </w:rPr>
        </w:r>
        <w:r w:rsidR="00163EC0">
          <w:rPr>
            <w:noProof/>
            <w:webHidden/>
          </w:rPr>
          <w:fldChar w:fldCharType="separate"/>
        </w:r>
        <w:r>
          <w:rPr>
            <w:noProof/>
            <w:webHidden/>
          </w:rPr>
          <w:t>54</w:t>
        </w:r>
        <w:r w:rsidR="00163EC0">
          <w:rPr>
            <w:noProof/>
            <w:webHidden/>
          </w:rPr>
          <w:fldChar w:fldCharType="end"/>
        </w:r>
      </w:hyperlink>
    </w:p>
    <w:p w14:paraId="133D457E" w14:textId="16ECF130" w:rsidR="00163EC0" w:rsidRDefault="00942EC3">
      <w:pPr>
        <w:pStyle w:val="TOC3"/>
        <w:rPr>
          <w:rFonts w:asciiTheme="minorHAnsi" w:eastAsiaTheme="minorEastAsia" w:hAnsiTheme="minorHAnsi"/>
          <w:noProof/>
          <w:kern w:val="2"/>
          <w:sz w:val="22"/>
          <w14:ligatures w14:val="standardContextual"/>
        </w:rPr>
      </w:pPr>
      <w:hyperlink w:anchor="_Toc153291210" w:history="1">
        <w:r w:rsidR="00163EC0" w:rsidRPr="00EB21AD">
          <w:rPr>
            <w:rStyle w:val="Hyperlink"/>
            <w:noProof/>
          </w:rPr>
          <w:t>Current Sourcing Treatment by States that have Specifically Addressed the Issue</w:t>
        </w:r>
        <w:r w:rsidR="00163EC0">
          <w:rPr>
            <w:noProof/>
            <w:webHidden/>
          </w:rPr>
          <w:tab/>
        </w:r>
        <w:r w:rsidR="00163EC0">
          <w:rPr>
            <w:noProof/>
            <w:webHidden/>
          </w:rPr>
          <w:fldChar w:fldCharType="begin"/>
        </w:r>
        <w:r w:rsidR="00163EC0">
          <w:rPr>
            <w:noProof/>
            <w:webHidden/>
          </w:rPr>
          <w:instrText xml:space="preserve"> PAGEREF _Toc153291210 \h </w:instrText>
        </w:r>
        <w:r w:rsidR="00163EC0">
          <w:rPr>
            <w:noProof/>
            <w:webHidden/>
          </w:rPr>
        </w:r>
        <w:r w:rsidR="00163EC0">
          <w:rPr>
            <w:noProof/>
            <w:webHidden/>
          </w:rPr>
          <w:fldChar w:fldCharType="separate"/>
        </w:r>
        <w:r>
          <w:rPr>
            <w:noProof/>
            <w:webHidden/>
          </w:rPr>
          <w:t>54</w:t>
        </w:r>
        <w:r w:rsidR="00163EC0">
          <w:rPr>
            <w:noProof/>
            <w:webHidden/>
          </w:rPr>
          <w:fldChar w:fldCharType="end"/>
        </w:r>
      </w:hyperlink>
    </w:p>
    <w:p w14:paraId="309FABCC" w14:textId="252ECD8A"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211" w:history="1">
        <w:r w:rsidR="00163EC0" w:rsidRPr="00EB21AD">
          <w:rPr>
            <w:rStyle w:val="Hyperlink"/>
            <w:noProof/>
          </w:rPr>
          <w:t>V. B. Considerations – Factors Favoring Each Sourcing Approach</w:t>
        </w:r>
        <w:r w:rsidR="00163EC0">
          <w:rPr>
            <w:noProof/>
            <w:webHidden/>
          </w:rPr>
          <w:tab/>
        </w:r>
        <w:r w:rsidR="00163EC0">
          <w:rPr>
            <w:noProof/>
            <w:webHidden/>
          </w:rPr>
          <w:fldChar w:fldCharType="begin"/>
        </w:r>
        <w:r w:rsidR="00163EC0">
          <w:rPr>
            <w:noProof/>
            <w:webHidden/>
          </w:rPr>
          <w:instrText xml:space="preserve"> PAGEREF _Toc153291211 \h </w:instrText>
        </w:r>
        <w:r w:rsidR="00163EC0">
          <w:rPr>
            <w:noProof/>
            <w:webHidden/>
          </w:rPr>
        </w:r>
        <w:r w:rsidR="00163EC0">
          <w:rPr>
            <w:noProof/>
            <w:webHidden/>
          </w:rPr>
          <w:fldChar w:fldCharType="separate"/>
        </w:r>
        <w:r>
          <w:rPr>
            <w:noProof/>
            <w:webHidden/>
          </w:rPr>
          <w:t>54</w:t>
        </w:r>
        <w:r w:rsidR="00163EC0">
          <w:rPr>
            <w:noProof/>
            <w:webHidden/>
          </w:rPr>
          <w:fldChar w:fldCharType="end"/>
        </w:r>
      </w:hyperlink>
    </w:p>
    <w:p w14:paraId="788E6D59" w14:textId="205FFAB4" w:rsidR="00163EC0" w:rsidRDefault="00942EC3">
      <w:pPr>
        <w:pStyle w:val="TOC3"/>
        <w:rPr>
          <w:rFonts w:asciiTheme="minorHAnsi" w:eastAsiaTheme="minorEastAsia" w:hAnsiTheme="minorHAnsi"/>
          <w:noProof/>
          <w:kern w:val="2"/>
          <w:sz w:val="22"/>
          <w14:ligatures w14:val="standardContextual"/>
        </w:rPr>
      </w:pPr>
      <w:hyperlink w:anchor="_Toc153291212" w:history="1">
        <w:r w:rsidR="00163EC0" w:rsidRPr="00EB21AD">
          <w:rPr>
            <w:rStyle w:val="Hyperlink"/>
            <w:noProof/>
          </w:rPr>
          <w:t>Factors Favoring Sourcing as Distributive Share</w:t>
        </w:r>
        <w:r w:rsidR="00163EC0">
          <w:rPr>
            <w:noProof/>
            <w:webHidden/>
          </w:rPr>
          <w:tab/>
        </w:r>
        <w:r w:rsidR="00163EC0">
          <w:rPr>
            <w:noProof/>
            <w:webHidden/>
          </w:rPr>
          <w:fldChar w:fldCharType="begin"/>
        </w:r>
        <w:r w:rsidR="00163EC0">
          <w:rPr>
            <w:noProof/>
            <w:webHidden/>
          </w:rPr>
          <w:instrText xml:space="preserve"> PAGEREF _Toc153291212 \h </w:instrText>
        </w:r>
        <w:r w:rsidR="00163EC0">
          <w:rPr>
            <w:noProof/>
            <w:webHidden/>
          </w:rPr>
        </w:r>
        <w:r w:rsidR="00163EC0">
          <w:rPr>
            <w:noProof/>
            <w:webHidden/>
          </w:rPr>
          <w:fldChar w:fldCharType="separate"/>
        </w:r>
        <w:r>
          <w:rPr>
            <w:noProof/>
            <w:webHidden/>
          </w:rPr>
          <w:t>54</w:t>
        </w:r>
        <w:r w:rsidR="00163EC0">
          <w:rPr>
            <w:noProof/>
            <w:webHidden/>
          </w:rPr>
          <w:fldChar w:fldCharType="end"/>
        </w:r>
      </w:hyperlink>
    </w:p>
    <w:p w14:paraId="0B05F109" w14:textId="2B5741F0" w:rsidR="00163EC0" w:rsidRDefault="00942EC3">
      <w:pPr>
        <w:pStyle w:val="TOC3"/>
        <w:rPr>
          <w:rFonts w:asciiTheme="minorHAnsi" w:eastAsiaTheme="minorEastAsia" w:hAnsiTheme="minorHAnsi"/>
          <w:noProof/>
          <w:kern w:val="2"/>
          <w:sz w:val="22"/>
          <w14:ligatures w14:val="standardContextual"/>
        </w:rPr>
      </w:pPr>
      <w:hyperlink w:anchor="_Toc153291213" w:history="1">
        <w:r w:rsidR="00163EC0" w:rsidRPr="00EB21AD">
          <w:rPr>
            <w:rStyle w:val="Hyperlink"/>
            <w:noProof/>
          </w:rPr>
          <w:t>Factors Favoring Sourcing as Compensation</w:t>
        </w:r>
        <w:r w:rsidR="00163EC0">
          <w:rPr>
            <w:noProof/>
            <w:webHidden/>
          </w:rPr>
          <w:tab/>
        </w:r>
        <w:r w:rsidR="00163EC0">
          <w:rPr>
            <w:noProof/>
            <w:webHidden/>
          </w:rPr>
          <w:fldChar w:fldCharType="begin"/>
        </w:r>
        <w:r w:rsidR="00163EC0">
          <w:rPr>
            <w:noProof/>
            <w:webHidden/>
          </w:rPr>
          <w:instrText xml:space="preserve"> PAGEREF _Toc153291213 \h </w:instrText>
        </w:r>
        <w:r w:rsidR="00163EC0">
          <w:rPr>
            <w:noProof/>
            <w:webHidden/>
          </w:rPr>
        </w:r>
        <w:r w:rsidR="00163EC0">
          <w:rPr>
            <w:noProof/>
            <w:webHidden/>
          </w:rPr>
          <w:fldChar w:fldCharType="separate"/>
        </w:r>
        <w:r>
          <w:rPr>
            <w:noProof/>
            <w:webHidden/>
          </w:rPr>
          <w:t>55</w:t>
        </w:r>
        <w:r w:rsidR="00163EC0">
          <w:rPr>
            <w:noProof/>
            <w:webHidden/>
          </w:rPr>
          <w:fldChar w:fldCharType="end"/>
        </w:r>
      </w:hyperlink>
    </w:p>
    <w:p w14:paraId="7DFCA9ED" w14:textId="2CBC0F4D" w:rsidR="00163EC0" w:rsidRDefault="00942EC3">
      <w:pPr>
        <w:pStyle w:val="TOC2"/>
        <w:tabs>
          <w:tab w:val="right" w:leader="dot" w:pos="8774"/>
        </w:tabs>
        <w:rPr>
          <w:rFonts w:asciiTheme="minorHAnsi" w:eastAsiaTheme="minorEastAsia" w:hAnsiTheme="minorHAnsi"/>
          <w:noProof/>
          <w:kern w:val="2"/>
          <w:sz w:val="22"/>
          <w14:ligatures w14:val="standardContextual"/>
        </w:rPr>
      </w:pPr>
      <w:hyperlink w:anchor="_Toc153291214" w:history="1">
        <w:r w:rsidR="00163EC0" w:rsidRPr="00EB21AD">
          <w:rPr>
            <w:rStyle w:val="Hyperlink"/>
            <w:noProof/>
          </w:rPr>
          <w:t>V. C. Proposed Recommendations</w:t>
        </w:r>
        <w:r w:rsidR="00163EC0">
          <w:rPr>
            <w:noProof/>
            <w:webHidden/>
          </w:rPr>
          <w:tab/>
        </w:r>
        <w:r w:rsidR="00163EC0">
          <w:rPr>
            <w:noProof/>
            <w:webHidden/>
          </w:rPr>
          <w:fldChar w:fldCharType="begin"/>
        </w:r>
        <w:r w:rsidR="00163EC0">
          <w:rPr>
            <w:noProof/>
            <w:webHidden/>
          </w:rPr>
          <w:instrText xml:space="preserve"> PAGEREF _Toc153291214 \h </w:instrText>
        </w:r>
        <w:r w:rsidR="00163EC0">
          <w:rPr>
            <w:noProof/>
            <w:webHidden/>
          </w:rPr>
        </w:r>
        <w:r w:rsidR="00163EC0">
          <w:rPr>
            <w:noProof/>
            <w:webHidden/>
          </w:rPr>
          <w:fldChar w:fldCharType="separate"/>
        </w:r>
        <w:r>
          <w:rPr>
            <w:noProof/>
            <w:webHidden/>
          </w:rPr>
          <w:t>55</w:t>
        </w:r>
        <w:r w:rsidR="00163EC0">
          <w:rPr>
            <w:noProof/>
            <w:webHidden/>
          </w:rPr>
          <w:fldChar w:fldCharType="end"/>
        </w:r>
      </w:hyperlink>
    </w:p>
    <w:p w14:paraId="5EFE7F4B" w14:textId="610FEA1F" w:rsidR="009646C5" w:rsidRDefault="0047413E">
      <w:pPr>
        <w:spacing w:line="276" w:lineRule="auto"/>
        <w:jc w:val="left"/>
      </w:pPr>
      <w:r>
        <w:fldChar w:fldCharType="end"/>
      </w:r>
    </w:p>
    <w:p w14:paraId="28DB96F8" w14:textId="5A93C985" w:rsidR="00474E65" w:rsidRDefault="00474E65">
      <w:pPr>
        <w:spacing w:line="276" w:lineRule="auto"/>
        <w:jc w:val="left"/>
      </w:pPr>
      <w:r>
        <w:br w:type="page"/>
      </w:r>
    </w:p>
    <w:p w14:paraId="6D25DB46" w14:textId="30C7382D" w:rsidR="00EE070D" w:rsidRDefault="00EE070D" w:rsidP="00B5459F">
      <w:pPr>
        <w:pStyle w:val="Heading1"/>
      </w:pPr>
      <w:bookmarkStart w:id="2" w:name="_Toc153291121"/>
      <w:r>
        <w:lastRenderedPageBreak/>
        <w:t>Introduction</w:t>
      </w:r>
      <w:bookmarkEnd w:id="2"/>
    </w:p>
    <w:p w14:paraId="23CD073B" w14:textId="7579709B" w:rsidR="00EE070D" w:rsidRPr="00EE070D" w:rsidRDefault="00EE070D" w:rsidP="003040B2">
      <w:pPr>
        <w:pStyle w:val="Heading3"/>
        <w:spacing w:before="160"/>
      </w:pPr>
      <w:bookmarkStart w:id="3" w:name="_Toc153291122"/>
      <w:r w:rsidRPr="00EE070D">
        <w:t>Scope</w:t>
      </w:r>
      <w:r w:rsidR="0095484C">
        <w:t xml:space="preserve"> of this White Paper</w:t>
      </w:r>
      <w:bookmarkEnd w:id="3"/>
    </w:p>
    <w:p w14:paraId="0A9666B2" w14:textId="1C994861" w:rsidR="0050568D" w:rsidRDefault="00154135" w:rsidP="002C366A">
      <w:r>
        <w:t xml:space="preserve">Payments by partnerships to partners can be </w:t>
      </w:r>
      <w:r w:rsidR="002E285E">
        <w:t>categorized in various ways and may have very different tax effects</w:t>
      </w:r>
      <w:r w:rsidR="00A71355">
        <w:t xml:space="preserve"> </w:t>
      </w:r>
      <w:r w:rsidR="002478BE">
        <w:t>depending on a number of factors</w:t>
      </w:r>
      <w:r w:rsidR="002E285E">
        <w:t xml:space="preserve">. </w:t>
      </w:r>
      <w:r w:rsidR="0050568D">
        <w:t>As a result of initial research and discussion</w:t>
      </w:r>
      <w:r w:rsidR="002478BE">
        <w:t>,</w:t>
      </w:r>
      <w:r w:rsidR="0050568D">
        <w:t xml:space="preserve"> the scope of this white paper has been limited to the following </w:t>
      </w:r>
      <w:r w:rsidR="00BB02C1">
        <w:t>question</w:t>
      </w:r>
      <w:r w:rsidR="0050568D">
        <w:t>:</w:t>
      </w:r>
    </w:p>
    <w:p w14:paraId="464312E2" w14:textId="2FDFEED6" w:rsidR="0050568D" w:rsidRDefault="000F06F4" w:rsidP="006E640D">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276" w:lineRule="auto"/>
        <w:ind w:left="1440" w:right="1440"/>
        <w:jc w:val="left"/>
      </w:pPr>
      <w:r>
        <w:t>Should</w:t>
      </w:r>
      <w:r w:rsidR="00BB02C1">
        <w:t xml:space="preserve"> </w:t>
      </w:r>
      <w:r w:rsidR="00CB235A">
        <w:t xml:space="preserve">states source </w:t>
      </w:r>
      <w:r w:rsidR="00DB7C7C">
        <w:t xml:space="preserve">an individual partner’s </w:t>
      </w:r>
      <w:r w:rsidR="00FB3314">
        <w:t xml:space="preserve">guaranteed payments for services </w:t>
      </w:r>
      <w:r>
        <w:t xml:space="preserve">as distributive share or </w:t>
      </w:r>
      <w:r w:rsidR="00061394">
        <w:t xml:space="preserve">as </w:t>
      </w:r>
      <w:r>
        <w:t>compensation</w:t>
      </w:r>
      <w:r w:rsidR="00BB02C1">
        <w:t>?</w:t>
      </w:r>
    </w:p>
    <w:p w14:paraId="0B9B17A3" w14:textId="3B793F3A" w:rsidR="00EE070D" w:rsidRPr="00EE070D" w:rsidRDefault="006F513A" w:rsidP="00C31D1A">
      <w:r>
        <w:t>The white paper do</w:t>
      </w:r>
      <w:r w:rsidR="002478BE">
        <w:t>es</w:t>
      </w:r>
      <w:r>
        <w:t xml:space="preserve"> not </w:t>
      </w:r>
      <w:r w:rsidR="006557B6">
        <w:t xml:space="preserve">address </w:t>
      </w:r>
      <w:r w:rsidR="00015D62">
        <w:t>guaranteed payments made for the use of capital</w:t>
      </w:r>
      <w:r w:rsidR="00BA1B12">
        <w:t xml:space="preserve">, guaranteed </w:t>
      </w:r>
      <w:r w:rsidR="00015D62">
        <w:t>payments made to</w:t>
      </w:r>
      <w:r w:rsidR="005E0362">
        <w:t xml:space="preserve"> partners that are corporations or pass-through entities,</w:t>
      </w:r>
      <w:r w:rsidR="00535149">
        <w:t xml:space="preserve"> </w:t>
      </w:r>
      <w:r w:rsidR="00717A7C">
        <w:t xml:space="preserve">payments to indirect partners, </w:t>
      </w:r>
      <w:r w:rsidR="005706AB">
        <w:t>or</w:t>
      </w:r>
      <w:r w:rsidR="00535149">
        <w:t xml:space="preserve"> </w:t>
      </w:r>
      <w:r w:rsidR="005706AB">
        <w:t>other</w:t>
      </w:r>
      <w:r w:rsidR="00535149">
        <w:t xml:space="preserve"> payments made</w:t>
      </w:r>
      <w:r w:rsidR="004D58EC">
        <w:t xml:space="preserve"> to</w:t>
      </w:r>
      <w:r w:rsidR="00535149">
        <w:t xml:space="preserve"> </w:t>
      </w:r>
      <w:r w:rsidR="00F33F7B">
        <w:t xml:space="preserve">partners </w:t>
      </w:r>
      <w:r w:rsidR="005706AB">
        <w:t xml:space="preserve">not </w:t>
      </w:r>
      <w:r w:rsidR="00F33F7B">
        <w:t>acting in the capacity of partners</w:t>
      </w:r>
      <w:r w:rsidR="00D530E5">
        <w:t>.</w:t>
      </w:r>
      <w:r w:rsidR="00015D62">
        <w:t xml:space="preserve"> </w:t>
      </w:r>
    </w:p>
    <w:p w14:paraId="3FF0494D" w14:textId="57DA8E62" w:rsidR="00EE070D" w:rsidRPr="00EE070D" w:rsidRDefault="00EE070D" w:rsidP="003040B2">
      <w:pPr>
        <w:pStyle w:val="Heading3"/>
        <w:spacing w:before="160"/>
      </w:pPr>
      <w:bookmarkStart w:id="4" w:name="_Toc153291123"/>
      <w:r w:rsidRPr="00EE070D">
        <w:t>MTC Partnership Work Group</w:t>
      </w:r>
      <w:bookmarkEnd w:id="4"/>
    </w:p>
    <w:p w14:paraId="0038E5D2" w14:textId="77777777" w:rsidR="00EE070D" w:rsidRPr="00EE070D" w:rsidRDefault="00EE070D" w:rsidP="00C31D1A">
      <w:r w:rsidRPr="00EE070D">
        <w:t>This white paper was prepared by the staff of the Multistate Tax Commission with the advice and assistance of a work group of member states established by the MTC uniformity committee. The work group was created to study how states tax the multistate income of partnerships and to recommend how they might do so in a more effective, compatible, and uniform manner—consistent with established state tax policies and the shared principles for dividing multistate income.</w:t>
      </w:r>
    </w:p>
    <w:p w14:paraId="21D54A69" w14:textId="76952DD3" w:rsidR="00EE070D" w:rsidRPr="00EE070D" w:rsidRDefault="00EE070D" w:rsidP="003040B2">
      <w:pPr>
        <w:pStyle w:val="Heading3"/>
        <w:spacing w:before="160"/>
      </w:pPr>
      <w:bookmarkStart w:id="5" w:name="_Toc153291124"/>
      <w:r w:rsidRPr="00EE070D">
        <w:t>Reason for the White Paper</w:t>
      </w:r>
      <w:bookmarkEnd w:id="5"/>
    </w:p>
    <w:p w14:paraId="0E945C91" w14:textId="4D671263" w:rsidR="00EE070D" w:rsidRPr="00EE070D" w:rsidRDefault="00EE070D" w:rsidP="002C366A">
      <w:r w:rsidRPr="00EE070D">
        <w:t xml:space="preserve">The workgroup </w:t>
      </w:r>
      <w:r w:rsidR="00AF5C60">
        <w:t>has</w:t>
      </w:r>
      <w:r w:rsidRPr="00EE070D">
        <w:t xml:space="preserve"> developed a comprehensive outline of issues </w:t>
      </w:r>
      <w:r w:rsidR="00DF269C">
        <w:t xml:space="preserve">that should </w:t>
      </w:r>
      <w:r w:rsidR="00AF5C60">
        <w:t xml:space="preserve">be addressed by </w:t>
      </w:r>
      <w:r w:rsidRPr="00EE070D">
        <w:t xml:space="preserve">states </w:t>
      </w:r>
      <w:r w:rsidR="00AF5C60">
        <w:t>that tax</w:t>
      </w:r>
      <w:r w:rsidRPr="00EE070D">
        <w:t xml:space="preserve"> partnership income.</w:t>
      </w:r>
      <w:r w:rsidRPr="00EE070D">
        <w:rPr>
          <w:vertAlign w:val="superscript"/>
        </w:rPr>
        <w:footnoteReference w:id="2"/>
      </w:r>
      <w:r w:rsidRPr="00EE070D">
        <w:t xml:space="preserve"> The outline showed that, for some issues, states</w:t>
      </w:r>
      <w:r w:rsidR="00493EC3">
        <w:t>’</w:t>
      </w:r>
      <w:r w:rsidRPr="00EE070D">
        <w:t xml:space="preserve"> rules were </w:t>
      </w:r>
      <w:r w:rsidR="00DF269C">
        <w:t xml:space="preserve">either </w:t>
      </w:r>
      <w:r w:rsidRPr="00EE070D">
        <w:t xml:space="preserve">lacking or inconsistent. One such issue involves the </w:t>
      </w:r>
      <w:r w:rsidR="00107AC0">
        <w:t xml:space="preserve">sourcing </w:t>
      </w:r>
      <w:r w:rsidRPr="00EE070D">
        <w:t xml:space="preserve">of </w:t>
      </w:r>
      <w:r w:rsidR="00985D7C">
        <w:t xml:space="preserve">guaranteed payments for services. </w:t>
      </w:r>
      <w:r w:rsidRPr="00EE070D">
        <w:t>The work</w:t>
      </w:r>
      <w:r w:rsidR="00CE599F">
        <w:t xml:space="preserve"> </w:t>
      </w:r>
      <w:r w:rsidRPr="00EE070D">
        <w:t xml:space="preserve">group decided to address </w:t>
      </w:r>
      <w:r w:rsidR="00CE599F">
        <w:t>this issue as</w:t>
      </w:r>
      <w:r w:rsidRPr="00EE070D">
        <w:t xml:space="preserve"> part of its review of state sourcing of partnership income</w:t>
      </w:r>
      <w:r w:rsidR="00836BA8">
        <w:t>, generally</w:t>
      </w:r>
      <w:r w:rsidRPr="00EE070D">
        <w:t xml:space="preserve">. </w:t>
      </w:r>
    </w:p>
    <w:p w14:paraId="6CAFCDF0" w14:textId="2C2A95A4" w:rsidR="00EE070D" w:rsidRPr="00EE070D" w:rsidRDefault="00EE070D" w:rsidP="003040B2">
      <w:pPr>
        <w:pStyle w:val="Heading3"/>
        <w:spacing w:before="160"/>
      </w:pPr>
      <w:bookmarkStart w:id="6" w:name="_Toc153291125"/>
      <w:r w:rsidRPr="00EE070D">
        <w:t>Approach Taken in the White Paper</w:t>
      </w:r>
      <w:bookmarkEnd w:id="6"/>
    </w:p>
    <w:p w14:paraId="2F7C50EC" w14:textId="6341E1C5" w:rsidR="00EE070D" w:rsidRPr="00EE070D" w:rsidRDefault="00EE070D" w:rsidP="002C366A">
      <w:r w:rsidRPr="00EE070D">
        <w:t>This white p</w:t>
      </w:r>
      <w:r w:rsidRPr="00C31D1A">
        <w:t>aper contains the following sections in addition to the findings and recommendations which are sum</w:t>
      </w:r>
      <w:r w:rsidRPr="00EE070D">
        <w:t xml:space="preserve">marized </w:t>
      </w:r>
      <w:r>
        <w:t xml:space="preserve">in the Executive Summary </w:t>
      </w:r>
      <w:r w:rsidRPr="00EE070D">
        <w:t xml:space="preserve">below and detailed in the </w:t>
      </w:r>
      <w:r w:rsidR="003040B2">
        <w:t>Section V</w:t>
      </w:r>
      <w:r>
        <w:t xml:space="preserve"> of the paper</w:t>
      </w:r>
      <w:r w:rsidRPr="00EE070D">
        <w:t xml:space="preserve">: </w:t>
      </w:r>
    </w:p>
    <w:p w14:paraId="5831B229" w14:textId="74D9CE2E" w:rsidR="003040B2" w:rsidRDefault="003040B2" w:rsidP="003040B2">
      <w:pPr>
        <w:spacing w:after="80"/>
        <w:ind w:left="144" w:right="144"/>
        <w:jc w:val="left"/>
      </w:pPr>
      <w:r>
        <w:rPr>
          <w:u w:val="single"/>
        </w:rPr>
        <w:t xml:space="preserve">Section I. </w:t>
      </w:r>
      <w:r w:rsidR="00EC3FB7" w:rsidRPr="00963385">
        <w:rPr>
          <w:u w:val="single"/>
        </w:rPr>
        <w:t>Important Context</w:t>
      </w:r>
      <w:r w:rsidR="00053B4B">
        <w:t xml:space="preserve"> </w:t>
      </w:r>
      <w:r w:rsidR="00A05E2C">
        <w:t>–</w:t>
      </w:r>
      <w:r w:rsidR="00053B4B">
        <w:t xml:space="preserve"> </w:t>
      </w:r>
      <w:r w:rsidR="00EC3FB7">
        <w:t xml:space="preserve">Provides </w:t>
      </w:r>
      <w:r>
        <w:t xml:space="preserve">a summary of </w:t>
      </w:r>
      <w:r w:rsidR="00420CBF">
        <w:t xml:space="preserve">terms and concepts used in the </w:t>
      </w:r>
      <w:r w:rsidR="00AD7936">
        <w:t>partnership tax</w:t>
      </w:r>
      <w:r w:rsidR="00420CBF">
        <w:t xml:space="preserve"> system</w:t>
      </w:r>
      <w:r>
        <w:t xml:space="preserve">, state sourcing rules, and related  information necessary for </w:t>
      </w:r>
      <w:r w:rsidR="00A05E2C">
        <w:t>understanding</w:t>
      </w:r>
      <w:r>
        <w:t xml:space="preserve"> the issues</w:t>
      </w:r>
      <w:r w:rsidR="00A05E2C">
        <w:t>;</w:t>
      </w:r>
    </w:p>
    <w:p w14:paraId="347AE502" w14:textId="40FBD5F5" w:rsidR="003040B2" w:rsidRDefault="003040B2" w:rsidP="003040B2">
      <w:pPr>
        <w:spacing w:after="80"/>
        <w:ind w:left="144" w:right="144"/>
        <w:jc w:val="left"/>
      </w:pPr>
      <w:r>
        <w:rPr>
          <w:u w:val="single"/>
        </w:rPr>
        <w:t xml:space="preserve">Section II. </w:t>
      </w:r>
      <w:r w:rsidR="00C02C58" w:rsidRPr="00963385">
        <w:rPr>
          <w:u w:val="single"/>
        </w:rPr>
        <w:t xml:space="preserve">Specific </w:t>
      </w:r>
      <w:r w:rsidR="00AE6BAF" w:rsidRPr="00963385">
        <w:rPr>
          <w:u w:val="single"/>
        </w:rPr>
        <w:t xml:space="preserve">Federal </w:t>
      </w:r>
      <w:r w:rsidR="00C02C58" w:rsidRPr="00963385">
        <w:rPr>
          <w:u w:val="single"/>
        </w:rPr>
        <w:t>Rules</w:t>
      </w:r>
      <w:r>
        <w:rPr>
          <w:u w:val="single"/>
        </w:rPr>
        <w:t xml:space="preserve"> for Guaranteed Payments</w:t>
      </w:r>
      <w:r w:rsidR="00C02C58">
        <w:t xml:space="preserve"> </w:t>
      </w:r>
      <w:r w:rsidR="00AE6BAF">
        <w:t xml:space="preserve">- </w:t>
      </w:r>
      <w:r w:rsidR="00EE070D" w:rsidRPr="00EE070D">
        <w:t xml:space="preserve"> </w:t>
      </w:r>
      <w:r w:rsidR="004D5B8E">
        <w:t>Summarizes</w:t>
      </w:r>
      <w:r w:rsidR="00115DFE">
        <w:t xml:space="preserve"> important federal rules to</w:t>
      </w:r>
      <w:r w:rsidR="00EE070D" w:rsidRPr="00EE070D">
        <w:t xml:space="preserve"> which states </w:t>
      </w:r>
      <w:r>
        <w:t xml:space="preserve">generally </w:t>
      </w:r>
      <w:r w:rsidR="00EE070D" w:rsidRPr="00EE070D">
        <w:t>conform;</w:t>
      </w:r>
    </w:p>
    <w:p w14:paraId="4F7A1342" w14:textId="77777777" w:rsidR="003040B2" w:rsidRDefault="003040B2" w:rsidP="003040B2">
      <w:pPr>
        <w:spacing w:after="80"/>
        <w:ind w:left="144" w:right="144"/>
        <w:jc w:val="left"/>
      </w:pPr>
      <w:r>
        <w:rPr>
          <w:u w:val="single"/>
        </w:rPr>
        <w:t xml:space="preserve">Section III. </w:t>
      </w:r>
      <w:r w:rsidR="00115DFE" w:rsidRPr="00963385">
        <w:rPr>
          <w:u w:val="single"/>
        </w:rPr>
        <w:t>Amounts and Types of Guaranteed Payments</w:t>
      </w:r>
      <w:r w:rsidR="00115DFE">
        <w:t xml:space="preserve"> </w:t>
      </w:r>
      <w:r w:rsidR="009E7843">
        <w:t>–</w:t>
      </w:r>
      <w:r w:rsidR="00115DFE">
        <w:t xml:space="preserve"> </w:t>
      </w:r>
      <w:r w:rsidR="004515F5">
        <w:t>S</w:t>
      </w:r>
      <w:r w:rsidR="009E7843">
        <w:t xml:space="preserve">ummarizes data on guaranteed payments and </w:t>
      </w:r>
      <w:r w:rsidR="004B3AB9">
        <w:t xml:space="preserve">provides </w:t>
      </w:r>
      <w:r w:rsidR="009E7843">
        <w:t>some examples of how they are used</w:t>
      </w:r>
      <w:r w:rsidR="00EE070D" w:rsidRPr="00EE070D">
        <w:t>;</w:t>
      </w:r>
      <w:r w:rsidR="00F915C5">
        <w:t xml:space="preserve"> and</w:t>
      </w:r>
    </w:p>
    <w:p w14:paraId="52E86248" w14:textId="53B75404" w:rsidR="00EE070D" w:rsidRDefault="003040B2" w:rsidP="003040B2">
      <w:pPr>
        <w:spacing w:after="80"/>
        <w:ind w:left="144" w:right="144"/>
        <w:jc w:val="left"/>
      </w:pPr>
      <w:r>
        <w:rPr>
          <w:u w:val="single"/>
        </w:rPr>
        <w:t xml:space="preserve">Section IV. </w:t>
      </w:r>
      <w:r w:rsidR="009E7843" w:rsidRPr="00963385">
        <w:rPr>
          <w:u w:val="single"/>
        </w:rPr>
        <w:t>State Sourcing Rules</w:t>
      </w:r>
      <w:r w:rsidR="009E7843">
        <w:t xml:space="preserve"> – </w:t>
      </w:r>
      <w:r w:rsidR="004515F5">
        <w:t>Provides a</w:t>
      </w:r>
      <w:r w:rsidR="00EE070D" w:rsidRPr="00EE070D">
        <w:t xml:space="preserve"> survey of the rules for sourcing guaranteed payments that have been adopted by the states. </w:t>
      </w:r>
    </w:p>
    <w:p w14:paraId="27D4E544" w14:textId="7C9C0C6C" w:rsidR="00EE070D" w:rsidRDefault="0017087C" w:rsidP="003040B2">
      <w:pPr>
        <w:pStyle w:val="Heading3"/>
        <w:spacing w:before="160"/>
      </w:pPr>
      <w:bookmarkStart w:id="7" w:name="_Toc153291126"/>
      <w:r>
        <w:t>Note on Complexity</w:t>
      </w:r>
      <w:bookmarkEnd w:id="7"/>
    </w:p>
    <w:p w14:paraId="2FBDC833" w14:textId="3F5F3A0D" w:rsidR="00491369" w:rsidRDefault="00983208" w:rsidP="002C366A">
      <w:r>
        <w:t>E</w:t>
      </w:r>
      <w:r w:rsidR="0017087C">
        <w:t xml:space="preserve">conomic arrangements between partners can take many </w:t>
      </w:r>
      <w:r w:rsidR="00F2427C">
        <w:t xml:space="preserve">different </w:t>
      </w:r>
      <w:r w:rsidR="0017087C">
        <w:t>forms and can</w:t>
      </w:r>
      <w:r w:rsidR="00F2427C">
        <w:t xml:space="preserve"> often</w:t>
      </w:r>
      <w:r w:rsidR="0017087C">
        <w:t xml:space="preserve"> be </w:t>
      </w:r>
      <w:r>
        <w:t xml:space="preserve">exceptionally </w:t>
      </w:r>
      <w:r w:rsidR="0017087C">
        <w:t xml:space="preserve">complex in nature. </w:t>
      </w:r>
      <w:r>
        <w:t>G</w:t>
      </w:r>
      <w:r w:rsidR="0017087C">
        <w:t>uaranteed payments</w:t>
      </w:r>
      <w:r w:rsidR="00E43C04">
        <w:t xml:space="preserve"> </w:t>
      </w:r>
      <w:r w:rsidR="008D539B">
        <w:t xml:space="preserve">are often used </w:t>
      </w:r>
      <w:r w:rsidR="00E43C04">
        <w:t xml:space="preserve">in </w:t>
      </w:r>
      <w:r w:rsidR="001C7A3C">
        <w:t xml:space="preserve">partnership </w:t>
      </w:r>
      <w:r w:rsidR="00E43C04">
        <w:t>arrangements</w:t>
      </w:r>
      <w:r w:rsidR="0017087C">
        <w:t xml:space="preserve">, and the basis for those payments, can vary greatly. </w:t>
      </w:r>
      <w:r w:rsidR="008D539B">
        <w:t>T</w:t>
      </w:r>
      <w:r w:rsidR="0017087C">
        <w:t xml:space="preserve">he treatment of guaranteed payments </w:t>
      </w:r>
      <w:r w:rsidR="00E43C04">
        <w:t xml:space="preserve">under </w:t>
      </w:r>
      <w:r w:rsidR="00F915C5">
        <w:t>Internal Revenue Code, Subchapter K</w:t>
      </w:r>
      <w:r w:rsidR="00E43C04">
        <w:t xml:space="preserve"> is, itself, somewhat complicated and varies depending on the purpose of the guaranteed payment. </w:t>
      </w:r>
    </w:p>
    <w:p w14:paraId="4827640A" w14:textId="4342E9BA" w:rsidR="0017087C" w:rsidRPr="0017087C" w:rsidRDefault="00E43C04" w:rsidP="002C366A">
      <w:r>
        <w:t>Th</w:t>
      </w:r>
      <w:r w:rsidR="00AC33BA">
        <w:t>e purpose of this</w:t>
      </w:r>
      <w:r>
        <w:t xml:space="preserve"> white paper </w:t>
      </w:r>
      <w:r w:rsidR="00AC33BA">
        <w:t xml:space="preserve">is to identify and describe </w:t>
      </w:r>
      <w:r w:rsidR="003D1A73">
        <w:t xml:space="preserve">aspects of guaranteed payments </w:t>
      </w:r>
      <w:r w:rsidR="00CD5FAB">
        <w:t xml:space="preserve">for services </w:t>
      </w:r>
      <w:r w:rsidR="003D1A73">
        <w:t>that may affect state sourcing of those payments</w:t>
      </w:r>
      <w:r w:rsidR="0033492A">
        <w:t>. It</w:t>
      </w:r>
      <w:r w:rsidR="00E17ADD">
        <w:t xml:space="preserve"> </w:t>
      </w:r>
      <w:r>
        <w:t>does not attempt to set out a comprehensive analysis of guaranteed payments</w:t>
      </w:r>
      <w:r w:rsidR="008B1E5A">
        <w:t xml:space="preserve"> or their treatment for tax purposes</w:t>
      </w:r>
      <w:r w:rsidR="00E17ADD">
        <w:t xml:space="preserve"> generally</w:t>
      </w:r>
      <w:r>
        <w:t>.</w:t>
      </w:r>
    </w:p>
    <w:p w14:paraId="1A2960B8" w14:textId="65C2DFB3" w:rsidR="00B5459F" w:rsidRDefault="00B5459F" w:rsidP="00B5459F">
      <w:pPr>
        <w:pStyle w:val="Heading1"/>
      </w:pPr>
      <w:bookmarkStart w:id="8" w:name="_Toc153291127"/>
      <w:r w:rsidRPr="00CD11CF">
        <w:lastRenderedPageBreak/>
        <w:t>Executive</w:t>
      </w:r>
      <w:r w:rsidRPr="0019545B">
        <w:t xml:space="preserve"> Summary</w:t>
      </w:r>
      <w:bookmarkEnd w:id="8"/>
    </w:p>
    <w:p w14:paraId="1FF23A0B" w14:textId="4E38B8CE" w:rsidR="00CC3793" w:rsidRDefault="00F115EC" w:rsidP="00D32D8F">
      <w:pPr>
        <w:spacing w:after="120"/>
      </w:pPr>
      <w:r>
        <w:t>Only about half the</w:t>
      </w:r>
      <w:r w:rsidR="0089577D">
        <w:t xml:space="preserve"> states </w:t>
      </w:r>
      <w:r w:rsidR="00AB21CD">
        <w:t xml:space="preserve">explicitly address the sourcing of guaranteed payments made to </w:t>
      </w:r>
      <w:r w:rsidR="0069191F">
        <w:t xml:space="preserve">partners </w:t>
      </w:r>
      <w:r w:rsidR="00AB21CD">
        <w:t>for services. The majority of th</w:t>
      </w:r>
      <w:r>
        <w:t>ose</w:t>
      </w:r>
      <w:r w:rsidR="00AB21CD">
        <w:t xml:space="preserve"> states </w:t>
      </w:r>
      <w:r w:rsidR="001C7A3C">
        <w:t xml:space="preserve">generally </w:t>
      </w:r>
      <w:r w:rsidR="00AB21CD">
        <w:t xml:space="preserve">source these payments in the same way as distributive share. </w:t>
      </w:r>
      <w:r>
        <w:t>A minority</w:t>
      </w:r>
      <w:r w:rsidR="00AB21CD">
        <w:t xml:space="preserve"> use an approach that looks to where the services are performed by the partner—which this white paper refers to as the “compensation” approach. </w:t>
      </w:r>
    </w:p>
    <w:p w14:paraId="23945A8B" w14:textId="78DB3685" w:rsidR="00A10F86" w:rsidRDefault="00CC3793" w:rsidP="00D32D8F">
      <w:pPr>
        <w:spacing w:after="120"/>
      </w:pPr>
      <w:r>
        <w:t xml:space="preserve">Using different sourcing approaches may lead to duplicative taxation. Also, </w:t>
      </w:r>
      <w:r w:rsidR="0069191F">
        <w:t>state</w:t>
      </w:r>
      <w:r w:rsidR="001C7A3C">
        <w:t>s that have adopted</w:t>
      </w:r>
      <w:r w:rsidR="0069191F">
        <w:t xml:space="preserve"> </w:t>
      </w:r>
      <w:r w:rsidR="006E790A">
        <w:t xml:space="preserve">an elective entity-level tax </w:t>
      </w:r>
      <w:r w:rsidR="001C7A3C">
        <w:t>that include</w:t>
      </w:r>
      <w:r w:rsidR="006E790A">
        <w:t>s</w:t>
      </w:r>
      <w:r w:rsidR="001C7A3C">
        <w:t xml:space="preserve"> </w:t>
      </w:r>
      <w:r w:rsidR="00A10F86">
        <w:t>guaranteed payments in the entity</w:t>
      </w:r>
      <w:r w:rsidR="006E790A">
        <w:t>’s</w:t>
      </w:r>
      <w:r w:rsidR="00A10F86">
        <w:t xml:space="preserve"> tax base</w:t>
      </w:r>
      <w:r w:rsidR="001C7A3C">
        <w:t xml:space="preserve"> would likely need to source the payments consistent with the way in which they are sourced under the pass-through system. </w:t>
      </w:r>
    </w:p>
    <w:p w14:paraId="6C4872CA" w14:textId="0CC7863A" w:rsidR="00195BA8" w:rsidRDefault="00D32D8F" w:rsidP="00D32D8F">
      <w:pPr>
        <w:spacing w:after="120"/>
      </w:pPr>
      <w:r>
        <w:t xml:space="preserve">Guaranteed payments for services may be distinguished from other types of partnership income/payments in both economic terms </w:t>
      </w:r>
      <w:r w:rsidR="001C2AB3">
        <w:t>as well as</w:t>
      </w:r>
      <w:r>
        <w:t xml:space="preserve"> for </w:t>
      </w:r>
      <w:r w:rsidR="00B055FC">
        <w:t xml:space="preserve">federal and state </w:t>
      </w:r>
      <w:r>
        <w:t xml:space="preserve">tax purposes. But </w:t>
      </w:r>
      <w:r w:rsidR="00B055FC">
        <w:t>these differences do not clear</w:t>
      </w:r>
      <w:r w:rsidR="0089577D">
        <w:t xml:space="preserve">ly point to </w:t>
      </w:r>
      <w:r w:rsidR="00037C31">
        <w:t xml:space="preserve">one particular state sourcing method for these payments. </w:t>
      </w:r>
      <w:r w:rsidR="001C2AB3">
        <w:t xml:space="preserve">Nor does it appear that there is anything </w:t>
      </w:r>
      <w:r>
        <w:t>that prevents states from using either of the methods</w:t>
      </w:r>
      <w:r w:rsidR="00402AF9">
        <w:t xml:space="preserve"> in most cases</w:t>
      </w:r>
      <w:r>
        <w:t xml:space="preserve">. </w:t>
      </w:r>
      <w:r w:rsidR="001C2AB3">
        <w:t>Rather, d</w:t>
      </w:r>
      <w:r>
        <w:t xml:space="preserve">ifferent factors </w:t>
      </w:r>
      <w:r w:rsidR="003F2633">
        <w:t xml:space="preserve">(set out more fully in Section V) </w:t>
      </w:r>
      <w:r>
        <w:t xml:space="preserve">may generally favor one method versus the other. </w:t>
      </w:r>
    </w:p>
    <w:p w14:paraId="35B7E4D4" w14:textId="00AF9DE1" w:rsidR="00D32D8F" w:rsidRDefault="00D32D8F" w:rsidP="00D32D8F">
      <w:pPr>
        <w:spacing w:after="120"/>
      </w:pPr>
      <w:r>
        <w:t>Nevertheless, this white paper can make the following recommendations:</w:t>
      </w:r>
    </w:p>
    <w:p w14:paraId="3061D350" w14:textId="77777777" w:rsidR="00122E68" w:rsidRPr="00122E68" w:rsidRDefault="00122E68" w:rsidP="00122E68">
      <w:pPr>
        <w:numPr>
          <w:ilvl w:val="0"/>
          <w:numId w:val="26"/>
        </w:numPr>
      </w:pPr>
      <w:r w:rsidRPr="00122E68">
        <w:t xml:space="preserve">States should explicitly address the sourcing of guaranteed payments in order to avoid uncertainty. </w:t>
      </w:r>
    </w:p>
    <w:p w14:paraId="33F46241" w14:textId="35F5FCBF" w:rsidR="00122E68" w:rsidRPr="00122E68" w:rsidRDefault="00122E68" w:rsidP="00122E68">
      <w:pPr>
        <w:numPr>
          <w:ilvl w:val="0"/>
          <w:numId w:val="26"/>
        </w:numPr>
      </w:pPr>
      <w:r w:rsidRPr="00122E68">
        <w:t xml:space="preserve">States should source guaranteed payments the same whether </w:t>
      </w:r>
      <w:r w:rsidR="006E790A">
        <w:t>taxing</w:t>
      </w:r>
      <w:r w:rsidRPr="00122E68">
        <w:t xml:space="preserve"> the partner on a pass-through basis or </w:t>
      </w:r>
      <w:r w:rsidR="006E790A">
        <w:t>taxing</w:t>
      </w:r>
      <w:r w:rsidRPr="00122E68">
        <w:t xml:space="preserve"> the entity. </w:t>
      </w:r>
    </w:p>
    <w:p w14:paraId="416A2850" w14:textId="77777777" w:rsidR="00122E68" w:rsidRPr="00122E68" w:rsidRDefault="00122E68" w:rsidP="00122E68">
      <w:pPr>
        <w:numPr>
          <w:ilvl w:val="0"/>
          <w:numId w:val="26"/>
        </w:numPr>
      </w:pPr>
      <w:r w:rsidRPr="00122E68">
        <w:t xml:space="preserve">States that provide guaranteed payments should be sourced as distributive share should also: </w:t>
      </w:r>
    </w:p>
    <w:p w14:paraId="20995098" w14:textId="5B0108DA" w:rsidR="00122E68" w:rsidRPr="00122E68" w:rsidRDefault="00122E68" w:rsidP="00122E68">
      <w:pPr>
        <w:numPr>
          <w:ilvl w:val="1"/>
          <w:numId w:val="26"/>
        </w:numPr>
      </w:pPr>
      <w:r w:rsidRPr="00122E68">
        <w:t>Address whether this applies to individuals working in foreign jurisdictions who may source the payments as compensation for federal purposes</w:t>
      </w:r>
      <w:r w:rsidR="006E790A">
        <w:t xml:space="preserve"> </w:t>
      </w:r>
      <w:r w:rsidRPr="00122E68">
        <w:t>and provide necessary adjustments</w:t>
      </w:r>
      <w:r w:rsidR="006E790A">
        <w:t>, if any,</w:t>
      </w:r>
      <w:r w:rsidRPr="00122E68">
        <w:t xml:space="preserve"> to the federal tax base.</w:t>
      </w:r>
    </w:p>
    <w:p w14:paraId="34B58E4B" w14:textId="1548564D" w:rsidR="00122E68" w:rsidRPr="00122E68" w:rsidRDefault="00122E68" w:rsidP="00122E68">
      <w:pPr>
        <w:numPr>
          <w:ilvl w:val="1"/>
          <w:numId w:val="26"/>
        </w:numPr>
      </w:pPr>
      <w:r w:rsidRPr="00122E68">
        <w:t>Address whether they follow federal treatment in distinguishing guaranteed payments for services from partner-partnership transactions</w:t>
      </w:r>
      <w:r w:rsidR="006E790A">
        <w:t>, since these partner-partnership transactions will be sourced differently</w:t>
      </w:r>
      <w:r w:rsidRPr="00122E68">
        <w:t xml:space="preserve">. </w:t>
      </w:r>
    </w:p>
    <w:p w14:paraId="34209A21" w14:textId="77777777" w:rsidR="00122E68" w:rsidRDefault="00122E68" w:rsidP="00122E68">
      <w:pPr>
        <w:numPr>
          <w:ilvl w:val="1"/>
          <w:numId w:val="26"/>
        </w:numPr>
      </w:pPr>
      <w:r w:rsidRPr="00122E68">
        <w:t xml:space="preserve">Specify that this sourcing treatment does not apply to payments made to retired partners that are required to be sourced to residence under 4 U.S.C. §114. </w:t>
      </w:r>
    </w:p>
    <w:p w14:paraId="2694A5AF" w14:textId="3514F662" w:rsidR="005F3519" w:rsidRPr="00122E68" w:rsidRDefault="004C5DB8" w:rsidP="009603AF">
      <w:pPr>
        <w:numPr>
          <w:ilvl w:val="1"/>
          <w:numId w:val="26"/>
        </w:numPr>
        <w:shd w:val="clear" w:color="auto" w:fill="FFF6B3"/>
      </w:pPr>
      <w:r>
        <w:t>Consider whether, i</w:t>
      </w:r>
      <w:r w:rsidR="00CF4ABD">
        <w:t xml:space="preserve">n cases where </w:t>
      </w:r>
      <w:r w:rsidR="00A86864">
        <w:t>a</w:t>
      </w:r>
      <w:r w:rsidR="00CF4ABD">
        <w:t xml:space="preserve"> partnership might have </w:t>
      </w:r>
      <w:proofErr w:type="spellStart"/>
      <w:r w:rsidR="00CF4ABD">
        <w:t>non</w:t>
      </w:r>
      <w:r>
        <w:t>apportionable</w:t>
      </w:r>
      <w:proofErr w:type="spellEnd"/>
      <w:r>
        <w:t xml:space="preserve"> income, </w:t>
      </w:r>
      <w:r w:rsidR="005609B9">
        <w:t xml:space="preserve">there would </w:t>
      </w:r>
      <w:r w:rsidR="00A86864">
        <w:t>be</w:t>
      </w:r>
      <w:r w:rsidR="005609B9">
        <w:t xml:space="preserve"> circumstances in which </w:t>
      </w:r>
      <w:r>
        <w:t xml:space="preserve">some </w:t>
      </w:r>
      <w:r w:rsidR="00395D26">
        <w:t>amount</w:t>
      </w:r>
      <w:r>
        <w:t xml:space="preserve"> of a guaranteed payment might be attributed </w:t>
      </w:r>
      <w:r w:rsidR="00F26B50">
        <w:t>as an expense of the partnerships related to that income</w:t>
      </w:r>
      <w:r w:rsidR="00395D26">
        <w:t xml:space="preserve"> </w:t>
      </w:r>
      <w:r w:rsidR="009603AF">
        <w:t>to be sourced using rules of assignment</w:t>
      </w:r>
      <w:r w:rsidR="00395D26">
        <w:t xml:space="preserve">. </w:t>
      </w:r>
    </w:p>
    <w:p w14:paraId="61C5B762" w14:textId="77777777" w:rsidR="00122E68" w:rsidRPr="00122E68" w:rsidRDefault="00122E68" w:rsidP="00122E68">
      <w:pPr>
        <w:numPr>
          <w:ilvl w:val="0"/>
          <w:numId w:val="26"/>
        </w:numPr>
      </w:pPr>
      <w:r w:rsidRPr="00122E68">
        <w:t>States that source the payments as compensation should also:</w:t>
      </w:r>
    </w:p>
    <w:p w14:paraId="79190ACE" w14:textId="77777777" w:rsidR="00122E68" w:rsidRPr="00122E68" w:rsidRDefault="00122E68" w:rsidP="00122E68">
      <w:pPr>
        <w:numPr>
          <w:ilvl w:val="1"/>
          <w:numId w:val="26"/>
        </w:numPr>
      </w:pPr>
      <w:r w:rsidRPr="00122E68">
        <w:t xml:space="preserve">Impose appropriate limits to ensure that the payments are genuinely similar to compensation for services performed and to avoid income shifting. </w:t>
      </w:r>
    </w:p>
    <w:p w14:paraId="50C089BB" w14:textId="544087C1" w:rsidR="00122E68" w:rsidRPr="00122E68" w:rsidRDefault="00122E68" w:rsidP="00122E68">
      <w:pPr>
        <w:numPr>
          <w:ilvl w:val="1"/>
          <w:numId w:val="26"/>
        </w:numPr>
      </w:pPr>
      <w:r w:rsidRPr="00122E68">
        <w:t>Address whether they will follow federal treatment in distinguishing guaranteed payments from distributive share/distributions</w:t>
      </w:r>
      <w:r w:rsidR="006E790A">
        <w:t xml:space="preserve"> and special allocations</w:t>
      </w:r>
      <w:r w:rsidRPr="00122E68">
        <w:t>.</w:t>
      </w:r>
    </w:p>
    <w:p w14:paraId="05709F62" w14:textId="77777777" w:rsidR="00122E68" w:rsidRPr="00122E68" w:rsidRDefault="00122E68" w:rsidP="00122E68">
      <w:pPr>
        <w:numPr>
          <w:ilvl w:val="1"/>
          <w:numId w:val="26"/>
        </w:numPr>
      </w:pPr>
      <w:r w:rsidRPr="00122E68">
        <w:t xml:space="preserve">Address whether they will follow federal treatment in distinguishing guaranteed payments for services from guaranteed payments for capital. </w:t>
      </w:r>
    </w:p>
    <w:p w14:paraId="4C9F1AEA" w14:textId="77777777" w:rsidR="00122E68" w:rsidRDefault="00122E68" w:rsidP="00122E68">
      <w:pPr>
        <w:numPr>
          <w:ilvl w:val="0"/>
          <w:numId w:val="26"/>
        </w:numPr>
      </w:pPr>
      <w:r w:rsidRPr="00122E68">
        <w:t>To mitigate the possibility of multiple taxation, consider provisions that might grant additional credits to residents who can show that they paid tax on more than 100% of their guaranteed payments based on different state sourcing rules.</w:t>
      </w:r>
    </w:p>
    <w:p w14:paraId="4960ADFE" w14:textId="649C3D81" w:rsidR="00D530E5" w:rsidRDefault="00D530E5" w:rsidP="00A86864">
      <w:pPr>
        <w:rPr>
          <w:rFonts w:asciiTheme="majorHAnsi" w:eastAsiaTheme="majorEastAsia" w:hAnsiTheme="majorHAnsi" w:cstheme="majorBidi"/>
          <w:b/>
          <w:smallCaps/>
          <w:color w:val="851C00" w:themeColor="accent6" w:themeShade="BF"/>
          <w:sz w:val="32"/>
          <w:szCs w:val="32"/>
        </w:rPr>
      </w:pPr>
    </w:p>
    <w:p w14:paraId="482DF49D" w14:textId="65E2D05F" w:rsidR="00B5459F" w:rsidRDefault="00F54CF3" w:rsidP="00B5459F">
      <w:pPr>
        <w:pStyle w:val="Heading1"/>
      </w:pPr>
      <w:bookmarkStart w:id="9" w:name="_Toc153291128"/>
      <w:r>
        <w:lastRenderedPageBreak/>
        <w:t xml:space="preserve">Section </w:t>
      </w:r>
      <w:r w:rsidR="00B5459F">
        <w:t xml:space="preserve">I. </w:t>
      </w:r>
      <w:r w:rsidR="00A94288">
        <w:t xml:space="preserve">Important </w:t>
      </w:r>
      <w:r w:rsidR="00A85E6E">
        <w:t>Context</w:t>
      </w:r>
      <w:bookmarkEnd w:id="9"/>
    </w:p>
    <w:p w14:paraId="42AD2D9B" w14:textId="3F309C68" w:rsidR="003D5D9B" w:rsidRPr="003D5D9B" w:rsidRDefault="003D5D9B" w:rsidP="003D5D9B">
      <w:pPr>
        <w:jc w:val="center"/>
        <w:rPr>
          <w:i/>
          <w:iCs/>
        </w:rPr>
      </w:pPr>
      <w:r>
        <w:rPr>
          <w:i/>
          <w:iCs/>
        </w:rPr>
        <w:t xml:space="preserve">This Section I provides background information </w:t>
      </w:r>
      <w:r w:rsidR="00F50FE2">
        <w:rPr>
          <w:i/>
          <w:iCs/>
        </w:rPr>
        <w:t>necessary to understand</w:t>
      </w:r>
      <w:r w:rsidR="008B2114">
        <w:rPr>
          <w:i/>
          <w:iCs/>
        </w:rPr>
        <w:t xml:space="preserve"> </w:t>
      </w:r>
      <w:r w:rsidR="0030450A">
        <w:rPr>
          <w:i/>
          <w:iCs/>
        </w:rPr>
        <w:t>the issues discussed.</w:t>
      </w:r>
    </w:p>
    <w:p w14:paraId="512B2AE2" w14:textId="2B7A1831" w:rsidR="00491330" w:rsidRDefault="00F54CF3" w:rsidP="00753372">
      <w:pPr>
        <w:pStyle w:val="Heading2"/>
      </w:pPr>
      <w:bookmarkStart w:id="10" w:name="_Toc153291129"/>
      <w:r>
        <w:t xml:space="preserve">I. </w:t>
      </w:r>
      <w:r w:rsidR="00B5459F">
        <w:t xml:space="preserve">A. </w:t>
      </w:r>
      <w:r w:rsidR="00491330">
        <w:t>Terms</w:t>
      </w:r>
      <w:r w:rsidR="00A3333C">
        <w:t xml:space="preserve"> Used in this White Paper</w:t>
      </w:r>
      <w:bookmarkEnd w:id="10"/>
    </w:p>
    <w:p w14:paraId="5755DA2F" w14:textId="3A585EC5" w:rsidR="00436972" w:rsidRDefault="00E51C1F" w:rsidP="00436972">
      <w:r>
        <w:t xml:space="preserve">As used in this white paper, </w:t>
      </w:r>
      <w:r w:rsidR="00451C52">
        <w:t>these</w:t>
      </w:r>
      <w:r>
        <w:t xml:space="preserve"> terms will have the </w:t>
      </w:r>
      <w:r w:rsidR="00451C52">
        <w:t xml:space="preserve">following </w:t>
      </w:r>
      <w:r>
        <w:t>meaning</w:t>
      </w:r>
      <w:r w:rsidR="00436972">
        <w:t>:</w:t>
      </w:r>
    </w:p>
    <w:p w14:paraId="73E2254F" w14:textId="1115AC64" w:rsidR="00EE0E9C" w:rsidRPr="006E790A" w:rsidRDefault="00EE0E9C" w:rsidP="005E573B">
      <w:pPr>
        <w:spacing w:after="120"/>
        <w:ind w:left="432"/>
      </w:pPr>
      <w:r w:rsidRPr="00451C52">
        <w:rPr>
          <w:rStyle w:val="Heading4Char"/>
          <w:b/>
          <w:bCs/>
          <w:color w:val="auto"/>
          <w:u w:val="single"/>
        </w:rPr>
        <w:t>Substantive Tax Rules</w:t>
      </w:r>
      <w:r>
        <w:rPr>
          <w:rStyle w:val="Heading4Char"/>
          <w:bCs/>
          <w:color w:val="auto"/>
        </w:rPr>
        <w:t xml:space="preserve"> – refers to the tax rules outside of </w:t>
      </w:r>
      <w:r w:rsidR="00F915C5">
        <w:rPr>
          <w:rStyle w:val="Heading4Char"/>
          <w:bCs/>
          <w:color w:val="auto"/>
        </w:rPr>
        <w:t xml:space="preserve">IRC </w:t>
      </w:r>
      <w:r>
        <w:rPr>
          <w:rStyle w:val="Heading4Char"/>
          <w:bCs/>
          <w:color w:val="auto"/>
        </w:rPr>
        <w:t>Subchapter K which determine calculation of tax</w:t>
      </w:r>
      <w:r w:rsidR="00451C52">
        <w:rPr>
          <w:rStyle w:val="Heading4Char"/>
          <w:bCs/>
          <w:color w:val="auto"/>
        </w:rPr>
        <w:t xml:space="preserve">, for example: </w:t>
      </w:r>
      <w:r>
        <w:rPr>
          <w:rStyle w:val="Heading4Char"/>
          <w:bCs/>
          <w:color w:val="auto"/>
        </w:rPr>
        <w:t xml:space="preserve">whether income is taxable or exempt, whether expenses are deductible or capitalized and amortized, whether items are considered ordinary income (or loss) or capital gains (or losses), </w:t>
      </w:r>
      <w:r w:rsidR="00451C52">
        <w:rPr>
          <w:rStyle w:val="Heading4Char"/>
          <w:bCs/>
          <w:color w:val="auto"/>
        </w:rPr>
        <w:t xml:space="preserve">whether losses are subject to </w:t>
      </w:r>
      <w:r>
        <w:rPr>
          <w:rStyle w:val="Heading4Char"/>
          <w:bCs/>
          <w:color w:val="auto"/>
        </w:rPr>
        <w:t>limitation rules</w:t>
      </w:r>
      <w:r w:rsidR="00494E24">
        <w:rPr>
          <w:rStyle w:val="Heading4Char"/>
          <w:b/>
          <w:bCs/>
          <w:color w:val="auto"/>
        </w:rPr>
        <w:t xml:space="preserve">, </w:t>
      </w:r>
      <w:r w:rsidR="00494E24" w:rsidRPr="006E790A">
        <w:rPr>
          <w:rStyle w:val="Heading4Char"/>
          <w:color w:val="auto"/>
        </w:rPr>
        <w:t>etc.</w:t>
      </w:r>
    </w:p>
    <w:p w14:paraId="2DC95102" w14:textId="4668E987" w:rsidR="00EE0E9C" w:rsidRDefault="00EE0E9C" w:rsidP="005E573B">
      <w:pPr>
        <w:spacing w:after="120"/>
        <w:ind w:left="432"/>
        <w:rPr>
          <w:rStyle w:val="Heading4Char"/>
          <w:b/>
          <w:bCs/>
          <w:color w:val="auto"/>
        </w:rPr>
      </w:pPr>
      <w:r w:rsidRPr="00451C52">
        <w:rPr>
          <w:rStyle w:val="Heading4Char"/>
          <w:b/>
          <w:bCs/>
          <w:color w:val="auto"/>
          <w:u w:val="single"/>
        </w:rPr>
        <w:t>Sourcing or State Sourcing</w:t>
      </w:r>
      <w:r w:rsidRPr="00531B68">
        <w:rPr>
          <w:rStyle w:val="Heading4Char"/>
          <w:color w:val="auto"/>
        </w:rPr>
        <w:t xml:space="preserve"> – </w:t>
      </w:r>
      <w:r w:rsidR="00451C52">
        <w:rPr>
          <w:rStyle w:val="Heading4Char"/>
          <w:color w:val="auto"/>
        </w:rPr>
        <w:t xml:space="preserve">methods of </w:t>
      </w:r>
      <w:r w:rsidR="00451C52">
        <w:rPr>
          <w:rStyle w:val="Heading4Char"/>
          <w:bCs/>
          <w:color w:val="auto"/>
        </w:rPr>
        <w:t>assigning a part of</w:t>
      </w:r>
      <w:r w:rsidRPr="00753372">
        <w:rPr>
          <w:rStyle w:val="Heading4Char"/>
          <w:bCs/>
          <w:color w:val="auto"/>
        </w:rPr>
        <w:t xml:space="preserve"> multistate income or items </w:t>
      </w:r>
      <w:r w:rsidR="00451C52">
        <w:rPr>
          <w:rStyle w:val="Heading4Char"/>
          <w:bCs/>
          <w:color w:val="auto"/>
        </w:rPr>
        <w:t xml:space="preserve">to a state. </w:t>
      </w:r>
    </w:p>
    <w:p w14:paraId="764A681A" w14:textId="033619AE" w:rsidR="00AC5247" w:rsidRDefault="00AC5247" w:rsidP="005E573B">
      <w:pPr>
        <w:spacing w:after="120"/>
        <w:ind w:left="432"/>
      </w:pPr>
      <w:r w:rsidRPr="00451C52">
        <w:rPr>
          <w:rStyle w:val="Heading4Char"/>
          <w:b/>
          <w:bCs/>
          <w:color w:val="auto"/>
          <w:u w:val="single"/>
        </w:rPr>
        <w:t>Partnership</w:t>
      </w:r>
      <w:r>
        <w:t xml:space="preserve"> – any entity properly taxed under </w:t>
      </w:r>
      <w:r w:rsidR="000D1277">
        <w:t xml:space="preserve">IRC </w:t>
      </w:r>
      <w:r>
        <w:t>Subchapter K.</w:t>
      </w:r>
    </w:p>
    <w:p w14:paraId="2F8A2F29" w14:textId="4A274055" w:rsidR="00AC5247" w:rsidRDefault="00AC5247" w:rsidP="005E573B">
      <w:pPr>
        <w:spacing w:after="120"/>
        <w:ind w:left="432"/>
      </w:pPr>
      <w:r w:rsidRPr="00451C52">
        <w:rPr>
          <w:rStyle w:val="Heading4Char"/>
          <w:b/>
          <w:bCs/>
          <w:color w:val="auto"/>
          <w:u w:val="single"/>
        </w:rPr>
        <w:t>Partner</w:t>
      </w:r>
      <w:r>
        <w:t xml:space="preserve"> – any person (including </w:t>
      </w:r>
      <w:r w:rsidR="000D1277">
        <w:t xml:space="preserve">an </w:t>
      </w:r>
      <w:r>
        <w:t>individual, corporation, other partnership, trust, charitable organization, etc.) that hold</w:t>
      </w:r>
      <w:r w:rsidR="000D1277">
        <w:t>s</w:t>
      </w:r>
      <w:r>
        <w:t xml:space="preserve"> an interest in a partnership.</w:t>
      </w:r>
    </w:p>
    <w:p w14:paraId="14585206" w14:textId="3BC69047" w:rsidR="002B5BDD" w:rsidRDefault="00AC5247" w:rsidP="005E573B">
      <w:pPr>
        <w:spacing w:after="120"/>
        <w:ind w:left="432"/>
      </w:pPr>
      <w:r w:rsidRPr="00451C52">
        <w:rPr>
          <w:rStyle w:val="Heading4Char"/>
          <w:b/>
          <w:bCs/>
          <w:color w:val="auto"/>
          <w:u w:val="single"/>
        </w:rPr>
        <w:t>Pass-Through Entity</w:t>
      </w:r>
      <w:r>
        <w:t xml:space="preserve"> – any entity subject to federal tax on a pass-through basis including </w:t>
      </w:r>
      <w:r w:rsidR="000D1277">
        <w:t xml:space="preserve">a </w:t>
      </w:r>
      <w:r>
        <w:t xml:space="preserve">partnership </w:t>
      </w:r>
      <w:r w:rsidR="000D1277">
        <w:t>or</w:t>
      </w:r>
      <w:r>
        <w:t xml:space="preserve"> S corporation.</w:t>
      </w:r>
    </w:p>
    <w:p w14:paraId="4E1EA2DA" w14:textId="1F1D0CEA" w:rsidR="00EE0E9C" w:rsidRDefault="00EE0E9C" w:rsidP="005E573B">
      <w:pPr>
        <w:spacing w:after="120"/>
        <w:ind w:left="432"/>
        <w:rPr>
          <w:rStyle w:val="Heading4Char"/>
          <w:b/>
          <w:bCs/>
          <w:color w:val="auto"/>
        </w:rPr>
      </w:pPr>
      <w:r w:rsidRPr="00451C52">
        <w:rPr>
          <w:rStyle w:val="Heading4Char"/>
          <w:b/>
          <w:bCs/>
          <w:color w:val="auto"/>
          <w:u w:val="single"/>
        </w:rPr>
        <w:t>Partnership Item</w:t>
      </w:r>
      <w:r w:rsidR="00450949" w:rsidRPr="00451C52">
        <w:rPr>
          <w:rStyle w:val="Heading4Char"/>
          <w:b/>
          <w:bCs/>
          <w:color w:val="auto"/>
          <w:u w:val="single"/>
        </w:rPr>
        <w:t xml:space="preserve"> (Item)</w:t>
      </w:r>
      <w:r>
        <w:rPr>
          <w:rStyle w:val="Heading4Char"/>
          <w:color w:val="auto"/>
        </w:rPr>
        <w:t xml:space="preserve"> –</w:t>
      </w:r>
      <w:r w:rsidR="00451C52">
        <w:rPr>
          <w:rStyle w:val="Heading4Char"/>
          <w:bCs/>
          <w:color w:val="auto"/>
        </w:rPr>
        <w:t xml:space="preserve"> any item of </w:t>
      </w:r>
      <w:r>
        <w:rPr>
          <w:rStyle w:val="Heading4Char"/>
          <w:bCs/>
          <w:color w:val="auto"/>
        </w:rPr>
        <w:t>income, expense, gain, or loss that is separately recognized.</w:t>
      </w:r>
    </w:p>
    <w:p w14:paraId="581AF53A" w14:textId="3149E2CB" w:rsidR="00EE0E9C" w:rsidRPr="00EE0E9C" w:rsidRDefault="00EE0E9C" w:rsidP="005E573B">
      <w:pPr>
        <w:spacing w:after="120"/>
        <w:ind w:left="432"/>
      </w:pPr>
      <w:r w:rsidRPr="00451C52">
        <w:rPr>
          <w:rStyle w:val="Heading4Char"/>
          <w:b/>
          <w:bCs/>
          <w:color w:val="auto"/>
          <w:u w:val="single"/>
        </w:rPr>
        <w:t>Partnership Income</w:t>
      </w:r>
      <w:r>
        <w:rPr>
          <w:rStyle w:val="Heading4Char"/>
          <w:bCs/>
          <w:color w:val="auto"/>
        </w:rPr>
        <w:t xml:space="preserve"> – </w:t>
      </w:r>
      <w:r w:rsidR="006E790A">
        <w:rPr>
          <w:rStyle w:val="Heading4Char"/>
          <w:bCs/>
          <w:color w:val="auto"/>
        </w:rPr>
        <w:t>t</w:t>
      </w:r>
      <w:r>
        <w:rPr>
          <w:rStyle w:val="Heading4Char"/>
          <w:bCs/>
          <w:color w:val="auto"/>
        </w:rPr>
        <w:t>he calculation of income (or loss) of the partnership under Subchapter K and using the federal form 1065.</w:t>
      </w:r>
    </w:p>
    <w:p w14:paraId="12935297" w14:textId="31835895" w:rsidR="00855637" w:rsidRDefault="00855637" w:rsidP="005E573B">
      <w:pPr>
        <w:spacing w:after="120"/>
        <w:ind w:left="432"/>
      </w:pPr>
      <w:r w:rsidRPr="00451C52">
        <w:rPr>
          <w:rStyle w:val="Heading4Char"/>
          <w:b/>
          <w:color w:val="auto"/>
          <w:u w:val="single"/>
        </w:rPr>
        <w:t>Partner Capital Account</w:t>
      </w:r>
      <w:r w:rsidRPr="00855637">
        <w:rPr>
          <w:rStyle w:val="Heading4Char"/>
        </w:rPr>
        <w:t xml:space="preserve"> </w:t>
      </w:r>
      <w:r>
        <w:t xml:space="preserve">– the </w:t>
      </w:r>
      <w:r w:rsidR="00EE0E9C">
        <w:t xml:space="preserve">accounting concept that tracks the </w:t>
      </w:r>
      <w:r>
        <w:t>amount of a partner’s share of the partnership assets</w:t>
      </w:r>
      <w:r w:rsidR="00494E24">
        <w:t xml:space="preserve"> net of that partner’s share of liabilities</w:t>
      </w:r>
      <w:r>
        <w:t>.</w:t>
      </w:r>
    </w:p>
    <w:p w14:paraId="3C9401A6" w14:textId="3F09AABF" w:rsidR="00855637" w:rsidRPr="002B5BDD" w:rsidRDefault="00C62A7B" w:rsidP="005E573B">
      <w:pPr>
        <w:spacing w:after="120"/>
        <w:ind w:left="432"/>
      </w:pPr>
      <w:r w:rsidRPr="00451C52">
        <w:rPr>
          <w:rStyle w:val="Heading4Char"/>
          <w:b/>
          <w:color w:val="auto"/>
          <w:u w:val="single"/>
        </w:rPr>
        <w:t xml:space="preserve">Outside </w:t>
      </w:r>
      <w:r w:rsidR="00855637" w:rsidRPr="00451C52">
        <w:rPr>
          <w:rStyle w:val="Heading4Char"/>
          <w:b/>
          <w:color w:val="auto"/>
          <w:u w:val="single"/>
        </w:rPr>
        <w:t>Basis</w:t>
      </w:r>
      <w:r w:rsidR="00855637" w:rsidRPr="00855637">
        <w:rPr>
          <w:rStyle w:val="Heading4Char"/>
        </w:rPr>
        <w:t xml:space="preserve"> </w:t>
      </w:r>
      <w:r w:rsidR="00855637">
        <w:t xml:space="preserve">– </w:t>
      </w:r>
      <w:r w:rsidR="00E71752">
        <w:t>the tax basis of a partner’s interest in a partnershi</w:t>
      </w:r>
      <w:r w:rsidR="00494E24">
        <w:t>p which is affected by allocations of income, expense, gain, or loss as well as contributions and distributions</w:t>
      </w:r>
      <w:r w:rsidR="00E71752">
        <w:t xml:space="preserve">. </w:t>
      </w:r>
    </w:p>
    <w:p w14:paraId="5123B29B" w14:textId="71A3DF83" w:rsidR="00855637" w:rsidRDefault="00855637" w:rsidP="005E573B">
      <w:pPr>
        <w:spacing w:after="120"/>
        <w:ind w:left="432"/>
      </w:pPr>
      <w:r w:rsidRPr="00451C52">
        <w:rPr>
          <w:rStyle w:val="Heading4Char"/>
          <w:b/>
          <w:color w:val="auto"/>
          <w:u w:val="single"/>
        </w:rPr>
        <w:t>Allocation</w:t>
      </w:r>
      <w:r w:rsidRPr="00855637">
        <w:rPr>
          <w:rStyle w:val="Heading4Char"/>
        </w:rPr>
        <w:t xml:space="preserve"> </w:t>
      </w:r>
      <w:r>
        <w:t xml:space="preserve">– the dividing up of the economic or tax results of a partnership between the partners and assigning shares of income or items to partners. </w:t>
      </w:r>
    </w:p>
    <w:p w14:paraId="0EA4EFF1" w14:textId="3967EADA" w:rsidR="000169A8" w:rsidRDefault="000169A8" w:rsidP="005E573B">
      <w:pPr>
        <w:spacing w:after="120"/>
        <w:ind w:left="432"/>
      </w:pPr>
      <w:r w:rsidRPr="00451C52">
        <w:rPr>
          <w:rStyle w:val="Heading4Char"/>
          <w:b/>
          <w:bCs/>
          <w:color w:val="auto"/>
          <w:u w:val="single"/>
        </w:rPr>
        <w:t>Distributive Share</w:t>
      </w:r>
      <w:r>
        <w:t xml:space="preserve"> –</w:t>
      </w:r>
      <w:r w:rsidR="00531B68">
        <w:t xml:space="preserve"> </w:t>
      </w:r>
      <w:r>
        <w:t xml:space="preserve">the </w:t>
      </w:r>
      <w:r w:rsidR="00855637">
        <w:t>share of</w:t>
      </w:r>
      <w:r>
        <w:t xml:space="preserve"> partnership income (loss) or items of partnership income, expense, gain, or loss </w:t>
      </w:r>
      <w:r w:rsidR="00855637">
        <w:t xml:space="preserve">allocated to </w:t>
      </w:r>
      <w:r>
        <w:t>partners according to the rules of Subchapter K</w:t>
      </w:r>
      <w:r w:rsidR="00F62393">
        <w:t>, whether or not any</w:t>
      </w:r>
      <w:r w:rsidR="008444D0">
        <w:t xml:space="preserve"> distribution of cash or property </w:t>
      </w:r>
      <w:r w:rsidR="00F62393">
        <w:t xml:space="preserve">is made </w:t>
      </w:r>
      <w:r w:rsidR="008444D0">
        <w:t>to the partners.</w:t>
      </w:r>
    </w:p>
    <w:p w14:paraId="6659DAFA" w14:textId="5B66E1D9" w:rsidR="000169A8" w:rsidRDefault="000169A8" w:rsidP="005E573B">
      <w:pPr>
        <w:spacing w:after="120"/>
        <w:ind w:left="432"/>
      </w:pPr>
      <w:r w:rsidRPr="00F62393">
        <w:rPr>
          <w:rStyle w:val="Heading4Char"/>
          <w:b/>
          <w:color w:val="auto"/>
          <w:u w:val="single"/>
        </w:rPr>
        <w:t>Contributions</w:t>
      </w:r>
      <w:r>
        <w:t xml:space="preserve"> –</w:t>
      </w:r>
      <w:r w:rsidR="00531B68">
        <w:t xml:space="preserve"> </w:t>
      </w:r>
      <w:r>
        <w:t xml:space="preserve">money, property, or services transferred by a partner to a partnership which are properly treated as contributions to </w:t>
      </w:r>
      <w:r w:rsidR="008444D0">
        <w:t xml:space="preserve">the partner’s </w:t>
      </w:r>
      <w:r>
        <w:t>capital</w:t>
      </w:r>
      <w:r w:rsidR="008444D0">
        <w:t xml:space="preserve"> account</w:t>
      </w:r>
      <w:r>
        <w:t xml:space="preserve"> (in the case of services—with the recognition of ordinary income to the partner) and which increase the partner’s outside basis.</w:t>
      </w:r>
    </w:p>
    <w:p w14:paraId="28EA635E" w14:textId="14F33107" w:rsidR="000169A8" w:rsidRDefault="000169A8" w:rsidP="005E573B">
      <w:pPr>
        <w:spacing w:after="120"/>
        <w:ind w:left="432"/>
      </w:pPr>
      <w:r w:rsidRPr="00F62393">
        <w:rPr>
          <w:rStyle w:val="Heading4Char"/>
          <w:b/>
          <w:color w:val="auto"/>
          <w:u w:val="single"/>
        </w:rPr>
        <w:t>Distributions</w:t>
      </w:r>
      <w:r>
        <w:t xml:space="preserve"> –</w:t>
      </w:r>
      <w:r w:rsidR="00531B68">
        <w:t xml:space="preserve"> </w:t>
      </w:r>
      <w:r>
        <w:t xml:space="preserve">money or property transferred by the partnership to a partner properly treated as </w:t>
      </w:r>
      <w:r w:rsidR="008444D0">
        <w:t xml:space="preserve">reductions </w:t>
      </w:r>
      <w:r>
        <w:t xml:space="preserve">from </w:t>
      </w:r>
      <w:r w:rsidR="008444D0">
        <w:t xml:space="preserve">the partner’s </w:t>
      </w:r>
      <w:r>
        <w:t xml:space="preserve">capital </w:t>
      </w:r>
      <w:r w:rsidR="008444D0">
        <w:t xml:space="preserve">account </w:t>
      </w:r>
      <w:r>
        <w:t>and which decrease the partner’s outside basis.</w:t>
      </w:r>
    </w:p>
    <w:p w14:paraId="6A71C0B1" w14:textId="439A4FDF" w:rsidR="00436972" w:rsidRDefault="00436972" w:rsidP="005E573B">
      <w:pPr>
        <w:spacing w:after="120"/>
        <w:ind w:left="432"/>
      </w:pPr>
      <w:r w:rsidRPr="00F62393">
        <w:rPr>
          <w:rStyle w:val="Heading4Char"/>
          <w:b/>
          <w:color w:val="auto"/>
          <w:u w:val="single"/>
        </w:rPr>
        <w:t>Draws</w:t>
      </w:r>
      <w:r>
        <w:t xml:space="preserve"> –</w:t>
      </w:r>
      <w:r w:rsidR="00531B68">
        <w:t xml:space="preserve"> </w:t>
      </w:r>
      <w:r>
        <w:t xml:space="preserve">annual or other regular </w:t>
      </w:r>
      <w:r w:rsidR="000D1277">
        <w:t xml:space="preserve">periodic </w:t>
      </w:r>
      <w:r>
        <w:t>distributions</w:t>
      </w:r>
      <w:r w:rsidR="00494E24">
        <w:t xml:space="preserve"> of money or property to partners</w:t>
      </w:r>
      <w:r>
        <w:t>.</w:t>
      </w:r>
    </w:p>
    <w:p w14:paraId="7CFD0BDA" w14:textId="066C65FB" w:rsidR="005E6D67" w:rsidRPr="00BC4D70" w:rsidRDefault="005E6D67" w:rsidP="005E573B">
      <w:pPr>
        <w:spacing w:after="120"/>
        <w:ind w:left="432"/>
      </w:pPr>
      <w:r w:rsidRPr="00F62393">
        <w:rPr>
          <w:rStyle w:val="Heading4Char"/>
          <w:b/>
          <w:bCs/>
          <w:color w:val="auto"/>
          <w:u w:val="single"/>
        </w:rPr>
        <w:t>Distributive Share/Distributions</w:t>
      </w:r>
      <w:r w:rsidRPr="00BC4D70">
        <w:t xml:space="preserve"> </w:t>
      </w:r>
      <w:r w:rsidR="00BC4D70">
        <w:t xml:space="preserve">– distributive share </w:t>
      </w:r>
      <w:r w:rsidR="000D1277">
        <w:t>and</w:t>
      </w:r>
      <w:r w:rsidR="00BC4D70">
        <w:t xml:space="preserve"> distributions</w:t>
      </w:r>
      <w:r w:rsidR="000D1277">
        <w:t>, collectively</w:t>
      </w:r>
      <w:r w:rsidR="00BC4D70">
        <w:t>.</w:t>
      </w:r>
    </w:p>
    <w:p w14:paraId="67692FED" w14:textId="3B0C2CDD" w:rsidR="000169A8" w:rsidRDefault="000169A8" w:rsidP="005E573B">
      <w:pPr>
        <w:spacing w:after="120"/>
        <w:ind w:left="432"/>
      </w:pPr>
      <w:r w:rsidRPr="00F62393">
        <w:rPr>
          <w:rStyle w:val="Heading4Char"/>
          <w:b/>
          <w:bCs/>
          <w:color w:val="auto"/>
          <w:u w:val="single"/>
        </w:rPr>
        <w:t>Guaranteed Payments</w:t>
      </w:r>
      <w:r>
        <w:t xml:space="preserve"> –  </w:t>
      </w:r>
      <w:r w:rsidR="00F62393">
        <w:t xml:space="preserve">transfers of </w:t>
      </w:r>
      <w:r>
        <w:t xml:space="preserve">money or property </w:t>
      </w:r>
      <w:r w:rsidR="00451C52">
        <w:t>from</w:t>
      </w:r>
      <w:r>
        <w:t xml:space="preserve"> </w:t>
      </w:r>
      <w:r w:rsidR="00451C52">
        <w:t>a</w:t>
      </w:r>
      <w:r>
        <w:t xml:space="preserve"> partnership to a partner</w:t>
      </w:r>
      <w:r w:rsidR="008444D0">
        <w:t xml:space="preserve"> </w:t>
      </w:r>
      <w:r w:rsidR="00451C52">
        <w:t xml:space="preserve">acting </w:t>
      </w:r>
      <w:r w:rsidR="008444D0">
        <w:t xml:space="preserve">in the capacity </w:t>
      </w:r>
      <w:r w:rsidR="00451C52">
        <w:t>of</w:t>
      </w:r>
      <w:r w:rsidR="008444D0">
        <w:t xml:space="preserve"> a partner </w:t>
      </w:r>
      <w:r w:rsidR="00451C52">
        <w:t xml:space="preserve">either for services </w:t>
      </w:r>
      <w:r w:rsidR="008444D0">
        <w:t xml:space="preserve">or </w:t>
      </w:r>
      <w:r w:rsidR="00451C52">
        <w:t xml:space="preserve">for </w:t>
      </w:r>
      <w:r w:rsidR="008444D0">
        <w:t>the use of capital</w:t>
      </w:r>
      <w:r w:rsidR="00451C52">
        <w:t xml:space="preserve"> and</w:t>
      </w:r>
      <w:r w:rsidR="008444D0">
        <w:t xml:space="preserve"> </w:t>
      </w:r>
      <w:r w:rsidR="00491330">
        <w:t xml:space="preserve">which </w:t>
      </w:r>
      <w:r w:rsidR="008444D0">
        <w:t>are properly treated as such under Subchapter K</w:t>
      </w:r>
      <w:r w:rsidR="00FB26CA">
        <w:t>, rather than as distributions.</w:t>
      </w:r>
      <w:r w:rsidR="008444D0">
        <w:t xml:space="preserve"> </w:t>
      </w:r>
    </w:p>
    <w:p w14:paraId="08339EA3" w14:textId="77777777" w:rsidR="00EE0E9C" w:rsidRPr="00EE0E9C" w:rsidRDefault="00EE0E9C" w:rsidP="005E573B">
      <w:pPr>
        <w:spacing w:after="120"/>
        <w:ind w:left="432"/>
      </w:pPr>
      <w:r w:rsidRPr="00F62393">
        <w:rPr>
          <w:b/>
          <w:u w:val="single"/>
        </w:rPr>
        <w:t>Partner-Partnership Transactions</w:t>
      </w:r>
      <w:r w:rsidRPr="00451C52">
        <w:t xml:space="preserve"> </w:t>
      </w:r>
      <w:r w:rsidRPr="00EE0E9C">
        <w:t>– transfers of money, property, or services between partners and partnerships in an exchange that would properly be treated as a transaction between unrelated parties for tax purposes—rather than as a contribution/distribution or a guaranteed payment.</w:t>
      </w:r>
    </w:p>
    <w:p w14:paraId="4B22C5F3" w14:textId="0743E4BD" w:rsidR="00B214D3" w:rsidRDefault="00DB290A" w:rsidP="006D4F0F">
      <w:pPr>
        <w:spacing w:after="120"/>
      </w:pPr>
      <w:r>
        <w:t>O</w:t>
      </w:r>
      <w:r w:rsidR="00AC5247">
        <w:t xml:space="preserve">ther terms </w:t>
      </w:r>
      <w:r w:rsidR="00531B68">
        <w:t xml:space="preserve">used in this white paper </w:t>
      </w:r>
      <w:r w:rsidR="00AC5247">
        <w:t>will generally have meanings</w:t>
      </w:r>
      <w:r w:rsidR="00531B68">
        <w:t xml:space="preserve"> that are</w:t>
      </w:r>
      <w:r w:rsidR="00AC5247">
        <w:t xml:space="preserve"> consistent with their use, if any, under IRC Subchapter K or federal income tax rules. </w:t>
      </w:r>
    </w:p>
    <w:p w14:paraId="16459551" w14:textId="77777777" w:rsidR="005E573B" w:rsidRDefault="005E573B">
      <w:pPr>
        <w:spacing w:line="276" w:lineRule="auto"/>
        <w:jc w:val="left"/>
        <w:rPr>
          <w:rFonts w:asciiTheme="majorHAnsi" w:eastAsiaTheme="majorEastAsia" w:hAnsiTheme="majorHAnsi" w:cstheme="majorBidi"/>
          <w:b/>
          <w:color w:val="851C00" w:themeColor="accent6" w:themeShade="BF"/>
          <w:sz w:val="24"/>
          <w:szCs w:val="26"/>
          <w:u w:val="single"/>
        </w:rPr>
      </w:pPr>
      <w:r>
        <w:br w:type="page"/>
      </w:r>
    </w:p>
    <w:p w14:paraId="2ED3C00A" w14:textId="46231687" w:rsidR="00E51C1F" w:rsidRDefault="00F54CF3" w:rsidP="00753372">
      <w:pPr>
        <w:pStyle w:val="Heading2"/>
      </w:pPr>
      <w:bookmarkStart w:id="11" w:name="_Toc153291130"/>
      <w:r>
        <w:lastRenderedPageBreak/>
        <w:t xml:space="preserve">I. </w:t>
      </w:r>
      <w:r w:rsidR="00B5459F">
        <w:t xml:space="preserve">B. </w:t>
      </w:r>
      <w:r w:rsidR="00F6194C">
        <w:t xml:space="preserve">Summary of </w:t>
      </w:r>
      <w:r w:rsidR="00EF4361">
        <w:t xml:space="preserve">Partnership </w:t>
      </w:r>
      <w:r w:rsidR="00E96929">
        <w:t>Accounting</w:t>
      </w:r>
      <w:r w:rsidR="0084069A">
        <w:t xml:space="preserve"> </w:t>
      </w:r>
      <w:r w:rsidR="00A94288">
        <w:t xml:space="preserve">Rules </w:t>
      </w:r>
      <w:r w:rsidR="0084069A">
        <w:t>– Book &amp; Tax</w:t>
      </w:r>
      <w:bookmarkEnd w:id="11"/>
    </w:p>
    <w:p w14:paraId="11393FC1" w14:textId="2D894FC3" w:rsidR="003D7E47" w:rsidRDefault="00F62393" w:rsidP="00793433">
      <w:pPr>
        <w:spacing w:after="120"/>
      </w:pPr>
      <w:r>
        <w:t>P</w:t>
      </w:r>
      <w:r w:rsidR="00753372" w:rsidRPr="00753372">
        <w:t>artnerships</w:t>
      </w:r>
      <w:r>
        <w:t>, like all businesses,</w:t>
      </w:r>
      <w:r w:rsidR="00753372" w:rsidRPr="00753372">
        <w:t xml:space="preserve"> must keep records for both financial (“book”) and tax purposes. </w:t>
      </w:r>
      <w:r w:rsidR="00EF223C">
        <w:t xml:space="preserve">While </w:t>
      </w:r>
      <w:r w:rsidR="00344256">
        <w:t xml:space="preserve">these </w:t>
      </w:r>
      <w:r w:rsidR="00C268E2">
        <w:t xml:space="preserve">book and tax </w:t>
      </w:r>
      <w:r w:rsidR="00344256">
        <w:t>rules</w:t>
      </w:r>
      <w:r w:rsidR="00EF223C">
        <w:t xml:space="preserve"> may differ</w:t>
      </w:r>
      <w:r w:rsidR="00156825">
        <w:t xml:space="preserve"> somewhat</w:t>
      </w:r>
      <w:r w:rsidR="00EF223C">
        <w:t xml:space="preserve"> (e.g., </w:t>
      </w:r>
      <w:r w:rsidR="0084069A">
        <w:t>calculation</w:t>
      </w:r>
      <w:r w:rsidR="00EF223C">
        <w:t xml:space="preserve"> of depreciation expense), </w:t>
      </w:r>
      <w:r>
        <w:t>they attempt to fairly reflect</w:t>
      </w:r>
      <w:r w:rsidR="00753372" w:rsidRPr="00753372">
        <w:t xml:space="preserve"> the partnership’s activities</w:t>
      </w:r>
      <w:r w:rsidR="00EF223C">
        <w:t xml:space="preserve"> and the </w:t>
      </w:r>
      <w:r w:rsidR="00753372" w:rsidRPr="00753372">
        <w:t>partners</w:t>
      </w:r>
      <w:r w:rsidR="00450949">
        <w:t>’</w:t>
      </w:r>
      <w:r w:rsidR="00753372" w:rsidRPr="00753372">
        <w:t xml:space="preserve"> economic arrangement.</w:t>
      </w:r>
      <w:r w:rsidR="00156825">
        <w:t xml:space="preserve"> </w:t>
      </w:r>
      <w:r w:rsidR="003D7E47">
        <w:t xml:space="preserve">But the pass-through system </w:t>
      </w:r>
      <w:r w:rsidR="00C268E2">
        <w:t xml:space="preserve">used for tax purposes </w:t>
      </w:r>
      <w:r w:rsidR="003D7E47">
        <w:t xml:space="preserve">adds significant complexity. </w:t>
      </w:r>
    </w:p>
    <w:p w14:paraId="526D0B0B" w14:textId="35BC9932" w:rsidR="003D7E47" w:rsidRDefault="0082180E" w:rsidP="00793433">
      <w:pPr>
        <w:spacing w:after="120"/>
      </w:pPr>
      <w:r>
        <w:t>P</w:t>
      </w:r>
      <w:r w:rsidR="00F62393">
        <w:t>ass-through tax</w:t>
      </w:r>
      <w:r>
        <w:t>ation</w:t>
      </w:r>
      <w:r w:rsidR="00F62393">
        <w:t xml:space="preserve"> requires partners to recognize </w:t>
      </w:r>
      <w:r>
        <w:t xml:space="preserve">and pay tax on </w:t>
      </w:r>
      <w:r w:rsidR="00F62393">
        <w:t xml:space="preserve">their </w:t>
      </w:r>
      <w:r w:rsidR="00C278C8">
        <w:t xml:space="preserve">distributive </w:t>
      </w:r>
      <w:r w:rsidR="00F62393">
        <w:t xml:space="preserve">shares of </w:t>
      </w:r>
      <w:r w:rsidR="003D7E47" w:rsidRPr="003D7E47">
        <w:t>partnership income, expense, gain, and loss</w:t>
      </w:r>
      <w:r w:rsidR="00344256">
        <w:t>. This</w:t>
      </w:r>
      <w:r w:rsidR="003D7E47" w:rsidRPr="003D7E47">
        <w:t xml:space="preserve"> </w:t>
      </w:r>
      <w:r w:rsidR="00F62393">
        <w:t xml:space="preserve">means </w:t>
      </w:r>
      <w:r w:rsidR="003D7E47" w:rsidRPr="003D7E47">
        <w:t xml:space="preserve">partnerships must keep detailed </w:t>
      </w:r>
      <w:r w:rsidR="00F62393">
        <w:t xml:space="preserve">accounting </w:t>
      </w:r>
      <w:r w:rsidR="003D7E47" w:rsidRPr="003D7E47">
        <w:t xml:space="preserve">information, including partner-specific information, and provide </w:t>
      </w:r>
      <w:r>
        <w:t>it</w:t>
      </w:r>
      <w:r w:rsidR="003D7E47" w:rsidRPr="003D7E47">
        <w:t xml:space="preserve"> to partners annually. </w:t>
      </w:r>
      <w:r w:rsidR="00751772">
        <w:t xml:space="preserve">And when </w:t>
      </w:r>
      <w:r>
        <w:t xml:space="preserve">a </w:t>
      </w:r>
      <w:r w:rsidR="00F62393">
        <w:t xml:space="preserve">single </w:t>
      </w:r>
      <w:r w:rsidR="003D7E47" w:rsidRPr="003D7E47">
        <w:t xml:space="preserve">partnership </w:t>
      </w:r>
      <w:r w:rsidR="00751772">
        <w:t>is</w:t>
      </w:r>
      <w:r w:rsidR="00F62393">
        <w:t xml:space="preserve"> part of</w:t>
      </w:r>
      <w:r w:rsidR="003D7E47" w:rsidRPr="003D7E47">
        <w:t xml:space="preserve"> </w:t>
      </w:r>
      <w:r w:rsidR="00751772">
        <w:t xml:space="preserve">a </w:t>
      </w:r>
      <w:r w:rsidR="003D7E47" w:rsidRPr="003D7E47">
        <w:t>large, complex, tiered structure</w:t>
      </w:r>
      <w:r w:rsidR="00344256">
        <w:t>,</w:t>
      </w:r>
      <w:r w:rsidR="003D7E47" w:rsidRPr="003D7E47">
        <w:t xml:space="preserve"> </w:t>
      </w:r>
      <w:r w:rsidR="00751772">
        <w:t>neither its</w:t>
      </w:r>
      <w:r w:rsidR="003D7E47" w:rsidRPr="003D7E47">
        <w:t xml:space="preserve"> records </w:t>
      </w:r>
      <w:r w:rsidR="00C278C8">
        <w:t>n</w:t>
      </w:r>
      <w:r w:rsidR="00751772">
        <w:t>or the records of any of the partnerships will</w:t>
      </w:r>
      <w:r w:rsidR="003D7E47" w:rsidRPr="003D7E47">
        <w:t xml:space="preserve"> be sufficient to determine the ultimate tax effects on a</w:t>
      </w:r>
      <w:r w:rsidR="00F62393">
        <w:t xml:space="preserve">n </w:t>
      </w:r>
      <w:r w:rsidR="003D7E47" w:rsidRPr="003D7E47">
        <w:t xml:space="preserve">indirect taxpaying partner. </w:t>
      </w:r>
    </w:p>
    <w:p w14:paraId="3DC4B2F4" w14:textId="164CF857" w:rsidR="003D7E47" w:rsidRPr="003D7E47" w:rsidRDefault="00A23E31" w:rsidP="00793433">
      <w:pPr>
        <w:spacing w:after="80"/>
      </w:pPr>
      <w:r>
        <w:t xml:space="preserve">The following accounting rules are the basis for the </w:t>
      </w:r>
      <w:r w:rsidR="003D7E47">
        <w:t>pass-through system</w:t>
      </w:r>
      <w:r w:rsidR="00F62393">
        <w:t xml:space="preserve">: </w:t>
      </w:r>
    </w:p>
    <w:p w14:paraId="6225BDE3" w14:textId="7208C5F9" w:rsidR="00787F23" w:rsidRDefault="00B35A7D" w:rsidP="00793433">
      <w:pPr>
        <w:pStyle w:val="ListParagraph"/>
        <w:numPr>
          <w:ilvl w:val="0"/>
          <w:numId w:val="9"/>
        </w:numPr>
        <w:spacing w:after="80"/>
        <w:ind w:left="576" w:hanging="288"/>
        <w:contextualSpacing w:val="0"/>
      </w:pPr>
      <w:r>
        <w:rPr>
          <w:rFonts w:asciiTheme="majorHAnsi" w:hAnsiTheme="majorHAnsi" w:cstheme="majorBidi"/>
          <w:b/>
          <w:iCs/>
          <w:u w:val="single"/>
        </w:rPr>
        <w:t>Income is taxed on a pass-through basis.</w:t>
      </w:r>
      <w:r w:rsidR="00787F23">
        <w:t xml:space="preserve"> – </w:t>
      </w:r>
      <w:r w:rsidR="00C13C23">
        <w:t>R</w:t>
      </w:r>
      <w:r w:rsidR="009A2360">
        <w:t xml:space="preserve">ather than </w:t>
      </w:r>
      <w:r w:rsidR="00F62393">
        <w:t xml:space="preserve">having </w:t>
      </w:r>
      <w:r w:rsidR="009A2360">
        <w:t>the entity</w:t>
      </w:r>
      <w:r w:rsidR="009D56AE">
        <w:t xml:space="preserve"> </w:t>
      </w:r>
      <w:r>
        <w:t xml:space="preserve">pay tax </w:t>
      </w:r>
      <w:r w:rsidR="009D56AE">
        <w:t>on its income (loss)</w:t>
      </w:r>
      <w:r w:rsidR="009A2360">
        <w:t xml:space="preserve">, </w:t>
      </w:r>
      <w:r w:rsidR="00797D1F">
        <w:t>Subchapter K</w:t>
      </w:r>
      <w:r w:rsidR="0026010A">
        <w:t xml:space="preserve"> </w:t>
      </w:r>
      <w:r w:rsidR="00F62393">
        <w:t xml:space="preserve">exempts the entity and, instead, </w:t>
      </w:r>
      <w:r w:rsidR="0026010A">
        <w:t xml:space="preserve">imposes tax on </w:t>
      </w:r>
      <w:r w:rsidR="009D56AE">
        <w:t>direct or indirect taxpaying partner</w:t>
      </w:r>
      <w:r w:rsidR="00F62393">
        <w:t>s</w:t>
      </w:r>
      <w:r w:rsidR="009D56AE">
        <w:t xml:space="preserve"> </w:t>
      </w:r>
      <w:r w:rsidR="00797D1F">
        <w:t xml:space="preserve">on their </w:t>
      </w:r>
      <w:r w:rsidR="00342A67">
        <w:t>distributive share of</w:t>
      </w:r>
      <w:r w:rsidR="0084069A">
        <w:t xml:space="preserve"> the </w:t>
      </w:r>
      <w:r w:rsidR="00F62393">
        <w:t xml:space="preserve">partnership’s items </w:t>
      </w:r>
      <w:r w:rsidR="00342A67">
        <w:t xml:space="preserve">or its net </w:t>
      </w:r>
      <w:r w:rsidR="0084069A">
        <w:t>income (loss).</w:t>
      </w:r>
      <w:r w:rsidR="00797D1F">
        <w:t xml:space="preserve"> </w:t>
      </w:r>
    </w:p>
    <w:p w14:paraId="720AA29E" w14:textId="1ABB0696" w:rsidR="00572F51" w:rsidRPr="00572F51" w:rsidRDefault="00B35A7D" w:rsidP="00793433">
      <w:pPr>
        <w:pStyle w:val="ListParagraph"/>
        <w:numPr>
          <w:ilvl w:val="0"/>
          <w:numId w:val="9"/>
        </w:numPr>
        <w:spacing w:after="80"/>
        <w:ind w:left="576" w:hanging="288"/>
        <w:contextualSpacing w:val="0"/>
      </w:pPr>
      <w:r>
        <w:rPr>
          <w:rFonts w:asciiTheme="majorHAnsi" w:hAnsiTheme="majorHAnsi" w:cstheme="majorBidi"/>
          <w:b/>
          <w:iCs/>
          <w:u w:val="single"/>
        </w:rPr>
        <w:t>Income is taxed when earned, rather than when distributed.</w:t>
      </w:r>
      <w:r w:rsidR="00572F51">
        <w:rPr>
          <w:rFonts w:asciiTheme="majorHAnsi" w:hAnsiTheme="majorHAnsi" w:cstheme="majorBidi"/>
          <w:b/>
          <w:iCs/>
        </w:rPr>
        <w:t xml:space="preserve"> </w:t>
      </w:r>
      <w:r w:rsidR="00572F51">
        <w:rPr>
          <w:rFonts w:asciiTheme="majorHAnsi" w:hAnsiTheme="majorHAnsi" w:cstheme="majorBidi"/>
          <w:bCs/>
          <w:iCs/>
        </w:rPr>
        <w:t xml:space="preserve">– </w:t>
      </w:r>
      <w:r w:rsidR="00342A67">
        <w:rPr>
          <w:rFonts w:asciiTheme="majorHAnsi" w:hAnsiTheme="majorHAnsi" w:cstheme="majorBidi"/>
          <w:bCs/>
          <w:iCs/>
        </w:rPr>
        <w:t>P</w:t>
      </w:r>
      <w:r w:rsidR="0084069A">
        <w:rPr>
          <w:rFonts w:asciiTheme="majorHAnsi" w:hAnsiTheme="majorHAnsi" w:cstheme="majorBidi"/>
          <w:bCs/>
          <w:iCs/>
        </w:rPr>
        <w:t>artnership income</w:t>
      </w:r>
      <w:r w:rsidR="00342A67">
        <w:rPr>
          <w:rFonts w:asciiTheme="majorHAnsi" w:hAnsiTheme="majorHAnsi" w:cstheme="majorBidi"/>
          <w:bCs/>
          <w:iCs/>
        </w:rPr>
        <w:t>, unlike income of taxable corporations,</w:t>
      </w:r>
      <w:r w:rsidR="0084069A">
        <w:rPr>
          <w:rFonts w:asciiTheme="majorHAnsi" w:hAnsiTheme="majorHAnsi" w:cstheme="majorBidi"/>
          <w:bCs/>
          <w:iCs/>
        </w:rPr>
        <w:t xml:space="preserve"> is taxed </w:t>
      </w:r>
      <w:r w:rsidR="00342A67">
        <w:rPr>
          <w:rFonts w:asciiTheme="majorHAnsi" w:hAnsiTheme="majorHAnsi" w:cstheme="majorBidi"/>
          <w:bCs/>
          <w:iCs/>
        </w:rPr>
        <w:t xml:space="preserve">only </w:t>
      </w:r>
      <w:r w:rsidR="0084069A">
        <w:rPr>
          <w:rFonts w:asciiTheme="majorHAnsi" w:hAnsiTheme="majorHAnsi" w:cstheme="majorBidi"/>
          <w:bCs/>
          <w:iCs/>
        </w:rPr>
        <w:t>once, when earned</w:t>
      </w:r>
      <w:r w:rsidR="00342A67">
        <w:rPr>
          <w:rFonts w:asciiTheme="majorHAnsi" w:hAnsiTheme="majorHAnsi" w:cstheme="majorBidi"/>
          <w:bCs/>
          <w:iCs/>
        </w:rPr>
        <w:t>, whether or not partners receive</w:t>
      </w:r>
      <w:r>
        <w:rPr>
          <w:rFonts w:asciiTheme="majorHAnsi" w:hAnsiTheme="majorHAnsi" w:cstheme="majorBidi"/>
          <w:bCs/>
          <w:iCs/>
        </w:rPr>
        <w:t xml:space="preserve"> </w:t>
      </w:r>
      <w:r w:rsidR="0084069A">
        <w:rPr>
          <w:rFonts w:asciiTheme="majorHAnsi" w:hAnsiTheme="majorHAnsi" w:cstheme="majorBidi"/>
          <w:bCs/>
          <w:iCs/>
        </w:rPr>
        <w:t xml:space="preserve">actual </w:t>
      </w:r>
      <w:r>
        <w:rPr>
          <w:rFonts w:asciiTheme="majorHAnsi" w:hAnsiTheme="majorHAnsi" w:cstheme="majorBidi"/>
          <w:bCs/>
          <w:iCs/>
        </w:rPr>
        <w:t>distributions</w:t>
      </w:r>
      <w:r w:rsidR="00342A67">
        <w:rPr>
          <w:rFonts w:asciiTheme="majorHAnsi" w:hAnsiTheme="majorHAnsi" w:cstheme="majorBidi"/>
          <w:bCs/>
          <w:iCs/>
        </w:rPr>
        <w:t>. This</w:t>
      </w:r>
      <w:r>
        <w:rPr>
          <w:rFonts w:asciiTheme="majorHAnsi" w:hAnsiTheme="majorHAnsi" w:cstheme="majorBidi"/>
          <w:bCs/>
          <w:iCs/>
        </w:rPr>
        <w:t xml:space="preserve"> requires </w:t>
      </w:r>
      <w:r w:rsidR="00342A67">
        <w:rPr>
          <w:rFonts w:asciiTheme="majorHAnsi" w:hAnsiTheme="majorHAnsi" w:cstheme="majorBidi"/>
          <w:bCs/>
          <w:iCs/>
        </w:rPr>
        <w:t xml:space="preserve">a system for </w:t>
      </w:r>
      <w:r w:rsidR="0084069A">
        <w:rPr>
          <w:rFonts w:asciiTheme="majorHAnsi" w:hAnsiTheme="majorHAnsi" w:cstheme="majorBidi"/>
          <w:bCs/>
          <w:iCs/>
        </w:rPr>
        <w:t>track</w:t>
      </w:r>
      <w:r w:rsidR="00450949">
        <w:rPr>
          <w:rFonts w:asciiTheme="majorHAnsi" w:hAnsiTheme="majorHAnsi" w:cstheme="majorBidi"/>
          <w:bCs/>
          <w:iCs/>
        </w:rPr>
        <w:t xml:space="preserve">ing </w:t>
      </w:r>
      <w:r w:rsidR="00342A67">
        <w:rPr>
          <w:rFonts w:asciiTheme="majorHAnsi" w:hAnsiTheme="majorHAnsi" w:cstheme="majorBidi"/>
          <w:bCs/>
          <w:iCs/>
        </w:rPr>
        <w:t xml:space="preserve">partnership items reported </w:t>
      </w:r>
      <w:r w:rsidR="00572F51">
        <w:rPr>
          <w:rFonts w:asciiTheme="majorHAnsi" w:hAnsiTheme="majorHAnsi" w:cstheme="majorBidi"/>
          <w:bCs/>
          <w:iCs/>
        </w:rPr>
        <w:t xml:space="preserve">by the partners so that income is not taxed </w:t>
      </w:r>
      <w:r w:rsidR="0084069A">
        <w:rPr>
          <w:rFonts w:asciiTheme="majorHAnsi" w:hAnsiTheme="majorHAnsi" w:cstheme="majorBidi"/>
          <w:bCs/>
          <w:iCs/>
        </w:rPr>
        <w:t>again</w:t>
      </w:r>
      <w:r w:rsidR="00572F51">
        <w:rPr>
          <w:rFonts w:asciiTheme="majorHAnsi" w:hAnsiTheme="majorHAnsi" w:cstheme="majorBidi"/>
          <w:bCs/>
          <w:iCs/>
        </w:rPr>
        <w:t xml:space="preserve"> when distributed.</w:t>
      </w:r>
    </w:p>
    <w:p w14:paraId="5FC69D21" w14:textId="0C1A0AE1" w:rsidR="00450949" w:rsidRPr="00450949" w:rsidRDefault="00450949" w:rsidP="00793433">
      <w:pPr>
        <w:pStyle w:val="ListParagraph"/>
        <w:numPr>
          <w:ilvl w:val="0"/>
          <w:numId w:val="9"/>
        </w:numPr>
        <w:spacing w:after="80"/>
        <w:ind w:left="576" w:hanging="288"/>
        <w:contextualSpacing w:val="0"/>
      </w:pPr>
      <w:r>
        <w:rPr>
          <w:rFonts w:asciiTheme="majorHAnsi" w:hAnsiTheme="majorHAnsi" w:cstheme="majorBidi"/>
          <w:b/>
          <w:iCs/>
          <w:u w:val="single"/>
        </w:rPr>
        <w:t>Partnership i</w:t>
      </w:r>
      <w:r w:rsidR="00572F51">
        <w:rPr>
          <w:rFonts w:asciiTheme="majorHAnsi" w:hAnsiTheme="majorHAnsi" w:cstheme="majorBidi"/>
          <w:b/>
          <w:iCs/>
          <w:u w:val="single"/>
        </w:rPr>
        <w:t xml:space="preserve">tems </w:t>
      </w:r>
      <w:r w:rsidR="00B35A7D">
        <w:rPr>
          <w:rFonts w:asciiTheme="majorHAnsi" w:hAnsiTheme="majorHAnsi" w:cstheme="majorBidi"/>
          <w:b/>
          <w:iCs/>
          <w:u w:val="single"/>
        </w:rPr>
        <w:t>making up net income (loss) maintain their character.</w:t>
      </w:r>
      <w:r w:rsidR="00572F51">
        <w:rPr>
          <w:rFonts w:asciiTheme="majorHAnsi" w:hAnsiTheme="majorHAnsi" w:cstheme="majorBidi"/>
          <w:b/>
          <w:iCs/>
        </w:rPr>
        <w:t xml:space="preserve"> – </w:t>
      </w:r>
      <w:r w:rsidR="00572F51">
        <w:rPr>
          <w:rFonts w:asciiTheme="majorHAnsi" w:hAnsiTheme="majorHAnsi" w:cstheme="majorBidi"/>
          <w:bCs/>
          <w:iCs/>
        </w:rPr>
        <w:t xml:space="preserve">To </w:t>
      </w:r>
      <w:r w:rsidR="00342A67">
        <w:rPr>
          <w:rFonts w:asciiTheme="majorHAnsi" w:hAnsiTheme="majorHAnsi" w:cstheme="majorBidi"/>
          <w:bCs/>
          <w:iCs/>
        </w:rPr>
        <w:t>prevent taxpayers from using</w:t>
      </w:r>
      <w:r w:rsidR="00572F51">
        <w:rPr>
          <w:rFonts w:asciiTheme="majorHAnsi" w:hAnsiTheme="majorHAnsi" w:cstheme="majorBidi"/>
          <w:bCs/>
          <w:iCs/>
        </w:rPr>
        <w:t xml:space="preserve"> partnerships to alter the tax treatment of items of income, expense, gain, or loss, </w:t>
      </w:r>
      <w:r w:rsidR="00342A67">
        <w:rPr>
          <w:rFonts w:asciiTheme="majorHAnsi" w:hAnsiTheme="majorHAnsi" w:cstheme="majorBidi"/>
          <w:bCs/>
          <w:iCs/>
        </w:rPr>
        <w:t>the</w:t>
      </w:r>
      <w:r w:rsidR="00572F51">
        <w:rPr>
          <w:rFonts w:asciiTheme="majorHAnsi" w:hAnsiTheme="majorHAnsi" w:cstheme="majorBidi"/>
          <w:bCs/>
          <w:iCs/>
        </w:rPr>
        <w:t xml:space="preserve"> character of items must also be tracked as </w:t>
      </w:r>
      <w:r w:rsidR="00342A67">
        <w:rPr>
          <w:rFonts w:asciiTheme="majorHAnsi" w:hAnsiTheme="majorHAnsi" w:cstheme="majorBidi"/>
          <w:bCs/>
          <w:iCs/>
        </w:rPr>
        <w:t>they</w:t>
      </w:r>
      <w:r w:rsidR="00572F51">
        <w:rPr>
          <w:rFonts w:asciiTheme="majorHAnsi" w:hAnsiTheme="majorHAnsi" w:cstheme="majorBidi"/>
          <w:bCs/>
          <w:iCs/>
        </w:rPr>
        <w:t xml:space="preserve"> pass through to the </w:t>
      </w:r>
      <w:r w:rsidR="00C278C8">
        <w:rPr>
          <w:rFonts w:asciiTheme="majorHAnsi" w:hAnsiTheme="majorHAnsi" w:cstheme="majorBidi"/>
          <w:bCs/>
          <w:iCs/>
        </w:rPr>
        <w:t xml:space="preserve">taxpaying </w:t>
      </w:r>
      <w:r w:rsidR="00572F51">
        <w:rPr>
          <w:rFonts w:asciiTheme="majorHAnsi" w:hAnsiTheme="majorHAnsi" w:cstheme="majorBidi"/>
          <w:bCs/>
          <w:iCs/>
        </w:rPr>
        <w:t xml:space="preserve">partners. </w:t>
      </w:r>
    </w:p>
    <w:p w14:paraId="6D5CFEC6" w14:textId="0DE8F68B" w:rsidR="00450949" w:rsidRPr="00450949" w:rsidRDefault="00450949" w:rsidP="00793433">
      <w:pPr>
        <w:pStyle w:val="ListParagraph"/>
        <w:numPr>
          <w:ilvl w:val="0"/>
          <w:numId w:val="9"/>
        </w:numPr>
        <w:spacing w:after="80"/>
        <w:ind w:left="576" w:hanging="288"/>
        <w:contextualSpacing w:val="0"/>
      </w:pPr>
      <w:r w:rsidRPr="00450949">
        <w:rPr>
          <w:b/>
          <w:iCs/>
          <w:u w:val="single"/>
        </w:rPr>
        <w:t xml:space="preserve">Partners </w:t>
      </w:r>
      <w:r w:rsidR="00342A67">
        <w:rPr>
          <w:b/>
          <w:iCs/>
          <w:u w:val="single"/>
        </w:rPr>
        <w:t>do not have to</w:t>
      </w:r>
      <w:r w:rsidRPr="00450949">
        <w:rPr>
          <w:b/>
          <w:iCs/>
          <w:u w:val="single"/>
        </w:rPr>
        <w:t xml:space="preserve"> shar</w:t>
      </w:r>
      <w:r w:rsidR="00342A67">
        <w:rPr>
          <w:b/>
          <w:iCs/>
          <w:u w:val="single"/>
        </w:rPr>
        <w:t>e</w:t>
      </w:r>
      <w:r w:rsidRPr="00450949">
        <w:rPr>
          <w:b/>
          <w:iCs/>
          <w:u w:val="single"/>
        </w:rPr>
        <w:t xml:space="preserve"> </w:t>
      </w:r>
      <w:r>
        <w:rPr>
          <w:b/>
          <w:iCs/>
          <w:u w:val="single"/>
        </w:rPr>
        <w:t xml:space="preserve">income </w:t>
      </w:r>
      <w:r w:rsidRPr="00450949">
        <w:rPr>
          <w:b/>
          <w:iCs/>
          <w:u w:val="single"/>
        </w:rPr>
        <w:t>according to capital interests.</w:t>
      </w:r>
      <w:r w:rsidRPr="00450949">
        <w:t xml:space="preserve"> – Rather than </w:t>
      </w:r>
      <w:r w:rsidR="00C278C8">
        <w:t>allocating</w:t>
      </w:r>
      <w:r w:rsidR="00C278C8" w:rsidRPr="00450949">
        <w:t xml:space="preserve"> </w:t>
      </w:r>
      <w:r w:rsidRPr="00450949">
        <w:t>partnership income</w:t>
      </w:r>
      <w:r w:rsidR="00C278C8">
        <w:t xml:space="preserve"> or items</w:t>
      </w:r>
      <w:r w:rsidRPr="00450949">
        <w:t xml:space="preserve"> proportionally according to partners’ capital interests, partners may </w:t>
      </w:r>
      <w:r w:rsidR="00342A67">
        <w:t>allocate</w:t>
      </w:r>
      <w:r w:rsidRPr="00450949">
        <w:t xml:space="preserve"> </w:t>
      </w:r>
      <w:r>
        <w:t xml:space="preserve">income or </w:t>
      </w:r>
      <w:r w:rsidRPr="00450949">
        <w:t xml:space="preserve">items </w:t>
      </w:r>
      <w:r>
        <w:t>on some other basis</w:t>
      </w:r>
      <w:r w:rsidRPr="00450949">
        <w:t xml:space="preserve">, which </w:t>
      </w:r>
      <w:r>
        <w:t>will</w:t>
      </w:r>
      <w:r w:rsidRPr="00450949">
        <w:t xml:space="preserve"> change relative capital interests over time.</w:t>
      </w:r>
    </w:p>
    <w:p w14:paraId="2F5A877F" w14:textId="30436EF7" w:rsidR="002A24CD" w:rsidRDefault="00B35A7D" w:rsidP="00793433">
      <w:pPr>
        <w:pStyle w:val="ListParagraph"/>
        <w:numPr>
          <w:ilvl w:val="0"/>
          <w:numId w:val="9"/>
        </w:numPr>
        <w:spacing w:after="80"/>
        <w:ind w:left="576" w:hanging="288"/>
        <w:contextualSpacing w:val="0"/>
      </w:pPr>
      <w:r>
        <w:rPr>
          <w:rFonts w:asciiTheme="majorHAnsi" w:hAnsiTheme="majorHAnsi" w:cstheme="majorBidi"/>
          <w:b/>
          <w:iCs/>
          <w:u w:val="single"/>
        </w:rPr>
        <w:t xml:space="preserve">Partners </w:t>
      </w:r>
      <w:r w:rsidR="00342A67">
        <w:rPr>
          <w:rFonts w:asciiTheme="majorHAnsi" w:hAnsiTheme="majorHAnsi" w:cstheme="majorBidi"/>
          <w:b/>
          <w:iCs/>
          <w:u w:val="single"/>
        </w:rPr>
        <w:t>may allocate</w:t>
      </w:r>
      <w:r w:rsidRPr="00E1512E">
        <w:rPr>
          <w:rFonts w:asciiTheme="majorHAnsi" w:hAnsiTheme="majorHAnsi" w:cstheme="majorBidi"/>
          <w:b/>
          <w:iCs/>
          <w:u w:val="single"/>
        </w:rPr>
        <w:t xml:space="preserve"> </w:t>
      </w:r>
      <w:r>
        <w:rPr>
          <w:rFonts w:asciiTheme="majorHAnsi" w:hAnsiTheme="majorHAnsi" w:cstheme="majorBidi"/>
          <w:b/>
          <w:iCs/>
          <w:u w:val="single"/>
        </w:rPr>
        <w:t xml:space="preserve">separate </w:t>
      </w:r>
      <w:r w:rsidR="00450949">
        <w:rPr>
          <w:rFonts w:asciiTheme="majorHAnsi" w:hAnsiTheme="majorHAnsi" w:cstheme="majorBidi"/>
          <w:b/>
          <w:iCs/>
          <w:u w:val="single"/>
        </w:rPr>
        <w:t xml:space="preserve">partnership </w:t>
      </w:r>
      <w:r w:rsidRPr="00E1512E">
        <w:rPr>
          <w:rFonts w:asciiTheme="majorHAnsi" w:hAnsiTheme="majorHAnsi" w:cstheme="majorBidi"/>
          <w:b/>
          <w:iCs/>
          <w:u w:val="single"/>
        </w:rPr>
        <w:t>items</w:t>
      </w:r>
      <w:r w:rsidR="00450949">
        <w:rPr>
          <w:rFonts w:asciiTheme="majorHAnsi" w:hAnsiTheme="majorHAnsi" w:cstheme="majorBidi"/>
          <w:b/>
          <w:iCs/>
          <w:u w:val="single"/>
        </w:rPr>
        <w:t xml:space="preserve"> in different proportions</w:t>
      </w:r>
      <w:r>
        <w:rPr>
          <w:rFonts w:asciiTheme="majorHAnsi" w:hAnsiTheme="majorHAnsi" w:cstheme="majorBidi"/>
          <w:b/>
          <w:iCs/>
          <w:u w:val="single"/>
        </w:rPr>
        <w:t>.</w:t>
      </w:r>
      <w:r w:rsidR="00EF4361" w:rsidRPr="00EF4361">
        <w:t xml:space="preserve"> </w:t>
      </w:r>
      <w:r w:rsidR="00787F23">
        <w:t xml:space="preserve">– </w:t>
      </w:r>
      <w:r w:rsidR="00342A67">
        <w:t>I</w:t>
      </w:r>
      <w:r w:rsidR="00450949">
        <w:t xml:space="preserve">tems of income, expense, gain, or loss </w:t>
      </w:r>
      <w:r w:rsidR="00342A67">
        <w:t xml:space="preserve">do not have to be allocated in the same proportions. Instead, </w:t>
      </w:r>
      <w:r w:rsidR="002A24CD">
        <w:t xml:space="preserve">partners </w:t>
      </w:r>
      <w:r w:rsidR="00C70F17">
        <w:t>can</w:t>
      </w:r>
      <w:r w:rsidR="002A24CD">
        <w:t xml:space="preserve"> </w:t>
      </w:r>
      <w:r w:rsidR="009D61E3">
        <w:t xml:space="preserve">agree to </w:t>
      </w:r>
      <w:r w:rsidR="00342A67">
        <w:t>allocate different</w:t>
      </w:r>
      <w:r w:rsidR="002A24CD">
        <w:t xml:space="preserve"> partnership items in different </w:t>
      </w:r>
      <w:r w:rsidR="00342A67">
        <w:t>proportions</w:t>
      </w:r>
      <w:r w:rsidR="002A24CD">
        <w:t>.</w:t>
      </w:r>
    </w:p>
    <w:p w14:paraId="25D559D9" w14:textId="7A87E7B4" w:rsidR="00C70F17" w:rsidRDefault="003D7E47" w:rsidP="00793433">
      <w:pPr>
        <w:pStyle w:val="ListParagraph"/>
        <w:numPr>
          <w:ilvl w:val="0"/>
          <w:numId w:val="9"/>
        </w:numPr>
        <w:spacing w:after="80"/>
        <w:ind w:left="576" w:hanging="288"/>
        <w:contextualSpacing w:val="0"/>
      </w:pPr>
      <w:r>
        <w:rPr>
          <w:rFonts w:asciiTheme="majorHAnsi" w:hAnsiTheme="majorHAnsi" w:cstheme="majorBidi"/>
          <w:b/>
          <w:iCs/>
          <w:u w:val="single"/>
        </w:rPr>
        <w:t>D</w:t>
      </w:r>
      <w:r w:rsidR="00B35A7D" w:rsidRPr="00E1512E">
        <w:rPr>
          <w:rFonts w:asciiTheme="majorHAnsi" w:hAnsiTheme="majorHAnsi" w:cstheme="majorBidi"/>
          <w:b/>
          <w:iCs/>
          <w:u w:val="single"/>
        </w:rPr>
        <w:t xml:space="preserve">istributions </w:t>
      </w:r>
      <w:r w:rsidR="0084069A">
        <w:rPr>
          <w:rFonts w:asciiTheme="majorHAnsi" w:hAnsiTheme="majorHAnsi" w:cstheme="majorBidi"/>
          <w:b/>
          <w:iCs/>
          <w:u w:val="single"/>
        </w:rPr>
        <w:t>need</w:t>
      </w:r>
      <w:r w:rsidR="00B35A7D">
        <w:rPr>
          <w:rFonts w:asciiTheme="majorHAnsi" w:hAnsiTheme="majorHAnsi" w:cstheme="majorBidi"/>
          <w:b/>
          <w:iCs/>
          <w:u w:val="single"/>
        </w:rPr>
        <w:t xml:space="preserve"> not match </w:t>
      </w:r>
      <w:r w:rsidR="00B35A7D" w:rsidRPr="00E1512E">
        <w:rPr>
          <w:rFonts w:asciiTheme="majorHAnsi" w:hAnsiTheme="majorHAnsi" w:cstheme="majorBidi"/>
          <w:b/>
          <w:iCs/>
          <w:u w:val="single"/>
        </w:rPr>
        <w:t>income allocations</w:t>
      </w:r>
      <w:r w:rsidR="00EF223C">
        <w:rPr>
          <w:rFonts w:asciiTheme="majorHAnsi" w:hAnsiTheme="majorHAnsi" w:cstheme="majorBidi"/>
          <w:b/>
          <w:iCs/>
          <w:u w:val="single"/>
        </w:rPr>
        <w:t>.</w:t>
      </w:r>
      <w:r w:rsidR="00787F23" w:rsidRPr="0026010A">
        <w:t xml:space="preserve"> </w:t>
      </w:r>
      <w:r w:rsidR="00787F23">
        <w:t xml:space="preserve">– </w:t>
      </w:r>
      <w:r w:rsidR="00C70F17">
        <w:t xml:space="preserve">Distributions need not be made in the year partnership income or items are allocated to partners, </w:t>
      </w:r>
      <w:r w:rsidR="00342A67">
        <w:t xml:space="preserve">nor must any year’s distributions be made in the same proportion as allocations. </w:t>
      </w:r>
    </w:p>
    <w:p w14:paraId="382C6C26" w14:textId="1FB1BEE3" w:rsidR="007D0160" w:rsidRPr="007D0160" w:rsidRDefault="00342A67" w:rsidP="00793433">
      <w:pPr>
        <w:pStyle w:val="ListParagraph"/>
        <w:numPr>
          <w:ilvl w:val="0"/>
          <w:numId w:val="9"/>
        </w:numPr>
        <w:spacing w:after="80"/>
        <w:ind w:left="576" w:hanging="288"/>
        <w:contextualSpacing w:val="0"/>
      </w:pPr>
      <w:r w:rsidRPr="00342A67">
        <w:rPr>
          <w:b/>
          <w:iCs/>
          <w:u w:val="single"/>
        </w:rPr>
        <w:t>Partners may receive payments unrelated to income or “guaranteed payments.”</w:t>
      </w:r>
      <w:r w:rsidRPr="00342A67">
        <w:t xml:space="preserve"> – </w:t>
      </w:r>
      <w:r w:rsidR="007D0160">
        <w:t xml:space="preserve">In addition to receiving distributions from their capital accounts (that is, from contributions or allocated income), </w:t>
      </w:r>
      <w:r w:rsidRPr="00342A67">
        <w:t xml:space="preserve">partners may also receive “guaranteed payments” that are unrelated to the income earned and </w:t>
      </w:r>
      <w:r w:rsidR="007D0160">
        <w:t>allocated to the partner,</w:t>
      </w:r>
      <w:r w:rsidRPr="00342A67">
        <w:t xml:space="preserve"> </w:t>
      </w:r>
      <w:r w:rsidR="007D0160">
        <w:t xml:space="preserve">and </w:t>
      </w:r>
      <w:r w:rsidRPr="00342A67">
        <w:t>are effectively treated as an expense of the partnership.</w:t>
      </w:r>
    </w:p>
    <w:p w14:paraId="413A4473" w14:textId="54C58281" w:rsidR="007D0160" w:rsidRDefault="007D0160" w:rsidP="00793433">
      <w:pPr>
        <w:pStyle w:val="ListParagraph"/>
        <w:numPr>
          <w:ilvl w:val="0"/>
          <w:numId w:val="9"/>
        </w:numPr>
        <w:spacing w:after="80"/>
        <w:ind w:left="576" w:hanging="288"/>
        <w:contextualSpacing w:val="0"/>
      </w:pPr>
      <w:r w:rsidRPr="00E1512E">
        <w:rPr>
          <w:rFonts w:asciiTheme="majorHAnsi" w:hAnsiTheme="majorHAnsi" w:cstheme="majorBidi"/>
          <w:b/>
          <w:iCs/>
          <w:u w:val="single"/>
        </w:rPr>
        <w:t xml:space="preserve">Partners </w:t>
      </w:r>
      <w:r>
        <w:rPr>
          <w:rFonts w:asciiTheme="majorHAnsi" w:hAnsiTheme="majorHAnsi" w:cstheme="majorBidi"/>
          <w:b/>
          <w:iCs/>
          <w:u w:val="single"/>
        </w:rPr>
        <w:t xml:space="preserve">and their partnerships </w:t>
      </w:r>
      <w:r w:rsidRPr="00E1512E">
        <w:rPr>
          <w:rFonts w:asciiTheme="majorHAnsi" w:hAnsiTheme="majorHAnsi" w:cstheme="majorBidi"/>
          <w:b/>
          <w:iCs/>
          <w:u w:val="single"/>
        </w:rPr>
        <w:t xml:space="preserve">may engage in </w:t>
      </w:r>
      <w:r>
        <w:rPr>
          <w:rFonts w:asciiTheme="majorHAnsi" w:hAnsiTheme="majorHAnsi" w:cstheme="majorBidi"/>
          <w:b/>
          <w:iCs/>
          <w:u w:val="single"/>
        </w:rPr>
        <w:t xml:space="preserve">separate </w:t>
      </w:r>
      <w:r w:rsidRPr="00E1512E">
        <w:rPr>
          <w:rFonts w:asciiTheme="majorHAnsi" w:hAnsiTheme="majorHAnsi" w:cstheme="majorBidi"/>
          <w:b/>
          <w:iCs/>
          <w:u w:val="single"/>
        </w:rPr>
        <w:t>transactions</w:t>
      </w:r>
      <w:r>
        <w:rPr>
          <w:rFonts w:asciiTheme="majorHAnsi" w:hAnsiTheme="majorHAnsi" w:cstheme="majorBidi"/>
          <w:b/>
          <w:iCs/>
          <w:u w:val="single"/>
        </w:rPr>
        <w:t>.</w:t>
      </w:r>
      <w:r>
        <w:t xml:space="preserve"> – Partners may engage in transactions with each other or with the partnership as unrelated persons and receive payments which are treated differently than distributions or guaranteed payments.</w:t>
      </w:r>
    </w:p>
    <w:p w14:paraId="1BF1E82A" w14:textId="59747082" w:rsidR="00A846E4" w:rsidRPr="00A846E4" w:rsidRDefault="00A846E4" w:rsidP="00793433">
      <w:pPr>
        <w:pStyle w:val="ListParagraph"/>
        <w:numPr>
          <w:ilvl w:val="0"/>
          <w:numId w:val="9"/>
        </w:numPr>
        <w:spacing w:after="80"/>
        <w:ind w:left="576" w:hanging="288"/>
        <w:contextualSpacing w:val="0"/>
      </w:pPr>
      <w:r w:rsidRPr="00572F51">
        <w:rPr>
          <w:b/>
          <w:bCs/>
          <w:u w:val="single"/>
        </w:rPr>
        <w:t xml:space="preserve">There </w:t>
      </w:r>
      <w:r w:rsidR="00B35A7D">
        <w:rPr>
          <w:b/>
          <w:bCs/>
          <w:u w:val="single"/>
        </w:rPr>
        <w:t>are no</w:t>
      </w:r>
      <w:r w:rsidR="00B35A7D" w:rsidRPr="00572F51">
        <w:rPr>
          <w:b/>
          <w:bCs/>
          <w:u w:val="single"/>
        </w:rPr>
        <w:t xml:space="preserve"> limits on the number of partners</w:t>
      </w:r>
      <w:r w:rsidR="007D0160">
        <w:rPr>
          <w:b/>
          <w:bCs/>
          <w:u w:val="single"/>
        </w:rPr>
        <w:t xml:space="preserve"> a partnership may have</w:t>
      </w:r>
      <w:r w:rsidR="00EF223C">
        <w:rPr>
          <w:b/>
          <w:bCs/>
          <w:u w:val="single"/>
        </w:rPr>
        <w:t>.</w:t>
      </w:r>
      <w:r>
        <w:t xml:space="preserve"> – Unlike S corporations, </w:t>
      </w:r>
      <w:r w:rsidR="00572F51">
        <w:t>there are no limits on the number of partners that partnerships may have, so that some partnership</w:t>
      </w:r>
      <w:r w:rsidR="00CB3FF4">
        <w:t>s</w:t>
      </w:r>
      <w:r w:rsidR="00572F51">
        <w:t xml:space="preserve"> have thousands of partners.</w:t>
      </w:r>
    </w:p>
    <w:p w14:paraId="45DFBA1C" w14:textId="4CC8BBDB" w:rsidR="00787F23" w:rsidRDefault="007D0160" w:rsidP="00793433">
      <w:pPr>
        <w:pStyle w:val="ListParagraph"/>
        <w:numPr>
          <w:ilvl w:val="0"/>
          <w:numId w:val="9"/>
        </w:numPr>
        <w:spacing w:after="80"/>
        <w:ind w:left="576" w:hanging="288"/>
        <w:contextualSpacing w:val="0"/>
      </w:pPr>
      <w:r>
        <w:rPr>
          <w:rFonts w:asciiTheme="majorHAnsi" w:hAnsiTheme="majorHAnsi" w:cstheme="majorBidi"/>
          <w:b/>
          <w:iCs/>
          <w:u w:val="single"/>
        </w:rPr>
        <w:t>There are no limits on t</w:t>
      </w:r>
      <w:r w:rsidR="00797D1F" w:rsidRPr="00E1512E">
        <w:rPr>
          <w:rFonts w:asciiTheme="majorHAnsi" w:hAnsiTheme="majorHAnsi" w:cstheme="majorBidi"/>
          <w:b/>
          <w:iCs/>
          <w:u w:val="single"/>
        </w:rPr>
        <w:t xml:space="preserve">iered </w:t>
      </w:r>
      <w:r w:rsidR="00B35A7D" w:rsidRPr="00E1512E">
        <w:rPr>
          <w:rFonts w:asciiTheme="majorHAnsi" w:hAnsiTheme="majorHAnsi" w:cstheme="majorBidi"/>
          <w:b/>
          <w:iCs/>
          <w:u w:val="single"/>
        </w:rPr>
        <w:t>structures</w:t>
      </w:r>
      <w:r w:rsidR="00EF223C">
        <w:rPr>
          <w:rFonts w:asciiTheme="majorHAnsi" w:hAnsiTheme="majorHAnsi" w:cstheme="majorBidi"/>
          <w:b/>
          <w:iCs/>
          <w:u w:val="single"/>
        </w:rPr>
        <w:t>.</w:t>
      </w:r>
      <w:r w:rsidR="00797D1F">
        <w:t xml:space="preserve"> – </w:t>
      </w:r>
      <w:r w:rsidR="00787F23">
        <w:t>Partnerships can be structured in tiers</w:t>
      </w:r>
      <w:r w:rsidR="00753372">
        <w:t xml:space="preserve"> so</w:t>
      </w:r>
      <w:r w:rsidR="00787F23">
        <w:t xml:space="preserve"> that the ultimate taxpaying partners </w:t>
      </w:r>
      <w:r>
        <w:t>will</w:t>
      </w:r>
      <w:r w:rsidR="00787F23">
        <w:t xml:space="preserve"> receive shares of income</w:t>
      </w:r>
      <w:r>
        <w:t xml:space="preserve"> earned by lower tiers</w:t>
      </w:r>
      <w:r w:rsidR="00787F23">
        <w:t xml:space="preserve"> indirectly, </w:t>
      </w:r>
      <w:r w:rsidR="003D7E47">
        <w:t xml:space="preserve">as the distributive share of </w:t>
      </w:r>
      <w:r w:rsidR="00787F23">
        <w:t>other</w:t>
      </w:r>
      <w:r w:rsidR="003D7E47">
        <w:t>, higher tier</w:t>
      </w:r>
      <w:r w:rsidR="00787F23">
        <w:t xml:space="preserve"> pass-through entities.</w:t>
      </w:r>
    </w:p>
    <w:p w14:paraId="184B0628" w14:textId="365EA4AD" w:rsidR="00DB290A" w:rsidRDefault="00B35A7D" w:rsidP="00793433">
      <w:pPr>
        <w:pStyle w:val="ListParagraph"/>
        <w:numPr>
          <w:ilvl w:val="0"/>
          <w:numId w:val="9"/>
        </w:numPr>
        <w:spacing w:after="120"/>
        <w:ind w:left="576" w:hanging="288"/>
        <w:contextualSpacing w:val="0"/>
      </w:pPr>
      <w:r>
        <w:rPr>
          <w:rFonts w:asciiTheme="majorHAnsi" w:hAnsiTheme="majorHAnsi" w:cstheme="majorBidi"/>
          <w:b/>
          <w:iCs/>
          <w:u w:val="single"/>
        </w:rPr>
        <w:t>Partnership agreements may change over time</w:t>
      </w:r>
      <w:r w:rsidR="00EF223C">
        <w:rPr>
          <w:rFonts w:asciiTheme="majorHAnsi" w:hAnsiTheme="majorHAnsi" w:cstheme="majorBidi"/>
          <w:b/>
          <w:iCs/>
          <w:u w:val="single"/>
        </w:rPr>
        <w:t>.</w:t>
      </w:r>
      <w:r w:rsidR="00EF223C" w:rsidRPr="00EF223C">
        <w:rPr>
          <w:rFonts w:asciiTheme="majorHAnsi" w:hAnsiTheme="majorHAnsi" w:cstheme="majorBidi"/>
          <w:bCs/>
          <w:i/>
        </w:rPr>
        <w:t xml:space="preserve"> </w:t>
      </w:r>
      <w:r w:rsidR="00156825">
        <w:rPr>
          <w:rFonts w:asciiTheme="majorHAnsi" w:hAnsiTheme="majorHAnsi" w:cstheme="majorBidi"/>
          <w:bCs/>
          <w:i/>
        </w:rPr>
        <w:t>–</w:t>
      </w:r>
      <w:r w:rsidR="00EF223C" w:rsidRPr="00EF223C">
        <w:rPr>
          <w:rFonts w:asciiTheme="majorHAnsi" w:hAnsiTheme="majorHAnsi" w:cstheme="majorBidi"/>
          <w:bCs/>
          <w:i/>
        </w:rPr>
        <w:t xml:space="preserve"> </w:t>
      </w:r>
      <w:r w:rsidR="00156825">
        <w:rPr>
          <w:rFonts w:asciiTheme="majorHAnsi" w:hAnsiTheme="majorHAnsi" w:cstheme="majorBidi"/>
          <w:bCs/>
          <w:iCs/>
        </w:rPr>
        <w:t xml:space="preserve">Partners may change their economic arrangements over time as circumstances change or as partners join or leave the partnership. </w:t>
      </w:r>
    </w:p>
    <w:p w14:paraId="5EECC9F3" w14:textId="719F2CE3" w:rsidR="00E51C1F" w:rsidRDefault="00344256" w:rsidP="00797D1F">
      <w:r>
        <w:t>T</w:t>
      </w:r>
      <w:r w:rsidRPr="00344256">
        <w:t>his white paper</w:t>
      </w:r>
      <w:r>
        <w:t xml:space="preserve"> generally</w:t>
      </w:r>
      <w:r w:rsidRPr="00344256">
        <w:t xml:space="preserve"> assumes that the partnership arrangements will follow an accrual basis for both tax and book purposes.</w:t>
      </w:r>
    </w:p>
    <w:p w14:paraId="58F1DCFA" w14:textId="364AAFBD" w:rsidR="00E56D54" w:rsidRDefault="00F54CF3" w:rsidP="00E56D54">
      <w:pPr>
        <w:pStyle w:val="Heading2"/>
      </w:pPr>
      <w:bookmarkStart w:id="12" w:name="_Toc153291131"/>
      <w:r>
        <w:lastRenderedPageBreak/>
        <w:t xml:space="preserve">I. </w:t>
      </w:r>
      <w:r w:rsidR="00B5459F">
        <w:t xml:space="preserve">C. </w:t>
      </w:r>
      <w:r w:rsidR="00E56D54">
        <w:t>Federal Reporting of Guaranteed Payment</w:t>
      </w:r>
      <w:r w:rsidR="00F6194C">
        <w:t xml:space="preserve"> Information</w:t>
      </w:r>
      <w:bookmarkEnd w:id="12"/>
    </w:p>
    <w:p w14:paraId="14C04424" w14:textId="71085CEA" w:rsidR="00E56D54" w:rsidRDefault="009A6D40" w:rsidP="00E56D54">
      <w:r>
        <w:t xml:space="preserve">As will be discussed </w:t>
      </w:r>
      <w:r w:rsidR="006A09A8">
        <w:t xml:space="preserve">further </w:t>
      </w:r>
      <w:r>
        <w:t>in this white paper</w:t>
      </w:r>
      <w:r w:rsidR="008F1DEF">
        <w:t xml:space="preserve">, </w:t>
      </w:r>
      <w:r>
        <w:t xml:space="preserve">the federal </w:t>
      </w:r>
      <w:r w:rsidR="00D63576">
        <w:t xml:space="preserve">tax </w:t>
      </w:r>
      <w:r>
        <w:t xml:space="preserve">treatment of guaranteed payments </w:t>
      </w:r>
      <w:r w:rsidR="00793433">
        <w:t xml:space="preserve">does not control but </w:t>
      </w:r>
      <w:r>
        <w:t xml:space="preserve">may </w:t>
      </w:r>
      <w:r w:rsidR="00593856">
        <w:t>have some bearing on</w:t>
      </w:r>
      <w:r>
        <w:t xml:space="preserve"> state sourcing of those payments</w:t>
      </w:r>
      <w:r w:rsidR="00EA6FDE">
        <w:t xml:space="preserve">. </w:t>
      </w:r>
      <w:r w:rsidR="008F1DEF">
        <w:t xml:space="preserve">In particular, to the extent states choose to </w:t>
      </w:r>
      <w:r w:rsidR="00593856">
        <w:t xml:space="preserve">source </w:t>
      </w:r>
      <w:r w:rsidR="00547EA3">
        <w:t>guaranteed</w:t>
      </w:r>
      <w:r w:rsidR="00593856">
        <w:t xml:space="preserve"> payments </w:t>
      </w:r>
      <w:r w:rsidR="00547EA3">
        <w:t xml:space="preserve">for services </w:t>
      </w:r>
      <w:r w:rsidR="00593856">
        <w:t xml:space="preserve">differently than </w:t>
      </w:r>
      <w:r w:rsidR="00EA6FDE">
        <w:t>distributive share income</w:t>
      </w:r>
      <w:r w:rsidR="00547EA3">
        <w:t>, they</w:t>
      </w:r>
      <w:r w:rsidR="00EA6FDE">
        <w:t xml:space="preserve"> </w:t>
      </w:r>
      <w:r w:rsidR="00225FF6">
        <w:t xml:space="preserve">will </w:t>
      </w:r>
      <w:r w:rsidR="00547EA3">
        <w:t xml:space="preserve">need to </w:t>
      </w:r>
      <w:r w:rsidR="00D63576">
        <w:t xml:space="preserve">be able to </w:t>
      </w:r>
      <w:r w:rsidR="00547EA3">
        <w:t>distinguish</w:t>
      </w:r>
      <w:r w:rsidR="00225FF6">
        <w:t xml:space="preserve"> the payments to which that treatment is </w:t>
      </w:r>
      <w:r w:rsidR="00547EA3">
        <w:t xml:space="preserve">properly </w:t>
      </w:r>
      <w:r w:rsidR="00225FF6">
        <w:t>applied</w:t>
      </w:r>
      <w:r>
        <w:t xml:space="preserve">. </w:t>
      </w:r>
      <w:r w:rsidR="006A09A8">
        <w:t>T</w:t>
      </w:r>
      <w:r>
        <w:t xml:space="preserve">his note </w:t>
      </w:r>
      <w:r w:rsidR="00637011">
        <w:t xml:space="preserve">summarizes how </w:t>
      </w:r>
      <w:r>
        <w:t>information on guaranteed payments is reported for federal tax purposes.</w:t>
      </w:r>
    </w:p>
    <w:p w14:paraId="05D2E7F9" w14:textId="77777777" w:rsidR="00225FF6" w:rsidRDefault="00225FF6" w:rsidP="00E56D54"/>
    <w:p w14:paraId="381A54C7" w14:textId="066BA0CB" w:rsidR="00225FF6" w:rsidRPr="00E56D54" w:rsidRDefault="006441A4" w:rsidP="001A70E4">
      <w:pPr>
        <w:pStyle w:val="Heading3"/>
        <w:ind w:left="-720"/>
        <w:jc w:val="left"/>
      </w:pPr>
      <w:bookmarkStart w:id="13" w:name="_Toc153291132"/>
      <w:r>
        <w:rPr>
          <w:noProof/>
        </w:rPr>
        <w:drawing>
          <wp:anchor distT="0" distB="0" distL="114300" distR="114300" simplePos="0" relativeHeight="251643904" behindDoc="0" locked="0" layoutInCell="1" allowOverlap="1" wp14:anchorId="20E1C387" wp14:editId="69EE5031">
            <wp:simplePos x="0" y="0"/>
            <wp:positionH relativeFrom="column">
              <wp:posOffset>-481965</wp:posOffset>
            </wp:positionH>
            <wp:positionV relativeFrom="paragraph">
              <wp:posOffset>337820</wp:posOffset>
            </wp:positionV>
            <wp:extent cx="6687820" cy="6264275"/>
            <wp:effectExtent l="57150" t="19050" r="55880" b="98425"/>
            <wp:wrapSquare wrapText="bothSides"/>
            <wp:docPr id="69613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7820" cy="6264275"/>
                    </a:xfrm>
                    <a:prstGeom prst="rect">
                      <a:avLst/>
                    </a:prstGeom>
                    <a:noFill/>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5FF6">
        <w:t>Reporting of Guaranteed Payments Starts with the Partnership Return</w:t>
      </w:r>
      <w:bookmarkEnd w:id="13"/>
    </w:p>
    <w:p w14:paraId="6DBAAF37" w14:textId="28920F8F" w:rsidR="00B041A0" w:rsidRDefault="00E56D54" w:rsidP="009F0C13">
      <w:r>
        <w:br w:type="page"/>
      </w:r>
    </w:p>
    <w:p w14:paraId="7CACDD41" w14:textId="77777777" w:rsidR="00225FF6" w:rsidRDefault="00225FF6" w:rsidP="009F0C13"/>
    <w:bookmarkStart w:id="14" w:name="_Toc153291133"/>
    <w:p w14:paraId="7E80E5D7" w14:textId="5B66050B" w:rsidR="009F0C13" w:rsidRDefault="001A70E4" w:rsidP="001A70E4">
      <w:pPr>
        <w:pStyle w:val="Heading3"/>
        <w:ind w:left="-720"/>
        <w:jc w:val="left"/>
      </w:pPr>
      <w:r w:rsidRPr="003962E5">
        <w:rPr>
          <w:noProof/>
        </w:rPr>
        <mc:AlternateContent>
          <mc:Choice Requires="wpg">
            <w:drawing>
              <wp:anchor distT="0" distB="0" distL="114300" distR="114300" simplePos="0" relativeHeight="251644928" behindDoc="0" locked="0" layoutInCell="1" allowOverlap="1" wp14:anchorId="5EC09911" wp14:editId="3EE81700">
                <wp:simplePos x="0" y="0"/>
                <wp:positionH relativeFrom="column">
                  <wp:posOffset>-451876</wp:posOffset>
                </wp:positionH>
                <wp:positionV relativeFrom="paragraph">
                  <wp:posOffset>344512</wp:posOffset>
                </wp:positionV>
                <wp:extent cx="6358060" cy="6992815"/>
                <wp:effectExtent l="38100" t="38100" r="24130" b="93980"/>
                <wp:wrapNone/>
                <wp:docPr id="15" name="Group 14">
                  <a:extLst xmlns:a="http://schemas.openxmlformats.org/drawingml/2006/main">
                    <a:ext uri="{FF2B5EF4-FFF2-40B4-BE49-F238E27FC236}">
                      <a16:creationId xmlns:a16="http://schemas.microsoft.com/office/drawing/2014/main" id="{AA13BF06-C3A7-9044-689A-7E062EE548EE}"/>
                    </a:ext>
                  </a:extLst>
                </wp:docPr>
                <wp:cNvGraphicFramePr/>
                <a:graphic xmlns:a="http://schemas.openxmlformats.org/drawingml/2006/main">
                  <a:graphicData uri="http://schemas.microsoft.com/office/word/2010/wordprocessingGroup">
                    <wpg:wgp>
                      <wpg:cNvGrpSpPr/>
                      <wpg:grpSpPr>
                        <a:xfrm>
                          <a:off x="0" y="0"/>
                          <a:ext cx="6358060" cy="6992815"/>
                          <a:chOff x="0" y="0"/>
                          <a:chExt cx="6188078" cy="6732665"/>
                        </a:xfrm>
                      </wpg:grpSpPr>
                      <pic:pic xmlns:pic="http://schemas.openxmlformats.org/drawingml/2006/picture">
                        <pic:nvPicPr>
                          <pic:cNvPr id="34617474" name="Picture 34617474" descr="Graphical user interface&#10;&#10;Description automatically generated">
                            <a:extLst>
                              <a:ext uri="{FF2B5EF4-FFF2-40B4-BE49-F238E27FC236}">
                                <a16:creationId xmlns:a16="http://schemas.microsoft.com/office/drawing/2014/main" id="{EAEC3258-BD01-FBFB-C867-7ABC8809F365}"/>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832350" cy="6732665"/>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Lst>
                        </pic:spPr>
                      </pic:pic>
                      <wps:wsp>
                        <wps:cNvPr id="1822940361" name="Text Box 2">
                          <a:extLst>
                            <a:ext uri="{FF2B5EF4-FFF2-40B4-BE49-F238E27FC236}">
                              <a16:creationId xmlns:a16="http://schemas.microsoft.com/office/drawing/2014/main" id="{6841D3FE-9F99-17C3-18CD-5459816B31EB}"/>
                            </a:ext>
                          </a:extLst>
                        </wps:cNvPr>
                        <wps:cNvSpPr txBox="1">
                          <a:spLocks noChangeArrowheads="1"/>
                        </wps:cNvSpPr>
                        <wps:spPr bwMode="auto">
                          <a:xfrm>
                            <a:off x="4911094" y="34452"/>
                            <a:ext cx="1276984" cy="1657349"/>
                          </a:xfrm>
                          <a:prstGeom prst="rect">
                            <a:avLst/>
                          </a:prstGeom>
                          <a:solidFill>
                            <a:srgbClr val="FFFFFF"/>
                          </a:solidFill>
                          <a:ln w="9525">
                            <a:solidFill>
                              <a:srgbClr val="000000"/>
                            </a:solidFill>
                            <a:miter lim="800000"/>
                            <a:headEnd/>
                            <a:tailEnd/>
                          </a:ln>
                        </wps:spPr>
                        <wps:txbx>
                          <w:txbxContent>
                            <w:p w14:paraId="06F1D3E5" w14:textId="77777777" w:rsidR="003962E5" w:rsidRDefault="003962E5" w:rsidP="003962E5">
                              <w:pPr>
                                <w:kinsoku w:val="0"/>
                                <w:overflowPunct w:val="0"/>
                                <w:textAlignment w:val="baseline"/>
                                <w:rPr>
                                  <w:rFonts w:eastAsia="Calibri" w:cs="Arial"/>
                                  <w:color w:val="000000" w:themeColor="text1"/>
                                  <w:kern w:val="24"/>
                                  <w:sz w:val="16"/>
                                  <w:szCs w:val="16"/>
                                </w:rPr>
                              </w:pPr>
                              <w:r>
                                <w:rPr>
                                  <w:rFonts w:eastAsia="Calibri" w:cs="Arial"/>
                                  <w:color w:val="000000" w:themeColor="text1"/>
                                  <w:kern w:val="24"/>
                                  <w:sz w:val="16"/>
                                  <w:szCs w:val="16"/>
                                </w:rPr>
                                <w:t xml:space="preserve">The federal Schedule K-1 now breaks out the guaranteed payments from the 1065 that are paid to each partner between those payments that are made for services and those that are made for capital. This may be the only place in the federal filing where this distinction is made. </w:t>
                              </w:r>
                            </w:p>
                          </w:txbxContent>
                        </wps:txbx>
                        <wps:bodyPr vert="horz" wrap="square" lIns="91440" tIns="45720" rIns="91440" bIns="45720" numCol="1" anchor="t" anchorCtr="0" compatLnSpc="1">
                          <a:prstTxWarp prst="textNoShape">
                            <a:avLst/>
                          </a:prstTxWarp>
                          <a:noAutofit/>
                        </wps:bodyPr>
                      </wps:wsp>
                      <wps:wsp>
                        <wps:cNvPr id="241479122" name="Straight Arrow Connector 241479122">
                          <a:extLst>
                            <a:ext uri="{FF2B5EF4-FFF2-40B4-BE49-F238E27FC236}">
                              <a16:creationId xmlns:a16="http://schemas.microsoft.com/office/drawing/2014/main" id="{04DAE149-069F-C9F9-3A9F-A40D8570F526}"/>
                            </a:ext>
                          </a:extLst>
                        </wps:cNvPr>
                        <wps:cNvCnPr>
                          <a:cxnSpLocks/>
                          <a:stCxn id="1822940361" idx="1"/>
                        </wps:cNvCnPr>
                        <wps:spPr>
                          <a:xfrm flipH="1">
                            <a:off x="3605820" y="819284"/>
                            <a:ext cx="1305724" cy="571689"/>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2401541" name="Straight Arrow Connector 1152401541">
                          <a:extLst>
                            <a:ext uri="{FF2B5EF4-FFF2-40B4-BE49-F238E27FC236}">
                              <a16:creationId xmlns:a16="http://schemas.microsoft.com/office/drawing/2014/main" id="{82E41CBB-06E1-E2BD-9A36-068434B9AFDF}"/>
                            </a:ext>
                          </a:extLst>
                        </wps:cNvPr>
                        <wps:cNvCnPr>
                          <a:cxnSpLocks/>
                          <a:stCxn id="1822940361" idx="1"/>
                        </wps:cNvCnPr>
                        <wps:spPr>
                          <a:xfrm flipH="1">
                            <a:off x="3587484" y="819284"/>
                            <a:ext cx="1324060" cy="378678"/>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C09911" id="Group 14" o:spid="_x0000_s1026" style="position:absolute;left:0;text-align:left;margin-left:-35.6pt;margin-top:27.15pt;width:500.65pt;height:550.6pt;z-index:251644928;mso-width-relative:margin;mso-height-relative:margin" coordsize="61880,6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17474" o:spid="_x0000_s1027" type="#_x0000_t75" alt="Graphical user interface&#10;&#10;Description automatically generated" style="position:absolute;width:48323;height:6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">
                  <v:imagedata r:id="rId12" o:title="Graphical user interface&#10;&#10;Description automatically generated"/>
                  <v:shadow on="t" color="black" opacity="26214f" origin="-.5,-.5" offset=".74836mm,.74836mm"/>
                </v:shape>
                <v:shapetype id="_x0000_t202" coordsize="21600,21600" o:spt="202" path="m,l,21600r21600,l21600,xe">
                  <v:stroke joinstyle="miter"/>
                  <v:path gradientshapeok="t" o:connecttype="rect"/>
                </v:shapetype>
                <v:shape id="Text Box 2" o:spid="_x0000_s1028" type="#_x0000_t202" style="position:absolute;left:49110;top:344;width:12770;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">
                  <v:textbox>
                    <w:txbxContent>
                      <w:p w14:paraId="06F1D3E5" w14:textId="77777777" w:rsidR="003962E5" w:rsidRDefault="003962E5" w:rsidP="003962E5">
                        <w:pPr>
                          <w:kinsoku w:val="0"/>
                          <w:overflowPunct w:val="0"/>
                          <w:textAlignment w:val="baseline"/>
                          <w:rPr>
                            <w:rFonts w:eastAsia="Calibri" w:cs="Arial"/>
                            <w:color w:val="000000" w:themeColor="text1"/>
                            <w:kern w:val="24"/>
                            <w:sz w:val="16"/>
                            <w:szCs w:val="16"/>
                          </w:rPr>
                        </w:pPr>
                        <w:r>
                          <w:rPr>
                            <w:rFonts w:eastAsia="Calibri" w:cs="Arial"/>
                            <w:color w:val="000000" w:themeColor="text1"/>
                            <w:kern w:val="24"/>
                            <w:sz w:val="16"/>
                            <w:szCs w:val="16"/>
                          </w:rPr>
                          <w:t xml:space="preserve">The federal Schedule K-1 now breaks out the guaranteed payments from the 1065 that are paid to each partner between those payments that are made for services and those that are made for capital. This may be the only place in the federal filing where this distinction is made. </w:t>
                        </w:r>
                      </w:p>
                    </w:txbxContent>
                  </v:textbox>
                </v:shape>
                <v:shapetype id="_x0000_t32" coordsize="21600,21600" o:spt="32" o:oned="t" path="m,l21600,21600e" filled="f">
                  <v:path arrowok="t" fillok="f" o:connecttype="none"/>
                  <o:lock v:ext="edit" shapetype="t"/>
                </v:shapetype>
                <v:shape id="Straight Arrow Connector 241479122" o:spid="_x0000_s1029" type="#_x0000_t32" style="position:absolute;left:36058;top:8192;width:13057;height:5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" strokecolor="#c00000" strokeweight="1.5pt">
                  <v:stroke endarrow="block"/>
                  <o:lock v:ext="edit" shapetype="f"/>
                </v:shape>
                <v:shape id="Straight Arrow Connector 1152401541" o:spid="_x0000_s1030" type="#_x0000_t32" style="position:absolute;left:35874;top:8192;width:13241;height:37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" strokecolor="#c00000" strokeweight="1.5pt">
                  <v:stroke endarrow="block"/>
                  <o:lock v:ext="edit" shapetype="f"/>
                </v:shape>
              </v:group>
            </w:pict>
          </mc:Fallback>
        </mc:AlternateContent>
      </w:r>
      <w:r w:rsidR="00225FF6">
        <w:t>Items from the Partnership Return then Flow Through on Schedule K-1s to Partners</w:t>
      </w:r>
      <w:bookmarkEnd w:id="14"/>
    </w:p>
    <w:p w14:paraId="036F4B53" w14:textId="1DA4EEB3" w:rsidR="009F0C13" w:rsidRDefault="009F0C13" w:rsidP="002E2C9D"/>
    <w:p w14:paraId="1EDF494D" w14:textId="1FCD72F6" w:rsidR="00F96FBE" w:rsidRDefault="00F96FBE">
      <w:pPr>
        <w:spacing w:line="276" w:lineRule="auto"/>
        <w:jc w:val="left"/>
        <w:rPr>
          <w:rFonts w:asciiTheme="majorHAnsi" w:eastAsiaTheme="majorEastAsia" w:hAnsiTheme="majorHAnsi" w:cstheme="majorBidi"/>
          <w:b/>
          <w:smallCaps/>
          <w:color w:val="851C00" w:themeColor="accent6" w:themeShade="BF"/>
          <w:sz w:val="36"/>
          <w:szCs w:val="32"/>
        </w:rPr>
      </w:pPr>
      <w:r>
        <w:rPr>
          <w:rFonts w:asciiTheme="majorHAnsi" w:eastAsiaTheme="majorEastAsia" w:hAnsiTheme="majorHAnsi" w:cstheme="majorBidi"/>
          <w:b/>
          <w:smallCaps/>
          <w:color w:val="851C00" w:themeColor="accent6" w:themeShade="BF"/>
          <w:sz w:val="36"/>
          <w:szCs w:val="32"/>
        </w:rPr>
        <w:br w:type="page"/>
      </w:r>
    </w:p>
    <w:p w14:paraId="67F309D8" w14:textId="5ED860D9" w:rsidR="00C62F0F" w:rsidRDefault="00570E99" w:rsidP="001A70E4">
      <w:pPr>
        <w:pStyle w:val="Heading3"/>
        <w:ind w:left="-720"/>
        <w:jc w:val="left"/>
      </w:pPr>
      <w:bookmarkStart w:id="15" w:name="_Toc153291134"/>
      <w:r>
        <w:rPr>
          <w:noProof/>
        </w:rPr>
        <w:lastRenderedPageBreak/>
        <w:drawing>
          <wp:anchor distT="0" distB="0" distL="114300" distR="114300" simplePos="0" relativeHeight="251645952" behindDoc="0" locked="0" layoutInCell="1" allowOverlap="1" wp14:anchorId="08F12652" wp14:editId="4C4D36E5">
            <wp:simplePos x="0" y="0"/>
            <wp:positionH relativeFrom="column">
              <wp:posOffset>-429260</wp:posOffset>
            </wp:positionH>
            <wp:positionV relativeFrom="paragraph">
              <wp:posOffset>352425</wp:posOffset>
            </wp:positionV>
            <wp:extent cx="6431915" cy="6717030"/>
            <wp:effectExtent l="38100" t="38100" r="102235" b="102870"/>
            <wp:wrapSquare wrapText="bothSides"/>
            <wp:docPr id="1069937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1915" cy="671703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5FF6">
        <w:t>The Partners Then Report Information from their Schedule K-1</w:t>
      </w:r>
      <w:bookmarkEnd w:id="15"/>
    </w:p>
    <w:p w14:paraId="2FD2FE76" w14:textId="77777777" w:rsidR="0001559E" w:rsidRDefault="0001559E">
      <w:pPr>
        <w:spacing w:line="276" w:lineRule="auto"/>
        <w:jc w:val="left"/>
        <w:rPr>
          <w:rFonts w:asciiTheme="majorHAnsi" w:eastAsiaTheme="majorEastAsia" w:hAnsiTheme="majorHAnsi" w:cstheme="majorBidi"/>
          <w:b/>
          <w:color w:val="851C00" w:themeColor="accent6" w:themeShade="BF"/>
          <w:sz w:val="22"/>
          <w:szCs w:val="24"/>
          <w:u w:val="single"/>
        </w:rPr>
      </w:pPr>
      <w:r>
        <w:br w:type="page"/>
      </w:r>
    </w:p>
    <w:p w14:paraId="14A28EAA" w14:textId="17D287F3" w:rsidR="009A6D40" w:rsidRDefault="001A70E4" w:rsidP="001A70E4">
      <w:pPr>
        <w:pStyle w:val="Heading3"/>
        <w:ind w:left="-720"/>
        <w:jc w:val="left"/>
      </w:pPr>
      <w:bookmarkStart w:id="16" w:name="_Toc153291135"/>
      <w:r>
        <w:rPr>
          <w:noProof/>
        </w:rPr>
        <w:lastRenderedPageBreak/>
        <w:drawing>
          <wp:anchor distT="0" distB="0" distL="114300" distR="114300" simplePos="0" relativeHeight="251646976" behindDoc="0" locked="0" layoutInCell="1" allowOverlap="1" wp14:anchorId="159E699D" wp14:editId="3B37C551">
            <wp:simplePos x="0" y="0"/>
            <wp:positionH relativeFrom="column">
              <wp:posOffset>-488119</wp:posOffset>
            </wp:positionH>
            <wp:positionV relativeFrom="paragraph">
              <wp:posOffset>336111</wp:posOffset>
            </wp:positionV>
            <wp:extent cx="6582410" cy="6453505"/>
            <wp:effectExtent l="38100" t="38100" r="104140" b="99695"/>
            <wp:wrapSquare wrapText="bothSides"/>
            <wp:docPr id="441669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2410" cy="645350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C02FA">
        <w:rPr>
          <w:noProof/>
        </w:rPr>
        <mc:AlternateContent>
          <mc:Choice Requires="aink">
            <w:drawing>
              <wp:anchor distT="0" distB="0" distL="114300" distR="114300" simplePos="0" relativeHeight="251640832" behindDoc="0" locked="0" layoutInCell="1" allowOverlap="1" wp14:anchorId="3893DC8F" wp14:editId="5144D56F">
                <wp:simplePos x="0" y="0"/>
                <wp:positionH relativeFrom="column">
                  <wp:posOffset>4885690</wp:posOffset>
                </wp:positionH>
                <wp:positionV relativeFrom="paragraph">
                  <wp:posOffset>2865755</wp:posOffset>
                </wp:positionV>
                <wp:extent cx="4445" cy="360"/>
                <wp:effectExtent l="57150" t="38100" r="52705" b="57150"/>
                <wp:wrapNone/>
                <wp:docPr id="402905226" name="Ink 23"/>
                <wp:cNvGraphicFramePr/>
                <a:graphic xmlns:a="http://schemas.openxmlformats.org/drawingml/2006/main">
                  <a:graphicData uri="http://schemas.microsoft.com/office/word/2010/wordprocessingInk">
                    <w14:contentPart bwMode="auto" r:id="rId15">
                      <w14:nvContentPartPr>
                        <w14:cNvContentPartPr/>
                      </w14:nvContentPartPr>
                      <w14:xfrm>
                        <a:off x="0" y="0"/>
                        <a:ext cx="4445" cy="360"/>
                      </w14:xfrm>
                    </w14:contentPart>
                  </a:graphicData>
                </a:graphic>
              </wp:anchor>
            </w:drawing>
          </mc:Choice>
          <mc:Fallback>
            <w:drawing>
              <wp:anchor distT="0" distB="0" distL="114300" distR="114300" simplePos="0" relativeHeight="251640832" behindDoc="0" locked="0" layoutInCell="1" allowOverlap="1" wp14:anchorId="3893DC8F" wp14:editId="5144D56F">
                <wp:simplePos x="0" y="0"/>
                <wp:positionH relativeFrom="column">
                  <wp:posOffset>4885690</wp:posOffset>
                </wp:positionH>
                <wp:positionV relativeFrom="paragraph">
                  <wp:posOffset>2865755</wp:posOffset>
                </wp:positionV>
                <wp:extent cx="4445" cy="360"/>
                <wp:effectExtent l="57150" t="38100" r="52705" b="57150"/>
                <wp:wrapNone/>
                <wp:docPr id="402905226" name="Ink 23"/>
                <wp:cNvGraphicFramePr/>
                <a:graphic xmlns:a="http://schemas.openxmlformats.org/drawingml/2006/main">
                  <a:graphicData uri="http://schemas.openxmlformats.org/drawingml/2006/picture">
                    <pic:pic xmlns:pic="http://schemas.openxmlformats.org/drawingml/2006/picture">
                      <pic:nvPicPr>
                        <pic:cNvPr id="402905226" name="Ink 23"/>
                        <pic:cNvPicPr/>
                      </pic:nvPicPr>
                      <pic:blipFill>
                        <a:blip r:embed="rId16"/>
                        <a:stretch>
                          <a:fillRect/>
                        </a:stretch>
                      </pic:blipFill>
                      <pic:spPr>
                        <a:xfrm>
                          <a:off x="0" y="0"/>
                          <a:ext cx="38295"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41856" behindDoc="0" locked="0" layoutInCell="1" allowOverlap="1" wp14:anchorId="4438F682" wp14:editId="58BCEFBF">
                <wp:simplePos x="0" y="0"/>
                <wp:positionH relativeFrom="column">
                  <wp:posOffset>5228590</wp:posOffset>
                </wp:positionH>
                <wp:positionV relativeFrom="paragraph">
                  <wp:posOffset>3094355</wp:posOffset>
                </wp:positionV>
                <wp:extent cx="28575" cy="52705"/>
                <wp:effectExtent l="57150" t="38100" r="47625" b="61595"/>
                <wp:wrapNone/>
                <wp:docPr id="849033145" name="Ink 24"/>
                <wp:cNvGraphicFramePr/>
                <a:graphic xmlns:a="http://schemas.openxmlformats.org/drawingml/2006/main">
                  <a:graphicData uri="http://schemas.microsoft.com/office/word/2010/wordprocessingInk">
                    <w14:contentPart bwMode="auto" r:id="rId17">
                      <w14:nvContentPartPr>
                        <w14:cNvContentPartPr/>
                      </w14:nvContentPartPr>
                      <w14:xfrm>
                        <a:off x="0" y="0"/>
                        <a:ext cx="28575" cy="52705"/>
                      </w14:xfrm>
                    </w14:contentPart>
                  </a:graphicData>
                </a:graphic>
              </wp:anchor>
            </w:drawing>
          </mc:Choice>
          <mc:Fallback>
            <w:drawing>
              <wp:anchor distT="0" distB="0" distL="114300" distR="114300" simplePos="0" relativeHeight="251641856" behindDoc="0" locked="0" layoutInCell="1" allowOverlap="1" wp14:anchorId="4438F682" wp14:editId="58BCEFBF">
                <wp:simplePos x="0" y="0"/>
                <wp:positionH relativeFrom="column">
                  <wp:posOffset>5228590</wp:posOffset>
                </wp:positionH>
                <wp:positionV relativeFrom="paragraph">
                  <wp:posOffset>3094355</wp:posOffset>
                </wp:positionV>
                <wp:extent cx="28575" cy="52705"/>
                <wp:effectExtent l="57150" t="38100" r="47625" b="61595"/>
                <wp:wrapNone/>
                <wp:docPr id="849033145" name="Ink 24"/>
                <wp:cNvGraphicFramePr/>
                <a:graphic xmlns:a="http://schemas.openxmlformats.org/drawingml/2006/main">
                  <a:graphicData uri="http://schemas.openxmlformats.org/drawingml/2006/picture">
                    <pic:pic xmlns:pic="http://schemas.openxmlformats.org/drawingml/2006/picture">
                      <pic:nvPicPr>
                        <pic:cNvPr id="849033145" name="Ink 24"/>
                        <pic:cNvPicPr/>
                      </pic:nvPicPr>
                      <pic:blipFill>
                        <a:blip r:embed="rId18"/>
                        <a:stretch>
                          <a:fillRect/>
                        </a:stretch>
                      </pic:blipFill>
                      <pic:spPr>
                        <a:xfrm>
                          <a:off x="0" y="0"/>
                          <a:ext cx="63500" cy="267469"/>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42880" behindDoc="0" locked="0" layoutInCell="1" allowOverlap="1" wp14:anchorId="1AFD81B7" wp14:editId="634645DB">
                <wp:simplePos x="0" y="0"/>
                <wp:positionH relativeFrom="column">
                  <wp:posOffset>5337810</wp:posOffset>
                </wp:positionH>
                <wp:positionV relativeFrom="paragraph">
                  <wp:posOffset>3299460</wp:posOffset>
                </wp:positionV>
                <wp:extent cx="360" cy="4445"/>
                <wp:effectExtent l="57150" t="38100" r="38100" b="71755"/>
                <wp:wrapNone/>
                <wp:docPr id="1606429969" name="Ink 25"/>
                <wp:cNvGraphicFramePr/>
                <a:graphic xmlns:a="http://schemas.openxmlformats.org/drawingml/2006/main">
                  <a:graphicData uri="http://schemas.microsoft.com/office/word/2010/wordprocessingInk">
                    <w14:contentPart bwMode="auto" r:id="rId19">
                      <w14:nvContentPartPr>
                        <w14:cNvContentPartPr/>
                      </w14:nvContentPartPr>
                      <w14:xfrm>
                        <a:off x="0" y="0"/>
                        <a:ext cx="360" cy="4445"/>
                      </w14:xfrm>
                    </w14:contentPart>
                  </a:graphicData>
                </a:graphic>
              </wp:anchor>
            </w:drawing>
          </mc:Choice>
          <mc:Fallback>
            <w:drawing>
              <wp:anchor distT="0" distB="0" distL="114300" distR="114300" simplePos="0" relativeHeight="251642880" behindDoc="0" locked="0" layoutInCell="1" allowOverlap="1" wp14:anchorId="1AFD81B7" wp14:editId="634645DB">
                <wp:simplePos x="0" y="0"/>
                <wp:positionH relativeFrom="column">
                  <wp:posOffset>5337810</wp:posOffset>
                </wp:positionH>
                <wp:positionV relativeFrom="paragraph">
                  <wp:posOffset>3299460</wp:posOffset>
                </wp:positionV>
                <wp:extent cx="360" cy="4445"/>
                <wp:effectExtent l="57150" t="38100" r="38100" b="71755"/>
                <wp:wrapNone/>
                <wp:docPr id="1606429969" name="Ink 25"/>
                <wp:cNvGraphicFramePr/>
                <a:graphic xmlns:a="http://schemas.openxmlformats.org/drawingml/2006/main">
                  <a:graphicData uri="http://schemas.openxmlformats.org/drawingml/2006/picture">
                    <pic:pic xmlns:pic="http://schemas.openxmlformats.org/drawingml/2006/picture">
                      <pic:nvPicPr>
                        <pic:cNvPr id="1606429969" name="Ink 25"/>
                        <pic:cNvPicPr/>
                      </pic:nvPicPr>
                      <pic:blipFill>
                        <a:blip r:embed="rId20"/>
                        <a:stretch>
                          <a:fillRect/>
                        </a:stretch>
                      </pic:blipFill>
                      <pic:spPr>
                        <a:xfrm>
                          <a:off x="0" y="0"/>
                          <a:ext cx="36000" cy="209257"/>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9808" behindDoc="0" locked="0" layoutInCell="1" allowOverlap="1" wp14:anchorId="1B0A01D0" wp14:editId="29DAFDBC">
                <wp:simplePos x="0" y="0"/>
                <wp:positionH relativeFrom="column">
                  <wp:posOffset>4981305</wp:posOffset>
                </wp:positionH>
                <wp:positionV relativeFrom="paragraph">
                  <wp:posOffset>2237568</wp:posOffset>
                </wp:positionV>
                <wp:extent cx="360" cy="360"/>
                <wp:effectExtent l="57150" t="38100" r="38100" b="57150"/>
                <wp:wrapNone/>
                <wp:docPr id="109947302" name="Ink 2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39808" behindDoc="0" locked="0" layoutInCell="1" allowOverlap="1" wp14:anchorId="1B0A01D0" wp14:editId="29DAFDBC">
                <wp:simplePos x="0" y="0"/>
                <wp:positionH relativeFrom="column">
                  <wp:posOffset>4981305</wp:posOffset>
                </wp:positionH>
                <wp:positionV relativeFrom="paragraph">
                  <wp:posOffset>2237568</wp:posOffset>
                </wp:positionV>
                <wp:extent cx="360" cy="360"/>
                <wp:effectExtent l="57150" t="38100" r="38100" b="57150"/>
                <wp:wrapNone/>
                <wp:docPr id="109947302" name="Ink 22"/>
                <wp:cNvGraphicFramePr/>
                <a:graphic xmlns:a="http://schemas.openxmlformats.org/drawingml/2006/main">
                  <a:graphicData uri="http://schemas.openxmlformats.org/drawingml/2006/picture">
                    <pic:pic xmlns:pic="http://schemas.openxmlformats.org/drawingml/2006/picture">
                      <pic:nvPicPr>
                        <pic:cNvPr id="109947302" name="Ink 22"/>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8784" behindDoc="0" locked="0" layoutInCell="1" allowOverlap="1" wp14:anchorId="08B11371" wp14:editId="4733D0B8">
                <wp:simplePos x="0" y="0"/>
                <wp:positionH relativeFrom="column">
                  <wp:posOffset>5379465</wp:posOffset>
                </wp:positionH>
                <wp:positionV relativeFrom="paragraph">
                  <wp:posOffset>3428088</wp:posOffset>
                </wp:positionV>
                <wp:extent cx="2160" cy="360"/>
                <wp:effectExtent l="57150" t="38100" r="36195" b="57150"/>
                <wp:wrapNone/>
                <wp:docPr id="1934023385" name="Ink 15"/>
                <wp:cNvGraphicFramePr/>
                <a:graphic xmlns:a="http://schemas.openxmlformats.org/drawingml/2006/main">
                  <a:graphicData uri="http://schemas.microsoft.com/office/word/2010/wordprocessingInk">
                    <w14:contentPart bwMode="auto" r:id="rId23">
                      <w14:nvContentPartPr>
                        <w14:cNvContentPartPr/>
                      </w14:nvContentPartPr>
                      <w14:xfrm>
                        <a:off x="0" y="0"/>
                        <a:ext cx="2160" cy="360"/>
                      </w14:xfrm>
                    </w14:contentPart>
                  </a:graphicData>
                </a:graphic>
              </wp:anchor>
            </w:drawing>
          </mc:Choice>
          <mc:Fallback>
            <w:drawing>
              <wp:anchor distT="0" distB="0" distL="114300" distR="114300" simplePos="0" relativeHeight="251638784" behindDoc="0" locked="0" layoutInCell="1" allowOverlap="1" wp14:anchorId="08B11371" wp14:editId="4733D0B8">
                <wp:simplePos x="0" y="0"/>
                <wp:positionH relativeFrom="column">
                  <wp:posOffset>5379465</wp:posOffset>
                </wp:positionH>
                <wp:positionV relativeFrom="paragraph">
                  <wp:posOffset>3428088</wp:posOffset>
                </wp:positionV>
                <wp:extent cx="2160" cy="360"/>
                <wp:effectExtent l="57150" t="38100" r="36195" b="57150"/>
                <wp:wrapNone/>
                <wp:docPr id="1934023385" name="Ink 15"/>
                <wp:cNvGraphicFramePr/>
                <a:graphic xmlns:a="http://schemas.openxmlformats.org/drawingml/2006/main">
                  <a:graphicData uri="http://schemas.openxmlformats.org/drawingml/2006/picture">
                    <pic:pic xmlns:pic="http://schemas.openxmlformats.org/drawingml/2006/picture">
                      <pic:nvPicPr>
                        <pic:cNvPr id="1934023385" name="Ink 15"/>
                        <pic:cNvPicPr/>
                      </pic:nvPicPr>
                      <pic:blipFill>
                        <a:blip r:embed="rId24"/>
                        <a:stretch>
                          <a:fillRect/>
                        </a:stretch>
                      </pic:blipFill>
                      <pic:spPr>
                        <a:xfrm>
                          <a:off x="0" y="0"/>
                          <a:ext cx="378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6736" behindDoc="0" locked="0" layoutInCell="1" allowOverlap="1" wp14:anchorId="5BDDDC27" wp14:editId="4E3A9426">
                <wp:simplePos x="0" y="0"/>
                <wp:positionH relativeFrom="column">
                  <wp:posOffset>5224145</wp:posOffset>
                </wp:positionH>
                <wp:positionV relativeFrom="paragraph">
                  <wp:posOffset>2379980</wp:posOffset>
                </wp:positionV>
                <wp:extent cx="360" cy="360"/>
                <wp:effectExtent l="57150" t="38100" r="38100" b="57150"/>
                <wp:wrapNone/>
                <wp:docPr id="71489166"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36736" behindDoc="0" locked="0" layoutInCell="1" allowOverlap="1" wp14:anchorId="5BDDDC27" wp14:editId="4E3A9426">
                <wp:simplePos x="0" y="0"/>
                <wp:positionH relativeFrom="column">
                  <wp:posOffset>5224145</wp:posOffset>
                </wp:positionH>
                <wp:positionV relativeFrom="paragraph">
                  <wp:posOffset>2379980</wp:posOffset>
                </wp:positionV>
                <wp:extent cx="360" cy="360"/>
                <wp:effectExtent l="57150" t="38100" r="38100" b="57150"/>
                <wp:wrapNone/>
                <wp:docPr id="71489166" name="Ink 13"/>
                <wp:cNvGraphicFramePr/>
                <a:graphic xmlns:a="http://schemas.openxmlformats.org/drawingml/2006/main">
                  <a:graphicData uri="http://schemas.openxmlformats.org/drawingml/2006/picture">
                    <pic:pic xmlns:pic="http://schemas.openxmlformats.org/drawingml/2006/picture">
                      <pic:nvPicPr>
                        <pic:cNvPr id="71489166" name="Ink 13"/>
                        <pic:cNvPicPr/>
                      </pic:nvPicPr>
                      <pic:blipFill>
                        <a:blip r:embed="rId26"/>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7760" behindDoc="0" locked="0" layoutInCell="1" allowOverlap="1" wp14:anchorId="350A54EB" wp14:editId="38524528">
                <wp:simplePos x="0" y="0"/>
                <wp:positionH relativeFrom="column">
                  <wp:posOffset>5043170</wp:posOffset>
                </wp:positionH>
                <wp:positionV relativeFrom="paragraph">
                  <wp:posOffset>2374900</wp:posOffset>
                </wp:positionV>
                <wp:extent cx="360" cy="360"/>
                <wp:effectExtent l="57150" t="38100" r="38100" b="57150"/>
                <wp:wrapNone/>
                <wp:docPr id="404766393" name="Ink 1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37760" behindDoc="0" locked="0" layoutInCell="1" allowOverlap="1" wp14:anchorId="350A54EB" wp14:editId="38524528">
                <wp:simplePos x="0" y="0"/>
                <wp:positionH relativeFrom="column">
                  <wp:posOffset>5043170</wp:posOffset>
                </wp:positionH>
                <wp:positionV relativeFrom="paragraph">
                  <wp:posOffset>2374900</wp:posOffset>
                </wp:positionV>
                <wp:extent cx="360" cy="360"/>
                <wp:effectExtent l="57150" t="38100" r="38100" b="57150"/>
                <wp:wrapNone/>
                <wp:docPr id="404766393" name="Ink 14"/>
                <wp:cNvGraphicFramePr/>
                <a:graphic xmlns:a="http://schemas.openxmlformats.org/drawingml/2006/main">
                  <a:graphicData uri="http://schemas.openxmlformats.org/drawingml/2006/picture">
                    <pic:pic xmlns:pic="http://schemas.openxmlformats.org/drawingml/2006/picture">
                      <pic:nvPicPr>
                        <pic:cNvPr id="404766393" name="Ink 14"/>
                        <pic:cNvPicPr/>
                      </pic:nvPicPr>
                      <pic:blipFill>
                        <a:blip r:embed="rId26"/>
                        <a:stretch>
                          <a:fillRect/>
                        </a:stretch>
                      </pic:blipFill>
                      <pic:spPr>
                        <a:xfrm>
                          <a:off x="0" y="0"/>
                          <a:ext cx="36000" cy="216000"/>
                        </a:xfrm>
                        <a:prstGeom prst="rect">
                          <a:avLst/>
                        </a:prstGeom>
                      </pic:spPr>
                    </pic:pic>
                  </a:graphicData>
                </a:graphic>
              </wp:anchor>
            </w:drawing>
          </mc:Fallback>
        </mc:AlternateContent>
      </w:r>
      <w:r w:rsidR="007C02FA">
        <w:rPr>
          <w:noProof/>
        </w:rPr>
        <mc:AlternateContent>
          <mc:Choice Requires="aink">
            <w:drawing>
              <wp:anchor distT="0" distB="0" distL="114300" distR="114300" simplePos="0" relativeHeight="251635712" behindDoc="0" locked="0" layoutInCell="1" allowOverlap="1" wp14:anchorId="2DF50EB2" wp14:editId="737BB48C">
                <wp:simplePos x="0" y="0"/>
                <wp:positionH relativeFrom="column">
                  <wp:posOffset>5355705</wp:posOffset>
                </wp:positionH>
                <wp:positionV relativeFrom="paragraph">
                  <wp:posOffset>2537448</wp:posOffset>
                </wp:positionV>
                <wp:extent cx="2160" cy="6840"/>
                <wp:effectExtent l="57150" t="38100" r="36195" b="50800"/>
                <wp:wrapNone/>
                <wp:docPr id="2019080952" name="Ink 8"/>
                <wp:cNvGraphicFramePr/>
                <a:graphic xmlns:a="http://schemas.openxmlformats.org/drawingml/2006/main">
                  <a:graphicData uri="http://schemas.microsoft.com/office/word/2010/wordprocessingInk">
                    <w14:contentPart bwMode="auto" r:id="rId28">
                      <w14:nvContentPartPr>
                        <w14:cNvContentPartPr/>
                      </w14:nvContentPartPr>
                      <w14:xfrm>
                        <a:off x="0" y="0"/>
                        <a:ext cx="2160" cy="6840"/>
                      </w14:xfrm>
                    </w14:contentPart>
                  </a:graphicData>
                </a:graphic>
              </wp:anchor>
            </w:drawing>
          </mc:Choice>
          <mc:Fallback>
            <w:drawing>
              <wp:anchor distT="0" distB="0" distL="114300" distR="114300" simplePos="0" relativeHeight="251635712" behindDoc="0" locked="0" layoutInCell="1" allowOverlap="1" wp14:anchorId="2DF50EB2" wp14:editId="737BB48C">
                <wp:simplePos x="0" y="0"/>
                <wp:positionH relativeFrom="column">
                  <wp:posOffset>5355705</wp:posOffset>
                </wp:positionH>
                <wp:positionV relativeFrom="paragraph">
                  <wp:posOffset>2537448</wp:posOffset>
                </wp:positionV>
                <wp:extent cx="2160" cy="6840"/>
                <wp:effectExtent l="57150" t="38100" r="36195" b="50800"/>
                <wp:wrapNone/>
                <wp:docPr id="2019080952" name="Ink 8"/>
                <wp:cNvGraphicFramePr/>
                <a:graphic xmlns:a="http://schemas.openxmlformats.org/drawingml/2006/main">
                  <a:graphicData uri="http://schemas.openxmlformats.org/drawingml/2006/picture">
                    <pic:pic xmlns:pic="http://schemas.openxmlformats.org/drawingml/2006/picture">
                      <pic:nvPicPr>
                        <pic:cNvPr id="2019080952" name="Ink 8"/>
                        <pic:cNvPicPr/>
                      </pic:nvPicPr>
                      <pic:blipFill>
                        <a:blip r:embed="rId29"/>
                        <a:stretch>
                          <a:fillRect/>
                        </a:stretch>
                      </pic:blipFill>
                      <pic:spPr>
                        <a:xfrm>
                          <a:off x="0" y="0"/>
                          <a:ext cx="37800" cy="222480"/>
                        </a:xfrm>
                        <a:prstGeom prst="rect">
                          <a:avLst/>
                        </a:prstGeom>
                      </pic:spPr>
                    </pic:pic>
                  </a:graphicData>
                </a:graphic>
              </wp:anchor>
            </w:drawing>
          </mc:Fallback>
        </mc:AlternateContent>
      </w:r>
      <w:r w:rsidR="0004722A">
        <w:t>A</w:t>
      </w:r>
      <w:r w:rsidR="00C21510">
        <w:t>n Individual</w:t>
      </w:r>
      <w:r w:rsidR="0004722A">
        <w:t xml:space="preserve"> Partner may Exclude Guaranteed Payments For Services Performed Overseas</w:t>
      </w:r>
      <w:bookmarkEnd w:id="16"/>
    </w:p>
    <w:p w14:paraId="3DA34304" w14:textId="77777777" w:rsidR="0001559E" w:rsidRDefault="0001559E">
      <w:pPr>
        <w:spacing w:line="276" w:lineRule="auto"/>
        <w:jc w:val="left"/>
        <w:rPr>
          <w:rFonts w:asciiTheme="majorHAnsi" w:eastAsiaTheme="majorEastAsia" w:hAnsiTheme="majorHAnsi" w:cstheme="majorBidi"/>
          <w:b/>
          <w:color w:val="851C00" w:themeColor="accent6" w:themeShade="BF"/>
          <w:sz w:val="22"/>
          <w:szCs w:val="24"/>
          <w:u w:val="single"/>
        </w:rPr>
      </w:pPr>
      <w:r>
        <w:br w:type="page"/>
      </w:r>
    </w:p>
    <w:p w14:paraId="598F68F2" w14:textId="3121CBB3" w:rsidR="00A7382A" w:rsidRPr="00A7382A" w:rsidRDefault="00A7382A" w:rsidP="001A70E4">
      <w:pPr>
        <w:pStyle w:val="Heading3"/>
        <w:ind w:left="-720"/>
        <w:jc w:val="left"/>
      </w:pPr>
      <w:bookmarkStart w:id="17" w:name="_Toc153291136"/>
      <w:r>
        <w:rPr>
          <w:noProof/>
        </w:rPr>
        <w:lastRenderedPageBreak/>
        <w:drawing>
          <wp:anchor distT="0" distB="0" distL="114300" distR="114300" simplePos="0" relativeHeight="251675648" behindDoc="0" locked="0" layoutInCell="1" allowOverlap="1" wp14:anchorId="410FD3E8" wp14:editId="31043314">
            <wp:simplePos x="0" y="0"/>
            <wp:positionH relativeFrom="column">
              <wp:posOffset>-646675</wp:posOffset>
            </wp:positionH>
            <wp:positionV relativeFrom="paragraph">
              <wp:posOffset>268849</wp:posOffset>
            </wp:positionV>
            <wp:extent cx="6998970" cy="6694170"/>
            <wp:effectExtent l="38100" t="38100" r="87630" b="87630"/>
            <wp:wrapSquare wrapText="bothSides"/>
            <wp:docPr id="12492357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8970" cy="669417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4722A">
        <w:t>Amounts from Schedule 1 are then Reported on the Form 1040</w:t>
      </w:r>
      <w:bookmarkEnd w:id="1"/>
      <w:bookmarkEnd w:id="17"/>
      <w:r>
        <w:br w:type="page"/>
      </w:r>
    </w:p>
    <w:p w14:paraId="20925926" w14:textId="7EF35EF9" w:rsidR="00CD11CF" w:rsidRDefault="00F54CF3" w:rsidP="00B5459F">
      <w:pPr>
        <w:pStyle w:val="Heading2"/>
      </w:pPr>
      <w:bookmarkStart w:id="18" w:name="_Toc153291137"/>
      <w:r>
        <w:lastRenderedPageBreak/>
        <w:t xml:space="preserve">I. </w:t>
      </w:r>
      <w:r w:rsidR="00B5459F">
        <w:t xml:space="preserve">D. </w:t>
      </w:r>
      <w:r w:rsidR="0022562E">
        <w:t xml:space="preserve"> </w:t>
      </w:r>
      <w:r w:rsidR="00A94288">
        <w:t xml:space="preserve">General </w:t>
      </w:r>
      <w:r w:rsidR="00B5459F">
        <w:t xml:space="preserve">State Sourcing </w:t>
      </w:r>
      <w:r w:rsidR="00D21B20">
        <w:t>Methods</w:t>
      </w:r>
      <w:bookmarkEnd w:id="18"/>
    </w:p>
    <w:p w14:paraId="1E2F94D7" w14:textId="7749D7E6" w:rsidR="00E11AE2" w:rsidRPr="00E11AE2" w:rsidRDefault="00AD017A" w:rsidP="003861BA">
      <w:pPr>
        <w:spacing w:before="120" w:after="160"/>
      </w:pPr>
      <w:r>
        <w:t xml:space="preserve">This section </w:t>
      </w:r>
      <w:r w:rsidR="001D5D18">
        <w:t xml:space="preserve">provides a high-level description of </w:t>
      </w:r>
      <w:r w:rsidR="004C25CB">
        <w:t>state</w:t>
      </w:r>
      <w:r>
        <w:t xml:space="preserve"> methods </w:t>
      </w:r>
      <w:r w:rsidR="00755CAB">
        <w:t xml:space="preserve">for sourcing income from multistate activities </w:t>
      </w:r>
      <w:r>
        <w:t>and their application</w:t>
      </w:r>
      <w:r w:rsidR="0000568C">
        <w:t>, generally</w:t>
      </w:r>
      <w:r>
        <w:t>.</w:t>
      </w:r>
      <w:r w:rsidR="001D5D18">
        <w:rPr>
          <w:rStyle w:val="FootnoteReference"/>
        </w:rPr>
        <w:footnoteReference w:id="3"/>
      </w:r>
      <w:r w:rsidR="00E77A28">
        <w:t xml:space="preserve"> </w:t>
      </w:r>
      <w:r w:rsidR="00793433" w:rsidRPr="00283D73">
        <w:rPr>
          <w:shd w:val="clear" w:color="auto" w:fill="FFFFB9"/>
        </w:rPr>
        <w:t>This section also</w:t>
      </w:r>
      <w:r w:rsidR="00E77A28" w:rsidRPr="00283D73">
        <w:rPr>
          <w:shd w:val="clear" w:color="auto" w:fill="FFFFB9"/>
        </w:rPr>
        <w:t xml:space="preserve"> </w:t>
      </w:r>
      <w:r w:rsidR="0000568C" w:rsidRPr="00283D73">
        <w:rPr>
          <w:shd w:val="clear" w:color="auto" w:fill="FFFFB9"/>
        </w:rPr>
        <w:t xml:space="preserve">discusses </w:t>
      </w:r>
      <w:r w:rsidR="00E77A28" w:rsidRPr="00283D73">
        <w:rPr>
          <w:shd w:val="clear" w:color="auto" w:fill="FFFFB9"/>
        </w:rPr>
        <w:t xml:space="preserve">how </w:t>
      </w:r>
      <w:r w:rsidR="00875D5F" w:rsidRPr="00283D73">
        <w:rPr>
          <w:shd w:val="clear" w:color="auto" w:fill="FFFFB9"/>
        </w:rPr>
        <w:t xml:space="preserve">these </w:t>
      </w:r>
      <w:r w:rsidR="00793433" w:rsidRPr="00283D73">
        <w:rPr>
          <w:shd w:val="clear" w:color="auto" w:fill="FFFFB9"/>
        </w:rPr>
        <w:t xml:space="preserve">state </w:t>
      </w:r>
      <w:r w:rsidR="0000568C" w:rsidRPr="00283D73">
        <w:rPr>
          <w:shd w:val="clear" w:color="auto" w:fill="FFFFB9"/>
        </w:rPr>
        <w:t xml:space="preserve">sourcing </w:t>
      </w:r>
      <w:r w:rsidR="00E77A28" w:rsidRPr="00283D73">
        <w:rPr>
          <w:shd w:val="clear" w:color="auto" w:fill="FFFFB9"/>
        </w:rPr>
        <w:t>methods differ from federal rules</w:t>
      </w:r>
      <w:r w:rsidR="00875D5F" w:rsidRPr="00283D73">
        <w:rPr>
          <w:shd w:val="clear" w:color="auto" w:fill="FFFFB9"/>
        </w:rPr>
        <w:t xml:space="preserve">, </w:t>
      </w:r>
      <w:r w:rsidR="008B0BD6">
        <w:rPr>
          <w:shd w:val="clear" w:color="auto" w:fill="FFFFB9"/>
        </w:rPr>
        <w:t xml:space="preserve">which </w:t>
      </w:r>
      <w:r w:rsidR="003C73CC" w:rsidRPr="00283D73">
        <w:rPr>
          <w:shd w:val="clear" w:color="auto" w:fill="FFFFB9"/>
        </w:rPr>
        <w:t>may influence</w:t>
      </w:r>
      <w:r w:rsidR="00875D5F" w:rsidRPr="00283D73">
        <w:rPr>
          <w:shd w:val="clear" w:color="auto" w:fill="FFFFB9"/>
        </w:rPr>
        <w:t>,</w:t>
      </w:r>
      <w:r w:rsidR="003C73CC" w:rsidRPr="00283D73">
        <w:rPr>
          <w:shd w:val="clear" w:color="auto" w:fill="FFFFB9"/>
        </w:rPr>
        <w:t xml:space="preserve"> but do not control, state sourcing</w:t>
      </w:r>
      <w:r w:rsidR="00793433" w:rsidRPr="0000568C">
        <w:rPr>
          <w:shd w:val="clear" w:color="auto" w:fill="FFFFA7"/>
        </w:rPr>
        <w:t>.</w:t>
      </w:r>
      <w:r w:rsidR="001D5D18">
        <w:rPr>
          <w:shd w:val="clear" w:color="auto" w:fill="FFFFA7"/>
        </w:rPr>
        <w:t xml:space="preserve"> </w:t>
      </w:r>
    </w:p>
    <w:p w14:paraId="4A92CE34" w14:textId="672298AE" w:rsidR="00611BE5" w:rsidRDefault="00DC4CD8" w:rsidP="006346EF">
      <w:pPr>
        <w:pStyle w:val="Heading3"/>
        <w:spacing w:before="240"/>
      </w:pPr>
      <w:bookmarkStart w:id="19" w:name="_Toc153291138"/>
      <w:r>
        <w:t xml:space="preserve">Two </w:t>
      </w:r>
      <w:r w:rsidR="00D21B20">
        <w:t xml:space="preserve">General </w:t>
      </w:r>
      <w:r w:rsidR="0009107A">
        <w:t xml:space="preserve">Sourcing </w:t>
      </w:r>
      <w:r w:rsidR="00D21B20">
        <w:t>Methods</w:t>
      </w:r>
      <w:bookmarkEnd w:id="19"/>
      <w:r w:rsidR="00D21B20">
        <w:t xml:space="preserve"> </w:t>
      </w:r>
    </w:p>
    <w:p w14:paraId="7EF5F68F" w14:textId="7B662F2A" w:rsidR="00BC742D" w:rsidRDefault="007E5B1D" w:rsidP="00BF4FC0">
      <w:pPr>
        <w:spacing w:after="80"/>
      </w:pPr>
      <w:r>
        <w:t>States</w:t>
      </w:r>
      <w:r w:rsidR="003D7ABF">
        <w:t xml:space="preserve"> </w:t>
      </w:r>
      <w:r w:rsidR="00BF4FC0">
        <w:t xml:space="preserve">generally </w:t>
      </w:r>
      <w:r w:rsidR="003D7ABF">
        <w:t xml:space="preserve">use two </w:t>
      </w:r>
      <w:r w:rsidR="00CB7F94">
        <w:t xml:space="preserve">sourcing </w:t>
      </w:r>
      <w:r w:rsidR="003D7ABF">
        <w:t>methods</w:t>
      </w:r>
      <w:r w:rsidR="00BC742D">
        <w:t xml:space="preserve"> applied to two different categories of </w:t>
      </w:r>
      <w:r w:rsidR="001D5D18">
        <w:t>items</w:t>
      </w:r>
      <w:r w:rsidR="00BC742D">
        <w:t>:</w:t>
      </w:r>
      <w:r w:rsidR="003D7ABF">
        <w:t xml:space="preserve"> </w:t>
      </w:r>
    </w:p>
    <w:p w14:paraId="10A44FFF" w14:textId="140957C6" w:rsidR="00BC742D" w:rsidRPr="00BC742D" w:rsidRDefault="00BC742D" w:rsidP="00283D73">
      <w:pPr>
        <w:pStyle w:val="ListParagraph"/>
        <w:numPr>
          <w:ilvl w:val="0"/>
          <w:numId w:val="12"/>
        </w:numPr>
        <w:spacing w:after="80"/>
        <w:ind w:left="576"/>
        <w:contextualSpacing w:val="0"/>
      </w:pPr>
      <w:r w:rsidRPr="00BF4FC0">
        <w:rPr>
          <w:u w:val="single"/>
        </w:rPr>
        <w:t>Formulary apportionment</w:t>
      </w:r>
      <w:r w:rsidR="006F6D21" w:rsidRPr="006F6D21">
        <w:t xml:space="preserve"> </w:t>
      </w:r>
      <w:r w:rsidR="006F6D21">
        <w:t>–</w:t>
      </w:r>
      <w:r w:rsidR="006F6D21" w:rsidRPr="006F6D21">
        <w:t xml:space="preserve"> </w:t>
      </w:r>
      <w:r w:rsidR="006F6D21">
        <w:t xml:space="preserve">Uses an </w:t>
      </w:r>
      <w:r>
        <w:t xml:space="preserve">in-state ratio, often based on amount of receipts derived from the state, </w:t>
      </w:r>
      <w:r w:rsidR="0000568C">
        <w:t>which</w:t>
      </w:r>
      <w:r w:rsidR="00793433">
        <w:t xml:space="preserve"> is then applied to </w:t>
      </w:r>
      <w:r w:rsidR="001D5D18">
        <w:t xml:space="preserve">all items that are part of the </w:t>
      </w:r>
      <w:r w:rsidR="00032473">
        <w:t>net income from business activities</w:t>
      </w:r>
      <w:r w:rsidRPr="00BC742D">
        <w:t xml:space="preserve">. </w:t>
      </w:r>
    </w:p>
    <w:p w14:paraId="72E66C2F" w14:textId="3C26476B" w:rsidR="00BC742D" w:rsidRDefault="00BC742D" w:rsidP="003861BA">
      <w:pPr>
        <w:pStyle w:val="ListParagraph"/>
        <w:numPr>
          <w:ilvl w:val="0"/>
          <w:numId w:val="12"/>
        </w:numPr>
        <w:spacing w:after="120"/>
        <w:ind w:left="576" w:hanging="288"/>
        <w:contextualSpacing w:val="0"/>
      </w:pPr>
      <w:r w:rsidRPr="00BF4FC0">
        <w:rPr>
          <w:u w:val="single"/>
        </w:rPr>
        <w:t>S</w:t>
      </w:r>
      <w:r w:rsidR="003D7ABF" w:rsidRPr="00BF4FC0">
        <w:rPr>
          <w:u w:val="single"/>
        </w:rPr>
        <w:t>pecific rules of assignment</w:t>
      </w:r>
      <w:r w:rsidR="005E0FFA">
        <w:t xml:space="preserve"> </w:t>
      </w:r>
      <w:r w:rsidR="007E5B1D">
        <w:t>–</w:t>
      </w:r>
      <w:r w:rsidR="00032473">
        <w:t xml:space="preserve"> A</w:t>
      </w:r>
      <w:r w:rsidR="005E0FFA">
        <w:t xml:space="preserve">ssign items of income, expense, gain, or loss based on the nature of the item or activity (similar to </w:t>
      </w:r>
      <w:r w:rsidR="0000568C">
        <w:t xml:space="preserve">the </w:t>
      </w:r>
      <w:r w:rsidR="005E0FFA">
        <w:t xml:space="preserve">federal rules </w:t>
      </w:r>
      <w:r w:rsidR="0000568C">
        <w:t>discussed further below</w:t>
      </w:r>
      <w:r w:rsidR="005E0FFA">
        <w:t>)</w:t>
      </w:r>
      <w:r w:rsidR="003D7ABF">
        <w:t xml:space="preserve">. </w:t>
      </w:r>
    </w:p>
    <w:p w14:paraId="748CF804" w14:textId="16DD4296" w:rsidR="00077A40" w:rsidRDefault="00CC3F41" w:rsidP="006346EF">
      <w:pPr>
        <w:pStyle w:val="Heading3"/>
        <w:spacing w:before="240"/>
      </w:pPr>
      <w:bookmarkStart w:id="20" w:name="_Toc153291139"/>
      <w:r>
        <w:t xml:space="preserve">General </w:t>
      </w:r>
      <w:r w:rsidR="00A73A5C">
        <w:t>Application to</w:t>
      </w:r>
      <w:r w:rsidR="00BC742D">
        <w:t xml:space="preserve"> </w:t>
      </w:r>
      <w:r w:rsidR="00077A40">
        <w:t>Resident and Nonresident Individuals</w:t>
      </w:r>
      <w:bookmarkEnd w:id="20"/>
      <w:r w:rsidR="0009107A">
        <w:t xml:space="preserve"> </w:t>
      </w:r>
    </w:p>
    <w:p w14:paraId="1CD66DAD" w14:textId="77777777" w:rsidR="004B5273" w:rsidRPr="003861BA" w:rsidRDefault="004B5273" w:rsidP="003861BA">
      <w:pPr>
        <w:pStyle w:val="ListParagraph"/>
        <w:numPr>
          <w:ilvl w:val="0"/>
          <w:numId w:val="27"/>
        </w:numPr>
        <w:spacing w:after="120"/>
        <w:contextualSpacing w:val="0"/>
        <w:rPr>
          <w:iCs/>
          <w:u w:val="single"/>
        </w:rPr>
      </w:pPr>
      <w:r w:rsidRPr="003861BA">
        <w:rPr>
          <w:iCs/>
          <w:u w:val="single"/>
        </w:rPr>
        <w:t>Residents</w:t>
      </w:r>
      <w:r w:rsidRPr="003861BA">
        <w:rPr>
          <w:iCs/>
        </w:rPr>
        <w:t xml:space="preserve"> –</w:t>
      </w:r>
    </w:p>
    <w:p w14:paraId="693A4742" w14:textId="3C58A124" w:rsidR="004B5273" w:rsidRPr="003861BA" w:rsidRDefault="004B5273" w:rsidP="00283D73">
      <w:pPr>
        <w:pStyle w:val="ListParagraph"/>
        <w:numPr>
          <w:ilvl w:val="1"/>
          <w:numId w:val="27"/>
        </w:numPr>
        <w:spacing w:after="80"/>
        <w:contextualSpacing w:val="0"/>
        <w:rPr>
          <w:iCs/>
          <w:u w:val="single"/>
        </w:rPr>
      </w:pPr>
      <w:r w:rsidRPr="003861BA">
        <w:rPr>
          <w:iCs/>
        </w:rPr>
        <w:t xml:space="preserve">Tax </w:t>
      </w:r>
      <w:r w:rsidR="005E0FFA" w:rsidRPr="003861BA">
        <w:rPr>
          <w:iCs/>
        </w:rPr>
        <w:t>is</w:t>
      </w:r>
      <w:r w:rsidRPr="003861BA">
        <w:rPr>
          <w:iCs/>
        </w:rPr>
        <w:t xml:space="preserve"> imposed on 100% of the </w:t>
      </w:r>
      <w:r w:rsidR="005E0FFA" w:rsidRPr="003861BA">
        <w:rPr>
          <w:iCs/>
        </w:rPr>
        <w:t xml:space="preserve">individual’s </w:t>
      </w:r>
      <w:r w:rsidRPr="003861BA">
        <w:rPr>
          <w:iCs/>
        </w:rPr>
        <w:t>income.</w:t>
      </w:r>
    </w:p>
    <w:p w14:paraId="7BCC9EC4" w14:textId="1D691B05" w:rsidR="004B5273" w:rsidRPr="003861BA" w:rsidRDefault="004B5273" w:rsidP="00283D73">
      <w:pPr>
        <w:pStyle w:val="ListParagraph"/>
        <w:numPr>
          <w:ilvl w:val="1"/>
          <w:numId w:val="27"/>
        </w:numPr>
        <w:spacing w:after="80"/>
        <w:contextualSpacing w:val="0"/>
        <w:rPr>
          <w:iCs/>
          <w:u w:val="single"/>
        </w:rPr>
      </w:pPr>
      <w:r w:rsidRPr="003861BA">
        <w:rPr>
          <w:iCs/>
        </w:rPr>
        <w:t xml:space="preserve">A credit </w:t>
      </w:r>
      <w:r w:rsidR="005E0FFA" w:rsidRPr="003861BA">
        <w:rPr>
          <w:iCs/>
        </w:rPr>
        <w:t>is</w:t>
      </w:r>
      <w:r w:rsidRPr="003861BA">
        <w:rPr>
          <w:iCs/>
        </w:rPr>
        <w:t xml:space="preserve"> given for tax </w:t>
      </w:r>
      <w:r w:rsidR="005E0FFA" w:rsidRPr="003861BA">
        <w:rPr>
          <w:iCs/>
        </w:rPr>
        <w:t>paid to</w:t>
      </w:r>
      <w:r w:rsidRPr="003861BA">
        <w:rPr>
          <w:iCs/>
        </w:rPr>
        <w:t xml:space="preserve"> other states on the same income, but the credit is generally limited to:</w:t>
      </w:r>
    </w:p>
    <w:p w14:paraId="419D6C8E" w14:textId="77777777" w:rsidR="004B5273" w:rsidRPr="003861BA" w:rsidRDefault="004B5273" w:rsidP="00283D73">
      <w:pPr>
        <w:pStyle w:val="ListParagraph"/>
        <w:numPr>
          <w:ilvl w:val="2"/>
          <w:numId w:val="27"/>
        </w:numPr>
        <w:spacing w:after="80"/>
        <w:contextualSpacing w:val="0"/>
        <w:rPr>
          <w:iCs/>
          <w:u w:val="single"/>
        </w:rPr>
      </w:pPr>
      <w:r w:rsidRPr="003861BA">
        <w:rPr>
          <w:iCs/>
        </w:rPr>
        <w:t>The rate of tax the resident state would have imposed, and</w:t>
      </w:r>
    </w:p>
    <w:p w14:paraId="411F30B9" w14:textId="221B28B3" w:rsidR="004B5273" w:rsidRPr="003861BA" w:rsidRDefault="004B5273" w:rsidP="003861BA">
      <w:pPr>
        <w:pStyle w:val="ListParagraph"/>
        <w:numPr>
          <w:ilvl w:val="2"/>
          <w:numId w:val="27"/>
        </w:numPr>
        <w:spacing w:after="120"/>
        <w:contextualSpacing w:val="0"/>
        <w:rPr>
          <w:iCs/>
          <w:u w:val="single"/>
        </w:rPr>
      </w:pPr>
      <w:r w:rsidRPr="004B5273">
        <w:t>The base the resident state would have taxed</w:t>
      </w:r>
      <w:r w:rsidR="00575539">
        <w:t xml:space="preserve"> applying that state’s </w:t>
      </w:r>
      <w:r w:rsidR="00735ACA">
        <w:t xml:space="preserve">own </w:t>
      </w:r>
      <w:r w:rsidRPr="004B5273">
        <w:t>sourcing rules.</w:t>
      </w:r>
    </w:p>
    <w:p w14:paraId="1DCB33DC" w14:textId="00E0EACE" w:rsidR="00BC742D" w:rsidRPr="003861BA" w:rsidRDefault="0075671B" w:rsidP="003861BA">
      <w:pPr>
        <w:pStyle w:val="ListParagraph"/>
        <w:numPr>
          <w:ilvl w:val="0"/>
          <w:numId w:val="27"/>
        </w:numPr>
        <w:spacing w:after="120"/>
        <w:contextualSpacing w:val="0"/>
        <w:rPr>
          <w:iCs/>
          <w:u w:val="single"/>
        </w:rPr>
      </w:pPr>
      <w:r w:rsidRPr="003861BA">
        <w:rPr>
          <w:iCs/>
          <w:u w:val="single"/>
        </w:rPr>
        <w:t>Nonresidents</w:t>
      </w:r>
      <w:r w:rsidRPr="003861BA">
        <w:rPr>
          <w:iCs/>
        </w:rPr>
        <w:t xml:space="preserve"> –</w:t>
      </w:r>
    </w:p>
    <w:p w14:paraId="6E6B8A60" w14:textId="25CF6AF1" w:rsidR="00575539" w:rsidRPr="003861BA" w:rsidRDefault="00575539" w:rsidP="00283D73">
      <w:pPr>
        <w:pStyle w:val="ListParagraph"/>
        <w:numPr>
          <w:ilvl w:val="1"/>
          <w:numId w:val="27"/>
        </w:numPr>
        <w:spacing w:after="80"/>
        <w:contextualSpacing w:val="0"/>
        <w:rPr>
          <w:iCs/>
          <w:u w:val="single"/>
        </w:rPr>
      </w:pPr>
      <w:r w:rsidRPr="003861BA">
        <w:rPr>
          <w:iCs/>
        </w:rPr>
        <w:t>Tax is imposed only on state-sourced income.</w:t>
      </w:r>
    </w:p>
    <w:p w14:paraId="798FE2D8" w14:textId="2DF4B0D2" w:rsidR="0075671B" w:rsidRPr="003861BA" w:rsidRDefault="00575539" w:rsidP="00283D73">
      <w:pPr>
        <w:pStyle w:val="ListParagraph"/>
        <w:numPr>
          <w:ilvl w:val="1"/>
          <w:numId w:val="27"/>
        </w:numPr>
        <w:spacing w:after="80"/>
        <w:contextualSpacing w:val="0"/>
        <w:rPr>
          <w:iCs/>
          <w:u w:val="single"/>
        </w:rPr>
      </w:pPr>
      <w:r w:rsidRPr="003861BA">
        <w:rPr>
          <w:iCs/>
        </w:rPr>
        <w:t xml:space="preserve">Formulary apportionment </w:t>
      </w:r>
      <w:r w:rsidR="0000568C" w:rsidRPr="003861BA">
        <w:rPr>
          <w:iCs/>
        </w:rPr>
        <w:t>- A</w:t>
      </w:r>
      <w:r w:rsidRPr="003861BA">
        <w:rPr>
          <w:iCs/>
        </w:rPr>
        <w:t>pplies to b</w:t>
      </w:r>
      <w:r w:rsidR="0075671B" w:rsidRPr="003861BA">
        <w:rPr>
          <w:iCs/>
        </w:rPr>
        <w:t>usiness income earned directly by the individual</w:t>
      </w:r>
      <w:r w:rsidR="00FD1FE1" w:rsidRPr="003861BA">
        <w:rPr>
          <w:iCs/>
        </w:rPr>
        <w:t xml:space="preserve"> (</w:t>
      </w:r>
      <w:r w:rsidR="00BF4FC0" w:rsidRPr="003861BA">
        <w:rPr>
          <w:iCs/>
        </w:rPr>
        <w:t>e.g.,</w:t>
      </w:r>
      <w:r w:rsidR="00FD1FE1" w:rsidRPr="003861BA">
        <w:rPr>
          <w:iCs/>
        </w:rPr>
        <w:t xml:space="preserve"> </w:t>
      </w:r>
      <w:r w:rsidR="00BF4FC0" w:rsidRPr="003861BA">
        <w:rPr>
          <w:iCs/>
        </w:rPr>
        <w:t xml:space="preserve">income of a </w:t>
      </w:r>
      <w:r w:rsidR="00FD1FE1" w:rsidRPr="003861BA">
        <w:rPr>
          <w:iCs/>
        </w:rPr>
        <w:t>sole proprietorship)</w:t>
      </w:r>
      <w:r w:rsidR="0075671B" w:rsidRPr="003861BA">
        <w:rPr>
          <w:iCs/>
        </w:rPr>
        <w:t>.</w:t>
      </w:r>
    </w:p>
    <w:p w14:paraId="08866F16" w14:textId="6C6D6BB5" w:rsidR="0075671B" w:rsidRPr="003861BA" w:rsidRDefault="00575539" w:rsidP="00283D73">
      <w:pPr>
        <w:pStyle w:val="ListParagraph"/>
        <w:numPr>
          <w:ilvl w:val="1"/>
          <w:numId w:val="27"/>
        </w:numPr>
        <w:spacing w:after="80"/>
        <w:contextualSpacing w:val="0"/>
        <w:rPr>
          <w:iCs/>
          <w:u w:val="single"/>
        </w:rPr>
      </w:pPr>
      <w:r w:rsidRPr="003861BA">
        <w:rPr>
          <w:iCs/>
        </w:rPr>
        <w:t>S</w:t>
      </w:r>
      <w:r w:rsidR="0075671B" w:rsidRPr="003861BA">
        <w:rPr>
          <w:iCs/>
        </w:rPr>
        <w:t xml:space="preserve">pecific rules of assignment </w:t>
      </w:r>
      <w:r w:rsidR="0000568C" w:rsidRPr="003861BA">
        <w:rPr>
          <w:iCs/>
        </w:rPr>
        <w:t xml:space="preserve">– Apply </w:t>
      </w:r>
      <w:r w:rsidR="0075671B" w:rsidRPr="003861BA">
        <w:rPr>
          <w:iCs/>
        </w:rPr>
        <w:t>to nonbusiness income including:</w:t>
      </w:r>
    </w:p>
    <w:p w14:paraId="4F42B791" w14:textId="35A3E5BD" w:rsidR="0075671B" w:rsidRPr="003861BA" w:rsidRDefault="0075671B" w:rsidP="00283D73">
      <w:pPr>
        <w:pStyle w:val="ListParagraph"/>
        <w:numPr>
          <w:ilvl w:val="2"/>
          <w:numId w:val="27"/>
        </w:numPr>
        <w:spacing w:after="80"/>
        <w:contextualSpacing w:val="0"/>
        <w:rPr>
          <w:iCs/>
          <w:u w:val="single"/>
        </w:rPr>
      </w:pPr>
      <w:r w:rsidRPr="003861BA">
        <w:rPr>
          <w:iCs/>
        </w:rPr>
        <w:t>Investment income</w:t>
      </w:r>
      <w:r w:rsidR="00BF4FC0" w:rsidRPr="003861BA">
        <w:rPr>
          <w:iCs/>
        </w:rPr>
        <w:t xml:space="preserve"> – which may be sourced to the location of the property or activity, if in the state, but may also be taxed </w:t>
      </w:r>
      <w:r w:rsidR="00045442" w:rsidRPr="003861BA">
        <w:rPr>
          <w:iCs/>
        </w:rPr>
        <w:t>when</w:t>
      </w:r>
      <w:r w:rsidR="00BF4FC0" w:rsidRPr="003861BA">
        <w:rPr>
          <w:iCs/>
        </w:rPr>
        <w:t xml:space="preserve"> the individual is resident in the state. </w:t>
      </w:r>
    </w:p>
    <w:p w14:paraId="327DF625" w14:textId="115161FF" w:rsidR="00FD1FE1" w:rsidRPr="00FD1FE1" w:rsidRDefault="0075671B" w:rsidP="003861BA">
      <w:pPr>
        <w:pStyle w:val="ListParagraph"/>
        <w:numPr>
          <w:ilvl w:val="2"/>
          <w:numId w:val="27"/>
        </w:numPr>
        <w:spacing w:after="20"/>
      </w:pPr>
      <w:r w:rsidRPr="003861BA">
        <w:rPr>
          <w:iCs/>
        </w:rPr>
        <w:t>Compensation</w:t>
      </w:r>
      <w:r w:rsidR="00605B79" w:rsidRPr="003861BA">
        <w:rPr>
          <w:iCs/>
        </w:rPr>
        <w:t xml:space="preserve"> – </w:t>
      </w:r>
      <w:r w:rsidR="00BF4FC0" w:rsidRPr="003861BA">
        <w:rPr>
          <w:iCs/>
        </w:rPr>
        <w:t xml:space="preserve">which </w:t>
      </w:r>
      <w:r w:rsidR="00BF4FC0">
        <w:t>has</w:t>
      </w:r>
      <w:r w:rsidR="004C7920">
        <w:t xml:space="preserve"> traditionally </w:t>
      </w:r>
      <w:r w:rsidR="00BF4FC0">
        <w:t xml:space="preserve">been sourced </w:t>
      </w:r>
      <w:r w:rsidR="00FD1FE1">
        <w:t>to the location of the performance of the services</w:t>
      </w:r>
      <w:r w:rsidR="00BF4FC0">
        <w:t xml:space="preserve">. </w:t>
      </w:r>
      <w:r w:rsidR="00FD1FE1">
        <w:t xml:space="preserve">There are, however, a handful of states that assign compensation to the location of the employer or the office of the employer to which the individual presumably reports. </w:t>
      </w:r>
    </w:p>
    <w:p w14:paraId="0E771F15" w14:textId="2AE9924B" w:rsidR="00F10EB3" w:rsidRDefault="00CC3F41" w:rsidP="0000568C">
      <w:pPr>
        <w:pStyle w:val="Heading3"/>
        <w:spacing w:before="240"/>
      </w:pPr>
      <w:bookmarkStart w:id="21" w:name="_Toc153291140"/>
      <w:r>
        <w:t xml:space="preserve">General </w:t>
      </w:r>
      <w:r w:rsidR="0009107A">
        <w:t xml:space="preserve">Application to </w:t>
      </w:r>
      <w:r w:rsidR="00F10EB3">
        <w:t>Partnership</w:t>
      </w:r>
      <w:r w:rsidR="004B5273">
        <w:t xml:space="preserve"> </w:t>
      </w:r>
      <w:r w:rsidR="009977A8">
        <w:t>Related Income</w:t>
      </w:r>
      <w:bookmarkEnd w:id="21"/>
      <w:r w:rsidR="00575539">
        <w:t xml:space="preserve"> </w:t>
      </w:r>
      <w:r w:rsidR="009977A8">
        <w:t xml:space="preserve"> </w:t>
      </w:r>
    </w:p>
    <w:p w14:paraId="427A32B1" w14:textId="5FAF17DD" w:rsidR="00B37137" w:rsidRPr="00B37137" w:rsidRDefault="00B37137" w:rsidP="0000568C">
      <w:r>
        <w:t xml:space="preserve">These sourcing methods </w:t>
      </w:r>
      <w:r w:rsidR="00A715BC">
        <w:t>are generally applied to partnership income as follows:</w:t>
      </w:r>
    </w:p>
    <w:p w14:paraId="1A1A43E9" w14:textId="58E8D946" w:rsidR="009977A8" w:rsidRDefault="009977A8" w:rsidP="001D5D18">
      <w:pPr>
        <w:spacing w:after="120"/>
      </w:pPr>
      <w:r w:rsidRPr="001D5D18">
        <w:rPr>
          <w:u w:val="single"/>
        </w:rPr>
        <w:t xml:space="preserve">Distributive share – </w:t>
      </w:r>
      <w:r w:rsidR="0000568C" w:rsidRPr="001D5D18">
        <w:rPr>
          <w:u w:val="single"/>
        </w:rPr>
        <w:t xml:space="preserve">sourced </w:t>
      </w:r>
      <w:r w:rsidR="00BF4FC0" w:rsidRPr="001D5D18">
        <w:rPr>
          <w:u w:val="single"/>
        </w:rPr>
        <w:t>based on partnership</w:t>
      </w:r>
      <w:r w:rsidR="0000568C" w:rsidRPr="001D5D18">
        <w:rPr>
          <w:u w:val="single"/>
        </w:rPr>
        <w:t>’s</w:t>
      </w:r>
      <w:r w:rsidR="00BF4FC0" w:rsidRPr="001D5D18">
        <w:rPr>
          <w:u w:val="single"/>
        </w:rPr>
        <w:t xml:space="preserve"> activities</w:t>
      </w:r>
      <w:r w:rsidR="003861BA" w:rsidRPr="001D5D18">
        <w:rPr>
          <w:u w:val="single"/>
        </w:rPr>
        <w:t>.</w:t>
      </w:r>
      <w:r w:rsidR="00BF4FC0">
        <w:t xml:space="preserve"> –</w:t>
      </w:r>
      <w:r w:rsidR="00CF4C6F">
        <w:t xml:space="preserve"> </w:t>
      </w:r>
      <w:r w:rsidR="00575539">
        <w:t xml:space="preserve">States generally </w:t>
      </w:r>
      <w:r w:rsidR="008F0136">
        <w:t xml:space="preserve">source distributive by applying </w:t>
      </w:r>
      <w:r w:rsidR="001D5D18">
        <w:t>the state methods described above</w:t>
      </w:r>
      <w:r w:rsidR="00575539">
        <w:t xml:space="preserve"> based on the activities of the partnership or the business in which it is a part. An exception is investment partnerships where the income is sourced as if the partners earned </w:t>
      </w:r>
      <w:r w:rsidR="008F0136">
        <w:t>that income</w:t>
      </w:r>
      <w:r w:rsidR="00575539">
        <w:t xml:space="preserve"> directly.</w:t>
      </w:r>
      <w:r w:rsidR="001D5D18">
        <w:t xml:space="preserve"> </w:t>
      </w:r>
    </w:p>
    <w:p w14:paraId="10563EC1" w14:textId="5978B05F" w:rsidR="001D5D18" w:rsidRDefault="001D5D18" w:rsidP="001D5D18">
      <w:pPr>
        <w:pStyle w:val="ListParagraph"/>
        <w:numPr>
          <w:ilvl w:val="1"/>
          <w:numId w:val="14"/>
        </w:numPr>
        <w:spacing w:after="120"/>
        <w:ind w:left="1152" w:hanging="288"/>
        <w:contextualSpacing w:val="0"/>
      </w:pPr>
      <w:r w:rsidRPr="001D5D18">
        <w:rPr>
          <w:u w:val="single"/>
        </w:rPr>
        <w:t xml:space="preserve">Distributive share of items that are part of </w:t>
      </w:r>
      <w:r>
        <w:rPr>
          <w:u w:val="single"/>
        </w:rPr>
        <w:t xml:space="preserve">the apportionable </w:t>
      </w:r>
      <w:r w:rsidRPr="001D5D18">
        <w:rPr>
          <w:u w:val="single"/>
        </w:rPr>
        <w:t>business income</w:t>
      </w:r>
      <w:r w:rsidRPr="001D5D18">
        <w:t xml:space="preserve"> </w:t>
      </w:r>
      <w:r>
        <w:t xml:space="preserve">- </w:t>
      </w:r>
      <w:r w:rsidRPr="001D5D18">
        <w:t>is sourced using formulary apportionment applying the partnership or business’s apportionment formula to those items.</w:t>
      </w:r>
    </w:p>
    <w:p w14:paraId="17C2E06E" w14:textId="2622E437" w:rsidR="001D5D18" w:rsidRPr="001D5D18" w:rsidRDefault="001D5D18" w:rsidP="001D5D18">
      <w:pPr>
        <w:pStyle w:val="ListParagraph"/>
        <w:numPr>
          <w:ilvl w:val="1"/>
          <w:numId w:val="14"/>
        </w:numPr>
        <w:spacing w:after="120"/>
        <w:ind w:left="1152" w:hanging="288"/>
        <w:contextualSpacing w:val="0"/>
      </w:pPr>
      <w:r>
        <w:rPr>
          <w:u w:val="single"/>
        </w:rPr>
        <w:lastRenderedPageBreak/>
        <w:t>Distributive share of items that are not part of the apportionable business income</w:t>
      </w:r>
      <w:r>
        <w:t xml:space="preserve"> – is sourced using specific rules of assignment based on the particular item and the partnership activities giving rise to it. </w:t>
      </w:r>
    </w:p>
    <w:p w14:paraId="6E1F76B5" w14:textId="0903BF9E" w:rsidR="009977A8" w:rsidRDefault="00614512" w:rsidP="003861BA">
      <w:pPr>
        <w:pStyle w:val="ListParagraph"/>
        <w:numPr>
          <w:ilvl w:val="0"/>
          <w:numId w:val="14"/>
        </w:numPr>
        <w:spacing w:after="120"/>
        <w:ind w:left="288" w:hanging="144"/>
        <w:contextualSpacing w:val="0"/>
      </w:pPr>
      <w:r w:rsidRPr="00CF4C6F">
        <w:rPr>
          <w:u w:val="single"/>
        </w:rPr>
        <w:t>Separate t</w:t>
      </w:r>
      <w:r w:rsidR="007E5B1D" w:rsidRPr="00CF4C6F">
        <w:rPr>
          <w:u w:val="single"/>
        </w:rPr>
        <w:t>ransactions between partners and partnerships</w:t>
      </w:r>
      <w:r w:rsidR="0000568C">
        <w:rPr>
          <w:u w:val="single"/>
        </w:rPr>
        <w:t xml:space="preserve"> – sourced</w:t>
      </w:r>
      <w:r w:rsidR="00102F02">
        <w:rPr>
          <w:u w:val="single"/>
        </w:rPr>
        <w:t xml:space="preserve"> based on each party’s activities</w:t>
      </w:r>
      <w:r w:rsidR="003861BA">
        <w:rPr>
          <w:u w:val="single"/>
        </w:rPr>
        <w:t>.</w:t>
      </w:r>
      <w:r w:rsidR="0000568C">
        <w:rPr>
          <w:u w:val="single"/>
        </w:rPr>
        <w:t xml:space="preserve"> </w:t>
      </w:r>
      <w:r w:rsidR="007E5B1D">
        <w:t xml:space="preserve"> </w:t>
      </w:r>
      <w:r w:rsidR="009977A8">
        <w:t xml:space="preserve">– </w:t>
      </w:r>
      <w:r w:rsidR="008705AD">
        <w:t xml:space="preserve">States generally source </w:t>
      </w:r>
      <w:r w:rsidR="00C330B1">
        <w:t xml:space="preserve">transactions </w:t>
      </w:r>
      <w:r w:rsidR="008705AD">
        <w:t xml:space="preserve">between partners and partnerships that are conducted </w:t>
      </w:r>
      <w:r w:rsidR="00C330B1">
        <w:t xml:space="preserve">as though they are </w:t>
      </w:r>
      <w:r w:rsidR="001242CE">
        <w:t xml:space="preserve">between </w:t>
      </w:r>
      <w:r w:rsidR="00C330B1">
        <w:t>unrelated parties</w:t>
      </w:r>
      <w:r w:rsidR="00575539">
        <w:t xml:space="preserve"> </w:t>
      </w:r>
      <w:r w:rsidR="000B021A">
        <w:t>(</w:t>
      </w:r>
      <w:r w:rsidR="00575539">
        <w:t xml:space="preserve">see </w:t>
      </w:r>
      <w:r w:rsidR="009977A8" w:rsidRPr="009977A8">
        <w:t>IRC §707(a)</w:t>
      </w:r>
      <w:r w:rsidR="000B021A">
        <w:t>)</w:t>
      </w:r>
      <w:r w:rsidR="00575539">
        <w:t xml:space="preserve">, </w:t>
      </w:r>
      <w:r w:rsidR="000B021A">
        <w:t>by treating each</w:t>
      </w:r>
      <w:r w:rsidR="00C330B1">
        <w:t xml:space="preserve"> as having its own separate items of income, expense, gain, or loss</w:t>
      </w:r>
      <w:r w:rsidR="003D3901">
        <w:t xml:space="preserve">, </w:t>
      </w:r>
      <w:r w:rsidR="000B021A">
        <w:t xml:space="preserve">that are then sourced by </w:t>
      </w:r>
      <w:r w:rsidR="003D3901">
        <w:t xml:space="preserve">applying the </w:t>
      </w:r>
      <w:r w:rsidR="000B021A">
        <w:t>state</w:t>
      </w:r>
      <w:r w:rsidR="001242CE">
        <w:t>’</w:t>
      </w:r>
      <w:r w:rsidR="000B021A">
        <w:t xml:space="preserve">s </w:t>
      </w:r>
      <w:r w:rsidR="003D3901">
        <w:t>general rules</w:t>
      </w:r>
      <w:r w:rsidR="00C330B1">
        <w:t xml:space="preserve">.  </w:t>
      </w:r>
    </w:p>
    <w:p w14:paraId="0E01B3A9" w14:textId="51D73E38" w:rsidR="00A73A5C" w:rsidRDefault="004B5273" w:rsidP="0000568C">
      <w:pPr>
        <w:pStyle w:val="ListParagraph"/>
        <w:numPr>
          <w:ilvl w:val="0"/>
          <w:numId w:val="14"/>
        </w:numPr>
        <w:spacing w:after="80"/>
        <w:ind w:left="288" w:hanging="144"/>
        <w:contextualSpacing w:val="0"/>
      </w:pPr>
      <w:r w:rsidRPr="00CF4C6F">
        <w:rPr>
          <w:u w:val="single"/>
        </w:rPr>
        <w:t xml:space="preserve">Guaranteed </w:t>
      </w:r>
      <w:r w:rsidR="00575539" w:rsidRPr="00CF4C6F">
        <w:rPr>
          <w:u w:val="single"/>
        </w:rPr>
        <w:t>p</w:t>
      </w:r>
      <w:r w:rsidRPr="00CF4C6F">
        <w:rPr>
          <w:u w:val="single"/>
        </w:rPr>
        <w:t>ayments</w:t>
      </w:r>
      <w:r w:rsidR="003D3901" w:rsidRPr="00CF4C6F">
        <w:rPr>
          <w:u w:val="single"/>
        </w:rPr>
        <w:t xml:space="preserve"> for services</w:t>
      </w:r>
      <w:r w:rsidR="00102F02">
        <w:rPr>
          <w:u w:val="single"/>
        </w:rPr>
        <w:t xml:space="preserve"> – </w:t>
      </w:r>
      <w:r w:rsidR="003861BA">
        <w:rPr>
          <w:u w:val="single"/>
        </w:rPr>
        <w:t xml:space="preserve">sourcing methods </w:t>
      </w:r>
      <w:r w:rsidR="00102F02">
        <w:rPr>
          <w:u w:val="single"/>
        </w:rPr>
        <w:t>var</w:t>
      </w:r>
      <w:r w:rsidR="003861BA">
        <w:rPr>
          <w:u w:val="single"/>
        </w:rPr>
        <w:t>y.</w:t>
      </w:r>
      <w:r w:rsidR="009977A8">
        <w:t xml:space="preserve"> – </w:t>
      </w:r>
      <w:r w:rsidR="002026A7">
        <w:t>U</w:t>
      </w:r>
      <w:r w:rsidR="00575539">
        <w:t xml:space="preserve">nless states </w:t>
      </w:r>
      <w:r w:rsidR="007D0153">
        <w:t xml:space="preserve">specifically address the sourcing of these payments, </w:t>
      </w:r>
      <w:r w:rsidR="008F0099">
        <w:t xml:space="preserve">it </w:t>
      </w:r>
      <w:r w:rsidR="007D0153">
        <w:t>may be</w:t>
      </w:r>
      <w:r w:rsidR="009977A8">
        <w:t xml:space="preserve"> un</w:t>
      </w:r>
      <w:r w:rsidR="008F0099">
        <w:t xml:space="preserve">clear </w:t>
      </w:r>
      <w:r w:rsidR="002026A7">
        <w:t xml:space="preserve">whether states use </w:t>
      </w:r>
      <w:r w:rsidR="003A57D3">
        <w:t xml:space="preserve">the sourcing approach </w:t>
      </w:r>
      <w:r w:rsidR="001D5890">
        <w:t>used</w:t>
      </w:r>
      <w:r w:rsidR="003A57D3">
        <w:t xml:space="preserve"> for distributive share income or </w:t>
      </w:r>
      <w:r w:rsidR="001D5890">
        <w:t>the approach used</w:t>
      </w:r>
      <w:r w:rsidR="003A57D3">
        <w:t xml:space="preserve"> for partner-partnership transactions</w:t>
      </w:r>
      <w:r w:rsidR="00102F02">
        <w:t xml:space="preserve"> when sourcing some guaranteed payments for services</w:t>
      </w:r>
      <w:r w:rsidR="003A57D3">
        <w:t xml:space="preserve">. </w:t>
      </w:r>
      <w:r w:rsidR="007D0153">
        <w:t>And, a</w:t>
      </w:r>
      <w:r w:rsidR="00FE2F50" w:rsidRPr="00FE2F50">
        <w:t xml:space="preserve">s will be discussed in Section III of this paper, states that have addressed </w:t>
      </w:r>
      <w:r w:rsidR="007D0153">
        <w:t xml:space="preserve">the </w:t>
      </w:r>
      <w:r w:rsidR="00FE2F50" w:rsidRPr="00FE2F50">
        <w:t xml:space="preserve">sourcing of guaranteed payments </w:t>
      </w:r>
      <w:r w:rsidR="00A57BD8">
        <w:t xml:space="preserve">for services </w:t>
      </w:r>
      <w:r w:rsidR="007D0153">
        <w:t>have adopted different rules</w:t>
      </w:r>
      <w:r w:rsidR="00FE2F50" w:rsidRPr="00FE2F50">
        <w:t xml:space="preserve">. </w:t>
      </w:r>
    </w:p>
    <w:p w14:paraId="543A7326" w14:textId="4DE0FB9D" w:rsidR="00E77A28" w:rsidRPr="00BE3DAE" w:rsidRDefault="00C532DC" w:rsidP="00283D73">
      <w:pPr>
        <w:pStyle w:val="Heading3"/>
        <w:shd w:val="clear" w:color="auto" w:fill="FFFFD5"/>
      </w:pPr>
      <w:bookmarkStart w:id="22" w:name="_Toc153291141"/>
      <w:r>
        <w:t xml:space="preserve">Applying </w:t>
      </w:r>
      <w:r w:rsidR="00061394">
        <w:t xml:space="preserve">State </w:t>
      </w:r>
      <w:r>
        <w:t xml:space="preserve">Versus Federal </w:t>
      </w:r>
      <w:r w:rsidR="00061394">
        <w:t>Sourcing Rules</w:t>
      </w:r>
      <w:r w:rsidR="00E77A28" w:rsidRPr="00BE3DAE">
        <w:t xml:space="preserve"> </w:t>
      </w:r>
      <w:r>
        <w:t xml:space="preserve">to </w:t>
      </w:r>
      <w:r w:rsidR="00102F02">
        <w:t>Income Taxed on a Pass-Through Basis</w:t>
      </w:r>
      <w:bookmarkEnd w:id="22"/>
    </w:p>
    <w:p w14:paraId="045B4F92" w14:textId="0D831A3A" w:rsidR="003861BA" w:rsidRDefault="003861BA" w:rsidP="00283D73">
      <w:pPr>
        <w:pStyle w:val="Heading4"/>
        <w:shd w:val="clear" w:color="auto" w:fill="FFFFD5"/>
      </w:pPr>
      <w:r>
        <w:t>Federal rules do not control state sourcing.</w:t>
      </w:r>
    </w:p>
    <w:p w14:paraId="535315D7" w14:textId="00C48B4D" w:rsidR="00CB0761" w:rsidRDefault="00102F02" w:rsidP="00CB0761">
      <w:pPr>
        <w:shd w:val="clear" w:color="auto" w:fill="FFFFD5"/>
      </w:pPr>
      <w:r>
        <w:t xml:space="preserve">Federal sourcing rules determine what is domestic taxable income. (See IRC Subchapter N). </w:t>
      </w:r>
      <w:r w:rsidR="00CB0761">
        <w:t>While s</w:t>
      </w:r>
      <w:r w:rsidRPr="006C5394">
        <w:t>tates generally conform to th</w:t>
      </w:r>
      <w:r>
        <w:t>is</w:t>
      </w:r>
      <w:r w:rsidRPr="006C5394">
        <w:t xml:space="preserve"> determination</w:t>
      </w:r>
      <w:r w:rsidR="00CB0761">
        <w:t xml:space="preserve">, they can </w:t>
      </w:r>
      <w:r w:rsidR="007D3C40">
        <w:t xml:space="preserve">also </w:t>
      </w:r>
      <w:r w:rsidR="00CB0761">
        <w:t>vary</w:t>
      </w:r>
      <w:r>
        <w:t xml:space="preserve">. </w:t>
      </w:r>
      <w:r w:rsidR="00CB0761">
        <w:t xml:space="preserve">For example, under IRC § 911, </w:t>
      </w:r>
      <w:r w:rsidR="00CB0761" w:rsidRPr="004C08D2">
        <w:t xml:space="preserve">discussed </w:t>
      </w:r>
      <w:r w:rsidR="00CB0761">
        <w:t xml:space="preserve">further </w:t>
      </w:r>
      <w:r w:rsidR="00CB0761" w:rsidRPr="004C08D2">
        <w:t>in Section II</w:t>
      </w:r>
      <w:r w:rsidR="00CB0761">
        <w:t xml:space="preserve"> below, U.S. individuals</w:t>
      </w:r>
      <w:r w:rsidR="00CB0761" w:rsidRPr="00BE3DAE">
        <w:t xml:space="preserve"> who perform personal services in a foreign jurisdiction can exclude </w:t>
      </w:r>
      <w:r w:rsidR="00CB0761">
        <w:t xml:space="preserve">from their domestic income certain payments received </w:t>
      </w:r>
      <w:r w:rsidR="00CB0761" w:rsidRPr="00BE3DAE">
        <w:t xml:space="preserve">for </w:t>
      </w:r>
      <w:r w:rsidR="00CB0761">
        <w:t xml:space="preserve">those </w:t>
      </w:r>
      <w:r w:rsidR="00CB0761" w:rsidRPr="00BE3DAE">
        <w:t>services</w:t>
      </w:r>
      <w:r w:rsidR="00CB0761">
        <w:t>, including certain guaranteed payments</w:t>
      </w:r>
      <w:r w:rsidR="00CB0761" w:rsidRPr="00BE3DAE">
        <w:t xml:space="preserve">. </w:t>
      </w:r>
      <w:r w:rsidR="00CB0761">
        <w:t xml:space="preserve">However, states that wish to source those guaranteed payments differently might simply choose not to conform to this provision. (See </w:t>
      </w:r>
      <w:r w:rsidR="00CB0761" w:rsidRPr="00C532DC">
        <w:t>Cal. Rev. &amp; Tax. Code § 17024.5</w:t>
      </w:r>
      <w:r w:rsidR="00CB0761">
        <w:t>.)</w:t>
      </w:r>
      <w:r w:rsidR="00CB0761">
        <w:tab/>
        <w:t xml:space="preserve">  </w:t>
      </w:r>
      <w:r w:rsidR="00CB0761" w:rsidRPr="00BE3DAE">
        <w:t xml:space="preserve"> </w:t>
      </w:r>
    </w:p>
    <w:p w14:paraId="07A361C0" w14:textId="2B1DE9FC" w:rsidR="00102F02" w:rsidRDefault="007D3C40" w:rsidP="00283D73">
      <w:pPr>
        <w:shd w:val="clear" w:color="auto" w:fill="FFFFD5"/>
      </w:pPr>
      <w:r>
        <w:t>And although</w:t>
      </w:r>
      <w:r w:rsidR="00CB0761">
        <w:t xml:space="preserve"> </w:t>
      </w:r>
      <w:r w:rsidR="00102F02">
        <w:t xml:space="preserve">federal rules </w:t>
      </w:r>
      <w:r w:rsidR="00CB0761">
        <w:t xml:space="preserve">generally determine domestic income, they </w:t>
      </w:r>
      <w:r>
        <w:t xml:space="preserve">have no application </w:t>
      </w:r>
      <w:r w:rsidR="00875D5F">
        <w:t>to the</w:t>
      </w:r>
      <w:r w:rsidR="00102F02">
        <w:t xml:space="preserve"> sourcing </w:t>
      </w:r>
      <w:r w:rsidR="00875D5F">
        <w:t xml:space="preserve">of </w:t>
      </w:r>
      <w:r w:rsidR="00CB0761">
        <w:t xml:space="preserve">that </w:t>
      </w:r>
      <w:r w:rsidR="00102F02">
        <w:t>domestic income among the states</w:t>
      </w:r>
      <w:r w:rsidR="00875D5F">
        <w:t xml:space="preserve">. </w:t>
      </w:r>
      <w:r w:rsidR="00CB0761">
        <w:t xml:space="preserve">Instead, </w:t>
      </w:r>
      <w:r>
        <w:t xml:space="preserve">this is a question of state law. And </w:t>
      </w:r>
      <w:r w:rsidR="00CB0761">
        <w:t>s</w:t>
      </w:r>
      <w:r w:rsidR="00283D73">
        <w:t xml:space="preserve">tates </w:t>
      </w:r>
      <w:r w:rsidR="00102F02">
        <w:t>have determined that the use of the methods summarized above are more appropriate</w:t>
      </w:r>
      <w:r w:rsidR="00875D5F">
        <w:t xml:space="preserve">. </w:t>
      </w:r>
    </w:p>
    <w:p w14:paraId="6B1CE7D0" w14:textId="72362CDB" w:rsidR="003861BA" w:rsidRDefault="003861BA" w:rsidP="00283D73">
      <w:pPr>
        <w:pStyle w:val="Heading4"/>
        <w:shd w:val="clear" w:color="auto" w:fill="FFFFD5"/>
      </w:pPr>
      <w:r>
        <w:t xml:space="preserve">State sourcing </w:t>
      </w:r>
      <w:r w:rsidR="00CB0761">
        <w:t>methods are</w:t>
      </w:r>
      <w:r>
        <w:t xml:space="preserve"> compatible with pass-through taxation</w:t>
      </w:r>
      <w:r w:rsidR="006E503E">
        <w:t xml:space="preserve"> of partnerships</w:t>
      </w:r>
      <w:r>
        <w:t>.</w:t>
      </w:r>
    </w:p>
    <w:p w14:paraId="1298A032" w14:textId="57424870" w:rsidR="006E503E" w:rsidRDefault="00157707" w:rsidP="00283D73">
      <w:pPr>
        <w:shd w:val="clear" w:color="auto" w:fill="FFFFD5"/>
      </w:pPr>
      <w:r>
        <w:t xml:space="preserve">As discussed further below, Subchapter K’s pass-through system generally follows the aggregate theory of partnerships—treating partners as if they had recognized items of income, expense, gain, and loss directly. Under this approach, the character of </w:t>
      </w:r>
      <w:r w:rsidR="007D3C40">
        <w:t>each</w:t>
      </w:r>
      <w:r>
        <w:t xml:space="preserve"> items</w:t>
      </w:r>
      <w:r w:rsidR="00424C26">
        <w:t xml:space="preserve"> is</w:t>
      </w:r>
      <w:r>
        <w:t xml:space="preserve"> determined at the partnership level</w:t>
      </w:r>
      <w:r w:rsidR="00424C26">
        <w:t xml:space="preserve"> and</w:t>
      </w:r>
      <w:r>
        <w:t xml:space="preserve"> </w:t>
      </w:r>
      <w:r w:rsidR="006E11C0">
        <w:t xml:space="preserve">that character </w:t>
      </w:r>
      <w:r>
        <w:t>does not change</w:t>
      </w:r>
      <w:r w:rsidR="00424C26">
        <w:t xml:space="preserve"> when shares of the items are </w:t>
      </w:r>
      <w:r w:rsidR="007D3C40">
        <w:t xml:space="preserve">allocated to and then </w:t>
      </w:r>
      <w:r w:rsidR="00424C26">
        <w:t>reported by the partners</w:t>
      </w:r>
      <w:r>
        <w:t xml:space="preserve">. </w:t>
      </w:r>
      <w:r w:rsidR="006E503E">
        <w:t xml:space="preserve">Nor does the relationship of the partners to the partnership, or their role, alter the character of their shares of the partnership items. </w:t>
      </w:r>
    </w:p>
    <w:p w14:paraId="40350A43" w14:textId="75BECF8F" w:rsidR="006E503E" w:rsidRDefault="006E503E" w:rsidP="00283D73">
      <w:pPr>
        <w:shd w:val="clear" w:color="auto" w:fill="FFFFD5"/>
      </w:pPr>
      <w:r>
        <w:t xml:space="preserve">Federal sourcing rules </w:t>
      </w:r>
      <w:r w:rsidR="00335A89">
        <w:t>apply</w:t>
      </w:r>
      <w:r>
        <w:t xml:space="preserve"> almost entirely on an item-by-item </w:t>
      </w:r>
      <w:r w:rsidR="00827AEA">
        <w:t>basis</w:t>
      </w:r>
      <w:r>
        <w:t xml:space="preserve">. So the domestic or foreign source of </w:t>
      </w:r>
      <w:r w:rsidR="007D3C40">
        <w:t>each</w:t>
      </w:r>
      <w:r>
        <w:t xml:space="preserve"> item is a characteristic </w:t>
      </w:r>
      <w:r w:rsidR="007D3C40">
        <w:t>that</w:t>
      </w:r>
      <w:r>
        <w:t xml:space="preserve">, like other characteristics, flows through to the partners. </w:t>
      </w:r>
      <w:r w:rsidR="007D3C40">
        <w:t>I</w:t>
      </w:r>
      <w:r>
        <w:t xml:space="preserve">t </w:t>
      </w:r>
      <w:r w:rsidR="007509EC">
        <w:t xml:space="preserve">may seem </w:t>
      </w:r>
      <w:r>
        <w:t xml:space="preserve">that this item-by-item sourcing approach is </w:t>
      </w:r>
      <w:r w:rsidR="00CB0761">
        <w:t>better</w:t>
      </w:r>
      <w:r w:rsidR="007509EC">
        <w:t xml:space="preserve"> suited</w:t>
      </w:r>
      <w:r w:rsidR="00BE3DAE" w:rsidRPr="00BE3DAE">
        <w:t xml:space="preserve"> </w:t>
      </w:r>
      <w:r>
        <w:t>to the</w:t>
      </w:r>
      <w:r w:rsidR="00157707">
        <w:t xml:space="preserve"> pass-through system than </w:t>
      </w:r>
      <w:r w:rsidR="00827AEA">
        <w:t xml:space="preserve">is </w:t>
      </w:r>
      <w:r w:rsidR="00157707">
        <w:t xml:space="preserve">formulary apportionment, </w:t>
      </w:r>
      <w:r w:rsidR="00424C26">
        <w:t>the method</w:t>
      </w:r>
      <w:r w:rsidR="007D3C40">
        <w:t>,</w:t>
      </w:r>
      <w:r w:rsidR="00424C26">
        <w:t xml:space="preserve"> </w:t>
      </w:r>
      <w:r w:rsidR="00157707">
        <w:t xml:space="preserve">on which states generally rely. </w:t>
      </w:r>
      <w:r w:rsidR="003C73CC">
        <w:t xml:space="preserve">But </w:t>
      </w:r>
      <w:r w:rsidR="0025666C">
        <w:t>any</w:t>
      </w:r>
      <w:r w:rsidR="00C532DC">
        <w:t xml:space="preserve"> concern that </w:t>
      </w:r>
      <w:r w:rsidR="007509EC">
        <w:t xml:space="preserve">formulary apportionment is </w:t>
      </w:r>
      <w:r w:rsidR="00424C26">
        <w:t>un</w:t>
      </w:r>
      <w:r w:rsidR="00C532DC">
        <w:t>suitable to pass-through taxation</w:t>
      </w:r>
      <w:r w:rsidR="00BC5F30">
        <w:t xml:space="preserve"> appear</w:t>
      </w:r>
      <w:r w:rsidR="00C532DC">
        <w:t>s</w:t>
      </w:r>
      <w:r w:rsidR="00BC5F30">
        <w:t xml:space="preserve"> misplaced. </w:t>
      </w:r>
    </w:p>
    <w:p w14:paraId="24906802" w14:textId="17938113" w:rsidR="003C73CC" w:rsidRDefault="00196A5F" w:rsidP="00283D73">
      <w:pPr>
        <w:shd w:val="clear" w:color="auto" w:fill="FFFFD5"/>
      </w:pPr>
      <w:r>
        <w:t>Whether</w:t>
      </w:r>
      <w:r w:rsidR="006E503E">
        <w:t xml:space="preserve"> </w:t>
      </w:r>
      <w:r w:rsidR="00D239BD">
        <w:t>items of partnership</w:t>
      </w:r>
      <w:r w:rsidR="006E503E">
        <w:t xml:space="preserve"> income, expense, gain, or loss is apportionable business income or </w:t>
      </w:r>
      <w:proofErr w:type="spellStart"/>
      <w:r w:rsidR="006E503E">
        <w:t>nonapportionable</w:t>
      </w:r>
      <w:proofErr w:type="spellEnd"/>
      <w:r w:rsidR="006E503E">
        <w:t xml:space="preserve"> income </w:t>
      </w:r>
      <w:r w:rsidR="00395E69">
        <w:t xml:space="preserve">is an issue beyond the scope of this white paper. But </w:t>
      </w:r>
      <w:r w:rsidR="00A974E1">
        <w:t>that determination is generally made on an item-by-item basis</w:t>
      </w:r>
      <w:r w:rsidR="006E503E">
        <w:t xml:space="preserve">. </w:t>
      </w:r>
      <w:r w:rsidR="00827AEA">
        <w:t>T</w:t>
      </w:r>
      <w:r w:rsidR="006E503E">
        <w:t xml:space="preserve">o the </w:t>
      </w:r>
      <w:r w:rsidR="007D3C40">
        <w:t xml:space="preserve">extent that the item is part of </w:t>
      </w:r>
      <w:r w:rsidR="0034393C">
        <w:t xml:space="preserve">net </w:t>
      </w:r>
      <w:r w:rsidR="007D3C40">
        <w:t xml:space="preserve">apportionable income, it </w:t>
      </w:r>
      <w:r w:rsidR="0034393C">
        <w:t>w</w:t>
      </w:r>
      <w:r w:rsidR="00827AEA">
        <w:t xml:space="preserve">ould </w:t>
      </w:r>
      <w:r w:rsidR="007D3C40">
        <w:t>be sourced using formulary apportionment</w:t>
      </w:r>
      <w:r w:rsidR="00827AEA">
        <w:t xml:space="preserve"> based on the partnership’s factors. And, if </w:t>
      </w:r>
      <w:proofErr w:type="spellStart"/>
      <w:r w:rsidR="007D3C40">
        <w:t>nonapportionable</w:t>
      </w:r>
      <w:proofErr w:type="spellEnd"/>
      <w:r w:rsidR="007D3C40">
        <w:t xml:space="preserve">, it would be sourced using rules of assignment. </w:t>
      </w:r>
      <w:r w:rsidR="00827AEA">
        <w:t>Then, under the pass-through system, t</w:t>
      </w:r>
      <w:r w:rsidR="006E503E">
        <w:t xml:space="preserve">hat </w:t>
      </w:r>
      <w:r w:rsidR="007D3C40">
        <w:t xml:space="preserve">sourcing </w:t>
      </w:r>
      <w:r w:rsidR="006E503E">
        <w:t xml:space="preserve">determination, </w:t>
      </w:r>
      <w:r w:rsidR="00827AEA">
        <w:t>along with</w:t>
      </w:r>
      <w:r w:rsidR="006E503E">
        <w:t xml:space="preserve"> other characteristics </w:t>
      </w:r>
      <w:r w:rsidR="00827AEA">
        <w:t xml:space="preserve">of the items, </w:t>
      </w:r>
      <w:r w:rsidR="007D3C40">
        <w:t xml:space="preserve">would </w:t>
      </w:r>
      <w:r w:rsidR="006E503E">
        <w:t xml:space="preserve">flow through to the partners. </w:t>
      </w:r>
      <w:r w:rsidR="00BC5F30">
        <w:t>F</w:t>
      </w:r>
      <w:r w:rsidR="00A91B3D">
        <w:t xml:space="preserve">ormulary apportionment </w:t>
      </w:r>
      <w:r w:rsidR="00BC5F30">
        <w:t xml:space="preserve">can </w:t>
      </w:r>
      <w:r w:rsidR="0034393C">
        <w:t>also</w:t>
      </w:r>
      <w:r w:rsidR="00BC5F30">
        <w:t xml:space="preserve"> be</w:t>
      </w:r>
      <w:r w:rsidR="00A91B3D">
        <w:t xml:space="preserve"> applied</w:t>
      </w:r>
      <w:r w:rsidR="005A07BB">
        <w:t xml:space="preserve"> on an </w:t>
      </w:r>
      <w:r w:rsidR="00A91B3D">
        <w:t>item-by-item</w:t>
      </w:r>
      <w:r w:rsidR="005A07BB">
        <w:t xml:space="preserve"> basis</w:t>
      </w:r>
      <w:r w:rsidR="00A91B3D">
        <w:t xml:space="preserve">, using the same </w:t>
      </w:r>
      <w:r w:rsidR="00827AEA">
        <w:t xml:space="preserve">partnership </w:t>
      </w:r>
      <w:r w:rsidR="00A91B3D">
        <w:t>formula</w:t>
      </w:r>
      <w:r w:rsidR="007509EC">
        <w:t xml:space="preserve"> (or ratio)</w:t>
      </w:r>
      <w:r w:rsidR="00A91B3D">
        <w:t>, w</w:t>
      </w:r>
      <w:r w:rsidR="005A07BB">
        <w:t>ith the same result</w:t>
      </w:r>
      <w:r w:rsidR="00BC5F30">
        <w:t xml:space="preserve"> as if applied to net apportionable income</w:t>
      </w:r>
      <w:r w:rsidR="005A07BB">
        <w:t xml:space="preserve">. </w:t>
      </w:r>
    </w:p>
    <w:p w14:paraId="069F516E" w14:textId="15749217" w:rsidR="003861BA" w:rsidRDefault="003861BA" w:rsidP="00283D73">
      <w:pPr>
        <w:shd w:val="clear" w:color="auto" w:fill="FFFFD5"/>
      </w:pPr>
      <w:r>
        <w:t xml:space="preserve">Also, given that formulary apportionment is applied to other types of businesses, including corporations and sole-proprietorships, applying this same method to </w:t>
      </w:r>
      <w:r w:rsidR="00F15E79">
        <w:t xml:space="preserve">businesses conducted as </w:t>
      </w:r>
      <w:r>
        <w:t xml:space="preserve">partnerships results in greater equity. </w:t>
      </w:r>
      <w:r w:rsidR="0025666C">
        <w:t xml:space="preserve">Nevertheless, there may be instances in which the conformity to federal </w:t>
      </w:r>
      <w:r>
        <w:t xml:space="preserve">substantive rules combined with state sourcing </w:t>
      </w:r>
      <w:r w:rsidR="0025666C">
        <w:t>rules, may result in treatment that is not entirely equitable</w:t>
      </w:r>
      <w:r w:rsidR="00913093">
        <w:t xml:space="preserve"> and may create greater complexity</w:t>
      </w:r>
      <w:r w:rsidR="0025666C">
        <w:t xml:space="preserve">. </w:t>
      </w:r>
      <w:r w:rsidR="00913093">
        <w:t xml:space="preserve">These </w:t>
      </w:r>
      <w:r w:rsidR="0025666C">
        <w:t>issue</w:t>
      </w:r>
      <w:r w:rsidR="00913093">
        <w:t>s</w:t>
      </w:r>
      <w:r w:rsidR="0025666C">
        <w:t xml:space="preserve"> </w:t>
      </w:r>
      <w:r w:rsidR="00913093">
        <w:t>are</w:t>
      </w:r>
      <w:r w:rsidR="0025666C">
        <w:t xml:space="preserve"> discussed further in Section I.</w:t>
      </w:r>
      <w:r w:rsidR="007509EC">
        <w:t>G. below.</w:t>
      </w:r>
    </w:p>
    <w:p w14:paraId="1C5CB8D5" w14:textId="37BFCD79" w:rsidR="009142D5" w:rsidRDefault="00F54CF3" w:rsidP="00AB4E9B">
      <w:pPr>
        <w:pStyle w:val="Heading2"/>
      </w:pPr>
      <w:bookmarkStart w:id="23" w:name="_Toc153291142"/>
      <w:r>
        <w:lastRenderedPageBreak/>
        <w:t xml:space="preserve">I. </w:t>
      </w:r>
      <w:r w:rsidR="00B5459F">
        <w:t xml:space="preserve">E. </w:t>
      </w:r>
      <w:r w:rsidR="0093697B">
        <w:t>Aggregate and Entity Theories</w:t>
      </w:r>
      <w:r w:rsidR="00D54911">
        <w:t xml:space="preserve"> as Applied to Partnership Payments</w:t>
      </w:r>
      <w:bookmarkEnd w:id="23"/>
    </w:p>
    <w:p w14:paraId="13F766F9" w14:textId="33BECD44" w:rsidR="00406522" w:rsidRPr="00406522" w:rsidRDefault="00D45EAA" w:rsidP="00406522">
      <w:pPr>
        <w:spacing w:after="240"/>
      </w:pPr>
      <w:r>
        <w:t>The legal and tax treatment of partnerships h</w:t>
      </w:r>
      <w:r w:rsidR="00172E10">
        <w:t xml:space="preserve">as been based on two competing theories—aggregate and entity. </w:t>
      </w:r>
      <w:r w:rsidR="005306B0">
        <w:t>The treatment of p</w:t>
      </w:r>
      <w:r w:rsidR="00172E10">
        <w:t xml:space="preserve">ayments </w:t>
      </w:r>
      <w:r w:rsidR="00073898">
        <w:t xml:space="preserve">by partnerships to partners will </w:t>
      </w:r>
      <w:r w:rsidR="005306B0">
        <w:t>differ fundamentally depending on the theory applied.</w:t>
      </w:r>
      <w:r w:rsidR="00E26A8B">
        <w:t xml:space="preserve"> </w:t>
      </w:r>
      <w:r w:rsidR="00CE5F8C">
        <w:t xml:space="preserve">Subchapter K recognizes </w:t>
      </w:r>
      <w:r w:rsidR="007D0153">
        <w:t>three</w:t>
      </w:r>
      <w:r w:rsidR="00ED64E1">
        <w:t xml:space="preserve"> </w:t>
      </w:r>
      <w:r w:rsidR="00C41F44">
        <w:t xml:space="preserve">general </w:t>
      </w:r>
      <w:r w:rsidR="001E2D94">
        <w:t xml:space="preserve">categories of </w:t>
      </w:r>
      <w:r w:rsidR="007651B7">
        <w:t>partnership payments</w:t>
      </w:r>
      <w:r w:rsidR="00C754E8">
        <w:t xml:space="preserve">: </w:t>
      </w:r>
      <w:r w:rsidR="007D0153">
        <w:t>distributive share/distributions, partner-partnership transactions, and guaranteed payments.</w:t>
      </w:r>
      <w:r w:rsidR="00F32F04">
        <w:t xml:space="preserve"> </w:t>
      </w:r>
      <w:r w:rsidR="00CE5F8C">
        <w:t xml:space="preserve">This </w:t>
      </w:r>
      <w:r w:rsidR="00266690">
        <w:t>sub</w:t>
      </w:r>
      <w:r w:rsidR="00CE5F8C">
        <w:t xml:space="preserve">section </w:t>
      </w:r>
      <w:r w:rsidR="008340FD">
        <w:t xml:space="preserve">considers how </w:t>
      </w:r>
      <w:r w:rsidR="007828FD">
        <w:t xml:space="preserve">the </w:t>
      </w:r>
      <w:r w:rsidR="008340FD">
        <w:t>aggregate and entity</w:t>
      </w:r>
      <w:r w:rsidR="007828FD">
        <w:t xml:space="preserve"> theories have been </w:t>
      </w:r>
      <w:r w:rsidR="008340FD">
        <w:t>appl</w:t>
      </w:r>
      <w:r w:rsidR="007828FD">
        <w:t>ied</w:t>
      </w:r>
      <w:r w:rsidR="008340FD">
        <w:t xml:space="preserve"> to these categories.</w:t>
      </w:r>
      <w:r w:rsidR="00266690">
        <w:t xml:space="preserve"> The next </w:t>
      </w:r>
      <w:r w:rsidR="007828FD">
        <w:t xml:space="preserve">subsection </w:t>
      </w:r>
      <w:r w:rsidR="00266690">
        <w:t xml:space="preserve">considers whether </w:t>
      </w:r>
      <w:r w:rsidR="007828FD">
        <w:t xml:space="preserve">the </w:t>
      </w:r>
      <w:r w:rsidR="00266690">
        <w:t xml:space="preserve">aggregate or entity treatment of these payments may affect sourcing. </w:t>
      </w:r>
    </w:p>
    <w:p w14:paraId="3E7DEFF2" w14:textId="4F86633C" w:rsidR="00230A1F" w:rsidRDefault="00230A1F" w:rsidP="00EA75FE">
      <w:pPr>
        <w:pStyle w:val="Heading3"/>
      </w:pPr>
      <w:bookmarkStart w:id="24" w:name="_Toc153291143"/>
      <w:r>
        <w:t>Partnership Payments</w:t>
      </w:r>
      <w:bookmarkEnd w:id="24"/>
    </w:p>
    <w:p w14:paraId="6F6DDAEE" w14:textId="6781CFED" w:rsidR="00474E65" w:rsidRDefault="003B5AE7" w:rsidP="00E630A4">
      <w:r>
        <w:t>The categories of partnership payments generally recognized under Subchapter K are</w:t>
      </w:r>
      <w:r w:rsidR="00855637">
        <w:t>:</w:t>
      </w:r>
    </w:p>
    <w:p w14:paraId="57EC9982" w14:textId="58076FD6" w:rsidR="006C0777" w:rsidRDefault="009C6316" w:rsidP="00064992">
      <w:pPr>
        <w:pStyle w:val="Heading4"/>
        <w:ind w:left="720"/>
      </w:pPr>
      <w:r>
        <w:t xml:space="preserve">Regular </w:t>
      </w:r>
      <w:r w:rsidR="00BC4D70">
        <w:t>Distributive Share/Distributions</w:t>
      </w:r>
    </w:p>
    <w:p w14:paraId="1C88CFCD" w14:textId="435D458D" w:rsidR="006C0777" w:rsidRPr="006C0777" w:rsidRDefault="000D411D" w:rsidP="00064992">
      <w:pPr>
        <w:ind w:left="720"/>
      </w:pPr>
      <w:r>
        <w:t xml:space="preserve">Partners </w:t>
      </w:r>
      <w:r w:rsidR="00423D7B">
        <w:t>are allocated</w:t>
      </w:r>
      <w:r w:rsidR="00BC4D70">
        <w:t xml:space="preserve"> </w:t>
      </w:r>
      <w:r w:rsidR="00423D7B">
        <w:t>a</w:t>
      </w:r>
      <w:r w:rsidR="00384243">
        <w:t xml:space="preserve"> share of </w:t>
      </w:r>
      <w:r w:rsidR="007A37F5">
        <w:t xml:space="preserve">a partnership’s </w:t>
      </w:r>
      <w:r w:rsidR="00BC4D70">
        <w:t>income</w:t>
      </w:r>
      <w:r w:rsidR="00423D7B">
        <w:t>—called</w:t>
      </w:r>
      <w:r w:rsidR="00384243">
        <w:t xml:space="preserve"> “distributive share”</w:t>
      </w:r>
      <w:r w:rsidR="00423D7B">
        <w:t>—</w:t>
      </w:r>
      <w:r w:rsidR="00530FB7">
        <w:t>on which they pay tax</w:t>
      </w:r>
      <w:r w:rsidR="00607D91">
        <w:t>, regardless of whether they receive a distribution</w:t>
      </w:r>
      <w:r w:rsidR="00530FB7">
        <w:t xml:space="preserve">. </w:t>
      </w:r>
      <w:r w:rsidR="00607D91">
        <w:t xml:space="preserve">This distributive share </w:t>
      </w:r>
      <w:r w:rsidR="00A330F1">
        <w:t xml:space="preserve">of </w:t>
      </w:r>
      <w:r w:rsidR="008C0161">
        <w:t xml:space="preserve">partnership </w:t>
      </w:r>
      <w:r w:rsidR="00A330F1">
        <w:t xml:space="preserve">income </w:t>
      </w:r>
      <w:r w:rsidR="00607D91">
        <w:t xml:space="preserve">increases </w:t>
      </w:r>
      <w:r w:rsidR="00407E56">
        <w:t>a</w:t>
      </w:r>
      <w:r w:rsidR="00607D91">
        <w:t xml:space="preserve"> </w:t>
      </w:r>
      <w:r w:rsidR="00A72FB1">
        <w:t>partner</w:t>
      </w:r>
      <w:r w:rsidR="00607D91">
        <w:t>’</w:t>
      </w:r>
      <w:r w:rsidR="00407E56">
        <w:t>s</w:t>
      </w:r>
      <w:r w:rsidR="00A72FB1">
        <w:t xml:space="preserve"> </w:t>
      </w:r>
      <w:r w:rsidR="00861206">
        <w:t>basis in their partnership interest (“outside basis”)</w:t>
      </w:r>
      <w:r w:rsidR="009A6917">
        <w:t>. Then</w:t>
      </w:r>
      <w:r w:rsidR="00C343B9">
        <w:t>, any</w:t>
      </w:r>
      <w:r w:rsidR="00407E56">
        <w:t xml:space="preserve"> p</w:t>
      </w:r>
      <w:r w:rsidR="000F66E3">
        <w:t>ayments properly ch</w:t>
      </w:r>
      <w:r w:rsidR="00E92E13">
        <w:t>aracterized</w:t>
      </w:r>
      <w:r w:rsidR="000F66E3">
        <w:t xml:space="preserve"> as </w:t>
      </w:r>
      <w:r w:rsidR="00BC4D70">
        <w:t>distributions</w:t>
      </w:r>
      <w:r w:rsidR="00C343B9">
        <w:t xml:space="preserve"> will reduce </w:t>
      </w:r>
      <w:r w:rsidR="008C0161">
        <w:t>outside basis</w:t>
      </w:r>
      <w:r w:rsidR="00C343B9">
        <w:t xml:space="preserve"> and</w:t>
      </w:r>
      <w:r w:rsidR="00BC4D70">
        <w:t xml:space="preserve"> </w:t>
      </w:r>
      <w:r w:rsidR="00B24F5E">
        <w:t>are non-</w:t>
      </w:r>
      <w:r w:rsidR="00C343B9">
        <w:t>taxable</w:t>
      </w:r>
      <w:r w:rsidR="006538A9">
        <w:t xml:space="preserve"> to the extent of </w:t>
      </w:r>
      <w:r w:rsidR="00386D45">
        <w:t>that</w:t>
      </w:r>
      <w:r w:rsidR="006538A9">
        <w:t xml:space="preserve"> basis</w:t>
      </w:r>
      <w:r w:rsidR="00B24F5E">
        <w:t>.</w:t>
      </w:r>
      <w:r w:rsidR="008E11E2">
        <w:t xml:space="preserve"> </w:t>
      </w:r>
      <w:r w:rsidR="003A393F">
        <w:t>So partnership income is taxed only once.</w:t>
      </w:r>
      <w:r w:rsidR="00B24F5E">
        <w:t xml:space="preserve"> </w:t>
      </w:r>
    </w:p>
    <w:p w14:paraId="734A958F" w14:textId="28863770" w:rsidR="006C0777" w:rsidRDefault="00BA5DB4" w:rsidP="00064992">
      <w:pPr>
        <w:pStyle w:val="Heading4"/>
        <w:ind w:left="720"/>
      </w:pPr>
      <w:r>
        <w:t>Partner-Partnership Transactions</w:t>
      </w:r>
    </w:p>
    <w:p w14:paraId="58DD7959" w14:textId="19B6F6F5" w:rsidR="00474E65" w:rsidRDefault="00D0083B" w:rsidP="00064992">
      <w:pPr>
        <w:ind w:left="720"/>
      </w:pPr>
      <w:r>
        <w:t>P</w:t>
      </w:r>
      <w:r w:rsidR="008E5385">
        <w:t xml:space="preserve">artners and partnerships </w:t>
      </w:r>
      <w:r w:rsidR="00E31641">
        <w:t>can</w:t>
      </w:r>
      <w:r>
        <w:t xml:space="preserve"> </w:t>
      </w:r>
      <w:r w:rsidR="008E5385">
        <w:t>engage in transactions that are similar to those between unrelated persons</w:t>
      </w:r>
      <w:r>
        <w:t>. When they do, the c</w:t>
      </w:r>
      <w:r w:rsidR="00E71752">
        <w:t xml:space="preserve">haracter, value, timing, etc. are determined under the normal substantive tax rules, as if the partner was not a partner. </w:t>
      </w:r>
      <w:r w:rsidR="004C58C3">
        <w:t xml:space="preserve">For example, </w:t>
      </w:r>
      <w:r w:rsidR="00E71752">
        <w:t xml:space="preserve">if </w:t>
      </w:r>
      <w:r w:rsidR="001F645E">
        <w:t xml:space="preserve">a partner sells </w:t>
      </w:r>
      <w:r w:rsidR="00E71752">
        <w:t xml:space="preserve">property </w:t>
      </w:r>
      <w:r w:rsidR="001F645E">
        <w:t>to a partnership</w:t>
      </w:r>
      <w:r w:rsidR="00E71752">
        <w:t xml:space="preserve">, the </w:t>
      </w:r>
      <w:r w:rsidR="001F645E">
        <w:t>partnership</w:t>
      </w:r>
      <w:r w:rsidR="00E71752">
        <w:t xml:space="preserve"> will </w:t>
      </w:r>
      <w:r w:rsidR="001F645E">
        <w:t>have an</w:t>
      </w:r>
      <w:r w:rsidR="00E71752">
        <w:t xml:space="preserve"> expense or capitalized expenditure</w:t>
      </w:r>
      <w:r w:rsidR="001F645E">
        <w:t xml:space="preserve">, and the partner will have </w:t>
      </w:r>
      <w:r w:rsidR="00E71752">
        <w:t xml:space="preserve">income, gain, or loss. </w:t>
      </w:r>
    </w:p>
    <w:p w14:paraId="1E3D554E" w14:textId="3165A228" w:rsidR="00474E65" w:rsidRDefault="00474E65" w:rsidP="00064992">
      <w:pPr>
        <w:pStyle w:val="Heading4"/>
        <w:ind w:left="720"/>
      </w:pPr>
      <w:r>
        <w:t>G</w:t>
      </w:r>
      <w:r w:rsidR="007B3E25">
        <w:t xml:space="preserve">uaranteed </w:t>
      </w:r>
      <w:r w:rsidR="008E5385">
        <w:t>Payments Made to Partners Acting as Partners</w:t>
      </w:r>
    </w:p>
    <w:p w14:paraId="571011EF" w14:textId="61DCA379" w:rsidR="00FB5774" w:rsidRDefault="00BE5BCB" w:rsidP="00E00D6E">
      <w:pPr>
        <w:ind w:left="720"/>
      </w:pPr>
      <w:r>
        <w:t>Guaranteed payments are a</w:t>
      </w:r>
      <w:r w:rsidR="008E5385">
        <w:t xml:space="preserve"> third category of transfers recognized by Subchapter K</w:t>
      </w:r>
      <w:r>
        <w:t>,</w:t>
      </w:r>
      <w:r w:rsidR="008E5385">
        <w:t xml:space="preserve"> which are similar to transactions between unrelated persons but are made when the partner is </w:t>
      </w:r>
      <w:r w:rsidR="005A7770">
        <w:t>acting</w:t>
      </w:r>
      <w:r w:rsidR="008E5385">
        <w:t xml:space="preserve"> </w:t>
      </w:r>
      <w:r w:rsidR="003A393F">
        <w:t>in the capacity of</w:t>
      </w:r>
      <w:r w:rsidR="008E5385">
        <w:t xml:space="preserve"> a partner. These transfers are called “guaranteed payments” because they are not tied to or dependent upon the partnership</w:t>
      </w:r>
      <w:r w:rsidR="00064992">
        <w:t xml:space="preserve">’s income. </w:t>
      </w:r>
      <w:r w:rsidR="002F73D8">
        <w:t>Subchapter K recognizes</w:t>
      </w:r>
      <w:r w:rsidR="00064992">
        <w:t xml:space="preserve"> two types of guaranteed payments</w:t>
      </w:r>
      <w:r w:rsidR="00E00D6E">
        <w:t>—payments for services and payments for the use of capital.</w:t>
      </w:r>
    </w:p>
    <w:p w14:paraId="783AFAE1" w14:textId="769A4DF9" w:rsidR="00E630A4" w:rsidRDefault="007F3F2E" w:rsidP="00474E65">
      <w:r>
        <w:t>E</w:t>
      </w:r>
      <w:r w:rsidR="00FB5774" w:rsidRPr="00FB5774">
        <w:t xml:space="preserve">ach of these categories may be </w:t>
      </w:r>
      <w:r>
        <w:t xml:space="preserve">treated </w:t>
      </w:r>
      <w:r w:rsidR="00FB5774" w:rsidRPr="00FB5774">
        <w:t>different</w:t>
      </w:r>
      <w:r>
        <w:t>ly</w:t>
      </w:r>
      <w:r w:rsidR="00FB5774" w:rsidRPr="00FB5774">
        <w:t xml:space="preserve"> under both Subchapter K and </w:t>
      </w:r>
      <w:r>
        <w:t xml:space="preserve">the </w:t>
      </w:r>
      <w:r w:rsidR="00FB5774" w:rsidRPr="00FB5774">
        <w:t>federal substantive tax rules—so that similar circumstances may lead to a different tax result.</w:t>
      </w:r>
      <w:r w:rsidR="001C0F6A">
        <w:t xml:space="preserve"> </w:t>
      </w:r>
    </w:p>
    <w:p w14:paraId="05B4BB9B" w14:textId="47A8CFCA" w:rsidR="00CD11CF" w:rsidRDefault="00490FC0" w:rsidP="00DE3224">
      <w:pPr>
        <w:pStyle w:val="Heading3"/>
      </w:pPr>
      <w:bookmarkStart w:id="25" w:name="_Toc153291144"/>
      <w:r>
        <w:t xml:space="preserve">Aggregate </w:t>
      </w:r>
      <w:r w:rsidR="00CF521F">
        <w:t>and</w:t>
      </w:r>
      <w:r>
        <w:t xml:space="preserve"> Entity Theories</w:t>
      </w:r>
      <w:bookmarkEnd w:id="25"/>
    </w:p>
    <w:p w14:paraId="6E5F24AF" w14:textId="4C78D26E" w:rsidR="001E2D94" w:rsidRDefault="00D11FDD" w:rsidP="00AA6241">
      <w:r>
        <w:t>T</w:t>
      </w:r>
      <w:r w:rsidR="000B3AAC">
        <w:t>wo different theories of partnerships</w:t>
      </w:r>
      <w:r>
        <w:t xml:space="preserve"> </w:t>
      </w:r>
      <w:r w:rsidR="00A049B9">
        <w:t>infor</w:t>
      </w:r>
      <w:r w:rsidR="00D530E5">
        <w:t xml:space="preserve">m </w:t>
      </w:r>
      <w:r>
        <w:t xml:space="preserve">both state </w:t>
      </w:r>
      <w:r w:rsidR="00DE2EC2">
        <w:t>law and federal tax law governing partnerships</w:t>
      </w:r>
      <w:r w:rsidR="00276CA5">
        <w:t>:</w:t>
      </w:r>
    </w:p>
    <w:p w14:paraId="3E10A6D1" w14:textId="2FB9DCC9" w:rsidR="001E2D94" w:rsidRDefault="001E2D94" w:rsidP="005F7F13">
      <w:pPr>
        <w:pStyle w:val="ListParagraph"/>
        <w:numPr>
          <w:ilvl w:val="0"/>
          <w:numId w:val="10"/>
        </w:numPr>
        <w:spacing w:after="120"/>
        <w:contextualSpacing w:val="0"/>
      </w:pPr>
      <w:r w:rsidRPr="001E2D94">
        <w:rPr>
          <w:u w:val="single"/>
        </w:rPr>
        <w:t>Aggregate Theory</w:t>
      </w:r>
      <w:r>
        <w:t xml:space="preserve">: </w:t>
      </w:r>
      <w:r w:rsidR="008F46B9">
        <w:t>P</w:t>
      </w:r>
      <w:r w:rsidR="00AE234A">
        <w:t>artnerships are</w:t>
      </w:r>
      <w:r w:rsidR="00F20F9F">
        <w:t xml:space="preserve"> </w:t>
      </w:r>
      <w:r w:rsidR="004900D4">
        <w:t xml:space="preserve">nothing more than </w:t>
      </w:r>
      <w:r w:rsidR="00A34285">
        <w:t>collection</w:t>
      </w:r>
      <w:r w:rsidR="00AE234A">
        <w:t>s</w:t>
      </w:r>
      <w:r w:rsidR="00A34285">
        <w:t xml:space="preserve"> of persons</w:t>
      </w:r>
      <w:r w:rsidR="001F0C79">
        <w:t xml:space="preserve"> acting </w:t>
      </w:r>
      <w:r w:rsidR="00D947AA">
        <w:t>together</w:t>
      </w:r>
      <w:r w:rsidR="00A34285">
        <w:t xml:space="preserve">. </w:t>
      </w:r>
      <w:r w:rsidR="00D947AA">
        <w:t xml:space="preserve">The partnership is not considered separate from the partners. </w:t>
      </w:r>
      <w:r w:rsidR="00670213">
        <w:t xml:space="preserve">Instead, the partners are treated as if they acted </w:t>
      </w:r>
      <w:r w:rsidR="00E761A4">
        <w:t>directly.</w:t>
      </w:r>
    </w:p>
    <w:p w14:paraId="06398403" w14:textId="2E1738B3" w:rsidR="00F71B2C" w:rsidRDefault="001E2D94" w:rsidP="005F7F13">
      <w:pPr>
        <w:pStyle w:val="ListParagraph"/>
        <w:numPr>
          <w:ilvl w:val="0"/>
          <w:numId w:val="10"/>
        </w:numPr>
      </w:pPr>
      <w:r>
        <w:rPr>
          <w:u w:val="single"/>
        </w:rPr>
        <w:t xml:space="preserve">Entity </w:t>
      </w:r>
      <w:r w:rsidRPr="001E2D94">
        <w:rPr>
          <w:u w:val="single"/>
        </w:rPr>
        <w:t>Theory</w:t>
      </w:r>
      <w:r>
        <w:t xml:space="preserve">: </w:t>
      </w:r>
      <w:r w:rsidR="008F46B9">
        <w:t>P</w:t>
      </w:r>
      <w:r w:rsidR="00AE234A">
        <w:t xml:space="preserve">artnerships are </w:t>
      </w:r>
      <w:r w:rsidR="00A34285">
        <w:t>person</w:t>
      </w:r>
      <w:r w:rsidR="00AE234A">
        <w:t>s</w:t>
      </w:r>
      <w:r w:rsidR="0058786D">
        <w:t xml:space="preserve"> </w:t>
      </w:r>
      <w:r w:rsidR="005354E5">
        <w:t xml:space="preserve">separate from </w:t>
      </w:r>
      <w:r w:rsidR="0058786D">
        <w:t>the partners</w:t>
      </w:r>
      <w:r w:rsidR="00A34285">
        <w:t xml:space="preserve">. </w:t>
      </w:r>
      <w:r w:rsidR="00D947AA">
        <w:t xml:space="preserve">The partnership </w:t>
      </w:r>
      <w:r w:rsidR="000B3AAC">
        <w:t xml:space="preserve">can, therefore, engage in actions separate from the partners, </w:t>
      </w:r>
      <w:r w:rsidR="008F46B9">
        <w:t xml:space="preserve">and </w:t>
      </w:r>
      <w:r w:rsidR="000B3AAC">
        <w:t xml:space="preserve">even in some dealings with the partners.  </w:t>
      </w:r>
    </w:p>
    <w:p w14:paraId="293ADEBA" w14:textId="3A02874D" w:rsidR="004A5ABF" w:rsidRDefault="00C73892" w:rsidP="00AA6241">
      <w:r>
        <w:t xml:space="preserve">For example—assume </w:t>
      </w:r>
      <w:r w:rsidR="00027DA2">
        <w:t>two individuals form a partnership by contributing cash. The partnership uses th</w:t>
      </w:r>
      <w:r w:rsidR="002D1AB8">
        <w:t>is</w:t>
      </w:r>
      <w:r w:rsidR="00027DA2">
        <w:t xml:space="preserve"> cash to purchase property, which is later sold for a profit. Under the aggregate theory, the partners </w:t>
      </w:r>
      <w:r w:rsidR="007D0B6D">
        <w:t xml:space="preserve">would be seen as </w:t>
      </w:r>
      <w:r w:rsidR="00B00103">
        <w:t>having acquired the property together, using their separate funds, ow</w:t>
      </w:r>
      <w:r w:rsidR="00460F07">
        <w:t>n</w:t>
      </w:r>
      <w:r w:rsidR="00B00103">
        <w:t xml:space="preserve">ing the property jointly, and then selling their shares of the property </w:t>
      </w:r>
      <w:r w:rsidR="004A5ABF">
        <w:t xml:space="preserve">and recognizing </w:t>
      </w:r>
      <w:r w:rsidR="007D0B6D">
        <w:t>p</w:t>
      </w:r>
      <w:r w:rsidR="004A5ABF">
        <w:t>rofit</w:t>
      </w:r>
      <w:r w:rsidR="007D0B6D">
        <w:t xml:space="preserve"> directly from that sale</w:t>
      </w:r>
      <w:r w:rsidR="004A5ABF">
        <w:t xml:space="preserve">. Under the entity theory, </w:t>
      </w:r>
      <w:r w:rsidR="002D1AB8">
        <w:t>they</w:t>
      </w:r>
      <w:r w:rsidR="004A5ABF">
        <w:t xml:space="preserve"> would </w:t>
      </w:r>
      <w:r w:rsidR="002D1AB8">
        <w:t xml:space="preserve">be </w:t>
      </w:r>
      <w:r w:rsidR="00AF509E">
        <w:t>treated as having acquired an interest in the partnership</w:t>
      </w:r>
      <w:r w:rsidR="007F3739">
        <w:t xml:space="preserve"> rather than the property</w:t>
      </w:r>
      <w:r w:rsidR="006C5BF6">
        <w:t>, and the partnership would be seen as buying and selling property as a separate person</w:t>
      </w:r>
      <w:r w:rsidR="00307CF7">
        <w:t xml:space="preserve">. </w:t>
      </w:r>
      <w:r w:rsidR="001E65FE">
        <w:t>P</w:t>
      </w:r>
      <w:r w:rsidR="00307CF7">
        <w:t>rofit</w:t>
      </w:r>
      <w:r w:rsidR="001E65FE">
        <w:t xml:space="preserve"> would be divided</w:t>
      </w:r>
      <w:r w:rsidR="00307CF7">
        <w:t xml:space="preserve"> by the partners </w:t>
      </w:r>
      <w:r w:rsidR="001E65FE">
        <w:t xml:space="preserve">according to their </w:t>
      </w:r>
      <w:r w:rsidR="0062396A">
        <w:t xml:space="preserve">agreement. </w:t>
      </w:r>
    </w:p>
    <w:p w14:paraId="69144F66" w14:textId="02313F56" w:rsidR="002C699D" w:rsidRDefault="002C699D" w:rsidP="00AA6241">
      <w:r>
        <w:t>Application of these theories varies, and aspects of both may apply</w:t>
      </w:r>
      <w:r w:rsidR="00EF281D">
        <w:t>, depending on the circumstances.</w:t>
      </w:r>
    </w:p>
    <w:p w14:paraId="7E17462D" w14:textId="4CF7D530" w:rsidR="0058786D" w:rsidRDefault="001E6323" w:rsidP="007E3516">
      <w:pPr>
        <w:pStyle w:val="Heading3"/>
      </w:pPr>
      <w:bookmarkStart w:id="26" w:name="_Toc153291145"/>
      <w:r>
        <w:lastRenderedPageBreak/>
        <w:t>Distributive Share</w:t>
      </w:r>
      <w:r w:rsidR="0042660E">
        <w:t>/</w:t>
      </w:r>
      <w:r>
        <w:t>Distributions</w:t>
      </w:r>
      <w:r w:rsidR="00AD20F3">
        <w:t xml:space="preserve"> – Aggregate Theory</w:t>
      </w:r>
      <w:bookmarkEnd w:id="26"/>
    </w:p>
    <w:p w14:paraId="4454B5EC" w14:textId="1CDCFCF0" w:rsidR="00CF49AC" w:rsidRDefault="00DB4852" w:rsidP="00230A1F">
      <w:r>
        <w:t xml:space="preserve">Traditionally, </w:t>
      </w:r>
      <w:r w:rsidR="00471899">
        <w:t>the aggregate theory</w:t>
      </w:r>
      <w:r w:rsidR="00467683">
        <w:t xml:space="preserve"> </w:t>
      </w:r>
      <w:r w:rsidR="001F481A">
        <w:t xml:space="preserve">was the dominant theory of partnerships, </w:t>
      </w:r>
      <w:r>
        <w:t>so that</w:t>
      </w:r>
      <w:r w:rsidR="000B3AAC">
        <w:t xml:space="preserve"> </w:t>
      </w:r>
      <w:r>
        <w:t xml:space="preserve">partners were </w:t>
      </w:r>
      <w:r w:rsidR="001B1F6A">
        <w:t xml:space="preserve">often </w:t>
      </w:r>
      <w:r>
        <w:t>deemed to</w:t>
      </w:r>
      <w:r w:rsidR="000B3AAC">
        <w:t xml:space="preserve"> engage in </w:t>
      </w:r>
      <w:r w:rsidR="00471899">
        <w:t>the partnership’s</w:t>
      </w:r>
      <w:r>
        <w:t xml:space="preserve"> </w:t>
      </w:r>
      <w:r w:rsidR="000B3AAC">
        <w:t xml:space="preserve">activities collectively. </w:t>
      </w:r>
      <w:r w:rsidR="001F481A">
        <w:t>In</w:t>
      </w:r>
      <w:r>
        <w:t xml:space="preserve"> the late 20</w:t>
      </w:r>
      <w:r w:rsidRPr="00DB4852">
        <w:rPr>
          <w:vertAlign w:val="superscript"/>
        </w:rPr>
        <w:t>th</w:t>
      </w:r>
      <w:r>
        <w:t xml:space="preserve"> Century, </w:t>
      </w:r>
      <w:r w:rsidR="001F481A">
        <w:t xml:space="preserve">this began to change </w:t>
      </w:r>
      <w:r w:rsidR="00467683">
        <w:t xml:space="preserve">and </w:t>
      </w:r>
      <w:r w:rsidR="00EC0782">
        <w:t>state</w:t>
      </w:r>
      <w:r>
        <w:t xml:space="preserve"> law </w:t>
      </w:r>
      <w:r w:rsidR="00471899">
        <w:t>now treats</w:t>
      </w:r>
      <w:r>
        <w:t xml:space="preserve"> partnerships as entities for </w:t>
      </w:r>
      <w:r w:rsidR="00EC0782">
        <w:t>some</w:t>
      </w:r>
      <w:r w:rsidR="00A32D75">
        <w:t xml:space="preserve"> </w:t>
      </w:r>
      <w:r>
        <w:t>purposes</w:t>
      </w:r>
      <w:r w:rsidR="00677F07">
        <w:t>.</w:t>
      </w:r>
      <w:r>
        <w:rPr>
          <w:rStyle w:val="FootnoteReference"/>
        </w:rPr>
        <w:footnoteReference w:id="4"/>
      </w:r>
      <w:r w:rsidR="000119D1">
        <w:t xml:space="preserve"> </w:t>
      </w:r>
      <w:r>
        <w:t>But the aggregate theory</w:t>
      </w:r>
      <w:r w:rsidR="008309C9">
        <w:t>, which</w:t>
      </w:r>
      <w:r>
        <w:t xml:space="preserve"> still appl</w:t>
      </w:r>
      <w:r w:rsidR="00A813D7">
        <w:t>ies</w:t>
      </w:r>
      <w:r>
        <w:t xml:space="preserve"> to </w:t>
      </w:r>
      <w:r w:rsidR="00A32D75">
        <w:t xml:space="preserve">certain aspects of </w:t>
      </w:r>
      <w:r>
        <w:t>the general economic relationship between partners</w:t>
      </w:r>
      <w:r w:rsidR="008309C9">
        <w:t>,</w:t>
      </w:r>
      <w:r w:rsidR="00467683">
        <w:t xml:space="preserve"> </w:t>
      </w:r>
      <w:r w:rsidR="008309C9">
        <w:t>is</w:t>
      </w:r>
      <w:r w:rsidR="00467683">
        <w:t xml:space="preserve"> reflected in the </w:t>
      </w:r>
      <w:r>
        <w:t xml:space="preserve">pass-through system created by </w:t>
      </w:r>
      <w:r w:rsidR="00CF49AC">
        <w:t>Subchapter K</w:t>
      </w:r>
      <w:r w:rsidR="00A07FB5">
        <w:t xml:space="preserve"> for taxing partnership income generally</w:t>
      </w:r>
      <w:r w:rsidR="00467683">
        <w:t>.</w:t>
      </w:r>
      <w:r>
        <w:t xml:space="preserve"> </w:t>
      </w:r>
    </w:p>
    <w:p w14:paraId="6E95206F" w14:textId="31B4FA4B" w:rsidR="00F20F9F" w:rsidRDefault="00800ABE" w:rsidP="00DB4852">
      <w:pPr>
        <w:spacing w:after="120"/>
      </w:pPr>
      <w:r>
        <w:t>R</w:t>
      </w:r>
      <w:r w:rsidR="00CF521F">
        <w:t xml:space="preserve">ules that are employed to carry out this aggregate approach </w:t>
      </w:r>
      <w:r>
        <w:t>can be</w:t>
      </w:r>
      <w:r w:rsidR="00CF521F">
        <w:t xml:space="preserve"> summarized</w:t>
      </w:r>
      <w:r w:rsidR="00F77AE0">
        <w:t xml:space="preserve"> in very general terms</w:t>
      </w:r>
      <w:r w:rsidR="00CF521F">
        <w:t xml:space="preserve">: </w:t>
      </w:r>
    </w:p>
    <w:p w14:paraId="447BCF12" w14:textId="68B1D9F9" w:rsidR="00F01D2B" w:rsidRDefault="00F01D2B" w:rsidP="005F7F13">
      <w:pPr>
        <w:pStyle w:val="ListParagraph"/>
        <w:numPr>
          <w:ilvl w:val="0"/>
          <w:numId w:val="3"/>
        </w:numPr>
        <w:spacing w:after="100"/>
        <w:ind w:left="288" w:hanging="144"/>
        <w:contextualSpacing w:val="0"/>
      </w:pPr>
      <w:r w:rsidRPr="00CB3D23">
        <w:rPr>
          <w:u w:val="single"/>
        </w:rPr>
        <w:t>Transfers by Partners to Partnership—Nonrecognition</w:t>
      </w:r>
      <w:r>
        <w:t xml:space="preserve">: </w:t>
      </w:r>
    </w:p>
    <w:p w14:paraId="7E97B179" w14:textId="11D643D2" w:rsidR="00794104" w:rsidRDefault="00794104" w:rsidP="005F7F13">
      <w:pPr>
        <w:pStyle w:val="ListParagraph"/>
        <w:numPr>
          <w:ilvl w:val="1"/>
          <w:numId w:val="3"/>
        </w:numPr>
        <w:spacing w:after="100"/>
        <w:ind w:left="720" w:hanging="288"/>
        <w:contextualSpacing w:val="0"/>
      </w:pPr>
      <w:r>
        <w:t>M</w:t>
      </w:r>
      <w:r w:rsidR="0058786D">
        <w:t xml:space="preserve">oney, assets, or services </w:t>
      </w:r>
      <w:r>
        <w:t xml:space="preserve">transferred by </w:t>
      </w:r>
      <w:r w:rsidR="0002306C">
        <w:t>a partner to</w:t>
      </w:r>
      <w:r w:rsidR="0058786D">
        <w:t xml:space="preserve"> </w:t>
      </w:r>
      <w:r w:rsidR="00F01D2B">
        <w:t>the</w:t>
      </w:r>
      <w:r w:rsidR="0058786D">
        <w:t xml:space="preserve"> </w:t>
      </w:r>
      <w:r w:rsidR="0002306C">
        <w:t xml:space="preserve">partnership </w:t>
      </w:r>
      <w:r w:rsidR="004F31AE">
        <w:t>are</w:t>
      </w:r>
      <w:r w:rsidR="0058786D">
        <w:t xml:space="preserve"> </w:t>
      </w:r>
      <w:r>
        <w:t>contribution</w:t>
      </w:r>
      <w:r w:rsidR="004F31AE">
        <w:t>s</w:t>
      </w:r>
      <w:r>
        <w:t>;</w:t>
      </w:r>
    </w:p>
    <w:p w14:paraId="42C63004" w14:textId="1D2016E4" w:rsidR="0058786D" w:rsidRDefault="00794104" w:rsidP="005F7F13">
      <w:pPr>
        <w:pStyle w:val="ListParagraph"/>
        <w:numPr>
          <w:ilvl w:val="1"/>
          <w:numId w:val="3"/>
        </w:numPr>
        <w:spacing w:after="100"/>
        <w:ind w:left="720" w:hanging="288"/>
        <w:contextualSpacing w:val="0"/>
      </w:pPr>
      <w:r>
        <w:t xml:space="preserve">Contributions are generally </w:t>
      </w:r>
      <w:r w:rsidR="0058786D">
        <w:t>nonrecognition event</w:t>
      </w:r>
      <w:r>
        <w:t>s,</w:t>
      </w:r>
      <w:r w:rsidR="0058786D">
        <w:t xml:space="preserve"> except services exchanged for a capital interest</w:t>
      </w:r>
      <w:r w:rsidR="00DB3E8C">
        <w:t xml:space="preserve"> (IRC § 721)</w:t>
      </w:r>
      <w:r w:rsidR="0058786D">
        <w:t>;</w:t>
      </w:r>
      <w:r w:rsidR="00F01D2B">
        <w:t xml:space="preserve"> and</w:t>
      </w:r>
    </w:p>
    <w:p w14:paraId="7A93C023" w14:textId="1D78CBDD" w:rsidR="0002306C" w:rsidRDefault="00794104" w:rsidP="005F7F13">
      <w:pPr>
        <w:pStyle w:val="ListParagraph"/>
        <w:numPr>
          <w:ilvl w:val="1"/>
          <w:numId w:val="3"/>
        </w:numPr>
        <w:spacing w:after="100"/>
        <w:ind w:left="720" w:hanging="288"/>
        <w:contextualSpacing w:val="0"/>
      </w:pPr>
      <w:r>
        <w:t>Contributions</w:t>
      </w:r>
      <w:r w:rsidR="0002306C">
        <w:t xml:space="preserve"> increase </w:t>
      </w:r>
      <w:r>
        <w:t xml:space="preserve">a partner’s </w:t>
      </w:r>
      <w:r w:rsidR="009E5944">
        <w:t xml:space="preserve">capital account </w:t>
      </w:r>
      <w:r w:rsidR="008779BF">
        <w:t>and tax</w:t>
      </w:r>
      <w:r w:rsidR="009E5944">
        <w:t xml:space="preserve"> </w:t>
      </w:r>
      <w:r w:rsidR="0002306C">
        <w:t xml:space="preserve">basis </w:t>
      </w:r>
      <w:r w:rsidR="008779BF">
        <w:t xml:space="preserve">in her </w:t>
      </w:r>
      <w:r w:rsidR="0002306C">
        <w:t xml:space="preserve">partnership interest </w:t>
      </w:r>
      <w:r w:rsidR="00DB3E8C">
        <w:t xml:space="preserve">or </w:t>
      </w:r>
      <w:r w:rsidR="0002306C">
        <w:t>“outside basis”</w:t>
      </w:r>
      <w:r w:rsidR="00DB3E8C">
        <w:t xml:space="preserve"> (IRC § 722)</w:t>
      </w:r>
      <w:r w:rsidR="00F01D2B">
        <w:t>.</w:t>
      </w:r>
    </w:p>
    <w:p w14:paraId="36B3CEF0" w14:textId="5E4472F5" w:rsidR="00F01D2B" w:rsidRDefault="00210929" w:rsidP="005F7F13">
      <w:pPr>
        <w:pStyle w:val="ListParagraph"/>
        <w:numPr>
          <w:ilvl w:val="0"/>
          <w:numId w:val="3"/>
        </w:numPr>
        <w:spacing w:before="120" w:after="100"/>
        <w:ind w:left="288" w:hanging="144"/>
        <w:contextualSpacing w:val="0"/>
      </w:pPr>
      <w:r w:rsidRPr="00CB3D23">
        <w:rPr>
          <w:u w:val="single"/>
        </w:rPr>
        <w:t>Partners Report and Pay Tax on Shares of Partnership Items</w:t>
      </w:r>
      <w:r w:rsidR="00CB3D23">
        <w:rPr>
          <w:u w:val="single"/>
        </w:rPr>
        <w:t xml:space="preserve"> Each Year</w:t>
      </w:r>
      <w:r w:rsidR="00F01D2B">
        <w:t xml:space="preserve">: </w:t>
      </w:r>
    </w:p>
    <w:p w14:paraId="3D84A7A6" w14:textId="77777777" w:rsidR="008779BF" w:rsidRDefault="00DE37E7" w:rsidP="005F7F13">
      <w:pPr>
        <w:pStyle w:val="ListParagraph"/>
        <w:numPr>
          <w:ilvl w:val="1"/>
          <w:numId w:val="3"/>
        </w:numPr>
        <w:spacing w:after="100"/>
        <w:ind w:left="720" w:hanging="288"/>
        <w:contextualSpacing w:val="0"/>
      </w:pPr>
      <w:r>
        <w:t>The partners divide p</w:t>
      </w:r>
      <w:r w:rsidR="0002306C">
        <w:t xml:space="preserve">artnership items of income, expense, gain, </w:t>
      </w:r>
      <w:r>
        <w:t>and</w:t>
      </w:r>
      <w:r w:rsidR="0002306C">
        <w:t xml:space="preserve"> loss </w:t>
      </w:r>
      <w:r w:rsidR="00DB3E8C">
        <w:t>(IRC § 704);</w:t>
      </w:r>
      <w:r w:rsidR="00F01D2B">
        <w:t xml:space="preserve"> </w:t>
      </w:r>
    </w:p>
    <w:p w14:paraId="0B45EA88" w14:textId="77777777" w:rsidR="00A726DE" w:rsidRDefault="008779BF" w:rsidP="005F7F13">
      <w:pPr>
        <w:pStyle w:val="ListParagraph"/>
        <w:numPr>
          <w:ilvl w:val="1"/>
          <w:numId w:val="3"/>
        </w:numPr>
        <w:spacing w:after="100"/>
        <w:ind w:left="720" w:hanging="288"/>
        <w:contextualSpacing w:val="0"/>
      </w:pPr>
      <w:r>
        <w:t xml:space="preserve">The partners report their shares of these items on their own tax returns (IRC § 702); </w:t>
      </w:r>
    </w:p>
    <w:p w14:paraId="67C0C382" w14:textId="7BAFE864" w:rsidR="008779BF" w:rsidRDefault="00A726DE" w:rsidP="005F7F13">
      <w:pPr>
        <w:pStyle w:val="ListParagraph"/>
        <w:numPr>
          <w:ilvl w:val="1"/>
          <w:numId w:val="3"/>
        </w:numPr>
        <w:spacing w:after="100"/>
        <w:ind w:left="720" w:hanging="288"/>
        <w:contextualSpacing w:val="0"/>
      </w:pPr>
      <w:r>
        <w:t xml:space="preserve">The items retain their character under the substantive tax rules (IRC § 703), </w:t>
      </w:r>
      <w:r w:rsidR="008779BF">
        <w:t>and</w:t>
      </w:r>
      <w:r>
        <w:t>;</w:t>
      </w:r>
    </w:p>
    <w:p w14:paraId="33E79D4E" w14:textId="25206B4A" w:rsidR="0002306C" w:rsidRDefault="0002306C" w:rsidP="005F7F13">
      <w:pPr>
        <w:pStyle w:val="ListParagraph"/>
        <w:numPr>
          <w:ilvl w:val="1"/>
          <w:numId w:val="3"/>
        </w:numPr>
        <w:spacing w:after="100"/>
        <w:ind w:left="720" w:hanging="288"/>
        <w:contextualSpacing w:val="0"/>
      </w:pPr>
      <w:r>
        <w:t xml:space="preserve">These items also affect </w:t>
      </w:r>
      <w:r w:rsidR="009E5944">
        <w:t xml:space="preserve">capital accounts and </w:t>
      </w:r>
      <w:r>
        <w:t>outside basis</w:t>
      </w:r>
      <w:r w:rsidR="00DB3E8C">
        <w:t xml:space="preserve"> (IRC § 705)</w:t>
      </w:r>
      <w:r w:rsidR="00F01D2B">
        <w:t>.</w:t>
      </w:r>
    </w:p>
    <w:p w14:paraId="4B769D06" w14:textId="4C7E783A" w:rsidR="00F01D2B" w:rsidRDefault="0062767F" w:rsidP="005F7F13">
      <w:pPr>
        <w:pStyle w:val="ListParagraph"/>
        <w:numPr>
          <w:ilvl w:val="0"/>
          <w:numId w:val="3"/>
        </w:numPr>
        <w:spacing w:before="120" w:after="100"/>
        <w:ind w:left="288" w:hanging="144"/>
        <w:contextualSpacing w:val="0"/>
      </w:pPr>
      <w:r>
        <w:rPr>
          <w:u w:val="single"/>
        </w:rPr>
        <w:t>Payments</w:t>
      </w:r>
      <w:r w:rsidR="00F01D2B" w:rsidRPr="00CB3D23">
        <w:rPr>
          <w:u w:val="single"/>
        </w:rPr>
        <w:t xml:space="preserve"> by Partnership to Partners—Nonrecognition</w:t>
      </w:r>
      <w:r w:rsidR="00F01D2B">
        <w:t xml:space="preserve">: </w:t>
      </w:r>
    </w:p>
    <w:p w14:paraId="7A836959" w14:textId="02FB057D" w:rsidR="00794104" w:rsidRDefault="00794104" w:rsidP="005F7F13">
      <w:pPr>
        <w:pStyle w:val="ListParagraph"/>
        <w:numPr>
          <w:ilvl w:val="1"/>
          <w:numId w:val="3"/>
        </w:numPr>
        <w:spacing w:after="100"/>
        <w:ind w:left="720" w:hanging="288"/>
        <w:contextualSpacing w:val="0"/>
      </w:pPr>
      <w:r>
        <w:t>M</w:t>
      </w:r>
      <w:r w:rsidR="0002306C">
        <w:t xml:space="preserve">oney or assets </w:t>
      </w:r>
      <w:r>
        <w:t xml:space="preserve">transferred from </w:t>
      </w:r>
      <w:r w:rsidR="0002306C">
        <w:t xml:space="preserve">the partnership to </w:t>
      </w:r>
      <w:r>
        <w:t xml:space="preserve">a partner </w:t>
      </w:r>
      <w:r w:rsidR="004F31AE">
        <w:t>are</w:t>
      </w:r>
      <w:r>
        <w:t xml:space="preserve"> distribution</w:t>
      </w:r>
      <w:r w:rsidR="004F31AE">
        <w:t>s</w:t>
      </w:r>
      <w:r>
        <w:t>;</w:t>
      </w:r>
    </w:p>
    <w:p w14:paraId="6F567356" w14:textId="74448576" w:rsidR="00AD424C" w:rsidRDefault="00794104" w:rsidP="005F7F13">
      <w:pPr>
        <w:pStyle w:val="ListParagraph"/>
        <w:numPr>
          <w:ilvl w:val="1"/>
          <w:numId w:val="3"/>
        </w:numPr>
        <w:spacing w:after="100"/>
        <w:ind w:left="720" w:hanging="288"/>
        <w:contextualSpacing w:val="0"/>
      </w:pPr>
      <w:r>
        <w:t>Distributions are generally non-recognition events</w:t>
      </w:r>
      <w:r w:rsidR="00210929">
        <w:t xml:space="preserve">, unless they exceed basis (gains), or </w:t>
      </w:r>
      <w:r w:rsidR="00DB3E8C">
        <w:t xml:space="preserve">are liquidating distributions </w:t>
      </w:r>
      <w:r w:rsidR="00210929">
        <w:t xml:space="preserve">less than basis (losses), </w:t>
      </w:r>
      <w:r w:rsidR="00DB3E8C">
        <w:t xml:space="preserve">or </w:t>
      </w:r>
      <w:r w:rsidR="008779BF">
        <w:t xml:space="preserve">when </w:t>
      </w:r>
      <w:r w:rsidR="00DB3E8C">
        <w:t>other anti-abuse rules apply (</w:t>
      </w:r>
      <w:r w:rsidR="008779BF">
        <w:t xml:space="preserve">See </w:t>
      </w:r>
      <w:r w:rsidR="00DB3E8C">
        <w:t>IRC §§ 731</w:t>
      </w:r>
      <w:r w:rsidR="00210929">
        <w:t>, 741,</w:t>
      </w:r>
      <w:r w:rsidR="00DB3E8C">
        <w:t xml:space="preserve"> and 737)</w:t>
      </w:r>
      <w:r>
        <w:t xml:space="preserve">; </w:t>
      </w:r>
    </w:p>
    <w:p w14:paraId="1918D7EE" w14:textId="0D526A7D" w:rsidR="00794104" w:rsidRDefault="00210929" w:rsidP="005F7F13">
      <w:pPr>
        <w:pStyle w:val="ListParagraph"/>
        <w:numPr>
          <w:ilvl w:val="1"/>
          <w:numId w:val="3"/>
        </w:numPr>
        <w:spacing w:after="100"/>
        <w:ind w:left="720" w:hanging="288"/>
        <w:contextualSpacing w:val="0"/>
      </w:pPr>
      <w:r>
        <w:t xml:space="preserve">If gain or loss is realized on distributions, it is generally treated </w:t>
      </w:r>
      <w:r w:rsidR="00613FF9">
        <w:t>the same as the sale of a partnership interest</w:t>
      </w:r>
      <w:r w:rsidR="00AD424C">
        <w:t xml:space="preserve"> (IRC </w:t>
      </w:r>
      <w:r w:rsidR="00613FF9">
        <w:t xml:space="preserve">§ 731); </w:t>
      </w:r>
      <w:r w:rsidR="00794104">
        <w:t>and</w:t>
      </w:r>
    </w:p>
    <w:p w14:paraId="41883BDF" w14:textId="01674722" w:rsidR="00AA6241" w:rsidRDefault="00794104" w:rsidP="005F7F13">
      <w:pPr>
        <w:pStyle w:val="ListParagraph"/>
        <w:numPr>
          <w:ilvl w:val="1"/>
          <w:numId w:val="3"/>
        </w:numPr>
        <w:spacing w:after="100"/>
        <w:ind w:left="720" w:hanging="288"/>
        <w:contextualSpacing w:val="0"/>
      </w:pPr>
      <w:r>
        <w:t xml:space="preserve">Distributions decrease a partner’s </w:t>
      </w:r>
      <w:r w:rsidR="009E5944">
        <w:t xml:space="preserve">capital account and </w:t>
      </w:r>
      <w:r>
        <w:t>outside basis</w:t>
      </w:r>
      <w:r w:rsidR="00DB3E8C">
        <w:t xml:space="preserve"> (IRC § 733)</w:t>
      </w:r>
      <w:r>
        <w:t xml:space="preserve">. </w:t>
      </w:r>
    </w:p>
    <w:p w14:paraId="725534C2" w14:textId="77777777" w:rsidR="00F429A2" w:rsidRDefault="00F429A2" w:rsidP="005F7F13">
      <w:pPr>
        <w:pStyle w:val="ListParagraph"/>
        <w:numPr>
          <w:ilvl w:val="0"/>
          <w:numId w:val="3"/>
        </w:numPr>
        <w:spacing w:before="120" w:after="100"/>
        <w:ind w:left="288" w:hanging="144"/>
        <w:contextualSpacing w:val="0"/>
      </w:pPr>
      <w:r w:rsidRPr="00F429A2">
        <w:rPr>
          <w:u w:val="single"/>
        </w:rPr>
        <w:t>Reporting</w:t>
      </w:r>
      <w:r>
        <w:t>:</w:t>
      </w:r>
    </w:p>
    <w:p w14:paraId="012834B4" w14:textId="46B3F47A" w:rsidR="00F429A2" w:rsidRDefault="00F429A2" w:rsidP="005F7F13">
      <w:pPr>
        <w:pStyle w:val="ListParagraph"/>
        <w:numPr>
          <w:ilvl w:val="1"/>
          <w:numId w:val="3"/>
        </w:numPr>
        <w:spacing w:after="100"/>
        <w:ind w:left="720" w:hanging="288"/>
        <w:contextualSpacing w:val="0"/>
      </w:pPr>
      <w:r>
        <w:t>The partnership will report –</w:t>
      </w:r>
    </w:p>
    <w:p w14:paraId="2F948F2C" w14:textId="7CBD9D01" w:rsidR="00F429A2" w:rsidRDefault="00F429A2" w:rsidP="005F7F13">
      <w:pPr>
        <w:pStyle w:val="ListParagraph"/>
        <w:numPr>
          <w:ilvl w:val="2"/>
          <w:numId w:val="3"/>
        </w:numPr>
        <w:spacing w:after="100"/>
        <w:ind w:left="1224"/>
        <w:contextualSpacing w:val="0"/>
      </w:pPr>
      <w:r>
        <w:t>Partnership net income (loss) each year on the IRS Form 1065;</w:t>
      </w:r>
    </w:p>
    <w:p w14:paraId="31B5F97F" w14:textId="7502F79D" w:rsidR="00F429A2" w:rsidRDefault="00F429A2" w:rsidP="005F7F13">
      <w:pPr>
        <w:pStyle w:val="ListParagraph"/>
        <w:numPr>
          <w:ilvl w:val="2"/>
          <w:numId w:val="3"/>
        </w:numPr>
        <w:spacing w:after="100"/>
        <w:ind w:left="1224"/>
        <w:contextualSpacing w:val="0"/>
      </w:pPr>
      <w:r>
        <w:t>Partnership items allocated to partners on Schedule K;</w:t>
      </w:r>
    </w:p>
    <w:p w14:paraId="72636BB5" w14:textId="48E1445F" w:rsidR="00F429A2" w:rsidRDefault="00F429A2" w:rsidP="005F7F13">
      <w:pPr>
        <w:pStyle w:val="ListParagraph"/>
        <w:numPr>
          <w:ilvl w:val="2"/>
          <w:numId w:val="3"/>
        </w:numPr>
        <w:spacing w:after="100"/>
        <w:ind w:left="1224"/>
        <w:contextualSpacing w:val="0"/>
      </w:pPr>
      <w:r>
        <w:t>Book income and assets on Schedules L and M;</w:t>
      </w:r>
      <w:r w:rsidR="00F77AE0">
        <w:t xml:space="preserve"> and</w:t>
      </w:r>
    </w:p>
    <w:p w14:paraId="5BA265E3" w14:textId="752003CE" w:rsidR="00F429A2" w:rsidRDefault="00F77AE0" w:rsidP="005F7F13">
      <w:pPr>
        <w:pStyle w:val="ListParagraph"/>
        <w:numPr>
          <w:ilvl w:val="2"/>
          <w:numId w:val="3"/>
        </w:numPr>
        <w:spacing w:after="100"/>
        <w:ind w:left="1224"/>
        <w:contextualSpacing w:val="0"/>
      </w:pPr>
      <w:r>
        <w:t>Each partners distributive share and capital account balances on Schedule K-1.</w:t>
      </w:r>
    </w:p>
    <w:p w14:paraId="2063881F" w14:textId="650864D9" w:rsidR="00F77AE0" w:rsidRDefault="00F429A2" w:rsidP="005F7F13">
      <w:pPr>
        <w:pStyle w:val="ListParagraph"/>
        <w:numPr>
          <w:ilvl w:val="1"/>
          <w:numId w:val="3"/>
        </w:numPr>
        <w:spacing w:after="100"/>
        <w:ind w:left="720" w:hanging="288"/>
        <w:contextualSpacing w:val="0"/>
      </w:pPr>
      <w:r>
        <w:t>T</w:t>
      </w:r>
      <w:r w:rsidR="00F77AE0">
        <w:t>he partners will report –</w:t>
      </w:r>
    </w:p>
    <w:p w14:paraId="4E23C0D9" w14:textId="77777777" w:rsidR="00F77AE0" w:rsidRDefault="00F77AE0" w:rsidP="005F7F13">
      <w:pPr>
        <w:pStyle w:val="ListParagraph"/>
        <w:numPr>
          <w:ilvl w:val="2"/>
          <w:numId w:val="3"/>
        </w:numPr>
        <w:spacing w:after="100"/>
        <w:ind w:left="1224"/>
        <w:contextualSpacing w:val="0"/>
      </w:pPr>
      <w:r>
        <w:t>Distributive share income as reported to them on Schedule K-1; and</w:t>
      </w:r>
    </w:p>
    <w:p w14:paraId="41BD4D6A" w14:textId="2920DF37" w:rsidR="00F429A2" w:rsidRDefault="00F77AE0" w:rsidP="005F7F13">
      <w:pPr>
        <w:pStyle w:val="ListParagraph"/>
        <w:numPr>
          <w:ilvl w:val="2"/>
          <w:numId w:val="3"/>
        </w:numPr>
        <w:spacing w:after="20"/>
        <w:ind w:left="1224"/>
        <w:contextualSpacing w:val="0"/>
      </w:pPr>
      <w:r>
        <w:t xml:space="preserve">Gain/loss, if recognized, on distributions. </w:t>
      </w:r>
      <w:r w:rsidR="00F429A2">
        <w:t xml:space="preserve"> </w:t>
      </w:r>
    </w:p>
    <w:p w14:paraId="18CE9479" w14:textId="77777777" w:rsidR="00DF3B47" w:rsidRDefault="00DF3B47" w:rsidP="00DF3B47">
      <w:pPr>
        <w:spacing w:after="20"/>
      </w:pPr>
    </w:p>
    <w:p w14:paraId="6CF7A553" w14:textId="505D0E32" w:rsidR="00DF3B47" w:rsidRDefault="00DF3B47" w:rsidP="00DF3B47">
      <w:pPr>
        <w:spacing w:after="20"/>
      </w:pPr>
      <w:r>
        <w:t xml:space="preserve">In light of these general rules, </w:t>
      </w:r>
      <w:r w:rsidR="00935505">
        <w:t>federal tax treatment of distributive share/distributions most closely tracks th</w:t>
      </w:r>
      <w:r w:rsidR="0025419A">
        <w:t>e</w:t>
      </w:r>
      <w:r w:rsidR="00935505">
        <w:t xml:space="preserve"> aggregate </w:t>
      </w:r>
      <w:r w:rsidR="00C55D2D">
        <w:t>theory of partnerships</w:t>
      </w:r>
      <w:r w:rsidR="00935505">
        <w:t xml:space="preserve">. </w:t>
      </w:r>
      <w:r w:rsidR="00C55D2D">
        <w:t>Tax is not imposed on the entity</w:t>
      </w:r>
      <w:r w:rsidR="00787918">
        <w:t xml:space="preserve">. </w:t>
      </w:r>
      <w:r w:rsidR="00C55D2D">
        <w:t>Instead, partnership</w:t>
      </w:r>
      <w:r w:rsidR="00787918">
        <w:t xml:space="preserve"> items of income</w:t>
      </w:r>
      <w:r w:rsidR="00E7792D">
        <w:t>,</w:t>
      </w:r>
      <w:r w:rsidR="00787918">
        <w:t xml:space="preserve"> expense, gain, </w:t>
      </w:r>
      <w:r w:rsidR="00E7792D">
        <w:t xml:space="preserve">and loss are attributed to the partners according to their agreement and are taxed to the partners. </w:t>
      </w:r>
      <w:r w:rsidR="00C55D2D">
        <w:t>And d</w:t>
      </w:r>
      <w:r w:rsidR="00E7792D">
        <w:t>istributions are not taxed to the extent the</w:t>
      </w:r>
      <w:r w:rsidR="009362F1">
        <w:t xml:space="preserve">y represent a return of </w:t>
      </w:r>
      <w:r w:rsidR="00A07FB5">
        <w:t xml:space="preserve">either </w:t>
      </w:r>
      <w:r w:rsidR="009362F1">
        <w:t xml:space="preserve">contributions or </w:t>
      </w:r>
      <w:r w:rsidR="00A41450">
        <w:t>income that has already been reported for tax purposes.</w:t>
      </w:r>
    </w:p>
    <w:p w14:paraId="3938245B" w14:textId="48F3A390" w:rsidR="0058786D" w:rsidRDefault="00BA5DB4" w:rsidP="00261755">
      <w:pPr>
        <w:pStyle w:val="Heading3"/>
      </w:pPr>
      <w:bookmarkStart w:id="27" w:name="_Toc153291146"/>
      <w:r w:rsidRPr="00276A4D">
        <w:lastRenderedPageBreak/>
        <w:t>Partner-Partnership Transactions</w:t>
      </w:r>
      <w:r w:rsidR="00AD20F3">
        <w:t xml:space="preserve"> – Entity Theory</w:t>
      </w:r>
      <w:bookmarkEnd w:id="27"/>
    </w:p>
    <w:p w14:paraId="7D41019C" w14:textId="77777777" w:rsidR="00384255" w:rsidRDefault="00261755" w:rsidP="0049197B">
      <w:pPr>
        <w:spacing w:after="120"/>
      </w:pPr>
      <w:r>
        <w:t>Partnerships</w:t>
      </w:r>
      <w:r w:rsidR="005D2C3C">
        <w:t xml:space="preserve"> may </w:t>
      </w:r>
      <w:r>
        <w:t>sometimes</w:t>
      </w:r>
      <w:r w:rsidR="005D2C3C">
        <w:t xml:space="preserve"> act as separate entities</w:t>
      </w:r>
      <w:r>
        <w:t xml:space="preserve"> with respect to</w:t>
      </w:r>
      <w:r w:rsidR="005D2C3C">
        <w:t xml:space="preserve"> the partners. </w:t>
      </w:r>
      <w:r>
        <w:t>W</w:t>
      </w:r>
      <w:r w:rsidR="008C02BF">
        <w:t>hen</w:t>
      </w:r>
      <w:r w:rsidR="0093700B">
        <w:t xml:space="preserve"> </w:t>
      </w:r>
      <w:r w:rsidR="00ED11C0">
        <w:t>a</w:t>
      </w:r>
      <w:r w:rsidR="00384255">
        <w:t>ny</w:t>
      </w:r>
      <w:r w:rsidR="0093700B">
        <w:t xml:space="preserve"> transfer between </w:t>
      </w:r>
      <w:r w:rsidR="00ED11C0">
        <w:t>a</w:t>
      </w:r>
      <w:r w:rsidR="0093700B">
        <w:t xml:space="preserve"> partnership and </w:t>
      </w:r>
      <w:r w:rsidR="00ED11C0">
        <w:t>a</w:t>
      </w:r>
      <w:r w:rsidR="0093700B">
        <w:t xml:space="preserve"> partner </w:t>
      </w:r>
      <w:r w:rsidR="00ED11C0">
        <w:t>is</w:t>
      </w:r>
      <w:r w:rsidR="0093700B">
        <w:t xml:space="preserve">, in substance, </w:t>
      </w:r>
      <w:r w:rsidR="00ED11C0">
        <w:t xml:space="preserve">a </w:t>
      </w:r>
      <w:r w:rsidR="008C02BF">
        <w:t>transaction</w:t>
      </w:r>
      <w:r w:rsidR="0093700B">
        <w:t xml:space="preserve"> similar to </w:t>
      </w:r>
      <w:r w:rsidR="00ED11C0">
        <w:t xml:space="preserve">an </w:t>
      </w:r>
      <w:r w:rsidR="0093700B">
        <w:t>exchange between unrelated parties</w:t>
      </w:r>
      <w:r w:rsidR="008C02BF">
        <w:t>, Subchapter K applies the entity theory</w:t>
      </w:r>
      <w:r w:rsidR="0026741B">
        <w:t xml:space="preserve"> </w:t>
      </w:r>
      <w:r w:rsidR="000B1348">
        <w:t xml:space="preserve">so that </w:t>
      </w:r>
      <w:r w:rsidR="00FE7CBD">
        <w:t xml:space="preserve">both </w:t>
      </w:r>
      <w:r w:rsidR="000B1348">
        <w:t>t</w:t>
      </w:r>
      <w:r w:rsidR="0093700B">
        <w:t xml:space="preserve">he partner and partnership </w:t>
      </w:r>
      <w:r w:rsidR="00ED11C0">
        <w:t xml:space="preserve">separately </w:t>
      </w:r>
      <w:r w:rsidR="0093700B">
        <w:t xml:space="preserve">recognize </w:t>
      </w:r>
      <w:r w:rsidR="003C38A8">
        <w:t>an exchange</w:t>
      </w:r>
      <w:r w:rsidR="00FE7CBD">
        <w:t>.</w:t>
      </w:r>
      <w:r w:rsidR="0049197B">
        <w:t xml:space="preserve"> </w:t>
      </w:r>
    </w:p>
    <w:p w14:paraId="4B131AB2" w14:textId="6FC2C042" w:rsidR="0093700B" w:rsidRDefault="00FE7CBD" w:rsidP="0049197B">
      <w:pPr>
        <w:spacing w:after="120"/>
      </w:pPr>
      <w:r>
        <w:t>T</w:t>
      </w:r>
      <w:r w:rsidR="0093700B">
        <w:t xml:space="preserve">he following general rules would </w:t>
      </w:r>
      <w:r w:rsidR="007B2D76">
        <w:t xml:space="preserve">apply whenever a </w:t>
      </w:r>
      <w:r w:rsidR="009C1405">
        <w:t>“</w:t>
      </w:r>
      <w:r w:rsidR="009C1405" w:rsidRPr="009C1405">
        <w:t>partner engages in a transaction with a partnership other than in his capacity as a member of such partnership</w:t>
      </w:r>
      <w:r w:rsidR="009C1405">
        <w:t>”</w:t>
      </w:r>
      <w:r w:rsidR="00217866">
        <w:t xml:space="preserve"> (see IRC § 707(a))</w:t>
      </w:r>
      <w:r w:rsidR="0093700B">
        <w:t>:</w:t>
      </w:r>
    </w:p>
    <w:p w14:paraId="1E5E58F5" w14:textId="7D1BC28F" w:rsidR="00F01D2B" w:rsidRDefault="00036C63" w:rsidP="005F7F13">
      <w:pPr>
        <w:pStyle w:val="ListParagraph"/>
        <w:numPr>
          <w:ilvl w:val="0"/>
          <w:numId w:val="4"/>
        </w:numPr>
        <w:spacing w:after="100"/>
        <w:ind w:left="504"/>
        <w:contextualSpacing w:val="0"/>
      </w:pPr>
      <w:r w:rsidRPr="00036C63">
        <w:rPr>
          <w:u w:val="single"/>
        </w:rPr>
        <w:t>Transfers of Property or Services from Partner to Partnership - Recognition</w:t>
      </w:r>
      <w:r w:rsidR="00F01D2B">
        <w:t xml:space="preserve">: </w:t>
      </w:r>
    </w:p>
    <w:p w14:paraId="703975DC" w14:textId="328FBA8D" w:rsidR="00036C63" w:rsidRDefault="00036C63" w:rsidP="005F7F13">
      <w:pPr>
        <w:pStyle w:val="ListParagraph"/>
        <w:numPr>
          <w:ilvl w:val="1"/>
          <w:numId w:val="4"/>
        </w:numPr>
        <w:spacing w:after="100"/>
        <w:ind w:left="792"/>
        <w:contextualSpacing w:val="0"/>
      </w:pPr>
      <w:r>
        <w:t xml:space="preserve">The transfer will be treated as an exchange between separate persons (IRC § 707(a)); </w:t>
      </w:r>
    </w:p>
    <w:p w14:paraId="09D13336" w14:textId="60B923D9" w:rsidR="00036C63" w:rsidRDefault="0060535E" w:rsidP="005F7F13">
      <w:pPr>
        <w:pStyle w:val="ListParagraph"/>
        <w:numPr>
          <w:ilvl w:val="1"/>
          <w:numId w:val="4"/>
        </w:numPr>
        <w:spacing w:after="100"/>
        <w:ind w:left="792"/>
        <w:contextualSpacing w:val="0"/>
      </w:pPr>
      <w:r>
        <w:t>The t</w:t>
      </w:r>
      <w:r w:rsidR="00036C63">
        <w:t>ransferring partner will recognize a taxable event</w:t>
      </w:r>
      <w:r w:rsidR="003C38A8">
        <w:t xml:space="preserve"> </w:t>
      </w:r>
      <w:r w:rsidR="00036C63">
        <w:t>under federal substantive tax rules—as either income, gain, or loss;</w:t>
      </w:r>
    </w:p>
    <w:p w14:paraId="672C4E1B" w14:textId="5D006A98" w:rsidR="004D3DD1" w:rsidRDefault="00036C63" w:rsidP="005F7F13">
      <w:pPr>
        <w:pStyle w:val="ListParagraph"/>
        <w:numPr>
          <w:ilvl w:val="1"/>
          <w:numId w:val="4"/>
        </w:numPr>
        <w:spacing w:after="100"/>
        <w:ind w:left="792"/>
        <w:contextualSpacing w:val="0"/>
      </w:pPr>
      <w:r>
        <w:t>The transferring partner’s capital accounts and outside basis will not be directly affected</w:t>
      </w:r>
      <w:r w:rsidR="006763CA">
        <w:t xml:space="preserve"> by the payment. </w:t>
      </w:r>
    </w:p>
    <w:p w14:paraId="496EA935" w14:textId="6821A684" w:rsidR="00036C63" w:rsidRDefault="00036C63" w:rsidP="005F7F13">
      <w:pPr>
        <w:pStyle w:val="ListParagraph"/>
        <w:numPr>
          <w:ilvl w:val="0"/>
          <w:numId w:val="4"/>
        </w:numPr>
        <w:spacing w:after="100"/>
        <w:ind w:left="504"/>
        <w:contextualSpacing w:val="0"/>
      </w:pPr>
      <w:r w:rsidRPr="00036C63">
        <w:rPr>
          <w:u w:val="single"/>
        </w:rPr>
        <w:t>Transfers of Money or Property from Partnership to Partner – Recognition as Partnership Item</w:t>
      </w:r>
      <w:r>
        <w:t>:</w:t>
      </w:r>
    </w:p>
    <w:p w14:paraId="0E4FAFAD" w14:textId="7406211B" w:rsidR="0002306C" w:rsidRDefault="00B46E94" w:rsidP="005F7F13">
      <w:pPr>
        <w:pStyle w:val="ListParagraph"/>
        <w:numPr>
          <w:ilvl w:val="1"/>
          <w:numId w:val="4"/>
        </w:numPr>
        <w:spacing w:after="100"/>
        <w:ind w:left="792"/>
        <w:contextualSpacing w:val="0"/>
      </w:pPr>
      <w:r>
        <w:t>The transfer</w:t>
      </w:r>
      <w:r w:rsidR="0002306C">
        <w:t xml:space="preserve"> </w:t>
      </w:r>
      <w:r w:rsidR="00036C63">
        <w:t xml:space="preserve">is treated as </w:t>
      </w:r>
      <w:r>
        <w:t xml:space="preserve">an exchange </w:t>
      </w:r>
      <w:r w:rsidR="00210929">
        <w:t>between separate persons</w:t>
      </w:r>
      <w:r w:rsidR="004F31AE">
        <w:t xml:space="preserve"> (IRC § 707(a)</w:t>
      </w:r>
      <w:r w:rsidR="00F01D2B">
        <w:t>)</w:t>
      </w:r>
      <w:r w:rsidR="0002306C">
        <w:t>;</w:t>
      </w:r>
      <w:r w:rsidR="00036C63">
        <w:t xml:space="preserve"> </w:t>
      </w:r>
      <w:r w:rsidR="00F01D2B">
        <w:t xml:space="preserve"> </w:t>
      </w:r>
    </w:p>
    <w:p w14:paraId="7AE6112C" w14:textId="279820B2" w:rsidR="0002306C" w:rsidRDefault="006763CA" w:rsidP="005F7F13">
      <w:pPr>
        <w:pStyle w:val="ListParagraph"/>
        <w:numPr>
          <w:ilvl w:val="1"/>
          <w:numId w:val="4"/>
        </w:numPr>
        <w:spacing w:after="100"/>
        <w:ind w:left="792"/>
        <w:contextualSpacing w:val="0"/>
      </w:pPr>
      <w:r>
        <w:t>The p</w:t>
      </w:r>
      <w:r w:rsidR="00036C63">
        <w:t>artnership, as a separate person, will recognize a taxable event under federal substantive tax rules—either expense, gain, loss, or capitalized expenditure;</w:t>
      </w:r>
      <w:r w:rsidR="00B1003F">
        <w:t xml:space="preserve"> and</w:t>
      </w:r>
    </w:p>
    <w:p w14:paraId="137D18AB" w14:textId="51EF4E13" w:rsidR="00036C63" w:rsidRDefault="00036C63" w:rsidP="005F7F13">
      <w:pPr>
        <w:pStyle w:val="ListParagraph"/>
        <w:numPr>
          <w:ilvl w:val="1"/>
          <w:numId w:val="4"/>
        </w:numPr>
        <w:spacing w:after="100"/>
        <w:ind w:left="792"/>
        <w:contextualSpacing w:val="0"/>
      </w:pPr>
      <w:r>
        <w:t>The partnership item of expense, gain, or loss recognized for tax purposes will reduce partnership income</w:t>
      </w:r>
      <w:r w:rsidR="003C38A8">
        <w:t xml:space="preserve"> and </w:t>
      </w:r>
      <w:r>
        <w:t>allocations to the partners as distributive share</w:t>
      </w:r>
      <w:r w:rsidR="00ED11C0">
        <w:t xml:space="preserve"> (See IRC § 70</w:t>
      </w:r>
      <w:r w:rsidR="003C38A8">
        <w:t>3 and 704</w:t>
      </w:r>
      <w:r w:rsidR="00ED11C0">
        <w:t>)</w:t>
      </w:r>
      <w:r w:rsidR="00B1003F">
        <w:t>.</w:t>
      </w:r>
    </w:p>
    <w:p w14:paraId="4D7AF674" w14:textId="46DE0BA4" w:rsidR="00E00659" w:rsidRDefault="00E00659" w:rsidP="005F7F13">
      <w:pPr>
        <w:pStyle w:val="ListParagraph"/>
        <w:numPr>
          <w:ilvl w:val="1"/>
          <w:numId w:val="4"/>
        </w:numPr>
        <w:spacing w:after="100"/>
        <w:ind w:left="792"/>
        <w:contextualSpacing w:val="0"/>
      </w:pPr>
      <w:r>
        <w:t xml:space="preserve">The effect of this partnership expense on the allocation of distributive share to the partner engaged in the transaction is a complicated matter involving the </w:t>
      </w:r>
      <w:r w:rsidR="00260E79">
        <w:t>requirement that this allocation have substantial economic effect. (See IRC § 704(b) and related regulations.)</w:t>
      </w:r>
    </w:p>
    <w:p w14:paraId="47868983" w14:textId="6929DE39" w:rsidR="00F77AE0" w:rsidRDefault="00F77AE0" w:rsidP="005F7F13">
      <w:pPr>
        <w:pStyle w:val="ListParagraph"/>
        <w:numPr>
          <w:ilvl w:val="0"/>
          <w:numId w:val="4"/>
        </w:numPr>
        <w:spacing w:after="100"/>
        <w:ind w:left="504"/>
        <w:contextualSpacing w:val="0"/>
      </w:pPr>
      <w:r w:rsidRPr="00260E79">
        <w:rPr>
          <w:u w:val="single"/>
        </w:rPr>
        <w:t>Reporting</w:t>
      </w:r>
      <w:r>
        <w:t>:</w:t>
      </w:r>
    </w:p>
    <w:p w14:paraId="6A6E493A" w14:textId="6493133B" w:rsidR="00F77AE0" w:rsidRDefault="00F77AE0" w:rsidP="005F7F13">
      <w:pPr>
        <w:pStyle w:val="ListParagraph"/>
        <w:numPr>
          <w:ilvl w:val="1"/>
          <w:numId w:val="4"/>
        </w:numPr>
        <w:spacing w:after="100"/>
        <w:ind w:left="792"/>
        <w:contextualSpacing w:val="0"/>
      </w:pPr>
      <w:r>
        <w:t>The partnership will report expense, gain or loss on the IRS 1065 or capitalized expenditure</w:t>
      </w:r>
      <w:r w:rsidR="003C38A8">
        <w:t>s</w:t>
      </w:r>
      <w:r>
        <w:t xml:space="preserve"> as an asset on Schedule L;</w:t>
      </w:r>
    </w:p>
    <w:p w14:paraId="64FE98BF" w14:textId="7AA2DFC5" w:rsidR="003C38A8" w:rsidRDefault="00F77AE0" w:rsidP="005F7F13">
      <w:pPr>
        <w:pStyle w:val="ListParagraph"/>
        <w:numPr>
          <w:ilvl w:val="1"/>
          <w:numId w:val="4"/>
        </w:numPr>
        <w:spacing w:after="80"/>
        <w:ind w:left="792"/>
        <w:contextualSpacing w:val="0"/>
      </w:pPr>
      <w:r>
        <w:t>The transferring partner will report income, gain, or loss on the partners personal or business tax return, separate from any partnership income.</w:t>
      </w:r>
    </w:p>
    <w:p w14:paraId="5EDFA307" w14:textId="0F8110D2" w:rsidR="001F1812" w:rsidRDefault="00BA5DB4" w:rsidP="00230A1F">
      <w:pPr>
        <w:pStyle w:val="Heading3"/>
      </w:pPr>
      <w:bookmarkStart w:id="28" w:name="_Toc153291147"/>
      <w:r>
        <w:t xml:space="preserve">Guaranteed </w:t>
      </w:r>
      <w:r w:rsidR="001F1812">
        <w:t>Payments</w:t>
      </w:r>
      <w:r w:rsidR="00500209">
        <w:t xml:space="preserve"> </w:t>
      </w:r>
      <w:r w:rsidR="00BB29EF">
        <w:t>– Aggregate or Entity Theory?</w:t>
      </w:r>
      <w:bookmarkEnd w:id="28"/>
      <w:r w:rsidR="001F1812">
        <w:t xml:space="preserve"> </w:t>
      </w:r>
    </w:p>
    <w:p w14:paraId="441D44B6" w14:textId="75EAA715" w:rsidR="00BB29EF" w:rsidRDefault="00B1003F" w:rsidP="001F1812">
      <w:r>
        <w:t xml:space="preserve">It </w:t>
      </w:r>
      <w:r w:rsidR="004E22D5">
        <w:t>might</w:t>
      </w:r>
      <w:r w:rsidR="0054763C">
        <w:t xml:space="preserve"> seem that any </w:t>
      </w:r>
      <w:r w:rsidR="00F709F8">
        <w:t>partnership payments</w:t>
      </w:r>
      <w:r w:rsidR="0054763C">
        <w:t xml:space="preserve"> </w:t>
      </w:r>
      <w:r w:rsidR="00A726DE">
        <w:t xml:space="preserve">will necessarily </w:t>
      </w:r>
      <w:r w:rsidR="0054763C">
        <w:t xml:space="preserve">fall </w:t>
      </w:r>
      <w:r w:rsidR="00A726DE">
        <w:t>within</w:t>
      </w:r>
      <w:r w:rsidR="0054763C">
        <w:t xml:space="preserve"> </w:t>
      </w:r>
      <w:r w:rsidR="00A726DE">
        <w:t xml:space="preserve">either </w:t>
      </w:r>
      <w:r w:rsidR="0054763C">
        <w:t>the aggregate or entity approaches described above</w:t>
      </w:r>
      <w:r w:rsidR="00F24722">
        <w:t xml:space="preserve"> for distributive share/distributions or partner-partnership transactions</w:t>
      </w:r>
      <w:r>
        <w:t xml:space="preserve">. But </w:t>
      </w:r>
      <w:r w:rsidR="004E22D5">
        <w:t xml:space="preserve">partners </w:t>
      </w:r>
      <w:r w:rsidR="00CC11AA">
        <w:t xml:space="preserve">can also act in the capacity of a partner and receive payments </w:t>
      </w:r>
      <w:r w:rsidR="005D01B6">
        <w:t>“</w:t>
      </w:r>
      <w:r w:rsidR="00921D78">
        <w:t>without regard to the income of the partnership</w:t>
      </w:r>
      <w:r w:rsidR="00CC11AA">
        <w:t>,</w:t>
      </w:r>
      <w:r w:rsidR="005D01B6">
        <w:t>”</w:t>
      </w:r>
      <w:r w:rsidR="00465619">
        <w:t xml:space="preserve"> </w:t>
      </w:r>
      <w:r w:rsidR="00217866">
        <w:t xml:space="preserve">(IRC § 707(c)) </w:t>
      </w:r>
      <w:r w:rsidR="00465619">
        <w:t xml:space="preserve">meaning </w:t>
      </w:r>
      <w:r w:rsidR="00CC11AA">
        <w:t>the</w:t>
      </w:r>
      <w:r w:rsidR="006B4B94">
        <w:t xml:space="preserve"> payments</w:t>
      </w:r>
      <w:r w:rsidR="00465619">
        <w:t xml:space="preserve"> are n</w:t>
      </w:r>
      <w:r w:rsidR="001A56F3">
        <w:t>either</w:t>
      </w:r>
      <w:r w:rsidR="00465619">
        <w:t xml:space="preserve"> distributive share/distributions</w:t>
      </w:r>
      <w:r w:rsidR="00AC4EC0">
        <w:t xml:space="preserve"> nor partner-partner</w:t>
      </w:r>
      <w:r w:rsidR="00D07FE8">
        <w:t>ship</w:t>
      </w:r>
      <w:r w:rsidR="00AC4EC0">
        <w:t xml:space="preserve"> transactions</w:t>
      </w:r>
      <w:r w:rsidR="00CC11AA">
        <w:t xml:space="preserve">, </w:t>
      </w:r>
      <w:r w:rsidR="00C0012D">
        <w:t xml:space="preserve">at least as those </w:t>
      </w:r>
      <w:r w:rsidR="000F75B7">
        <w:t>categories are defined and treated under Subchapter K</w:t>
      </w:r>
      <w:r w:rsidR="005D01B6">
        <w:t xml:space="preserve">. </w:t>
      </w:r>
    </w:p>
    <w:p w14:paraId="2EA7491A" w14:textId="0A764AA6" w:rsidR="0054763C" w:rsidRDefault="007766B6" w:rsidP="001F1812">
      <w:r>
        <w:t>For example, p</w:t>
      </w:r>
      <w:r w:rsidR="005A6F5F">
        <w:t>artners are not considered employees of the partnership</w:t>
      </w:r>
      <w:r w:rsidR="00BC5C23">
        <w:t>, a</w:t>
      </w:r>
      <w:r w:rsidR="00BC5C23" w:rsidRPr="00BC5C23">
        <w:t>s discussed further in Section II below</w:t>
      </w:r>
      <w:r w:rsidR="005A6F5F">
        <w:t xml:space="preserve">. </w:t>
      </w:r>
      <w:r w:rsidR="003C34E4">
        <w:t>(</w:t>
      </w:r>
      <w:r w:rsidR="003C34E4" w:rsidRPr="003C34E4">
        <w:t>See. Rev. Rul. 69-184.</w:t>
      </w:r>
      <w:r w:rsidR="003C34E4">
        <w:t xml:space="preserve">) </w:t>
      </w:r>
      <w:r w:rsidR="005A6F5F">
        <w:t>But i</w:t>
      </w:r>
      <w:r w:rsidR="004E22D5">
        <w:t>t has always been common for partners in professional services firms to receive payments</w:t>
      </w:r>
      <w:r w:rsidR="005D2C3C">
        <w:t xml:space="preserve"> not dependent upon partnership income</w:t>
      </w:r>
      <w:r w:rsidR="004E22D5">
        <w:t xml:space="preserve"> for the</w:t>
      </w:r>
      <w:r w:rsidR="005D2C3C">
        <w:t xml:space="preserve"> professional</w:t>
      </w:r>
      <w:r w:rsidR="004E22D5">
        <w:t xml:space="preserve"> services they </w:t>
      </w:r>
      <w:r w:rsidR="00B1003F">
        <w:t>perform</w:t>
      </w:r>
      <w:r w:rsidR="004E22D5">
        <w:t xml:space="preserve">. </w:t>
      </w:r>
      <w:r w:rsidR="00BB29EF">
        <w:t xml:space="preserve">The ability </w:t>
      </w:r>
      <w:r w:rsidR="00B45A3A">
        <w:t>of partners to receive p</w:t>
      </w:r>
      <w:r w:rsidR="00BB29EF">
        <w:t xml:space="preserve">ayments not dependent upon income </w:t>
      </w:r>
      <w:r w:rsidR="004E22D5">
        <w:t>allows the partners who perform the business activities of the partnership to be compensated for those activities</w:t>
      </w:r>
      <w:r w:rsidR="00B45A3A">
        <w:t xml:space="preserve"> even if the partnership </w:t>
      </w:r>
      <w:r w:rsidR="001D4F9F">
        <w:t>reports a loss for the year</w:t>
      </w:r>
      <w:r w:rsidR="004E22D5">
        <w:t xml:space="preserve">. </w:t>
      </w:r>
      <w:r w:rsidR="00BB29EF">
        <w:t xml:space="preserve">But it raises questions about whether the aggregate or entity </w:t>
      </w:r>
      <w:r w:rsidR="00D2380F">
        <w:t>theory</w:t>
      </w:r>
      <w:r w:rsidR="00171E43">
        <w:t xml:space="preserve"> </w:t>
      </w:r>
      <w:r w:rsidR="00BB29EF">
        <w:t>should be applied.</w:t>
      </w:r>
    </w:p>
    <w:p w14:paraId="469C86AD" w14:textId="7622FD2E" w:rsidR="007632D8" w:rsidRDefault="007632D8" w:rsidP="001F1812">
      <w:r>
        <w:t xml:space="preserve">As will be discussed further in this white paper, </w:t>
      </w:r>
      <w:r w:rsidR="00F34306">
        <w:t xml:space="preserve">it is not always clear when a payment is made “without regard to the income of the partnership,” given that some </w:t>
      </w:r>
      <w:r w:rsidR="00087FAB">
        <w:t xml:space="preserve">types of guaranteed payments are tied closely to financial results other than </w:t>
      </w:r>
      <w:r w:rsidR="00D95322">
        <w:t>the amount of taxable net income</w:t>
      </w:r>
      <w:r w:rsidR="000F75B7">
        <w:t xml:space="preserve"> or </w:t>
      </w:r>
      <w:r w:rsidR="00490F4F">
        <w:t>may vary over time depending upon other circumstances</w:t>
      </w:r>
      <w:r w:rsidR="00D95322">
        <w:t xml:space="preserve">. </w:t>
      </w:r>
      <w:r w:rsidR="00490F4F">
        <w:t>But for those payments that are clearly guaranteed payments</w:t>
      </w:r>
      <w:r w:rsidR="005E7E2A">
        <w:t xml:space="preserve"> for services</w:t>
      </w:r>
      <w:r w:rsidR="00490F4F">
        <w:t>, the question is whether the entity or aggregate approach is more appropriate.</w:t>
      </w:r>
    </w:p>
    <w:p w14:paraId="6D0D1E67" w14:textId="3391FDD4" w:rsidR="003B2FB2" w:rsidRDefault="003B2FB2" w:rsidP="003B2FB2">
      <w:pPr>
        <w:pStyle w:val="Heading4"/>
      </w:pPr>
      <w:r w:rsidRPr="00822499">
        <w:lastRenderedPageBreak/>
        <w:t>Example – Comparing the Economic Result</w:t>
      </w:r>
      <w:r w:rsidR="00B13D9E">
        <w:t xml:space="preserve"> to Entity and Aggregate Tax Results</w:t>
      </w:r>
    </w:p>
    <w:p w14:paraId="62C8BE9E" w14:textId="52526F05" w:rsidR="00DF42C5" w:rsidRPr="00DF42C5" w:rsidRDefault="00DF42C5" w:rsidP="00DF42C5">
      <w:r w:rsidRPr="00DF42C5">
        <w:t xml:space="preserve">The simple example </w:t>
      </w:r>
      <w:r w:rsidR="00A06D31">
        <w:t xml:space="preserve">here </w:t>
      </w:r>
      <w:r w:rsidRPr="00DF42C5">
        <w:t>demonstrates how a typical guaranteed payment</w:t>
      </w:r>
      <w:r w:rsidR="006F1B6E">
        <w:t xml:space="preserve"> for services</w:t>
      </w:r>
      <w:r w:rsidRPr="00DF42C5">
        <w:t xml:space="preserve"> might be treated under </w:t>
      </w:r>
      <w:r w:rsidR="00A06D31">
        <w:t xml:space="preserve">either </w:t>
      </w:r>
      <w:r w:rsidRPr="00DF42C5">
        <w:t xml:space="preserve">the entity </w:t>
      </w:r>
      <w:r w:rsidR="00A06D31">
        <w:t>or</w:t>
      </w:r>
      <w:r w:rsidRPr="00DF42C5">
        <w:t xml:space="preserve"> </w:t>
      </w:r>
      <w:r w:rsidR="00A06D31">
        <w:t xml:space="preserve">the </w:t>
      </w:r>
      <w:r w:rsidRPr="00DF42C5">
        <w:t>aggregate approach.</w:t>
      </w:r>
    </w:p>
    <w:p w14:paraId="369D58D6" w14:textId="77777777" w:rsidR="002347DB" w:rsidRDefault="00AD424C" w:rsidP="00230A1F">
      <w:pPr>
        <w:spacing w:after="120"/>
        <w:ind w:left="360"/>
        <w:rPr>
          <w:b/>
          <w:bCs/>
          <w:u w:val="single"/>
        </w:rPr>
      </w:pPr>
      <w:r w:rsidRPr="00822499">
        <w:rPr>
          <w:b/>
          <w:bCs/>
          <w:u w:val="single"/>
        </w:rPr>
        <w:t xml:space="preserve">Simple </w:t>
      </w:r>
      <w:r w:rsidR="007C3ED2" w:rsidRPr="00822499">
        <w:rPr>
          <w:b/>
          <w:bCs/>
          <w:u w:val="single"/>
        </w:rPr>
        <w:t>E</w:t>
      </w:r>
      <w:r w:rsidR="00DA4DB2" w:rsidRPr="00822499">
        <w:rPr>
          <w:b/>
          <w:bCs/>
          <w:u w:val="single"/>
        </w:rPr>
        <w:t>xample</w:t>
      </w:r>
      <w:r w:rsidR="002347DB">
        <w:rPr>
          <w:b/>
          <w:bCs/>
          <w:u w:val="single"/>
        </w:rPr>
        <w:t>:</w:t>
      </w:r>
      <w:r w:rsidR="004617CD" w:rsidRPr="00822499">
        <w:rPr>
          <w:b/>
          <w:bCs/>
          <w:u w:val="single"/>
        </w:rPr>
        <w:t xml:space="preserve"> </w:t>
      </w:r>
    </w:p>
    <w:p w14:paraId="0C78F1EE" w14:textId="5A66D8F0" w:rsidR="00DA4DB2" w:rsidRDefault="004617CD" w:rsidP="00230A1F">
      <w:pPr>
        <w:spacing w:after="120"/>
        <w:ind w:left="360"/>
      </w:pPr>
      <w:r w:rsidRPr="002347DB">
        <w:rPr>
          <w:u w:val="single"/>
        </w:rPr>
        <w:t xml:space="preserve">Assume </w:t>
      </w:r>
      <w:r w:rsidR="00E43FD2" w:rsidRPr="002347DB">
        <w:rPr>
          <w:u w:val="single"/>
        </w:rPr>
        <w:t>T</w:t>
      </w:r>
      <w:r w:rsidRPr="002347DB">
        <w:rPr>
          <w:u w:val="single"/>
        </w:rPr>
        <w:t>hat</w:t>
      </w:r>
      <w:r w:rsidRPr="00822499">
        <w:t>:</w:t>
      </w:r>
      <w:r w:rsidR="008657C7">
        <w:t xml:space="preserve"> </w:t>
      </w:r>
    </w:p>
    <w:p w14:paraId="01ED92EF" w14:textId="77777777" w:rsidR="003D2AAD" w:rsidRDefault="00DA4DB2" w:rsidP="005F7F13">
      <w:pPr>
        <w:pStyle w:val="ListParagraph"/>
        <w:numPr>
          <w:ilvl w:val="0"/>
          <w:numId w:val="5"/>
        </w:numPr>
        <w:spacing w:after="40"/>
        <w:contextualSpacing w:val="0"/>
      </w:pPr>
      <w:r>
        <w:t>P</w:t>
      </w:r>
      <w:r w:rsidR="003A1E36">
        <w:t xml:space="preserve">artners </w:t>
      </w:r>
      <w:r>
        <w:t>X, Y, and Z</w:t>
      </w:r>
      <w:r w:rsidR="003A1E36">
        <w:t xml:space="preserve"> </w:t>
      </w:r>
      <w:r w:rsidR="003D2AAD">
        <w:t xml:space="preserve">agree as follows: </w:t>
      </w:r>
    </w:p>
    <w:p w14:paraId="65CB2F1A" w14:textId="1D19B55F" w:rsidR="00DA4DB2" w:rsidRDefault="003D2AAD" w:rsidP="005F7F13">
      <w:pPr>
        <w:pStyle w:val="ListParagraph"/>
        <w:numPr>
          <w:ilvl w:val="1"/>
          <w:numId w:val="5"/>
        </w:numPr>
        <w:spacing w:after="40"/>
        <w:contextualSpacing w:val="0"/>
      </w:pPr>
      <w:r>
        <w:t>E</w:t>
      </w:r>
      <w:r w:rsidR="00DA4DB2">
        <w:t>ach contribute</w:t>
      </w:r>
      <w:r w:rsidR="004617CD">
        <w:t>s</w:t>
      </w:r>
      <w:r w:rsidR="00DA4DB2">
        <w:t xml:space="preserve"> $1</w:t>
      </w:r>
      <w:r w:rsidR="00790181">
        <w:t>0</w:t>
      </w:r>
      <w:r w:rsidR="00DA4DB2">
        <w:t xml:space="preserve">,000 to </w:t>
      </w:r>
      <w:r>
        <w:t xml:space="preserve">form </w:t>
      </w:r>
      <w:r w:rsidR="00DA4DB2">
        <w:t>a partnership.</w:t>
      </w:r>
    </w:p>
    <w:p w14:paraId="05736D7E" w14:textId="53737E00" w:rsidR="00DA4DB2" w:rsidRDefault="00FA6B7B" w:rsidP="005F7F13">
      <w:pPr>
        <w:pStyle w:val="ListParagraph"/>
        <w:numPr>
          <w:ilvl w:val="1"/>
          <w:numId w:val="5"/>
        </w:numPr>
        <w:spacing w:after="40"/>
        <w:contextualSpacing w:val="0"/>
      </w:pPr>
      <w:r>
        <w:t>X, a</w:t>
      </w:r>
      <w:r w:rsidR="003A1E36">
        <w:t>s the manager</w:t>
      </w:r>
      <w:r>
        <w:t xml:space="preserve">, </w:t>
      </w:r>
      <w:r w:rsidR="003A1E36">
        <w:t>receive</w:t>
      </w:r>
      <w:r w:rsidR="004617CD">
        <w:t>s</w:t>
      </w:r>
      <w:r w:rsidR="003A1E36">
        <w:t xml:space="preserve"> $1</w:t>
      </w:r>
      <w:r w:rsidR="004C6089">
        <w:t>2</w:t>
      </w:r>
      <w:r w:rsidR="003A1E36">
        <w:t>,000 per year, regardless of partnership income</w:t>
      </w:r>
      <w:r w:rsidR="00DA4DB2">
        <w:t xml:space="preserve">. </w:t>
      </w:r>
    </w:p>
    <w:p w14:paraId="3B8D4734" w14:textId="48B8C5B5" w:rsidR="003D2AAD" w:rsidRDefault="003D2AAD" w:rsidP="005F7F13">
      <w:pPr>
        <w:pStyle w:val="ListParagraph"/>
        <w:numPr>
          <w:ilvl w:val="1"/>
          <w:numId w:val="5"/>
        </w:numPr>
        <w:spacing w:after="40"/>
        <w:contextualSpacing w:val="0"/>
      </w:pPr>
      <w:r>
        <w:t>T</w:t>
      </w:r>
      <w:r w:rsidR="00DA4DB2">
        <w:t>he</w:t>
      </w:r>
      <w:r w:rsidR="00FA6B7B">
        <w:t xml:space="preserve"> partners</w:t>
      </w:r>
      <w:r w:rsidR="00DA4DB2">
        <w:t xml:space="preserve"> </w:t>
      </w:r>
      <w:r w:rsidR="004617CD">
        <w:t xml:space="preserve">agree to </w:t>
      </w:r>
      <w:r w:rsidR="00DA4DB2">
        <w:t xml:space="preserve">split </w:t>
      </w:r>
      <w:r w:rsidR="003A1E36">
        <w:t xml:space="preserve">the </w:t>
      </w:r>
      <w:r w:rsidR="00DA4DB2">
        <w:t xml:space="preserve">remaining </w:t>
      </w:r>
      <w:r w:rsidR="003A1E36">
        <w:t>income</w:t>
      </w:r>
      <w:r w:rsidR="00DA4DB2">
        <w:t>, or resulting loss,</w:t>
      </w:r>
      <w:r w:rsidR="003A1E36">
        <w:t xml:space="preserve"> equally.</w:t>
      </w:r>
    </w:p>
    <w:p w14:paraId="1706DE6A" w14:textId="514DA858" w:rsidR="00E74E8E" w:rsidRDefault="008657C7" w:rsidP="005F7F13">
      <w:pPr>
        <w:pStyle w:val="ListParagraph"/>
        <w:numPr>
          <w:ilvl w:val="1"/>
          <w:numId w:val="5"/>
        </w:numPr>
        <w:spacing w:after="60"/>
        <w:contextualSpacing w:val="0"/>
      </w:pPr>
      <w:r>
        <w:t xml:space="preserve">The partners’ </w:t>
      </w:r>
      <w:r w:rsidR="004617CD">
        <w:t xml:space="preserve">will track </w:t>
      </w:r>
      <w:r>
        <w:t xml:space="preserve">capital accounts </w:t>
      </w:r>
      <w:r w:rsidR="004617CD">
        <w:t xml:space="preserve">according to </w:t>
      </w:r>
      <w:r>
        <w:t>this agreement and any liquidating distributions will be made pro rata according to those capital accounts</w:t>
      </w:r>
      <w:r w:rsidR="003D2AAD">
        <w:t>.</w:t>
      </w:r>
      <w:r w:rsidR="003A1E36">
        <w:t xml:space="preserve"> </w:t>
      </w:r>
    </w:p>
    <w:p w14:paraId="1249654B" w14:textId="2F5E0C94" w:rsidR="008657C7" w:rsidRDefault="00790181" w:rsidP="005F7F13">
      <w:pPr>
        <w:pStyle w:val="ListParagraph"/>
        <w:numPr>
          <w:ilvl w:val="0"/>
          <w:numId w:val="5"/>
        </w:numPr>
        <w:spacing w:after="40"/>
        <w:contextualSpacing w:val="0"/>
      </w:pPr>
      <w:r>
        <w:t>In Year 1, p</w:t>
      </w:r>
      <w:r w:rsidR="00DA4DB2">
        <w:t>artnership ha</w:t>
      </w:r>
      <w:r w:rsidR="004617CD">
        <w:t>s</w:t>
      </w:r>
      <w:r w:rsidR="008657C7">
        <w:t>:</w:t>
      </w:r>
      <w:r w:rsidR="003A1E36">
        <w:t xml:space="preserve"> </w:t>
      </w:r>
    </w:p>
    <w:p w14:paraId="5AC1DEE6" w14:textId="20AE56CF" w:rsidR="008657C7" w:rsidRDefault="00306F71" w:rsidP="005F7F13">
      <w:pPr>
        <w:pStyle w:val="ListParagraph"/>
        <w:numPr>
          <w:ilvl w:val="1"/>
          <w:numId w:val="5"/>
        </w:numPr>
        <w:spacing w:after="40"/>
        <w:contextualSpacing w:val="0"/>
      </w:pPr>
      <w:r>
        <w:t>$30,000 of gross receipts</w:t>
      </w:r>
    </w:p>
    <w:p w14:paraId="0A58025D" w14:textId="5B44FEB1" w:rsidR="008657C7" w:rsidRDefault="003A1E36" w:rsidP="005F7F13">
      <w:pPr>
        <w:pStyle w:val="ListParagraph"/>
        <w:numPr>
          <w:ilvl w:val="1"/>
          <w:numId w:val="5"/>
        </w:numPr>
        <w:spacing w:after="40"/>
        <w:contextualSpacing w:val="0"/>
      </w:pPr>
      <w:r>
        <w:t>$</w:t>
      </w:r>
      <w:r w:rsidR="004C6089">
        <w:t>9,000 of income</w:t>
      </w:r>
      <w:r w:rsidR="00DA4DB2">
        <w:t xml:space="preserve"> before subtracting the payment to X</w:t>
      </w:r>
    </w:p>
    <w:p w14:paraId="5FD384A3" w14:textId="6C993601" w:rsidR="00DA4DB2" w:rsidRDefault="00D57046" w:rsidP="005F7F13">
      <w:pPr>
        <w:pStyle w:val="ListParagraph"/>
        <w:numPr>
          <w:ilvl w:val="1"/>
          <w:numId w:val="5"/>
        </w:numPr>
        <w:spacing w:after="60"/>
        <w:contextualSpacing w:val="0"/>
      </w:pPr>
      <w:r>
        <w:t>$3,000 of loss after subtracting that payment</w:t>
      </w:r>
    </w:p>
    <w:p w14:paraId="77B15F3D" w14:textId="09F7A532" w:rsidR="003D2AAD" w:rsidRDefault="00C72828" w:rsidP="005F7F13">
      <w:pPr>
        <w:pStyle w:val="ListParagraph"/>
        <w:numPr>
          <w:ilvl w:val="0"/>
          <w:numId w:val="5"/>
        </w:numPr>
        <w:spacing w:after="240"/>
        <w:contextualSpacing w:val="0"/>
      </w:pPr>
      <w:r>
        <w:t>At the beginning of Year 2</w:t>
      </w:r>
      <w:r w:rsidR="003D2AAD">
        <w:t>, the partnership</w:t>
      </w:r>
      <w:r w:rsidR="008657C7">
        <w:t xml:space="preserve"> has cash and assets of $27,000</w:t>
      </w:r>
      <w:r w:rsidR="009E4BBE">
        <w:t>,</w:t>
      </w:r>
      <w:r w:rsidR="008657C7">
        <w:t xml:space="preserve"> which it liquidates</w:t>
      </w:r>
      <w:r w:rsidR="009E4BBE">
        <w:t>.</w:t>
      </w:r>
      <w:r w:rsidR="008657C7">
        <w:t xml:space="preserve"> </w:t>
      </w:r>
    </w:p>
    <w:p w14:paraId="5C6CE21B" w14:textId="597F554C" w:rsidR="008657C7" w:rsidRDefault="004617CD" w:rsidP="00E67AA9">
      <w:pPr>
        <w:spacing w:after="40"/>
        <w:ind w:left="792" w:hanging="360"/>
      </w:pPr>
      <w:r>
        <w:rPr>
          <w:u w:val="single"/>
        </w:rPr>
        <w:t xml:space="preserve">Economic </w:t>
      </w:r>
      <w:r w:rsidR="002347DB">
        <w:rPr>
          <w:u w:val="single"/>
        </w:rPr>
        <w:t>R</w:t>
      </w:r>
      <w:r>
        <w:rPr>
          <w:u w:val="single"/>
        </w:rPr>
        <w:t>esult</w:t>
      </w:r>
      <w:r w:rsidR="00660BE9">
        <w:rPr>
          <w:u w:val="single"/>
        </w:rPr>
        <w:t xml:space="preserve"> (tracking capital accounts)</w:t>
      </w:r>
      <w:r w:rsidR="008657C7">
        <w:t>:</w:t>
      </w:r>
      <w:r w:rsidR="003D2AAD">
        <w:t xml:space="preserve"> </w:t>
      </w:r>
    </w:p>
    <w:p w14:paraId="44D61E7C" w14:textId="05E97959" w:rsidR="008657C7" w:rsidRDefault="003D2AAD" w:rsidP="005F7F13">
      <w:pPr>
        <w:pStyle w:val="ListParagraph"/>
        <w:numPr>
          <w:ilvl w:val="0"/>
          <w:numId w:val="6"/>
        </w:numPr>
        <w:spacing w:after="40"/>
        <w:ind w:left="792"/>
        <w:contextualSpacing w:val="0"/>
      </w:pPr>
      <w:r>
        <w:t>X</w:t>
      </w:r>
      <w:r w:rsidR="008657C7">
        <w:t>, Y, and Z have beginning capital balances of $10,000</w:t>
      </w:r>
      <w:r w:rsidR="009E4BBE">
        <w:t>.</w:t>
      </w:r>
    </w:p>
    <w:p w14:paraId="2F13661B" w14:textId="75E6FC81" w:rsidR="008657C7" w:rsidRDefault="008657C7" w:rsidP="005F7F13">
      <w:pPr>
        <w:pStyle w:val="ListParagraph"/>
        <w:numPr>
          <w:ilvl w:val="0"/>
          <w:numId w:val="6"/>
        </w:numPr>
        <w:spacing w:after="40"/>
        <w:ind w:left="792"/>
        <w:contextualSpacing w:val="0"/>
      </w:pPr>
      <w:r>
        <w:t xml:space="preserve">X has </w:t>
      </w:r>
      <w:r w:rsidR="001157BC">
        <w:t>guaranteed payment income</w:t>
      </w:r>
      <w:r>
        <w:t xml:space="preserve"> of $12,000</w:t>
      </w:r>
      <w:r w:rsidR="004617CD">
        <w:t xml:space="preserve"> which does not affect X’s capital account</w:t>
      </w:r>
      <w:r w:rsidR="009E4BBE">
        <w:t>.</w:t>
      </w:r>
    </w:p>
    <w:p w14:paraId="5CFA8F04" w14:textId="31745BB5" w:rsidR="008657C7" w:rsidRDefault="00DC5117" w:rsidP="005F7F13">
      <w:pPr>
        <w:pStyle w:val="ListParagraph"/>
        <w:numPr>
          <w:ilvl w:val="0"/>
          <w:numId w:val="6"/>
        </w:numPr>
        <w:spacing w:after="40"/>
        <w:ind w:left="792"/>
        <w:contextualSpacing w:val="0"/>
      </w:pPr>
      <w:r>
        <w:t>A</w:t>
      </w:r>
      <w:r w:rsidR="00FF1F9F">
        <w:t xml:space="preserve">fter subtracting </w:t>
      </w:r>
      <w:r w:rsidR="0074497E">
        <w:t>the $12,000,</w:t>
      </w:r>
      <w:r w:rsidR="004617CD">
        <w:t xml:space="preserve"> </w:t>
      </w:r>
      <w:r>
        <w:t>t</w:t>
      </w:r>
      <w:r w:rsidRPr="00DC5117">
        <w:t xml:space="preserve">he partnership has a loss of $3,000 </w:t>
      </w:r>
      <w:r w:rsidR="004617CD">
        <w:t xml:space="preserve">which </w:t>
      </w:r>
      <w:r w:rsidR="0074497E">
        <w:t>X, Y, and Z split</w:t>
      </w:r>
      <w:r w:rsidR="009E4BBE">
        <w:t>.</w:t>
      </w:r>
      <w:r w:rsidR="008657C7">
        <w:t xml:space="preserve"> </w:t>
      </w:r>
    </w:p>
    <w:p w14:paraId="63E6BA68" w14:textId="10415A35" w:rsidR="008657C7" w:rsidRDefault="0074497E" w:rsidP="005F7F13">
      <w:pPr>
        <w:pStyle w:val="ListParagraph"/>
        <w:numPr>
          <w:ilvl w:val="0"/>
          <w:numId w:val="6"/>
        </w:numPr>
        <w:spacing w:after="40"/>
        <w:ind w:left="792"/>
        <w:contextualSpacing w:val="0"/>
      </w:pPr>
      <w:r>
        <w:t>Each partner subtracts the $1,000 loss from their</w:t>
      </w:r>
      <w:r w:rsidR="008657C7">
        <w:t xml:space="preserve"> capital balances</w:t>
      </w:r>
      <w:r>
        <w:t xml:space="preserve">, leaving </w:t>
      </w:r>
      <w:r w:rsidR="008657C7">
        <w:t xml:space="preserve"> $9,000</w:t>
      </w:r>
      <w:r w:rsidR="009E4BBE">
        <w:t>.</w:t>
      </w:r>
    </w:p>
    <w:p w14:paraId="37394BFB" w14:textId="3E176267" w:rsidR="00D57046" w:rsidRDefault="004617CD" w:rsidP="005F7F13">
      <w:pPr>
        <w:pStyle w:val="ListParagraph"/>
        <w:numPr>
          <w:ilvl w:val="0"/>
          <w:numId w:val="6"/>
        </w:numPr>
        <w:spacing w:after="240"/>
        <w:ind w:left="792" w:right="432"/>
        <w:contextualSpacing w:val="0"/>
      </w:pPr>
      <w:r>
        <w:t xml:space="preserve">The partners </w:t>
      </w:r>
      <w:r w:rsidR="0074497E">
        <w:t xml:space="preserve">share of </w:t>
      </w:r>
      <w:r>
        <w:t>liquidating distributions</w:t>
      </w:r>
      <w:r w:rsidR="0074497E">
        <w:t xml:space="preserve"> is</w:t>
      </w:r>
      <w:r>
        <w:t xml:space="preserve"> $9,000</w:t>
      </w:r>
      <w:r w:rsidR="0074497E">
        <w:t xml:space="preserve"> each</w:t>
      </w:r>
      <w:r w:rsidR="00693F30">
        <w:t>—equal to their capital accounts</w:t>
      </w:r>
      <w:r w:rsidR="00D57046">
        <w:t xml:space="preserve">. </w:t>
      </w:r>
    </w:p>
    <w:p w14:paraId="5B2581C8" w14:textId="3BF24001" w:rsidR="009E4BBE" w:rsidRDefault="004617CD" w:rsidP="00E67AA9">
      <w:pPr>
        <w:spacing w:after="40"/>
        <w:ind w:left="792" w:hanging="360"/>
      </w:pPr>
      <w:r>
        <w:rPr>
          <w:u w:val="single"/>
        </w:rPr>
        <w:t>T</w:t>
      </w:r>
      <w:r w:rsidR="009E4BBE" w:rsidRPr="009E4BBE">
        <w:rPr>
          <w:u w:val="single"/>
        </w:rPr>
        <w:t xml:space="preserve">ax </w:t>
      </w:r>
      <w:r w:rsidR="002347DB">
        <w:rPr>
          <w:u w:val="single"/>
        </w:rPr>
        <w:t>R</w:t>
      </w:r>
      <w:r w:rsidR="009E4BBE" w:rsidRPr="009E4BBE">
        <w:rPr>
          <w:u w:val="single"/>
        </w:rPr>
        <w:t xml:space="preserve">esult </w:t>
      </w:r>
      <w:r>
        <w:rPr>
          <w:u w:val="single"/>
        </w:rPr>
        <w:t xml:space="preserve">– </w:t>
      </w:r>
      <w:r w:rsidR="002347DB">
        <w:rPr>
          <w:u w:val="single"/>
        </w:rPr>
        <w:t>E</w:t>
      </w:r>
      <w:r w:rsidR="009E4BBE" w:rsidRPr="009E4BBE">
        <w:rPr>
          <w:u w:val="single"/>
        </w:rPr>
        <w:t xml:space="preserve">ntity </w:t>
      </w:r>
      <w:r w:rsidR="002347DB">
        <w:rPr>
          <w:u w:val="single"/>
        </w:rPr>
        <w:t>A</w:t>
      </w:r>
      <w:r w:rsidR="009E4BBE" w:rsidRPr="009E4BBE">
        <w:rPr>
          <w:u w:val="single"/>
        </w:rPr>
        <w:t>pproach</w:t>
      </w:r>
      <w:r w:rsidR="00660BE9">
        <w:rPr>
          <w:u w:val="single"/>
        </w:rPr>
        <w:t xml:space="preserve"> (tracking outside basis)</w:t>
      </w:r>
      <w:r w:rsidR="009E4BBE">
        <w:t xml:space="preserve">: </w:t>
      </w:r>
    </w:p>
    <w:p w14:paraId="4D511C54" w14:textId="61C85713" w:rsidR="009E4BBE" w:rsidRPr="009E4BBE" w:rsidRDefault="009E4BBE" w:rsidP="005F7F13">
      <w:pPr>
        <w:numPr>
          <w:ilvl w:val="0"/>
          <w:numId w:val="6"/>
        </w:numPr>
        <w:spacing w:after="40"/>
        <w:ind w:left="792"/>
      </w:pPr>
      <w:r w:rsidRPr="009E4BBE">
        <w:t xml:space="preserve">X, Y, and Z have beginning </w:t>
      </w:r>
      <w:r>
        <w:t>outside basis</w:t>
      </w:r>
      <w:r w:rsidRPr="009E4BBE">
        <w:t xml:space="preserve"> of $10,000.</w:t>
      </w:r>
    </w:p>
    <w:p w14:paraId="3BB8AAF7" w14:textId="5F755A98" w:rsidR="009E4BBE" w:rsidRDefault="009E4BBE" w:rsidP="005F7F13">
      <w:pPr>
        <w:numPr>
          <w:ilvl w:val="0"/>
          <w:numId w:val="6"/>
        </w:numPr>
        <w:spacing w:after="40"/>
        <w:ind w:left="792"/>
      </w:pPr>
      <w:r w:rsidRPr="009E4BBE">
        <w:t xml:space="preserve">X </w:t>
      </w:r>
      <w:r>
        <w:t xml:space="preserve">recognizes ordinary </w:t>
      </w:r>
      <w:r w:rsidRPr="009E4BBE">
        <w:t>income of $12,000</w:t>
      </w:r>
      <w:r>
        <w:t>, which does not affect X’s outside basis.</w:t>
      </w:r>
    </w:p>
    <w:p w14:paraId="0E883C3C" w14:textId="77835FF9" w:rsidR="009E4BBE" w:rsidRDefault="009D0A42" w:rsidP="005F7F13">
      <w:pPr>
        <w:numPr>
          <w:ilvl w:val="0"/>
          <w:numId w:val="6"/>
        </w:numPr>
        <w:spacing w:after="40"/>
        <w:ind w:left="792"/>
      </w:pPr>
      <w:r w:rsidRPr="009D0A42">
        <w:t>After subtracting the $12,000, the partnership has a loss of $3,000 which X, Y, and Z split.</w:t>
      </w:r>
    </w:p>
    <w:p w14:paraId="68F88C8E" w14:textId="77777777" w:rsidR="009E4BBE" w:rsidRDefault="009E4BBE" w:rsidP="005F7F13">
      <w:pPr>
        <w:numPr>
          <w:ilvl w:val="0"/>
          <w:numId w:val="6"/>
        </w:numPr>
        <w:spacing w:after="40"/>
        <w:ind w:left="792"/>
      </w:pPr>
      <w:r>
        <w:t>The $1,000 loss each partner recognizes reduces their outside basis to $9,000.</w:t>
      </w:r>
    </w:p>
    <w:p w14:paraId="7A8D60EE" w14:textId="102D3D7E" w:rsidR="00AD424C" w:rsidRDefault="0074497E" w:rsidP="005F7F13">
      <w:pPr>
        <w:numPr>
          <w:ilvl w:val="0"/>
          <w:numId w:val="6"/>
        </w:numPr>
        <w:spacing w:after="240"/>
        <w:ind w:left="792" w:right="432"/>
      </w:pPr>
      <w:r>
        <w:t>T</w:t>
      </w:r>
      <w:r w:rsidR="009E4BBE" w:rsidRPr="009E4BBE">
        <w:t>he partners</w:t>
      </w:r>
      <w:r>
        <w:t>’ liquidating distribution of</w:t>
      </w:r>
      <w:r w:rsidR="009E4BBE">
        <w:t xml:space="preserve"> $9,000 each</w:t>
      </w:r>
      <w:r>
        <w:t xml:space="preserve"> is equal to outside basis</w:t>
      </w:r>
      <w:r w:rsidR="009E4BBE">
        <w:t xml:space="preserve">—resulting in no gain or loss recognized by any of the partners. </w:t>
      </w:r>
    </w:p>
    <w:p w14:paraId="4227C865" w14:textId="5D78D212" w:rsidR="009E4BBE" w:rsidRDefault="0074497E" w:rsidP="00222893">
      <w:pPr>
        <w:spacing w:after="60"/>
        <w:ind w:left="792" w:right="432" w:hanging="360"/>
      </w:pPr>
      <w:r>
        <w:rPr>
          <w:u w:val="single"/>
        </w:rPr>
        <w:t>T</w:t>
      </w:r>
      <w:r w:rsidR="009E4BBE" w:rsidRPr="009E4BBE">
        <w:rPr>
          <w:u w:val="single"/>
        </w:rPr>
        <w:t xml:space="preserve">ax result </w:t>
      </w:r>
      <w:r>
        <w:rPr>
          <w:u w:val="single"/>
        </w:rPr>
        <w:t xml:space="preserve">– </w:t>
      </w:r>
      <w:r w:rsidR="002347DB">
        <w:rPr>
          <w:u w:val="single"/>
        </w:rPr>
        <w:t>A</w:t>
      </w:r>
      <w:r w:rsidR="009E4BBE" w:rsidRPr="009E4BBE">
        <w:rPr>
          <w:u w:val="single"/>
        </w:rPr>
        <w:t xml:space="preserve">ggregate </w:t>
      </w:r>
      <w:r w:rsidR="002347DB">
        <w:rPr>
          <w:u w:val="single"/>
        </w:rPr>
        <w:t>A</w:t>
      </w:r>
      <w:r w:rsidR="009E4BBE" w:rsidRPr="009E4BBE">
        <w:rPr>
          <w:u w:val="single"/>
        </w:rPr>
        <w:t>pproach</w:t>
      </w:r>
      <w:r w:rsidR="00F72A33">
        <w:rPr>
          <w:u w:val="single"/>
        </w:rPr>
        <w:t xml:space="preserve"> (tracking outside basis)</w:t>
      </w:r>
      <w:r w:rsidR="009E4BBE">
        <w:t xml:space="preserve">: </w:t>
      </w:r>
    </w:p>
    <w:p w14:paraId="7E7D9D2A" w14:textId="78A2BB79" w:rsidR="009E4BBE" w:rsidRPr="009E4BBE" w:rsidRDefault="009E4BBE" w:rsidP="005F7F13">
      <w:pPr>
        <w:numPr>
          <w:ilvl w:val="0"/>
          <w:numId w:val="7"/>
        </w:numPr>
        <w:spacing w:after="60"/>
        <w:ind w:left="792" w:right="432"/>
      </w:pPr>
      <w:r w:rsidRPr="009E4BBE">
        <w:t xml:space="preserve">X, Y, and Z </w:t>
      </w:r>
      <w:r w:rsidR="008E63C8">
        <w:t xml:space="preserve">would </w:t>
      </w:r>
      <w:r w:rsidRPr="009E4BBE">
        <w:t xml:space="preserve">have beginning </w:t>
      </w:r>
      <w:r>
        <w:t>outside basis</w:t>
      </w:r>
      <w:r w:rsidRPr="009E4BBE">
        <w:t xml:space="preserve"> of $10,000.</w:t>
      </w:r>
    </w:p>
    <w:p w14:paraId="66252799" w14:textId="1E7DB1D7" w:rsidR="009E4BBE" w:rsidRDefault="0074497E" w:rsidP="005F7F13">
      <w:pPr>
        <w:pStyle w:val="ListParagraph"/>
        <w:numPr>
          <w:ilvl w:val="0"/>
          <w:numId w:val="7"/>
        </w:numPr>
        <w:spacing w:after="60"/>
        <w:ind w:left="792" w:right="432"/>
        <w:contextualSpacing w:val="0"/>
      </w:pPr>
      <w:r>
        <w:t xml:space="preserve">Partnership </w:t>
      </w:r>
      <w:r w:rsidR="008E63C8">
        <w:t xml:space="preserve">would </w:t>
      </w:r>
      <w:r>
        <w:t>report</w:t>
      </w:r>
      <w:r w:rsidR="009E4BBE" w:rsidRPr="009E4BBE">
        <w:t xml:space="preserve"> $</w:t>
      </w:r>
      <w:r w:rsidR="009E4BBE">
        <w:t>9</w:t>
      </w:r>
      <w:r w:rsidR="009E4BBE" w:rsidRPr="009E4BBE">
        <w:t xml:space="preserve">,000 </w:t>
      </w:r>
      <w:r w:rsidR="009E4BBE">
        <w:t xml:space="preserve">in </w:t>
      </w:r>
      <w:r w:rsidR="009E4BBE" w:rsidRPr="009E4BBE">
        <w:t xml:space="preserve">partnership </w:t>
      </w:r>
      <w:r>
        <w:t xml:space="preserve">income </w:t>
      </w:r>
      <w:r w:rsidR="009E4BBE">
        <w:t>without</w:t>
      </w:r>
      <w:r w:rsidR="009E4BBE" w:rsidRPr="009E4BBE">
        <w:t xml:space="preserve"> deducting the $12,000.</w:t>
      </w:r>
    </w:p>
    <w:p w14:paraId="528DBBCE" w14:textId="547D2490" w:rsidR="0074497E" w:rsidRDefault="0074497E" w:rsidP="005F7F13">
      <w:pPr>
        <w:pStyle w:val="ListParagraph"/>
        <w:numPr>
          <w:ilvl w:val="0"/>
          <w:numId w:val="7"/>
        </w:numPr>
        <w:spacing w:after="60"/>
        <w:ind w:left="792" w:right="432"/>
        <w:contextualSpacing w:val="0"/>
      </w:pPr>
      <w:r>
        <w:t xml:space="preserve">X, Y, and Z </w:t>
      </w:r>
      <w:r w:rsidR="008E63C8">
        <w:t xml:space="preserve">would </w:t>
      </w:r>
      <w:r>
        <w:t>each report $3,000 of partnership income.</w:t>
      </w:r>
    </w:p>
    <w:p w14:paraId="69D6773E" w14:textId="386F53DB" w:rsidR="009E4BBE" w:rsidRDefault="00C72828" w:rsidP="005F7F13">
      <w:pPr>
        <w:pStyle w:val="ListParagraph"/>
        <w:numPr>
          <w:ilvl w:val="0"/>
          <w:numId w:val="7"/>
        </w:numPr>
        <w:spacing w:after="60"/>
        <w:ind w:left="792" w:right="432"/>
        <w:contextualSpacing w:val="0"/>
      </w:pPr>
      <w:r>
        <w:t xml:space="preserve">X, Y, and Z </w:t>
      </w:r>
      <w:r w:rsidR="008E63C8">
        <w:t xml:space="preserve">would </w:t>
      </w:r>
      <w:r>
        <w:t>have a</w:t>
      </w:r>
      <w:r w:rsidR="00E43FD2">
        <w:t>n</w:t>
      </w:r>
      <w:r>
        <w:t xml:space="preserve"> outside basis after income allocation of $13,000 each.</w:t>
      </w:r>
    </w:p>
    <w:p w14:paraId="47D9196F" w14:textId="0E727421" w:rsidR="00C72828" w:rsidRDefault="00C72828" w:rsidP="005F7F13">
      <w:pPr>
        <w:pStyle w:val="ListParagraph"/>
        <w:numPr>
          <w:ilvl w:val="0"/>
          <w:numId w:val="7"/>
        </w:numPr>
        <w:spacing w:after="40"/>
        <w:ind w:left="792" w:right="432"/>
        <w:contextualSpacing w:val="0"/>
      </w:pPr>
      <w:r>
        <w:t xml:space="preserve">The $12,000 payment to X </w:t>
      </w:r>
      <w:r w:rsidR="008E63C8">
        <w:t>would be</w:t>
      </w:r>
      <w:r>
        <w:t xml:space="preserve"> a distribution, reducing X’s outside basis to $1,000.</w:t>
      </w:r>
    </w:p>
    <w:p w14:paraId="4CE1041A" w14:textId="6640BE90" w:rsidR="0074497E" w:rsidRDefault="0074497E" w:rsidP="005F7F13">
      <w:pPr>
        <w:pStyle w:val="ListParagraph"/>
        <w:numPr>
          <w:ilvl w:val="0"/>
          <w:numId w:val="7"/>
        </w:numPr>
        <w:spacing w:after="40"/>
        <w:ind w:left="792" w:right="432"/>
        <w:contextualSpacing w:val="0"/>
      </w:pPr>
      <w:r>
        <w:t xml:space="preserve">The partner’s </w:t>
      </w:r>
      <w:r w:rsidR="008E63C8">
        <w:t xml:space="preserve">agreed upon </w:t>
      </w:r>
      <w:r>
        <w:t xml:space="preserve">liquidating distribution of $9,000 each </w:t>
      </w:r>
      <w:r w:rsidR="008E63C8">
        <w:t>would be</w:t>
      </w:r>
      <w:r>
        <w:t xml:space="preserve"> greater than X’s outside basis of $1,000—resulting in a capital gain of § 8,000. (See IRC § 731.)</w:t>
      </w:r>
    </w:p>
    <w:p w14:paraId="2701697C" w14:textId="07245C52" w:rsidR="00C72828" w:rsidRDefault="008E63C8" w:rsidP="005F7F13">
      <w:pPr>
        <w:pStyle w:val="ListParagraph"/>
        <w:numPr>
          <w:ilvl w:val="0"/>
          <w:numId w:val="7"/>
        </w:numPr>
        <w:spacing w:after="60"/>
        <w:ind w:left="792" w:right="432"/>
        <w:contextualSpacing w:val="0"/>
      </w:pPr>
      <w:r>
        <w:t>The agreed upon</w:t>
      </w:r>
      <w:r w:rsidR="0074497E">
        <w:t xml:space="preserve"> liquidating distribution of $9,000 </w:t>
      </w:r>
      <w:r w:rsidR="00F247AE">
        <w:t>would be less</w:t>
      </w:r>
      <w:r w:rsidR="0074497E">
        <w:t xml:space="preserve"> than</w:t>
      </w:r>
      <w:r w:rsidR="00C72828">
        <w:t xml:space="preserve"> </w:t>
      </w:r>
      <w:r w:rsidR="00790181">
        <w:t>Y and Z</w:t>
      </w:r>
      <w:r w:rsidR="0074497E">
        <w:t>’s</w:t>
      </w:r>
      <w:r w:rsidR="00790181">
        <w:t xml:space="preserve"> </w:t>
      </w:r>
      <w:r w:rsidR="00C72828">
        <w:t>outside basis of</w:t>
      </w:r>
      <w:r w:rsidR="00D57046">
        <w:t xml:space="preserve"> $13,000</w:t>
      </w:r>
      <w:r w:rsidR="0074497E">
        <w:t xml:space="preserve">—resulting in </w:t>
      </w:r>
      <w:r w:rsidR="00C44F6B">
        <w:t>capital losses</w:t>
      </w:r>
      <w:r w:rsidR="00E43FD2">
        <w:t xml:space="preserve"> of $4,000</w:t>
      </w:r>
      <w:r w:rsidR="00790181">
        <w:t>.</w:t>
      </w:r>
      <w:r w:rsidR="00C44F6B">
        <w:t xml:space="preserve"> (See IRC § 741). </w:t>
      </w:r>
    </w:p>
    <w:p w14:paraId="37D6D63C" w14:textId="77777777" w:rsidR="00426EB0" w:rsidRDefault="00E630A4" w:rsidP="00222893">
      <w:pPr>
        <w:spacing w:after="60"/>
      </w:pPr>
      <w:r>
        <w:t xml:space="preserve"> </w:t>
      </w:r>
    </w:p>
    <w:p w14:paraId="6A4FC119" w14:textId="49BB5A40" w:rsidR="00C0012D" w:rsidRDefault="00E43FD2" w:rsidP="00222893">
      <w:pPr>
        <w:spacing w:after="60"/>
      </w:pPr>
      <w:r>
        <w:t xml:space="preserve">See the comparison of these results in the table </w:t>
      </w:r>
      <w:r w:rsidR="00A26E6B">
        <w:t>below</w:t>
      </w:r>
      <w:r>
        <w:t>.</w:t>
      </w:r>
    </w:p>
    <w:p w14:paraId="4D72D491" w14:textId="77777777" w:rsidR="00212343" w:rsidRDefault="00212343">
      <w:pPr>
        <w:spacing w:line="276" w:lineRule="auto"/>
        <w:jc w:val="left"/>
      </w:pPr>
    </w:p>
    <w:p w14:paraId="5A3812EB" w14:textId="77777777" w:rsidR="00212343" w:rsidRDefault="00212343">
      <w:pPr>
        <w:spacing w:line="276" w:lineRule="auto"/>
        <w:jc w:val="left"/>
      </w:pPr>
    </w:p>
    <w:p w14:paraId="00EFF793" w14:textId="77777777" w:rsidR="00A85F73" w:rsidRDefault="00A85F73">
      <w:pPr>
        <w:spacing w:line="276" w:lineRule="auto"/>
        <w:jc w:val="left"/>
      </w:pPr>
    </w:p>
    <w:tbl>
      <w:tblPr>
        <w:tblW w:w="8910" w:type="dxa"/>
        <w:tblInd w:w="-90" w:type="dxa"/>
        <w:tblLook w:val="04A0" w:firstRow="1" w:lastRow="0" w:firstColumn="1" w:lastColumn="0" w:noHBand="0" w:noVBand="1"/>
      </w:tblPr>
      <w:tblGrid>
        <w:gridCol w:w="2160"/>
        <w:gridCol w:w="2880"/>
        <w:gridCol w:w="1260"/>
        <w:gridCol w:w="1350"/>
        <w:gridCol w:w="1260"/>
      </w:tblGrid>
      <w:tr w:rsidR="00CF2E3C" w:rsidRPr="00EE6BA0" w14:paraId="4FA0D708" w14:textId="77777777" w:rsidTr="00E11D18">
        <w:trPr>
          <w:trHeight w:val="612"/>
        </w:trPr>
        <w:tc>
          <w:tcPr>
            <w:tcW w:w="2160" w:type="dxa"/>
            <w:tcBorders>
              <w:top w:val="nil"/>
              <w:left w:val="nil"/>
              <w:bottom w:val="single" w:sz="4" w:space="0" w:color="auto"/>
              <w:right w:val="nil"/>
            </w:tcBorders>
            <w:shd w:val="clear" w:color="auto" w:fill="auto"/>
            <w:noWrap/>
            <w:vAlign w:val="bottom"/>
            <w:hideMark/>
          </w:tcPr>
          <w:p w14:paraId="5957C47F" w14:textId="77777777" w:rsidR="00EE6BA0" w:rsidRPr="00EE6BA0" w:rsidRDefault="00EE6BA0" w:rsidP="00EE6BA0">
            <w:pPr>
              <w:spacing w:after="0" w:line="240" w:lineRule="auto"/>
              <w:jc w:val="left"/>
              <w:rPr>
                <w:rFonts w:asciiTheme="majorHAnsi" w:eastAsia="Times New Roman" w:hAnsiTheme="majorHAnsi" w:cs="Times New Roman"/>
                <w:sz w:val="18"/>
                <w:szCs w:val="18"/>
              </w:rPr>
            </w:pPr>
          </w:p>
        </w:tc>
        <w:tc>
          <w:tcPr>
            <w:tcW w:w="2880" w:type="dxa"/>
            <w:tcBorders>
              <w:top w:val="nil"/>
              <w:left w:val="nil"/>
              <w:bottom w:val="single" w:sz="4" w:space="0" w:color="auto"/>
              <w:right w:val="nil"/>
            </w:tcBorders>
            <w:shd w:val="clear" w:color="auto" w:fill="auto"/>
            <w:noWrap/>
            <w:vAlign w:val="bottom"/>
            <w:hideMark/>
          </w:tcPr>
          <w:p w14:paraId="171A2D95" w14:textId="77777777" w:rsidR="00EE6BA0" w:rsidRPr="00EE6BA0" w:rsidRDefault="00EE6BA0" w:rsidP="00EE6BA0">
            <w:pPr>
              <w:spacing w:after="0" w:line="240" w:lineRule="auto"/>
              <w:jc w:val="left"/>
              <w:rPr>
                <w:rFonts w:asciiTheme="majorHAnsi" w:eastAsia="Times New Roman" w:hAnsiTheme="majorHAnsi" w:cs="Times New Roman"/>
                <w:sz w:val="18"/>
                <w:szCs w:val="18"/>
              </w:rPr>
            </w:pPr>
          </w:p>
        </w:tc>
        <w:tc>
          <w:tcPr>
            <w:tcW w:w="1260" w:type="dxa"/>
            <w:tcBorders>
              <w:top w:val="nil"/>
              <w:left w:val="nil"/>
              <w:bottom w:val="single" w:sz="4" w:space="0" w:color="auto"/>
              <w:right w:val="nil"/>
            </w:tcBorders>
            <w:shd w:val="clear" w:color="auto" w:fill="auto"/>
            <w:vAlign w:val="center"/>
            <w:hideMark/>
          </w:tcPr>
          <w:p w14:paraId="625360C1" w14:textId="54D73808"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Economic </w:t>
            </w:r>
            <w:r w:rsid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Results</w:t>
            </w:r>
          </w:p>
        </w:tc>
        <w:tc>
          <w:tcPr>
            <w:tcW w:w="1350" w:type="dxa"/>
            <w:tcBorders>
              <w:top w:val="nil"/>
              <w:left w:val="nil"/>
              <w:bottom w:val="single" w:sz="4" w:space="0" w:color="auto"/>
              <w:right w:val="nil"/>
            </w:tcBorders>
            <w:shd w:val="clear" w:color="auto" w:fill="auto"/>
            <w:vAlign w:val="center"/>
            <w:hideMark/>
          </w:tcPr>
          <w:p w14:paraId="33B3ABB9" w14:textId="1F2E8B4C"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Entity </w:t>
            </w:r>
            <w:r w:rsidR="000D237E" w:rsidRP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Approach</w:t>
            </w:r>
          </w:p>
        </w:tc>
        <w:tc>
          <w:tcPr>
            <w:tcW w:w="1260" w:type="dxa"/>
            <w:tcBorders>
              <w:top w:val="nil"/>
              <w:left w:val="single" w:sz="8" w:space="0" w:color="auto"/>
              <w:bottom w:val="single" w:sz="4" w:space="0" w:color="auto"/>
              <w:right w:val="nil"/>
            </w:tcBorders>
            <w:shd w:val="clear" w:color="000000" w:fill="F2F2F2"/>
            <w:vAlign w:val="center"/>
            <w:hideMark/>
          </w:tcPr>
          <w:p w14:paraId="0ECFA95C" w14:textId="5F8D7215" w:rsidR="00EE6BA0" w:rsidRPr="00EE6BA0" w:rsidRDefault="00EE6BA0" w:rsidP="00EE6BA0">
            <w:pPr>
              <w:spacing w:after="0" w:line="240" w:lineRule="auto"/>
              <w:jc w:val="center"/>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 xml:space="preserve">Aggregate </w:t>
            </w:r>
            <w:r w:rsidR="009A1A12">
              <w:rPr>
                <w:rFonts w:asciiTheme="majorHAnsi" w:eastAsia="Times New Roman" w:hAnsiTheme="majorHAnsi" w:cs="Calibri"/>
                <w:b/>
                <w:bCs/>
                <w:color w:val="000000"/>
                <w:sz w:val="18"/>
                <w:szCs w:val="18"/>
              </w:rPr>
              <w:br/>
            </w:r>
            <w:r w:rsidRPr="00EE6BA0">
              <w:rPr>
                <w:rFonts w:asciiTheme="majorHAnsi" w:eastAsia="Times New Roman" w:hAnsiTheme="majorHAnsi" w:cs="Calibri"/>
                <w:b/>
                <w:bCs/>
                <w:color w:val="000000"/>
                <w:sz w:val="18"/>
                <w:szCs w:val="18"/>
              </w:rPr>
              <w:t>Approach</w:t>
            </w:r>
          </w:p>
        </w:tc>
      </w:tr>
      <w:tr w:rsidR="00EE6BA0" w:rsidRPr="00EE6BA0" w14:paraId="2F25E7B1" w14:textId="77777777" w:rsidTr="00E11D18">
        <w:trPr>
          <w:trHeight w:val="300"/>
        </w:trPr>
        <w:tc>
          <w:tcPr>
            <w:tcW w:w="7650" w:type="dxa"/>
            <w:gridSpan w:val="4"/>
            <w:tcBorders>
              <w:top w:val="single" w:sz="4" w:space="0" w:color="auto"/>
              <w:left w:val="single" w:sz="4" w:space="0" w:color="auto"/>
              <w:bottom w:val="single" w:sz="8" w:space="0" w:color="auto"/>
              <w:right w:val="nil"/>
            </w:tcBorders>
            <w:shd w:val="clear" w:color="auto" w:fill="auto"/>
            <w:noWrap/>
            <w:vAlign w:val="bottom"/>
            <w:hideMark/>
          </w:tcPr>
          <w:p w14:paraId="39DC6254"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30B4307D" w14:textId="0BB50062" w:rsidR="00EE6BA0" w:rsidRDefault="00EE6BA0" w:rsidP="00EE6BA0">
            <w:pPr>
              <w:spacing w:after="0" w:line="240" w:lineRule="auto"/>
              <w:jc w:val="left"/>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Results for Partner X</w:t>
            </w:r>
          </w:p>
          <w:p w14:paraId="7A2FF8AB"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686638FA" w14:textId="77777777" w:rsidR="00484465" w:rsidRPr="00EE6BA0" w:rsidRDefault="00484465" w:rsidP="00EE6BA0">
            <w:pPr>
              <w:spacing w:after="0" w:line="240" w:lineRule="auto"/>
              <w:jc w:val="left"/>
              <w:rPr>
                <w:rFonts w:asciiTheme="majorHAnsi" w:eastAsia="Times New Roman" w:hAnsiTheme="majorHAnsi" w:cs="Calibri"/>
                <w:b/>
                <w:bCs/>
                <w:color w:val="000000"/>
                <w:sz w:val="18"/>
                <w:szCs w:val="18"/>
              </w:rPr>
            </w:pPr>
          </w:p>
        </w:tc>
        <w:tc>
          <w:tcPr>
            <w:tcW w:w="1260"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34A4BE51" w14:textId="77777777" w:rsidR="00EE6BA0" w:rsidRPr="00EE6BA0" w:rsidRDefault="00EE6BA0" w:rsidP="00EE6BA0">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1DB0610C"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C3648F7"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1</w:t>
            </w:r>
          </w:p>
        </w:tc>
        <w:tc>
          <w:tcPr>
            <w:tcW w:w="2880" w:type="dxa"/>
            <w:tcBorders>
              <w:top w:val="nil"/>
              <w:left w:val="nil"/>
              <w:bottom w:val="single" w:sz="4" w:space="0" w:color="auto"/>
              <w:right w:val="single" w:sz="4" w:space="0" w:color="auto"/>
            </w:tcBorders>
            <w:shd w:val="clear" w:color="auto" w:fill="auto"/>
            <w:noWrap/>
            <w:vAlign w:val="center"/>
            <w:hideMark/>
          </w:tcPr>
          <w:p w14:paraId="299A1981"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Ordinary Income</w:t>
            </w:r>
          </w:p>
        </w:tc>
        <w:tc>
          <w:tcPr>
            <w:tcW w:w="1260" w:type="dxa"/>
            <w:tcBorders>
              <w:top w:val="nil"/>
              <w:left w:val="nil"/>
              <w:bottom w:val="single" w:sz="4" w:space="0" w:color="auto"/>
              <w:right w:val="single" w:sz="4" w:space="0" w:color="auto"/>
            </w:tcBorders>
            <w:shd w:val="clear" w:color="auto" w:fill="auto"/>
            <w:noWrap/>
            <w:vAlign w:val="center"/>
            <w:hideMark/>
          </w:tcPr>
          <w:p w14:paraId="17D12150"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12,000 </w:t>
            </w:r>
          </w:p>
        </w:tc>
        <w:tc>
          <w:tcPr>
            <w:tcW w:w="1350" w:type="dxa"/>
            <w:tcBorders>
              <w:top w:val="nil"/>
              <w:left w:val="nil"/>
              <w:bottom w:val="single" w:sz="4" w:space="0" w:color="auto"/>
              <w:right w:val="nil"/>
            </w:tcBorders>
            <w:shd w:val="clear" w:color="auto" w:fill="auto"/>
            <w:noWrap/>
            <w:vAlign w:val="center"/>
            <w:hideMark/>
          </w:tcPr>
          <w:p w14:paraId="4CF7BD6C"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12,000 </w:t>
            </w:r>
          </w:p>
        </w:tc>
        <w:tc>
          <w:tcPr>
            <w:tcW w:w="1260" w:type="dxa"/>
            <w:tcBorders>
              <w:top w:val="nil"/>
              <w:left w:val="single" w:sz="8" w:space="0" w:color="auto"/>
              <w:bottom w:val="single" w:sz="4" w:space="0" w:color="auto"/>
              <w:right w:val="single" w:sz="4" w:space="0" w:color="auto"/>
            </w:tcBorders>
            <w:shd w:val="clear" w:color="000000" w:fill="F2F2F2"/>
            <w:noWrap/>
            <w:vAlign w:val="center"/>
            <w:hideMark/>
          </w:tcPr>
          <w:p w14:paraId="572ABD63"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09E13163"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287DA49"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c>
          <w:tcPr>
            <w:tcW w:w="2880" w:type="dxa"/>
            <w:tcBorders>
              <w:top w:val="nil"/>
              <w:left w:val="nil"/>
              <w:bottom w:val="single" w:sz="4" w:space="0" w:color="auto"/>
              <w:right w:val="single" w:sz="4" w:space="0" w:color="auto"/>
            </w:tcBorders>
            <w:shd w:val="clear" w:color="auto" w:fill="auto"/>
            <w:noWrap/>
            <w:vAlign w:val="center"/>
            <w:hideMark/>
          </w:tcPr>
          <w:p w14:paraId="00CDDC98"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Partnership Income (Loss)</w:t>
            </w:r>
          </w:p>
        </w:tc>
        <w:tc>
          <w:tcPr>
            <w:tcW w:w="1260" w:type="dxa"/>
            <w:tcBorders>
              <w:top w:val="nil"/>
              <w:left w:val="nil"/>
              <w:bottom w:val="single" w:sz="4" w:space="0" w:color="auto"/>
              <w:right w:val="single" w:sz="4" w:space="0" w:color="auto"/>
            </w:tcBorders>
            <w:shd w:val="clear" w:color="auto" w:fill="auto"/>
            <w:noWrap/>
            <w:vAlign w:val="center"/>
            <w:hideMark/>
          </w:tcPr>
          <w:p w14:paraId="74945DED"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(1,000)</w:t>
            </w:r>
          </w:p>
        </w:tc>
        <w:tc>
          <w:tcPr>
            <w:tcW w:w="1350" w:type="dxa"/>
            <w:tcBorders>
              <w:top w:val="nil"/>
              <w:left w:val="nil"/>
              <w:bottom w:val="single" w:sz="4" w:space="0" w:color="auto"/>
              <w:right w:val="nil"/>
            </w:tcBorders>
            <w:shd w:val="clear" w:color="auto" w:fill="auto"/>
            <w:noWrap/>
            <w:vAlign w:val="center"/>
            <w:hideMark/>
          </w:tcPr>
          <w:p w14:paraId="7AE43B77"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(1,000)</w:t>
            </w:r>
          </w:p>
        </w:tc>
        <w:tc>
          <w:tcPr>
            <w:tcW w:w="1260" w:type="dxa"/>
            <w:tcBorders>
              <w:top w:val="nil"/>
              <w:left w:val="single" w:sz="8" w:space="0" w:color="auto"/>
              <w:bottom w:val="single" w:sz="4" w:space="0" w:color="auto"/>
              <w:right w:val="single" w:sz="4" w:space="0" w:color="auto"/>
            </w:tcBorders>
            <w:shd w:val="clear" w:color="000000" w:fill="F2F2F2"/>
            <w:noWrap/>
            <w:vAlign w:val="center"/>
            <w:hideMark/>
          </w:tcPr>
          <w:p w14:paraId="20CA3F0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3,000 </w:t>
            </w:r>
          </w:p>
        </w:tc>
      </w:tr>
      <w:tr w:rsidR="00CF2E3C" w:rsidRPr="00EE6BA0" w14:paraId="52D22934"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F3052C5"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c>
          <w:tcPr>
            <w:tcW w:w="2880" w:type="dxa"/>
            <w:tcBorders>
              <w:top w:val="nil"/>
              <w:left w:val="nil"/>
              <w:bottom w:val="single" w:sz="4" w:space="0" w:color="auto"/>
              <w:right w:val="single" w:sz="4" w:space="0" w:color="auto"/>
            </w:tcBorders>
            <w:shd w:val="clear" w:color="auto" w:fill="auto"/>
            <w:noWrap/>
            <w:vAlign w:val="center"/>
            <w:hideMark/>
          </w:tcPr>
          <w:p w14:paraId="1BE42510"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Net Ordinary Income</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1A6E93F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11,000 </w:t>
            </w:r>
          </w:p>
        </w:tc>
        <w:tc>
          <w:tcPr>
            <w:tcW w:w="1350" w:type="dxa"/>
            <w:tcBorders>
              <w:top w:val="single" w:sz="4" w:space="0" w:color="auto"/>
              <w:left w:val="nil"/>
              <w:bottom w:val="double" w:sz="4" w:space="0" w:color="auto"/>
              <w:right w:val="nil"/>
            </w:tcBorders>
            <w:shd w:val="clear" w:color="auto" w:fill="auto"/>
            <w:noWrap/>
            <w:vAlign w:val="center"/>
            <w:hideMark/>
          </w:tcPr>
          <w:p w14:paraId="1F2ED9E0"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11,000 </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63691ED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3,000 </w:t>
            </w:r>
          </w:p>
        </w:tc>
      </w:tr>
      <w:tr w:rsidR="00CF2E3C" w:rsidRPr="00EE6BA0" w14:paraId="6CA3D422"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38381B6"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2 (Liquidation)</w:t>
            </w:r>
          </w:p>
        </w:tc>
        <w:tc>
          <w:tcPr>
            <w:tcW w:w="2880" w:type="dxa"/>
            <w:tcBorders>
              <w:top w:val="nil"/>
              <w:left w:val="nil"/>
              <w:bottom w:val="single" w:sz="4" w:space="0" w:color="auto"/>
              <w:right w:val="single" w:sz="4" w:space="0" w:color="auto"/>
            </w:tcBorders>
            <w:shd w:val="clear" w:color="auto" w:fill="auto"/>
            <w:noWrap/>
            <w:vAlign w:val="center"/>
            <w:hideMark/>
          </w:tcPr>
          <w:p w14:paraId="47140A71" w14:textId="1BAD2B09"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Gain/Loss</w:t>
            </w:r>
          </w:p>
        </w:tc>
        <w:tc>
          <w:tcPr>
            <w:tcW w:w="1260" w:type="dxa"/>
            <w:tcBorders>
              <w:top w:val="double" w:sz="4" w:space="0" w:color="auto"/>
              <w:left w:val="nil"/>
              <w:bottom w:val="double" w:sz="4" w:space="0" w:color="auto"/>
              <w:right w:val="single" w:sz="4" w:space="0" w:color="auto"/>
            </w:tcBorders>
            <w:shd w:val="clear" w:color="auto" w:fill="auto"/>
            <w:noWrap/>
            <w:vAlign w:val="center"/>
            <w:hideMark/>
          </w:tcPr>
          <w:p w14:paraId="66E17D6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350" w:type="dxa"/>
            <w:tcBorders>
              <w:top w:val="double" w:sz="4" w:space="0" w:color="auto"/>
              <w:left w:val="nil"/>
              <w:bottom w:val="double" w:sz="4" w:space="0" w:color="auto"/>
              <w:right w:val="nil"/>
            </w:tcBorders>
            <w:shd w:val="clear" w:color="auto" w:fill="auto"/>
            <w:noWrap/>
            <w:vAlign w:val="center"/>
            <w:hideMark/>
          </w:tcPr>
          <w:p w14:paraId="73947E8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260" w:type="dxa"/>
            <w:tcBorders>
              <w:top w:val="double" w:sz="4" w:space="0" w:color="auto"/>
              <w:left w:val="single" w:sz="8" w:space="0" w:color="auto"/>
              <w:bottom w:val="double" w:sz="4" w:space="0" w:color="auto"/>
              <w:right w:val="single" w:sz="4" w:space="0" w:color="auto"/>
            </w:tcBorders>
            <w:shd w:val="clear" w:color="000000" w:fill="F2F2F2"/>
            <w:noWrap/>
            <w:vAlign w:val="center"/>
            <w:hideMark/>
          </w:tcPr>
          <w:p w14:paraId="22C7F8E3"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8,000 </w:t>
            </w:r>
          </w:p>
        </w:tc>
      </w:tr>
      <w:tr w:rsidR="00EE6BA0" w:rsidRPr="00EE6BA0" w14:paraId="582EDE67" w14:textId="77777777" w:rsidTr="00E11D18">
        <w:trPr>
          <w:trHeight w:val="300"/>
        </w:trPr>
        <w:tc>
          <w:tcPr>
            <w:tcW w:w="7650" w:type="dxa"/>
            <w:gridSpan w:val="4"/>
            <w:tcBorders>
              <w:top w:val="single" w:sz="4" w:space="0" w:color="auto"/>
              <w:left w:val="single" w:sz="4" w:space="0" w:color="auto"/>
              <w:bottom w:val="single" w:sz="8" w:space="0" w:color="auto"/>
              <w:right w:val="nil"/>
            </w:tcBorders>
            <w:shd w:val="clear" w:color="auto" w:fill="auto"/>
            <w:noWrap/>
            <w:vAlign w:val="bottom"/>
            <w:hideMark/>
          </w:tcPr>
          <w:p w14:paraId="1355D47D" w14:textId="77777777" w:rsidR="00484465" w:rsidRDefault="00484465" w:rsidP="00EE6BA0">
            <w:pPr>
              <w:spacing w:after="0" w:line="240" w:lineRule="auto"/>
              <w:jc w:val="left"/>
              <w:rPr>
                <w:rFonts w:asciiTheme="majorHAnsi" w:eastAsia="Times New Roman" w:hAnsiTheme="majorHAnsi" w:cs="Calibri"/>
                <w:b/>
                <w:bCs/>
                <w:color w:val="000000"/>
                <w:sz w:val="18"/>
                <w:szCs w:val="18"/>
              </w:rPr>
            </w:pPr>
          </w:p>
          <w:p w14:paraId="59FA476F" w14:textId="77777777" w:rsidR="00EE6BA0" w:rsidRDefault="00EE6BA0" w:rsidP="00EE6BA0">
            <w:pPr>
              <w:spacing w:after="0" w:line="240" w:lineRule="auto"/>
              <w:jc w:val="left"/>
              <w:rPr>
                <w:rFonts w:asciiTheme="majorHAnsi" w:eastAsia="Times New Roman" w:hAnsiTheme="majorHAnsi" w:cs="Calibri"/>
                <w:b/>
                <w:bCs/>
                <w:color w:val="000000"/>
                <w:sz w:val="18"/>
                <w:szCs w:val="18"/>
              </w:rPr>
            </w:pPr>
            <w:r w:rsidRPr="00EE6BA0">
              <w:rPr>
                <w:rFonts w:asciiTheme="majorHAnsi" w:eastAsia="Times New Roman" w:hAnsiTheme="majorHAnsi" w:cs="Calibri"/>
                <w:b/>
                <w:bCs/>
                <w:color w:val="000000"/>
                <w:sz w:val="18"/>
                <w:szCs w:val="18"/>
              </w:rPr>
              <w:t>Results for Partners Y &amp; Z Combined</w:t>
            </w:r>
          </w:p>
          <w:p w14:paraId="640E1AFA" w14:textId="1D63A8F7" w:rsidR="00484465" w:rsidRPr="00EE6BA0" w:rsidRDefault="00484465" w:rsidP="00EE6BA0">
            <w:pPr>
              <w:spacing w:after="0" w:line="240" w:lineRule="auto"/>
              <w:jc w:val="left"/>
              <w:rPr>
                <w:rFonts w:asciiTheme="majorHAnsi" w:eastAsia="Times New Roman" w:hAnsiTheme="majorHAnsi" w:cs="Calibri"/>
                <w:b/>
                <w:bCs/>
                <w:color w:val="000000"/>
                <w:sz w:val="18"/>
                <w:szCs w:val="18"/>
              </w:rPr>
            </w:pPr>
          </w:p>
        </w:tc>
        <w:tc>
          <w:tcPr>
            <w:tcW w:w="1260" w:type="dxa"/>
            <w:tcBorders>
              <w:top w:val="nil"/>
              <w:left w:val="single" w:sz="8" w:space="0" w:color="auto"/>
              <w:bottom w:val="single" w:sz="8" w:space="0" w:color="auto"/>
              <w:right w:val="single" w:sz="4" w:space="0" w:color="auto"/>
            </w:tcBorders>
            <w:shd w:val="clear" w:color="000000" w:fill="F2F2F2"/>
            <w:noWrap/>
            <w:vAlign w:val="bottom"/>
            <w:hideMark/>
          </w:tcPr>
          <w:p w14:paraId="0C2DE821" w14:textId="77777777" w:rsidR="00EE6BA0" w:rsidRPr="00EE6BA0" w:rsidRDefault="00EE6BA0" w:rsidP="00EE6BA0">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w:t>
            </w:r>
          </w:p>
        </w:tc>
      </w:tr>
      <w:tr w:rsidR="00CF2E3C" w:rsidRPr="00EE6BA0" w14:paraId="78E6C98F"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916F9E6"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1</w:t>
            </w:r>
          </w:p>
        </w:tc>
        <w:tc>
          <w:tcPr>
            <w:tcW w:w="2880" w:type="dxa"/>
            <w:tcBorders>
              <w:top w:val="nil"/>
              <w:left w:val="nil"/>
              <w:bottom w:val="single" w:sz="4" w:space="0" w:color="auto"/>
              <w:right w:val="single" w:sz="4" w:space="0" w:color="auto"/>
            </w:tcBorders>
            <w:shd w:val="clear" w:color="auto" w:fill="auto"/>
            <w:noWrap/>
            <w:vAlign w:val="center"/>
            <w:hideMark/>
          </w:tcPr>
          <w:p w14:paraId="217DB649" w14:textId="0B64875E"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Partnership Income (Loss)</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6EC6DE2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(2,000)</w:t>
            </w:r>
          </w:p>
        </w:tc>
        <w:tc>
          <w:tcPr>
            <w:tcW w:w="1350" w:type="dxa"/>
            <w:tcBorders>
              <w:top w:val="single" w:sz="4" w:space="0" w:color="auto"/>
              <w:left w:val="nil"/>
              <w:bottom w:val="double" w:sz="4" w:space="0" w:color="auto"/>
              <w:right w:val="nil"/>
            </w:tcBorders>
            <w:shd w:val="clear" w:color="auto" w:fill="auto"/>
            <w:noWrap/>
            <w:vAlign w:val="center"/>
            <w:hideMark/>
          </w:tcPr>
          <w:p w14:paraId="5E45F4AE"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(2,000)</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3CC8A821"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6,000 </w:t>
            </w:r>
          </w:p>
        </w:tc>
      </w:tr>
      <w:tr w:rsidR="00CF2E3C" w:rsidRPr="00EE6BA0" w14:paraId="2C23FA29" w14:textId="77777777" w:rsidTr="00E11D18">
        <w:trPr>
          <w:trHeight w:val="288"/>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8CF6F68" w14:textId="77777777" w:rsidR="00EE6BA0" w:rsidRPr="00EE6BA0" w:rsidRDefault="00EE6BA0" w:rsidP="005E71AB">
            <w:pPr>
              <w:spacing w:after="0" w:line="240" w:lineRule="auto"/>
              <w:jc w:val="lef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Year 2 (Liquidation)</w:t>
            </w:r>
          </w:p>
        </w:tc>
        <w:tc>
          <w:tcPr>
            <w:tcW w:w="2880" w:type="dxa"/>
            <w:tcBorders>
              <w:top w:val="nil"/>
              <w:left w:val="nil"/>
              <w:bottom w:val="single" w:sz="4" w:space="0" w:color="auto"/>
              <w:right w:val="single" w:sz="4" w:space="0" w:color="auto"/>
            </w:tcBorders>
            <w:shd w:val="clear" w:color="auto" w:fill="auto"/>
            <w:noWrap/>
            <w:vAlign w:val="center"/>
            <w:hideMark/>
          </w:tcPr>
          <w:p w14:paraId="58F1B761" w14:textId="2D5D9E25" w:rsidR="00EE6BA0" w:rsidRPr="00EE6BA0" w:rsidRDefault="00E11D18" w:rsidP="005E71AB">
            <w:pPr>
              <w:spacing w:after="0" w:line="240" w:lineRule="auto"/>
              <w:jc w:val="left"/>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Total </w:t>
            </w:r>
            <w:r w:rsidR="00EE6BA0" w:rsidRPr="00EE6BA0">
              <w:rPr>
                <w:rFonts w:asciiTheme="majorHAnsi" w:eastAsia="Times New Roman" w:hAnsiTheme="majorHAnsi" w:cs="Calibri"/>
                <w:color w:val="000000"/>
                <w:sz w:val="18"/>
                <w:szCs w:val="18"/>
              </w:rPr>
              <w:t>Gain/Loss</w:t>
            </w:r>
          </w:p>
        </w:tc>
        <w:tc>
          <w:tcPr>
            <w:tcW w:w="1260" w:type="dxa"/>
            <w:tcBorders>
              <w:top w:val="single" w:sz="4" w:space="0" w:color="auto"/>
              <w:left w:val="nil"/>
              <w:bottom w:val="double" w:sz="4" w:space="0" w:color="auto"/>
              <w:right w:val="single" w:sz="4" w:space="0" w:color="auto"/>
            </w:tcBorders>
            <w:shd w:val="clear" w:color="auto" w:fill="auto"/>
            <w:noWrap/>
            <w:vAlign w:val="center"/>
            <w:hideMark/>
          </w:tcPr>
          <w:p w14:paraId="4C14F2D5"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350" w:type="dxa"/>
            <w:tcBorders>
              <w:top w:val="single" w:sz="4" w:space="0" w:color="auto"/>
              <w:left w:val="nil"/>
              <w:bottom w:val="double" w:sz="4" w:space="0" w:color="auto"/>
              <w:right w:val="nil"/>
            </w:tcBorders>
            <w:shd w:val="clear" w:color="auto" w:fill="auto"/>
            <w:noWrap/>
            <w:vAlign w:val="center"/>
            <w:hideMark/>
          </w:tcPr>
          <w:p w14:paraId="5AB4B31D"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   </w:t>
            </w:r>
          </w:p>
        </w:tc>
        <w:tc>
          <w:tcPr>
            <w:tcW w:w="1260" w:type="dxa"/>
            <w:tcBorders>
              <w:top w:val="single" w:sz="4" w:space="0" w:color="auto"/>
              <w:left w:val="single" w:sz="8" w:space="0" w:color="auto"/>
              <w:bottom w:val="double" w:sz="4" w:space="0" w:color="auto"/>
              <w:right w:val="single" w:sz="4" w:space="0" w:color="auto"/>
            </w:tcBorders>
            <w:shd w:val="clear" w:color="000000" w:fill="F2F2F2"/>
            <w:noWrap/>
            <w:vAlign w:val="center"/>
            <w:hideMark/>
          </w:tcPr>
          <w:p w14:paraId="6148424A" w14:textId="77777777" w:rsidR="00EE6BA0" w:rsidRPr="00EE6BA0" w:rsidRDefault="00EE6BA0" w:rsidP="005E71AB">
            <w:pPr>
              <w:spacing w:after="0" w:line="240" w:lineRule="auto"/>
              <w:jc w:val="right"/>
              <w:rPr>
                <w:rFonts w:asciiTheme="majorHAnsi" w:eastAsia="Times New Roman" w:hAnsiTheme="majorHAnsi" w:cs="Calibri"/>
                <w:color w:val="000000"/>
                <w:sz w:val="18"/>
                <w:szCs w:val="18"/>
              </w:rPr>
            </w:pPr>
            <w:r w:rsidRPr="00EE6BA0">
              <w:rPr>
                <w:rFonts w:asciiTheme="majorHAnsi" w:eastAsia="Times New Roman" w:hAnsiTheme="majorHAnsi" w:cs="Calibri"/>
                <w:color w:val="000000"/>
                <w:sz w:val="18"/>
                <w:szCs w:val="18"/>
              </w:rPr>
              <w:t xml:space="preserve"> $      (8,000)</w:t>
            </w:r>
          </w:p>
        </w:tc>
      </w:tr>
    </w:tbl>
    <w:p w14:paraId="2B665F07" w14:textId="4512959A" w:rsidR="00296708" w:rsidRPr="00296708" w:rsidRDefault="003E16A7" w:rsidP="004963AE">
      <w:pPr>
        <w:spacing w:before="240"/>
      </w:pPr>
      <w:r w:rsidRPr="003E16A7">
        <w:t xml:space="preserve">In this example, both entity and aggregate approaches will result in the same total </w:t>
      </w:r>
      <w:r w:rsidR="005D4708">
        <w:t xml:space="preserve">amount of recognized </w:t>
      </w:r>
      <w:r w:rsidRPr="003E16A7">
        <w:t xml:space="preserve">income/gain by the three partners—$9,000 over the two years. But under the entity approach, income will be ordinary income or loss and will be recognized </w:t>
      </w:r>
      <w:r w:rsidR="005D4708">
        <w:t>when received</w:t>
      </w:r>
      <w:r w:rsidRPr="003E16A7">
        <w:t xml:space="preserve">. </w:t>
      </w:r>
      <w:r w:rsidR="000B4A85">
        <w:t>U</w:t>
      </w:r>
      <w:r w:rsidRPr="003E16A7">
        <w:t xml:space="preserve">nder the aggregate approach, </w:t>
      </w:r>
      <w:r w:rsidR="000B4A85">
        <w:t>some income will be capital gain (loss), and deferred</w:t>
      </w:r>
      <w:r w:rsidR="00BD2AFB">
        <w:t xml:space="preserve"> until liquidation</w:t>
      </w:r>
      <w:r w:rsidRPr="003E16A7">
        <w:t xml:space="preserve">. </w:t>
      </w:r>
      <w:r w:rsidR="00BD2AFB">
        <w:t>These d</w:t>
      </w:r>
      <w:r w:rsidR="00296708" w:rsidRPr="00296708">
        <w:t>ifferences in the character are important because the federal substantive tax rules would treat the ordinary income and loss differently than the capital gains and losses</w:t>
      </w:r>
      <w:r w:rsidR="00BD2AFB">
        <w:t>—so the</w:t>
      </w:r>
      <w:r w:rsidR="00296708" w:rsidRPr="00296708">
        <w:t xml:space="preserve"> tax paid will vary.  </w:t>
      </w:r>
    </w:p>
    <w:p w14:paraId="6EA28FE4" w14:textId="5681BFD4" w:rsidR="003E16A7" w:rsidRPr="003E16A7" w:rsidRDefault="00954140" w:rsidP="003E16A7">
      <w:r>
        <w:t>And w</w:t>
      </w:r>
      <w:r w:rsidR="003E16A7" w:rsidRPr="003E16A7">
        <w:t xml:space="preserve">hat this very simple example indicates is that, when it comes to certain arrangements in which partners are paid for services performed on behalf of the partnership, the entity approach to taxation may be a better match for the actual economic result than the aggregate approach. </w:t>
      </w:r>
      <w:r w:rsidR="00A52E15">
        <w:t>This is also the approach</w:t>
      </w:r>
      <w:r w:rsidR="003E16A7">
        <w:t xml:space="preserve"> Subchapter K now takes</w:t>
      </w:r>
      <w:r w:rsidR="00A52E15">
        <w:t xml:space="preserve">, as </w:t>
      </w:r>
      <w:r w:rsidR="00A52E15" w:rsidRPr="00A52E15">
        <w:t>discussed</w:t>
      </w:r>
      <w:r w:rsidR="00A52E15">
        <w:t xml:space="preserve"> further</w:t>
      </w:r>
      <w:r w:rsidR="00A52E15" w:rsidRPr="00A52E15">
        <w:t xml:space="preserve"> in Section II below</w:t>
      </w:r>
      <w:r w:rsidR="003E16A7">
        <w:t xml:space="preserve">. </w:t>
      </w:r>
    </w:p>
    <w:p w14:paraId="450001A4" w14:textId="2CF7C6EC" w:rsidR="00B46C75" w:rsidRDefault="00D074F7" w:rsidP="00043443">
      <w:pPr>
        <w:pStyle w:val="Heading3"/>
      </w:pPr>
      <w:bookmarkStart w:id="29" w:name="_Toc153291148"/>
      <w:r>
        <w:t>Congress’s Decision to Apply Entity Approach to Guaranteed Payments</w:t>
      </w:r>
      <w:bookmarkEnd w:id="29"/>
    </w:p>
    <w:p w14:paraId="618ED2CC" w14:textId="585D8682" w:rsidR="00681757" w:rsidRPr="00681757" w:rsidRDefault="00110ED1" w:rsidP="00043443">
      <w:r>
        <w:t>As noted above, while t</w:t>
      </w:r>
      <w:r w:rsidR="00681757" w:rsidRPr="00681757">
        <w:t>he aggregate theory governed the early development of partnership law, including tax law</w:t>
      </w:r>
      <w:r>
        <w:t>, o</w:t>
      </w:r>
      <w:r w:rsidR="00681757" w:rsidRPr="00681757">
        <w:t xml:space="preserve">ver time </w:t>
      </w:r>
      <w:r w:rsidR="00BB702B">
        <w:t>this</w:t>
      </w:r>
      <w:r w:rsidR="00681757" w:rsidRPr="00681757">
        <w:t xml:space="preserve"> traditional view of partnerships </w:t>
      </w:r>
      <w:r w:rsidR="00BB702B">
        <w:t>has</w:t>
      </w:r>
      <w:r w:rsidR="00681757" w:rsidRPr="00681757">
        <w:t xml:space="preserve"> changed</w:t>
      </w:r>
      <w:r w:rsidR="00BB702B">
        <w:t xml:space="preserve"> in some ways</w:t>
      </w:r>
      <w:r w:rsidR="00681757" w:rsidRPr="00681757">
        <w:t xml:space="preserve">, </w:t>
      </w:r>
      <w:r w:rsidR="00BB702B">
        <w:t>although</w:t>
      </w:r>
      <w:r w:rsidR="00681757" w:rsidRPr="00681757">
        <w:t xml:space="preserve"> not</w:t>
      </w:r>
      <w:r w:rsidR="00BB702B">
        <w:t xml:space="preserve"> in others</w:t>
      </w:r>
      <w:r w:rsidR="00681757" w:rsidRPr="00681757">
        <w:t xml:space="preserve">. For example, it is still the case that partners </w:t>
      </w:r>
      <w:r w:rsidR="0016742C">
        <w:t xml:space="preserve">are not </w:t>
      </w:r>
      <w:r w:rsidR="00681757" w:rsidRPr="00681757">
        <w:t xml:space="preserve">considered employees of the partnership, so payments that are similar to compensation are not treated as </w:t>
      </w:r>
      <w:r>
        <w:t xml:space="preserve">employee </w:t>
      </w:r>
      <w:r w:rsidR="00681757" w:rsidRPr="00681757">
        <w:t xml:space="preserve">compensation.  </w:t>
      </w:r>
    </w:p>
    <w:p w14:paraId="0FA3E178" w14:textId="3F27403E" w:rsidR="00732DE9" w:rsidRDefault="00D949B0" w:rsidP="00043443">
      <w:r>
        <w:t>But the general</w:t>
      </w:r>
      <w:r w:rsidR="00513306">
        <w:t xml:space="preserve"> application of the aggregate theory to guaranteed payments was eventually recognized as </w:t>
      </w:r>
      <w:r w:rsidR="004D026C">
        <w:t xml:space="preserve">unworkable. </w:t>
      </w:r>
      <w:r w:rsidR="00FF18B7">
        <w:t>As one court noted, p</w:t>
      </w:r>
      <w:r w:rsidR="00681757" w:rsidRPr="00681757">
        <w:t xml:space="preserve">rior to </w:t>
      </w:r>
      <w:r w:rsidR="00586687">
        <w:t xml:space="preserve">1954 and </w:t>
      </w:r>
      <w:r w:rsidR="00681757" w:rsidRPr="00681757">
        <w:t>the enactment of IRC § 707</w:t>
      </w:r>
      <w:r w:rsidR="00586687">
        <w:t xml:space="preserve"> (the section which governs these payments today)</w:t>
      </w:r>
      <w:r w:rsidR="00681757" w:rsidRPr="00681757">
        <w:t>: “the tax treatments of partners and partnerships were confused and at times contradictory.” In that case</w:t>
      </w:r>
      <w:r w:rsidR="00FF18B7">
        <w:t xml:space="preserve">, </w:t>
      </w:r>
      <w:r w:rsidR="00681757" w:rsidRPr="00681757">
        <w:t>the question was whether a payment to a partner not covered by current year income should be considered as paid from that partner's capital, or from the capital of the other partners. If the former, then it would simply be a non-taxable distribution. If the latter, then it might be treated as a deduction by the other partners for ordinary and necessary business expenses</w:t>
      </w:r>
      <w:r w:rsidR="00C91830">
        <w:t xml:space="preserve"> they incurred</w:t>
      </w:r>
      <w:r w:rsidR="00681757" w:rsidRPr="00681757">
        <w:t xml:space="preserve">. </w:t>
      </w:r>
    </w:p>
    <w:p w14:paraId="3F39D6C4" w14:textId="46BACA83" w:rsidR="00681757" w:rsidRPr="00681757" w:rsidRDefault="00681757" w:rsidP="00043443">
      <w:r w:rsidRPr="00681757">
        <w:t xml:space="preserve">As the court </w:t>
      </w:r>
      <w:r w:rsidR="00217866">
        <w:t xml:space="preserve">also </w:t>
      </w:r>
      <w:r w:rsidRPr="00681757">
        <w:t xml:space="preserve">noted, Congress </w:t>
      </w:r>
      <w:r w:rsidR="00C91830">
        <w:t xml:space="preserve">ultimately </w:t>
      </w:r>
      <w:r w:rsidRPr="00681757">
        <w:t xml:space="preserve">decided that applying the aggregate approach </w:t>
      </w:r>
      <w:r w:rsidR="00E7282E">
        <w:t>to such payments</w:t>
      </w:r>
      <w:r w:rsidRPr="00681757">
        <w:t xml:space="preserve"> was "unrealistic and unnecessarily complicated" and thus adopted, in general, the entity approach for tax treatment of compensation to partners for services, at least as far as sections 61(a) and 162(a) were concerned.</w:t>
      </w:r>
      <w:r w:rsidRPr="00681757">
        <w:rPr>
          <w:vertAlign w:val="superscript"/>
        </w:rPr>
        <w:t xml:space="preserve"> </w:t>
      </w:r>
      <w:r w:rsidRPr="00681757">
        <w:rPr>
          <w:vertAlign w:val="superscript"/>
        </w:rPr>
        <w:footnoteReference w:id="5"/>
      </w:r>
      <w:r w:rsidRPr="00681757">
        <w:t xml:space="preserve"> </w:t>
      </w:r>
    </w:p>
    <w:p w14:paraId="2FCCAD5B" w14:textId="22A2EA10" w:rsidR="007A2D19" w:rsidRPr="007A2D19" w:rsidRDefault="007A2D19" w:rsidP="00E81992">
      <w:pPr>
        <w:pStyle w:val="Heading2"/>
      </w:pPr>
      <w:bookmarkStart w:id="30" w:name="_Toc153291149"/>
      <w:r w:rsidRPr="007A2D19">
        <w:lastRenderedPageBreak/>
        <w:t xml:space="preserve">I. </w:t>
      </w:r>
      <w:r w:rsidR="00636F84">
        <w:t>F</w:t>
      </w:r>
      <w:r w:rsidRPr="007A2D19">
        <w:t xml:space="preserve">. How </w:t>
      </w:r>
      <w:r w:rsidR="006747FB">
        <w:t xml:space="preserve">Do </w:t>
      </w:r>
      <w:r w:rsidR="003F2601">
        <w:t xml:space="preserve">Aggregate </w:t>
      </w:r>
      <w:r w:rsidR="006747FB">
        <w:t xml:space="preserve">or Entity </w:t>
      </w:r>
      <w:r w:rsidR="003F2601">
        <w:t>Approach</w:t>
      </w:r>
      <w:r w:rsidR="00812A24">
        <w:t>es</w:t>
      </w:r>
      <w:r w:rsidR="006747FB">
        <w:t xml:space="preserve"> Affect State Sourcing</w:t>
      </w:r>
      <w:r w:rsidR="00EF22F1">
        <w:t>?</w:t>
      </w:r>
      <w:bookmarkEnd w:id="30"/>
    </w:p>
    <w:p w14:paraId="5A234723" w14:textId="0A800804" w:rsidR="007A2D19" w:rsidRDefault="007A2D19" w:rsidP="00296708">
      <w:r w:rsidRPr="007A2D19">
        <w:t>State sourcing of guaranteed payments is discussed in detail in Section</w:t>
      </w:r>
      <w:r w:rsidR="00BB3602">
        <w:t xml:space="preserve"> IV</w:t>
      </w:r>
      <w:r w:rsidRPr="007A2D19">
        <w:t xml:space="preserve">. </w:t>
      </w:r>
      <w:r w:rsidR="00FB3AA6">
        <w:t xml:space="preserve">The question here is </w:t>
      </w:r>
      <w:r w:rsidR="00FD7143">
        <w:t xml:space="preserve">whether state sourcing </w:t>
      </w:r>
      <w:r w:rsidR="00CC323F">
        <w:t xml:space="preserve">of guaranteed payments </w:t>
      </w:r>
      <w:r w:rsidR="00FD7143">
        <w:t xml:space="preserve">is or should be affected by </w:t>
      </w:r>
      <w:r w:rsidR="009D3F6E">
        <w:t xml:space="preserve">whether the </w:t>
      </w:r>
      <w:r w:rsidR="00FB3AA6">
        <w:t xml:space="preserve">aggregate or entity approach </w:t>
      </w:r>
      <w:r w:rsidR="009D3F6E">
        <w:t xml:space="preserve">is </w:t>
      </w:r>
      <w:r w:rsidR="00270511">
        <w:t>applied to these payments under the federal pass-through system.</w:t>
      </w:r>
      <w:r w:rsidR="00890477">
        <w:t xml:space="preserve"> </w:t>
      </w:r>
      <w:r w:rsidR="00270511">
        <w:t xml:space="preserve"> </w:t>
      </w:r>
    </w:p>
    <w:p w14:paraId="32BB3BBA" w14:textId="3994CFF4" w:rsidR="00573E04" w:rsidRPr="007A2D19" w:rsidRDefault="00573E04" w:rsidP="00573E04">
      <w:pPr>
        <w:pStyle w:val="Heading3"/>
      </w:pPr>
      <w:bookmarkStart w:id="31" w:name="_Toc153291150"/>
      <w:r>
        <w:t>Comparing the Sourcing of the Categories of Payments</w:t>
      </w:r>
      <w:bookmarkEnd w:id="31"/>
    </w:p>
    <w:p w14:paraId="166CE3B5" w14:textId="6352D764" w:rsidR="007A2D19" w:rsidRPr="007A2D19" w:rsidRDefault="000C2E1D" w:rsidP="00564451">
      <w:pPr>
        <w:pStyle w:val="Heading4"/>
        <w:ind w:left="720"/>
      </w:pPr>
      <w:r>
        <w:rPr>
          <w:noProof/>
        </w:rPr>
        <w:drawing>
          <wp:anchor distT="0" distB="0" distL="114300" distR="114300" simplePos="0" relativeHeight="251676672" behindDoc="0" locked="0" layoutInCell="1" allowOverlap="1" wp14:anchorId="53D563EF" wp14:editId="00BBAB33">
            <wp:simplePos x="0" y="0"/>
            <wp:positionH relativeFrom="column">
              <wp:posOffset>-186461</wp:posOffset>
            </wp:positionH>
            <wp:positionV relativeFrom="paragraph">
              <wp:posOffset>207899</wp:posOffset>
            </wp:positionV>
            <wp:extent cx="505460" cy="505460"/>
            <wp:effectExtent l="0" t="0" r="8890" b="0"/>
            <wp:wrapSquare wrapText="bothSides"/>
            <wp:docPr id="18099350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5093" name="Graphic 1809935093"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5460" cy="505460"/>
                    </a:xfrm>
                    <a:prstGeom prst="rect">
                      <a:avLst/>
                    </a:prstGeom>
                  </pic:spPr>
                </pic:pic>
              </a:graphicData>
            </a:graphic>
            <wp14:sizeRelH relativeFrom="margin">
              <wp14:pctWidth>0</wp14:pctWidth>
            </wp14:sizeRelH>
            <wp14:sizeRelV relativeFrom="margin">
              <wp14:pctHeight>0</wp14:pctHeight>
            </wp14:sizeRelV>
          </wp:anchor>
        </w:drawing>
      </w:r>
      <w:r w:rsidR="007A2D19" w:rsidRPr="007A2D19">
        <w:t>Distributive Share</w:t>
      </w:r>
      <w:r w:rsidR="006073A9">
        <w:t>/Distributions</w:t>
      </w:r>
      <w:r w:rsidR="008E647D">
        <w:t xml:space="preserve"> – </w:t>
      </w:r>
      <w:r w:rsidR="00683904">
        <w:t xml:space="preserve">Sourced Using the </w:t>
      </w:r>
      <w:r w:rsidR="008E647D">
        <w:t>Aggregate Approach</w:t>
      </w:r>
      <w:r w:rsidR="007A2D19" w:rsidRPr="007A2D19">
        <w:t xml:space="preserve"> </w:t>
      </w:r>
      <w:r w:rsidR="00EF22F1">
        <w:t>– With One Exception</w:t>
      </w:r>
    </w:p>
    <w:p w14:paraId="4C2F719E" w14:textId="7C338F15" w:rsidR="001C1E34" w:rsidRDefault="00EE5DE8" w:rsidP="00564451">
      <w:pPr>
        <w:ind w:left="720"/>
      </w:pPr>
      <w:r>
        <w:t>As discussed above, the</w:t>
      </w:r>
      <w:r w:rsidR="009B041E">
        <w:t xml:space="preserve"> federal pass-through </w:t>
      </w:r>
      <w:r>
        <w:t xml:space="preserve">system applies the aggregate approach to </w:t>
      </w:r>
      <w:r w:rsidR="00C238CE">
        <w:t xml:space="preserve">the treatment of </w:t>
      </w:r>
      <w:r>
        <w:t xml:space="preserve">distributive share/distributions. Under this approach, </w:t>
      </w:r>
      <w:r w:rsidR="0066041A">
        <w:t xml:space="preserve">the timing, value, character, etc. of a partner’s share of partnership income is determined </w:t>
      </w:r>
      <w:r w:rsidR="00DC7885">
        <w:t xml:space="preserve">by the </w:t>
      </w:r>
      <w:r w:rsidR="00FB47DF">
        <w:t xml:space="preserve">partnership’s activities </w:t>
      </w:r>
      <w:r w:rsidR="00C238CE">
        <w:t xml:space="preserve">which are then </w:t>
      </w:r>
      <w:r w:rsidR="00DC7885">
        <w:t>attributed to the partner, as though the partner</w:t>
      </w:r>
      <w:r w:rsidR="007A2D19" w:rsidRPr="007A2D19">
        <w:t xml:space="preserve"> engaged </w:t>
      </w:r>
      <w:r w:rsidR="00DC7885">
        <w:t xml:space="preserve">in </w:t>
      </w:r>
      <w:r>
        <w:t xml:space="preserve">the partnership </w:t>
      </w:r>
      <w:r w:rsidR="007A2D19" w:rsidRPr="007A2D19">
        <w:t xml:space="preserve">activities directly. </w:t>
      </w:r>
      <w:r w:rsidR="006156A1">
        <w:t xml:space="preserve">This </w:t>
      </w:r>
      <w:r w:rsidR="00170E03">
        <w:t xml:space="preserve">is true despite the fact that </w:t>
      </w:r>
      <w:r w:rsidR="00A86692">
        <w:t>a</w:t>
      </w:r>
      <w:r w:rsidR="00170E03">
        <w:t xml:space="preserve"> partner’s active or passive role in the partnership</w:t>
      </w:r>
      <w:r w:rsidR="003F22AF">
        <w:t>’s</w:t>
      </w:r>
      <w:r w:rsidR="00170E03">
        <w:t xml:space="preserve"> activities may </w:t>
      </w:r>
      <w:r w:rsidR="003F22AF">
        <w:t xml:space="preserve">then </w:t>
      </w:r>
      <w:r w:rsidR="00170E03">
        <w:t xml:space="preserve">determine </w:t>
      </w:r>
      <w:r w:rsidR="001C1E34">
        <w:t xml:space="preserve">how certain </w:t>
      </w:r>
      <w:r w:rsidR="003F22AF">
        <w:t xml:space="preserve">partnership </w:t>
      </w:r>
      <w:r w:rsidR="001C1E34">
        <w:t xml:space="preserve">items are treated in computing that partner’s own tax. </w:t>
      </w:r>
    </w:p>
    <w:p w14:paraId="6A684FFF" w14:textId="263198FF" w:rsidR="007A2D19" w:rsidRPr="007A2D19" w:rsidRDefault="003915FF" w:rsidP="00564451">
      <w:pPr>
        <w:ind w:left="720"/>
      </w:pPr>
      <w:r>
        <w:t>States also</w:t>
      </w:r>
      <w:r w:rsidR="007A2D19" w:rsidRPr="007A2D19">
        <w:t xml:space="preserve"> source </w:t>
      </w:r>
      <w:r w:rsidR="009B041E">
        <w:t xml:space="preserve">a partner’s distributive share income </w:t>
      </w:r>
      <w:r w:rsidR="007A2D19" w:rsidRPr="007A2D19">
        <w:t>(loss)</w:t>
      </w:r>
      <w:r w:rsidR="00C80EB0">
        <w:t xml:space="preserve"> using an aggregate approach. The activities of </w:t>
      </w:r>
      <w:r w:rsidR="007A2D19" w:rsidRPr="007A2D19">
        <w:t>the partnership</w:t>
      </w:r>
      <w:r w:rsidR="009B041E">
        <w:t xml:space="preserve"> giving rise to the income</w:t>
      </w:r>
      <w:r w:rsidR="00E84C59">
        <w:t xml:space="preserve"> determine sourcing of that income </w:t>
      </w:r>
      <w:r w:rsidR="0007532E">
        <w:t xml:space="preserve">(e.g. through apportionment at the entity level). The source of the income is </w:t>
      </w:r>
      <w:r w:rsidR="00E84C59">
        <w:t xml:space="preserve">then attributed to the </w:t>
      </w:r>
      <w:r w:rsidR="00A726DD">
        <w:t xml:space="preserve">partner’s </w:t>
      </w:r>
      <w:r w:rsidR="00E84C59">
        <w:t>share</w:t>
      </w:r>
      <w:r w:rsidR="0007532E">
        <w:t xml:space="preserve"> of that </w:t>
      </w:r>
      <w:r w:rsidR="00AD036F">
        <w:t xml:space="preserve">same </w:t>
      </w:r>
      <w:r w:rsidR="0007532E">
        <w:t>income</w:t>
      </w:r>
      <w:r w:rsidR="00E84C59">
        <w:t xml:space="preserve">. </w:t>
      </w:r>
      <w:r w:rsidR="00A53CF5">
        <w:t>An</w:t>
      </w:r>
      <w:r w:rsidR="00080A52">
        <w:t xml:space="preserve"> exception to this general approach is </w:t>
      </w:r>
      <w:r w:rsidR="00AD036F">
        <w:t xml:space="preserve">sometimes </w:t>
      </w:r>
      <w:r w:rsidR="00080A52">
        <w:t>made</w:t>
      </w:r>
      <w:r w:rsidR="00022A83">
        <w:t xml:space="preserve"> for investment partnerships</w:t>
      </w:r>
      <w:r w:rsidR="00AD036F">
        <w:t xml:space="preserve"> where the activities of the </w:t>
      </w:r>
      <w:r w:rsidR="003C3D1F">
        <w:t>investment partnership</w:t>
      </w:r>
      <w:r w:rsidR="00AD036F">
        <w:t xml:space="preserve"> itself </w:t>
      </w:r>
      <w:r w:rsidR="007F75E3">
        <w:t xml:space="preserve">are ignored and the partner’s income is sourced </w:t>
      </w:r>
      <w:r w:rsidR="009C5BC9">
        <w:t xml:space="preserve">as if they held </w:t>
      </w:r>
      <w:r w:rsidR="007F75E3">
        <w:t>the</w:t>
      </w:r>
      <w:r w:rsidR="009C5BC9">
        <w:t xml:space="preserve"> same </w:t>
      </w:r>
      <w:r w:rsidR="007F75E3">
        <w:t xml:space="preserve">investment </w:t>
      </w:r>
      <w:r w:rsidR="009C5BC9">
        <w:t>assets directly.</w:t>
      </w:r>
    </w:p>
    <w:p w14:paraId="3ED1E126" w14:textId="5C4618DF" w:rsidR="007A2D19" w:rsidRPr="007A2D19" w:rsidRDefault="004E6DD5" w:rsidP="00564451">
      <w:pPr>
        <w:pStyle w:val="Heading4"/>
        <w:ind w:left="720"/>
      </w:pPr>
      <w:r>
        <w:rPr>
          <w:noProof/>
        </w:rPr>
        <w:drawing>
          <wp:anchor distT="0" distB="0" distL="114300" distR="114300" simplePos="0" relativeHeight="251677696" behindDoc="0" locked="0" layoutInCell="1" allowOverlap="1" wp14:anchorId="3FA4CDFA" wp14:editId="2B05E9B4">
            <wp:simplePos x="0" y="0"/>
            <wp:positionH relativeFrom="column">
              <wp:posOffset>-180975</wp:posOffset>
            </wp:positionH>
            <wp:positionV relativeFrom="paragraph">
              <wp:posOffset>177223</wp:posOffset>
            </wp:positionV>
            <wp:extent cx="505460" cy="505460"/>
            <wp:effectExtent l="0" t="0" r="8890" b="0"/>
            <wp:wrapSquare wrapText="bothSides"/>
            <wp:docPr id="212504733" name="Graphic 2125047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35093" name="Graphic 1809935093"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5460" cy="505460"/>
                    </a:xfrm>
                    <a:prstGeom prst="rect">
                      <a:avLst/>
                    </a:prstGeom>
                  </pic:spPr>
                </pic:pic>
              </a:graphicData>
            </a:graphic>
            <wp14:sizeRelH relativeFrom="margin">
              <wp14:pctWidth>0</wp14:pctWidth>
            </wp14:sizeRelH>
            <wp14:sizeRelV relativeFrom="margin">
              <wp14:pctHeight>0</wp14:pctHeight>
            </wp14:sizeRelV>
          </wp:anchor>
        </w:drawing>
      </w:r>
      <w:r w:rsidR="007A2D19" w:rsidRPr="007A2D19">
        <w:t>Partner-Partnership Transactions</w:t>
      </w:r>
      <w:r w:rsidR="008E647D">
        <w:t xml:space="preserve"> – </w:t>
      </w:r>
      <w:r w:rsidR="00340188">
        <w:t xml:space="preserve">Sourced Using the </w:t>
      </w:r>
      <w:r w:rsidR="008E647D">
        <w:t>Entity Approach</w:t>
      </w:r>
    </w:p>
    <w:p w14:paraId="10C3B618" w14:textId="2F876DC5" w:rsidR="00173C56" w:rsidRDefault="00CA0806" w:rsidP="00564451">
      <w:pPr>
        <w:ind w:left="720"/>
      </w:pPr>
      <w:r>
        <w:t>The federal pass-through system applies the entity</w:t>
      </w:r>
      <w:r w:rsidR="00B100BA">
        <w:t xml:space="preserve"> approach</w:t>
      </w:r>
      <w:r w:rsidR="009B041E">
        <w:t xml:space="preserve"> to partner-partnership transactions</w:t>
      </w:r>
      <w:r>
        <w:t xml:space="preserve"> so that the income of partners from such </w:t>
      </w:r>
      <w:r w:rsidR="009B041E">
        <w:t xml:space="preserve">transactions will be characterized as though </w:t>
      </w:r>
      <w:r>
        <w:t>the partner</w:t>
      </w:r>
      <w:r w:rsidR="00576C81">
        <w:t>s</w:t>
      </w:r>
      <w:r>
        <w:t xml:space="preserve"> </w:t>
      </w:r>
      <w:r w:rsidR="00576C81">
        <w:t>are</w:t>
      </w:r>
      <w:r>
        <w:t xml:space="preserve"> separate from the partnership. </w:t>
      </w:r>
      <w:r w:rsidR="00576C81">
        <w:t xml:space="preserve">The timing, value, character, etc. of any income from such transactions will be determined based on the separate activities of the partner, rather than the partnership. </w:t>
      </w:r>
    </w:p>
    <w:p w14:paraId="14B73DC8" w14:textId="46C405ED" w:rsidR="007A2D19" w:rsidRPr="007A2D19" w:rsidRDefault="00657F87" w:rsidP="00564451">
      <w:pPr>
        <w:ind w:left="720"/>
      </w:pPr>
      <w:r>
        <w:t>States also</w:t>
      </w:r>
      <w:r w:rsidR="009B041E">
        <w:t xml:space="preserve"> source a partner’s income (loss) from partner-partnership transactions based on the business or other activities </w:t>
      </w:r>
      <w:r>
        <w:t>conducted solely by the</w:t>
      </w:r>
      <w:r w:rsidR="009B041E">
        <w:t xml:space="preserve"> partner giving rise to that income—rather than the </w:t>
      </w:r>
      <w:r>
        <w:t xml:space="preserve">related </w:t>
      </w:r>
      <w:r w:rsidR="009B041E">
        <w:t>activities of the partnership.</w:t>
      </w:r>
      <w:r>
        <w:t xml:space="preserve"> </w:t>
      </w:r>
      <w:r w:rsidR="00496F13">
        <w:t xml:space="preserve">This does not mean, however, that </w:t>
      </w:r>
      <w:r w:rsidR="007409D0">
        <w:t xml:space="preserve">the payments or resulting income would necessarily be sourced to where </w:t>
      </w:r>
      <w:r w:rsidR="00D61BAD">
        <w:t xml:space="preserve">an individual </w:t>
      </w:r>
      <w:r w:rsidR="007409D0">
        <w:t xml:space="preserve"> partner performs the services—although this may be the result in some cases. </w:t>
      </w:r>
    </w:p>
    <w:p w14:paraId="54C9E65D" w14:textId="798AF9E7" w:rsidR="007A2D19" w:rsidRPr="007A2D19" w:rsidRDefault="004E6DD5" w:rsidP="00564451">
      <w:pPr>
        <w:pStyle w:val="Heading4"/>
        <w:ind w:left="720"/>
      </w:pPr>
      <w:r>
        <w:rPr>
          <w:noProof/>
        </w:rPr>
        <w:drawing>
          <wp:anchor distT="0" distB="0" distL="114300" distR="114300" simplePos="0" relativeHeight="251678720" behindDoc="0" locked="0" layoutInCell="1" allowOverlap="1" wp14:anchorId="780A21C5" wp14:editId="1CE3582A">
            <wp:simplePos x="0" y="0"/>
            <wp:positionH relativeFrom="column">
              <wp:posOffset>-231544</wp:posOffset>
            </wp:positionH>
            <wp:positionV relativeFrom="paragraph">
              <wp:posOffset>200256</wp:posOffset>
            </wp:positionV>
            <wp:extent cx="553720" cy="553720"/>
            <wp:effectExtent l="0" t="0" r="0" b="0"/>
            <wp:wrapSquare wrapText="bothSides"/>
            <wp:docPr id="681492532" name="Graphic 2"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92532" name="Graphic 681492532" descr="Question Mark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53720" cy="553720"/>
                    </a:xfrm>
                    <a:prstGeom prst="rect">
                      <a:avLst/>
                    </a:prstGeom>
                  </pic:spPr>
                </pic:pic>
              </a:graphicData>
            </a:graphic>
            <wp14:sizeRelH relativeFrom="margin">
              <wp14:pctWidth>0</wp14:pctWidth>
            </wp14:sizeRelH>
            <wp14:sizeRelV relativeFrom="margin">
              <wp14:pctHeight>0</wp14:pctHeight>
            </wp14:sizeRelV>
          </wp:anchor>
        </w:drawing>
      </w:r>
      <w:r w:rsidR="008E647D">
        <w:t xml:space="preserve">Sourcing of </w:t>
      </w:r>
      <w:r w:rsidR="007A2D19" w:rsidRPr="007A2D19">
        <w:t>Guaranteed Payments</w:t>
      </w:r>
      <w:r w:rsidR="006F1B6E">
        <w:t xml:space="preserve"> for Services</w:t>
      </w:r>
      <w:r w:rsidR="008E647D">
        <w:t xml:space="preserve"> </w:t>
      </w:r>
      <w:r w:rsidR="00DF3D77">
        <w:t>–</w:t>
      </w:r>
      <w:r w:rsidR="008E647D">
        <w:t xml:space="preserve"> </w:t>
      </w:r>
      <w:r w:rsidR="00DF3D77">
        <w:t>Sourcing Approach Varies</w:t>
      </w:r>
    </w:p>
    <w:p w14:paraId="093C7C50" w14:textId="5FECB52B" w:rsidR="00F4759C" w:rsidRDefault="005B7EC7" w:rsidP="00CB0B2A">
      <w:pPr>
        <w:ind w:left="720"/>
      </w:pPr>
      <w:r>
        <w:t>The</w:t>
      </w:r>
      <w:r w:rsidR="009B041E">
        <w:t xml:space="preserve"> federal pass-through system generally applies an entity approach to guaranteed payments (similar to the treatment of partner-partnership transactions), </w:t>
      </w:r>
      <w:r w:rsidR="00987F46">
        <w:t>with some limitations</w:t>
      </w:r>
      <w:r w:rsidR="00173C56">
        <w:t xml:space="preserve">. </w:t>
      </w:r>
      <w:r w:rsidR="00FF6CD4">
        <w:t>But a</w:t>
      </w:r>
      <w:r w:rsidR="00173C56">
        <w:t xml:space="preserve">s summarized in Section III, the majority of states that have addressed the sourcing of guaranteed payments </w:t>
      </w:r>
      <w:r w:rsidR="008461C3">
        <w:t xml:space="preserve">for services </w:t>
      </w:r>
      <w:r w:rsidR="00173C56">
        <w:t xml:space="preserve">specifically </w:t>
      </w:r>
      <w:r w:rsidR="00AD3A56">
        <w:t>source them in the same way as distributive share—using an aggregate approach.</w:t>
      </w:r>
      <w:r w:rsidR="00173C56">
        <w:t xml:space="preserve"> </w:t>
      </w:r>
      <w:r w:rsidR="00AD3A56">
        <w:t xml:space="preserve">A minority of states </w:t>
      </w:r>
      <w:r w:rsidR="008461C3">
        <w:t>source such payments as compensat</w:t>
      </w:r>
      <w:r w:rsidR="00FF6CD4">
        <w:t>ion</w:t>
      </w:r>
    </w:p>
    <w:p w14:paraId="56E558EE" w14:textId="1309265F" w:rsidR="00573E04" w:rsidRPr="00573E04" w:rsidRDefault="00573E04" w:rsidP="00573E04">
      <w:pPr>
        <w:pStyle w:val="Heading3"/>
      </w:pPr>
      <w:bookmarkStart w:id="32" w:name="_Toc153291151"/>
      <w:r>
        <w:t>Why Sourcing of Guaranteed Payments May Not Follow the Entity Approach</w:t>
      </w:r>
      <w:bookmarkEnd w:id="32"/>
    </w:p>
    <w:p w14:paraId="459FA73F" w14:textId="3F7BCDE6" w:rsidR="00F51A4A" w:rsidRDefault="00862E9F" w:rsidP="00296856">
      <w:pPr>
        <w:spacing w:before="240"/>
      </w:pPr>
      <w:r>
        <w:t xml:space="preserve">One reason why states may not follow the </w:t>
      </w:r>
      <w:r w:rsidR="0033200C">
        <w:t xml:space="preserve">entity </w:t>
      </w:r>
      <w:r>
        <w:t>approach</w:t>
      </w:r>
      <w:r w:rsidR="0033200C">
        <w:t xml:space="preserve"> </w:t>
      </w:r>
      <w:r>
        <w:t xml:space="preserve">when </w:t>
      </w:r>
      <w:r w:rsidR="00B07676">
        <w:t xml:space="preserve">sourcing guaranteed payments is that such payments are </w:t>
      </w:r>
      <w:r w:rsidR="00EE0F15">
        <w:t>a hybrid</w:t>
      </w:r>
      <w:r w:rsidR="00B07676">
        <w:t xml:space="preserve">. While they have some aspects of </w:t>
      </w:r>
      <w:r w:rsidR="003A16E2">
        <w:t xml:space="preserve">partner-partnership transactions, </w:t>
      </w:r>
      <w:r w:rsidR="00341148">
        <w:t>they also involve partners acting on behalf of the partnership—carrying out the partnership’s business</w:t>
      </w:r>
      <w:r w:rsidR="00EE0F15">
        <w:t xml:space="preserve"> from which the partnership derives income</w:t>
      </w:r>
      <w:r w:rsidR="00341148">
        <w:t xml:space="preserve">. </w:t>
      </w:r>
      <w:r w:rsidR="00D646C6">
        <w:t xml:space="preserve">But there are other reasons as well. One is that partnership agreements can be changed easily, assuming partners agree, and that if the economic result is the same, partners might choose </w:t>
      </w:r>
      <w:r w:rsidR="00C25A1C">
        <w:t>to</w:t>
      </w:r>
      <w:r w:rsidR="000B5B16">
        <w:t xml:space="preserve"> structure the agreement to</w:t>
      </w:r>
      <w:r w:rsidR="00C25A1C">
        <w:t xml:space="preserve"> include guaranteed payments in order to </w:t>
      </w:r>
      <w:r w:rsidR="00120A2A">
        <w:t xml:space="preserve">affect </w:t>
      </w:r>
      <w:r w:rsidR="00C25A1C">
        <w:t xml:space="preserve">the </w:t>
      </w:r>
      <w:r w:rsidR="00D646C6">
        <w:t>sourcing</w:t>
      </w:r>
      <w:r w:rsidR="00C25A1C">
        <w:t xml:space="preserve"> of </w:t>
      </w:r>
      <w:r w:rsidR="000B5B16">
        <w:t>their</w:t>
      </w:r>
      <w:r w:rsidR="00C25A1C">
        <w:t xml:space="preserve"> income</w:t>
      </w:r>
      <w:r w:rsidR="00D646C6">
        <w:t xml:space="preserve">. Also partnership </w:t>
      </w:r>
      <w:r w:rsidR="0075203E">
        <w:t xml:space="preserve">agreements and other circumstances can make </w:t>
      </w:r>
      <w:r w:rsidR="005F692D">
        <w:t>distinguishing guaranteed payments more difficult—adding complexity to the sourcing of that income, if treated differently.</w:t>
      </w:r>
    </w:p>
    <w:p w14:paraId="0B8BBF0D" w14:textId="50D43062" w:rsidR="00500209" w:rsidRDefault="00F54CF3" w:rsidP="00E81992">
      <w:pPr>
        <w:pStyle w:val="Heading2"/>
      </w:pPr>
      <w:bookmarkStart w:id="33" w:name="_Toc153291152"/>
      <w:r>
        <w:lastRenderedPageBreak/>
        <w:t xml:space="preserve">I. </w:t>
      </w:r>
      <w:r w:rsidR="0025666C">
        <w:t>G</w:t>
      </w:r>
      <w:r w:rsidR="00B5459F">
        <w:t xml:space="preserve">. </w:t>
      </w:r>
      <w:r w:rsidR="00723D3A">
        <w:t xml:space="preserve">Other Considerations – </w:t>
      </w:r>
      <w:r w:rsidR="00E77A28" w:rsidRPr="00827AEA">
        <w:rPr>
          <w:shd w:val="clear" w:color="auto" w:fill="FFFFB9"/>
        </w:rPr>
        <w:t>Equity</w:t>
      </w:r>
      <w:r w:rsidR="00E77A28">
        <w:t xml:space="preserve">, </w:t>
      </w:r>
      <w:r w:rsidR="00723D3A">
        <w:t>Complexity</w:t>
      </w:r>
      <w:r w:rsidR="00261683">
        <w:t>,</w:t>
      </w:r>
      <w:r w:rsidR="00723D3A">
        <w:t xml:space="preserve"> </w:t>
      </w:r>
      <w:r w:rsidR="00E77A28">
        <w:t>&amp; Possible</w:t>
      </w:r>
      <w:r w:rsidR="008C3441">
        <w:t xml:space="preserve"> </w:t>
      </w:r>
      <w:r w:rsidR="00243EA4">
        <w:t>Tax Avoidance</w:t>
      </w:r>
      <w:bookmarkEnd w:id="33"/>
    </w:p>
    <w:p w14:paraId="1D44395A" w14:textId="464AFCFB" w:rsidR="00E77A28" w:rsidRDefault="00E77A28" w:rsidP="00283D73">
      <w:pPr>
        <w:shd w:val="clear" w:color="auto" w:fill="FFFFB9"/>
        <w:spacing w:before="240"/>
      </w:pPr>
      <w:r>
        <w:t>Given that there may be no clear answer as to how guaranteed payments</w:t>
      </w:r>
      <w:r w:rsidR="0057297C">
        <w:t xml:space="preserve"> for services</w:t>
      </w:r>
      <w:r w:rsidR="00827AEA">
        <w:t xml:space="preserve"> should be sourced</w:t>
      </w:r>
      <w:r w:rsidR="0057297C">
        <w:t>, the following considerations may be given additional weight.</w:t>
      </w:r>
    </w:p>
    <w:p w14:paraId="726D239D" w14:textId="0D7857C1" w:rsidR="00E77A28" w:rsidRDefault="00E77A28" w:rsidP="00283D73">
      <w:pPr>
        <w:pStyle w:val="Heading3"/>
        <w:shd w:val="clear" w:color="auto" w:fill="FFFFB9"/>
      </w:pPr>
      <w:bookmarkStart w:id="34" w:name="_Toc153291153"/>
      <w:r>
        <w:t>Equity</w:t>
      </w:r>
      <w:bookmarkEnd w:id="34"/>
    </w:p>
    <w:p w14:paraId="1B0320D7" w14:textId="64687960" w:rsidR="00C21392" w:rsidRDefault="00C21392" w:rsidP="00283D73">
      <w:pPr>
        <w:shd w:val="clear" w:color="auto" w:fill="FFFFB9"/>
      </w:pPr>
      <w:r>
        <w:t>Guaranteed</w:t>
      </w:r>
      <w:r w:rsidR="0057297C">
        <w:t xml:space="preserve"> payments for services </w:t>
      </w:r>
      <w:r>
        <w:t>paid to partners are sometimes</w:t>
      </w:r>
      <w:r w:rsidR="0057297C">
        <w:t xml:space="preserve"> compared </w:t>
      </w:r>
      <w:r>
        <w:t>to</w:t>
      </w:r>
      <w:r w:rsidR="0057297C">
        <w:t xml:space="preserve"> </w:t>
      </w:r>
      <w:r>
        <w:t xml:space="preserve">salaries paid to employees. </w:t>
      </w:r>
      <w:r w:rsidR="0057297C">
        <w:t>S</w:t>
      </w:r>
      <w:r w:rsidR="0051234D">
        <w:t>tates source s</w:t>
      </w:r>
      <w:r w:rsidR="0057297C">
        <w:t>alaries</w:t>
      </w:r>
      <w:r w:rsidR="0051234D">
        <w:t xml:space="preserve"> paid to employees</w:t>
      </w:r>
      <w:r w:rsidR="0057297C">
        <w:t xml:space="preserve"> separately from the income of the business</w:t>
      </w:r>
      <w:r w:rsidR="0051234D">
        <w:t>, even if the person receiving the salary is an owner</w:t>
      </w:r>
      <w:r w:rsidR="0057297C">
        <w:t xml:space="preserve">. This is true for </w:t>
      </w:r>
      <w:r w:rsidR="000E6DBF">
        <w:t>entities</w:t>
      </w:r>
      <w:r w:rsidR="0057297C">
        <w:t xml:space="preserve"> taxed </w:t>
      </w:r>
      <w:r w:rsidR="000E6DBF">
        <w:t>under IRC Subchapter C and</w:t>
      </w:r>
      <w:r w:rsidR="0057297C">
        <w:t xml:space="preserve"> for </w:t>
      </w:r>
      <w:r w:rsidR="000E6DBF">
        <w:t>entities</w:t>
      </w:r>
      <w:r w:rsidR="0057297C">
        <w:t xml:space="preserve"> electing to be taxed on a pass-through basis under IRC Subchapter S. </w:t>
      </w:r>
      <w:r w:rsidR="0051234D">
        <w:t>In th</w:t>
      </w:r>
      <w:r w:rsidR="000E6DBF">
        <w:t>ose</w:t>
      </w:r>
      <w:r w:rsidR="0051234D">
        <w:t xml:space="preserve"> case</w:t>
      </w:r>
      <w:r w:rsidR="000E6DBF">
        <w:t>s</w:t>
      </w:r>
      <w:r w:rsidR="0051234D">
        <w:t xml:space="preserve">, the salaries are deductible from the income of the business, which is then </w:t>
      </w:r>
      <w:r w:rsidR="000E6DBF">
        <w:t xml:space="preserve">sourced using formulary apportionment. The salaries are </w:t>
      </w:r>
      <w:r w:rsidR="0051234D">
        <w:t xml:space="preserve">sourced based on where the employee performs the services. </w:t>
      </w:r>
    </w:p>
    <w:p w14:paraId="7607A7EE" w14:textId="0A6B5DFB" w:rsidR="0051234D" w:rsidRDefault="00C21392" w:rsidP="00283D73">
      <w:pPr>
        <w:shd w:val="clear" w:color="auto" w:fill="FFFFB9"/>
      </w:pPr>
      <w:r>
        <w:t>But guaranteed payments may also be compared to income of sole proprietors.</w:t>
      </w:r>
      <w:r w:rsidR="0051234D">
        <w:t xml:space="preserve"> </w:t>
      </w:r>
      <w:r>
        <w:t>I</w:t>
      </w:r>
      <w:r w:rsidR="0051234D">
        <w:t xml:space="preserve">f an individual performs services for others as a sole proprietor engaging in business, the </w:t>
      </w:r>
      <w:r w:rsidR="000E6DBF">
        <w:t xml:space="preserve">individual cannot </w:t>
      </w:r>
      <w:r w:rsidR="0097236A">
        <w:t xml:space="preserve">receive </w:t>
      </w:r>
      <w:r w:rsidR="0008478D">
        <w:t xml:space="preserve">payments treated as </w:t>
      </w:r>
      <w:r w:rsidR="000E6DBF">
        <w:t xml:space="preserve">salary. Instead, any </w:t>
      </w:r>
      <w:r w:rsidR="0051234D">
        <w:t xml:space="preserve">amount that individual takes </w:t>
      </w:r>
      <w:r w:rsidR="000E6DBF">
        <w:t xml:space="preserve">from the business is considered a </w:t>
      </w:r>
      <w:r w:rsidR="0051234D">
        <w:t>draw or distribution</w:t>
      </w:r>
      <w:r w:rsidR="000E6DBF">
        <w:t>. And s</w:t>
      </w:r>
      <w:r w:rsidR="0051234D">
        <w:t xml:space="preserve">tates generally apply formulary apportionment to the income of that sole proprietor, rather than sourcing the income to where the services might be performed. </w:t>
      </w:r>
    </w:p>
    <w:p w14:paraId="0540FBF8" w14:textId="7B60D58A" w:rsidR="004854C1" w:rsidRDefault="00636936" w:rsidP="00283D73">
      <w:pPr>
        <w:shd w:val="clear" w:color="auto" w:fill="FFFFB9"/>
      </w:pPr>
      <w:r>
        <w:t xml:space="preserve">Beyond these comparisons, </w:t>
      </w:r>
      <w:r w:rsidR="004854C1">
        <w:t>guaranteed payments are</w:t>
      </w:r>
      <w:r>
        <w:t xml:space="preserve"> also</w:t>
      </w:r>
      <w:r w:rsidR="004854C1">
        <w:t xml:space="preserve"> different in important ways. First, a</w:t>
      </w:r>
      <w:r w:rsidR="000E6DBF">
        <w:t xml:space="preserve">s </w:t>
      </w:r>
      <w:r w:rsidR="00C21392">
        <w:t xml:space="preserve">noted </w:t>
      </w:r>
      <w:r w:rsidR="000E6DBF">
        <w:t xml:space="preserve">in Section II below, partners are not considered employees of the partnership and cannot receive payments treated as salary for federal tax purposes. </w:t>
      </w:r>
      <w:r w:rsidR="004854C1">
        <w:t>And second,</w:t>
      </w:r>
      <w:r w:rsidR="000E6DBF">
        <w:t xml:space="preserve"> </w:t>
      </w:r>
      <w:r w:rsidR="00C21392">
        <w:t xml:space="preserve">as discussed above, </w:t>
      </w:r>
      <w:r w:rsidR="000E6DBF">
        <w:t>guaranteed payments to partners are also not treated as draws or distributions</w:t>
      </w:r>
      <w:r w:rsidR="00C21392">
        <w:t>—but rather—as an expense of the partnership</w:t>
      </w:r>
      <w:r w:rsidR="000E6DBF">
        <w:t xml:space="preserve">. </w:t>
      </w:r>
    </w:p>
    <w:p w14:paraId="24EFB764" w14:textId="0C1635C0" w:rsidR="004854C1" w:rsidRDefault="00C21392" w:rsidP="00283D73">
      <w:pPr>
        <w:shd w:val="clear" w:color="auto" w:fill="FFFFB9"/>
      </w:pPr>
      <w:r>
        <w:t xml:space="preserve">Moreover, </w:t>
      </w:r>
      <w:r w:rsidR="004854C1">
        <w:t xml:space="preserve">while </w:t>
      </w:r>
      <w:r>
        <w:t xml:space="preserve">some </w:t>
      </w:r>
      <w:r w:rsidR="0051234D">
        <w:t xml:space="preserve">guaranteed payments </w:t>
      </w:r>
      <w:r>
        <w:t xml:space="preserve">look very similar to salaries, especially when paid to </w:t>
      </w:r>
      <w:r w:rsidR="004854C1">
        <w:t xml:space="preserve">partners who </w:t>
      </w:r>
      <w:r>
        <w:t xml:space="preserve">provide the services </w:t>
      </w:r>
      <w:r w:rsidR="008139A4">
        <w:t xml:space="preserve">to third parties on behalf of </w:t>
      </w:r>
      <w:r>
        <w:t xml:space="preserve">the partnership </w:t>
      </w:r>
      <w:r w:rsidR="004854C1">
        <w:t xml:space="preserve">and </w:t>
      </w:r>
      <w:r>
        <w:t>who may hold only a very small capital or profits interest</w:t>
      </w:r>
      <w:r w:rsidR="004854C1">
        <w:t>;</w:t>
      </w:r>
      <w:r>
        <w:t xml:space="preserve"> other guaranteed payments may seem closer to the income of a sole proprietor, especially when paid out annually based on gross income or some other business result.</w:t>
      </w:r>
    </w:p>
    <w:p w14:paraId="20B6D291" w14:textId="70E7F53A" w:rsidR="004D5D1F" w:rsidRPr="00E77A28" w:rsidRDefault="004854C1" w:rsidP="00283D73">
      <w:pPr>
        <w:shd w:val="clear" w:color="auto" w:fill="FFFFB9"/>
      </w:pPr>
      <w:r>
        <w:t xml:space="preserve">Therefore, while it may seem inequitable to source guaranteed payments for services differently than salaries, it may depend on the </w:t>
      </w:r>
      <w:r w:rsidR="005A740E">
        <w:t xml:space="preserve">specific </w:t>
      </w:r>
      <w:r>
        <w:t>nature of the guaranteed payment</w:t>
      </w:r>
      <w:r w:rsidR="005A740E">
        <w:t>s</w:t>
      </w:r>
      <w:r>
        <w:t>.</w:t>
      </w:r>
      <w:r w:rsidR="00C21392">
        <w:t xml:space="preserve"> </w:t>
      </w:r>
      <w:r>
        <w:t xml:space="preserve">Also, many businesses that expect to pay owners a salary are able to elect to be taxed as S Corporations and may even be able to used tiered partnership structures to provide this treatment. Nevertheless, there may be some cases where the business is too big to elect S Corporation treatment or other state regulations require the business to be structured as a partnership, as in the case of certain professional firms. </w:t>
      </w:r>
    </w:p>
    <w:p w14:paraId="3881A1F5" w14:textId="2FA1EF7C" w:rsidR="00E77A28" w:rsidRDefault="00E77A28" w:rsidP="00E77A28">
      <w:pPr>
        <w:pStyle w:val="Heading3"/>
      </w:pPr>
      <w:bookmarkStart w:id="35" w:name="_Toc153291154"/>
      <w:r>
        <w:t>Complexity</w:t>
      </w:r>
      <w:bookmarkEnd w:id="35"/>
    </w:p>
    <w:p w14:paraId="5411C0A9" w14:textId="5D58F37B" w:rsidR="00023F13" w:rsidRDefault="006F331F" w:rsidP="007B1930">
      <w:pPr>
        <w:spacing w:before="240"/>
      </w:pPr>
      <w:r>
        <w:t xml:space="preserve">Section II </w:t>
      </w:r>
      <w:r w:rsidR="001B27D2">
        <w:t xml:space="preserve">below </w:t>
      </w:r>
      <w:r>
        <w:t xml:space="preserve">sets out the federal rules governing guaranteed payments, including </w:t>
      </w:r>
      <w:r w:rsidR="00206207">
        <w:t xml:space="preserve">specific </w:t>
      </w:r>
      <w:r>
        <w:t xml:space="preserve">rules </w:t>
      </w:r>
      <w:r w:rsidR="00206207">
        <w:t>distinguishing</w:t>
      </w:r>
      <w:r>
        <w:t xml:space="preserve"> guaranteed payments from </w:t>
      </w:r>
      <w:r w:rsidR="00137591">
        <w:t>distributive share/distribution</w:t>
      </w:r>
      <w:r>
        <w:t>s or</w:t>
      </w:r>
      <w:r w:rsidR="007F31B4">
        <w:t xml:space="preserve"> </w:t>
      </w:r>
      <w:r w:rsidR="00137591">
        <w:t>partner-partnership transaction</w:t>
      </w:r>
      <w:r>
        <w:t xml:space="preserve">s. </w:t>
      </w:r>
      <w:r w:rsidR="006C47B8">
        <w:t xml:space="preserve">In terms of context, what is </w:t>
      </w:r>
      <w:r w:rsidR="00E87E20">
        <w:t xml:space="preserve">important to note </w:t>
      </w:r>
      <w:r w:rsidR="006C47B8">
        <w:t xml:space="preserve">is </w:t>
      </w:r>
      <w:r w:rsidR="00E87E20">
        <w:t>that,</w:t>
      </w:r>
      <w:r>
        <w:t xml:space="preserve"> unlike the simple example above, </w:t>
      </w:r>
      <w:r w:rsidR="003D6245">
        <w:t xml:space="preserve">complex partnership arrangements and other circumstances </w:t>
      </w:r>
      <w:r w:rsidR="004420FF">
        <w:t xml:space="preserve">can </w:t>
      </w:r>
      <w:r w:rsidR="003D6245">
        <w:t xml:space="preserve">make </w:t>
      </w:r>
      <w:r w:rsidR="00580E3A">
        <w:t>determining</w:t>
      </w:r>
      <w:r w:rsidR="003D6245">
        <w:t xml:space="preserve"> what is a guaranteed payment </w:t>
      </w:r>
      <w:r w:rsidR="00E87E20">
        <w:t xml:space="preserve">much </w:t>
      </w:r>
      <w:r w:rsidR="003D6245">
        <w:t>more difficult</w:t>
      </w:r>
      <w:r w:rsidR="009D3C61">
        <w:t>—and can also create opportunities to alter the tax result without altering the economic result</w:t>
      </w:r>
      <w:r w:rsidR="00F72E5C">
        <w:t xml:space="preserve"> through income shifting</w:t>
      </w:r>
      <w:r w:rsidR="009D3C61">
        <w:t>.</w:t>
      </w:r>
    </w:p>
    <w:p w14:paraId="7B835A20" w14:textId="42D669BC" w:rsidR="00F0042A" w:rsidRDefault="00F0042A" w:rsidP="00C07095">
      <w:pPr>
        <w:pStyle w:val="Heading4"/>
      </w:pPr>
      <w:r>
        <w:t>Examples</w:t>
      </w:r>
      <w:r w:rsidR="004D4767">
        <w:t xml:space="preserve"> of Complexity in Categorizing Guaranteed Payments</w:t>
      </w:r>
      <w:r>
        <w:t>:</w:t>
      </w:r>
    </w:p>
    <w:p w14:paraId="5CF89419" w14:textId="3CA43A65" w:rsidR="00485AF8" w:rsidRPr="00485AF8" w:rsidRDefault="008A5B62" w:rsidP="00485AF8">
      <w:r>
        <w:t xml:space="preserve">The following are common examples of differences that may complicate the determination of </w:t>
      </w:r>
      <w:r w:rsidR="00E50F12">
        <w:t>whether a payment is properly categorized as a distributive share/distribution, partner-partnership transaction, or guaranteed payment.</w:t>
      </w:r>
    </w:p>
    <w:p w14:paraId="498A44FA" w14:textId="30D1CD91" w:rsidR="007B1930" w:rsidRDefault="00A848E4" w:rsidP="005F7F13">
      <w:pPr>
        <w:pStyle w:val="ListParagraph"/>
        <w:numPr>
          <w:ilvl w:val="0"/>
          <w:numId w:val="19"/>
        </w:numPr>
        <w:spacing w:before="240"/>
        <w:rPr>
          <w:iCs/>
        </w:rPr>
      </w:pPr>
      <w:r>
        <w:rPr>
          <w:iCs/>
        </w:rPr>
        <w:t>P</w:t>
      </w:r>
      <w:r w:rsidR="007B1930" w:rsidRPr="00F0042A">
        <w:rPr>
          <w:iCs/>
        </w:rPr>
        <w:t xml:space="preserve">artners </w:t>
      </w:r>
      <w:r w:rsidR="00F0042A">
        <w:rPr>
          <w:iCs/>
        </w:rPr>
        <w:t xml:space="preserve">may </w:t>
      </w:r>
      <w:r w:rsidR="007B1930" w:rsidRPr="00F0042A">
        <w:rPr>
          <w:iCs/>
        </w:rPr>
        <w:t>agree that they will receive regular, periodic distributions, sometimes called “draws</w:t>
      </w:r>
      <w:r w:rsidR="0036456E">
        <w:rPr>
          <w:iCs/>
        </w:rPr>
        <w:t>,</w:t>
      </w:r>
      <w:r w:rsidR="007B1930" w:rsidRPr="00F0042A">
        <w:rPr>
          <w:iCs/>
        </w:rPr>
        <w:t>”</w:t>
      </w:r>
      <w:r w:rsidR="0036456E">
        <w:rPr>
          <w:iCs/>
        </w:rPr>
        <w:t xml:space="preserve"> for the purpose of returning capital or profits to those partners.</w:t>
      </w:r>
      <w:r w:rsidR="007B1930" w:rsidRPr="00F0042A">
        <w:rPr>
          <w:iCs/>
        </w:rPr>
        <w:t xml:space="preserve"> To the extent these distributions are made out of available capital, they would generally be treated as distributions, even in </w:t>
      </w:r>
      <w:r w:rsidR="0036456E">
        <w:rPr>
          <w:iCs/>
        </w:rPr>
        <w:t>a year</w:t>
      </w:r>
      <w:r w:rsidR="007B1930" w:rsidRPr="00F0042A">
        <w:rPr>
          <w:iCs/>
        </w:rPr>
        <w:t xml:space="preserve"> in which there is insufficient income to cover th</w:t>
      </w:r>
      <w:r w:rsidR="0036456E">
        <w:rPr>
          <w:iCs/>
        </w:rPr>
        <w:t xml:space="preserve">at year’s </w:t>
      </w:r>
      <w:r w:rsidR="007B1930" w:rsidRPr="00F0042A">
        <w:rPr>
          <w:iCs/>
        </w:rPr>
        <w:t>distribution.</w:t>
      </w:r>
      <w:r w:rsidR="00AF3502">
        <w:rPr>
          <w:iCs/>
        </w:rPr>
        <w:t xml:space="preserve"> So while they might appear to be guaranteed payments in those years, they are not.</w:t>
      </w:r>
      <w:r w:rsidR="007B1930" w:rsidRPr="00F0042A">
        <w:rPr>
          <w:iCs/>
        </w:rPr>
        <w:t xml:space="preserve"> </w:t>
      </w:r>
    </w:p>
    <w:p w14:paraId="11B74FB5" w14:textId="4769542E" w:rsidR="00230E43" w:rsidRPr="00230E43" w:rsidRDefault="00DC317B" w:rsidP="005F7F13">
      <w:pPr>
        <w:pStyle w:val="ListParagraph"/>
        <w:numPr>
          <w:ilvl w:val="0"/>
          <w:numId w:val="19"/>
        </w:numPr>
        <w:spacing w:before="240"/>
        <w:rPr>
          <w:iCs/>
        </w:rPr>
      </w:pPr>
      <w:r>
        <w:rPr>
          <w:iCs/>
        </w:rPr>
        <w:lastRenderedPageBreak/>
        <w:t xml:space="preserve">Special allocations can also sometimes appear to be guaranteed payments. The term “special allocation” refers to </w:t>
      </w:r>
      <w:r w:rsidR="00CC1C85">
        <w:rPr>
          <w:iCs/>
        </w:rPr>
        <w:t xml:space="preserve">an agreement by partners to divide partnership items of income, expense, gain, or loss other than by their respective interests in the partnership. </w:t>
      </w:r>
      <w:r w:rsidR="00204499">
        <w:rPr>
          <w:iCs/>
        </w:rPr>
        <w:t>So partners may agree that some income or some expense will be allocated in greater or lesser proportion.</w:t>
      </w:r>
      <w:r w:rsidR="00730907">
        <w:rPr>
          <w:iCs/>
        </w:rPr>
        <w:t xml:space="preserve"> This, in turn, could lead</w:t>
      </w:r>
      <w:r w:rsidR="007B1930" w:rsidRPr="00AF3502">
        <w:rPr>
          <w:iCs/>
        </w:rPr>
        <w:t xml:space="preserve"> certain partners </w:t>
      </w:r>
      <w:r w:rsidR="00730907">
        <w:rPr>
          <w:iCs/>
        </w:rPr>
        <w:t>to</w:t>
      </w:r>
      <w:r w:rsidR="004E2330">
        <w:rPr>
          <w:iCs/>
        </w:rPr>
        <w:t xml:space="preserve"> recognize and report distributive shares</w:t>
      </w:r>
      <w:r w:rsidR="007B1930" w:rsidRPr="00AF3502">
        <w:rPr>
          <w:iCs/>
        </w:rPr>
        <w:t xml:space="preserve"> </w:t>
      </w:r>
      <w:r w:rsidR="004E2330">
        <w:rPr>
          <w:iCs/>
        </w:rPr>
        <w:t xml:space="preserve">of </w:t>
      </w:r>
      <w:r w:rsidR="007B1930" w:rsidRPr="00AF3502">
        <w:rPr>
          <w:iCs/>
        </w:rPr>
        <w:t xml:space="preserve">income or gains in years when the partnership has an overall net loss. But that would not make these allocations of the items of income or gains guaranteed payments. </w:t>
      </w:r>
    </w:p>
    <w:p w14:paraId="5C6EF9BE" w14:textId="77777777" w:rsidR="0007087D" w:rsidRPr="0007087D" w:rsidRDefault="0007087D" w:rsidP="0007087D">
      <w:pPr>
        <w:pStyle w:val="ListParagraph"/>
        <w:rPr>
          <w:iCs/>
        </w:rPr>
      </w:pPr>
    </w:p>
    <w:p w14:paraId="65EDACF9" w14:textId="261C5A89" w:rsidR="00947987" w:rsidRDefault="0007087D" w:rsidP="005F7F13">
      <w:pPr>
        <w:pStyle w:val="ListParagraph"/>
        <w:numPr>
          <w:ilvl w:val="0"/>
          <w:numId w:val="19"/>
        </w:numPr>
        <w:spacing w:before="240"/>
        <w:rPr>
          <w:iCs/>
        </w:rPr>
      </w:pPr>
      <w:r>
        <w:rPr>
          <w:iCs/>
        </w:rPr>
        <w:t>P</w:t>
      </w:r>
      <w:r w:rsidR="007B1930" w:rsidRPr="0007087D">
        <w:rPr>
          <w:iCs/>
        </w:rPr>
        <w:t xml:space="preserve">artners may </w:t>
      </w:r>
      <w:r>
        <w:rPr>
          <w:iCs/>
        </w:rPr>
        <w:t xml:space="preserve">also </w:t>
      </w:r>
      <w:r w:rsidR="007B1930" w:rsidRPr="0007087D">
        <w:rPr>
          <w:iCs/>
        </w:rPr>
        <w:t xml:space="preserve">agree that a partner that has made a small capital contribution, but will perform services as the manager of the partnership, will receive a larger allocation of </w:t>
      </w:r>
      <w:r>
        <w:rPr>
          <w:iCs/>
        </w:rPr>
        <w:t>some or all of the partners</w:t>
      </w:r>
      <w:r w:rsidR="00247AB4">
        <w:rPr>
          <w:iCs/>
        </w:rPr>
        <w:t xml:space="preserve">hip’s items of </w:t>
      </w:r>
      <w:r w:rsidR="007B1930" w:rsidRPr="0007087D">
        <w:rPr>
          <w:iCs/>
        </w:rPr>
        <w:t>income</w:t>
      </w:r>
      <w:r w:rsidR="00247AB4">
        <w:rPr>
          <w:iCs/>
        </w:rPr>
        <w:t xml:space="preserve"> or gains</w:t>
      </w:r>
      <w:r w:rsidR="007B1930" w:rsidRPr="0007087D">
        <w:rPr>
          <w:iCs/>
        </w:rPr>
        <w:t xml:space="preserve">. In this case, that partner may eventually be able to take distributions from capital in excess of </w:t>
      </w:r>
      <w:r w:rsidR="00247AB4">
        <w:rPr>
          <w:iCs/>
        </w:rPr>
        <w:t xml:space="preserve">any net income the </w:t>
      </w:r>
      <w:r>
        <w:rPr>
          <w:iCs/>
        </w:rPr>
        <w:t>partnership earned</w:t>
      </w:r>
      <w:r w:rsidR="007B1930" w:rsidRPr="0007087D">
        <w:rPr>
          <w:iCs/>
        </w:rPr>
        <w:t>. But the fact that the partner is performing services as a partner</w:t>
      </w:r>
      <w:r w:rsidR="00C32571">
        <w:rPr>
          <w:iCs/>
        </w:rPr>
        <w:t xml:space="preserve"> and </w:t>
      </w:r>
      <w:r w:rsidR="007B1930" w:rsidRPr="0007087D">
        <w:rPr>
          <w:iCs/>
        </w:rPr>
        <w:t xml:space="preserve">receives a special allocation of partnership </w:t>
      </w:r>
      <w:r w:rsidR="00C32571">
        <w:rPr>
          <w:iCs/>
        </w:rPr>
        <w:t>items</w:t>
      </w:r>
      <w:r w:rsidR="007B1930" w:rsidRPr="0007087D">
        <w:rPr>
          <w:iCs/>
        </w:rPr>
        <w:t xml:space="preserve"> will not make the distributions </w:t>
      </w:r>
      <w:r w:rsidR="00C32571">
        <w:rPr>
          <w:iCs/>
        </w:rPr>
        <w:t xml:space="preserve">that partner receives </w:t>
      </w:r>
      <w:r w:rsidR="007B1930" w:rsidRPr="0007087D">
        <w:rPr>
          <w:iCs/>
        </w:rPr>
        <w:t>guaranteed payments.</w:t>
      </w:r>
    </w:p>
    <w:p w14:paraId="0E9B9B8B" w14:textId="77777777" w:rsidR="00230E43" w:rsidRPr="00230E43" w:rsidRDefault="00230E43" w:rsidP="00230E43">
      <w:pPr>
        <w:pStyle w:val="ListParagraph"/>
        <w:rPr>
          <w:iCs/>
        </w:rPr>
      </w:pPr>
    </w:p>
    <w:p w14:paraId="5F5302B4" w14:textId="7F67DE76" w:rsidR="00230E43" w:rsidRDefault="00230E43" w:rsidP="005F7F13">
      <w:pPr>
        <w:pStyle w:val="ListParagraph"/>
        <w:numPr>
          <w:ilvl w:val="0"/>
          <w:numId w:val="19"/>
        </w:numPr>
        <w:spacing w:before="240"/>
        <w:rPr>
          <w:iCs/>
        </w:rPr>
      </w:pPr>
      <w:r>
        <w:rPr>
          <w:iCs/>
        </w:rPr>
        <w:t xml:space="preserve">Partners may agree to </w:t>
      </w:r>
      <w:r w:rsidR="00A0682D">
        <w:rPr>
          <w:iCs/>
        </w:rPr>
        <w:t>preferential allocations or distributions</w:t>
      </w:r>
      <w:r w:rsidR="00A676EE">
        <w:rPr>
          <w:iCs/>
        </w:rPr>
        <w:t xml:space="preserve"> of all kinds</w:t>
      </w:r>
      <w:r w:rsidR="00A0682D">
        <w:rPr>
          <w:iCs/>
        </w:rPr>
        <w:t xml:space="preserve">. So, for example, partners may agree that a managing member will receive </w:t>
      </w:r>
      <w:r w:rsidR="008C27A4">
        <w:rPr>
          <w:iCs/>
        </w:rPr>
        <w:t xml:space="preserve">the first $10,000 of income before the remainder is allocated and may also agree that this amount will accrue over time if the income in any one year is insufficient—or may be required to be paid </w:t>
      </w:r>
      <w:r w:rsidR="008D6AA8">
        <w:rPr>
          <w:iCs/>
        </w:rPr>
        <w:t xml:space="preserve">by a certain time regardless of the income earned by the partnership during that period. </w:t>
      </w:r>
      <w:r w:rsidR="00A0682D">
        <w:rPr>
          <w:iCs/>
        </w:rPr>
        <w:t xml:space="preserve"> </w:t>
      </w:r>
    </w:p>
    <w:p w14:paraId="11CFD77C" w14:textId="77777777" w:rsidR="00947987" w:rsidRPr="00947987" w:rsidRDefault="00947987" w:rsidP="00947987">
      <w:pPr>
        <w:pStyle w:val="ListParagraph"/>
        <w:rPr>
          <w:iCs/>
        </w:rPr>
      </w:pPr>
    </w:p>
    <w:p w14:paraId="042C7E97" w14:textId="5D02F1EA" w:rsidR="007B1930" w:rsidRPr="00947987" w:rsidRDefault="004D339D" w:rsidP="005F7F13">
      <w:pPr>
        <w:pStyle w:val="ListParagraph"/>
        <w:numPr>
          <w:ilvl w:val="0"/>
          <w:numId w:val="19"/>
        </w:numPr>
        <w:spacing w:before="240"/>
        <w:rPr>
          <w:iCs/>
        </w:rPr>
      </w:pPr>
      <w:r>
        <w:rPr>
          <w:iCs/>
        </w:rPr>
        <w:t>It</w:t>
      </w:r>
      <w:r w:rsidR="00FE52DA" w:rsidRPr="00947987">
        <w:rPr>
          <w:iCs/>
        </w:rPr>
        <w:t xml:space="preserve"> may </w:t>
      </w:r>
      <w:r>
        <w:rPr>
          <w:iCs/>
        </w:rPr>
        <w:t xml:space="preserve">also </w:t>
      </w:r>
      <w:r w:rsidR="00FE52DA" w:rsidRPr="00947987">
        <w:rPr>
          <w:iCs/>
        </w:rPr>
        <w:t xml:space="preserve">be difficult to distinguish </w:t>
      </w:r>
      <w:r w:rsidR="004A3D3A" w:rsidRPr="00947987">
        <w:rPr>
          <w:iCs/>
        </w:rPr>
        <w:t>guaranteed payments from partner-partnership transactions</w:t>
      </w:r>
      <w:r w:rsidR="00B171D7">
        <w:rPr>
          <w:iCs/>
        </w:rPr>
        <w:t xml:space="preserve"> in some circumstances</w:t>
      </w:r>
      <w:r w:rsidR="004A3D3A" w:rsidRPr="00947987">
        <w:rPr>
          <w:iCs/>
        </w:rPr>
        <w:t>. For example, assume</w:t>
      </w:r>
      <w:r w:rsidR="007B1930" w:rsidRPr="00947987">
        <w:rPr>
          <w:iCs/>
        </w:rPr>
        <w:t xml:space="preserve"> a partnership operates a restaurant </w:t>
      </w:r>
      <w:r w:rsidR="004A3D3A" w:rsidRPr="00947987">
        <w:rPr>
          <w:iCs/>
        </w:rPr>
        <w:t xml:space="preserve">and </w:t>
      </w:r>
      <w:r w:rsidR="007B1930" w:rsidRPr="00947987">
        <w:rPr>
          <w:iCs/>
        </w:rPr>
        <w:t xml:space="preserve">has, as a </w:t>
      </w:r>
      <w:r w:rsidR="00B171D7">
        <w:rPr>
          <w:iCs/>
        </w:rPr>
        <w:t xml:space="preserve">general </w:t>
      </w:r>
      <w:r w:rsidR="007B1930" w:rsidRPr="00947987">
        <w:rPr>
          <w:iCs/>
        </w:rPr>
        <w:t xml:space="preserve">partner, a lawyer specializing in employment law. When the restaurant is sued by an ex-employee, that partner acts to defend the restaurant and receives a fee for the service. The fact that the service is performed on behalf of the partnership </w:t>
      </w:r>
      <w:r w:rsidR="00B171D7">
        <w:rPr>
          <w:iCs/>
        </w:rPr>
        <w:t>may</w:t>
      </w:r>
      <w:r w:rsidR="007B1930" w:rsidRPr="00947987">
        <w:rPr>
          <w:iCs/>
        </w:rPr>
        <w:t xml:space="preserve"> not </w:t>
      </w:r>
      <w:r w:rsidR="002572B0" w:rsidRPr="00947987">
        <w:rPr>
          <w:iCs/>
        </w:rPr>
        <w:t xml:space="preserve">mean the partner is acting in the capacity of a partner or </w:t>
      </w:r>
      <w:r w:rsidR="007B1930" w:rsidRPr="00947987">
        <w:rPr>
          <w:iCs/>
        </w:rPr>
        <w:t xml:space="preserve">make the payment a guaranteed payment.   </w:t>
      </w:r>
    </w:p>
    <w:p w14:paraId="19296FEA" w14:textId="5896FEFA" w:rsidR="00E54057" w:rsidRDefault="00782201" w:rsidP="00800E54">
      <w:pPr>
        <w:spacing w:before="240" w:after="240"/>
        <w:jc w:val="left"/>
      </w:pPr>
      <w:bookmarkStart w:id="36" w:name="_Toc104209202"/>
      <w:r>
        <w:t>It is not unusual for there to be disagreement about how to characterize payments under these and other similar examples—or for federal rules to be lacking.</w:t>
      </w:r>
      <w:r w:rsidR="00B26F87">
        <w:t xml:space="preserve"> </w:t>
      </w:r>
      <w:r w:rsidR="00841983">
        <w:t>It is also not unusual for partnership agreements to specify that payments are to be made regardless of income when it is likely that the partnership will have sufficient income to cover those payments</w:t>
      </w:r>
      <w:r w:rsidR="00636F8A">
        <w:t>. In</w:t>
      </w:r>
      <w:r w:rsidR="00B26F87">
        <w:t xml:space="preserve"> turn, </w:t>
      </w:r>
      <w:r w:rsidR="00636F8A">
        <w:t xml:space="preserve">this complexity </w:t>
      </w:r>
      <w:r w:rsidR="00B26F87">
        <w:t>can make distinguishing guaranteed payments for purposes of sourcing more difficult.</w:t>
      </w:r>
      <w:r w:rsidR="00800E54">
        <w:t xml:space="preserve"> </w:t>
      </w:r>
    </w:p>
    <w:p w14:paraId="671C0326" w14:textId="67D4ABB1" w:rsidR="00F13D5C" w:rsidRDefault="00F13D5C" w:rsidP="00727A3A">
      <w:pPr>
        <w:pStyle w:val="Heading4"/>
        <w:shd w:val="clear" w:color="auto" w:fill="FFF6B3"/>
      </w:pPr>
      <w:r>
        <w:t xml:space="preserve">Complexity </w:t>
      </w:r>
      <w:r w:rsidR="00521CAB">
        <w:t xml:space="preserve">Where Guaranteed Payments </w:t>
      </w:r>
      <w:r w:rsidR="00632B6E">
        <w:t xml:space="preserve">may be </w:t>
      </w:r>
      <w:proofErr w:type="spellStart"/>
      <w:r w:rsidR="00632B6E">
        <w:t>Nonapportionable</w:t>
      </w:r>
      <w:proofErr w:type="spellEnd"/>
    </w:p>
    <w:p w14:paraId="0F9A0B2C" w14:textId="002D6274" w:rsidR="006F687E" w:rsidRDefault="002E0A9A" w:rsidP="00727A3A">
      <w:pPr>
        <w:shd w:val="clear" w:color="auto" w:fill="FFF6B3"/>
        <w:spacing w:before="120" w:after="240"/>
        <w:jc w:val="left"/>
      </w:pPr>
      <w:r>
        <w:t>Because this white paper concerns g</w:t>
      </w:r>
      <w:r w:rsidR="00632B6E">
        <w:t xml:space="preserve">uaranteed payments </w:t>
      </w:r>
      <w:r w:rsidR="00E44EC7">
        <w:t xml:space="preserve">for services </w:t>
      </w:r>
      <w:r>
        <w:t xml:space="preserve">performed for the partnership by partners, </w:t>
      </w:r>
      <w:r w:rsidR="00EC3A5A">
        <w:t xml:space="preserve">and are treated as an expense of the partnership in determining its net income, </w:t>
      </w:r>
      <w:r>
        <w:t xml:space="preserve">it is generally assumed that </w:t>
      </w:r>
      <w:r w:rsidR="00EC3A5A">
        <w:t xml:space="preserve">they will be </w:t>
      </w:r>
      <w:r w:rsidR="00463897">
        <w:t>considered apportionable unless the</w:t>
      </w:r>
      <w:r w:rsidR="00A44CF3">
        <w:t xml:space="preserve">y </w:t>
      </w:r>
      <w:r w:rsidR="00C43653">
        <w:t>can clearly be</w:t>
      </w:r>
      <w:r w:rsidR="00A44CF3">
        <w:t xml:space="preserve"> associated with some</w:t>
      </w:r>
      <w:r w:rsidR="00C43653">
        <w:t xml:space="preserve"> item of</w:t>
      </w:r>
      <w:r w:rsidR="00A44CF3">
        <w:t xml:space="preserve"> </w:t>
      </w:r>
      <w:proofErr w:type="spellStart"/>
      <w:r w:rsidR="00881195">
        <w:t>nonapportionable</w:t>
      </w:r>
      <w:proofErr w:type="spellEnd"/>
      <w:r w:rsidR="00881195">
        <w:t xml:space="preserve"> income</w:t>
      </w:r>
      <w:r w:rsidR="00BD17A7">
        <w:t>.</w:t>
      </w:r>
      <w:r w:rsidR="003466AA">
        <w:rPr>
          <w:rStyle w:val="FootnoteReference"/>
        </w:rPr>
        <w:footnoteReference w:id="6"/>
      </w:r>
      <w:r w:rsidR="00BD17A7">
        <w:t xml:space="preserve"> </w:t>
      </w:r>
      <w:r w:rsidR="00881195">
        <w:t xml:space="preserve"> </w:t>
      </w:r>
      <w:r w:rsidR="00741696">
        <w:t>T</w:t>
      </w:r>
      <w:r w:rsidR="003849FE">
        <w:t xml:space="preserve">o the extent some amount of guaranteed payment </w:t>
      </w:r>
      <w:r w:rsidR="0093606F">
        <w:t xml:space="preserve">might be considered </w:t>
      </w:r>
      <w:proofErr w:type="spellStart"/>
      <w:r w:rsidR="00AF6D59">
        <w:t>nonapportionable</w:t>
      </w:r>
      <w:proofErr w:type="spellEnd"/>
      <w:r w:rsidR="00A92F6F">
        <w:t>, this would complicate the sourcing of these amounts</w:t>
      </w:r>
      <w:r w:rsidR="0093606F">
        <w:t xml:space="preserve"> somewhat</w:t>
      </w:r>
      <w:r w:rsidR="00A92F6F">
        <w:t xml:space="preserve">. </w:t>
      </w:r>
      <w:r w:rsidR="00D42476">
        <w:t>A</w:t>
      </w:r>
      <w:r w:rsidR="00A92F6F">
        <w:t xml:space="preserve">s discussed in </w:t>
      </w:r>
      <w:r w:rsidR="00623BC5">
        <w:t xml:space="preserve">Section I.D. above, </w:t>
      </w:r>
      <w:r w:rsidR="001A31CA">
        <w:t xml:space="preserve">formulary apportionment can be applied </w:t>
      </w:r>
      <w:r w:rsidR="00975053">
        <w:t>to source items making up apportionable income on an item-by-item basis</w:t>
      </w:r>
      <w:r w:rsidR="00D42476">
        <w:t>.</w:t>
      </w:r>
      <w:r w:rsidR="00975053">
        <w:t xml:space="preserve"> </w:t>
      </w:r>
      <w:r w:rsidR="00D42476">
        <w:t>B</w:t>
      </w:r>
      <w:r w:rsidR="008F2EE9">
        <w:t xml:space="preserve">ut states would need to address the treatment of any amounts of guaranteed payments that might be considered </w:t>
      </w:r>
      <w:proofErr w:type="spellStart"/>
      <w:r w:rsidR="008F2EE9">
        <w:t>nonapportionable</w:t>
      </w:r>
      <w:proofErr w:type="spellEnd"/>
      <w:r w:rsidR="008F2EE9">
        <w:t>.</w:t>
      </w:r>
    </w:p>
    <w:p w14:paraId="2CA8D159" w14:textId="38DC3844" w:rsidR="00460B21" w:rsidRDefault="00460B21" w:rsidP="00727A3A">
      <w:pPr>
        <w:shd w:val="clear" w:color="auto" w:fill="FFF6B3"/>
        <w:spacing w:before="120" w:after="240"/>
        <w:jc w:val="left"/>
      </w:pPr>
      <w:r>
        <w:t xml:space="preserve">Note that the determination of when partnership items are </w:t>
      </w:r>
      <w:proofErr w:type="spellStart"/>
      <w:r>
        <w:t>nonapportionable</w:t>
      </w:r>
      <w:proofErr w:type="spellEnd"/>
      <w:r>
        <w:t xml:space="preserve"> generally is an issue that is beyond the scope of this white paper</w:t>
      </w:r>
      <w:r w:rsidR="0001069C">
        <w:t xml:space="preserve">. It appears, however, that states would make the determination of when items are </w:t>
      </w:r>
      <w:proofErr w:type="spellStart"/>
      <w:r w:rsidR="0001069C">
        <w:t>nonapportionable</w:t>
      </w:r>
      <w:proofErr w:type="spellEnd"/>
      <w:r w:rsidR="0001069C">
        <w:t xml:space="preserve"> based on the business activities and assets of the partnership, </w:t>
      </w:r>
      <w:r w:rsidR="00384BE8">
        <w:t xml:space="preserve">regardless of </w:t>
      </w:r>
      <w:r w:rsidR="005C4553" w:rsidRPr="005C4553">
        <w:t>whether the partner is active or passive, holds a majority share of partnership capital, or controls or does not control the partnership</w:t>
      </w:r>
      <w:r w:rsidR="00E44EC7">
        <w:t>.</w:t>
      </w:r>
    </w:p>
    <w:p w14:paraId="2FF8EB6F" w14:textId="63B03E02" w:rsidR="006A30B9" w:rsidRPr="006A30B9" w:rsidRDefault="006B2700" w:rsidP="002C5417">
      <w:pPr>
        <w:pStyle w:val="Heading3"/>
      </w:pPr>
      <w:bookmarkStart w:id="37" w:name="_Toc153291155"/>
      <w:r>
        <w:lastRenderedPageBreak/>
        <w:t xml:space="preserve">Possible Tax Avoidance - </w:t>
      </w:r>
      <w:r w:rsidR="00F72E5C">
        <w:t>Income Shifting</w:t>
      </w:r>
      <w:bookmarkEnd w:id="37"/>
    </w:p>
    <w:p w14:paraId="72AAF99B" w14:textId="2C297A9C" w:rsidR="00B77366" w:rsidRDefault="008B2917" w:rsidP="00D5252B">
      <w:r>
        <w:t>Another</w:t>
      </w:r>
      <w:r w:rsidR="006A30B9" w:rsidRPr="006A30B9">
        <w:t xml:space="preserve"> important consideration is that, to the extent distributive share and guaranteed payments are sourced differently, it may be possible to alter the sourcing without substantially changing the</w:t>
      </w:r>
      <w:r w:rsidR="00691096">
        <w:t xml:space="preserve"> underlying</w:t>
      </w:r>
      <w:r w:rsidR="006A30B9" w:rsidRPr="006A30B9">
        <w:t xml:space="preserve"> economic </w:t>
      </w:r>
      <w:r w:rsidR="00D5252B">
        <w:t>arrangement</w:t>
      </w:r>
      <w:r w:rsidR="006A30B9" w:rsidRPr="006A30B9">
        <w:t>.</w:t>
      </w:r>
    </w:p>
    <w:p w14:paraId="144B51FE" w14:textId="5EFE6586" w:rsidR="00F105FF" w:rsidRPr="00B11826" w:rsidRDefault="00F105FF" w:rsidP="00C07095">
      <w:pPr>
        <w:pStyle w:val="Heading4"/>
        <w:rPr>
          <w:b/>
        </w:rPr>
      </w:pPr>
      <w:r w:rsidRPr="00C07095">
        <w:rPr>
          <w:bCs/>
        </w:rPr>
        <w:t>Examples</w:t>
      </w:r>
      <w:r w:rsidR="00C07095">
        <w:t xml:space="preserve"> of Income Shifting</w:t>
      </w:r>
    </w:p>
    <w:p w14:paraId="29043263" w14:textId="6722E8AC" w:rsidR="00F105FF" w:rsidRPr="006A30B9" w:rsidRDefault="00B11826" w:rsidP="00F105FF">
      <w:r>
        <w:t>A</w:t>
      </w:r>
      <w:r w:rsidR="00F105FF">
        <w:t xml:space="preserve">ssume </w:t>
      </w:r>
      <w:r w:rsidR="00F105FF" w:rsidRPr="006A30B9">
        <w:t>State 2 sources distributive share using the partnership’s receipts factor but sources guaranteed payments based on where the partner is located</w:t>
      </w:r>
      <w:r w:rsidR="00F105FF" w:rsidRPr="00F105FF">
        <w:t xml:space="preserve"> and performs services</w:t>
      </w:r>
      <w:r w:rsidR="00F105FF" w:rsidRPr="006A30B9">
        <w:t xml:space="preserve">.  </w:t>
      </w:r>
    </w:p>
    <w:p w14:paraId="3892D9D3" w14:textId="52F4CC33" w:rsidR="006C7541" w:rsidRPr="00E209C9" w:rsidRDefault="006C7541" w:rsidP="00B11826">
      <w:pPr>
        <w:spacing w:after="120"/>
        <w:ind w:left="360"/>
        <w:jc w:val="left"/>
        <w:rPr>
          <w:b/>
          <w:bCs/>
        </w:rPr>
      </w:pPr>
      <w:r w:rsidRPr="00E209C9">
        <w:rPr>
          <w:b/>
          <w:bCs/>
          <w:u w:val="single"/>
        </w:rPr>
        <w:t xml:space="preserve">Example </w:t>
      </w:r>
      <w:r>
        <w:rPr>
          <w:b/>
          <w:bCs/>
          <w:u w:val="single"/>
        </w:rPr>
        <w:t>1</w:t>
      </w:r>
      <w:r w:rsidRPr="00E209C9">
        <w:rPr>
          <w:b/>
          <w:bCs/>
        </w:rPr>
        <w:t>:</w:t>
      </w:r>
    </w:p>
    <w:p w14:paraId="74BB470B" w14:textId="77777777" w:rsidR="006C7541" w:rsidRDefault="006C7541" w:rsidP="005F7F13">
      <w:pPr>
        <w:numPr>
          <w:ilvl w:val="0"/>
          <w:numId w:val="8"/>
        </w:numPr>
        <w:spacing w:after="80"/>
        <w:jc w:val="left"/>
      </w:pPr>
      <w:r w:rsidRPr="00E209C9">
        <w:t xml:space="preserve">X and Y form a partnership to </w:t>
      </w:r>
      <w:r>
        <w:t>own and manage rental property, contributing an equal share of capital.</w:t>
      </w:r>
      <w:r w:rsidRPr="00E209C9">
        <w:t xml:space="preserve"> </w:t>
      </w:r>
    </w:p>
    <w:p w14:paraId="4FA17791" w14:textId="77777777" w:rsidR="006C7541" w:rsidRDefault="006C7541" w:rsidP="005F7F13">
      <w:pPr>
        <w:numPr>
          <w:ilvl w:val="0"/>
          <w:numId w:val="8"/>
        </w:numPr>
        <w:spacing w:after="80"/>
        <w:jc w:val="left"/>
      </w:pPr>
      <w:r w:rsidRPr="006A30B9">
        <w:t>X resides</w:t>
      </w:r>
      <w:r w:rsidRPr="00E209C9">
        <w:t xml:space="preserve"> and works</w:t>
      </w:r>
      <w:r w:rsidRPr="006A30B9">
        <w:t xml:space="preserve"> in State 1, which has no income tax. Y resides</w:t>
      </w:r>
      <w:r w:rsidRPr="00E209C9">
        <w:t xml:space="preserve"> and works</w:t>
      </w:r>
      <w:r w:rsidRPr="006A30B9">
        <w:t xml:space="preserve"> in State 2, which does have an income tax.</w:t>
      </w:r>
    </w:p>
    <w:p w14:paraId="0074D836" w14:textId="77777777" w:rsidR="006C7541" w:rsidRDefault="006C7541" w:rsidP="005F7F13">
      <w:pPr>
        <w:numPr>
          <w:ilvl w:val="0"/>
          <w:numId w:val="8"/>
        </w:numPr>
        <w:spacing w:after="80"/>
        <w:jc w:val="left"/>
      </w:pPr>
      <w:r>
        <w:t>The rental property is located in State 2 and is currently fully rented, making on average $100,000 per year.</w:t>
      </w:r>
    </w:p>
    <w:p w14:paraId="1D973DA0" w14:textId="20FD603B" w:rsidR="006C7541" w:rsidRPr="00E209C9" w:rsidRDefault="006C7541" w:rsidP="005F7F13">
      <w:pPr>
        <w:numPr>
          <w:ilvl w:val="0"/>
          <w:numId w:val="8"/>
        </w:numPr>
        <w:spacing w:after="80"/>
        <w:jc w:val="left"/>
      </w:pPr>
      <w:r>
        <w:t>X and Y agree that X will be paid a guaranteed payment of $30,000/year and will be allocated 2</w:t>
      </w:r>
      <w:r w:rsidR="00E56085">
        <w:t>8</w:t>
      </w:r>
      <w:r>
        <w:t xml:space="preserve">% of the </w:t>
      </w:r>
      <w:r w:rsidR="00E56085">
        <w:t xml:space="preserve">partnership’s net </w:t>
      </w:r>
      <w:r>
        <w:t xml:space="preserve">income after deducting that payment. </w:t>
      </w:r>
    </w:p>
    <w:p w14:paraId="19EFCE21" w14:textId="3F00F3C5" w:rsidR="006A30B9" w:rsidRPr="006A30B9" w:rsidRDefault="006A30B9" w:rsidP="00B11826">
      <w:pPr>
        <w:spacing w:after="120"/>
        <w:ind w:left="360"/>
        <w:jc w:val="left"/>
        <w:rPr>
          <w:b/>
          <w:bCs/>
        </w:rPr>
      </w:pPr>
      <w:r w:rsidRPr="006A30B9">
        <w:rPr>
          <w:b/>
          <w:bCs/>
          <w:u w:val="single"/>
        </w:rPr>
        <w:t>Example</w:t>
      </w:r>
      <w:r w:rsidR="00E209C9" w:rsidRPr="00E209C9">
        <w:rPr>
          <w:b/>
          <w:bCs/>
          <w:u w:val="single"/>
        </w:rPr>
        <w:t xml:space="preserve"> </w:t>
      </w:r>
      <w:r w:rsidR="00E56085">
        <w:rPr>
          <w:b/>
          <w:bCs/>
          <w:u w:val="single"/>
        </w:rPr>
        <w:t>2</w:t>
      </w:r>
      <w:r w:rsidRPr="006A30B9">
        <w:rPr>
          <w:b/>
          <w:bCs/>
        </w:rPr>
        <w:t>:</w:t>
      </w:r>
    </w:p>
    <w:p w14:paraId="1FC39AC9" w14:textId="77777777" w:rsidR="006A30B9" w:rsidRPr="006A30B9" w:rsidRDefault="006A30B9" w:rsidP="005F7F13">
      <w:pPr>
        <w:numPr>
          <w:ilvl w:val="0"/>
          <w:numId w:val="8"/>
        </w:numPr>
        <w:spacing w:after="80"/>
        <w:jc w:val="left"/>
      </w:pPr>
      <w:r w:rsidRPr="006A30B9">
        <w:t xml:space="preserve">X and Y form a partnership to provide consulting services. </w:t>
      </w:r>
    </w:p>
    <w:p w14:paraId="2E15DFD8" w14:textId="6BA748DB" w:rsidR="006A30B9" w:rsidRPr="006A30B9" w:rsidRDefault="006A30B9" w:rsidP="005F7F13">
      <w:pPr>
        <w:numPr>
          <w:ilvl w:val="0"/>
          <w:numId w:val="8"/>
        </w:numPr>
        <w:spacing w:after="80"/>
        <w:jc w:val="left"/>
      </w:pPr>
      <w:r w:rsidRPr="006A30B9">
        <w:t xml:space="preserve">X and Y have little in the way of expenses other than their time spent </w:t>
      </w:r>
      <w:r w:rsidR="00FC7DE0">
        <w:t xml:space="preserve">on client work </w:t>
      </w:r>
      <w:r w:rsidRPr="006A30B9">
        <w:t>and some incidental costs.</w:t>
      </w:r>
    </w:p>
    <w:p w14:paraId="18393E9B" w14:textId="688C4154" w:rsidR="006A30B9" w:rsidRPr="006A30B9" w:rsidRDefault="006A30B9" w:rsidP="005F7F13">
      <w:pPr>
        <w:numPr>
          <w:ilvl w:val="0"/>
          <w:numId w:val="8"/>
        </w:numPr>
        <w:spacing w:after="80"/>
        <w:jc w:val="left"/>
      </w:pPr>
      <w:r w:rsidRPr="006A30B9">
        <w:t>X resides</w:t>
      </w:r>
      <w:r w:rsidR="00155F98">
        <w:t xml:space="preserve"> and works</w:t>
      </w:r>
      <w:r w:rsidRPr="006A30B9">
        <w:t xml:space="preserve"> in State 1, which has no income tax. Y resides</w:t>
      </w:r>
      <w:r w:rsidR="00155F98">
        <w:t xml:space="preserve"> and works</w:t>
      </w:r>
      <w:r w:rsidRPr="006A30B9">
        <w:t xml:space="preserve"> in State 2, which does have an income tax.</w:t>
      </w:r>
    </w:p>
    <w:p w14:paraId="672391AE" w14:textId="77777777" w:rsidR="006A30B9" w:rsidRPr="006A30B9" w:rsidRDefault="006A30B9" w:rsidP="005F7F13">
      <w:pPr>
        <w:numPr>
          <w:ilvl w:val="0"/>
          <w:numId w:val="8"/>
        </w:numPr>
        <w:spacing w:after="80"/>
        <w:jc w:val="left"/>
      </w:pPr>
      <w:r w:rsidRPr="006A30B9">
        <w:t xml:space="preserve">Most of the partnership’s clients are in State 2. </w:t>
      </w:r>
    </w:p>
    <w:p w14:paraId="2CDBE511" w14:textId="76FBC152" w:rsidR="006A30B9" w:rsidRPr="006A30B9" w:rsidRDefault="006A30B9" w:rsidP="005F7F13">
      <w:pPr>
        <w:numPr>
          <w:ilvl w:val="0"/>
          <w:numId w:val="8"/>
        </w:numPr>
        <w:spacing w:after="80"/>
        <w:jc w:val="left"/>
      </w:pPr>
      <w:r w:rsidRPr="006A30B9">
        <w:t>For the first three years, partnershi</w:t>
      </w:r>
      <w:r w:rsidR="00C902DF">
        <w:t>p’s average</w:t>
      </w:r>
      <w:r w:rsidRPr="006A30B9">
        <w:t xml:space="preserve"> income </w:t>
      </w:r>
      <w:r w:rsidR="00F631B7">
        <w:t>is</w:t>
      </w:r>
      <w:r w:rsidR="006D4682">
        <w:t xml:space="preserve"> $</w:t>
      </w:r>
      <w:r w:rsidR="00C902DF">
        <w:t>2</w:t>
      </w:r>
      <w:r w:rsidR="006D4682">
        <w:t>00,000</w:t>
      </w:r>
      <w:r w:rsidRPr="006A30B9">
        <w:t>, and X and Y split that income 50/50.</w:t>
      </w:r>
    </w:p>
    <w:p w14:paraId="0AEF876F" w14:textId="67F55394" w:rsidR="006A30B9" w:rsidRPr="006A30B9" w:rsidRDefault="006D4682" w:rsidP="005F7F13">
      <w:pPr>
        <w:numPr>
          <w:ilvl w:val="0"/>
          <w:numId w:val="8"/>
        </w:numPr>
        <w:jc w:val="left"/>
      </w:pPr>
      <w:r>
        <w:t>In year four,</w:t>
      </w:r>
      <w:r w:rsidR="006A30B9" w:rsidRPr="006A30B9">
        <w:t xml:space="preserve"> X and Y agree that X will receive a </w:t>
      </w:r>
      <w:r w:rsidR="0045693F">
        <w:t xml:space="preserve">guaranteed </w:t>
      </w:r>
      <w:r w:rsidR="006A30B9" w:rsidRPr="006A30B9">
        <w:t>payment for services</w:t>
      </w:r>
      <w:r w:rsidR="00195E57">
        <w:t xml:space="preserve"> of $</w:t>
      </w:r>
      <w:r w:rsidR="00C902DF">
        <w:t>8</w:t>
      </w:r>
      <w:r w:rsidR="00195E57">
        <w:t>0,000,</w:t>
      </w:r>
      <w:r w:rsidR="006A30B9" w:rsidRPr="006A30B9">
        <w:t xml:space="preserve"> </w:t>
      </w:r>
      <w:r w:rsidR="00C902DF">
        <w:t>and will then receive</w:t>
      </w:r>
      <w:r w:rsidR="00337324">
        <w:t xml:space="preserve"> a 1</w:t>
      </w:r>
      <w:r w:rsidR="007F326C">
        <w:t>5</w:t>
      </w:r>
      <w:r w:rsidR="00337324">
        <w:t>% share of any net income</w:t>
      </w:r>
      <w:r w:rsidR="007640F8">
        <w:t xml:space="preserve"> after deducting that payment</w:t>
      </w:r>
      <w:r w:rsidR="00337324">
        <w:t xml:space="preserve">. </w:t>
      </w:r>
    </w:p>
    <w:p w14:paraId="222B6107" w14:textId="5223F793" w:rsidR="006A30B9" w:rsidRDefault="006A30B9" w:rsidP="006A30B9">
      <w:pPr>
        <w:jc w:val="left"/>
      </w:pPr>
      <w:r w:rsidRPr="006A30B9">
        <w:t>Assuming the payment</w:t>
      </w:r>
      <w:r w:rsidR="00E56085">
        <w:t>s</w:t>
      </w:r>
      <w:r w:rsidRPr="006A30B9">
        <w:t xml:space="preserve"> to X </w:t>
      </w:r>
      <w:r w:rsidR="00E56085">
        <w:t>are</w:t>
      </w:r>
      <w:r w:rsidRPr="006A30B9">
        <w:t xml:space="preserve"> guaranteed payment</w:t>
      </w:r>
      <w:r w:rsidR="00E56085">
        <w:t>s</w:t>
      </w:r>
      <w:r w:rsidRPr="006A30B9">
        <w:t xml:space="preserve">, the sourcing of </w:t>
      </w:r>
      <w:r w:rsidR="007640F8">
        <w:t>X’s</w:t>
      </w:r>
      <w:r w:rsidRPr="006A30B9">
        <w:t xml:space="preserve"> income will change even though the essential economic arrangement</w:t>
      </w:r>
      <w:r w:rsidR="00E56085">
        <w:t>s</w:t>
      </w:r>
      <w:r w:rsidRPr="006A30B9">
        <w:t xml:space="preserve"> </w:t>
      </w:r>
      <w:r w:rsidR="00E56085">
        <w:t>are</w:t>
      </w:r>
      <w:r w:rsidRPr="006A30B9">
        <w:t xml:space="preserve"> unchanged. </w:t>
      </w:r>
    </w:p>
    <w:p w14:paraId="79631662" w14:textId="02493487" w:rsidR="006A30B9" w:rsidRDefault="00AD7435" w:rsidP="00AD7435">
      <w:pPr>
        <w:pStyle w:val="Heading2"/>
      </w:pPr>
      <w:bookmarkStart w:id="38" w:name="_Toc153291156"/>
      <w:r>
        <w:t xml:space="preserve">I.G. </w:t>
      </w:r>
      <w:r w:rsidR="00117319">
        <w:t>Summary</w:t>
      </w:r>
      <w:bookmarkEnd w:id="38"/>
    </w:p>
    <w:p w14:paraId="4BD7E791" w14:textId="2D9E15C5" w:rsidR="00517467" w:rsidRDefault="008B2917" w:rsidP="00956D31">
      <w:r>
        <w:t xml:space="preserve">This Section I </w:t>
      </w:r>
      <w:r w:rsidR="00EA768B">
        <w:t>provides</w:t>
      </w:r>
      <w:r w:rsidR="008A196E">
        <w:t xml:space="preserve"> </w:t>
      </w:r>
      <w:r w:rsidR="002C3089">
        <w:t>general</w:t>
      </w:r>
      <w:r w:rsidR="008A196E">
        <w:t xml:space="preserve"> information on </w:t>
      </w:r>
      <w:r w:rsidR="00D24626">
        <w:t>the</w:t>
      </w:r>
      <w:r w:rsidR="008A196E">
        <w:t xml:space="preserve"> federal pass-through tax system</w:t>
      </w:r>
      <w:r w:rsidR="00D24626">
        <w:t xml:space="preserve"> and </w:t>
      </w:r>
      <w:r w:rsidR="00EA4029">
        <w:t>describe</w:t>
      </w:r>
      <w:r w:rsidR="00EA768B">
        <w:t>s</w:t>
      </w:r>
      <w:r w:rsidR="00EA4029">
        <w:t xml:space="preserve"> how</w:t>
      </w:r>
      <w:r w:rsidR="00903202">
        <w:t xml:space="preserve"> guaranteed payments for services </w:t>
      </w:r>
      <w:r w:rsidR="002C3089">
        <w:t>fit within that</w:t>
      </w:r>
      <w:r w:rsidR="00903202">
        <w:t xml:space="preserve"> context</w:t>
      </w:r>
      <w:r w:rsidR="00FA3883">
        <w:t>.</w:t>
      </w:r>
      <w:r w:rsidR="00263859">
        <w:t xml:space="preserve"> </w:t>
      </w:r>
      <w:r w:rsidR="00AA0861">
        <w:t xml:space="preserve">Guaranteed payments have been distinguished from distributive share/distributions and from partner-partnership transactions, both in theoretical terms and in how they are </w:t>
      </w:r>
      <w:r w:rsidR="005F765A">
        <w:t>treated under both the pass-through system an</w:t>
      </w:r>
      <w:r w:rsidR="00517467">
        <w:t xml:space="preserve">d federal substantive tax rules. </w:t>
      </w:r>
    </w:p>
    <w:p w14:paraId="4E8E13B2" w14:textId="70ECEBAF" w:rsidR="00C077C3" w:rsidRDefault="0046631C" w:rsidP="00956D31">
      <w:r>
        <w:t xml:space="preserve">In terms of the </w:t>
      </w:r>
      <w:r w:rsidR="00BE01DA">
        <w:t xml:space="preserve">aggregate and entity theories, guaranteed payments are treated more like partner-partnership transactions </w:t>
      </w:r>
      <w:r w:rsidR="000509AA">
        <w:t xml:space="preserve">(entity theory) rather than as distributive share/distributions (aggregate theory). </w:t>
      </w:r>
      <w:r w:rsidR="000E2B39">
        <w:t>A</w:t>
      </w:r>
      <w:r w:rsidR="00C70BAA">
        <w:t xml:space="preserve"> case</w:t>
      </w:r>
      <w:r w:rsidR="000E2B39">
        <w:t xml:space="preserve"> might therefore be</w:t>
      </w:r>
      <w:r w:rsidR="00C70BAA">
        <w:t xml:space="preserve"> made that guaranteed payments for services should be sourced in the same way as payments to compensate partners for the performance of service</w:t>
      </w:r>
      <w:r w:rsidR="00956D31">
        <w:t>s</w:t>
      </w:r>
      <w:r w:rsidR="00E36F0A">
        <w:t>—looking solely to the activities of the partner, rather than the activities of the partnership</w:t>
      </w:r>
      <w:r w:rsidR="00956D31">
        <w:t xml:space="preserve">. </w:t>
      </w:r>
    </w:p>
    <w:p w14:paraId="5FEBB7A9" w14:textId="5E46A703" w:rsidR="008B2917" w:rsidRDefault="000C5808" w:rsidP="00956D31">
      <w:pPr>
        <w:rPr>
          <w:rFonts w:asciiTheme="majorHAnsi" w:eastAsiaTheme="majorEastAsia" w:hAnsiTheme="majorHAnsi" w:cstheme="majorBidi"/>
          <w:b/>
          <w:smallCaps/>
          <w:color w:val="851C00" w:themeColor="accent6" w:themeShade="BF"/>
          <w:sz w:val="36"/>
          <w:szCs w:val="32"/>
        </w:rPr>
      </w:pPr>
      <w:r>
        <w:t>But t</w:t>
      </w:r>
      <w:r w:rsidR="00A57B60">
        <w:t xml:space="preserve">here are two other considerations that </w:t>
      </w:r>
      <w:r w:rsidR="000154DE">
        <w:t xml:space="preserve">may affect </w:t>
      </w:r>
      <w:r w:rsidR="000D5870">
        <w:t xml:space="preserve">the </w:t>
      </w:r>
      <w:r w:rsidR="000154DE">
        <w:t xml:space="preserve">sourcing. The first is </w:t>
      </w:r>
      <w:r w:rsidR="004854C1">
        <w:t xml:space="preserve">equity and the treatment of employees versus sole proprietors. </w:t>
      </w:r>
      <w:r w:rsidR="00C01F87">
        <w:t xml:space="preserve">The second is the </w:t>
      </w:r>
      <w:r w:rsidR="000154DE">
        <w:t xml:space="preserve">complexity </w:t>
      </w:r>
      <w:r w:rsidR="003B5548">
        <w:t xml:space="preserve">of some types of economic arrangements between partners and the difficulty in </w:t>
      </w:r>
      <w:r w:rsidR="00DC6BE9">
        <w:t>matching those arrangements</w:t>
      </w:r>
      <w:r w:rsidR="004E407F">
        <w:t xml:space="preserve"> to particular categories</w:t>
      </w:r>
      <w:r>
        <w:t xml:space="preserve"> of payments</w:t>
      </w:r>
      <w:r w:rsidR="004E407F">
        <w:t>, to the</w:t>
      </w:r>
      <w:r w:rsidR="00DC6BE9">
        <w:t xml:space="preserve"> extent this determines sourcing. The </w:t>
      </w:r>
      <w:r w:rsidR="00C01F87">
        <w:t>third</w:t>
      </w:r>
      <w:r w:rsidR="00DC6BE9">
        <w:t xml:space="preserve"> is the </w:t>
      </w:r>
      <w:r w:rsidR="00B56455">
        <w:t xml:space="preserve">possibility that sourcing different types of partnership-related income differently might lead to </w:t>
      </w:r>
      <w:r w:rsidR="00951110">
        <w:t xml:space="preserve">taxpayers </w:t>
      </w:r>
      <w:r w:rsidR="006F74A5">
        <w:t xml:space="preserve">adopting </w:t>
      </w:r>
      <w:r w:rsidR="00951110">
        <w:t xml:space="preserve">structures or arrangements </w:t>
      </w:r>
      <w:r w:rsidR="004E407F">
        <w:t xml:space="preserve">in order to </w:t>
      </w:r>
      <w:r w:rsidR="001E7AFF">
        <w:t xml:space="preserve">shift </w:t>
      </w:r>
      <w:r w:rsidR="006F74A5">
        <w:t>income</w:t>
      </w:r>
      <w:r w:rsidR="001E7AFF">
        <w:t xml:space="preserve"> for tax purposes</w:t>
      </w:r>
      <w:r w:rsidR="006F74A5">
        <w:t xml:space="preserve">. </w:t>
      </w:r>
      <w:r w:rsidR="008B2917">
        <w:br w:type="page"/>
      </w:r>
    </w:p>
    <w:p w14:paraId="18F94501" w14:textId="6AFBFB7C" w:rsidR="0040186B" w:rsidRPr="0019545B" w:rsidRDefault="00B5459F" w:rsidP="00BE7B52">
      <w:pPr>
        <w:pStyle w:val="Heading1"/>
      </w:pPr>
      <w:bookmarkStart w:id="39" w:name="_Toc153291157"/>
      <w:r>
        <w:lastRenderedPageBreak/>
        <w:t>I</w:t>
      </w:r>
      <w:r w:rsidR="00464AC0">
        <w:t>I</w:t>
      </w:r>
      <w:r w:rsidR="0045272A">
        <w:t xml:space="preserve">: </w:t>
      </w:r>
      <w:bookmarkEnd w:id="36"/>
      <w:r w:rsidR="00F46A10">
        <w:t xml:space="preserve">Specific </w:t>
      </w:r>
      <w:r>
        <w:t xml:space="preserve">Federal Rules </w:t>
      </w:r>
      <w:r w:rsidR="00F46A10">
        <w:t>for</w:t>
      </w:r>
      <w:r w:rsidR="008C02BF">
        <w:t xml:space="preserve"> Guaranteed Payments</w:t>
      </w:r>
      <w:bookmarkEnd w:id="39"/>
    </w:p>
    <w:p w14:paraId="6285AD25" w14:textId="39CAFA6A" w:rsidR="00812A24" w:rsidRDefault="00F620CA" w:rsidP="00F54CF3">
      <w:pPr>
        <w:rPr>
          <w:i/>
          <w:iCs/>
          <w:color w:val="B43412" w:themeColor="accent1" w:themeShade="BF"/>
          <w:sz w:val="18"/>
          <w:szCs w:val="18"/>
        </w:rPr>
      </w:pPr>
      <w:r w:rsidRPr="00355DD8">
        <w:rPr>
          <w:i/>
          <w:iCs/>
          <w:sz w:val="16"/>
          <w:szCs w:val="16"/>
        </w:rPr>
        <w:t xml:space="preserve">Information in this section </w:t>
      </w:r>
      <w:r w:rsidR="0019545B">
        <w:rPr>
          <w:i/>
          <w:iCs/>
          <w:sz w:val="16"/>
          <w:szCs w:val="16"/>
        </w:rPr>
        <w:t>comes from</w:t>
      </w:r>
      <w:r w:rsidR="00355DD8">
        <w:rPr>
          <w:i/>
          <w:iCs/>
          <w:sz w:val="16"/>
          <w:szCs w:val="16"/>
        </w:rPr>
        <w:t xml:space="preserve"> </w:t>
      </w:r>
      <w:r w:rsidRPr="00355DD8">
        <w:rPr>
          <w:i/>
          <w:iCs/>
          <w:sz w:val="16"/>
          <w:szCs w:val="16"/>
        </w:rPr>
        <w:t>multiple sources</w:t>
      </w:r>
      <w:r w:rsidR="004547CC" w:rsidRPr="00355DD8">
        <w:rPr>
          <w:i/>
          <w:iCs/>
          <w:sz w:val="16"/>
          <w:szCs w:val="16"/>
        </w:rPr>
        <w:t>.</w:t>
      </w:r>
      <w:r w:rsidR="00A2527B">
        <w:rPr>
          <w:i/>
          <w:iCs/>
          <w:sz w:val="16"/>
          <w:szCs w:val="16"/>
        </w:rPr>
        <w:t xml:space="preserve"> In addition to sources cited, s</w:t>
      </w:r>
      <w:r w:rsidR="00BA5F36" w:rsidRPr="00355DD8">
        <w:rPr>
          <w:i/>
          <w:iCs/>
          <w:sz w:val="16"/>
          <w:szCs w:val="16"/>
        </w:rPr>
        <w:t>ee the</w:t>
      </w:r>
      <w:r w:rsidR="00355DD8">
        <w:rPr>
          <w:i/>
          <w:iCs/>
          <w:sz w:val="16"/>
          <w:szCs w:val="16"/>
        </w:rPr>
        <w:t xml:space="preserve"> </w:t>
      </w:r>
      <w:r w:rsidR="00120DCC">
        <w:rPr>
          <w:i/>
          <w:iCs/>
          <w:sz w:val="16"/>
          <w:szCs w:val="16"/>
        </w:rPr>
        <w:t>MTC</w:t>
      </w:r>
      <w:r w:rsidR="00BA5F36" w:rsidRPr="00355DD8">
        <w:rPr>
          <w:i/>
          <w:iCs/>
          <w:sz w:val="16"/>
          <w:szCs w:val="16"/>
        </w:rPr>
        <w:t>’s project page</w:t>
      </w:r>
      <w:r w:rsidR="00355DD8">
        <w:rPr>
          <w:i/>
          <w:iCs/>
          <w:sz w:val="16"/>
          <w:szCs w:val="16"/>
        </w:rPr>
        <w:t xml:space="preserve"> </w:t>
      </w:r>
      <w:r w:rsidR="00BA5F36" w:rsidRPr="00355DD8">
        <w:rPr>
          <w:i/>
          <w:iCs/>
          <w:sz w:val="16"/>
          <w:szCs w:val="16"/>
        </w:rPr>
        <w:t>on state taxation of partnerships</w:t>
      </w:r>
      <w:r w:rsidR="00A07E10">
        <w:rPr>
          <w:i/>
          <w:iCs/>
          <w:sz w:val="16"/>
          <w:szCs w:val="16"/>
        </w:rPr>
        <w:t>, here</w:t>
      </w:r>
      <w:r w:rsidR="00BA5F36" w:rsidRPr="00355DD8">
        <w:rPr>
          <w:i/>
          <w:iCs/>
          <w:sz w:val="16"/>
          <w:szCs w:val="16"/>
        </w:rPr>
        <w:t xml:space="preserve">: </w:t>
      </w:r>
      <w:r w:rsidR="00C9117B">
        <w:rPr>
          <w:i/>
          <w:iCs/>
          <w:sz w:val="16"/>
          <w:szCs w:val="16"/>
        </w:rPr>
        <w:t xml:space="preserve"> </w:t>
      </w:r>
      <w:hyperlink r:id="rId35" w:history="1">
        <w:r w:rsidR="005B6581">
          <w:rPr>
            <w:rStyle w:val="Hyperlink"/>
            <w:i/>
            <w:iCs/>
            <w:color w:val="B43412" w:themeColor="accent1" w:themeShade="BF"/>
            <w:sz w:val="16"/>
            <w:szCs w:val="16"/>
          </w:rPr>
          <w:t>https://www.mtc.gov/uniformity/project-on-state-taxation-of-partnerships/</w:t>
        </w:r>
      </w:hyperlink>
      <w:r w:rsidR="00F54CF3">
        <w:rPr>
          <w:i/>
          <w:iCs/>
          <w:color w:val="B43412" w:themeColor="accent1" w:themeShade="BF"/>
          <w:sz w:val="18"/>
          <w:szCs w:val="18"/>
        </w:rPr>
        <w:t xml:space="preserve"> </w:t>
      </w:r>
    </w:p>
    <w:p w14:paraId="3170E06E" w14:textId="00A5F236" w:rsidR="00B101FF" w:rsidRDefault="00EC585E" w:rsidP="00170748">
      <w:r>
        <w:t xml:space="preserve">Section I provided general context for a discussion of guaranteed payments and concluded that </w:t>
      </w:r>
      <w:r w:rsidR="00524706">
        <w:t xml:space="preserve">while </w:t>
      </w:r>
      <w:r w:rsidR="00E0066C">
        <w:t xml:space="preserve">these </w:t>
      </w:r>
      <w:r w:rsidR="00524706">
        <w:t>payments may be distinguished</w:t>
      </w:r>
      <w:r w:rsidR="00017F7E">
        <w:t xml:space="preserve"> from </w:t>
      </w:r>
      <w:r w:rsidR="00F3665E">
        <w:t>two other categories</w:t>
      </w:r>
      <w:r w:rsidR="00017F7E">
        <w:t xml:space="preserve"> of </w:t>
      </w:r>
      <w:r w:rsidR="00CD1FA4">
        <w:t xml:space="preserve">partnership </w:t>
      </w:r>
      <w:r w:rsidR="00017F7E">
        <w:t>payments</w:t>
      </w:r>
      <w:r w:rsidR="00F3665E">
        <w:t xml:space="preserve">—distributive share/distributions and </w:t>
      </w:r>
      <w:r w:rsidR="00F24184">
        <w:t>partner-partnership transactions—</w:t>
      </w:r>
      <w:r w:rsidR="00017F7E">
        <w:t xml:space="preserve">doing so may be complicated by </w:t>
      </w:r>
      <w:r w:rsidR="0039028D">
        <w:t>sim</w:t>
      </w:r>
      <w:r w:rsidR="00F3665E">
        <w:t xml:space="preserve">ilarities between the </w:t>
      </w:r>
      <w:r w:rsidR="00F24184">
        <w:t xml:space="preserve">categories and </w:t>
      </w:r>
      <w:r w:rsidR="00017F7E">
        <w:t xml:space="preserve">the </w:t>
      </w:r>
      <w:r w:rsidR="00B101FF">
        <w:t xml:space="preserve">complexity of certain partnership arrangements. </w:t>
      </w:r>
      <w:r w:rsidR="00017F7E">
        <w:t xml:space="preserve"> </w:t>
      </w:r>
    </w:p>
    <w:p w14:paraId="1C7E2C1E" w14:textId="4F9E1DF2" w:rsidR="004108A3" w:rsidRDefault="0088461B" w:rsidP="00170748">
      <w:r>
        <w:t xml:space="preserve">This </w:t>
      </w:r>
      <w:r w:rsidR="00217866">
        <w:t xml:space="preserve">Section II </w:t>
      </w:r>
      <w:r w:rsidR="001B22E9">
        <w:t>sets out the</w:t>
      </w:r>
      <w:r w:rsidR="00B101FF">
        <w:t xml:space="preserve"> </w:t>
      </w:r>
      <w:r>
        <w:t xml:space="preserve">federal rules </w:t>
      </w:r>
      <w:r w:rsidR="001B22E9">
        <w:t>that apply to guaranteed payments, including:</w:t>
      </w:r>
      <w:r w:rsidR="00FB5D3D">
        <w:t xml:space="preserve"> </w:t>
      </w:r>
    </w:p>
    <w:p w14:paraId="18164FA8" w14:textId="283AF8DD" w:rsidR="00092BB5" w:rsidRDefault="0057106D" w:rsidP="005F7F13">
      <w:pPr>
        <w:pStyle w:val="ListParagraph"/>
        <w:numPr>
          <w:ilvl w:val="0"/>
          <w:numId w:val="20"/>
        </w:numPr>
      </w:pPr>
      <w:r>
        <w:t>Subchapter K</w:t>
      </w:r>
      <w:r w:rsidR="00C46BF7">
        <w:t>,</w:t>
      </w:r>
      <w:r w:rsidR="00092BB5">
        <w:t xml:space="preserve"> to which most states conform</w:t>
      </w:r>
      <w:r w:rsidR="00092BB5" w:rsidRPr="00092BB5">
        <w:t>,</w:t>
      </w:r>
      <w:r w:rsidR="00092BB5" w:rsidRPr="00092BB5">
        <w:rPr>
          <w:vertAlign w:val="superscript"/>
        </w:rPr>
        <w:footnoteReference w:id="7"/>
      </w:r>
    </w:p>
    <w:p w14:paraId="4530EB3B" w14:textId="3BBA71F6" w:rsidR="00092BB5" w:rsidRDefault="00C46BF7" w:rsidP="005F7F13">
      <w:pPr>
        <w:pStyle w:val="ListParagraph"/>
        <w:numPr>
          <w:ilvl w:val="0"/>
          <w:numId w:val="20"/>
        </w:numPr>
      </w:pPr>
      <w:r>
        <w:t>S</w:t>
      </w:r>
      <w:r w:rsidR="003E16A7">
        <w:t>ubstantive tax rules</w:t>
      </w:r>
      <w:r>
        <w:t>,</w:t>
      </w:r>
      <w:r w:rsidR="003E16A7">
        <w:t xml:space="preserve"> </w:t>
      </w:r>
      <w:r w:rsidR="00092BB5">
        <w:t xml:space="preserve">including IRC §199A and </w:t>
      </w:r>
      <w:r w:rsidR="00574E82">
        <w:t xml:space="preserve">self-employment tax rules, </w:t>
      </w:r>
    </w:p>
    <w:p w14:paraId="037B114C" w14:textId="21A45E88" w:rsidR="00092BB5" w:rsidRDefault="00C46BF7" w:rsidP="005F7F13">
      <w:pPr>
        <w:pStyle w:val="ListParagraph"/>
        <w:numPr>
          <w:ilvl w:val="0"/>
          <w:numId w:val="20"/>
        </w:numPr>
      </w:pPr>
      <w:r>
        <w:t xml:space="preserve">Federal rules for </w:t>
      </w:r>
      <w:r w:rsidR="00092BB5">
        <w:t>sourcing guaranteed payments for services,</w:t>
      </w:r>
      <w:r>
        <w:t xml:space="preserve"> and</w:t>
      </w:r>
    </w:p>
    <w:p w14:paraId="4BD30689" w14:textId="55150CA1" w:rsidR="009F4C2C" w:rsidRDefault="00C46BF7" w:rsidP="009F4C2C">
      <w:pPr>
        <w:pStyle w:val="ListParagraph"/>
        <w:numPr>
          <w:ilvl w:val="0"/>
          <w:numId w:val="20"/>
        </w:numPr>
      </w:pPr>
      <w:r>
        <w:t>Federal</w:t>
      </w:r>
      <w:r w:rsidR="00A61F2E">
        <w:t xml:space="preserve"> rules for the</w:t>
      </w:r>
      <w:r w:rsidR="003830C0">
        <w:t xml:space="preserve"> state</w:t>
      </w:r>
      <w:r w:rsidR="0092280E">
        <w:t xml:space="preserve"> </w:t>
      </w:r>
      <w:r w:rsidR="003830C0">
        <w:t xml:space="preserve">sourcing of certain guaranteed payments made to retired partners. </w:t>
      </w:r>
      <w:r w:rsidR="00FB5D3D">
        <w:t xml:space="preserve"> </w:t>
      </w:r>
    </w:p>
    <w:p w14:paraId="401DA527" w14:textId="66C87696" w:rsidR="009F4C2C" w:rsidRDefault="009F4C2C" w:rsidP="009F4C2C">
      <w:r>
        <w:rPr>
          <w:shd w:val="clear" w:color="auto" w:fill="FFFFA7"/>
        </w:rPr>
        <w:t>Note that f</w:t>
      </w:r>
      <w:r w:rsidRPr="003861BA">
        <w:rPr>
          <w:shd w:val="clear" w:color="auto" w:fill="FFFFA7"/>
        </w:rPr>
        <w:t xml:space="preserve">ederal </w:t>
      </w:r>
      <w:r>
        <w:rPr>
          <w:shd w:val="clear" w:color="auto" w:fill="FFFFA7"/>
        </w:rPr>
        <w:t xml:space="preserve">sourcing </w:t>
      </w:r>
      <w:r w:rsidRPr="003861BA">
        <w:rPr>
          <w:shd w:val="clear" w:color="auto" w:fill="FFFFA7"/>
        </w:rPr>
        <w:t>rules do not control</w:t>
      </w:r>
      <w:r>
        <w:rPr>
          <w:shd w:val="clear" w:color="auto" w:fill="FFFFA7"/>
        </w:rPr>
        <w:t xml:space="preserve"> the sourcing of income or particular items between the states.</w:t>
      </w:r>
    </w:p>
    <w:p w14:paraId="4B1E3D91" w14:textId="1BF92B9E" w:rsidR="00FF64FE" w:rsidRDefault="00F54CF3" w:rsidP="00F54CF3">
      <w:pPr>
        <w:pStyle w:val="Heading2"/>
      </w:pPr>
      <w:bookmarkStart w:id="40" w:name="_Toc153291158"/>
      <w:r>
        <w:t>I</w:t>
      </w:r>
      <w:r w:rsidR="00464AC0">
        <w:t>I</w:t>
      </w:r>
      <w:r>
        <w:t xml:space="preserve">. </w:t>
      </w:r>
      <w:r w:rsidR="001B08EA">
        <w:t>A</w:t>
      </w:r>
      <w:r>
        <w:t xml:space="preserve">. </w:t>
      </w:r>
      <w:r w:rsidR="00361AA1">
        <w:t>Subchapter K</w:t>
      </w:r>
      <w:bookmarkEnd w:id="40"/>
    </w:p>
    <w:p w14:paraId="2A2760AA" w14:textId="779855EB" w:rsidR="00B60C4C" w:rsidRDefault="00B60C4C" w:rsidP="00B60C4C">
      <w:pPr>
        <w:pStyle w:val="Heading3"/>
      </w:pPr>
      <w:bookmarkStart w:id="41" w:name="_Toc153291159"/>
      <w:r>
        <w:t>Relevant Provisions of Subchapter K</w:t>
      </w:r>
      <w:bookmarkEnd w:id="41"/>
    </w:p>
    <w:p w14:paraId="7F2F89E9" w14:textId="402B9BEA" w:rsidR="009E65D1" w:rsidRPr="009E65D1" w:rsidRDefault="00901E01" w:rsidP="00552BD2">
      <w:r>
        <w:t>Any d</w:t>
      </w:r>
      <w:r w:rsidR="00D673D1">
        <w:t xml:space="preserve">iscussion of the federal tax rules for guaranteed payments begins with </w:t>
      </w:r>
      <w:r w:rsidR="000A5011" w:rsidRPr="000A5011">
        <w:t>IRC § 707</w:t>
      </w:r>
      <w:r w:rsidR="009E65D1">
        <w:t xml:space="preserve">. </w:t>
      </w:r>
      <w:r w:rsidR="009E65D1" w:rsidRPr="009E65D1">
        <w:t xml:space="preserve">Congress added </w:t>
      </w:r>
      <w:r w:rsidR="00D91CF6">
        <w:t>§</w:t>
      </w:r>
      <w:r w:rsidR="009E65D1" w:rsidRPr="009E65D1">
        <w:t xml:space="preserve"> 707 to the Internal Revenue Code of 1954</w:t>
      </w:r>
      <w:r w:rsidR="004D40AC">
        <w:t>, in part,</w:t>
      </w:r>
      <w:r w:rsidR="009E65D1" w:rsidRPr="009E65D1">
        <w:t xml:space="preserve"> to address transactions between partners and partnerships. </w:t>
      </w:r>
      <w:r w:rsidR="004D607A">
        <w:t>Section 707</w:t>
      </w:r>
      <w:r w:rsidR="00326525">
        <w:t xml:space="preserve"> </w:t>
      </w:r>
      <w:r w:rsidR="00BC5B43">
        <w:t>recognizes a difference between</w:t>
      </w:r>
      <w:r w:rsidR="00793647">
        <w:t xml:space="preserve"> payments to a partner “not acting in capacity as partner</w:t>
      </w:r>
      <w:r w:rsidR="004D607A">
        <w:t>,</w:t>
      </w:r>
      <w:r w:rsidR="00793647">
        <w:t>”</w:t>
      </w:r>
      <w:r w:rsidR="004D607A">
        <w:t xml:space="preserve"> § 707(a),</w:t>
      </w:r>
      <w:r w:rsidR="00793647">
        <w:t xml:space="preserve"> </w:t>
      </w:r>
      <w:r w:rsidR="00BC5B43">
        <w:t>versus</w:t>
      </w:r>
      <w:r w:rsidR="00793647">
        <w:t xml:space="preserve"> </w:t>
      </w:r>
      <w:r w:rsidR="00BC5B43">
        <w:t>“</w:t>
      </w:r>
      <w:r w:rsidR="00D91CF6">
        <w:t>guaranteed payments</w:t>
      </w:r>
      <w:r w:rsidR="00BC5B43">
        <w:t>”</w:t>
      </w:r>
      <w:r w:rsidR="00D91CF6">
        <w:t xml:space="preserve"> </w:t>
      </w:r>
      <w:r w:rsidR="002A7B69">
        <w:t>made “to a partner for services or the use of capital”</w:t>
      </w:r>
      <w:r w:rsidR="00577ADB">
        <w:t>—presumably in the capacity as partner</w:t>
      </w:r>
      <w:r w:rsidR="004D607A">
        <w:t xml:space="preserve">, </w:t>
      </w:r>
      <w:r w:rsidR="00812C0B">
        <w:t>§ 707(c)</w:t>
      </w:r>
      <w:r w:rsidR="00577ADB">
        <w:t xml:space="preserve">. </w:t>
      </w:r>
      <w:r w:rsidR="007A44A2">
        <w:t xml:space="preserve">In </w:t>
      </w:r>
      <w:r w:rsidR="008C262D">
        <w:t>1984, Congress made changes to § 707, including the disguised sale rules in subsection (a)</w:t>
      </w:r>
      <w:r w:rsidR="00E63276">
        <w:t>(2), which are discussed further below.</w:t>
      </w:r>
    </w:p>
    <w:p w14:paraId="5C1ECF03" w14:textId="3CCE1FC4" w:rsidR="002D1D6E" w:rsidRPr="00204367" w:rsidRDefault="002D1D6E" w:rsidP="00CF2332">
      <w:pPr>
        <w:spacing w:after="80"/>
        <w:ind w:firstLine="720"/>
        <w:rPr>
          <w:b/>
          <w:bCs/>
        </w:rPr>
      </w:pPr>
      <w:r w:rsidRPr="00204367">
        <w:rPr>
          <w:b/>
          <w:bCs/>
          <w:u w:val="single"/>
        </w:rPr>
        <w:t>IRC Section 707 (in relevant part)</w:t>
      </w:r>
      <w:r w:rsidRPr="00204367">
        <w:rPr>
          <w:b/>
          <w:bCs/>
        </w:rPr>
        <w:t>:</w:t>
      </w:r>
    </w:p>
    <w:p w14:paraId="2C1B2B2F" w14:textId="6E194FFF" w:rsidR="000A5011" w:rsidRPr="000A5011" w:rsidRDefault="000A5011" w:rsidP="00944885">
      <w:pPr>
        <w:spacing w:after="0" w:line="240" w:lineRule="auto"/>
        <w:ind w:right="720" w:firstLine="720"/>
      </w:pPr>
      <w:r>
        <w:t xml:space="preserve">(a) </w:t>
      </w:r>
      <w:r w:rsidRPr="000A5011">
        <w:t>Partner not acting in capacity as partner</w:t>
      </w:r>
    </w:p>
    <w:p w14:paraId="2954802B" w14:textId="1544E4DD" w:rsidR="000A5011" w:rsidRPr="000A5011" w:rsidRDefault="000A5011" w:rsidP="00944885">
      <w:pPr>
        <w:spacing w:after="0" w:line="240" w:lineRule="auto"/>
        <w:ind w:left="720" w:right="720" w:firstLine="720"/>
      </w:pPr>
      <w:r w:rsidRPr="000A5011">
        <w:t>(1)</w:t>
      </w:r>
      <w:r w:rsidRPr="00640D01">
        <w:t xml:space="preserve"> </w:t>
      </w:r>
      <w:r w:rsidRPr="000A5011">
        <w:t>In general</w:t>
      </w:r>
    </w:p>
    <w:p w14:paraId="29C5C026" w14:textId="4B2B7EF3" w:rsidR="000A5011" w:rsidRPr="000A5011" w:rsidRDefault="000A5011" w:rsidP="00944885">
      <w:pPr>
        <w:spacing w:after="0" w:line="240" w:lineRule="auto"/>
        <w:ind w:left="1440" w:right="720" w:firstLine="720"/>
      </w:pPr>
      <w:r w:rsidRPr="000A5011">
        <w:t>If a partner engages in a transaction with a partnership other than in his capacity as a member of such partnership, the transaction shall, except as otherwise provided in this section, be considered as occurring between the partnership and one who is not a partner.</w:t>
      </w:r>
    </w:p>
    <w:p w14:paraId="38D8F508" w14:textId="4CF65BF8" w:rsidR="000A5011" w:rsidRPr="000A5011" w:rsidRDefault="000A5011" w:rsidP="00944885">
      <w:pPr>
        <w:spacing w:after="0" w:line="240" w:lineRule="auto"/>
        <w:ind w:left="720" w:right="720" w:firstLine="720"/>
      </w:pPr>
      <w:r w:rsidRPr="000A5011">
        <w:t>(2)</w:t>
      </w:r>
      <w:r w:rsidRPr="00640D01">
        <w:t xml:space="preserve"> </w:t>
      </w:r>
      <w:r w:rsidRPr="000A5011">
        <w:t>Treatment of payments to partners for property or services</w:t>
      </w:r>
    </w:p>
    <w:p w14:paraId="763D1649" w14:textId="77777777" w:rsidR="000A5011" w:rsidRPr="000A5011" w:rsidRDefault="000A5011" w:rsidP="00944885">
      <w:pPr>
        <w:spacing w:after="0" w:line="240" w:lineRule="auto"/>
        <w:ind w:left="1440" w:right="720" w:firstLine="720"/>
      </w:pPr>
      <w:r w:rsidRPr="000A5011">
        <w:t>Under regulations prescribed by the Secretary—</w:t>
      </w:r>
    </w:p>
    <w:p w14:paraId="208CDB51" w14:textId="1A5337B0" w:rsidR="000A5011" w:rsidRPr="00640D01" w:rsidRDefault="000A5011" w:rsidP="00944885">
      <w:pPr>
        <w:spacing w:after="0" w:line="240" w:lineRule="auto"/>
        <w:ind w:left="1440" w:right="720" w:firstLine="720"/>
      </w:pPr>
      <w:r w:rsidRPr="00640D01">
        <w:t>(A) Treatment of certain services and transfers of property</w:t>
      </w:r>
    </w:p>
    <w:p w14:paraId="56C68260" w14:textId="77777777" w:rsidR="000A5011" w:rsidRPr="000A5011" w:rsidRDefault="000A5011" w:rsidP="00944885">
      <w:pPr>
        <w:spacing w:after="0" w:line="240" w:lineRule="auto"/>
        <w:ind w:left="2160" w:right="720" w:firstLine="720"/>
      </w:pPr>
      <w:r w:rsidRPr="000A5011">
        <w:t>If—</w:t>
      </w:r>
    </w:p>
    <w:p w14:paraId="4DD88D4A" w14:textId="77777777" w:rsidR="000A5011" w:rsidRPr="00640D01" w:rsidRDefault="000A5011" w:rsidP="00944885">
      <w:pPr>
        <w:spacing w:after="0" w:line="240" w:lineRule="auto"/>
        <w:ind w:left="2160" w:right="720" w:firstLine="720"/>
      </w:pPr>
      <w:r w:rsidRPr="000A5011">
        <w:t>(i)</w:t>
      </w:r>
      <w:r w:rsidRPr="00640D01">
        <w:t xml:space="preserve"> </w:t>
      </w:r>
      <w:r w:rsidRPr="000A5011">
        <w:t>a partner performs services for a partnership or transfers property to a partnership,</w:t>
      </w:r>
    </w:p>
    <w:p w14:paraId="17F3D833" w14:textId="77777777" w:rsidR="000A5011" w:rsidRPr="00640D01" w:rsidRDefault="000A5011" w:rsidP="00944885">
      <w:pPr>
        <w:spacing w:after="0" w:line="240" w:lineRule="auto"/>
        <w:ind w:left="2160" w:right="720" w:firstLine="720"/>
      </w:pPr>
      <w:r w:rsidRPr="000A5011">
        <w:t>(ii)</w:t>
      </w:r>
      <w:r w:rsidRPr="00640D01">
        <w:t xml:space="preserve"> </w:t>
      </w:r>
      <w:r w:rsidRPr="000A5011">
        <w:t>there is a related direct or indirect allocation and distribution to such partner, and</w:t>
      </w:r>
    </w:p>
    <w:p w14:paraId="3E55BE2A" w14:textId="4C05DCC9" w:rsidR="000A5011" w:rsidRPr="000A5011" w:rsidRDefault="000A5011" w:rsidP="00944885">
      <w:pPr>
        <w:spacing w:after="0" w:line="240" w:lineRule="auto"/>
        <w:ind w:left="2160" w:right="720" w:firstLine="720"/>
      </w:pPr>
      <w:r w:rsidRPr="000A5011">
        <w:t>(iii)</w:t>
      </w:r>
      <w:r w:rsidRPr="00640D01">
        <w:t xml:space="preserve"> </w:t>
      </w:r>
      <w:r w:rsidRPr="000A5011">
        <w:t>the performance of such services (or such transfer) and the allocation and distribution, when viewed together, are properly characterized as a transaction occurring between the partnership and a partner acting other than in his capacity as a member of the partnership,</w:t>
      </w:r>
    </w:p>
    <w:p w14:paraId="7A6D2181" w14:textId="77777777" w:rsidR="000A5011" w:rsidRPr="000A5011" w:rsidRDefault="000A5011" w:rsidP="00944885">
      <w:pPr>
        <w:spacing w:after="0" w:line="240" w:lineRule="auto"/>
        <w:ind w:left="1440" w:right="720"/>
      </w:pPr>
      <w:r w:rsidRPr="000A5011">
        <w:t>such allocation and distribution shall be treated as a transaction described in paragraph (1).</w:t>
      </w:r>
    </w:p>
    <w:p w14:paraId="265F28A8" w14:textId="7573317C" w:rsidR="000A5011" w:rsidRPr="000A5011" w:rsidRDefault="0044425F" w:rsidP="00944885">
      <w:pPr>
        <w:spacing w:after="0" w:line="240" w:lineRule="auto"/>
        <w:ind w:left="1440" w:right="720" w:firstLine="720"/>
      </w:pPr>
      <w:r>
        <w:t>. . .</w:t>
      </w:r>
    </w:p>
    <w:p w14:paraId="2BA77D1D" w14:textId="00086AE5" w:rsidR="000A5011" w:rsidRPr="000A5011" w:rsidRDefault="000A5011" w:rsidP="00944885">
      <w:pPr>
        <w:spacing w:after="0" w:line="240" w:lineRule="auto"/>
        <w:ind w:left="720" w:right="720"/>
      </w:pPr>
      <w:r w:rsidRPr="000A5011">
        <w:t>(b)</w:t>
      </w:r>
      <w:r w:rsidR="00DD4027" w:rsidRPr="00640D01">
        <w:t xml:space="preserve"> </w:t>
      </w:r>
      <w:r w:rsidRPr="000A5011">
        <w:t>Certain sales or exchanges of property with respect to controlled partnerships</w:t>
      </w:r>
    </w:p>
    <w:p w14:paraId="53779155" w14:textId="5DF9749C" w:rsidR="000A5011" w:rsidRPr="000A5011" w:rsidRDefault="000A5011" w:rsidP="00944885">
      <w:pPr>
        <w:spacing w:after="0" w:line="240" w:lineRule="auto"/>
        <w:ind w:left="720" w:right="720" w:firstLine="720"/>
      </w:pPr>
      <w:r w:rsidRPr="000A5011">
        <w:lastRenderedPageBreak/>
        <w:t>(1)</w:t>
      </w:r>
      <w:r w:rsidR="00DD4027" w:rsidRPr="00640D01">
        <w:t xml:space="preserve"> </w:t>
      </w:r>
      <w:r w:rsidRPr="000A5011">
        <w:t>Losses disallowed</w:t>
      </w:r>
    </w:p>
    <w:p w14:paraId="084D0CA2" w14:textId="69051C4E" w:rsidR="000A5011" w:rsidRPr="000A5011" w:rsidRDefault="00640D01" w:rsidP="00944885">
      <w:pPr>
        <w:spacing w:after="0"/>
        <w:ind w:left="1440" w:right="720"/>
      </w:pPr>
      <w:r>
        <w:t>. . .</w:t>
      </w:r>
    </w:p>
    <w:p w14:paraId="0EEA476B" w14:textId="07671C8A" w:rsidR="000A5011" w:rsidRPr="000A5011" w:rsidRDefault="000A5011" w:rsidP="00944885">
      <w:pPr>
        <w:spacing w:after="0" w:line="240" w:lineRule="auto"/>
        <w:ind w:left="720" w:right="720" w:firstLine="720"/>
      </w:pPr>
      <w:r w:rsidRPr="000A5011">
        <w:t>(2)</w:t>
      </w:r>
      <w:r w:rsidR="00DD4027" w:rsidRPr="00640D01">
        <w:t xml:space="preserve"> </w:t>
      </w:r>
      <w:r w:rsidRPr="000A5011">
        <w:t>Gains treated as ordinary income</w:t>
      </w:r>
    </w:p>
    <w:p w14:paraId="235C57B7" w14:textId="74D95DDF" w:rsidR="000A5011" w:rsidRPr="000A5011" w:rsidRDefault="00640D01" w:rsidP="00944885">
      <w:pPr>
        <w:spacing w:after="0" w:line="240" w:lineRule="auto"/>
        <w:ind w:left="1440" w:right="720"/>
      </w:pPr>
      <w:r>
        <w:t>. . .</w:t>
      </w:r>
    </w:p>
    <w:p w14:paraId="47450D3A" w14:textId="30BD0F9B" w:rsidR="000A5011" w:rsidRPr="000A5011" w:rsidRDefault="000A5011" w:rsidP="00944885">
      <w:pPr>
        <w:spacing w:after="0" w:line="240" w:lineRule="auto"/>
        <w:ind w:right="720" w:firstLine="720"/>
      </w:pPr>
      <w:r w:rsidRPr="000A5011">
        <w:t>(c) Guaranteed payments</w:t>
      </w:r>
    </w:p>
    <w:p w14:paraId="317157F0" w14:textId="3F193CDE" w:rsidR="000A5011" w:rsidRPr="00640D01" w:rsidRDefault="000A5011" w:rsidP="00944885">
      <w:pPr>
        <w:spacing w:after="0" w:line="240" w:lineRule="auto"/>
        <w:ind w:left="720" w:right="720"/>
      </w:pPr>
      <w:r w:rsidRPr="000A5011">
        <w:t>To the extent determined without regard to the income of the partnership, payments to a partner for services or the use of capital shall be considered as made to one who is not a member of the partnership, but only for the purposes of section 61(a) (relating to gross income) and, subject to section 263, for purposes of section 162(a) (relating to trade or business expenses).</w:t>
      </w:r>
    </w:p>
    <w:p w14:paraId="41788778" w14:textId="6A63C767" w:rsidR="001733CE" w:rsidRDefault="00BC5B43" w:rsidP="00B83275">
      <w:pPr>
        <w:spacing w:before="240" w:after="120"/>
      </w:pPr>
      <w:r>
        <w:t>Section 707(c)’s description of</w:t>
      </w:r>
      <w:r w:rsidR="009333E9">
        <w:t xml:space="preserve"> guaranteed payments also serves to distinguish them from </w:t>
      </w:r>
      <w:r w:rsidR="00954B6D">
        <w:t xml:space="preserve">regular </w:t>
      </w:r>
      <w:r w:rsidR="00640D01">
        <w:t>distributive share</w:t>
      </w:r>
      <w:r w:rsidR="00DD3AA6">
        <w:t>/distributions</w:t>
      </w:r>
      <w:r w:rsidR="009333E9">
        <w:t xml:space="preserve"> in that the payment will be a guaranteed payment “to the extent determined without regard to the income of the partnership</w:t>
      </w:r>
      <w:r w:rsidR="00392E65" w:rsidRPr="00392E65">
        <w:t>.</w:t>
      </w:r>
      <w:r w:rsidR="009333E9">
        <w:t>”</w:t>
      </w:r>
      <w:r w:rsidR="00392E65" w:rsidRPr="00392E65">
        <w:t xml:space="preserve"> </w:t>
      </w:r>
    </w:p>
    <w:p w14:paraId="685306FD" w14:textId="52F010C4" w:rsidR="00AD5450" w:rsidRDefault="009333E9" w:rsidP="00E02AD6">
      <w:pPr>
        <w:spacing w:before="240" w:after="240"/>
      </w:pPr>
      <w:r>
        <w:t xml:space="preserve">In contrast, </w:t>
      </w:r>
      <w:r w:rsidR="001733CE">
        <w:t>§ 704</w:t>
      </w:r>
      <w:r>
        <w:t>, which governs distributive share provides</w:t>
      </w:r>
      <w:r w:rsidR="00F60C02">
        <w:t>.</w:t>
      </w:r>
    </w:p>
    <w:p w14:paraId="76A9BFDD" w14:textId="71F48071" w:rsidR="00F60C02" w:rsidRPr="00F60C02" w:rsidRDefault="00F60C02" w:rsidP="00BC748E">
      <w:pPr>
        <w:spacing w:after="40"/>
        <w:ind w:right="720" w:firstLine="720"/>
        <w:rPr>
          <w:b/>
          <w:bCs/>
        </w:rPr>
      </w:pPr>
      <w:r w:rsidRPr="00F60C02">
        <w:rPr>
          <w:b/>
          <w:bCs/>
          <w:u w:val="single"/>
        </w:rPr>
        <w:t>IRC Section 70</w:t>
      </w:r>
      <w:r w:rsidRPr="00204367">
        <w:rPr>
          <w:b/>
          <w:bCs/>
          <w:u w:val="single"/>
        </w:rPr>
        <w:t>4</w:t>
      </w:r>
      <w:r w:rsidRPr="00F60C02">
        <w:rPr>
          <w:b/>
          <w:bCs/>
          <w:u w:val="single"/>
        </w:rPr>
        <w:t xml:space="preserve"> (in relevant part)</w:t>
      </w:r>
      <w:r w:rsidRPr="00F60C02">
        <w:rPr>
          <w:b/>
          <w:bCs/>
        </w:rPr>
        <w:t>:</w:t>
      </w:r>
    </w:p>
    <w:p w14:paraId="5CE190B7" w14:textId="5A2D8C84" w:rsidR="00AD5450" w:rsidRDefault="00AD5450" w:rsidP="00944885">
      <w:pPr>
        <w:spacing w:after="0" w:line="240" w:lineRule="auto"/>
        <w:ind w:right="720" w:firstLine="720"/>
      </w:pPr>
      <w:r>
        <w:t>(a) Effect of partnership agreement</w:t>
      </w:r>
    </w:p>
    <w:p w14:paraId="5479A109" w14:textId="77777777" w:rsidR="00AD5450" w:rsidRDefault="00AD5450" w:rsidP="00944885">
      <w:pPr>
        <w:spacing w:after="0" w:line="240" w:lineRule="auto"/>
        <w:ind w:left="720" w:right="720" w:firstLine="720"/>
      </w:pPr>
      <w:r>
        <w:t>A partner’s distributive share of income, gain, loss, deduction, or credit shall, except as otherwise provided in this chapter, be determined by the partnership agreement.</w:t>
      </w:r>
    </w:p>
    <w:p w14:paraId="47C9439F" w14:textId="5DD30F80" w:rsidR="00AD5450" w:rsidRDefault="00AD5450" w:rsidP="00944885">
      <w:pPr>
        <w:spacing w:after="0" w:line="240" w:lineRule="auto"/>
        <w:ind w:right="720" w:firstLine="720"/>
      </w:pPr>
      <w:r>
        <w:t>(b) Determination of distributive share</w:t>
      </w:r>
    </w:p>
    <w:p w14:paraId="0F340833" w14:textId="77777777" w:rsidR="00AD5450" w:rsidRDefault="00AD5450" w:rsidP="00944885">
      <w:pPr>
        <w:spacing w:after="0" w:line="240" w:lineRule="auto"/>
        <w:ind w:left="720" w:right="720" w:firstLine="720"/>
      </w:pPr>
      <w:r>
        <w:t>A partner’s distributive share of income, gain, loss, deduction, or credit (or item thereof) shall be determined in accordance with the partner’s interest in the partnership (determined by taking into account all facts and circumstances), if—</w:t>
      </w:r>
    </w:p>
    <w:p w14:paraId="5A2B5369" w14:textId="05068622" w:rsidR="00AD5450" w:rsidRDefault="00AD5450" w:rsidP="00944885">
      <w:pPr>
        <w:spacing w:after="0" w:line="240" w:lineRule="auto"/>
        <w:ind w:left="1440" w:right="720" w:firstLine="720"/>
      </w:pPr>
      <w:r>
        <w:t>(1) the partnership agreement does not provide as to the partner’s distributive share of income, gain, loss, deduction, or credit (or item thereof), or</w:t>
      </w:r>
    </w:p>
    <w:p w14:paraId="29E63BB3" w14:textId="665477A7" w:rsidR="006573E9" w:rsidRDefault="00AD5450" w:rsidP="00944885">
      <w:pPr>
        <w:spacing w:after="0" w:line="240" w:lineRule="auto"/>
        <w:ind w:left="1440" w:right="720" w:firstLine="720"/>
      </w:pPr>
      <w:r>
        <w:t>(2) the allocation to a partner under the agreement of income, gain, loss, deduction, or credit (or item thereof) does not have substantial economic effect.</w:t>
      </w:r>
    </w:p>
    <w:p w14:paraId="78606916" w14:textId="35F5D5FC" w:rsidR="001733CE" w:rsidRDefault="00F60C02" w:rsidP="00B83275">
      <w:pPr>
        <w:spacing w:before="240" w:after="120"/>
      </w:pPr>
      <w:r>
        <w:t>Under IRC § 704</w:t>
      </w:r>
      <w:r w:rsidR="00206FD3">
        <w:t xml:space="preserve">, partners may agree to so-called “special allocations” where partnership income, or particular items of partnership income, expense, gain, or loss are </w:t>
      </w:r>
      <w:r w:rsidR="004061FF">
        <w:t xml:space="preserve">divided </w:t>
      </w:r>
      <w:r w:rsidR="00C82D8B">
        <w:t>as agreed to, rather than according to partners’ int</w:t>
      </w:r>
      <w:r w:rsidR="009C7EAA">
        <w:t>erest in the partnership, provided they have substantial economic effect</w:t>
      </w:r>
      <w:r w:rsidR="004061FF">
        <w:t xml:space="preserve">. So, for example, the partners may agree that certain items of income are allocated to one partner whereas other items are allocated to another. </w:t>
      </w:r>
    </w:p>
    <w:p w14:paraId="69DC6BCA" w14:textId="2B530DA7" w:rsidR="00B60C4C" w:rsidRDefault="004424D1" w:rsidP="00BB7014">
      <w:pPr>
        <w:pStyle w:val="Heading3"/>
      </w:pPr>
      <w:bookmarkStart w:id="42" w:name="_Toc153291160"/>
      <w:r>
        <w:t xml:space="preserve">Application to </w:t>
      </w:r>
      <w:r w:rsidR="00050111">
        <w:t>Different Types of Payments</w:t>
      </w:r>
      <w:bookmarkEnd w:id="42"/>
      <w:r w:rsidR="00552B07">
        <w:t xml:space="preserve"> </w:t>
      </w:r>
    </w:p>
    <w:p w14:paraId="7F7AFC9E" w14:textId="44846B40" w:rsidR="002C0D54" w:rsidRDefault="002C0D54" w:rsidP="00093EC5">
      <w:r>
        <w:t xml:space="preserve">While </w:t>
      </w:r>
      <w:r w:rsidR="002E103B">
        <w:t xml:space="preserve">the 1954 </w:t>
      </w:r>
      <w:r w:rsidR="00202845">
        <w:t xml:space="preserve">changes to </w:t>
      </w:r>
      <w:r>
        <w:t>Subchapter K</w:t>
      </w:r>
      <w:r w:rsidR="00202845">
        <w:t xml:space="preserve"> </w:t>
      </w:r>
      <w:r>
        <w:t>recognized the category of guaranteed payments</w:t>
      </w:r>
      <w:r w:rsidR="008546FC">
        <w:t xml:space="preserve"> as separate from </w:t>
      </w:r>
      <w:r w:rsidR="006C6B23">
        <w:t>the two other primary categories of partnership allocations/payments—</w:t>
      </w:r>
      <w:r w:rsidR="00CF398A">
        <w:t xml:space="preserve">that is, </w:t>
      </w:r>
      <w:r w:rsidR="008546FC">
        <w:t>partner-partnership transactions</w:t>
      </w:r>
      <w:r w:rsidR="00B90F08">
        <w:t xml:space="preserve"> and </w:t>
      </w:r>
      <w:r w:rsidR="00B90F08" w:rsidRPr="00B90F08">
        <w:t>distributive share of partnership income, expense, gain, or loss</w:t>
      </w:r>
      <w:r w:rsidR="006C6B23">
        <w:t>—</w:t>
      </w:r>
      <w:r w:rsidR="00CF398A">
        <w:t xml:space="preserve">the </w:t>
      </w:r>
      <w:r w:rsidR="00EB5153">
        <w:t xml:space="preserve">exact </w:t>
      </w:r>
      <w:r w:rsidR="00CF398A">
        <w:t xml:space="preserve">lines </w:t>
      </w:r>
      <w:r w:rsidR="004A0101">
        <w:t>separating</w:t>
      </w:r>
      <w:r w:rsidR="00CF398A">
        <w:t xml:space="preserve"> these </w:t>
      </w:r>
      <w:r w:rsidR="00EB5153">
        <w:t xml:space="preserve">three </w:t>
      </w:r>
      <w:r w:rsidR="00CF398A">
        <w:t xml:space="preserve">categories are </w:t>
      </w:r>
      <w:r w:rsidR="00EB5153">
        <w:t>un</w:t>
      </w:r>
      <w:r w:rsidR="00CF398A">
        <w:t xml:space="preserve">clear. </w:t>
      </w:r>
      <w:r w:rsidR="006E48BD">
        <w:t xml:space="preserve">The two provisions of IRC § 707 that </w:t>
      </w:r>
      <w:r w:rsidR="004C0164">
        <w:t>are often at issue are</w:t>
      </w:r>
      <w:r w:rsidR="000D13D1">
        <w:t>: (1)</w:t>
      </w:r>
      <w:r w:rsidR="004C0164">
        <w:t xml:space="preserve"> whether the partner is acting “in the capacity” of a partner—</w:t>
      </w:r>
      <w:r w:rsidR="00E705D9">
        <w:t>which distinguishes</w:t>
      </w:r>
      <w:r w:rsidR="004C0164">
        <w:t xml:space="preserve"> guaranteed payments from partner-partnership transactions, and</w:t>
      </w:r>
      <w:r w:rsidR="000D13D1">
        <w:t xml:space="preserve"> (2) the </w:t>
      </w:r>
      <w:r w:rsidR="00C96A18">
        <w:t>extent</w:t>
      </w:r>
      <w:r w:rsidR="004C0164">
        <w:t xml:space="preserve"> </w:t>
      </w:r>
      <w:r w:rsidR="00A832BC">
        <w:t xml:space="preserve">to </w:t>
      </w:r>
      <w:r w:rsidR="000D13D1">
        <w:t xml:space="preserve">which </w:t>
      </w:r>
      <w:r w:rsidR="00C96A18">
        <w:t xml:space="preserve">the payment is “determined </w:t>
      </w:r>
      <w:r w:rsidR="00E705D9">
        <w:t>without regard to the income of the partnership”</w:t>
      </w:r>
      <w:r w:rsidR="008C6986">
        <w:t>—which distinguishes guaranteed payments from distributive share</w:t>
      </w:r>
      <w:r w:rsidR="00966955">
        <w:t>, and special allocations in particular</w:t>
      </w:r>
      <w:r w:rsidR="008C6986">
        <w:t>.</w:t>
      </w:r>
      <w:r w:rsidR="008957DF">
        <w:rPr>
          <w:rStyle w:val="FootnoteReference"/>
        </w:rPr>
        <w:footnoteReference w:id="8"/>
      </w:r>
      <w:r w:rsidR="008C6986">
        <w:t xml:space="preserve"> </w:t>
      </w:r>
    </w:p>
    <w:p w14:paraId="44374F97" w14:textId="77777777" w:rsidR="0092280E" w:rsidRDefault="008009CC" w:rsidP="00093EC5">
      <w:r>
        <w:t xml:space="preserve">One example of the difficulty </w:t>
      </w:r>
      <w:r w:rsidR="009D4ACE">
        <w:t>involves</w:t>
      </w:r>
      <w:r>
        <w:t xml:space="preserve"> payments based on gross rather than net income. </w:t>
      </w:r>
      <w:r w:rsidR="00603645">
        <w:t>I</w:t>
      </w:r>
      <w:r w:rsidR="00386156">
        <w:t>n</w:t>
      </w:r>
      <w:r w:rsidR="004263C9">
        <w:t xml:space="preserve"> 1975 in</w:t>
      </w:r>
      <w:r w:rsidR="00386156">
        <w:t xml:space="preserve"> </w:t>
      </w:r>
      <w:r w:rsidR="00386156">
        <w:rPr>
          <w:i/>
          <w:iCs/>
        </w:rPr>
        <w:t>Pratt v. Commissioner</w:t>
      </w:r>
      <w:r w:rsidR="003C3DD3">
        <w:t>,</w:t>
      </w:r>
      <w:r w:rsidR="00D46078">
        <w:rPr>
          <w:rStyle w:val="FootnoteReference"/>
        </w:rPr>
        <w:footnoteReference w:id="9"/>
      </w:r>
      <w:r w:rsidR="003C3DD3">
        <w:t xml:space="preserve"> the Tax Court </w:t>
      </w:r>
      <w:r w:rsidR="00067B8A">
        <w:t xml:space="preserve">ruled </w:t>
      </w:r>
      <w:r w:rsidR="0007645E">
        <w:t xml:space="preserve">that such payments were not covered by either </w:t>
      </w:r>
      <w:r w:rsidR="00120F46">
        <w:t>§ 707(a) or § 707(c). The case involved</w:t>
      </w:r>
      <w:r w:rsidR="00CC56BD">
        <w:t xml:space="preserve"> two limited partnerships</w:t>
      </w:r>
      <w:r w:rsidR="009E644A">
        <w:t xml:space="preserve"> that </w:t>
      </w:r>
      <w:r w:rsidR="00750157">
        <w:t>were formed to</w:t>
      </w:r>
      <w:r w:rsidR="00132531">
        <w:t xml:space="preserve"> </w:t>
      </w:r>
      <w:r w:rsidR="00792045">
        <w:t xml:space="preserve">purchase, develop, and operate </w:t>
      </w:r>
      <w:r w:rsidR="00792045">
        <w:lastRenderedPageBreak/>
        <w:t xml:space="preserve">two shopping centers. </w:t>
      </w:r>
      <w:r w:rsidR="002763D8">
        <w:t>T</w:t>
      </w:r>
      <w:r w:rsidR="007C0095">
        <w:t xml:space="preserve">he </w:t>
      </w:r>
      <w:r w:rsidR="00792045">
        <w:t xml:space="preserve">general partners </w:t>
      </w:r>
      <w:r w:rsidR="006F4FE5">
        <w:t xml:space="preserve">in the partnerships </w:t>
      </w:r>
      <w:r w:rsidR="002763D8">
        <w:t xml:space="preserve">agreed to </w:t>
      </w:r>
      <w:r w:rsidR="004B26DF">
        <w:t>receive</w:t>
      </w:r>
      <w:r w:rsidR="00792045">
        <w:t xml:space="preserve"> </w:t>
      </w:r>
      <w:r w:rsidR="00D2667E">
        <w:t xml:space="preserve">a fixed percentage of </w:t>
      </w:r>
      <w:r w:rsidR="006F4FE5">
        <w:t xml:space="preserve">gross </w:t>
      </w:r>
      <w:r w:rsidR="00D2667E">
        <w:t xml:space="preserve">rentals </w:t>
      </w:r>
      <w:r w:rsidR="005861CC">
        <w:t xml:space="preserve">in exchange for performing managerial services. </w:t>
      </w:r>
    </w:p>
    <w:p w14:paraId="384517E6" w14:textId="76AE2B11" w:rsidR="00386156" w:rsidRDefault="005861CC" w:rsidP="00093EC5">
      <w:r>
        <w:t xml:space="preserve">The </w:t>
      </w:r>
      <w:r w:rsidR="004B26DF">
        <w:t>Tax</w:t>
      </w:r>
      <w:r w:rsidR="0092280E">
        <w:t xml:space="preserve"> </w:t>
      </w:r>
      <w:r w:rsidR="004B26DF">
        <w:t>Court</w:t>
      </w:r>
      <w:r w:rsidR="002D4AD6">
        <w:t xml:space="preserve"> found that these payments were not guaranteed payments under </w:t>
      </w:r>
      <w:r w:rsidR="00DA4E43">
        <w:t>§</w:t>
      </w:r>
      <w:r w:rsidR="002D4AD6">
        <w:t xml:space="preserve"> 707(c) because they were not determined without regard to partnership income. </w:t>
      </w:r>
      <w:r w:rsidR="00120F46">
        <w:t>The court</w:t>
      </w:r>
      <w:r w:rsidR="002D4AD6">
        <w:t xml:space="preserve"> also found that </w:t>
      </w:r>
      <w:r w:rsidR="00DA4E43">
        <w:t>§</w:t>
      </w:r>
      <w:r w:rsidR="009D7F2D">
        <w:t xml:space="preserve"> 707(a) was not applicable because </w:t>
      </w:r>
      <w:r w:rsidR="000D12E5">
        <w:t>the managers</w:t>
      </w:r>
      <w:r w:rsidR="00200FC9">
        <w:t xml:space="preserve"> </w:t>
      </w:r>
      <w:r w:rsidR="00C071A7">
        <w:t>“</w:t>
      </w:r>
      <w:proofErr w:type="spellStart"/>
      <w:r w:rsidR="00200FC9">
        <w:t>receiv</w:t>
      </w:r>
      <w:proofErr w:type="spellEnd"/>
      <w:r w:rsidR="00C071A7">
        <w:t>[</w:t>
      </w:r>
      <w:r w:rsidR="00200FC9">
        <w:t>ed</w:t>
      </w:r>
      <w:r w:rsidR="00C071A7">
        <w:t>]</w:t>
      </w:r>
      <w:r w:rsidR="00200FC9">
        <w:t xml:space="preserve"> the management fees for performing services within the normal scope of their duties as general partners</w:t>
      </w:r>
      <w:r w:rsidR="00C071A7">
        <w:t xml:space="preserve"> pursuant to the partnership agreement.”</w:t>
      </w:r>
      <w:r w:rsidR="00C071A7">
        <w:rPr>
          <w:rStyle w:val="FootnoteReference"/>
        </w:rPr>
        <w:footnoteReference w:id="10"/>
      </w:r>
      <w:r w:rsidR="00750157">
        <w:t xml:space="preserve"> </w:t>
      </w:r>
    </w:p>
    <w:p w14:paraId="45E594AF" w14:textId="26F84A06" w:rsidR="00F84053" w:rsidRPr="00CC56BD" w:rsidRDefault="00EB67CF" w:rsidP="00F362E1">
      <w:r w:rsidRPr="00EB67CF">
        <w:t xml:space="preserve">In response to the decision in </w:t>
      </w:r>
      <w:r w:rsidRPr="00EB67CF">
        <w:rPr>
          <w:i/>
          <w:iCs/>
        </w:rPr>
        <w:t>Pratt</w:t>
      </w:r>
      <w:r w:rsidRPr="00EB67CF">
        <w:t xml:space="preserve">, the IRS issued Rev. Rul. 81–300, 1981–2 C.B. 143 and Rev. Rul. 81–301, 1981–2 C.B. 144 to clarify the treatment of transactions under </w:t>
      </w:r>
      <w:r w:rsidR="00DA4E43">
        <w:t>§§</w:t>
      </w:r>
      <w:r w:rsidRPr="00EB67CF">
        <w:t xml:space="preserve"> 707(a) and 707(c).</w:t>
      </w:r>
      <w:r>
        <w:rPr>
          <w:rStyle w:val="FootnoteReference"/>
        </w:rPr>
        <w:footnoteReference w:id="11"/>
      </w:r>
      <w:r w:rsidR="00A93105">
        <w:t xml:space="preserve"> </w:t>
      </w:r>
      <w:r w:rsidR="003C6534">
        <w:t xml:space="preserve">Similar to the facts in </w:t>
      </w:r>
      <w:r w:rsidR="003C6534" w:rsidRPr="00323128">
        <w:rPr>
          <w:i/>
          <w:iCs/>
        </w:rPr>
        <w:t>Pratt</w:t>
      </w:r>
      <w:r w:rsidR="00323128">
        <w:t xml:space="preserve">, </w:t>
      </w:r>
      <w:r w:rsidR="00483611" w:rsidRPr="003C6534">
        <w:t>Rev</w:t>
      </w:r>
      <w:r w:rsidR="00483611">
        <w:t>. Rul. 81-300</w:t>
      </w:r>
      <w:r w:rsidR="00323128">
        <w:t xml:space="preserve"> </w:t>
      </w:r>
      <w:r w:rsidR="00B528FF">
        <w:t>addresse</w:t>
      </w:r>
      <w:r w:rsidR="001D03C0">
        <w:t>d</w:t>
      </w:r>
      <w:r w:rsidR="00B528FF">
        <w:t xml:space="preserve"> </w:t>
      </w:r>
      <w:r w:rsidR="003D6932">
        <w:t xml:space="preserve">whether a fee </w:t>
      </w:r>
      <w:r w:rsidR="00B324D6">
        <w:t xml:space="preserve">paid to partners in exchange for </w:t>
      </w:r>
      <w:r w:rsidR="008F0BE6">
        <w:t xml:space="preserve">managerial services </w:t>
      </w:r>
      <w:r w:rsidR="00B324D6">
        <w:t xml:space="preserve">would be treated as a guaranteed payment </w:t>
      </w:r>
      <w:r w:rsidR="008F0BE6">
        <w:t xml:space="preserve">when the fee is </w:t>
      </w:r>
      <w:r w:rsidR="00B324D6">
        <w:t>based on a percentage of gross income</w:t>
      </w:r>
      <w:r w:rsidR="008F0BE6">
        <w:t>.</w:t>
      </w:r>
      <w:r w:rsidR="00CB386A">
        <w:t xml:space="preserve"> But in</w:t>
      </w:r>
      <w:r w:rsidR="006458E6">
        <w:t xml:space="preserve"> holding that the management fees </w:t>
      </w:r>
      <w:r w:rsidR="00CB386A">
        <w:t xml:space="preserve">in this case were </w:t>
      </w:r>
      <w:r w:rsidR="006458E6">
        <w:t xml:space="preserve">guaranteed payments under </w:t>
      </w:r>
      <w:r w:rsidR="00DA4E43">
        <w:t xml:space="preserve">§ </w:t>
      </w:r>
      <w:r w:rsidR="006458E6">
        <w:t xml:space="preserve">707(c), the </w:t>
      </w:r>
      <w:r w:rsidR="00BB4F9C">
        <w:t>IRS</w:t>
      </w:r>
      <w:r w:rsidR="005B44CD">
        <w:t xml:space="preserve"> found</w:t>
      </w:r>
      <w:r w:rsidR="00A2019A">
        <w:t>:</w:t>
      </w:r>
      <w:r w:rsidR="005B44CD">
        <w:t xml:space="preserve"> “</w:t>
      </w:r>
      <w:r w:rsidR="00A2019A">
        <w:t xml:space="preserve"> . . . </w:t>
      </w:r>
      <w:r w:rsidR="005B44CD">
        <w:t>t</w:t>
      </w:r>
      <w:r w:rsidR="005B44CD" w:rsidRPr="005B44CD">
        <w:t xml:space="preserve">he term </w:t>
      </w:r>
      <w:r w:rsidR="005B44CD">
        <w:t>‘</w:t>
      </w:r>
      <w:r w:rsidR="005B44CD" w:rsidRPr="005B44CD">
        <w:t>guaranteed payment</w:t>
      </w:r>
      <w:r w:rsidR="005B44CD">
        <w:t>’</w:t>
      </w:r>
      <w:r w:rsidR="005B44CD" w:rsidRPr="005B44CD">
        <w:t xml:space="preserve"> should not be limited to fixed amounts. </w:t>
      </w:r>
      <w:r w:rsidR="005F4E67">
        <w:t xml:space="preserve">Instead, a </w:t>
      </w:r>
      <w:r w:rsidR="005B44CD" w:rsidRPr="005B44CD">
        <w:t>payment for services determined by reference to an item of gross income will be a guaranteed payment if, on the basis of all of the facts and circumstances, the payment is compensation rather than a share of partnership profits.</w:t>
      </w:r>
      <w:r w:rsidR="005B44CD">
        <w:t>”</w:t>
      </w:r>
      <w:r w:rsidR="005B44CD">
        <w:rPr>
          <w:rStyle w:val="FootnoteReference"/>
        </w:rPr>
        <w:footnoteReference w:id="12"/>
      </w:r>
    </w:p>
    <w:p w14:paraId="6BC649A8" w14:textId="187D2AC7" w:rsidR="00093EC5" w:rsidRDefault="00D03A1E" w:rsidP="00F362E1">
      <w:r>
        <w:t xml:space="preserve">In </w:t>
      </w:r>
      <w:r w:rsidR="00751844">
        <w:t>Rev. Rul. 81-301</w:t>
      </w:r>
      <w:r w:rsidR="00DF398A">
        <w:t xml:space="preserve"> </w:t>
      </w:r>
      <w:r>
        <w:t>the partnership ha</w:t>
      </w:r>
      <w:r w:rsidR="00952CFC">
        <w:t>d</w:t>
      </w:r>
      <w:r>
        <w:t xml:space="preserve"> two classes of general partner</w:t>
      </w:r>
      <w:r w:rsidR="00D8330F">
        <w:t xml:space="preserve">: (1) </w:t>
      </w:r>
      <w:r w:rsidR="005C78EE">
        <w:t>director general partners</w:t>
      </w:r>
      <w:r w:rsidR="00FD53AB">
        <w:t xml:space="preserve"> and (2) </w:t>
      </w:r>
      <w:r w:rsidR="00A264D6">
        <w:t xml:space="preserve">one </w:t>
      </w:r>
      <w:r w:rsidR="00FD53AB">
        <w:t xml:space="preserve">adviser general partner. The </w:t>
      </w:r>
      <w:r w:rsidR="00E00AC5">
        <w:t>director partner</w:t>
      </w:r>
      <w:r w:rsidR="004F103D">
        <w:t>s</w:t>
      </w:r>
      <w:r w:rsidR="00E00AC5">
        <w:t xml:space="preserve"> </w:t>
      </w:r>
      <w:r w:rsidR="007416C6">
        <w:t>had</w:t>
      </w:r>
      <w:r w:rsidR="00E00AC5">
        <w:t xml:space="preserve"> complete and exclusive control over the </w:t>
      </w:r>
      <w:r w:rsidR="00A53C83">
        <w:t>management, conduct, and operation</w:t>
      </w:r>
      <w:r w:rsidR="007B17E0">
        <w:t xml:space="preserve"> of the partnership’s activities. </w:t>
      </w:r>
      <w:r w:rsidR="00CC2A6E">
        <w:t xml:space="preserve">Subject to the </w:t>
      </w:r>
      <w:r w:rsidR="0012159A">
        <w:t xml:space="preserve">supervision of the directors, the adviser </w:t>
      </w:r>
      <w:r w:rsidR="005F4E67">
        <w:t>was</w:t>
      </w:r>
      <w:r w:rsidR="0012159A">
        <w:t xml:space="preserve"> </w:t>
      </w:r>
      <w:r w:rsidR="00B0745D">
        <w:t>o</w:t>
      </w:r>
      <w:r w:rsidR="002E0097">
        <w:t xml:space="preserve">nly authorized to manage the partnership’s investments. </w:t>
      </w:r>
      <w:r w:rsidR="006859C0">
        <w:t>In exchange for those services, t</w:t>
      </w:r>
      <w:r w:rsidR="00535C60">
        <w:t xml:space="preserve">he </w:t>
      </w:r>
      <w:r w:rsidR="00DD4331">
        <w:t>partners agreed</w:t>
      </w:r>
      <w:r w:rsidR="00535C60">
        <w:t xml:space="preserve"> that </w:t>
      </w:r>
      <w:r w:rsidR="00663536">
        <w:t xml:space="preserve">the adviser partner </w:t>
      </w:r>
      <w:r w:rsidR="00DD4331">
        <w:t xml:space="preserve">would </w:t>
      </w:r>
      <w:r w:rsidR="00663536">
        <w:t>receive an allocation of 10</w:t>
      </w:r>
      <w:r w:rsidR="00853D48">
        <w:t>%</w:t>
      </w:r>
      <w:r w:rsidR="00663536">
        <w:t xml:space="preserve"> of the partnership’s daily gross income. </w:t>
      </w:r>
      <w:r w:rsidR="006859C0">
        <w:t xml:space="preserve">The adviser </w:t>
      </w:r>
      <w:r w:rsidR="002859C6">
        <w:t xml:space="preserve">partner </w:t>
      </w:r>
      <w:r w:rsidR="0029208D">
        <w:t xml:space="preserve">also </w:t>
      </w:r>
      <w:r w:rsidR="00B826F6">
        <w:t>provide</w:t>
      </w:r>
      <w:r w:rsidR="00D82730">
        <w:t>d</w:t>
      </w:r>
      <w:r w:rsidR="00B826F6">
        <w:t xml:space="preserve"> similar services to others as part of its regular trade or business</w:t>
      </w:r>
      <w:r w:rsidR="00152761">
        <w:t>. I</w:t>
      </w:r>
      <w:r w:rsidR="00B826F6">
        <w:t xml:space="preserve">ts management of the partnership’s </w:t>
      </w:r>
      <w:r w:rsidR="00FC35C2">
        <w:t xml:space="preserve">investment activities </w:t>
      </w:r>
      <w:r w:rsidR="00D82730">
        <w:t>was</w:t>
      </w:r>
      <w:r w:rsidR="00FC35C2">
        <w:t xml:space="preserve"> supervised by the directors</w:t>
      </w:r>
      <w:r w:rsidR="00D82730">
        <w:t xml:space="preserve"> who could also relieve the </w:t>
      </w:r>
      <w:r w:rsidR="00CB3C18">
        <w:t xml:space="preserve">adviser </w:t>
      </w:r>
      <w:r w:rsidR="00D82730">
        <w:t>of its</w:t>
      </w:r>
      <w:r w:rsidR="00CB3C18">
        <w:t xml:space="preserve"> duties</w:t>
      </w:r>
      <w:r w:rsidR="00EE588C">
        <w:t xml:space="preserve"> and right to compensation</w:t>
      </w:r>
      <w:r w:rsidR="002859C6">
        <w:t xml:space="preserve">. </w:t>
      </w:r>
      <w:r w:rsidR="00D82730">
        <w:t>T</w:t>
      </w:r>
      <w:r w:rsidR="002859C6">
        <w:t xml:space="preserve">he ruling held that </w:t>
      </w:r>
      <w:r w:rsidR="00214FB5">
        <w:t xml:space="preserve">the </w:t>
      </w:r>
      <w:r w:rsidR="00430CE3">
        <w:t xml:space="preserve">adviser partner’s allocation </w:t>
      </w:r>
      <w:r w:rsidR="00DD4331">
        <w:t>was</w:t>
      </w:r>
      <w:r w:rsidR="00430CE3">
        <w:t xml:space="preserve"> properly treated as </w:t>
      </w:r>
      <w:r w:rsidR="00EE1A7E">
        <w:t xml:space="preserve">paid to the adviser </w:t>
      </w:r>
      <w:r w:rsidR="00146D6A">
        <w:t xml:space="preserve">in its capacity other than as a partner under </w:t>
      </w:r>
      <w:r w:rsidR="00816053">
        <w:t>§</w:t>
      </w:r>
      <w:r w:rsidR="00146D6A">
        <w:t xml:space="preserve"> 707(a).</w:t>
      </w:r>
      <w:r w:rsidR="00283498">
        <w:rPr>
          <w:rStyle w:val="FootnoteReference"/>
        </w:rPr>
        <w:footnoteReference w:id="13"/>
      </w:r>
    </w:p>
    <w:p w14:paraId="06BE5E88" w14:textId="4B8F500D" w:rsidR="00952048" w:rsidRPr="00952048" w:rsidRDefault="00C7219C" w:rsidP="00993C4C">
      <w:r>
        <w:t xml:space="preserve">In 1984, Congress amended §707(a) </w:t>
      </w:r>
      <w:r w:rsidR="00CA1CE3">
        <w:t xml:space="preserve">to provide for the treatment of “disguised sales” </w:t>
      </w:r>
      <w:r>
        <w:t>and</w:t>
      </w:r>
      <w:r w:rsidR="008A0103">
        <w:t xml:space="preserve"> </w:t>
      </w:r>
      <w:r w:rsidR="00AE0761">
        <w:t xml:space="preserve">some legislative history has been cited as indicating </w:t>
      </w:r>
      <w:r w:rsidR="0045532D">
        <w:t xml:space="preserve">that the type of payments described in </w:t>
      </w:r>
      <w:r>
        <w:t xml:space="preserve">Rev. Rul. 81-300 </w:t>
      </w:r>
      <w:r w:rsidR="00AE0761">
        <w:t>should have been held to be</w:t>
      </w:r>
      <w:r w:rsidR="0045532D">
        <w:t xml:space="preserve"> </w:t>
      </w:r>
      <w:r>
        <w:t>§707(a) payments</w:t>
      </w:r>
      <w:r w:rsidR="0045532D">
        <w:t xml:space="preserve"> to partners </w:t>
      </w:r>
      <w:r w:rsidR="008A0103">
        <w:t>not acting</w:t>
      </w:r>
      <w:r w:rsidR="0045532D">
        <w:t xml:space="preserve"> in the capacity of partners</w:t>
      </w:r>
      <w:r w:rsidR="00BD6457">
        <w:t>,</w:t>
      </w:r>
      <w:r w:rsidR="00AE0761">
        <w:t xml:space="preserve"> rather than guaranteed payments as </w:t>
      </w:r>
      <w:r w:rsidR="00D11646">
        <w:t>the IRS concluded in its revenue rulings</w:t>
      </w:r>
      <w:r w:rsidR="0045532D">
        <w:t>.</w:t>
      </w:r>
      <w:r>
        <w:t xml:space="preserve"> </w:t>
      </w:r>
      <w:r w:rsidR="00BD6457">
        <w:t xml:space="preserve">In part this may have been due </w:t>
      </w:r>
      <w:r w:rsidR="000043CC">
        <w:t>to the view that</w:t>
      </w:r>
      <w:r w:rsidR="00BD6457" w:rsidRPr="00BD6457">
        <w:t xml:space="preserve"> </w:t>
      </w:r>
      <w:r w:rsidR="000043CC">
        <w:t>guaranteeing a payment can</w:t>
      </w:r>
      <w:r w:rsidR="00BD6457" w:rsidRPr="00BD6457">
        <w:t xml:space="preserve"> reduce a partner’s risk in a way that is </w:t>
      </w:r>
      <w:r w:rsidR="000043CC">
        <w:t xml:space="preserve">entirely </w:t>
      </w:r>
      <w:r w:rsidR="00BD6457" w:rsidRPr="00BD6457">
        <w:t xml:space="preserve">incompatible with the role of being a partner. </w:t>
      </w:r>
      <w:r w:rsidR="00952048" w:rsidRPr="00952048">
        <w:t xml:space="preserve">In 2015, the IRS issued proposed regulations </w:t>
      </w:r>
      <w:r w:rsidR="00656574">
        <w:t xml:space="preserve">that appear </w:t>
      </w:r>
      <w:r w:rsidR="00352080">
        <w:t xml:space="preserve">consistent with this </w:t>
      </w:r>
      <w:r w:rsidR="00D11646">
        <w:t xml:space="preserve">narrower </w:t>
      </w:r>
      <w:r w:rsidR="00352080">
        <w:t>view</w:t>
      </w:r>
      <w:r w:rsidR="00D11646">
        <w:t xml:space="preserve"> of guaranteed payments</w:t>
      </w:r>
      <w:r w:rsidR="00352080">
        <w:t>, but has not finalized those regulations</w:t>
      </w:r>
      <w:r w:rsidR="00AE5DCE">
        <w:t>.</w:t>
      </w:r>
      <w:r w:rsidR="00E845DE">
        <w:rPr>
          <w:rStyle w:val="FootnoteReference"/>
        </w:rPr>
        <w:footnoteReference w:id="14"/>
      </w:r>
      <w:r w:rsidR="00352080">
        <w:t xml:space="preserve"> </w:t>
      </w:r>
      <w:r w:rsidR="00AE5DCE">
        <w:t>(See below.)</w:t>
      </w:r>
    </w:p>
    <w:p w14:paraId="57309B9A" w14:textId="6A2ACCE9" w:rsidR="00BC7069" w:rsidRDefault="00C62FF8" w:rsidP="00F362E1">
      <w:r>
        <w:t>Meanwhile, t</w:t>
      </w:r>
      <w:r w:rsidR="008B32B5">
        <w:t xml:space="preserve">he complexity of </w:t>
      </w:r>
      <w:r w:rsidR="006D2D69">
        <w:t xml:space="preserve">the </w:t>
      </w:r>
      <w:r w:rsidR="008B32B5">
        <w:t xml:space="preserve">questions </w:t>
      </w:r>
      <w:r w:rsidR="006D2D69">
        <w:t>concerning when something is a</w:t>
      </w:r>
      <w:r w:rsidR="008B32B5">
        <w:t xml:space="preserve"> guaranteed payment </w:t>
      </w:r>
      <w:r w:rsidR="00BF0558">
        <w:t xml:space="preserve">versus </w:t>
      </w:r>
      <w:r w:rsidR="006D2D69">
        <w:t xml:space="preserve">a </w:t>
      </w:r>
      <w:r w:rsidR="00966955">
        <w:t xml:space="preserve">special allocation </w:t>
      </w:r>
      <w:r w:rsidR="008F6579">
        <w:t xml:space="preserve">of partnership items of income, expense, gain, or loss </w:t>
      </w:r>
      <w:r w:rsidR="008B32B5">
        <w:t xml:space="preserve">have grown in recent years. </w:t>
      </w:r>
      <w:r w:rsidR="00BE3707">
        <w:t xml:space="preserve">In part, this is due to complex </w:t>
      </w:r>
      <w:r w:rsidR="006846E3">
        <w:t>financial arrangement</w:t>
      </w:r>
      <w:r w:rsidR="008F6579">
        <w:t>s</w:t>
      </w:r>
      <w:r w:rsidR="006846E3">
        <w:t xml:space="preserve"> designed</w:t>
      </w:r>
      <w:r w:rsidR="00BE3707">
        <w:t xml:space="preserve"> to reimburse partners for capital contributions or to provide them with a guaranteed return</w:t>
      </w:r>
      <w:r w:rsidR="00831E33">
        <w:t xml:space="preserve"> on those contributions</w:t>
      </w:r>
      <w:r w:rsidR="00BE3707">
        <w:t xml:space="preserve">—which </w:t>
      </w:r>
      <w:r w:rsidR="00A20822">
        <w:t xml:space="preserve">are outside </w:t>
      </w:r>
      <w:r w:rsidR="00BE3707">
        <w:t xml:space="preserve">the scope of this white paper. </w:t>
      </w:r>
      <w:r w:rsidR="00E72FE3">
        <w:t>See also Section III which describes other attempts to provide alternatives to guaranteed payments.</w:t>
      </w:r>
    </w:p>
    <w:p w14:paraId="664B7CEB" w14:textId="08583875" w:rsidR="004434BA" w:rsidRDefault="00A741AE" w:rsidP="00A741AE">
      <w:pPr>
        <w:pStyle w:val="Heading3"/>
      </w:pPr>
      <w:bookmarkStart w:id="43" w:name="_Toc153291161"/>
      <w:r>
        <w:t>2015 Proposed Regulations</w:t>
      </w:r>
      <w:bookmarkEnd w:id="43"/>
    </w:p>
    <w:p w14:paraId="21D645B4" w14:textId="77777777" w:rsidR="0020493C" w:rsidRDefault="00A741AE" w:rsidP="00A741AE">
      <w:r>
        <w:t xml:space="preserve">As noted above, the IRS has issued proposed regulations, not yet finalized, </w:t>
      </w:r>
      <w:r w:rsidR="00CD06F0">
        <w:t xml:space="preserve">that respond to </w:t>
      </w:r>
      <w:r w:rsidR="00F24623">
        <w:t xml:space="preserve">Congress’s indication </w:t>
      </w:r>
      <w:r w:rsidR="00497ED2">
        <w:t xml:space="preserve">in 1984 </w:t>
      </w:r>
      <w:r w:rsidR="00F24623">
        <w:t xml:space="preserve">that </w:t>
      </w:r>
      <w:r w:rsidR="007D74CB">
        <w:t xml:space="preserve">it intended to draw a different line between </w:t>
      </w:r>
      <w:r w:rsidR="00F73E3B">
        <w:t xml:space="preserve">the three categories of partnership </w:t>
      </w:r>
      <w:r w:rsidR="00F73E3B">
        <w:lastRenderedPageBreak/>
        <w:t>payments—</w:t>
      </w:r>
      <w:r w:rsidR="007D74CB">
        <w:t>distributive share</w:t>
      </w:r>
      <w:r w:rsidR="00733AF3">
        <w:t>/distributions</w:t>
      </w:r>
      <w:r w:rsidR="00F73E3B">
        <w:t xml:space="preserve">, </w:t>
      </w:r>
      <w:r w:rsidR="004B72CF">
        <w:t xml:space="preserve">partner-partnership transactions, and guaranteed payments to partners acting in the capacity of a partner. </w:t>
      </w:r>
      <w:r w:rsidR="00733AF3">
        <w:t xml:space="preserve"> </w:t>
      </w:r>
    </w:p>
    <w:p w14:paraId="39FDF348" w14:textId="6CEBAED9" w:rsidR="00254E24" w:rsidRDefault="00254E24" w:rsidP="00A741AE">
      <w:r>
        <w:t>According to supplemental information in the introduction to these proposed regulations</w:t>
      </w:r>
      <w:r w:rsidR="0020493C">
        <w:t xml:space="preserve"> (excerpted below)</w:t>
      </w:r>
      <w:r w:rsidR="00364B39">
        <w:t>,</w:t>
      </w:r>
      <w:r w:rsidR="0031354C">
        <w:t xml:space="preserve"> the line between the different </w:t>
      </w:r>
      <w:r w:rsidR="000739A3">
        <w:t xml:space="preserve">distributive share/distributions and payments </w:t>
      </w:r>
      <w:r w:rsidR="00250059">
        <w:t>covered by § 707</w:t>
      </w:r>
      <w:r w:rsidR="0031354C">
        <w:t xml:space="preserve"> is </w:t>
      </w:r>
      <w:r w:rsidR="00364B39">
        <w:t>determined based on all the facts and circumstances—including entrepreneurial risk</w:t>
      </w:r>
      <w:r>
        <w:t xml:space="preserve">: </w:t>
      </w:r>
    </w:p>
    <w:p w14:paraId="6DE9507A" w14:textId="616F548B" w:rsidR="00497ED2" w:rsidRPr="00497ED2" w:rsidRDefault="00254E24" w:rsidP="00106051">
      <w:pPr>
        <w:ind w:left="720" w:right="720"/>
      </w:pPr>
      <w:r>
        <w:t>“</w:t>
      </w:r>
      <w:r w:rsidR="00497ED2" w:rsidRPr="00497ED2">
        <w:t>Congress's emphasis on entrepreneurial risk requires changes to existing regulations under section 707(c). Specifically, Example 2 of § 1.707-1(c) provides that if a partner is entitled to an allocation of the greater of 30 percent of partnership income or a minimum guaranteed amount, and the income allocation exceeds the minimum guaranteed amount, then the entire income allocation is treated as a distributive share under section 704(b). Example 2 also provides that if the income allocation is less than the guaranteed amount, then the partner is treated as receiving a distributive share to the extent of the income allocation and a guaranteed payment to the extent that the minimum guaranteed payment exceeds the income allocation. The treatment of the arrangements in Example 2 is inconsistent with the concept that an allocation must be subject to significant entrepreneurial risk to be treated as a distributive share under section 704(b). Accordingly, the proposed regulations modify Example 2 to provide that the entire minimum amount is treated as a guaranteed payment under section 707(c) regardless of the amount of the income allocation. Rev. Rul. 66-95, 1966-1 C.B. 169, and Rev. Rul. 69-180, 1969-1 C.B. 183, are also inconsistent with these proposed regulations. The Treasury Department and the IRS intend to obsolete Rev. Rul. 66-95 and revise Rev. Rul. 69-180, when these regulations are published in final form.</w:t>
      </w:r>
    </w:p>
    <w:p w14:paraId="2AC14D23" w14:textId="10EED2B1" w:rsidR="00497ED2" w:rsidRPr="00497ED2" w:rsidRDefault="00D943AA" w:rsidP="00106051">
      <w:pPr>
        <w:ind w:left="720" w:right="720"/>
      </w:pPr>
      <w:r>
        <w:t>“</w:t>
      </w:r>
      <w:r w:rsidR="00497ED2" w:rsidRPr="00497ED2">
        <w:t>B. Secondary Factors</w:t>
      </w:r>
    </w:p>
    <w:p w14:paraId="54B8F215" w14:textId="34756689" w:rsidR="00497ED2" w:rsidRPr="00497ED2" w:rsidRDefault="00D943AA" w:rsidP="00106051">
      <w:pPr>
        <w:ind w:left="720" w:right="720"/>
      </w:pPr>
      <w:r>
        <w:t>“</w:t>
      </w:r>
      <w:r w:rsidR="00497ED2" w:rsidRPr="00497ED2">
        <w:t>Section 1.707-2(c)(2) through (6) describes additional factors of secondary importance in determining whether or not an arrangement that gives the appearance of significant entrepreneurial risk constitutes a payment for services. The weight given to each of the other factors depends on the particular case, and the absence of a particular factor is not necessarily determinative of whether an arrangement is treated as a payment for services. Four of these factors, described by Congress in the legislative history to section 707(a)(2)(A), are (i) that the service provider holds, or is expected to hold, a transitory partnership interest or a partnership interest for only a short duration, (ii) that the service provider receives an allocation and distribution in a time frame comparable to the time frame that a non-partner service provider would typically receive payment, (iii) that the service provider became a partner primarily to obtain tax benefits which would not have been available if the services were rendered to the partnership in a third party capacity, and (iv) that the value of the service provider's interest in general and continuing partnership profits is small in relation to the allocation and distribution.</w:t>
      </w:r>
      <w:r>
        <w:t>”</w:t>
      </w:r>
    </w:p>
    <w:p w14:paraId="562BFC93" w14:textId="3D3B3D58" w:rsidR="00497ED2" w:rsidRPr="00497ED2" w:rsidRDefault="000235BE" w:rsidP="00106051">
      <w:pPr>
        <w:ind w:left="720" w:right="720"/>
      </w:pPr>
      <w:r>
        <w:t>“</w:t>
      </w:r>
      <w:r w:rsidR="00497ED2" w:rsidRPr="00497ED2">
        <w:t xml:space="preserve">To these four factors, the proposed regulations add a fifth factor. The fifth factor is present if the arrangement provides for different allocations or distributions with respect to different services received, where the services are provided either by a single person or by persons that are related under sections 707(b) or 267(b), and the terms of the differing allocations or distributions are subject to levels of entrepreneurial risk that vary significantly. For example, assume that a partnership receives services from both its general partner and from a management company that is related to the general partner under section 707(b). Both the general partner and the management company receive a share in future partnership net profits in exchange for their services. The general partner is entitled to an allocation of 20 percent of net profits and undertakes an enforceable obligation to repay any amounts distributed pursuant to its interest (reduced by reasonable allowance for tax payments made on the general partner's allocable shares of partnership income and gain) that exceed 20 percent of the overall net amount of partnership profits computed over the partnership's life and it is reasonable to anticipate that the general partner can and will comply fully with this obligation. The </w:t>
      </w:r>
      <w:r w:rsidR="00497ED2" w:rsidRPr="00497ED2">
        <w:lastRenderedPageBreak/>
        <w:t>proposed regulations refer to this type of obligation and similar obligations, as a “</w:t>
      </w:r>
      <w:proofErr w:type="spellStart"/>
      <w:r w:rsidR="00497ED2" w:rsidRPr="00497ED2">
        <w:t>clawback</w:t>
      </w:r>
      <w:proofErr w:type="spellEnd"/>
      <w:r w:rsidR="00497ED2" w:rsidRPr="00497ED2">
        <w:t xml:space="preserve"> obligation.” In contrast, the management company is entitled to a preferred amount of net income that, once paid, is not subject to a </w:t>
      </w:r>
      <w:proofErr w:type="spellStart"/>
      <w:r w:rsidR="00497ED2" w:rsidRPr="00497ED2">
        <w:t>clawback</w:t>
      </w:r>
      <w:proofErr w:type="spellEnd"/>
      <w:r w:rsidR="00497ED2" w:rsidRPr="00497ED2">
        <w:t xml:space="preserve"> obligation. Because the general partner and the management company are service providers that are related parties under section 707(b), and because the terms of the allocations and distributions to the management company create a significantly lower level of economic risk than the terms for the general partner, the management company's arrangement might properly be treated as a disguised payment for services (depending on all other facts and circumstances, including amount of entrepreneurial risk).</w:t>
      </w:r>
      <w:r>
        <w:t>”</w:t>
      </w:r>
      <w:r w:rsidR="001F18DB">
        <w:rPr>
          <w:rStyle w:val="FootnoteReference"/>
        </w:rPr>
        <w:footnoteReference w:id="15"/>
      </w:r>
    </w:p>
    <w:p w14:paraId="4E671091" w14:textId="76C1078C" w:rsidR="00AC12BD" w:rsidRDefault="00C07A4E" w:rsidP="00AC12BD">
      <w:pPr>
        <w:pStyle w:val="Heading2"/>
      </w:pPr>
      <w:bookmarkStart w:id="44" w:name="_Toc153291162"/>
      <w:r>
        <w:t xml:space="preserve">II. B. </w:t>
      </w:r>
      <w:r w:rsidR="0029703A" w:rsidRPr="0029703A">
        <w:t xml:space="preserve">Substantive </w:t>
      </w:r>
      <w:r w:rsidR="0029703A">
        <w:t>T</w:t>
      </w:r>
      <w:r w:rsidR="0029703A" w:rsidRPr="0029703A">
        <w:t xml:space="preserve">ax </w:t>
      </w:r>
      <w:r w:rsidR="0029703A">
        <w:t>R</w:t>
      </w:r>
      <w:r w:rsidR="0029703A" w:rsidRPr="0029703A">
        <w:t>ules</w:t>
      </w:r>
      <w:bookmarkEnd w:id="44"/>
    </w:p>
    <w:p w14:paraId="263EC32A" w14:textId="1F76FFD8" w:rsidR="00AC12BD" w:rsidRPr="00AC12BD" w:rsidRDefault="00AC12BD" w:rsidP="00AC12BD">
      <w:r>
        <w:t xml:space="preserve">Under federal substantive tax rules, guaranteed payments often receive less favorable treatment. In particular, the following </w:t>
      </w:r>
      <w:r w:rsidR="00470B97">
        <w:t>rules apply</w:t>
      </w:r>
      <w:r w:rsidR="00B11704">
        <w:t xml:space="preserve"> to guaranteed payments, much in the same way they would apply to partner-partnership transactions</w:t>
      </w:r>
      <w:r w:rsidR="00470B97">
        <w:t>:</w:t>
      </w:r>
    </w:p>
    <w:p w14:paraId="48103041" w14:textId="0B86D35B" w:rsidR="005275ED" w:rsidRDefault="005275ED" w:rsidP="008463D7">
      <w:pPr>
        <w:pStyle w:val="Heading4"/>
      </w:pPr>
      <w:r>
        <w:t>Ordinary income</w:t>
      </w:r>
    </w:p>
    <w:p w14:paraId="2D1F2903" w14:textId="25191EFB" w:rsidR="006A2898" w:rsidRPr="006A2898" w:rsidRDefault="006A2898" w:rsidP="00552BD2">
      <w:r>
        <w:t xml:space="preserve">Guaranteed payments are </w:t>
      </w:r>
      <w:r w:rsidR="00D773E6">
        <w:t xml:space="preserve">treated as </w:t>
      </w:r>
      <w:r w:rsidR="0008344D">
        <w:t xml:space="preserve">income under IRC </w:t>
      </w:r>
      <w:r w:rsidR="000A3B30">
        <w:t>§</w:t>
      </w:r>
      <w:r w:rsidR="0008344D" w:rsidRPr="0008344D">
        <w:t xml:space="preserve"> 61(a)</w:t>
      </w:r>
      <w:r w:rsidR="00683700">
        <w:t>. See § 707(c). Section 61(a), in turn, lists items included in “gross” or, what is considered, “ordinary” income</w:t>
      </w:r>
      <w:r w:rsidR="00D644A8">
        <w:t xml:space="preserve">, as opposed to capital gains. </w:t>
      </w:r>
    </w:p>
    <w:p w14:paraId="040398FC" w14:textId="71768B8A" w:rsidR="00E53A23" w:rsidRDefault="005A3795" w:rsidP="008463D7">
      <w:pPr>
        <w:pStyle w:val="Heading4"/>
      </w:pPr>
      <w:r>
        <w:t>IRC §199A Quali</w:t>
      </w:r>
      <w:r w:rsidR="00C71E57">
        <w:t>fied Business Income Deduction</w:t>
      </w:r>
    </w:p>
    <w:p w14:paraId="7EBA1161" w14:textId="3FF10199" w:rsidR="00C71E57" w:rsidRDefault="00470B97" w:rsidP="00552BD2">
      <w:r>
        <w:t>G</w:t>
      </w:r>
      <w:r w:rsidR="00C8500C">
        <w:t xml:space="preserve">uaranteed payments </w:t>
      </w:r>
      <w:r w:rsidR="00391FAF">
        <w:t xml:space="preserve">for services </w:t>
      </w:r>
      <w:r w:rsidR="00C8500C">
        <w:t>are not included in “</w:t>
      </w:r>
      <w:r w:rsidR="008C37F0">
        <w:t>qualified business income</w:t>
      </w:r>
      <w:r w:rsidR="00C8500C">
        <w:t xml:space="preserve">” for purposes of the </w:t>
      </w:r>
      <w:r w:rsidR="00510E78">
        <w:t xml:space="preserve">so-called </w:t>
      </w:r>
      <w:r w:rsidR="00845536">
        <w:t>“</w:t>
      </w:r>
      <w:r w:rsidR="00510E78">
        <w:t xml:space="preserve">qualified </w:t>
      </w:r>
      <w:r w:rsidR="00845536">
        <w:t xml:space="preserve">business income” </w:t>
      </w:r>
      <w:r w:rsidR="00C8500C">
        <w:t>deduction provided</w:t>
      </w:r>
      <w:r w:rsidR="008C37F0">
        <w:t xml:space="preserve"> </w:t>
      </w:r>
      <w:r w:rsidR="007575C1">
        <w:t xml:space="preserve">under </w:t>
      </w:r>
      <w:r w:rsidR="00C8500C">
        <w:t xml:space="preserve">IRC § </w:t>
      </w:r>
      <w:r w:rsidR="007575C1">
        <w:t>199A</w:t>
      </w:r>
      <w:r w:rsidR="00C8500C">
        <w:t>.</w:t>
      </w:r>
      <w:r w:rsidR="00C72941">
        <w:rPr>
          <w:rStyle w:val="FootnoteReference"/>
        </w:rPr>
        <w:footnoteReference w:id="16"/>
      </w:r>
      <w:r w:rsidR="00F12B2B">
        <w:t xml:space="preserve"> Conversely, </w:t>
      </w:r>
      <w:r w:rsidR="007E5083">
        <w:t>distributive share income is expressly included</w:t>
      </w:r>
      <w:r w:rsidR="006A4890">
        <w:t xml:space="preserve"> as qualified business income</w:t>
      </w:r>
      <w:r w:rsidR="007575C1">
        <w:t xml:space="preserve"> under that section</w:t>
      </w:r>
      <w:r w:rsidR="006A4890">
        <w:t>.</w:t>
      </w:r>
      <w:r w:rsidR="006A4890">
        <w:rPr>
          <w:rStyle w:val="FootnoteReference"/>
        </w:rPr>
        <w:footnoteReference w:id="17"/>
      </w:r>
    </w:p>
    <w:p w14:paraId="325A2430" w14:textId="738D9B26" w:rsidR="00391FAF" w:rsidRPr="007B7B5A" w:rsidRDefault="001B3046" w:rsidP="008463D7">
      <w:pPr>
        <w:pStyle w:val="Heading4"/>
      </w:pPr>
      <w:r>
        <w:t>Self-Employment Tax</w:t>
      </w:r>
    </w:p>
    <w:p w14:paraId="7CAB6473" w14:textId="535F2FD8" w:rsidR="004F17F8" w:rsidRDefault="006974C3" w:rsidP="00552BD2">
      <w:r>
        <w:t>Partners may be subject to</w:t>
      </w:r>
      <w:r w:rsidR="004F17F8">
        <w:t xml:space="preserve"> </w:t>
      </w:r>
      <w:r>
        <w:t xml:space="preserve">federal </w:t>
      </w:r>
      <w:r w:rsidR="004F17F8">
        <w:t>self-employment tax</w:t>
      </w:r>
      <w:r>
        <w:t xml:space="preserve"> on their partnership-related income</w:t>
      </w:r>
      <w:r w:rsidR="004F17F8">
        <w:t xml:space="preserve">. </w:t>
      </w:r>
      <w:r w:rsidR="00CA297B">
        <w:t xml:space="preserve">General partners are </w:t>
      </w:r>
      <w:r w:rsidR="00880FA4">
        <w:t xml:space="preserve">subject to the tax on both distributive share and guaranteed payments. </w:t>
      </w:r>
      <w:r w:rsidR="004F17F8">
        <w:t xml:space="preserve">A limited partner </w:t>
      </w:r>
      <w:r w:rsidR="00CE5D55">
        <w:t>can exclude</w:t>
      </w:r>
      <w:r w:rsidR="004F17F8">
        <w:t xml:space="preserve"> distributive share </w:t>
      </w:r>
      <w:r w:rsidR="00CE5D55">
        <w:t>income</w:t>
      </w:r>
      <w:r w:rsidR="00880FA4">
        <w:t>,</w:t>
      </w:r>
      <w:r w:rsidR="00CE5D55">
        <w:t xml:space="preserve"> but not </w:t>
      </w:r>
      <w:r w:rsidR="004F17F8">
        <w:t>guaranteed payments for services.</w:t>
      </w:r>
      <w:r w:rsidR="00CE5D55">
        <w:t xml:space="preserve"> </w:t>
      </w:r>
      <w:r w:rsidR="004F17F8">
        <w:t xml:space="preserve"> See</w:t>
      </w:r>
      <w:r w:rsidR="00CE5D55">
        <w:t xml:space="preserve"> IRC</w:t>
      </w:r>
      <w:r w:rsidR="004F17F8">
        <w:t xml:space="preserve"> §1402(a)(13). The IRS </w:t>
      </w:r>
      <w:r w:rsidR="00055A7F">
        <w:t xml:space="preserve">has </w:t>
      </w:r>
      <w:r w:rsidR="004F17F8">
        <w:t xml:space="preserve">published proposed regulations that </w:t>
      </w:r>
      <w:r w:rsidR="00055A7F">
        <w:t>interpret the term “</w:t>
      </w:r>
      <w:r w:rsidR="004F17F8">
        <w:t>limited partners</w:t>
      </w:r>
      <w:r w:rsidR="00055A7F">
        <w:t xml:space="preserve">” to include </w:t>
      </w:r>
      <w:r w:rsidR="00CA297B">
        <w:t>members of an LLC, but these regulations have not been finalized</w:t>
      </w:r>
      <w:r w:rsidR="009755F3">
        <w:t xml:space="preserve"> and the issue is subject to ongoing litigation.</w:t>
      </w:r>
      <w:r w:rsidR="00CA297B">
        <w:t xml:space="preserve"> </w:t>
      </w:r>
    </w:p>
    <w:p w14:paraId="61975D78" w14:textId="21191C06" w:rsidR="0005558C" w:rsidRPr="0005558C" w:rsidRDefault="00FC5BD7" w:rsidP="00FC5BD7">
      <w:pPr>
        <w:pStyle w:val="Heading2"/>
      </w:pPr>
      <w:bookmarkStart w:id="45" w:name="_Toc153291163"/>
      <w:r>
        <w:t xml:space="preserve">II. C. </w:t>
      </w:r>
      <w:r w:rsidR="0005558C" w:rsidRPr="0005558C">
        <w:t>Federal Income Sourcing</w:t>
      </w:r>
      <w:bookmarkEnd w:id="45"/>
    </w:p>
    <w:p w14:paraId="33EBFDE0" w14:textId="43237C3E" w:rsidR="0005558C" w:rsidRDefault="00FF0C83" w:rsidP="0005558C">
      <w:pPr>
        <w:rPr>
          <w:iCs/>
        </w:rPr>
      </w:pPr>
      <w:r>
        <w:rPr>
          <w:iCs/>
        </w:rPr>
        <w:t>Earned income from c</w:t>
      </w:r>
      <w:r w:rsidR="0005558C" w:rsidRPr="0005558C">
        <w:rPr>
          <w:iCs/>
        </w:rPr>
        <w:t>ompensation for labor or personal services performed outside the U</w:t>
      </w:r>
      <w:r>
        <w:rPr>
          <w:iCs/>
        </w:rPr>
        <w:t>.S.</w:t>
      </w:r>
      <w:r w:rsidR="0005558C" w:rsidRPr="0005558C">
        <w:rPr>
          <w:iCs/>
        </w:rPr>
        <w:t xml:space="preserve"> is treated as foreign source income for federal purposes.</w:t>
      </w:r>
      <w:r w:rsidR="00F06BBD">
        <w:rPr>
          <w:iCs/>
        </w:rPr>
        <w:t xml:space="preserve"> See IRC § </w:t>
      </w:r>
      <w:r w:rsidR="00265DF3">
        <w:rPr>
          <w:iCs/>
        </w:rPr>
        <w:t>911</w:t>
      </w:r>
      <w:r w:rsidR="00F06BBD">
        <w:rPr>
          <w:iCs/>
        </w:rPr>
        <w:t xml:space="preserve">. </w:t>
      </w:r>
      <w:r w:rsidR="0005558C" w:rsidRPr="0005558C">
        <w:rPr>
          <w:iCs/>
        </w:rPr>
        <w:t xml:space="preserve">In </w:t>
      </w:r>
      <w:r w:rsidR="0005558C" w:rsidRPr="0005558C">
        <w:rPr>
          <w:i/>
          <w:iCs/>
        </w:rPr>
        <w:t>Miller v. Commissioner</w:t>
      </w:r>
      <w:r w:rsidR="0005558C" w:rsidRPr="0005558C">
        <w:rPr>
          <w:iCs/>
        </w:rPr>
        <w:t xml:space="preserve">, 52 T.C. 752 (1969), the Tax Court </w:t>
      </w:r>
      <w:r w:rsidR="005569E4">
        <w:rPr>
          <w:iCs/>
        </w:rPr>
        <w:t>ruled that this treatment applied to guaranteed payments for services.</w:t>
      </w:r>
      <w:r w:rsidR="0005558C" w:rsidRPr="0005558C">
        <w:rPr>
          <w:iCs/>
          <w:vertAlign w:val="superscript"/>
        </w:rPr>
        <w:footnoteReference w:id="18"/>
      </w:r>
      <w:r w:rsidR="0005558C" w:rsidRPr="0005558C">
        <w:rPr>
          <w:iCs/>
        </w:rPr>
        <w:t xml:space="preserve"> Since </w:t>
      </w:r>
      <w:r w:rsidR="0005558C" w:rsidRPr="0005558C">
        <w:rPr>
          <w:i/>
          <w:iCs/>
        </w:rPr>
        <w:t>Miller</w:t>
      </w:r>
      <w:r w:rsidR="0005558C" w:rsidRPr="0005558C">
        <w:rPr>
          <w:iCs/>
        </w:rPr>
        <w:t>, the IRS has formulated administrative rules for when it will consider the foreign earned income exclusion of IRC § 911 applicable to guaranteed payments and when the limits of 911(b)(2)(D), which caps the amount at $80,000 adjusted for inflation</w:t>
      </w:r>
      <w:r w:rsidR="002974BD">
        <w:rPr>
          <w:iCs/>
        </w:rPr>
        <w:t xml:space="preserve"> (now $112,000)</w:t>
      </w:r>
      <w:r w:rsidR="0005558C" w:rsidRPr="0005558C">
        <w:rPr>
          <w:iCs/>
        </w:rPr>
        <w:t>, will be computed and applied. The rules also provide that the individual must have a tax home in a foreign country, must meet either the bona fide residence or physical presence test, and must make a valid election.</w:t>
      </w:r>
      <w:r w:rsidR="0005558C" w:rsidRPr="0005558C">
        <w:rPr>
          <w:iCs/>
          <w:vertAlign w:val="superscript"/>
        </w:rPr>
        <w:footnoteReference w:id="19"/>
      </w:r>
    </w:p>
    <w:p w14:paraId="389498EA" w14:textId="24D2E3C5" w:rsidR="00AD4B0C" w:rsidRPr="00812A24" w:rsidRDefault="00AD4B0C" w:rsidP="0005558C">
      <w:pPr>
        <w:rPr>
          <w:iCs/>
        </w:rPr>
      </w:pPr>
      <w:r>
        <w:rPr>
          <w:iCs/>
        </w:rPr>
        <w:t>As described in Section I.</w:t>
      </w:r>
      <w:r w:rsidR="00582E7B">
        <w:rPr>
          <w:iCs/>
        </w:rPr>
        <w:t xml:space="preserve">C. above, this exclusion of </w:t>
      </w:r>
      <w:r w:rsidR="00616359">
        <w:rPr>
          <w:iCs/>
        </w:rPr>
        <w:t xml:space="preserve">certain guaranteed payments for services earned while working overseas effectively excludes this amount from </w:t>
      </w:r>
      <w:r w:rsidR="0038664F">
        <w:rPr>
          <w:iCs/>
        </w:rPr>
        <w:t>federal adjusted gross income</w:t>
      </w:r>
      <w:r w:rsidR="00F33DEC">
        <w:rPr>
          <w:iCs/>
        </w:rPr>
        <w:t xml:space="preserve"> (AGI)</w:t>
      </w:r>
      <w:r w:rsidR="0038664F">
        <w:rPr>
          <w:iCs/>
        </w:rPr>
        <w:t xml:space="preserve">, to which the majority of states conform or </w:t>
      </w:r>
      <w:r w:rsidR="00562318">
        <w:rPr>
          <w:iCs/>
        </w:rPr>
        <w:t>with which they begin</w:t>
      </w:r>
      <w:r w:rsidR="0038664F">
        <w:rPr>
          <w:iCs/>
        </w:rPr>
        <w:t xml:space="preserve"> their computation of state taxable net income. </w:t>
      </w:r>
      <w:r w:rsidR="00A5544E">
        <w:rPr>
          <w:iCs/>
        </w:rPr>
        <w:t>Therefore, if states choose to source these guaranteed payments not as compensation</w:t>
      </w:r>
      <w:r w:rsidR="00F33DEC">
        <w:rPr>
          <w:iCs/>
        </w:rPr>
        <w:t xml:space="preserve">, but based on the aggregate approach used for distributive share/distributions, they </w:t>
      </w:r>
      <w:proofErr w:type="gramStart"/>
      <w:r w:rsidR="00F33DEC">
        <w:rPr>
          <w:iCs/>
        </w:rPr>
        <w:t>would</w:t>
      </w:r>
      <w:proofErr w:type="gramEnd"/>
      <w:r w:rsidR="00F33DEC">
        <w:rPr>
          <w:iCs/>
        </w:rPr>
        <w:t xml:space="preserve"> need to make an adjustment to federal AGI to include the amounts. </w:t>
      </w:r>
    </w:p>
    <w:p w14:paraId="72465A7E" w14:textId="0862E181" w:rsidR="006B5567" w:rsidRPr="006B5567" w:rsidRDefault="00FC5BD7" w:rsidP="00FC5BD7">
      <w:pPr>
        <w:pStyle w:val="Heading2"/>
      </w:pPr>
      <w:bookmarkStart w:id="46" w:name="_Toc153291164"/>
      <w:r>
        <w:lastRenderedPageBreak/>
        <w:t xml:space="preserve">II. D. </w:t>
      </w:r>
      <w:r w:rsidR="006B5567" w:rsidRPr="006B5567">
        <w:t>Retirement Income</w:t>
      </w:r>
      <w:bookmarkEnd w:id="46"/>
    </w:p>
    <w:p w14:paraId="100A83F2" w14:textId="77777777" w:rsidR="006B5567" w:rsidRPr="006B5567" w:rsidRDefault="006B5567" w:rsidP="00552BD2">
      <w:r w:rsidRPr="006B5567">
        <w:t>Under 4 U.S.C. § 114, no state may impose an income tax on the retirement income of a nonresident individual. Retirement income includes certain payments made to a retired partner in recognition of prior service. So, under some circumstances, states could be preempted from taxing guaranteed payments to retired nonresident partners. Section 114(b)(1)(I) provides that this rule applies if such income—</w:t>
      </w:r>
    </w:p>
    <w:p w14:paraId="764AE1DE" w14:textId="3CADA78D" w:rsidR="003D10DA" w:rsidRPr="00944885" w:rsidRDefault="00944885" w:rsidP="00944885">
      <w:pPr>
        <w:spacing w:line="276" w:lineRule="auto"/>
        <w:ind w:left="720" w:right="720" w:firstLine="720"/>
        <w:jc w:val="left"/>
        <w:rPr>
          <w:b/>
          <w:bCs/>
          <w:u w:val="single"/>
        </w:rPr>
      </w:pPr>
      <w:r w:rsidRPr="006B5567">
        <w:rPr>
          <w:b/>
          <w:bCs/>
          <w:u w:val="single"/>
        </w:rPr>
        <w:t>4 U.S.C. § 114</w:t>
      </w:r>
      <w:r w:rsidRPr="00944885">
        <w:rPr>
          <w:b/>
          <w:bCs/>
          <w:u w:val="single"/>
        </w:rPr>
        <w:t>(b)(1)(I)</w:t>
      </w:r>
    </w:p>
    <w:p w14:paraId="7E748B3D" w14:textId="28523F15" w:rsidR="006B5567" w:rsidRPr="006B5567" w:rsidRDefault="006B5567" w:rsidP="00944885">
      <w:pPr>
        <w:spacing w:after="0"/>
        <w:ind w:left="720" w:right="720" w:firstLine="720"/>
        <w:jc w:val="left"/>
      </w:pPr>
      <w:r w:rsidRPr="006B5567">
        <w:t>(i) is part of a series of substantially equal periodic payments (not less frequently than annually which may include income described in subparagraphs (A) through (H)) made for—</w:t>
      </w:r>
    </w:p>
    <w:p w14:paraId="580EA96E" w14:textId="54BB0556" w:rsidR="006B5567" w:rsidRPr="006B5567" w:rsidRDefault="006B5567" w:rsidP="00944885">
      <w:pPr>
        <w:spacing w:after="0"/>
        <w:ind w:left="1440" w:right="720" w:firstLine="720"/>
        <w:jc w:val="left"/>
      </w:pPr>
      <w:r w:rsidRPr="006B5567">
        <w:t>(I)</w:t>
      </w:r>
      <w:r w:rsidR="001D09FA">
        <w:t xml:space="preserve"> </w:t>
      </w:r>
      <w:r w:rsidRPr="006B5567">
        <w:t>the life or life expectancy of the recipient (or the joint lives or joint life expectancies of the recipient and the designated beneficiary of the recipient), or</w:t>
      </w:r>
    </w:p>
    <w:p w14:paraId="4586CDFB" w14:textId="25C89EDE" w:rsidR="006B5567" w:rsidRPr="006B5567" w:rsidRDefault="006B5567" w:rsidP="00944885">
      <w:pPr>
        <w:spacing w:after="0"/>
        <w:ind w:left="1440" w:right="720" w:firstLine="720"/>
        <w:jc w:val="left"/>
      </w:pPr>
      <w:r w:rsidRPr="006B5567">
        <w:t>(II)</w:t>
      </w:r>
      <w:r w:rsidR="001D09FA">
        <w:t xml:space="preserve"> </w:t>
      </w:r>
      <w:r w:rsidRPr="006B5567">
        <w:t>a period of not less than 10 years, or</w:t>
      </w:r>
    </w:p>
    <w:p w14:paraId="5F98FB09" w14:textId="667BE526" w:rsidR="006B5567" w:rsidRDefault="006B5567" w:rsidP="00944885">
      <w:pPr>
        <w:spacing w:after="0"/>
        <w:ind w:left="720" w:right="720" w:firstLine="720"/>
        <w:jc w:val="left"/>
      </w:pPr>
      <w:r w:rsidRPr="006B5567">
        <w:t>(ii)</w:t>
      </w:r>
      <w:r w:rsidR="00EF2630">
        <w:t xml:space="preserve"> </w:t>
      </w:r>
      <w:r w:rsidRPr="006B5567">
        <w:t>is a payment received after termination of employment and under a plan, program, or arrangement (to which such employment relates) maintained solely for the purpose of providing retirement benefits for employees in excess of the limitations imposed by 1 or more of sections 401(a)(17), 401(k), 401(m), 402(g), 403(b), 408(k), or 415 of such Code or any other limitation on contributions or benefits in such Code on plans to which any of such sections apply.</w:t>
      </w:r>
    </w:p>
    <w:p w14:paraId="192EC5EF" w14:textId="77777777" w:rsidR="00944885" w:rsidRPr="006B5567" w:rsidRDefault="00944885" w:rsidP="00944885">
      <w:pPr>
        <w:spacing w:after="0"/>
        <w:ind w:left="720" w:firstLine="720"/>
        <w:jc w:val="left"/>
      </w:pPr>
    </w:p>
    <w:p w14:paraId="0AE374D8" w14:textId="0744E15A" w:rsidR="006B5567" w:rsidRPr="006B5567" w:rsidRDefault="006B5567" w:rsidP="00552BD2">
      <w:r w:rsidRPr="006B5567">
        <w:t>The fact that payments may be adjusted from time to time pursuant to such plan, program, or arrangement to limit total disbursements under a predetermined formula, or to provide cost of living or similar adjustments, will not cause the periodic payments provided under such plan, program, or arrangement to fail the “substantially equal periodic payments test.”</w:t>
      </w:r>
    </w:p>
    <w:p w14:paraId="01B7EA38" w14:textId="4CFF5A94" w:rsidR="006B5567" w:rsidRDefault="00A378D4" w:rsidP="00A378D4">
      <w:pPr>
        <w:pStyle w:val="Heading2"/>
      </w:pPr>
      <w:bookmarkStart w:id="47" w:name="_Toc153291165"/>
      <w:r>
        <w:t>II. F. Summary</w:t>
      </w:r>
      <w:bookmarkEnd w:id="47"/>
    </w:p>
    <w:p w14:paraId="4B1372C1" w14:textId="29EE5FF9" w:rsidR="00A378D4" w:rsidRDefault="006153DF" w:rsidP="00A378D4">
      <w:r>
        <w:t xml:space="preserve">The take-aways from the federal tax </w:t>
      </w:r>
      <w:r w:rsidR="00D55CA4">
        <w:t>treatment of guaranteed payments can be summarized as follows:</w:t>
      </w:r>
    </w:p>
    <w:p w14:paraId="32A90A08" w14:textId="4D9995A8" w:rsidR="00D55CA4" w:rsidRDefault="00D55CA4" w:rsidP="005F7F13">
      <w:pPr>
        <w:pStyle w:val="ListParagraph"/>
        <w:numPr>
          <w:ilvl w:val="0"/>
          <w:numId w:val="21"/>
        </w:numPr>
        <w:spacing w:after="120"/>
        <w:contextualSpacing w:val="0"/>
      </w:pPr>
      <w:r>
        <w:t xml:space="preserve">Distinguishing </w:t>
      </w:r>
      <w:r w:rsidR="009F0F62">
        <w:t xml:space="preserve">guaranteed payments from </w:t>
      </w:r>
      <w:r w:rsidR="00C7146C">
        <w:t xml:space="preserve">both </w:t>
      </w:r>
      <w:r w:rsidR="009F0F62">
        <w:t xml:space="preserve">distributive share/distributions and </w:t>
      </w:r>
      <w:r w:rsidR="00337E97">
        <w:t xml:space="preserve">from </w:t>
      </w:r>
      <w:r w:rsidR="009F0F62">
        <w:t>partner-partnership transactions can be complicated and the lines have changed over time.</w:t>
      </w:r>
    </w:p>
    <w:p w14:paraId="48EDCAFE" w14:textId="77777777" w:rsidR="002E5FBD" w:rsidRDefault="00427B91" w:rsidP="005F7F13">
      <w:pPr>
        <w:pStyle w:val="ListParagraph"/>
        <w:numPr>
          <w:ilvl w:val="0"/>
          <w:numId w:val="21"/>
        </w:numPr>
        <w:spacing w:after="120"/>
        <w:contextualSpacing w:val="0"/>
      </w:pPr>
      <w:r>
        <w:t xml:space="preserve">The line between guaranteed payments for services and guaranteed payments for the use of capital is also somewhat unclear. </w:t>
      </w:r>
    </w:p>
    <w:p w14:paraId="1DF9A28B" w14:textId="0AE5C682" w:rsidR="00562318" w:rsidRDefault="00562318" w:rsidP="005F7F13">
      <w:pPr>
        <w:pStyle w:val="ListParagraph"/>
        <w:numPr>
          <w:ilvl w:val="0"/>
          <w:numId w:val="21"/>
        </w:numPr>
        <w:spacing w:after="120"/>
        <w:contextualSpacing w:val="0"/>
      </w:pPr>
      <w:r>
        <w:t>Guaranteed payments may receive tax treatment that is</w:t>
      </w:r>
      <w:r w:rsidR="009E6AF6">
        <w:t xml:space="preserve"> similar to partnership-partner transactions and somewhat</w:t>
      </w:r>
      <w:r>
        <w:t xml:space="preserve"> less favorable than distributive share/distributions, depending on the circumstances.</w:t>
      </w:r>
    </w:p>
    <w:p w14:paraId="40247D60" w14:textId="23D3792C" w:rsidR="009F0F62" w:rsidRDefault="00562318" w:rsidP="005F7F13">
      <w:pPr>
        <w:pStyle w:val="ListParagraph"/>
        <w:numPr>
          <w:ilvl w:val="0"/>
          <w:numId w:val="21"/>
        </w:numPr>
        <w:spacing w:after="120"/>
        <w:contextualSpacing w:val="0"/>
      </w:pPr>
      <w:r>
        <w:t>Guaranteed payments for services performed overseas may be excluded from federal adjusted gross income, to which most states conform or with which they begin their tax calculation.</w:t>
      </w:r>
      <w:r w:rsidR="00552BD2">
        <w:t xml:space="preserve"> </w:t>
      </w:r>
    </w:p>
    <w:p w14:paraId="2D69AE08" w14:textId="5FF2D8B2" w:rsidR="005F7B48" w:rsidRPr="00A378D4" w:rsidRDefault="005F7B48" w:rsidP="005F7F13">
      <w:pPr>
        <w:pStyle w:val="ListParagraph"/>
        <w:numPr>
          <w:ilvl w:val="0"/>
          <w:numId w:val="21"/>
        </w:numPr>
        <w:spacing w:after="120"/>
        <w:contextualSpacing w:val="0"/>
      </w:pPr>
      <w:r>
        <w:t xml:space="preserve">Guaranteed payments paid as retirement compensation to </w:t>
      </w:r>
      <w:r w:rsidR="0058270F">
        <w:t xml:space="preserve">retired partners </w:t>
      </w:r>
      <w:r w:rsidR="0092280E">
        <w:t xml:space="preserve">and subject to the rule of 4 U.S.C. § 114 </w:t>
      </w:r>
      <w:r w:rsidR="0058270F">
        <w:t xml:space="preserve">cannot be taxed </w:t>
      </w:r>
      <w:r w:rsidR="0042018F">
        <w:t xml:space="preserve">except by the state of the partner’s residence. </w:t>
      </w:r>
    </w:p>
    <w:p w14:paraId="65B026A7" w14:textId="77777777" w:rsidR="00A378D4" w:rsidRDefault="00A378D4">
      <w:pPr>
        <w:spacing w:line="276" w:lineRule="auto"/>
        <w:jc w:val="left"/>
        <w:rPr>
          <w:rFonts w:asciiTheme="majorHAnsi" w:eastAsiaTheme="majorEastAsia" w:hAnsiTheme="majorHAnsi" w:cstheme="majorBidi"/>
          <w:b/>
          <w:smallCaps/>
          <w:color w:val="851C00" w:themeColor="accent6" w:themeShade="BF"/>
          <w:sz w:val="36"/>
          <w:szCs w:val="32"/>
        </w:rPr>
      </w:pPr>
      <w:r>
        <w:br w:type="page"/>
      </w:r>
    </w:p>
    <w:p w14:paraId="781E72C7" w14:textId="19978AAF" w:rsidR="000E5625" w:rsidRDefault="00464AC0" w:rsidP="00190948">
      <w:pPr>
        <w:pStyle w:val="Heading1"/>
      </w:pPr>
      <w:bookmarkStart w:id="48" w:name="_Toc153291166"/>
      <w:r>
        <w:lastRenderedPageBreak/>
        <w:t>III</w:t>
      </w:r>
      <w:r w:rsidR="00190948">
        <w:t xml:space="preserve">. </w:t>
      </w:r>
      <w:r w:rsidR="00DE675E">
        <w:t xml:space="preserve">Amounts </w:t>
      </w:r>
      <w:r w:rsidR="00115DFE">
        <w:t xml:space="preserve">and Types </w:t>
      </w:r>
      <w:r w:rsidR="00DE675E">
        <w:t>of Guaranteed Payments</w:t>
      </w:r>
      <w:bookmarkEnd w:id="48"/>
    </w:p>
    <w:p w14:paraId="558E3D4C" w14:textId="352A53A6" w:rsidR="003B4C7D" w:rsidRDefault="008C5E1B" w:rsidP="00611DD0">
      <w:r>
        <w:t>IRS Partnership Statistics</w:t>
      </w:r>
      <w:r w:rsidR="00B24426">
        <w:t xml:space="preserve"> of Information (SOI)</w:t>
      </w:r>
      <w:r>
        <w:t xml:space="preserve">, available here: </w:t>
      </w:r>
      <w:hyperlink r:id="rId36" w:history="1">
        <w:r w:rsidRPr="00B91528">
          <w:rPr>
            <w:rStyle w:val="Hyperlink"/>
          </w:rPr>
          <w:t>https://www.irs.gov/statistics/soi-tax-stats-partnership-statistics</w:t>
        </w:r>
      </w:hyperlink>
      <w:r>
        <w:t>, provide information on</w:t>
      </w:r>
      <w:r w:rsidR="009871C4">
        <w:t xml:space="preserve"> partnership income and</w:t>
      </w:r>
      <w:r>
        <w:t xml:space="preserve"> guaranteed payments</w:t>
      </w:r>
      <w:r w:rsidR="008761F0">
        <w:t>.</w:t>
      </w:r>
      <w:r>
        <w:t xml:space="preserve"> </w:t>
      </w:r>
      <w:r w:rsidR="008761F0">
        <w:t>In 2020, t</w:t>
      </w:r>
      <w:r w:rsidR="003B4C7D">
        <w:t>hese statistic</w:t>
      </w:r>
      <w:r w:rsidR="00E84D26">
        <w:t>s</w:t>
      </w:r>
      <w:r w:rsidR="003B4C7D">
        <w:t xml:space="preserve"> show that</w:t>
      </w:r>
      <w:r w:rsidR="00CF7896">
        <w:t xml:space="preserve"> total guaranteed payments were $74 </w:t>
      </w:r>
      <w:r w:rsidR="00F1297D">
        <w:t>b</w:t>
      </w:r>
      <w:r w:rsidR="00CF7896">
        <w:t>illion.</w:t>
      </w:r>
      <w:r w:rsidR="003B4C7D">
        <w:t xml:space="preserve"> </w:t>
      </w:r>
      <w:r w:rsidR="001A02A7">
        <w:t xml:space="preserve">In prior years, the amounts of guaranteed payments for services and the use of capital were not </w:t>
      </w:r>
      <w:r w:rsidR="00551E66">
        <w:t>broken out separately in partnership returns.</w:t>
      </w:r>
    </w:p>
    <w:p w14:paraId="5B93C533" w14:textId="1A595E64" w:rsidR="004E2DE3" w:rsidRDefault="00F85EA6" w:rsidP="00AA0BD8">
      <w:pPr>
        <w:pStyle w:val="Heading3"/>
        <w:jc w:val="center"/>
      </w:pPr>
      <w:bookmarkStart w:id="49" w:name="_Toc153291167"/>
      <w:r w:rsidRPr="00736FE8">
        <w:rPr>
          <w:noProof/>
        </w:rPr>
        <w:drawing>
          <wp:anchor distT="0" distB="0" distL="114300" distR="114300" simplePos="0" relativeHeight="251679744" behindDoc="1" locked="0" layoutInCell="1" allowOverlap="1" wp14:anchorId="12C9D47A" wp14:editId="02A2E10B">
            <wp:simplePos x="0" y="0"/>
            <wp:positionH relativeFrom="margin">
              <wp:posOffset>2842260</wp:posOffset>
            </wp:positionH>
            <wp:positionV relativeFrom="paragraph">
              <wp:posOffset>251021</wp:posOffset>
            </wp:positionV>
            <wp:extent cx="3008630" cy="7162165"/>
            <wp:effectExtent l="0" t="0" r="1270" b="635"/>
            <wp:wrapTight wrapText="bothSides">
              <wp:wrapPolygon edited="0">
                <wp:start x="0" y="0"/>
                <wp:lineTo x="0" y="21544"/>
                <wp:lineTo x="21472" y="21544"/>
                <wp:lineTo x="21472" y="20510"/>
                <wp:lineTo x="18874" y="20223"/>
                <wp:lineTo x="21472" y="20223"/>
                <wp:lineTo x="21472" y="19534"/>
                <wp:lineTo x="15455" y="19304"/>
                <wp:lineTo x="21472" y="19304"/>
                <wp:lineTo x="21472" y="16546"/>
                <wp:lineTo x="19421" y="16546"/>
                <wp:lineTo x="21472" y="16259"/>
                <wp:lineTo x="21472" y="15110"/>
                <wp:lineTo x="20789" y="14995"/>
                <wp:lineTo x="15455" y="14708"/>
                <wp:lineTo x="21472" y="14708"/>
                <wp:lineTo x="21472" y="14018"/>
                <wp:lineTo x="15455" y="13788"/>
                <wp:lineTo x="21472" y="13731"/>
                <wp:lineTo x="21472" y="11088"/>
                <wp:lineTo x="15455" y="11031"/>
                <wp:lineTo x="21472" y="10801"/>
                <wp:lineTo x="21472" y="10112"/>
                <wp:lineTo x="15865" y="10112"/>
                <wp:lineTo x="21472" y="9824"/>
                <wp:lineTo x="21472" y="6779"/>
                <wp:lineTo x="21199" y="6664"/>
                <wp:lineTo x="19011" y="6435"/>
                <wp:lineTo x="21472" y="6435"/>
                <wp:lineTo x="21472" y="5745"/>
                <wp:lineTo x="15455" y="5515"/>
                <wp:lineTo x="21472" y="5515"/>
                <wp:lineTo x="21472" y="2815"/>
                <wp:lineTo x="15455" y="2758"/>
                <wp:lineTo x="19968" y="2298"/>
                <wp:lineTo x="19968" y="2068"/>
                <wp:lineTo x="15455" y="1838"/>
                <wp:lineTo x="19831" y="1838"/>
                <wp:lineTo x="21472" y="1609"/>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8630" cy="716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DE3">
        <w:t>Percentage of Total Net Income</w:t>
      </w:r>
      <w:r w:rsidR="004E4D4E">
        <w:tab/>
      </w:r>
      <w:r w:rsidR="00AA0BD8">
        <w:tab/>
      </w:r>
      <w:r w:rsidR="004E4D4E">
        <w:tab/>
        <w:t xml:space="preserve"> </w:t>
      </w:r>
      <w:r w:rsidR="004E4D4E">
        <w:tab/>
      </w:r>
      <w:r w:rsidR="004E4D4E" w:rsidRPr="00AA0BD8">
        <w:rPr>
          <w:sz w:val="18"/>
          <w:szCs w:val="20"/>
        </w:rPr>
        <w:t>(amounts here shown in thousands)</w:t>
      </w:r>
      <w:bookmarkEnd w:id="49"/>
    </w:p>
    <w:p w14:paraId="1ED12359" w14:textId="2A774AB9" w:rsidR="004E2DE3" w:rsidRPr="00CF7896" w:rsidRDefault="00BE7B52" w:rsidP="004E2DE3">
      <w:r w:rsidRPr="00BE7B52">
        <w:t xml:space="preserve">For 2020, total </w:t>
      </w:r>
      <w:r w:rsidR="004E2DE3" w:rsidRPr="004E2DE3">
        <w:t>partnership net income</w:t>
      </w:r>
      <w:r w:rsidRPr="00BE7B52">
        <w:t>,</w:t>
      </w:r>
      <w:r w:rsidR="004E2DE3" w:rsidRPr="004E2DE3">
        <w:t xml:space="preserve"> including both business and portfolio income, </w:t>
      </w:r>
      <w:r w:rsidR="007561B0">
        <w:t xml:space="preserve">and </w:t>
      </w:r>
      <w:r w:rsidRPr="00BE7B52">
        <w:t>adding back</w:t>
      </w:r>
      <w:r w:rsidR="004E2DE3" w:rsidRPr="004E2DE3">
        <w:t xml:space="preserve"> </w:t>
      </w:r>
      <w:r w:rsidRPr="00BE7B52">
        <w:t xml:space="preserve">the </w:t>
      </w:r>
      <w:r w:rsidR="004E2DE3" w:rsidRPr="004E2DE3">
        <w:t xml:space="preserve">guaranteed payments, </w:t>
      </w:r>
      <w:r w:rsidRPr="00BE7B52">
        <w:t>equals</w:t>
      </w:r>
      <w:r w:rsidR="004E2DE3" w:rsidRPr="004E2DE3">
        <w:t xml:space="preserve"> $834 </w:t>
      </w:r>
      <w:r w:rsidR="00F1297D">
        <w:t>b</w:t>
      </w:r>
      <w:r w:rsidR="004E2DE3" w:rsidRPr="004E2DE3">
        <w:t>illion.</w:t>
      </w:r>
      <w:r w:rsidRPr="00BE7B52">
        <w:t xml:space="preserve"> </w:t>
      </w:r>
      <w:r>
        <w:t>Guaranteed payments, as a</w:t>
      </w:r>
      <w:r w:rsidR="004E2DE3" w:rsidRPr="004E2DE3">
        <w:t xml:space="preserve"> percentage of this $834 </w:t>
      </w:r>
      <w:r w:rsidR="00F1297D">
        <w:t>b</w:t>
      </w:r>
      <w:r w:rsidR="004E2DE3" w:rsidRPr="004E2DE3">
        <w:t>illion</w:t>
      </w:r>
      <w:r w:rsidR="00FE640C">
        <w:t xml:space="preserve"> </w:t>
      </w:r>
      <w:r w:rsidR="004E2DE3" w:rsidRPr="004E2DE3">
        <w:t>of partnership net income</w:t>
      </w:r>
      <w:r>
        <w:t xml:space="preserve">, </w:t>
      </w:r>
      <w:r w:rsidR="004E2DE3" w:rsidRPr="004E2DE3">
        <w:t>is 9%.</w:t>
      </w:r>
    </w:p>
    <w:p w14:paraId="46F38AA2" w14:textId="3AEA21C6" w:rsidR="00CF7896" w:rsidRPr="00CF7896" w:rsidRDefault="00CF7896" w:rsidP="00CF7896">
      <w:pPr>
        <w:pStyle w:val="Heading3"/>
      </w:pPr>
      <w:bookmarkStart w:id="50" w:name="_Toc153291168"/>
      <w:r w:rsidRPr="00CF7896">
        <w:t>Rankings by Industry</w:t>
      </w:r>
      <w:bookmarkEnd w:id="50"/>
    </w:p>
    <w:p w14:paraId="5552B272" w14:textId="22517438" w:rsidR="00CF7896" w:rsidRDefault="004E2DE3" w:rsidP="00CF7896">
      <w:r>
        <w:t>The</w:t>
      </w:r>
      <w:r w:rsidR="00CF7896">
        <w:t xml:space="preserve"> simple ranking in terms of total amounts, shown here, indicates that industries with the highest guaranteed payments are: </w:t>
      </w:r>
    </w:p>
    <w:p w14:paraId="7FA23D3E" w14:textId="5BC2484D" w:rsidR="00CF7896" w:rsidRDefault="00CF7896" w:rsidP="005F7F13">
      <w:pPr>
        <w:pStyle w:val="ListParagraph"/>
        <w:numPr>
          <w:ilvl w:val="0"/>
          <w:numId w:val="11"/>
        </w:numPr>
        <w:spacing w:after="120"/>
        <w:contextualSpacing w:val="0"/>
      </w:pPr>
      <w:r>
        <w:t xml:space="preserve">professional, scientific, and technical services </w:t>
      </w:r>
    </w:p>
    <w:p w14:paraId="401BCA2A" w14:textId="63851B7C" w:rsidR="00CF7896" w:rsidRDefault="00CF7896" w:rsidP="005F7F13">
      <w:pPr>
        <w:pStyle w:val="ListParagraph"/>
        <w:numPr>
          <w:ilvl w:val="0"/>
          <w:numId w:val="11"/>
        </w:numPr>
        <w:spacing w:after="120"/>
        <w:contextualSpacing w:val="0"/>
      </w:pPr>
      <w:r>
        <w:t xml:space="preserve">finance and insurance, and </w:t>
      </w:r>
    </w:p>
    <w:p w14:paraId="341A06AC" w14:textId="7EFBAD64" w:rsidR="00CF7896" w:rsidRDefault="00CF7896" w:rsidP="005F7F13">
      <w:pPr>
        <w:pStyle w:val="ListParagraph"/>
        <w:numPr>
          <w:ilvl w:val="0"/>
          <w:numId w:val="11"/>
        </w:numPr>
      </w:pPr>
      <w:r>
        <w:t>health care and social assi</w:t>
      </w:r>
      <w:r w:rsidR="004E2DE3">
        <w:t>s</w:t>
      </w:r>
      <w:r>
        <w:t>t</w:t>
      </w:r>
      <w:r w:rsidR="004E2DE3">
        <w:t>a</w:t>
      </w:r>
      <w:r>
        <w:t xml:space="preserve">nce. </w:t>
      </w:r>
    </w:p>
    <w:p w14:paraId="44E897D7" w14:textId="352C8AA6" w:rsidR="009F265B" w:rsidRDefault="00CF7896" w:rsidP="00736FE8">
      <w:r>
        <w:t xml:space="preserve">But </w:t>
      </w:r>
      <w:r w:rsidRPr="009F265B">
        <w:t>ranking industr</w:t>
      </w:r>
      <w:r w:rsidR="00BE7B52">
        <w:t>ies</w:t>
      </w:r>
      <w:r w:rsidRPr="009F265B">
        <w:t xml:space="preserve"> </w:t>
      </w:r>
      <w:r>
        <w:t xml:space="preserve">by amount does not necessarily indicate prevalence </w:t>
      </w:r>
      <w:r w:rsidR="00BE7B52">
        <w:t xml:space="preserve">of guaranteed payments </w:t>
      </w:r>
      <w:r w:rsidR="004E2DE3">
        <w:t xml:space="preserve">in that industry because </w:t>
      </w:r>
      <w:r w:rsidR="00BE7B52">
        <w:t xml:space="preserve">industries also vary by </w:t>
      </w:r>
      <w:r w:rsidR="004E2DE3">
        <w:t xml:space="preserve">size. </w:t>
      </w:r>
      <w:r w:rsidR="009F265B">
        <w:t>R</w:t>
      </w:r>
      <w:r w:rsidR="00736FE8">
        <w:t>ankings relative to the size of the industry are difficult</w:t>
      </w:r>
      <w:r w:rsidR="004E2DE3">
        <w:t>, however,</w:t>
      </w:r>
      <w:r w:rsidR="00736FE8">
        <w:t xml:space="preserve"> because </w:t>
      </w:r>
      <w:r w:rsidR="005959C0">
        <w:t xml:space="preserve">some </w:t>
      </w:r>
      <w:r w:rsidR="00736FE8">
        <w:t>industries</w:t>
      </w:r>
      <w:r w:rsidR="005959C0">
        <w:t xml:space="preserve"> </w:t>
      </w:r>
      <w:r w:rsidR="00246E24">
        <w:t>report a</w:t>
      </w:r>
      <w:r w:rsidR="005959C0">
        <w:t xml:space="preserve"> net loss</w:t>
      </w:r>
      <w:r w:rsidR="00BE7B52">
        <w:t xml:space="preserve"> or pay out guaranteed payments in excess of the </w:t>
      </w:r>
      <w:r w:rsidR="00246E24">
        <w:t xml:space="preserve">total </w:t>
      </w:r>
      <w:r w:rsidR="00BE7B52">
        <w:t xml:space="preserve">net income. </w:t>
      </w:r>
    </w:p>
    <w:p w14:paraId="192626F1" w14:textId="0F80CA7D" w:rsidR="009F265B" w:rsidRDefault="005959C0" w:rsidP="00736FE8">
      <w:r>
        <w:t xml:space="preserve">So the tables </w:t>
      </w:r>
      <w:r w:rsidR="004E2DE3">
        <w:t>on the following pages</w:t>
      </w:r>
      <w:r w:rsidR="00736FE8">
        <w:t xml:space="preserve"> </w:t>
      </w:r>
      <w:r>
        <w:t xml:space="preserve">provide two </w:t>
      </w:r>
      <w:r w:rsidR="00736FE8">
        <w:t xml:space="preserve">different </w:t>
      </w:r>
      <w:r>
        <w:t xml:space="preserve">rankings. The first is based on </w:t>
      </w:r>
      <w:r w:rsidR="005D791A">
        <w:t>guaranteed payments</w:t>
      </w:r>
      <w:r w:rsidR="009871C4">
        <w:t xml:space="preserve"> as a percentage of gross </w:t>
      </w:r>
      <w:r>
        <w:t xml:space="preserve">partnership </w:t>
      </w:r>
      <w:r w:rsidR="009871C4">
        <w:t>business income.</w:t>
      </w:r>
      <w:r w:rsidR="00736FE8">
        <w:t xml:space="preserve"> </w:t>
      </w:r>
      <w:r w:rsidR="00736FE8" w:rsidRPr="00736FE8">
        <w:t>The second is based on total partnership net income after adding back guaranteed payments</w:t>
      </w:r>
      <w:r w:rsidR="004E2DE3">
        <w:t>—showing those industries where the industry has a net loss separately</w:t>
      </w:r>
      <w:r w:rsidR="00736FE8" w:rsidRPr="00736FE8">
        <w:t xml:space="preserve">.  </w:t>
      </w:r>
    </w:p>
    <w:p w14:paraId="4C5D534E" w14:textId="77777777" w:rsidR="00BE209E" w:rsidRDefault="00BE209E" w:rsidP="009871C4"/>
    <w:p w14:paraId="5F7A035B" w14:textId="77777777" w:rsidR="00BE209E" w:rsidRDefault="00BE209E" w:rsidP="009871C4"/>
    <w:p w14:paraId="2BAC7F8C" w14:textId="77777777" w:rsidR="00BE209E" w:rsidRDefault="00BE209E" w:rsidP="009871C4"/>
    <w:p w14:paraId="5C1D393F" w14:textId="77777777" w:rsidR="00BE209E" w:rsidRDefault="00BE209E" w:rsidP="009871C4"/>
    <w:p w14:paraId="32D07FDE" w14:textId="77777777" w:rsidR="00BE209E" w:rsidRDefault="00BE209E" w:rsidP="009871C4"/>
    <w:p w14:paraId="64D16C5A" w14:textId="77777777" w:rsidR="00BE209E" w:rsidRDefault="00BE209E" w:rsidP="009871C4"/>
    <w:p w14:paraId="7CD764E0" w14:textId="5D166610" w:rsidR="002B0EBD" w:rsidRDefault="00736FE8" w:rsidP="008843EB">
      <w:pPr>
        <w:spacing w:after="360"/>
      </w:pPr>
      <w:r>
        <w:lastRenderedPageBreak/>
        <w:t xml:space="preserve">The rankings relative to gross </w:t>
      </w:r>
      <w:r w:rsidR="00060EB5">
        <w:t xml:space="preserve">business </w:t>
      </w:r>
      <w:r>
        <w:t xml:space="preserve">income, below, indicate, again, that professional, finance, and healthcare industry categories rank the highest. </w:t>
      </w:r>
      <w:r w:rsidR="00060EB5">
        <w:t xml:space="preserve">Here, </w:t>
      </w:r>
      <w:r w:rsidR="00A32988">
        <w:t xml:space="preserve">for all industries, </w:t>
      </w:r>
      <w:r w:rsidR="00060EB5">
        <w:t>guaranteed payments vary from less than 1% to almost 4% of gross business income.</w:t>
      </w:r>
    </w:p>
    <w:p w14:paraId="3809F0E2" w14:textId="5DEEE671" w:rsidR="00611DD0" w:rsidRDefault="003B4C7D" w:rsidP="00736FE8">
      <w:r w:rsidRPr="003B4C7D">
        <w:rPr>
          <w:noProof/>
        </w:rPr>
        <w:drawing>
          <wp:inline distT="0" distB="0" distL="0" distR="0" wp14:anchorId="33712409" wp14:editId="31AB9193">
            <wp:extent cx="5667375" cy="639493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640" cy="6501304"/>
                    </a:xfrm>
                    <a:prstGeom prst="rect">
                      <a:avLst/>
                    </a:prstGeom>
                    <a:noFill/>
                    <a:ln>
                      <a:noFill/>
                    </a:ln>
                  </pic:spPr>
                </pic:pic>
              </a:graphicData>
            </a:graphic>
          </wp:inline>
        </w:drawing>
      </w:r>
    </w:p>
    <w:p w14:paraId="6FCBDB76" w14:textId="15C87825" w:rsidR="008C5E1B" w:rsidRDefault="00AE34F6" w:rsidP="00611DD0">
      <w:r>
        <w:t xml:space="preserve">It is likely no surprise that </w:t>
      </w:r>
      <w:r w:rsidR="0082584C">
        <w:t xml:space="preserve">partnerships in the </w:t>
      </w:r>
      <w:r>
        <w:t>professional</w:t>
      </w:r>
      <w:r w:rsidR="00D02BB9">
        <w:t>,</w:t>
      </w:r>
      <w:r w:rsidR="0082584C">
        <w:t xml:space="preserve"> financial</w:t>
      </w:r>
      <w:r w:rsidR="00D02BB9">
        <w:t>, and healthcare</w:t>
      </w:r>
      <w:r w:rsidR="0082584C">
        <w:t xml:space="preserve"> industry sectors rank highest in terms of total guaranteed payments and the percentage of guaranteed payments to </w:t>
      </w:r>
      <w:r w:rsidR="00CA153C">
        <w:t>gross</w:t>
      </w:r>
      <w:r w:rsidR="00D02BB9">
        <w:t xml:space="preserve"> income</w:t>
      </w:r>
      <w:r w:rsidR="00B24426">
        <w:t xml:space="preserve">, </w:t>
      </w:r>
      <w:r w:rsidR="00B24426" w:rsidRPr="00B24426">
        <w:t>since these sectors include professional firms whose partners often participate in their businesses,</w:t>
      </w:r>
      <w:r w:rsidR="00D02BB9">
        <w:t xml:space="preserve">. </w:t>
      </w:r>
      <w:r w:rsidR="003E13BA">
        <w:t xml:space="preserve">Still, the range in terms of percentages is not </w:t>
      </w:r>
      <w:r w:rsidR="003B4748">
        <w:t>extraordinary</w:t>
      </w:r>
      <w:r w:rsidR="000D57A1">
        <w:t>—between .11% and 3.91%, with 1.13% as the average.</w:t>
      </w:r>
    </w:p>
    <w:p w14:paraId="2A2034E1" w14:textId="77777777" w:rsidR="004E2DE3" w:rsidRDefault="004E2DE3">
      <w:pPr>
        <w:spacing w:line="276" w:lineRule="auto"/>
        <w:jc w:val="left"/>
      </w:pPr>
      <w:r>
        <w:br w:type="page"/>
      </w:r>
    </w:p>
    <w:p w14:paraId="1FC82044" w14:textId="77777777" w:rsidR="00A337BF" w:rsidRDefault="00031185" w:rsidP="00611DD0">
      <w:r>
        <w:lastRenderedPageBreak/>
        <w:t>Industry rankings</w:t>
      </w:r>
      <w:r w:rsidR="00736FE8" w:rsidRPr="00736FE8">
        <w:t xml:space="preserve"> </w:t>
      </w:r>
      <w:r w:rsidR="00EF204E">
        <w:t xml:space="preserve">of guaranteed payments </w:t>
      </w:r>
      <w:r w:rsidR="00736FE8" w:rsidRPr="00736FE8">
        <w:t xml:space="preserve">relative to </w:t>
      </w:r>
      <w:r w:rsidR="00060EB5">
        <w:t>total partnership net income (loss)</w:t>
      </w:r>
      <w:r w:rsidR="00736FE8" w:rsidRPr="00736FE8">
        <w:t xml:space="preserve">, </w:t>
      </w:r>
      <w:r w:rsidR="00060EB5">
        <w:t xml:space="preserve">tell a slightly different story. </w:t>
      </w:r>
      <w:r w:rsidR="005C576A">
        <w:t xml:space="preserve">This ranking is complicated because industries can show a loss or net income in excess of guaranteed payments, and </w:t>
      </w:r>
      <w:r w:rsidR="00A337BF">
        <w:t>for industries fall into this category</w:t>
      </w:r>
      <w:r w:rsidR="00E63DB8" w:rsidRPr="00E63DB8">
        <w:t>—accommodations and food services, arts and entertainment, transportation, and utilities</w:t>
      </w:r>
      <w:r w:rsidR="00060EB5">
        <w:t>.</w:t>
      </w:r>
      <w:r w:rsidR="000A37C8">
        <w:t xml:space="preserve"> It appears this </w:t>
      </w:r>
      <w:r w:rsidR="00A337BF">
        <w:t>may be</w:t>
      </w:r>
      <w:r w:rsidR="000A37C8">
        <w:t xml:space="preserve"> due to lower profit margins in those industries.</w:t>
      </w:r>
      <w:r w:rsidR="00060EB5">
        <w:t xml:space="preserve"> </w:t>
      </w:r>
    </w:p>
    <w:p w14:paraId="2A2FA284" w14:textId="0E5FEF35" w:rsidR="00736FE8" w:rsidRDefault="00AF5F07" w:rsidP="00611DD0">
      <w:r>
        <w:t>For the remaining industries, t</w:t>
      </w:r>
      <w:r w:rsidR="00060EB5">
        <w:t xml:space="preserve">he percentage of guaranteed payments </w:t>
      </w:r>
      <w:r>
        <w:t xml:space="preserve">relative to this net income amount </w:t>
      </w:r>
      <w:r w:rsidR="00060EB5">
        <w:t xml:space="preserve">varies widely—from 1.7% to almost 50%. </w:t>
      </w:r>
      <w:r w:rsidR="00CF722D">
        <w:t>T</w:t>
      </w:r>
      <w:r w:rsidR="00060EB5">
        <w:t>he highest ranking industry</w:t>
      </w:r>
      <w:r w:rsidR="00BE7B52">
        <w:t xml:space="preserve">, </w:t>
      </w:r>
      <w:r w:rsidR="00060EB5">
        <w:t>after removing the four noted</w:t>
      </w:r>
      <w:r w:rsidR="00BE7B52">
        <w:t>,</w:t>
      </w:r>
      <w:r w:rsidR="00060EB5">
        <w:t xml:space="preserve"> </w:t>
      </w:r>
      <w:r w:rsidR="00CF7896">
        <w:t xml:space="preserve">is </w:t>
      </w:r>
      <w:r w:rsidR="00060EB5">
        <w:t xml:space="preserve">educational and other services – at 49.53%. The next, agricultural, is less than half that – at 23.15%. </w:t>
      </w:r>
      <w:r w:rsidR="00BE7B52">
        <w:t>And, u</w:t>
      </w:r>
      <w:r w:rsidR="00060EB5">
        <w:t>sing this ranking, the finance industry</w:t>
      </w:r>
      <w:r w:rsidR="00BE7B52">
        <w:t>, which is the largest industry by net income,</w:t>
      </w:r>
      <w:r w:rsidR="00060EB5">
        <w:t xml:space="preserve"> ranks second from last</w:t>
      </w:r>
      <w:r w:rsidR="00BE7B52">
        <w:t xml:space="preserve"> in terms of </w:t>
      </w:r>
      <w:r w:rsidR="00105258">
        <w:t xml:space="preserve">the percentage of </w:t>
      </w:r>
      <w:r w:rsidR="00BE7B52">
        <w:t>guaranteed payments</w:t>
      </w:r>
      <w:r w:rsidR="00060EB5">
        <w:t xml:space="preserve">. </w:t>
      </w:r>
    </w:p>
    <w:p w14:paraId="25C03D1E" w14:textId="3539DD95" w:rsidR="008C5E1B" w:rsidRDefault="00AF5F07" w:rsidP="00611DD0">
      <w:r w:rsidRPr="00AF5F07">
        <w:rPr>
          <w:noProof/>
        </w:rPr>
        <w:drawing>
          <wp:inline distT="0" distB="0" distL="0" distR="0" wp14:anchorId="0FBCF1CC" wp14:editId="63C5BA4B">
            <wp:extent cx="5776331" cy="643010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5679" cy="6440514"/>
                    </a:xfrm>
                    <a:prstGeom prst="rect">
                      <a:avLst/>
                    </a:prstGeom>
                    <a:noFill/>
                    <a:ln>
                      <a:noFill/>
                    </a:ln>
                  </pic:spPr>
                </pic:pic>
              </a:graphicData>
            </a:graphic>
          </wp:inline>
        </w:drawing>
      </w:r>
    </w:p>
    <w:p w14:paraId="36C85291" w14:textId="769D6525" w:rsidR="000B4244" w:rsidRDefault="000B4244">
      <w:pPr>
        <w:spacing w:line="276" w:lineRule="auto"/>
        <w:jc w:val="left"/>
      </w:pPr>
      <w:r>
        <w:br w:type="page"/>
      </w:r>
    </w:p>
    <w:p w14:paraId="0B737211" w14:textId="1F108090" w:rsidR="0066468E" w:rsidRDefault="007B75F8" w:rsidP="0066468E">
      <w:pPr>
        <w:pStyle w:val="Heading3"/>
      </w:pPr>
      <w:bookmarkStart w:id="51" w:name="_Toc153291169"/>
      <w:r>
        <w:lastRenderedPageBreak/>
        <w:t>Common</w:t>
      </w:r>
      <w:r w:rsidR="0066468E">
        <w:t xml:space="preserve"> Guaranteed Payments</w:t>
      </w:r>
      <w:r>
        <w:t xml:space="preserve"> and Alternatives</w:t>
      </w:r>
      <w:bookmarkEnd w:id="51"/>
    </w:p>
    <w:p w14:paraId="45DE1D1C" w14:textId="03F7CE0D" w:rsidR="00C31C05" w:rsidRDefault="0066468E" w:rsidP="0066468E">
      <w:r>
        <w:t xml:space="preserve">Review of different sources of information on partnerships indicates that </w:t>
      </w:r>
      <w:r w:rsidR="00D31F40">
        <w:t>the common type of guaranteed payment is a fairly straight-forward agreement to pay partners a set amount annually</w:t>
      </w:r>
      <w:r w:rsidR="00754875">
        <w:t xml:space="preserve">, regardless of partnership income, with or without some fairly simple limitations. </w:t>
      </w:r>
      <w:r w:rsidR="00C31C05">
        <w:t xml:space="preserve">These </w:t>
      </w:r>
      <w:r w:rsidR="001E48BA">
        <w:t xml:space="preserve">more common types of guaranteed payments would clearly meet the test under </w:t>
      </w:r>
      <w:r w:rsidR="0009473C">
        <w:t>existing standards—including the IRS proposed regulations discussed in Section II</w:t>
      </w:r>
      <w:r w:rsidR="00BC3425">
        <w:t xml:space="preserve"> a</w:t>
      </w:r>
      <w:r w:rsidR="0009473C">
        <w:t xml:space="preserve">bove. </w:t>
      </w:r>
    </w:p>
    <w:p w14:paraId="637E2060" w14:textId="783B8D58" w:rsidR="00A547EC" w:rsidRDefault="00725F97" w:rsidP="000B4244">
      <w:r>
        <w:t>A</w:t>
      </w:r>
      <w:r w:rsidR="00BC3425">
        <w:t>lso, a</w:t>
      </w:r>
      <w:r>
        <w:t xml:space="preserve">s noted in Section II above, </w:t>
      </w:r>
      <w:r w:rsidR="00C308AA">
        <w:t>guaranteed payments are sometimes treated less favorably from a tax standpoint—they are</w:t>
      </w:r>
      <w:r w:rsidR="005407D2">
        <w:t xml:space="preserve"> always ordinary income, they are</w:t>
      </w:r>
      <w:r w:rsidR="00C308AA">
        <w:t xml:space="preserve"> not included in the qualified income deduction under IRC § 199A, </w:t>
      </w:r>
      <w:r w:rsidR="005407D2">
        <w:t xml:space="preserve">and </w:t>
      </w:r>
      <w:r w:rsidR="00C308AA">
        <w:t xml:space="preserve">they are </w:t>
      </w:r>
      <w:r w:rsidR="005407D2">
        <w:t>subject to self-employment taxes in many cases.</w:t>
      </w:r>
      <w:r w:rsidR="007F4316">
        <w:t xml:space="preserve"> Therefore, it is also common for partnerships to seek</w:t>
      </w:r>
      <w:r w:rsidR="00F422A6">
        <w:t xml:space="preserve"> alternatives to guaranteed payments that may be treated more favorably</w:t>
      </w:r>
      <w:r w:rsidR="001871C7">
        <w:t xml:space="preserve">. </w:t>
      </w:r>
      <w:r w:rsidR="006A2786">
        <w:t>For example, the partnership may provide the use of property or other administrative support. The partnership may also provide non-taxable reimbursement of the partners</w:t>
      </w:r>
      <w:r w:rsidR="00F06EE2">
        <w:t>’</w:t>
      </w:r>
      <w:r w:rsidR="006A2786">
        <w:t xml:space="preserve"> costs in some circumstances. </w:t>
      </w:r>
    </w:p>
    <w:p w14:paraId="7ED255CE" w14:textId="14514382" w:rsidR="00F66DE7" w:rsidRDefault="00587539" w:rsidP="000B4244">
      <w:r>
        <w:t xml:space="preserve">But in cases where the </w:t>
      </w:r>
      <w:r w:rsidR="00090A5F">
        <w:t xml:space="preserve">partnership’s income is </w:t>
      </w:r>
      <w:r>
        <w:t xml:space="preserve">primarily </w:t>
      </w:r>
      <w:r w:rsidR="00090A5F">
        <w:t>from capital gains,</w:t>
      </w:r>
      <w:r w:rsidR="00F422A6">
        <w:t xml:space="preserve"> </w:t>
      </w:r>
      <w:r w:rsidR="000B3EDC">
        <w:t xml:space="preserve">the partnership </w:t>
      </w:r>
      <w:r>
        <w:t xml:space="preserve">will </w:t>
      </w:r>
      <w:r w:rsidR="00A547EC">
        <w:t xml:space="preserve">seek </w:t>
      </w:r>
      <w:r w:rsidR="00357F60">
        <w:t xml:space="preserve">alternatives that allow partners to apply this </w:t>
      </w:r>
      <w:r>
        <w:t xml:space="preserve">beneficial tax rate for amounts received, </w:t>
      </w:r>
      <w:r w:rsidR="00AE4BA8">
        <w:t xml:space="preserve">while still providing partners who do services for the partnership with an additional compensation for their efforts. </w:t>
      </w:r>
    </w:p>
    <w:p w14:paraId="3C8414CC" w14:textId="0C67E1D5" w:rsidR="000B4244" w:rsidRPr="000B4244" w:rsidRDefault="00C936B0" w:rsidP="000B4244">
      <w:r>
        <w:t>Partnerships</w:t>
      </w:r>
      <w:r w:rsidR="005C7497">
        <w:t xml:space="preserve"> may grant “profits interests” to partners, allowing them to share in partnership income without </w:t>
      </w:r>
      <w:r w:rsidR="005518AA">
        <w:t xml:space="preserve">providing capital contributions. Some arrangements also provide </w:t>
      </w:r>
      <w:r w:rsidR="00AC6234">
        <w:t xml:space="preserve">partners performing management services with the ability to waive some or all of </w:t>
      </w:r>
      <w:r>
        <w:t>a</w:t>
      </w:r>
      <w:r w:rsidR="00AC6234">
        <w:t xml:space="preserve"> guaranteed payment for an additional amount of allocated income</w:t>
      </w:r>
      <w:r w:rsidR="000B4244" w:rsidRPr="000B4244">
        <w:t>.</w:t>
      </w:r>
      <w:r w:rsidR="001E2801">
        <w:t xml:space="preserve"> These and other arrangements may also affect the tax results for other partners. </w:t>
      </w:r>
      <w:r w:rsidR="007A7526">
        <w:t>And there</w:t>
      </w:r>
      <w:r w:rsidR="00045C75">
        <w:t xml:space="preserve"> </w:t>
      </w:r>
      <w:r w:rsidR="00783849">
        <w:t xml:space="preserve">is </w:t>
      </w:r>
      <w:r w:rsidR="00045C75">
        <w:t xml:space="preserve">some uncertainty about how some of these alternatives are treated for tax purposes. </w:t>
      </w:r>
      <w:r w:rsidR="003E6273">
        <w:t xml:space="preserve">One question is whether any fee waived is still constructively received. </w:t>
      </w:r>
      <w:r w:rsidR="00CA6A20">
        <w:t xml:space="preserve">If so, this may convert that waived fee in lieu of an additional profits interest into a taxable exchange subject to </w:t>
      </w:r>
      <w:r w:rsidR="000B4244" w:rsidRPr="000B4244">
        <w:t>§707(a).</w:t>
      </w:r>
    </w:p>
    <w:p w14:paraId="53969D67" w14:textId="440E9D29" w:rsidR="000B4244" w:rsidRPr="000B4244" w:rsidRDefault="00C22F0C" w:rsidP="000B4244">
      <w:r>
        <w:t xml:space="preserve">Another alternative is to provide partners who perform management services with a priority </w:t>
      </w:r>
      <w:r w:rsidR="002E657F">
        <w:t>allocation—a special allocation entitling them to the first income from particular sources</w:t>
      </w:r>
      <w:r w:rsidR="002C4B6B">
        <w:t xml:space="preserve"> before the remainder is divided</w:t>
      </w:r>
      <w:r w:rsidR="002E657F">
        <w:t xml:space="preserve">. </w:t>
      </w:r>
      <w:r w:rsidR="00DC6E4F">
        <w:t xml:space="preserve">For partners that have made a capital contribution, this can take the place of a guaranteed payment for the use of capital. </w:t>
      </w:r>
      <w:r w:rsidR="00D16BFB">
        <w:t xml:space="preserve">These priority allocations can also be made during periods when the partnership has or expects certain profits. </w:t>
      </w:r>
      <w:r w:rsidR="00CB2006">
        <w:t xml:space="preserve">However, special allocations during periods when the partnership has net losses may be subject to re-characterization as guaranteed payments or payments subject to §707(a). </w:t>
      </w:r>
      <w:r w:rsidR="000B4244" w:rsidRPr="000B4244">
        <w:t xml:space="preserve">See Rev. Rul. 81-300, </w:t>
      </w:r>
      <w:r w:rsidR="00F80742">
        <w:t>superseded by</w:t>
      </w:r>
      <w:r w:rsidR="000B4244" w:rsidRPr="000B4244">
        <w:t xml:space="preserve"> REG-115452-14, 80 Fed. Reg. 43,652 (July 23, 2015)</w:t>
      </w:r>
      <w:r w:rsidR="003513EF">
        <w:t xml:space="preserve">, and </w:t>
      </w:r>
      <w:r w:rsidR="000B4244" w:rsidRPr="000B4244">
        <w:t>Rev. Proc. 93-27</w:t>
      </w:r>
      <w:r w:rsidR="003513EF">
        <w:t>.</w:t>
      </w:r>
      <w:r w:rsidR="008F1B53">
        <w:t xml:space="preserve"> (Discussed in Section II above.)</w:t>
      </w:r>
      <w:r w:rsidR="00B2115F">
        <w:t xml:space="preserve"> </w:t>
      </w:r>
      <w:r w:rsidR="00785CBA">
        <w:t xml:space="preserve"> </w:t>
      </w:r>
    </w:p>
    <w:p w14:paraId="26870E10" w14:textId="77777777" w:rsidR="000B4244" w:rsidRDefault="000B4244">
      <w:pPr>
        <w:spacing w:line="276" w:lineRule="auto"/>
        <w:jc w:val="left"/>
        <w:rPr>
          <w:rFonts w:asciiTheme="majorHAnsi" w:eastAsiaTheme="majorEastAsia" w:hAnsiTheme="majorHAnsi" w:cstheme="majorBidi"/>
          <w:b/>
          <w:smallCaps/>
          <w:color w:val="851C00" w:themeColor="accent6" w:themeShade="BF"/>
          <w:sz w:val="36"/>
          <w:szCs w:val="32"/>
        </w:rPr>
      </w:pPr>
      <w:bookmarkStart w:id="52" w:name="_Toc104209207"/>
      <w:r>
        <w:br w:type="page"/>
      </w:r>
    </w:p>
    <w:p w14:paraId="3A8D5F49" w14:textId="4AE7D017" w:rsidR="00D41BCB" w:rsidRPr="00D41BCB" w:rsidRDefault="00464AC0" w:rsidP="005937D6">
      <w:pPr>
        <w:pStyle w:val="Heading1"/>
      </w:pPr>
      <w:bookmarkStart w:id="53" w:name="_Toc153291170"/>
      <w:r>
        <w:lastRenderedPageBreak/>
        <w:t>IV</w:t>
      </w:r>
      <w:r w:rsidR="00446D41">
        <w:t xml:space="preserve">. </w:t>
      </w:r>
      <w:r w:rsidR="0004314D">
        <w:t xml:space="preserve">State </w:t>
      </w:r>
      <w:r w:rsidR="0056105E">
        <w:t xml:space="preserve">Sourcing </w:t>
      </w:r>
      <w:r w:rsidR="008A4C1F">
        <w:t xml:space="preserve"> and Related </w:t>
      </w:r>
      <w:r w:rsidR="00D41BCB" w:rsidRPr="00D41BCB">
        <w:t>Rules</w:t>
      </w:r>
      <w:bookmarkEnd w:id="52"/>
      <w:bookmarkEnd w:id="53"/>
    </w:p>
    <w:p w14:paraId="6315C918" w14:textId="1586008C" w:rsidR="00F91D7A" w:rsidRPr="00C46145" w:rsidRDefault="006B6DA4" w:rsidP="00C46145">
      <w:pPr>
        <w:jc w:val="center"/>
        <w:rPr>
          <w:rFonts w:eastAsia="Calibri" w:cs="Times New Roman"/>
          <w:i/>
          <w:iCs/>
          <w:sz w:val="18"/>
          <w:szCs w:val="20"/>
        </w:rPr>
      </w:pPr>
      <w:r w:rsidRPr="00C46145">
        <w:rPr>
          <w:rFonts w:eastAsia="Calibri" w:cs="Times New Roman"/>
          <w:i/>
          <w:iCs/>
          <w:sz w:val="18"/>
          <w:szCs w:val="20"/>
        </w:rPr>
        <w:t xml:space="preserve">Information in this section comes from </w:t>
      </w:r>
      <w:r w:rsidR="00CC23AE" w:rsidRPr="00C46145">
        <w:rPr>
          <w:rFonts w:eastAsia="Calibri" w:cs="Times New Roman"/>
          <w:i/>
          <w:iCs/>
          <w:sz w:val="18"/>
          <w:szCs w:val="20"/>
        </w:rPr>
        <w:t xml:space="preserve">state statutes, regulations, cases, </w:t>
      </w:r>
      <w:r w:rsidR="007E272D" w:rsidRPr="00C46145">
        <w:rPr>
          <w:rFonts w:eastAsia="Calibri" w:cs="Times New Roman"/>
          <w:i/>
          <w:iCs/>
          <w:sz w:val="18"/>
          <w:szCs w:val="20"/>
        </w:rPr>
        <w:t xml:space="preserve">form instructions, </w:t>
      </w:r>
      <w:r w:rsidR="00CC23AE" w:rsidRPr="00C46145">
        <w:rPr>
          <w:rFonts w:eastAsia="Calibri" w:cs="Times New Roman"/>
          <w:i/>
          <w:iCs/>
          <w:sz w:val="18"/>
          <w:szCs w:val="20"/>
        </w:rPr>
        <w:t>and guidance</w:t>
      </w:r>
      <w:r w:rsidR="00B24426">
        <w:rPr>
          <w:rFonts w:eastAsia="Calibri" w:cs="Times New Roman"/>
          <w:i/>
          <w:iCs/>
          <w:sz w:val="18"/>
          <w:szCs w:val="20"/>
        </w:rPr>
        <w:t xml:space="preserve"> as if the date of this draft. </w:t>
      </w:r>
      <w:r w:rsidR="00F91D7A" w:rsidRPr="00C46145">
        <w:rPr>
          <w:rFonts w:eastAsia="Calibri" w:cs="Times New Roman"/>
          <w:i/>
          <w:iCs/>
          <w:sz w:val="18"/>
          <w:szCs w:val="20"/>
        </w:rPr>
        <w:t xml:space="preserve">This </w:t>
      </w:r>
      <w:r w:rsidR="00C46145">
        <w:rPr>
          <w:rFonts w:eastAsia="Calibri" w:cs="Times New Roman"/>
          <w:i/>
          <w:iCs/>
          <w:sz w:val="18"/>
          <w:szCs w:val="20"/>
        </w:rPr>
        <w:t>information should not be</w:t>
      </w:r>
      <w:r w:rsidR="00F91D7A" w:rsidRPr="00C46145">
        <w:rPr>
          <w:rFonts w:eastAsia="Calibri" w:cs="Times New Roman"/>
          <w:i/>
          <w:iCs/>
          <w:sz w:val="18"/>
          <w:szCs w:val="20"/>
        </w:rPr>
        <w:t xml:space="preserve"> relied on as tax advice. For specific questions, </w:t>
      </w:r>
      <w:r w:rsidR="005A51A9">
        <w:rPr>
          <w:rFonts w:eastAsia="Calibri" w:cs="Times New Roman"/>
          <w:i/>
          <w:iCs/>
          <w:sz w:val="18"/>
          <w:szCs w:val="20"/>
        </w:rPr>
        <w:t xml:space="preserve">taxpayers should </w:t>
      </w:r>
      <w:r w:rsidR="00F91D7A" w:rsidRPr="00C46145">
        <w:rPr>
          <w:rFonts w:eastAsia="Calibri" w:cs="Times New Roman"/>
          <w:i/>
          <w:iCs/>
          <w:sz w:val="18"/>
          <w:szCs w:val="20"/>
        </w:rPr>
        <w:t xml:space="preserve">contact </w:t>
      </w:r>
      <w:r w:rsidR="005A51A9">
        <w:rPr>
          <w:rFonts w:eastAsia="Calibri" w:cs="Times New Roman"/>
          <w:i/>
          <w:iCs/>
          <w:sz w:val="18"/>
          <w:szCs w:val="20"/>
        </w:rPr>
        <w:br/>
      </w:r>
      <w:r w:rsidR="00F91D7A" w:rsidRPr="00C46145">
        <w:rPr>
          <w:rFonts w:eastAsia="Calibri" w:cs="Times New Roman"/>
          <w:i/>
          <w:iCs/>
          <w:sz w:val="18"/>
          <w:szCs w:val="20"/>
        </w:rPr>
        <w:t xml:space="preserve">the applicable state department of revenue </w:t>
      </w:r>
      <w:r w:rsidR="007F6056" w:rsidRPr="00C46145">
        <w:rPr>
          <w:rFonts w:eastAsia="Calibri" w:cs="Times New Roman"/>
          <w:i/>
          <w:iCs/>
          <w:sz w:val="18"/>
          <w:szCs w:val="20"/>
        </w:rPr>
        <w:t xml:space="preserve">or </w:t>
      </w:r>
      <w:r w:rsidR="005A51A9">
        <w:rPr>
          <w:rFonts w:eastAsia="Calibri" w:cs="Times New Roman"/>
          <w:i/>
          <w:iCs/>
          <w:sz w:val="18"/>
          <w:szCs w:val="20"/>
        </w:rPr>
        <w:t>their</w:t>
      </w:r>
      <w:r w:rsidR="007F6056" w:rsidRPr="00C46145">
        <w:rPr>
          <w:rFonts w:eastAsia="Calibri" w:cs="Times New Roman"/>
          <w:i/>
          <w:iCs/>
          <w:sz w:val="18"/>
          <w:szCs w:val="20"/>
        </w:rPr>
        <w:t xml:space="preserve"> </w:t>
      </w:r>
      <w:r w:rsidR="00F91D7A" w:rsidRPr="00C46145">
        <w:rPr>
          <w:rFonts w:eastAsia="Calibri" w:cs="Times New Roman"/>
          <w:i/>
          <w:iCs/>
          <w:sz w:val="18"/>
          <w:szCs w:val="20"/>
        </w:rPr>
        <w:t>tax advisor.</w:t>
      </w:r>
    </w:p>
    <w:p w14:paraId="78244FD6" w14:textId="23220B76" w:rsidR="00A471A0" w:rsidRPr="00A471A0" w:rsidRDefault="00A471A0" w:rsidP="00A471A0">
      <w:pPr>
        <w:rPr>
          <w:rFonts w:eastAsia="Calibri" w:cs="Times New Roman"/>
        </w:rPr>
      </w:pPr>
      <w:r w:rsidRPr="00A471A0">
        <w:rPr>
          <w:rFonts w:eastAsia="Calibri" w:cs="Times New Roman"/>
        </w:rPr>
        <w:t xml:space="preserve">Since the federal partnership rules do not address the </w:t>
      </w:r>
      <w:r w:rsidR="00A964C4">
        <w:rPr>
          <w:rFonts w:eastAsia="Calibri" w:cs="Times New Roman"/>
        </w:rPr>
        <w:t xml:space="preserve">state </w:t>
      </w:r>
      <w:r w:rsidRPr="00A471A0">
        <w:rPr>
          <w:rFonts w:eastAsia="Calibri" w:cs="Times New Roman"/>
        </w:rPr>
        <w:t xml:space="preserve">sourcing of guaranteed payments, </w:t>
      </w:r>
      <w:r w:rsidR="003A19B6">
        <w:rPr>
          <w:rFonts w:eastAsia="Calibri" w:cs="Times New Roman"/>
        </w:rPr>
        <w:t xml:space="preserve">and since it is not entirely clear which </w:t>
      </w:r>
      <w:r w:rsidR="00C33CE9">
        <w:rPr>
          <w:rFonts w:eastAsia="Calibri" w:cs="Times New Roman"/>
        </w:rPr>
        <w:t xml:space="preserve">of two general </w:t>
      </w:r>
      <w:r w:rsidR="003A19B6">
        <w:rPr>
          <w:rFonts w:eastAsia="Calibri" w:cs="Times New Roman"/>
        </w:rPr>
        <w:t>method</w:t>
      </w:r>
      <w:r w:rsidR="00C33CE9">
        <w:rPr>
          <w:rFonts w:eastAsia="Calibri" w:cs="Times New Roman"/>
        </w:rPr>
        <w:t>s</w:t>
      </w:r>
      <w:r w:rsidR="003A19B6">
        <w:rPr>
          <w:rFonts w:eastAsia="Calibri" w:cs="Times New Roman"/>
        </w:rPr>
        <w:t xml:space="preserve"> of sourcing </w:t>
      </w:r>
      <w:r w:rsidR="00C33CE9">
        <w:rPr>
          <w:rFonts w:eastAsia="Calibri" w:cs="Times New Roman"/>
        </w:rPr>
        <w:t>would be</w:t>
      </w:r>
      <w:r w:rsidR="003A19B6">
        <w:rPr>
          <w:rFonts w:eastAsia="Calibri" w:cs="Times New Roman"/>
        </w:rPr>
        <w:t xml:space="preserve"> most compatible with federal rules, </w:t>
      </w:r>
      <w:r w:rsidRPr="00A471A0">
        <w:rPr>
          <w:rFonts w:eastAsia="Calibri" w:cs="Times New Roman"/>
        </w:rPr>
        <w:t xml:space="preserve">state specific rules provide </w:t>
      </w:r>
      <w:r w:rsidR="00C33CE9">
        <w:rPr>
          <w:rFonts w:eastAsia="Calibri" w:cs="Times New Roman"/>
        </w:rPr>
        <w:t xml:space="preserve">necessary </w:t>
      </w:r>
      <w:r w:rsidRPr="00A471A0">
        <w:rPr>
          <w:rFonts w:eastAsia="Calibri" w:cs="Times New Roman"/>
        </w:rPr>
        <w:t>clarity. This section summarizes the rules in states that have addressed the sourcing of guaranteed payments</w:t>
      </w:r>
      <w:r w:rsidR="00F70E36">
        <w:rPr>
          <w:rFonts w:eastAsia="Calibri" w:cs="Times New Roman"/>
        </w:rPr>
        <w:t xml:space="preserve"> specifically</w:t>
      </w:r>
      <w:r w:rsidR="00634302">
        <w:rPr>
          <w:rFonts w:eastAsia="Calibri" w:cs="Times New Roman"/>
        </w:rPr>
        <w:t xml:space="preserve">. </w:t>
      </w:r>
      <w:r w:rsidR="00F70E36">
        <w:rPr>
          <w:rFonts w:eastAsia="Calibri" w:cs="Times New Roman"/>
        </w:rPr>
        <w:t>But r</w:t>
      </w:r>
      <w:r w:rsidR="005E3DC5">
        <w:rPr>
          <w:rFonts w:eastAsia="Calibri" w:cs="Times New Roman"/>
        </w:rPr>
        <w:t>oughly h</w:t>
      </w:r>
      <w:r w:rsidRPr="00A471A0">
        <w:rPr>
          <w:rFonts w:eastAsia="Calibri" w:cs="Times New Roman"/>
        </w:rPr>
        <w:t xml:space="preserve">alf the states have not yet explicitly addressed the sourcing of guaranteed payments. </w:t>
      </w:r>
    </w:p>
    <w:p w14:paraId="6BDF3354" w14:textId="0191E445" w:rsidR="00036D40" w:rsidRPr="00036D40" w:rsidRDefault="00036D40" w:rsidP="005D7A61">
      <w:pPr>
        <w:pStyle w:val="Heading2"/>
      </w:pPr>
      <w:bookmarkStart w:id="54" w:name="_Toc153291171"/>
      <w:bookmarkStart w:id="55" w:name="_Hlk132086685"/>
      <w:r w:rsidRPr="00036D40">
        <w:t>I</w:t>
      </w:r>
      <w:r w:rsidR="00464AC0">
        <w:t>V</w:t>
      </w:r>
      <w:r w:rsidRPr="00036D40">
        <w:t>. A.  Summary of Guaranteed Payment Issues Addressed by States</w:t>
      </w:r>
      <w:bookmarkEnd w:id="54"/>
      <w:r w:rsidRPr="00036D40">
        <w:t xml:space="preserve"> </w:t>
      </w:r>
    </w:p>
    <w:bookmarkEnd w:id="55"/>
    <w:p w14:paraId="0A2216A6" w14:textId="3232C6A3" w:rsidR="00A471A0" w:rsidRDefault="00A3152F" w:rsidP="00A471A0">
      <w:pPr>
        <w:rPr>
          <w:rFonts w:eastAsia="Calibri" w:cs="Times New Roman"/>
        </w:rPr>
      </w:pPr>
      <w:r>
        <w:rPr>
          <w:rFonts w:eastAsia="Calibri" w:cs="Times New Roman"/>
        </w:rPr>
        <w:t>S</w:t>
      </w:r>
      <w:r w:rsidR="00C02EAF" w:rsidRPr="00C02EAF">
        <w:rPr>
          <w:rFonts w:eastAsia="Calibri" w:cs="Times New Roman"/>
        </w:rPr>
        <w:t xml:space="preserve">tate </w:t>
      </w:r>
      <w:r>
        <w:rPr>
          <w:rFonts w:eastAsia="Calibri" w:cs="Times New Roman"/>
        </w:rPr>
        <w:t>guaranteed payment rules</w:t>
      </w:r>
      <w:r w:rsidR="00C02EAF" w:rsidRPr="00C02EAF">
        <w:rPr>
          <w:rFonts w:eastAsia="Calibri" w:cs="Times New Roman"/>
        </w:rPr>
        <w:t xml:space="preserve"> take varying approaches. This subsection I</w:t>
      </w:r>
      <w:r w:rsidR="00757A33">
        <w:rPr>
          <w:rFonts w:eastAsia="Calibri" w:cs="Times New Roman"/>
        </w:rPr>
        <w:t>V</w:t>
      </w:r>
      <w:r w:rsidR="00C02EAF" w:rsidRPr="00C02EAF">
        <w:rPr>
          <w:rFonts w:eastAsia="Calibri" w:cs="Times New Roman"/>
        </w:rPr>
        <w:t xml:space="preserve">. A. summarizes the issues states can address in </w:t>
      </w:r>
      <w:r w:rsidR="00B25BF7">
        <w:rPr>
          <w:rFonts w:eastAsia="Calibri" w:cs="Times New Roman"/>
        </w:rPr>
        <w:t xml:space="preserve">their </w:t>
      </w:r>
      <w:r w:rsidR="00C02EAF" w:rsidRPr="00C02EAF">
        <w:rPr>
          <w:rFonts w:eastAsia="Calibri" w:cs="Times New Roman"/>
        </w:rPr>
        <w:t>guaranteed payments rules and analyzes the current status of state rules on these issues. The specific state provisions are set forth in Section I</w:t>
      </w:r>
      <w:r w:rsidR="00F978A5">
        <w:rPr>
          <w:rFonts w:eastAsia="Calibri" w:cs="Times New Roman"/>
        </w:rPr>
        <w:t>V</w:t>
      </w:r>
      <w:r w:rsidR="00C02EAF" w:rsidRPr="00C02EAF">
        <w:rPr>
          <w:rFonts w:eastAsia="Calibri" w:cs="Times New Roman"/>
        </w:rPr>
        <w:t>. B. below.</w:t>
      </w:r>
    </w:p>
    <w:p w14:paraId="512047DF" w14:textId="71ECBB18" w:rsidR="005773A1" w:rsidRPr="005773A1" w:rsidRDefault="005773A1" w:rsidP="005E0F6E">
      <w:pPr>
        <w:pStyle w:val="Heading4"/>
        <w:pBdr>
          <w:bottom w:val="single" w:sz="4" w:space="1" w:color="auto"/>
        </w:pBdr>
        <w:ind w:left="720"/>
      </w:pPr>
      <w:r w:rsidRPr="005773A1">
        <w:t xml:space="preserve">Are </w:t>
      </w:r>
      <w:r w:rsidR="002E0B91">
        <w:t>g</w:t>
      </w:r>
      <w:r w:rsidRPr="005773A1">
        <w:t xml:space="preserve">uaranteed </w:t>
      </w:r>
      <w:r w:rsidR="002E0B91">
        <w:t>p</w:t>
      </w:r>
      <w:r w:rsidRPr="005773A1">
        <w:t xml:space="preserve">ayments for </w:t>
      </w:r>
      <w:r w:rsidR="002E0B91">
        <w:t>s</w:t>
      </w:r>
      <w:r w:rsidRPr="005773A1">
        <w:t xml:space="preserve">ervices </w:t>
      </w:r>
      <w:r w:rsidR="002E0B91">
        <w:t>g</w:t>
      </w:r>
      <w:r w:rsidRPr="005773A1">
        <w:t xml:space="preserve">enerally </w:t>
      </w:r>
      <w:r w:rsidR="002E0B91">
        <w:t>s</w:t>
      </w:r>
      <w:r w:rsidRPr="005773A1">
        <w:t xml:space="preserve">ourced the </w:t>
      </w:r>
      <w:r w:rsidR="002E0B91">
        <w:t>s</w:t>
      </w:r>
      <w:r w:rsidRPr="005773A1">
        <w:t xml:space="preserve">ame as </w:t>
      </w:r>
      <w:r w:rsidR="002E0B91">
        <w:t>d</w:t>
      </w:r>
      <w:r w:rsidRPr="005773A1">
        <w:t xml:space="preserve">istributive </w:t>
      </w:r>
      <w:r w:rsidR="002E0B91">
        <w:t>s</w:t>
      </w:r>
      <w:r w:rsidRPr="005773A1">
        <w:t>hare?</w:t>
      </w:r>
    </w:p>
    <w:p w14:paraId="0063FF7F" w14:textId="6126AA1F" w:rsidR="00CA31DD" w:rsidRDefault="005773A1" w:rsidP="000C5BDA">
      <w:pPr>
        <w:spacing w:before="240" w:after="240"/>
        <w:ind w:left="720"/>
        <w:rPr>
          <w:rFonts w:eastAsia="Calibri" w:cs="Times New Roman"/>
        </w:rPr>
      </w:pPr>
      <w:r w:rsidRPr="005773A1">
        <w:rPr>
          <w:rFonts w:eastAsia="Calibri" w:cs="Times New Roman"/>
        </w:rPr>
        <w:t xml:space="preserve">Twenty-one (21) states have rules indicating that guaranteed payments </w:t>
      </w:r>
      <w:r w:rsidR="00C80270">
        <w:rPr>
          <w:rFonts w:eastAsia="Calibri" w:cs="Times New Roman"/>
        </w:rPr>
        <w:t>paid to</w:t>
      </w:r>
      <w:r w:rsidRPr="005773A1">
        <w:rPr>
          <w:rFonts w:eastAsia="Calibri" w:cs="Times New Roman"/>
        </w:rPr>
        <w:t xml:space="preserve"> individual</w:t>
      </w:r>
      <w:r w:rsidR="00C80270">
        <w:rPr>
          <w:rFonts w:eastAsia="Calibri" w:cs="Times New Roman"/>
        </w:rPr>
        <w:t>s for</w:t>
      </w:r>
      <w:r w:rsidRPr="005773A1">
        <w:rPr>
          <w:rFonts w:eastAsia="Calibri" w:cs="Times New Roman"/>
        </w:rPr>
        <w:t xml:space="preserve"> services are</w:t>
      </w:r>
      <w:r w:rsidR="00AA4A1A">
        <w:rPr>
          <w:rFonts w:eastAsia="Calibri" w:cs="Times New Roman"/>
        </w:rPr>
        <w:t xml:space="preserve"> generally</w:t>
      </w:r>
      <w:r w:rsidRPr="005773A1">
        <w:rPr>
          <w:rFonts w:eastAsia="Calibri" w:cs="Times New Roman"/>
        </w:rPr>
        <w:t xml:space="preserve"> sourced the same as distributive share (Alabama, California, Georgia, Illinois, Maine, Maryland, Massachusetts, Minnesota, Mississippi, Missouri, Nebraska, New Jersey, New York, North Carolina, Ohio, Oregon, Pennsylvania, Rhode Island, Utah, Vermont, and West Virginia).</w:t>
      </w:r>
    </w:p>
    <w:p w14:paraId="317456E7" w14:textId="2A9CC892" w:rsidR="00FE4C13" w:rsidRPr="00FE4C13" w:rsidRDefault="002E0B91" w:rsidP="005E0F6E">
      <w:pPr>
        <w:pStyle w:val="Heading4"/>
        <w:pBdr>
          <w:bottom w:val="single" w:sz="4" w:space="1" w:color="auto"/>
        </w:pBdr>
        <w:ind w:left="720"/>
      </w:pPr>
      <w:r w:rsidRPr="00FE4C13">
        <w:t>If guaranteed payments for services are not sourced the same as distributive share, how are they sourced?</w:t>
      </w:r>
    </w:p>
    <w:p w14:paraId="5736ACEA" w14:textId="34862103" w:rsidR="00FE4C13" w:rsidRDefault="00FE4C13" w:rsidP="000C5BDA">
      <w:pPr>
        <w:spacing w:before="240" w:after="240"/>
        <w:ind w:left="720"/>
        <w:rPr>
          <w:rFonts w:eastAsia="Calibri" w:cs="Times New Roman"/>
        </w:rPr>
      </w:pPr>
      <w:r w:rsidRPr="00FE4C13">
        <w:rPr>
          <w:rFonts w:eastAsia="Calibri" w:cs="Times New Roman"/>
        </w:rPr>
        <w:t>Six (6) states source guaranteed payments for services where the individual services are performed (Colorado, Michigan, Montana, New Mexico, South Carolina, and Virginia). Two (2) states use a hybrid approach for the sourcing of guaranteed payments for services</w:t>
      </w:r>
      <w:r w:rsidR="006136DF">
        <w:rPr>
          <w:rFonts w:eastAsia="Calibri" w:cs="Times New Roman"/>
        </w:rPr>
        <w:t xml:space="preserve"> </w:t>
      </w:r>
      <w:r w:rsidR="006136DF" w:rsidRPr="00FE4C13">
        <w:rPr>
          <w:rFonts w:eastAsia="Calibri" w:cs="Times New Roman"/>
        </w:rPr>
        <w:t>(Idaho and North Dakota)</w:t>
      </w:r>
      <w:r w:rsidRPr="00FE4C13">
        <w:rPr>
          <w:rFonts w:eastAsia="Calibri" w:cs="Times New Roman"/>
        </w:rPr>
        <w:t xml:space="preserve">. Idaho sources the first $250,000 of a guaranteed payment to an individual partner as compensation for services, and any amount in excess of that is sourced like distributive share based upon the Idaho apportionment factor </w:t>
      </w:r>
      <w:r w:rsidR="00F11718">
        <w:rPr>
          <w:rFonts w:eastAsia="Calibri" w:cs="Times New Roman"/>
        </w:rPr>
        <w:t>for</w:t>
      </w:r>
      <w:r w:rsidRPr="00FE4C13">
        <w:rPr>
          <w:rFonts w:eastAsia="Calibri" w:cs="Times New Roman"/>
        </w:rPr>
        <w:t xml:space="preserve"> the partnership. The $250,000 amount is indexed annually for inflation. North Dakota sources guaranteed payments for services as distributive share, except for professional service partnerships w</w:t>
      </w:r>
      <w:r w:rsidR="000A331F">
        <w:rPr>
          <w:rFonts w:eastAsia="Calibri" w:cs="Times New Roman"/>
        </w:rPr>
        <w:t xml:space="preserve">here guaranteed payments are </w:t>
      </w:r>
      <w:r w:rsidRPr="00FE4C13">
        <w:rPr>
          <w:rFonts w:eastAsia="Calibri" w:cs="Times New Roman"/>
        </w:rPr>
        <w:t>source</w:t>
      </w:r>
      <w:r w:rsidR="00600614">
        <w:rPr>
          <w:rFonts w:eastAsia="Calibri" w:cs="Times New Roman"/>
        </w:rPr>
        <w:t>d</w:t>
      </w:r>
      <w:r w:rsidRPr="00FE4C13">
        <w:rPr>
          <w:rFonts w:eastAsia="Calibri" w:cs="Times New Roman"/>
        </w:rPr>
        <w:t xml:space="preserve"> </w:t>
      </w:r>
      <w:r w:rsidR="008F0DE7">
        <w:rPr>
          <w:rFonts w:eastAsia="Calibri" w:cs="Times New Roman"/>
        </w:rPr>
        <w:t xml:space="preserve">as compensation </w:t>
      </w:r>
      <w:r w:rsidR="00C450E4">
        <w:rPr>
          <w:rFonts w:eastAsia="Calibri" w:cs="Times New Roman"/>
        </w:rPr>
        <w:t>in an amount</w:t>
      </w:r>
      <w:r w:rsidRPr="00FE4C13">
        <w:rPr>
          <w:rFonts w:eastAsia="Calibri" w:cs="Times New Roman"/>
        </w:rPr>
        <w:t xml:space="preserve"> attributable to a reasonable salary</w:t>
      </w:r>
      <w:r w:rsidR="008F0DE7">
        <w:rPr>
          <w:rFonts w:eastAsia="Calibri" w:cs="Times New Roman"/>
        </w:rPr>
        <w:t>.</w:t>
      </w:r>
    </w:p>
    <w:p w14:paraId="7051F4E6" w14:textId="3FC73AC3" w:rsidR="0015055E" w:rsidRPr="00FE4C13" w:rsidRDefault="0015055E" w:rsidP="000C5BDA">
      <w:pPr>
        <w:spacing w:before="240" w:after="240"/>
        <w:ind w:left="720"/>
        <w:rPr>
          <w:rFonts w:eastAsia="Calibri" w:cs="Times New Roman"/>
        </w:rPr>
      </w:pPr>
      <w:r w:rsidRPr="0015055E">
        <w:rPr>
          <w:rFonts w:eastAsia="Calibri" w:cs="Times New Roman"/>
        </w:rPr>
        <w:t>Note that while this white paper does not address the sourcing of guaranteed payments for the use of capital, it appears that</w:t>
      </w:r>
      <w:r w:rsidR="0092280E">
        <w:rPr>
          <w:rFonts w:eastAsia="Calibri" w:cs="Times New Roman"/>
        </w:rPr>
        <w:t>, to the extent states have addressed their sourcing,</w:t>
      </w:r>
      <w:r w:rsidRPr="0015055E">
        <w:rPr>
          <w:rFonts w:eastAsia="Calibri" w:cs="Times New Roman"/>
        </w:rPr>
        <w:t xml:space="preserve"> </w:t>
      </w:r>
      <w:r w:rsidRPr="000F64E5">
        <w:rPr>
          <w:rFonts w:eastAsia="Calibri" w:cs="Times New Roman"/>
        </w:rPr>
        <w:t xml:space="preserve">Michigan and Pennsylvania </w:t>
      </w:r>
      <w:r w:rsidR="008F4257">
        <w:rPr>
          <w:rFonts w:eastAsia="Calibri" w:cs="Times New Roman"/>
        </w:rPr>
        <w:t xml:space="preserve">source </w:t>
      </w:r>
      <w:r w:rsidR="0092280E">
        <w:rPr>
          <w:rFonts w:eastAsia="Calibri" w:cs="Times New Roman"/>
        </w:rPr>
        <w:t xml:space="preserve">them </w:t>
      </w:r>
      <w:r w:rsidRPr="000F64E5">
        <w:rPr>
          <w:rFonts w:eastAsia="Calibri" w:cs="Times New Roman"/>
        </w:rPr>
        <w:t>based on domicile</w:t>
      </w:r>
      <w:r w:rsidR="0092280E">
        <w:rPr>
          <w:rFonts w:eastAsia="Calibri" w:cs="Times New Roman"/>
        </w:rPr>
        <w:t xml:space="preserve">, Colorado </w:t>
      </w:r>
      <w:r w:rsidRPr="000F64E5">
        <w:rPr>
          <w:rFonts w:eastAsia="Calibri" w:cs="Times New Roman"/>
        </w:rPr>
        <w:t>allocate</w:t>
      </w:r>
      <w:r w:rsidR="0092280E">
        <w:rPr>
          <w:rFonts w:eastAsia="Calibri" w:cs="Times New Roman"/>
        </w:rPr>
        <w:t>s</w:t>
      </w:r>
      <w:r w:rsidRPr="000F64E5">
        <w:rPr>
          <w:rFonts w:eastAsia="Calibri" w:cs="Times New Roman"/>
        </w:rPr>
        <w:t xml:space="preserve"> or apportion</w:t>
      </w:r>
      <w:r w:rsidR="0092280E">
        <w:rPr>
          <w:rFonts w:eastAsia="Calibri" w:cs="Times New Roman"/>
        </w:rPr>
        <w:t>s</w:t>
      </w:r>
      <w:r w:rsidRPr="000F64E5">
        <w:rPr>
          <w:rFonts w:eastAsia="Calibri" w:cs="Times New Roman"/>
        </w:rPr>
        <w:t xml:space="preserve"> </w:t>
      </w:r>
      <w:r w:rsidR="0092280E">
        <w:rPr>
          <w:rFonts w:eastAsia="Calibri" w:cs="Times New Roman"/>
        </w:rPr>
        <w:t xml:space="preserve">them </w:t>
      </w:r>
      <w:r w:rsidRPr="000F64E5">
        <w:rPr>
          <w:rFonts w:eastAsia="Calibri" w:cs="Times New Roman"/>
        </w:rPr>
        <w:t>based on the income-generating activity</w:t>
      </w:r>
      <w:r w:rsidR="0092280E">
        <w:rPr>
          <w:rFonts w:eastAsia="Calibri" w:cs="Times New Roman"/>
        </w:rPr>
        <w:t>, and twenty states generally source these payments the same as distributive share.</w:t>
      </w:r>
      <w:r w:rsidR="0092280E">
        <w:rPr>
          <w:rStyle w:val="FootnoteReference"/>
          <w:rFonts w:eastAsia="Calibri" w:cs="Times New Roman"/>
        </w:rPr>
        <w:footnoteReference w:id="20"/>
      </w:r>
      <w:r w:rsidR="0092280E">
        <w:rPr>
          <w:rFonts w:eastAsia="Calibri" w:cs="Times New Roman"/>
        </w:rPr>
        <w:t xml:space="preserve"> </w:t>
      </w:r>
    </w:p>
    <w:p w14:paraId="67947468" w14:textId="3205C6FE" w:rsidR="00FE4C13" w:rsidRPr="00FE4C13" w:rsidRDefault="002E0B91" w:rsidP="005E0F6E">
      <w:pPr>
        <w:pStyle w:val="Heading4"/>
        <w:pBdr>
          <w:bottom w:val="single" w:sz="4" w:space="1" w:color="auto"/>
        </w:pBdr>
        <w:ind w:left="720"/>
      </w:pPr>
      <w:r>
        <w:t>A</w:t>
      </w:r>
      <w:r w:rsidRPr="00FE4C13">
        <w:t>re there any rules limiting the sourcing for guaranteed payments for services?</w:t>
      </w:r>
    </w:p>
    <w:p w14:paraId="4542AD19" w14:textId="13830725" w:rsidR="00FE4C13" w:rsidRPr="00FE4C13" w:rsidRDefault="00647FC0" w:rsidP="000C5BDA">
      <w:pPr>
        <w:spacing w:before="240" w:after="240"/>
        <w:ind w:left="720"/>
        <w:rPr>
          <w:rFonts w:eastAsia="Calibri" w:cs="Times New Roman"/>
        </w:rPr>
      </w:pPr>
      <w:r>
        <w:rPr>
          <w:rFonts w:eastAsia="Calibri" w:cs="Times New Roman"/>
        </w:rPr>
        <w:t xml:space="preserve">As noted in Section II above, </w:t>
      </w:r>
      <w:r w:rsidRPr="00FE4C13">
        <w:rPr>
          <w:rFonts w:eastAsia="Calibri" w:cs="Times New Roman"/>
        </w:rPr>
        <w:t>4 U.S.C. § 114 provides that “[n]o State may impose an income tax on any retirement income of an individual who is not a resident or domiciliary of such State.”</w:t>
      </w:r>
      <w:r>
        <w:rPr>
          <w:rFonts w:eastAsia="Calibri" w:cs="Times New Roman"/>
        </w:rPr>
        <w:t xml:space="preserve"> This applies to guaranteed payments made to retired partners. </w:t>
      </w:r>
      <w:r w:rsidR="00FE4C13" w:rsidRPr="00FE4C13">
        <w:rPr>
          <w:rFonts w:eastAsia="Calibri" w:cs="Times New Roman"/>
        </w:rPr>
        <w:t xml:space="preserve">Four (4) states have specific sourcing rules </w:t>
      </w:r>
      <w:r>
        <w:rPr>
          <w:rFonts w:eastAsia="Calibri" w:cs="Times New Roman"/>
        </w:rPr>
        <w:t xml:space="preserve">addressing </w:t>
      </w:r>
      <w:r w:rsidR="00FE4C13" w:rsidRPr="00FE4C13">
        <w:rPr>
          <w:rFonts w:eastAsia="Calibri" w:cs="Times New Roman"/>
        </w:rPr>
        <w:t xml:space="preserve">guaranteed payments </w:t>
      </w:r>
      <w:r w:rsidR="00355EBE">
        <w:rPr>
          <w:rFonts w:eastAsia="Calibri" w:cs="Times New Roman"/>
        </w:rPr>
        <w:t>made to</w:t>
      </w:r>
      <w:r w:rsidR="00FE4C13" w:rsidRPr="00FE4C13">
        <w:rPr>
          <w:rFonts w:eastAsia="Calibri" w:cs="Times New Roman"/>
        </w:rPr>
        <w:t xml:space="preserve"> retired partners (Idaho, Montana, New Jersey, and Pennsylvania). </w:t>
      </w:r>
    </w:p>
    <w:p w14:paraId="29F76077" w14:textId="0F7D283E" w:rsidR="00FE4C13" w:rsidRPr="00FE4C13" w:rsidRDefault="002E0B91" w:rsidP="005E0F6E">
      <w:pPr>
        <w:pStyle w:val="Heading4"/>
        <w:pBdr>
          <w:bottom w:val="single" w:sz="4" w:space="1" w:color="auto"/>
        </w:pBdr>
        <w:ind w:left="720"/>
      </w:pPr>
      <w:r>
        <w:lastRenderedPageBreak/>
        <w:t>A</w:t>
      </w:r>
      <w:r w:rsidRPr="00FE4C13">
        <w:t>re guaranteed payments for services included in the payroll factor?</w:t>
      </w:r>
    </w:p>
    <w:p w14:paraId="123C7A8B" w14:textId="1671B812" w:rsidR="00FE4C13" w:rsidRPr="00FE4C13" w:rsidRDefault="00B24426" w:rsidP="000C5BDA">
      <w:pPr>
        <w:spacing w:before="240" w:after="240"/>
        <w:ind w:left="720"/>
        <w:rPr>
          <w:rFonts w:eastAsia="Calibri" w:cs="Times New Roman"/>
        </w:rPr>
      </w:pPr>
      <w:r>
        <w:rPr>
          <w:rFonts w:eastAsia="Calibri" w:cs="Times New Roman"/>
        </w:rPr>
        <w:t>Traditionally, states apportioned business income using a formula that included sales, property, and payroll factors—that is—ratios of in-state sales, property, and payroll to the totals both in and outside of the state. Today, most</w:t>
      </w:r>
      <w:r w:rsidR="00FE4C13" w:rsidRPr="00FE4C13">
        <w:rPr>
          <w:rFonts w:eastAsia="Calibri" w:cs="Times New Roman"/>
        </w:rPr>
        <w:t xml:space="preserve"> states either do not have a payroll factor or do not have a provision specifically addressing how guaranteed payments for services should be treated for purposes of the payroll factor. However, </w:t>
      </w:r>
      <w:r w:rsidR="00F703F2">
        <w:rPr>
          <w:rFonts w:eastAsia="Calibri" w:cs="Times New Roman"/>
        </w:rPr>
        <w:t xml:space="preserve">for periods when they used a payroll factor, </w:t>
      </w:r>
      <w:r w:rsidR="00FE4C13" w:rsidRPr="00FE4C13">
        <w:rPr>
          <w:rFonts w:eastAsia="Calibri" w:cs="Times New Roman"/>
        </w:rPr>
        <w:t xml:space="preserve">California </w:t>
      </w:r>
      <w:r w:rsidR="00F703F2">
        <w:rPr>
          <w:rFonts w:eastAsia="Calibri" w:cs="Times New Roman"/>
        </w:rPr>
        <w:t>appli</w:t>
      </w:r>
      <w:r w:rsidR="008F4257">
        <w:rPr>
          <w:rFonts w:eastAsia="Calibri" w:cs="Times New Roman"/>
        </w:rPr>
        <w:t>ed</w:t>
      </w:r>
      <w:r w:rsidR="00F703F2">
        <w:rPr>
          <w:rFonts w:eastAsia="Calibri" w:cs="Times New Roman"/>
        </w:rPr>
        <w:t xml:space="preserve"> a</w:t>
      </w:r>
      <w:r w:rsidR="00FE4C13" w:rsidRPr="00FE4C13">
        <w:rPr>
          <w:rFonts w:eastAsia="Calibri" w:cs="Times New Roman"/>
        </w:rPr>
        <w:t xml:space="preserve"> special payroll factor rule for guaranteed payments </w:t>
      </w:r>
      <w:r w:rsidR="00C24D9E">
        <w:rPr>
          <w:rFonts w:eastAsia="Calibri" w:cs="Times New Roman"/>
        </w:rPr>
        <w:t xml:space="preserve">made </w:t>
      </w:r>
      <w:r w:rsidR="00FE4C13" w:rsidRPr="00FE4C13">
        <w:rPr>
          <w:rFonts w:eastAsia="Calibri" w:cs="Times New Roman"/>
        </w:rPr>
        <w:t xml:space="preserve">to a partner who renders professional services to a partnership engaged in the practice of a profession. Oregon also has a rule including certain guaranteed payments representing compensation </w:t>
      </w:r>
      <w:r w:rsidR="0032144B">
        <w:rPr>
          <w:rFonts w:eastAsia="Calibri" w:cs="Times New Roman"/>
        </w:rPr>
        <w:t xml:space="preserve">for </w:t>
      </w:r>
      <w:r w:rsidR="00FE4C13" w:rsidRPr="00FE4C13">
        <w:rPr>
          <w:rFonts w:eastAsia="Calibri" w:cs="Times New Roman"/>
        </w:rPr>
        <w:t xml:space="preserve">services for payroll factor purposes. </w:t>
      </w:r>
    </w:p>
    <w:p w14:paraId="03959F79" w14:textId="6EDA2EE7" w:rsidR="002D1208" w:rsidRPr="002D1208" w:rsidRDefault="00EB2201" w:rsidP="002D1208">
      <w:pPr>
        <w:keepNext/>
        <w:keepLines/>
        <w:pBdr>
          <w:bottom w:val="single" w:sz="4" w:space="1" w:color="auto"/>
        </w:pBdr>
        <w:spacing w:before="160" w:after="80"/>
        <w:ind w:left="720"/>
        <w:outlineLvl w:val="3"/>
        <w:rPr>
          <w:rFonts w:asciiTheme="majorHAnsi" w:eastAsiaTheme="majorEastAsia" w:hAnsiTheme="majorHAnsi" w:cstheme="majorBidi"/>
          <w:iCs/>
          <w:color w:val="851C00" w:themeColor="accent6" w:themeShade="BF"/>
        </w:rPr>
      </w:pPr>
      <w:r>
        <w:rPr>
          <w:rFonts w:asciiTheme="majorHAnsi" w:eastAsiaTheme="majorEastAsia" w:hAnsiTheme="majorHAnsi" w:cstheme="majorBidi"/>
          <w:iCs/>
          <w:color w:val="851C00" w:themeColor="accent6" w:themeShade="BF"/>
        </w:rPr>
        <w:t>If</w:t>
      </w:r>
      <w:r w:rsidR="002D1208" w:rsidRPr="002D1208">
        <w:rPr>
          <w:rFonts w:asciiTheme="majorHAnsi" w:eastAsiaTheme="majorEastAsia" w:hAnsiTheme="majorHAnsi" w:cstheme="majorBidi"/>
          <w:iCs/>
          <w:color w:val="851C00" w:themeColor="accent6" w:themeShade="BF"/>
        </w:rPr>
        <w:t xml:space="preserve"> guaranteed payments </w:t>
      </w:r>
      <w:r>
        <w:rPr>
          <w:rFonts w:asciiTheme="majorHAnsi" w:eastAsiaTheme="majorEastAsia" w:hAnsiTheme="majorHAnsi" w:cstheme="majorBidi"/>
          <w:iCs/>
          <w:color w:val="851C00" w:themeColor="accent6" w:themeShade="BF"/>
        </w:rPr>
        <w:t xml:space="preserve">are included in </w:t>
      </w:r>
      <w:r w:rsidR="002D1208" w:rsidRPr="002D1208">
        <w:rPr>
          <w:rFonts w:asciiTheme="majorHAnsi" w:eastAsiaTheme="majorEastAsia" w:hAnsiTheme="majorHAnsi" w:cstheme="majorBidi"/>
          <w:iCs/>
          <w:color w:val="851C00" w:themeColor="accent6" w:themeShade="BF"/>
        </w:rPr>
        <w:t>pass-through entity tax</w:t>
      </w:r>
      <w:r>
        <w:rPr>
          <w:rFonts w:asciiTheme="majorHAnsi" w:eastAsiaTheme="majorEastAsia" w:hAnsiTheme="majorHAnsi" w:cstheme="majorBidi"/>
          <w:iCs/>
          <w:color w:val="851C00" w:themeColor="accent6" w:themeShade="BF"/>
        </w:rPr>
        <w:t>es</w:t>
      </w:r>
      <w:r w:rsidR="002D1208" w:rsidRPr="002D1208">
        <w:rPr>
          <w:rFonts w:asciiTheme="majorHAnsi" w:eastAsiaTheme="majorEastAsia" w:hAnsiTheme="majorHAnsi" w:cstheme="majorBidi"/>
          <w:iCs/>
          <w:color w:val="851C00" w:themeColor="accent6" w:themeShade="BF"/>
        </w:rPr>
        <w:t xml:space="preserve"> </w:t>
      </w:r>
      <w:r>
        <w:rPr>
          <w:rFonts w:asciiTheme="majorHAnsi" w:eastAsiaTheme="majorEastAsia" w:hAnsiTheme="majorHAnsi" w:cstheme="majorBidi"/>
          <w:iCs/>
          <w:color w:val="851C00" w:themeColor="accent6" w:themeShade="BF"/>
        </w:rPr>
        <w:t>are they sourced in the same manner as if reported by partners</w:t>
      </w:r>
      <w:r w:rsidR="002D1208" w:rsidRPr="002D1208">
        <w:rPr>
          <w:rFonts w:asciiTheme="majorHAnsi" w:eastAsiaTheme="majorEastAsia" w:hAnsiTheme="majorHAnsi" w:cstheme="majorBidi"/>
          <w:iCs/>
          <w:color w:val="851C00" w:themeColor="accent6" w:themeShade="BF"/>
        </w:rPr>
        <w:t xml:space="preserve">? </w:t>
      </w:r>
    </w:p>
    <w:p w14:paraId="1E138BB3" w14:textId="6D7C81A6" w:rsidR="002D1208" w:rsidRPr="002D1208" w:rsidRDefault="00352D1C" w:rsidP="002D1208">
      <w:pPr>
        <w:spacing w:before="240"/>
        <w:ind w:left="720"/>
        <w:rPr>
          <w:rFonts w:eastAsia="Calibri" w:cs="Times New Roman"/>
        </w:rPr>
      </w:pPr>
      <w:r>
        <w:rPr>
          <w:rFonts w:eastAsia="Calibri" w:cs="Times New Roman"/>
        </w:rPr>
        <w:t xml:space="preserve">As of August 2023, </w:t>
      </w:r>
      <w:r w:rsidR="002D1208" w:rsidRPr="002D1208">
        <w:rPr>
          <w:rFonts w:eastAsia="Calibri" w:cs="Times New Roman"/>
        </w:rPr>
        <w:t xml:space="preserve">sixteen (16) states </w:t>
      </w:r>
      <w:r w:rsidR="00DA1F5F">
        <w:rPr>
          <w:rFonts w:eastAsia="Calibri" w:cs="Times New Roman"/>
        </w:rPr>
        <w:t xml:space="preserve">that have enacted pass-through entity taxes </w:t>
      </w:r>
      <w:r w:rsidR="002D1208" w:rsidRPr="002D1208">
        <w:rPr>
          <w:rFonts w:eastAsia="Calibri" w:cs="Times New Roman"/>
        </w:rPr>
        <w:t>have addressed whether guaranteed payments are included or excluded from the entity</w:t>
      </w:r>
      <w:r w:rsidR="00DA1F5F">
        <w:rPr>
          <w:rFonts w:eastAsia="Calibri" w:cs="Times New Roman"/>
        </w:rPr>
        <w:t>’s</w:t>
      </w:r>
      <w:r w:rsidR="002D1208" w:rsidRPr="002D1208">
        <w:rPr>
          <w:rFonts w:eastAsia="Calibri" w:cs="Times New Roman"/>
        </w:rPr>
        <w:t xml:space="preserve"> tax base (Alabama, California, Connecticut, Kansas, Maryland, Massachusetts, Michigan, New Jersey, New Mexico, New York, North Carolina, Oregon, Rhode Island, South Carolina, Virginia, and Wisconsin). </w:t>
      </w:r>
      <w:r w:rsidR="008973F8">
        <w:rPr>
          <w:rFonts w:eastAsia="Calibri" w:cs="Times New Roman"/>
        </w:rPr>
        <w:t>O</w:t>
      </w:r>
      <w:r w:rsidR="002D1208" w:rsidRPr="002D1208">
        <w:rPr>
          <w:rFonts w:eastAsia="Calibri" w:cs="Times New Roman"/>
        </w:rPr>
        <w:t xml:space="preserve">ther states with pass-through entity taxes do not address guaranteed payments. </w:t>
      </w:r>
    </w:p>
    <w:p w14:paraId="6EE301FB" w14:textId="77777777" w:rsidR="002D1208" w:rsidRPr="002D1208" w:rsidRDefault="002D1208" w:rsidP="002D1208">
      <w:pPr>
        <w:ind w:left="720"/>
        <w:rPr>
          <w:rFonts w:eastAsia="Calibri" w:cs="Times New Roman"/>
        </w:rPr>
      </w:pPr>
      <w:r w:rsidRPr="002D1208">
        <w:rPr>
          <w:rFonts w:eastAsia="Calibri" w:cs="Times New Roman"/>
        </w:rPr>
        <w:t xml:space="preserve">If the pass-through entity tax base is apportioned and the guaranteed payment is included in the base, presumably  guaranteed payments would be sourced the same as distributive share. For instance, Alabama has a pass-through entity tax rule stating that taxable income includes guaranteed payments and that taxable income is apportioned. </w:t>
      </w:r>
    </w:p>
    <w:p w14:paraId="15CFDD9E" w14:textId="16DC3AC1" w:rsidR="002D1208" w:rsidRPr="002D1208" w:rsidRDefault="002D1208" w:rsidP="002D1208">
      <w:pPr>
        <w:ind w:left="720"/>
        <w:rPr>
          <w:rFonts w:eastAsia="Calibri" w:cs="Times New Roman"/>
        </w:rPr>
      </w:pPr>
      <w:r w:rsidRPr="002D1208">
        <w:rPr>
          <w:rFonts w:eastAsia="Calibri" w:cs="Times New Roman"/>
        </w:rPr>
        <w:t xml:space="preserve">The treatment of guaranteed payments for pass-through entity tax purposes is important to consider for ensuring consistency in sourcing. </w:t>
      </w:r>
      <w:r w:rsidR="00635715">
        <w:rPr>
          <w:rFonts w:eastAsia="Calibri" w:cs="Times New Roman"/>
        </w:rPr>
        <w:t>If</w:t>
      </w:r>
      <w:r w:rsidRPr="002D1208">
        <w:rPr>
          <w:rFonts w:eastAsia="Calibri" w:cs="Times New Roman"/>
        </w:rPr>
        <w:t xml:space="preserve"> a state taxes guaranteed payments like compensation for personal income tax purposes but as distributive share for pass-through entity tax purposes, the pass-through entity tax election could become, in effect, a sourcing election.</w:t>
      </w:r>
      <w:r w:rsidR="0001290A">
        <w:rPr>
          <w:rFonts w:eastAsia="Calibri" w:cs="Times New Roman"/>
        </w:rPr>
        <w:t xml:space="preserve"> But also, states typically give residents some kind of offset for their share of PTE tax agains</w:t>
      </w:r>
      <w:r w:rsidR="0065381C">
        <w:rPr>
          <w:rFonts w:eastAsia="Calibri" w:cs="Times New Roman"/>
        </w:rPr>
        <w:t>t</w:t>
      </w:r>
      <w:r w:rsidR="0001290A">
        <w:rPr>
          <w:rFonts w:eastAsia="Calibri" w:cs="Times New Roman"/>
        </w:rPr>
        <w:t xml:space="preserve"> the tax that would be paid by the partners individually, so the sourcing under both the entity-level tax and under the pass-through </w:t>
      </w:r>
      <w:r w:rsidR="0065381C">
        <w:rPr>
          <w:rFonts w:eastAsia="Calibri" w:cs="Times New Roman"/>
        </w:rPr>
        <w:t>tax applied to the partners should be the same.</w:t>
      </w:r>
    </w:p>
    <w:p w14:paraId="3535DAA6" w14:textId="0927B86D" w:rsidR="00FE4C13" w:rsidRPr="00FE4C13" w:rsidRDefault="002E0B91" w:rsidP="005E0F6E">
      <w:pPr>
        <w:pStyle w:val="Heading4"/>
        <w:pBdr>
          <w:bottom w:val="single" w:sz="4" w:space="1" w:color="auto"/>
        </w:pBdr>
        <w:ind w:left="720"/>
      </w:pPr>
      <w:r>
        <w:t>I</w:t>
      </w:r>
      <w:r w:rsidRPr="00FE4C13">
        <w:t>f guaranteed payments for services are sourced as compensation either generally or for p</w:t>
      </w:r>
      <w:r>
        <w:t xml:space="preserve">ass-through entity tax </w:t>
      </w:r>
      <w:r w:rsidRPr="00FE4C13">
        <w:t xml:space="preserve">purposes—does the state also give a credit to residents for tax paid to another state on a portion of the guaranteed payment </w:t>
      </w:r>
      <w:r>
        <w:t>s</w:t>
      </w:r>
      <w:r w:rsidRPr="00FE4C13">
        <w:t>ourced to that state?</w:t>
      </w:r>
    </w:p>
    <w:p w14:paraId="6E11D5F6" w14:textId="7F5C4C74" w:rsidR="00FE4C13" w:rsidRDefault="00FE4C13" w:rsidP="000C5BDA">
      <w:pPr>
        <w:spacing w:before="240" w:after="240"/>
        <w:ind w:left="720"/>
        <w:rPr>
          <w:rFonts w:eastAsia="Calibri" w:cs="Times New Roman"/>
        </w:rPr>
      </w:pPr>
      <w:r w:rsidRPr="00FE4C13">
        <w:rPr>
          <w:rFonts w:eastAsia="Calibri" w:cs="Times New Roman"/>
        </w:rPr>
        <w:t xml:space="preserve">There is not a clear answer to this question. Clear statutory language about the treatment of guaranteed payments in resident credit provisions would reduce this uncertainty. Although most states have resident credits and approximately 28 states may allow the resident credit for </w:t>
      </w:r>
      <w:r w:rsidR="000E7878">
        <w:rPr>
          <w:rFonts w:eastAsia="Calibri" w:cs="Times New Roman"/>
        </w:rPr>
        <w:t>pass-through entity</w:t>
      </w:r>
      <w:r w:rsidRPr="00FE4C13">
        <w:rPr>
          <w:rFonts w:eastAsia="Calibri" w:cs="Times New Roman"/>
        </w:rPr>
        <w:t xml:space="preserve"> taxes paid by the entity in another state</w:t>
      </w:r>
      <w:r w:rsidR="00E25708">
        <w:rPr>
          <w:rFonts w:eastAsia="Calibri" w:cs="Times New Roman"/>
        </w:rPr>
        <w:t>—</w:t>
      </w:r>
      <w:r w:rsidRPr="00FE4C13">
        <w:rPr>
          <w:rFonts w:eastAsia="Calibri" w:cs="Times New Roman"/>
        </w:rPr>
        <w:t>when the credit requirements are otherwise met</w:t>
      </w:r>
      <w:r w:rsidR="009F7C0E">
        <w:rPr>
          <w:rFonts w:eastAsia="Calibri" w:cs="Times New Roman"/>
        </w:rPr>
        <w:t>—</w:t>
      </w:r>
      <w:r w:rsidRPr="00FE4C13">
        <w:rPr>
          <w:rFonts w:eastAsia="Calibri" w:cs="Times New Roman"/>
        </w:rPr>
        <w:t xml:space="preserve">these states do not </w:t>
      </w:r>
      <w:r w:rsidR="00C20B11">
        <w:rPr>
          <w:rFonts w:eastAsia="Calibri" w:cs="Times New Roman"/>
        </w:rPr>
        <w:t xml:space="preserve">generally have language about guaranteed payments </w:t>
      </w:r>
      <w:r w:rsidRPr="00FE4C13">
        <w:rPr>
          <w:rFonts w:eastAsia="Calibri" w:cs="Times New Roman"/>
        </w:rPr>
        <w:t>in their resident credit rules. An exception</w:t>
      </w:r>
      <w:r w:rsidR="00CA31DD">
        <w:rPr>
          <w:rFonts w:eastAsia="Calibri" w:cs="Times New Roman"/>
        </w:rPr>
        <w:t xml:space="preserve"> </w:t>
      </w:r>
      <w:r w:rsidRPr="00FE4C13">
        <w:rPr>
          <w:rFonts w:eastAsia="Calibri" w:cs="Times New Roman"/>
        </w:rPr>
        <w:t xml:space="preserve">is Michigan which </w:t>
      </w:r>
      <w:r w:rsidR="001E260A">
        <w:rPr>
          <w:rFonts w:eastAsia="Calibri" w:cs="Times New Roman"/>
        </w:rPr>
        <w:t xml:space="preserve">has language </w:t>
      </w:r>
      <w:r w:rsidRPr="00FE4C13">
        <w:rPr>
          <w:rFonts w:eastAsia="Calibri" w:cs="Times New Roman"/>
        </w:rPr>
        <w:t>allow</w:t>
      </w:r>
      <w:r w:rsidR="001E260A">
        <w:rPr>
          <w:rFonts w:eastAsia="Calibri" w:cs="Times New Roman"/>
        </w:rPr>
        <w:t>ing</w:t>
      </w:r>
      <w:r w:rsidRPr="00FE4C13">
        <w:rPr>
          <w:rFonts w:eastAsia="Calibri" w:cs="Times New Roman"/>
        </w:rPr>
        <w:t xml:space="preserve"> the resident credit for certain guaranteed payments if the credit requirements are otherwise met. See Michigan Revenue Administrative Bulletin No. 1988-31. However, Michigan does not have a rule allowing the resident credit in the </w:t>
      </w:r>
      <w:r w:rsidR="00165E73">
        <w:rPr>
          <w:rFonts w:eastAsia="Calibri" w:cs="Times New Roman"/>
        </w:rPr>
        <w:t>pass-through entity tax</w:t>
      </w:r>
      <w:r w:rsidRPr="00FE4C13">
        <w:rPr>
          <w:rFonts w:eastAsia="Calibri" w:cs="Times New Roman"/>
        </w:rPr>
        <w:t xml:space="preserve"> context. </w:t>
      </w:r>
    </w:p>
    <w:p w14:paraId="285B3CE6" w14:textId="058D5368" w:rsidR="00A270A6" w:rsidRPr="00FE4C13" w:rsidRDefault="00A270A6" w:rsidP="00A270A6">
      <w:pPr>
        <w:spacing w:before="240" w:after="240"/>
        <w:rPr>
          <w:rFonts w:eastAsia="Calibri" w:cs="Times New Roman"/>
        </w:rPr>
      </w:pPr>
      <w:r>
        <w:rPr>
          <w:rFonts w:eastAsia="Calibri" w:cs="Times New Roman"/>
        </w:rPr>
        <w:t xml:space="preserve">In addition to these questions, note that however </w:t>
      </w:r>
      <w:r w:rsidR="00A97D21">
        <w:rPr>
          <w:rFonts w:eastAsia="Calibri" w:cs="Times New Roman"/>
        </w:rPr>
        <w:t xml:space="preserve">guaranteed payments are sourced, many states also require that partnerships withhold tax for nonresident partners or may allow partnerships to file and pay tax on behalf of those partners in the form of a composite return. </w:t>
      </w:r>
      <w:r w:rsidR="00624A16">
        <w:rPr>
          <w:rFonts w:eastAsia="Calibri" w:cs="Times New Roman"/>
        </w:rPr>
        <w:t>Presumably,</w:t>
      </w:r>
      <w:r w:rsidR="00F15BD6">
        <w:rPr>
          <w:rFonts w:eastAsia="Calibri" w:cs="Times New Roman"/>
        </w:rPr>
        <w:t xml:space="preserve"> the state will need to use the same method for sourcing income and computing the tax as part of these entity-level reports as for the reporting by the partners. </w:t>
      </w:r>
      <w:r w:rsidR="00624A16">
        <w:rPr>
          <w:rFonts w:eastAsia="Calibri" w:cs="Times New Roman"/>
        </w:rPr>
        <w:t xml:space="preserve"> </w:t>
      </w:r>
    </w:p>
    <w:p w14:paraId="6C238A74" w14:textId="77777777" w:rsidR="00380325" w:rsidRDefault="00380325" w:rsidP="00A471A0">
      <w:pPr>
        <w:rPr>
          <w:rFonts w:eastAsia="Calibri" w:cs="Times New Roman"/>
        </w:rPr>
      </w:pPr>
    </w:p>
    <w:p w14:paraId="0AB017A8" w14:textId="77777777" w:rsidR="00005FE9" w:rsidRDefault="00005FE9">
      <w:pPr>
        <w:spacing w:line="276" w:lineRule="auto"/>
        <w:jc w:val="left"/>
        <w:rPr>
          <w:rFonts w:asciiTheme="majorHAnsi" w:eastAsiaTheme="majorEastAsia" w:hAnsiTheme="majorHAnsi" w:cstheme="majorBidi"/>
          <w:b/>
          <w:color w:val="851C00" w:themeColor="accent6" w:themeShade="BF"/>
          <w:sz w:val="26"/>
          <w:szCs w:val="26"/>
          <w:u w:val="single"/>
        </w:rPr>
      </w:pPr>
      <w:r>
        <w:rPr>
          <w:rFonts w:asciiTheme="majorHAnsi" w:eastAsiaTheme="majorEastAsia" w:hAnsiTheme="majorHAnsi" w:cstheme="majorBidi"/>
          <w:b/>
          <w:color w:val="851C00" w:themeColor="accent6" w:themeShade="BF"/>
          <w:sz w:val="26"/>
          <w:szCs w:val="26"/>
          <w:u w:val="single"/>
        </w:rPr>
        <w:br w:type="page"/>
      </w:r>
    </w:p>
    <w:p w14:paraId="1F124407" w14:textId="2ED05DED" w:rsidR="001B2D6E" w:rsidRPr="001B2D6E" w:rsidRDefault="00464AC0" w:rsidP="001B2D6E">
      <w:pPr>
        <w:keepNext/>
        <w:keepLines/>
        <w:spacing w:before="240" w:after="160"/>
        <w:jc w:val="center"/>
        <w:outlineLvl w:val="1"/>
        <w:rPr>
          <w:rFonts w:asciiTheme="majorHAnsi" w:eastAsiaTheme="majorEastAsia" w:hAnsiTheme="majorHAnsi" w:cstheme="majorBidi"/>
          <w:b/>
          <w:color w:val="851C00" w:themeColor="accent6" w:themeShade="BF"/>
          <w:sz w:val="26"/>
          <w:szCs w:val="26"/>
          <w:u w:val="single"/>
        </w:rPr>
      </w:pPr>
      <w:bookmarkStart w:id="56" w:name="_Toc153291172"/>
      <w:r>
        <w:rPr>
          <w:rFonts w:asciiTheme="majorHAnsi" w:eastAsiaTheme="majorEastAsia" w:hAnsiTheme="majorHAnsi" w:cstheme="majorBidi"/>
          <w:b/>
          <w:color w:val="851C00" w:themeColor="accent6" w:themeShade="BF"/>
          <w:sz w:val="26"/>
          <w:szCs w:val="26"/>
          <w:u w:val="single"/>
        </w:rPr>
        <w:lastRenderedPageBreak/>
        <w:t>IV</w:t>
      </w:r>
      <w:r w:rsidR="001B2D6E" w:rsidRPr="001B2D6E">
        <w:rPr>
          <w:rFonts w:asciiTheme="majorHAnsi" w:eastAsiaTheme="majorEastAsia" w:hAnsiTheme="majorHAnsi" w:cstheme="majorBidi"/>
          <w:b/>
          <w:color w:val="851C00" w:themeColor="accent6" w:themeShade="BF"/>
          <w:sz w:val="26"/>
          <w:szCs w:val="26"/>
          <w:u w:val="single"/>
        </w:rPr>
        <w:t xml:space="preserve">. </w:t>
      </w:r>
      <w:r w:rsidR="001B2D6E">
        <w:rPr>
          <w:rFonts w:asciiTheme="majorHAnsi" w:eastAsiaTheme="majorEastAsia" w:hAnsiTheme="majorHAnsi" w:cstheme="majorBidi"/>
          <w:b/>
          <w:color w:val="851C00" w:themeColor="accent6" w:themeShade="BF"/>
          <w:sz w:val="26"/>
          <w:szCs w:val="26"/>
          <w:u w:val="single"/>
        </w:rPr>
        <w:t>B</w:t>
      </w:r>
      <w:r w:rsidR="001B2D6E" w:rsidRPr="001B2D6E">
        <w:rPr>
          <w:rFonts w:asciiTheme="majorHAnsi" w:eastAsiaTheme="majorEastAsia" w:hAnsiTheme="majorHAnsi" w:cstheme="majorBidi"/>
          <w:b/>
          <w:color w:val="851C00" w:themeColor="accent6" w:themeShade="BF"/>
          <w:sz w:val="26"/>
          <w:szCs w:val="26"/>
          <w:u w:val="single"/>
        </w:rPr>
        <w:t>.  S</w:t>
      </w:r>
      <w:r w:rsidR="008879FE">
        <w:rPr>
          <w:rFonts w:asciiTheme="majorHAnsi" w:eastAsiaTheme="majorEastAsia" w:hAnsiTheme="majorHAnsi" w:cstheme="majorBidi"/>
          <w:b/>
          <w:color w:val="851C00" w:themeColor="accent6" w:themeShade="BF"/>
          <w:sz w:val="26"/>
          <w:szCs w:val="26"/>
          <w:u w:val="single"/>
        </w:rPr>
        <w:t>tate Rules on Guaranteed Payments</w:t>
      </w:r>
      <w:bookmarkEnd w:id="56"/>
    </w:p>
    <w:p w14:paraId="4EC19783" w14:textId="30B63099" w:rsidR="001C1DA0" w:rsidRPr="00FE26E0" w:rsidRDefault="00E841AD" w:rsidP="00FE26E0">
      <w:pPr>
        <w:rPr>
          <w:rFonts w:eastAsia="Calibri" w:cs="Times New Roman"/>
        </w:rPr>
      </w:pPr>
      <w:r w:rsidRPr="00E841AD">
        <w:rPr>
          <w:rFonts w:eastAsia="Calibri" w:cs="Times New Roman"/>
        </w:rPr>
        <w:t>This subsection I</w:t>
      </w:r>
      <w:r w:rsidR="00AF3BD8">
        <w:rPr>
          <w:rFonts w:eastAsia="Calibri" w:cs="Times New Roman"/>
        </w:rPr>
        <w:t>V</w:t>
      </w:r>
      <w:r w:rsidRPr="00E841AD">
        <w:rPr>
          <w:rFonts w:eastAsia="Calibri" w:cs="Times New Roman"/>
        </w:rPr>
        <w:t>. B. sets forth the detailed rules in states that have explicitly addressed the sourcing of guaranteed payments in statutes, regulations, cases, form instructions, or guidance.</w:t>
      </w:r>
    </w:p>
    <w:p w14:paraId="47223CB2" w14:textId="407E77AA" w:rsidR="0047413E" w:rsidRPr="008A3EC2" w:rsidRDefault="0047413E" w:rsidP="001C1DA0">
      <w:pPr>
        <w:keepNext/>
        <w:keepLines/>
        <w:spacing w:before="240" w:after="120"/>
        <w:outlineLvl w:val="2"/>
        <w:rPr>
          <w:rFonts w:ascii="Californian FB" w:eastAsia="Times New Roman" w:hAnsi="Californian FB" w:cs="Times New Roman"/>
          <w:b/>
          <w:color w:val="851C00"/>
          <w:sz w:val="24"/>
          <w:szCs w:val="24"/>
          <w:u w:val="single"/>
        </w:rPr>
      </w:pPr>
      <w:bookmarkStart w:id="57" w:name="_Toc153291173"/>
      <w:r w:rsidRPr="008A3EC2">
        <w:rPr>
          <w:rFonts w:ascii="Californian FB" w:eastAsia="Times New Roman" w:hAnsi="Californian FB" w:cs="Times New Roman"/>
          <w:b/>
          <w:color w:val="851C00"/>
          <w:sz w:val="24"/>
          <w:szCs w:val="24"/>
          <w:u w:val="single"/>
        </w:rPr>
        <w:t>Alabama</w:t>
      </w:r>
      <w:bookmarkEnd w:id="57"/>
    </w:p>
    <w:p w14:paraId="077F5A86" w14:textId="77777777" w:rsidR="0047413E" w:rsidRPr="008A3EC2" w:rsidRDefault="0047413E" w:rsidP="00DA31D7">
      <w:pPr>
        <w:ind w:left="720"/>
        <w:rPr>
          <w:rFonts w:eastAsia="Calibri" w:cs="Times New Roman"/>
        </w:rPr>
      </w:pPr>
      <w:r w:rsidRPr="008A3EC2">
        <w:rPr>
          <w:rFonts w:eastAsia="Calibri" w:cs="Times New Roman"/>
          <w:i/>
          <w:iCs/>
        </w:rPr>
        <w:t xml:space="preserve">Tanner &amp; Guin v. Alabama </w:t>
      </w:r>
      <w:proofErr w:type="spellStart"/>
      <w:r w:rsidRPr="008A3EC2">
        <w:rPr>
          <w:rFonts w:eastAsia="Calibri" w:cs="Times New Roman"/>
          <w:i/>
          <w:iCs/>
        </w:rPr>
        <w:t>Dep’t</w:t>
      </w:r>
      <w:proofErr w:type="spellEnd"/>
      <w:r w:rsidRPr="008A3EC2">
        <w:rPr>
          <w:rFonts w:eastAsia="Calibri" w:cs="Times New Roman"/>
          <w:i/>
          <w:iCs/>
        </w:rPr>
        <w:t xml:space="preserve"> of Revenue</w:t>
      </w:r>
      <w:r w:rsidRPr="008A3EC2">
        <w:rPr>
          <w:rFonts w:eastAsia="Calibri" w:cs="Times New Roman"/>
        </w:rPr>
        <w:t xml:space="preserve"> (Ala. Tax Tribunal May 4, 2015)</w:t>
      </w:r>
    </w:p>
    <w:p w14:paraId="6362D375" w14:textId="29D8D9AD" w:rsidR="0047413E" w:rsidRPr="008A3EC2" w:rsidRDefault="0047413E" w:rsidP="00CB3FF4">
      <w:pPr>
        <w:ind w:left="1440"/>
        <w:rPr>
          <w:rFonts w:eastAsia="Calibri" w:cs="Times New Roman"/>
        </w:rPr>
      </w:pPr>
      <w:r w:rsidRPr="008A3EC2">
        <w:rPr>
          <w:rFonts w:eastAsia="Calibri" w:cs="Times New Roman"/>
        </w:rPr>
        <w:t>Guaranteed payments paid to Mississippi attorneys were a part of the distributive share for purposes of composite returns.</w:t>
      </w:r>
    </w:p>
    <w:p w14:paraId="615725D0" w14:textId="77777777" w:rsidR="0047413E" w:rsidRPr="008A3EC2" w:rsidRDefault="0047413E" w:rsidP="00DA31D7">
      <w:pPr>
        <w:ind w:left="720"/>
        <w:rPr>
          <w:rFonts w:eastAsia="Calibri" w:cs="Times New Roman"/>
        </w:rPr>
      </w:pPr>
      <w:r w:rsidRPr="008A3EC2">
        <w:rPr>
          <w:rFonts w:eastAsia="Calibri" w:cs="Times New Roman"/>
        </w:rPr>
        <w:t>Frequently Asked Questions on the Alabama Pass-through Entity Tax (June 30, 2022)</w:t>
      </w:r>
    </w:p>
    <w:p w14:paraId="6752957F" w14:textId="77777777" w:rsidR="0047413E" w:rsidRPr="008A3EC2" w:rsidRDefault="0047413E" w:rsidP="00CB3FF4">
      <w:pPr>
        <w:ind w:left="1440"/>
        <w:rPr>
          <w:rFonts w:eastAsia="Calibri" w:cs="Times New Roman"/>
        </w:rPr>
      </w:pPr>
      <w:r w:rsidRPr="008A3EC2">
        <w:rPr>
          <w:rFonts w:eastAsia="Calibri" w:cs="Times New Roman"/>
        </w:rPr>
        <w:t>Taxable income includes guaranteed payments . . . Taxable income shall be apportioned in accordance with the provisions of Chapter 27 of Title 40, Code of Alabama 1975.</w:t>
      </w:r>
    </w:p>
    <w:p w14:paraId="663E096B" w14:textId="77777777" w:rsidR="0047413E" w:rsidRPr="008A3EC2" w:rsidRDefault="0047413E" w:rsidP="0047413E">
      <w:pPr>
        <w:pBdr>
          <w:bottom w:val="single" w:sz="4" w:space="0" w:color="auto"/>
        </w:pBdr>
        <w:rPr>
          <w:rFonts w:eastAsia="Calibri" w:cs="Times New Roman"/>
        </w:rPr>
      </w:pPr>
    </w:p>
    <w:p w14:paraId="74FC375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58" w:name="_Toc153291174"/>
      <w:r w:rsidRPr="008A3EC2">
        <w:rPr>
          <w:rFonts w:ascii="Californian FB" w:eastAsia="Times New Roman" w:hAnsi="Californian FB" w:cs="Times New Roman"/>
          <w:b/>
          <w:color w:val="851C00"/>
          <w:sz w:val="24"/>
          <w:szCs w:val="24"/>
          <w:u w:val="single"/>
        </w:rPr>
        <w:t>California</w:t>
      </w:r>
      <w:bookmarkEnd w:id="58"/>
    </w:p>
    <w:p w14:paraId="0AE507C3" w14:textId="77777777" w:rsidR="0047413E" w:rsidRPr="008A3EC2" w:rsidRDefault="0047413E" w:rsidP="00DA31D7">
      <w:pPr>
        <w:ind w:left="720"/>
        <w:contextualSpacing/>
        <w:rPr>
          <w:rFonts w:eastAsia="Calibri" w:cs="Times New Roman"/>
        </w:rPr>
      </w:pPr>
      <w:r w:rsidRPr="008A3EC2">
        <w:rPr>
          <w:rFonts w:eastAsia="Calibri" w:cs="Times New Roman"/>
        </w:rPr>
        <w:t xml:space="preserve">Cal. Rev. &amp; Tax. Code § 17854  </w:t>
      </w:r>
    </w:p>
    <w:p w14:paraId="0F678C00" w14:textId="77777777" w:rsidR="0047413E" w:rsidRPr="008A3EC2" w:rsidRDefault="0047413E" w:rsidP="00DA31D7">
      <w:pPr>
        <w:ind w:left="720"/>
        <w:contextualSpacing/>
        <w:rPr>
          <w:rFonts w:eastAsia="Calibri" w:cs="Times New Roman"/>
        </w:rPr>
      </w:pPr>
    </w:p>
    <w:p w14:paraId="12728C68" w14:textId="77777777" w:rsidR="0047413E" w:rsidRPr="008A3EC2" w:rsidRDefault="0047413E" w:rsidP="00DA31D7">
      <w:pPr>
        <w:ind w:left="1440"/>
        <w:contextualSpacing/>
        <w:rPr>
          <w:rFonts w:eastAsia="Calibri" w:cs="Times New Roman"/>
        </w:rPr>
      </w:pPr>
      <w:r w:rsidRPr="008A3EC2">
        <w:rPr>
          <w:rFonts w:eastAsia="Calibri" w:cs="Times New Roman"/>
        </w:rPr>
        <w:t>For purposes of computing “taxable income of a nonresident or part-year resident” under paragraph (1) of subdivision (i) of Section 17041, in the case of a nonresident partner, guaranteed payments, as defined by Section 707(c) of the Internal Revenue Code, shall be included in that computation as gross income from sources within this state in the same manner as if those payments were a distributive share of that partnership.</w:t>
      </w:r>
    </w:p>
    <w:p w14:paraId="2A735026" w14:textId="77777777" w:rsidR="0047413E" w:rsidRPr="008A3EC2" w:rsidRDefault="0047413E" w:rsidP="00DA31D7">
      <w:pPr>
        <w:ind w:left="720"/>
        <w:contextualSpacing/>
        <w:rPr>
          <w:rFonts w:eastAsia="Calibri" w:cs="Times New Roman"/>
          <w:color w:val="808080"/>
        </w:rPr>
      </w:pPr>
    </w:p>
    <w:p w14:paraId="24D680AC" w14:textId="77777777" w:rsidR="0047413E" w:rsidRPr="008A3EC2" w:rsidRDefault="0047413E" w:rsidP="00DA31D7">
      <w:pPr>
        <w:ind w:left="720"/>
        <w:contextualSpacing/>
        <w:rPr>
          <w:rFonts w:eastAsia="Calibri" w:cs="Times New Roman"/>
        </w:rPr>
      </w:pPr>
      <w:r w:rsidRPr="008A3EC2">
        <w:rPr>
          <w:rFonts w:eastAsia="Calibri" w:cs="Times New Roman"/>
        </w:rPr>
        <w:t>Cal. Code Regs. tit. 18, § 17951-4</w:t>
      </w:r>
    </w:p>
    <w:p w14:paraId="5413092B" w14:textId="77777777" w:rsidR="0047413E" w:rsidRPr="008A3EC2" w:rsidRDefault="0047413E" w:rsidP="00DA31D7">
      <w:pPr>
        <w:ind w:left="720"/>
        <w:contextualSpacing/>
        <w:rPr>
          <w:rFonts w:eastAsia="Calibri" w:cs="Times New Roman"/>
        </w:rPr>
      </w:pPr>
    </w:p>
    <w:p w14:paraId="7953A9C8" w14:textId="77777777" w:rsidR="0047413E" w:rsidRPr="008A3EC2" w:rsidRDefault="0047413E" w:rsidP="00DA31D7">
      <w:pPr>
        <w:ind w:left="1440"/>
        <w:rPr>
          <w:rFonts w:eastAsia="Calibri" w:cs="Times New Roman"/>
        </w:rPr>
      </w:pPr>
      <w:r w:rsidRPr="008A3EC2">
        <w:rPr>
          <w:rFonts w:eastAsia="Calibri" w:cs="Times New Roman"/>
        </w:rPr>
        <w:t>(g) For taxable years beginning on or after January 1, 2013, all business income is subject to the single sales factor apportionment formula pursuant to Section 25128.7, Revenue and Taxation Code, unless subdivision (b) of Section 25128, Revenue and Taxation Code, applies. If a sole proprietorship or partnership described in subsections (c) or (d) is engaged in the practice of a profession within the meaning of subsection (h), below, the payroll factor, where applicable, of the applicable apportionment formula shall include 60% of the net income of a sole proprietorship or 60% of the distributive share of partnership income of each partner rendering professional personal services to the partnership. For purposes of the payroll factor the net income of a sole proprietorship and a partner's distributive share of partnership income shall consist only of income properly classifiable as business income. The amount so determined is deemed to be compensation paid to an employee for purposes of the payroll factor only. If a partner does not render professional services to the partnership, no part of such partner's distributive share of partnership income shall be taken into account in the payroll factor. The amount deemed to be compensation paid to an employee shall be included in the denominator of the payroll factor and in the California numerator of the payroll factor if the principal location of such partner is in this state.</w:t>
      </w:r>
    </w:p>
    <w:p w14:paraId="19A564D4" w14:textId="46271B35" w:rsidR="0047413E" w:rsidRPr="008A3EC2" w:rsidRDefault="0047413E" w:rsidP="00DA31D7">
      <w:pPr>
        <w:ind w:left="1440"/>
        <w:rPr>
          <w:rFonts w:eastAsia="Calibri" w:cs="Times New Roman"/>
        </w:rPr>
      </w:pPr>
      <w:r w:rsidRPr="008A3EC2">
        <w:rPr>
          <w:rFonts w:eastAsia="Calibri" w:cs="Times New Roman"/>
        </w:rPr>
        <w:t xml:space="preserve">Guaranteed payments to a partner who renders professional services to a partnership engaged in the practice of a profession (within the meaning of subsection (h) below) shall be treated as part of the partner's distributive share of partnership income and has a source in this state in the same manner as a distributive share properly classified as business income and shall be apportioned under subsection (d), as modified under subsection (g). In computing the payroll factor of a partner who renders professional services to such a partnership and receives a guaranteed payment, 60 percent of the sum of the partner's distributive share of partnership income properly classified as business income, and the partner's guaranteed payment, shall be deemed to be compensation paid to an employee. The amount deemed to be compensation shall be </w:t>
      </w:r>
      <w:r w:rsidRPr="008A3EC2">
        <w:rPr>
          <w:rFonts w:eastAsia="Calibri" w:cs="Times New Roman"/>
        </w:rPr>
        <w:lastRenderedPageBreak/>
        <w:t>included in the denominator of the payroll factor and in the California numerator of the payroll factor if the principal location of such partner is in this state . . .</w:t>
      </w:r>
    </w:p>
    <w:p w14:paraId="7919E690" w14:textId="77777777" w:rsidR="0047413E" w:rsidRPr="008A3EC2" w:rsidRDefault="0047413E" w:rsidP="00DA31D7">
      <w:pPr>
        <w:ind w:left="1440"/>
        <w:rPr>
          <w:rFonts w:eastAsia="Calibri" w:cs="Times New Roman"/>
        </w:rPr>
      </w:pPr>
      <w:r w:rsidRPr="008A3EC2">
        <w:rPr>
          <w:rFonts w:eastAsia="Calibri" w:cs="Times New Roman"/>
        </w:rPr>
        <w:t>(h) The practice of law, accounting, medicine or the performance of personal services in scientific and engineering discipline and the practice of any other profession in which capital is not a material income producing factor and in which more than 80% of business gross income for the taxable year is derived from personal services actually rendered by the individual or partners shall be deemed a profession for purposes of subsection (g), above.</w:t>
      </w:r>
    </w:p>
    <w:p w14:paraId="71AF2270" w14:textId="77777777" w:rsidR="0047413E" w:rsidRPr="008A3EC2" w:rsidRDefault="0047413E" w:rsidP="00DA31D7">
      <w:pPr>
        <w:ind w:left="1440"/>
        <w:rPr>
          <w:rFonts w:eastAsia="Calibri" w:cs="Times New Roman"/>
        </w:rPr>
      </w:pPr>
      <w:r w:rsidRPr="008A3EC2">
        <w:rPr>
          <w:rFonts w:eastAsia="Calibri" w:cs="Times New Roman"/>
        </w:rPr>
        <w:t>(i) Rules and Definitions. To give effect to the foregoing, the following rules and definitions will be applied:</w:t>
      </w:r>
    </w:p>
    <w:p w14:paraId="66C913E7" w14:textId="77777777" w:rsidR="0047413E" w:rsidRPr="008A3EC2" w:rsidRDefault="0047413E" w:rsidP="00DA31D7">
      <w:pPr>
        <w:ind w:left="1440" w:firstLine="720"/>
        <w:rPr>
          <w:rFonts w:eastAsia="Calibri" w:cs="Times New Roman"/>
        </w:rPr>
      </w:pPr>
      <w:r w:rsidRPr="008A3EC2">
        <w:rPr>
          <w:rFonts w:eastAsia="Calibri" w:cs="Times New Roman"/>
        </w:rPr>
        <w:t>(1) Other Professions Defined. For purposes of this regulation, the term "other profession" includes any occupation or vocation in which a professed knowledge of some department of science or learning, gained by a prolonged course of specialized instruction and study, is used by its practical application to the affairs of others, either advising, guiding or teaching them, and in serving their interests or welfare in the practice of an art or science founded on it. The word "profession" implies attainments in professional knowledge as distinguished from mere skill and the application of knowledge to uses for others as a vocation. The performing of services dealing with the conduct of business itself, including the promotion of sales or services of such business and consulting services, does not constitute the practice of a profession even though the services involve the application of a specialized knowledge.</w:t>
      </w:r>
    </w:p>
    <w:p w14:paraId="4B0D7071" w14:textId="77777777" w:rsidR="0047413E" w:rsidRPr="008A3EC2" w:rsidRDefault="0047413E" w:rsidP="00DA31D7">
      <w:pPr>
        <w:ind w:left="1440" w:firstLine="720"/>
        <w:rPr>
          <w:rFonts w:eastAsia="Calibri" w:cs="Times New Roman"/>
        </w:rPr>
      </w:pPr>
      <w:r w:rsidRPr="008A3EC2">
        <w:rPr>
          <w:rFonts w:eastAsia="Calibri" w:cs="Times New Roman"/>
        </w:rPr>
        <w:t>(2) Capital as a Material Income Producing Factor. Whether capital is a material income producing factor in the production of the income of a profession (other than law, medicine, dentistry or architecture) is to be determined by the use to which the capital is put. Ordinarily, the use of capital in a professional activity or occupation will not be considered as a material income producing factor if it is used only to defray current operating expenses such as paying salaries of assistants, rent, traveling and other incidental expenses or for investment in furniture, machines, tools and equipment essential to the carrying on of the professional activity. Capital is a material income producing factor if a substantial portion of the gross income from the occupation is attributable to the employment of capital in the business. This is ordinarily the case where substantial inventory or substantial investment in plant, machinery or other equipment is required.</w:t>
      </w:r>
    </w:p>
    <w:p w14:paraId="5D9F6BA0" w14:textId="77777777" w:rsidR="0047413E" w:rsidRPr="008A3EC2" w:rsidRDefault="0047413E" w:rsidP="00DA31D7">
      <w:pPr>
        <w:ind w:left="1440" w:firstLine="720"/>
        <w:rPr>
          <w:rFonts w:eastAsia="Calibri" w:cs="Times New Roman"/>
        </w:rPr>
      </w:pPr>
      <w:r w:rsidRPr="008A3EC2">
        <w:rPr>
          <w:rFonts w:eastAsia="Calibri" w:cs="Times New Roman"/>
        </w:rPr>
        <w:t xml:space="preserve">(3) Gross Income Derived From Personal Services of an Individual or Partner. For purposes of determining whether more than 80% of the unincorporated business gross income is derived from personal services actually rendered by an individual or partner, gross income from the professional practice will be deemed derived from the personal services rendered by an individual or partner if such income is personal service income as distinguished from income attributable to the sale of property or to the use of capital and such income represents fees or charges for professional services personally rendered by the individual or partner or professional fees or charges for services which are attributable to the professional activities of the individual or partner. In cases where an individual or partner employs assistants to perform part of the professional work, fees or charges relating to the services of the assistants will be attributed to the individual or partner provided the individual or partner (A) gives personal attention to the work of the business, (B) consults with clients or patients, (C) devises the work program, outlines work methods and guides and directs the work procedure of the employees in the activity, and (D) supervises the formulation of advice, conclusions and reports to clients or patients as the person responsible for the services performed by the business or establishment; or provided that some combination of the foregoing and/or other activities shows that the services of the employees are merely incidental to the practice of the profession by the individual or partner. Where the profession is carried on by a sole proprietorship or partnership, income or </w:t>
      </w:r>
      <w:r w:rsidRPr="008A3EC2">
        <w:rPr>
          <w:rFonts w:eastAsia="Calibri" w:cs="Times New Roman"/>
        </w:rPr>
        <w:lastRenderedPageBreak/>
        <w:t>fees relating to work performed by employees will be attributable to an individual or partner only if, in addition to the conditions enumerated above with respect to individuals or partners, it is shown that the clients or patients are advised by an individual or partner and look to an individual or partner as being responsible for the services performed.</w:t>
      </w:r>
    </w:p>
    <w:p w14:paraId="47F0CB64" w14:textId="77777777" w:rsidR="0047413E" w:rsidRPr="008A3EC2" w:rsidRDefault="0047413E" w:rsidP="00DA31D7">
      <w:pPr>
        <w:ind w:left="1440"/>
        <w:rPr>
          <w:rFonts w:eastAsia="Calibri" w:cs="Times New Roman"/>
        </w:rPr>
      </w:pPr>
      <w:r w:rsidRPr="008A3EC2">
        <w:rPr>
          <w:rFonts w:eastAsia="Calibri" w:cs="Times New Roman"/>
        </w:rPr>
        <w:t>For example, where an accounting partnership employs assistants to do much of the detail work of making surveys, studies, audits, or other work ordinarily and customarily performed as an incident to the practice of the profession involved, income from professional charges based on services of the assistants will be deemed to be income derived from the services of the partners if a partner accepts the engagement or employment, supervises and directs the work, confers with clients, and prepares and edits or completes and approves the reports. Where the nature and character of the service rendered by the assistants is such that the services are rendered without any substantial control by a partner, such services will not be considered attributable to the partner for the purposes of this subsection.</w:t>
      </w:r>
    </w:p>
    <w:p w14:paraId="4CE5442A" w14:textId="77777777" w:rsidR="0047413E" w:rsidRPr="008A3EC2" w:rsidRDefault="0047413E" w:rsidP="00DA31D7">
      <w:pPr>
        <w:ind w:left="720"/>
        <w:rPr>
          <w:rFonts w:eastAsia="Calibri" w:cs="Times New Roman"/>
        </w:rPr>
      </w:pPr>
      <w:r w:rsidRPr="008A3EC2">
        <w:rPr>
          <w:rFonts w:eastAsia="Calibri" w:cs="Times New Roman"/>
        </w:rPr>
        <w:t>Cal. Rev. &amp; Tax. Code § 19900(a)</w:t>
      </w:r>
    </w:p>
    <w:p w14:paraId="1274D49B" w14:textId="15AA7F3D" w:rsidR="0047413E" w:rsidRPr="008A3EC2" w:rsidRDefault="0047413E" w:rsidP="00DA31D7">
      <w:pPr>
        <w:ind w:left="1440"/>
        <w:rPr>
          <w:rFonts w:eastAsia="Calibri" w:cs="Times New Roman"/>
        </w:rPr>
      </w:pPr>
      <w:r w:rsidRPr="008A3EC2">
        <w:rPr>
          <w:rFonts w:eastAsia="Calibri" w:cs="Times New Roman"/>
        </w:rPr>
        <w:t>(1)</w:t>
      </w:r>
      <w:r w:rsidR="00DA31D7">
        <w:rPr>
          <w:rFonts w:eastAsia="Calibri" w:cs="Times New Roman"/>
        </w:rPr>
        <w:t xml:space="preserve"> </w:t>
      </w:r>
      <w:r w:rsidRPr="008A3EC2">
        <w:rPr>
          <w:rFonts w:eastAsia="Calibri" w:cs="Times New Roman"/>
        </w:rPr>
        <w:t>For taxable years beginning on or after January 1, 2021, and before January 1, 2026, a qualified entity doing business in this state, as defined in Section 23101, and that is required to file a return under Section 18633, 18633.5, or subdivision (a) of Section 18601, may elect to annually pay an elective tax according to or measured by its qualified net income, defined in paragraph (2), computed at the rate of 9.3 percent for the taxable year for which the election is made.</w:t>
      </w:r>
    </w:p>
    <w:p w14:paraId="270CED84" w14:textId="58E2B0BB" w:rsidR="0047413E" w:rsidRPr="008A3EC2" w:rsidRDefault="0047413E" w:rsidP="00DA31D7">
      <w:pPr>
        <w:ind w:left="1440"/>
        <w:rPr>
          <w:rFonts w:eastAsia="Calibri" w:cs="Times New Roman"/>
        </w:rPr>
      </w:pPr>
      <w:r w:rsidRPr="008A3EC2">
        <w:rPr>
          <w:rFonts w:eastAsia="Calibri" w:cs="Times New Roman"/>
        </w:rPr>
        <w:t>(2)</w:t>
      </w:r>
      <w:r w:rsidR="00DA31D7">
        <w:rPr>
          <w:rFonts w:eastAsia="Calibri" w:cs="Times New Roman"/>
        </w:rPr>
        <w:t xml:space="preserve"> </w:t>
      </w:r>
      <w:r w:rsidRPr="008A3EC2">
        <w:rPr>
          <w:rFonts w:eastAsia="Calibri" w:cs="Times New Roman"/>
        </w:rPr>
        <w:t>For purposes of this section, the "qualified net income" of a qualified entity means the sum of the pro rata share or distributive share of income, and any guaranteed payments, as described by Section 707(c) of the Internal Revenue Code, relating to guaranteed payments, subject to tax under Part 10 (commencing with Section 17001) for the taxable year of each qualified taxpayer, as defined in Section 17052.10.</w:t>
      </w:r>
    </w:p>
    <w:p w14:paraId="3600A510" w14:textId="77777777" w:rsidR="0047413E" w:rsidRPr="008A3EC2" w:rsidRDefault="0047413E" w:rsidP="0047413E">
      <w:pPr>
        <w:pBdr>
          <w:bottom w:val="single" w:sz="4" w:space="1" w:color="auto"/>
        </w:pBdr>
        <w:rPr>
          <w:rFonts w:eastAsia="Calibri" w:cs="Times New Roman"/>
        </w:rPr>
      </w:pPr>
    </w:p>
    <w:p w14:paraId="51C934EC"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59" w:name="_Toc104209233"/>
      <w:bookmarkStart w:id="60" w:name="_Toc153291175"/>
      <w:r w:rsidRPr="008A3EC2">
        <w:rPr>
          <w:rFonts w:ascii="Californian FB" w:eastAsia="Times New Roman" w:hAnsi="Californian FB" w:cs="Times New Roman"/>
          <w:b/>
          <w:color w:val="851C00"/>
          <w:sz w:val="24"/>
          <w:szCs w:val="24"/>
          <w:u w:val="single"/>
        </w:rPr>
        <w:t>C</w:t>
      </w:r>
      <w:bookmarkEnd w:id="59"/>
      <w:r w:rsidRPr="008A3EC2">
        <w:rPr>
          <w:rFonts w:ascii="Californian FB" w:eastAsia="Times New Roman" w:hAnsi="Californian FB" w:cs="Times New Roman"/>
          <w:b/>
          <w:color w:val="851C00"/>
          <w:sz w:val="24"/>
          <w:szCs w:val="24"/>
          <w:u w:val="single"/>
        </w:rPr>
        <w:t>olorado</w:t>
      </w:r>
      <w:bookmarkEnd w:id="60"/>
    </w:p>
    <w:p w14:paraId="2F0020F8" w14:textId="77777777" w:rsidR="0047413E" w:rsidRPr="008A3EC2" w:rsidRDefault="0047413E" w:rsidP="00DA31D7">
      <w:pPr>
        <w:ind w:left="720"/>
        <w:contextualSpacing/>
        <w:rPr>
          <w:rFonts w:eastAsia="Calibri" w:cs="Times New Roman"/>
        </w:rPr>
      </w:pPr>
      <w:r w:rsidRPr="008A3EC2">
        <w:rPr>
          <w:rFonts w:eastAsia="Calibri" w:cs="Times New Roman"/>
        </w:rPr>
        <w:t>Colo. Code Regs. § 39-22-109(3)(b)(xii)</w:t>
      </w:r>
    </w:p>
    <w:p w14:paraId="32FD9EC4" w14:textId="77777777" w:rsidR="0047413E" w:rsidRPr="008A3EC2" w:rsidRDefault="0047413E" w:rsidP="0047413E">
      <w:pPr>
        <w:contextualSpacing/>
        <w:rPr>
          <w:rFonts w:eastAsia="Calibri" w:cs="Times New Roman"/>
        </w:rPr>
      </w:pPr>
    </w:p>
    <w:p w14:paraId="46C0826B" w14:textId="77777777" w:rsidR="0047413E" w:rsidRPr="008A3EC2" w:rsidRDefault="0047413E" w:rsidP="00DA31D7">
      <w:pPr>
        <w:ind w:left="1440"/>
        <w:contextualSpacing/>
        <w:rPr>
          <w:rFonts w:eastAsia="Calibri" w:cs="Times New Roman"/>
        </w:rPr>
      </w:pPr>
      <w:r w:rsidRPr="008A3EC2">
        <w:rPr>
          <w:rFonts w:eastAsia="Calibri" w:cs="Times New Roman"/>
        </w:rPr>
        <w:t>Guaranteed payments typically are in lieu of wage income and the source of such income is determined in accordance with the rules for sourcing wage income (see paragraph (4)(b)(i), above). If the guaranteed payment is not in lieu of wage income, then the guaranteed payment is allocated or apportioned based on the income-generating activity (e.g., a guaranteed payment based on partnership income from the sale of real property located in Colorado is allocated pro rata to the Nonresident partner).</w:t>
      </w:r>
    </w:p>
    <w:p w14:paraId="6B9F8946" w14:textId="77777777" w:rsidR="0047413E" w:rsidRPr="008A3EC2" w:rsidRDefault="0047413E" w:rsidP="0047413E">
      <w:pPr>
        <w:contextualSpacing/>
        <w:rPr>
          <w:rFonts w:eastAsia="Calibri" w:cs="Times New Roman"/>
        </w:rPr>
      </w:pPr>
    </w:p>
    <w:p w14:paraId="6262415B" w14:textId="77777777" w:rsidR="0047413E" w:rsidRPr="008A3EC2" w:rsidRDefault="0047413E" w:rsidP="00DA31D7">
      <w:pPr>
        <w:ind w:left="720"/>
        <w:contextualSpacing/>
        <w:rPr>
          <w:rFonts w:eastAsia="Calibri" w:cs="Times New Roman"/>
        </w:rPr>
      </w:pPr>
      <w:r w:rsidRPr="008A3EC2">
        <w:rPr>
          <w:rFonts w:eastAsia="Calibri" w:cs="Times New Roman"/>
        </w:rPr>
        <w:t>Colo. GIL-20-001 (2/28/2020)</w:t>
      </w:r>
    </w:p>
    <w:p w14:paraId="6E7234DF" w14:textId="77777777" w:rsidR="0047413E" w:rsidRPr="008A3EC2" w:rsidRDefault="0047413E" w:rsidP="0047413E">
      <w:pPr>
        <w:contextualSpacing/>
        <w:rPr>
          <w:rFonts w:eastAsia="Calibri" w:cs="Times New Roman"/>
        </w:rPr>
      </w:pPr>
    </w:p>
    <w:p w14:paraId="2E632FAC" w14:textId="77777777" w:rsidR="0047413E" w:rsidRPr="008A3EC2" w:rsidRDefault="0047413E" w:rsidP="00DA31D7">
      <w:pPr>
        <w:ind w:left="1440"/>
        <w:contextualSpacing/>
        <w:rPr>
          <w:rFonts w:eastAsia="Calibri" w:cs="Times New Roman"/>
        </w:rPr>
      </w:pPr>
      <w:r w:rsidRPr="008A3EC2">
        <w:rPr>
          <w:rFonts w:eastAsia="Calibri" w:cs="Times New Roman"/>
        </w:rPr>
        <w:t>Rule 39-22-109(3)(b)(xii) states that the source of a guaranteed payment for services is determined in accordance with the rules for sourcing wage income. Wage income is Colorado source income if it is paid for work performed in Colorado . . . guaranteed payments are not considered part of the partner’s distributive share.</w:t>
      </w:r>
    </w:p>
    <w:p w14:paraId="2E289940" w14:textId="77777777" w:rsidR="0047413E" w:rsidRPr="008A3EC2" w:rsidRDefault="0047413E" w:rsidP="0047413E">
      <w:pPr>
        <w:contextualSpacing/>
        <w:rPr>
          <w:rFonts w:eastAsia="Calibri" w:cs="Times New Roman"/>
        </w:rPr>
      </w:pPr>
    </w:p>
    <w:p w14:paraId="668BF5D4" w14:textId="77777777" w:rsidR="0047413E" w:rsidRPr="008A3EC2" w:rsidRDefault="0047413E" w:rsidP="0047413E">
      <w:pPr>
        <w:keepNext/>
        <w:keepLines/>
        <w:pBdr>
          <w:bottom w:val="single" w:sz="4" w:space="1" w:color="auto"/>
        </w:pBdr>
        <w:spacing w:before="240" w:after="120"/>
        <w:outlineLvl w:val="2"/>
        <w:rPr>
          <w:rFonts w:eastAsia="Calibri" w:cs="Times New Roman"/>
        </w:rPr>
      </w:pPr>
    </w:p>
    <w:p w14:paraId="2262AE1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1" w:name="_Toc153291176"/>
      <w:r w:rsidRPr="008A3EC2">
        <w:rPr>
          <w:rFonts w:ascii="Californian FB" w:eastAsia="Times New Roman" w:hAnsi="Californian FB" w:cs="Times New Roman"/>
          <w:b/>
          <w:color w:val="851C00"/>
          <w:sz w:val="24"/>
          <w:szCs w:val="24"/>
          <w:u w:val="single"/>
        </w:rPr>
        <w:t>Connecticut</w:t>
      </w:r>
      <w:bookmarkEnd w:id="61"/>
    </w:p>
    <w:p w14:paraId="3EBD8DA9" w14:textId="77777777" w:rsidR="0047413E" w:rsidRPr="008A3EC2" w:rsidRDefault="0047413E" w:rsidP="00DA31D7">
      <w:pPr>
        <w:ind w:left="720"/>
        <w:contextualSpacing/>
        <w:rPr>
          <w:rFonts w:eastAsia="Calibri" w:cs="Times New Roman"/>
        </w:rPr>
      </w:pPr>
      <w:r w:rsidRPr="008A3EC2">
        <w:rPr>
          <w:rFonts w:eastAsia="Calibri" w:cs="Times New Roman"/>
        </w:rPr>
        <w:t>Conn. Gen. Stat. § 12-699</w:t>
      </w:r>
    </w:p>
    <w:p w14:paraId="08F0560D" w14:textId="77777777" w:rsidR="0047413E" w:rsidRPr="008A3EC2" w:rsidRDefault="0047413E" w:rsidP="0047413E">
      <w:pPr>
        <w:contextualSpacing/>
        <w:rPr>
          <w:rFonts w:eastAsia="Calibri" w:cs="Times New Roman"/>
        </w:rPr>
      </w:pPr>
    </w:p>
    <w:p w14:paraId="0721F968" w14:textId="77777777" w:rsidR="0047413E" w:rsidRPr="008A3EC2" w:rsidRDefault="0047413E" w:rsidP="00DA31D7">
      <w:pPr>
        <w:ind w:left="1440"/>
        <w:rPr>
          <w:rFonts w:eastAsia="Calibri" w:cs="Times New Roman"/>
        </w:rPr>
      </w:pPr>
      <w:r w:rsidRPr="008A3EC2">
        <w:rPr>
          <w:rFonts w:eastAsia="Calibri" w:cs="Times New Roman"/>
        </w:rPr>
        <w:lastRenderedPageBreak/>
        <w:t>For taxable years beginning on or after January 1, 2019, guaranteed payments are included in the calculation of the Standard Base and the Alternative Base for the PTE Tax.</w:t>
      </w:r>
    </w:p>
    <w:p w14:paraId="3D69C59A" w14:textId="77777777" w:rsidR="0047413E" w:rsidRPr="008A3EC2" w:rsidRDefault="0047413E" w:rsidP="0047413E">
      <w:pPr>
        <w:pBdr>
          <w:bottom w:val="single" w:sz="4" w:space="0" w:color="auto"/>
        </w:pBdr>
        <w:rPr>
          <w:rFonts w:eastAsia="Calibri" w:cs="Times New Roman"/>
        </w:rPr>
      </w:pPr>
    </w:p>
    <w:p w14:paraId="1DCE6EFA"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2" w:name="_Toc153291177"/>
      <w:r w:rsidRPr="008A3EC2">
        <w:rPr>
          <w:rFonts w:ascii="Californian FB" w:eastAsia="Times New Roman" w:hAnsi="Californian FB" w:cs="Times New Roman"/>
          <w:b/>
          <w:color w:val="851C00"/>
          <w:sz w:val="24"/>
          <w:szCs w:val="24"/>
          <w:u w:val="single"/>
        </w:rPr>
        <w:t>Georgia</w:t>
      </w:r>
      <w:bookmarkEnd w:id="62"/>
    </w:p>
    <w:p w14:paraId="138431FB" w14:textId="77777777" w:rsidR="0047413E" w:rsidRPr="008A3EC2" w:rsidRDefault="0047413E" w:rsidP="00DA31D7">
      <w:pPr>
        <w:ind w:left="720"/>
        <w:contextualSpacing/>
        <w:rPr>
          <w:rFonts w:eastAsia="Calibri" w:cs="Times New Roman"/>
        </w:rPr>
      </w:pPr>
      <w:r w:rsidRPr="008A3EC2">
        <w:rPr>
          <w:rFonts w:eastAsia="Calibri" w:cs="Times New Roman"/>
        </w:rPr>
        <w:t>Ga. Comp. R. &amp; Regs. 560-7-3-.08(4)</w:t>
      </w:r>
    </w:p>
    <w:p w14:paraId="517E36C2" w14:textId="77777777" w:rsidR="0047413E" w:rsidRPr="008A3EC2" w:rsidRDefault="0047413E" w:rsidP="00DA31D7">
      <w:pPr>
        <w:contextualSpacing/>
        <w:rPr>
          <w:rFonts w:eastAsia="Calibri" w:cs="Times New Roman"/>
        </w:rPr>
      </w:pPr>
    </w:p>
    <w:p w14:paraId="7207A2BD" w14:textId="77777777" w:rsidR="0047413E" w:rsidRPr="008A3EC2" w:rsidRDefault="0047413E" w:rsidP="00DA31D7">
      <w:pPr>
        <w:ind w:left="1440"/>
        <w:contextualSpacing/>
        <w:rPr>
          <w:rFonts w:eastAsia="Calibri" w:cs="Times New Roman"/>
        </w:rPr>
      </w:pPr>
      <w:r w:rsidRPr="008A3EC2">
        <w:rPr>
          <w:rFonts w:eastAsia="Calibri" w:cs="Times New Roman"/>
        </w:rPr>
        <w:t>Payments made to a partner for services rendered or for interest on capital contributions are not deductible in computing the net income of the partnership, such payments being held to represent a division of partner profits.</w:t>
      </w:r>
    </w:p>
    <w:p w14:paraId="29FB2CF0" w14:textId="77777777" w:rsidR="0047413E" w:rsidRPr="008A3EC2" w:rsidRDefault="0047413E" w:rsidP="0047413E">
      <w:pPr>
        <w:pBdr>
          <w:bottom w:val="single" w:sz="4" w:space="1" w:color="auto"/>
        </w:pBdr>
        <w:rPr>
          <w:rFonts w:eastAsia="Calibri" w:cs="Times New Roman"/>
        </w:rPr>
      </w:pPr>
    </w:p>
    <w:p w14:paraId="23F7CBD4"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3" w:name="_Toc153291178"/>
      <w:r w:rsidRPr="008A3EC2">
        <w:rPr>
          <w:rFonts w:ascii="Californian FB" w:eastAsia="Times New Roman" w:hAnsi="Californian FB" w:cs="Times New Roman"/>
          <w:b/>
          <w:color w:val="851C00"/>
          <w:sz w:val="24"/>
          <w:szCs w:val="24"/>
          <w:u w:val="single"/>
        </w:rPr>
        <w:t>Idaho</w:t>
      </w:r>
      <w:bookmarkEnd w:id="63"/>
    </w:p>
    <w:p w14:paraId="74535948" w14:textId="77777777" w:rsidR="0047413E" w:rsidRPr="008A3EC2" w:rsidRDefault="0047413E" w:rsidP="00DA31D7">
      <w:pPr>
        <w:ind w:left="720"/>
        <w:contextualSpacing/>
        <w:rPr>
          <w:rFonts w:eastAsia="Calibri" w:cs="Times New Roman"/>
        </w:rPr>
      </w:pPr>
      <w:r w:rsidRPr="008A3EC2">
        <w:rPr>
          <w:rFonts w:eastAsia="Calibri" w:cs="Times New Roman"/>
        </w:rPr>
        <w:t>Idaho Code § 63-3026A(3)(a)</w:t>
      </w:r>
    </w:p>
    <w:p w14:paraId="3C95141F" w14:textId="77777777" w:rsidR="0047413E" w:rsidRPr="008A3EC2" w:rsidRDefault="0047413E" w:rsidP="0047413E">
      <w:pPr>
        <w:contextualSpacing/>
        <w:rPr>
          <w:rFonts w:eastAsia="Calibri" w:cs="Times New Roman"/>
        </w:rPr>
      </w:pPr>
    </w:p>
    <w:p w14:paraId="3E31B191" w14:textId="77777777" w:rsidR="0047413E" w:rsidRPr="008A3EC2" w:rsidRDefault="0047413E" w:rsidP="00DA31D7">
      <w:pPr>
        <w:ind w:left="1440"/>
        <w:contextualSpacing/>
        <w:rPr>
          <w:rFonts w:eastAsia="Calibri" w:cs="Times New Roman"/>
        </w:rPr>
      </w:pPr>
      <w:r w:rsidRPr="008A3EC2">
        <w:rPr>
          <w:rFonts w:eastAsia="Calibri" w:cs="Times New Roman"/>
        </w:rPr>
        <w:t>Income shall be considered derived from or relating to sources within Idaho when such income is attributable to or resulting from:</w:t>
      </w:r>
    </w:p>
    <w:p w14:paraId="1375EC62" w14:textId="77777777" w:rsidR="0047413E" w:rsidRPr="008A3EC2" w:rsidRDefault="0047413E" w:rsidP="00DA31D7">
      <w:pPr>
        <w:ind w:left="1440"/>
        <w:contextualSpacing/>
        <w:rPr>
          <w:rFonts w:eastAsia="Calibri" w:cs="Times New Roman"/>
        </w:rPr>
      </w:pPr>
    </w:p>
    <w:p w14:paraId="2DFA23E0" w14:textId="77777777" w:rsidR="0047413E" w:rsidRPr="008A3EC2" w:rsidRDefault="0047413E" w:rsidP="00DA31D7">
      <w:pPr>
        <w:ind w:left="1440"/>
        <w:rPr>
          <w:rFonts w:eastAsia="Calibri" w:cs="Times New Roman"/>
        </w:rPr>
      </w:pPr>
      <w:r w:rsidRPr="008A3EC2">
        <w:rPr>
          <w:rFonts w:eastAsia="Calibri" w:cs="Times New Roman"/>
        </w:rPr>
        <w:t>(i) Any business, trade, profession or occupation conducted or carried on in this state, including the distributive share of partnership income and deductions, and the pro rata share of S corporation income and deductions. Partnership income, including guaranteed payments pursuant to section 707 of the Internal Revenue Code, is sourced to Idaho based upon the Idaho apportionment factor of the partnership; excluding:</w:t>
      </w:r>
    </w:p>
    <w:p w14:paraId="703F0BA8" w14:textId="77777777" w:rsidR="0047413E" w:rsidRPr="008A3EC2" w:rsidRDefault="0047413E" w:rsidP="00DA31D7">
      <w:pPr>
        <w:ind w:left="2160"/>
        <w:rPr>
          <w:rFonts w:eastAsia="Calibri" w:cs="Times New Roman"/>
        </w:rPr>
      </w:pPr>
      <w:r w:rsidRPr="008A3EC2">
        <w:rPr>
          <w:rFonts w:eastAsia="Calibri" w:cs="Times New Roman"/>
        </w:rPr>
        <w:t>1. Guaranteed payment to a retired partner per 4 U.S.C. section 114(b)(1)(I) that is sourced to the recipient's state of domicile;</w:t>
      </w:r>
    </w:p>
    <w:p w14:paraId="3DAF3094" w14:textId="77777777" w:rsidR="0047413E" w:rsidRPr="008A3EC2" w:rsidRDefault="0047413E" w:rsidP="00DA31D7">
      <w:pPr>
        <w:ind w:left="2160"/>
        <w:rPr>
          <w:rFonts w:eastAsia="Calibri" w:cs="Times New Roman"/>
        </w:rPr>
      </w:pPr>
      <w:r w:rsidRPr="008A3EC2">
        <w:rPr>
          <w:rFonts w:eastAsia="Calibri" w:cs="Times New Roman"/>
        </w:rPr>
        <w:t>2. Guaranteed payment to an individual partner up to two hundred fifty thousand dollars ($250,000) in any calendar year is sourced as compensation for services. The amount of the guaranteed payment in excess of two hundred fifty thousand dollars ($250,000) is sourced to Idaho based upon the partnership's Idaho apportionment factor. The two hundred fifty thousand dollar ($250,000) amount will be adjusted annually by multiplying the amount by the percentage (the consumer price index for the calendar year immediately preceding the calendar year to which the adjusted amount will apply divided by the consumer price index for calendar year 2013) as defined in section 63-3024, Idaho Code; . . .</w:t>
      </w:r>
    </w:p>
    <w:p w14:paraId="04E7840C" w14:textId="77777777" w:rsidR="0047413E" w:rsidRPr="008A3EC2" w:rsidRDefault="0047413E" w:rsidP="0047413E">
      <w:pPr>
        <w:pBdr>
          <w:bottom w:val="single" w:sz="4" w:space="1" w:color="auto"/>
        </w:pBdr>
        <w:rPr>
          <w:rFonts w:eastAsia="Calibri" w:cs="Times New Roman"/>
        </w:rPr>
      </w:pPr>
    </w:p>
    <w:p w14:paraId="40C17183"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4" w:name="_Toc104209237"/>
      <w:bookmarkStart w:id="65" w:name="_Toc153291179"/>
      <w:r w:rsidRPr="008A3EC2">
        <w:rPr>
          <w:rFonts w:ascii="Californian FB" w:eastAsia="Times New Roman" w:hAnsi="Californian FB" w:cs="Times New Roman"/>
          <w:b/>
          <w:color w:val="851C00"/>
          <w:sz w:val="24"/>
          <w:szCs w:val="24"/>
          <w:u w:val="single"/>
        </w:rPr>
        <w:t>I</w:t>
      </w:r>
      <w:bookmarkEnd w:id="64"/>
      <w:r w:rsidRPr="008A3EC2">
        <w:rPr>
          <w:rFonts w:ascii="Californian FB" w:eastAsia="Times New Roman" w:hAnsi="Californian FB" w:cs="Times New Roman"/>
          <w:b/>
          <w:color w:val="851C00"/>
          <w:sz w:val="24"/>
          <w:szCs w:val="24"/>
          <w:u w:val="single"/>
        </w:rPr>
        <w:t>llinois</w:t>
      </w:r>
      <w:bookmarkEnd w:id="65"/>
    </w:p>
    <w:p w14:paraId="582C8E6C" w14:textId="77777777" w:rsidR="0047413E" w:rsidRPr="008A3EC2" w:rsidRDefault="0047413E" w:rsidP="00DA31D7">
      <w:pPr>
        <w:ind w:left="720"/>
        <w:contextualSpacing/>
        <w:rPr>
          <w:rFonts w:eastAsia="Calibri" w:cs="Times New Roman"/>
        </w:rPr>
      </w:pPr>
      <w:r w:rsidRPr="008A3EC2">
        <w:rPr>
          <w:rFonts w:eastAsia="Calibri" w:cs="Times New Roman"/>
        </w:rPr>
        <w:t>Ill. Admin. Code tit. 86, § 100.3500(a)(4)</w:t>
      </w:r>
    </w:p>
    <w:p w14:paraId="4060AB49" w14:textId="77777777" w:rsidR="0047413E" w:rsidRPr="008A3EC2" w:rsidRDefault="0047413E" w:rsidP="00DA31D7">
      <w:pPr>
        <w:ind w:left="720"/>
        <w:contextualSpacing/>
        <w:rPr>
          <w:rFonts w:eastAsia="Calibri" w:cs="Times New Roman"/>
        </w:rPr>
      </w:pPr>
    </w:p>
    <w:p w14:paraId="5797F87E" w14:textId="77777777" w:rsidR="0047413E" w:rsidRPr="008A3EC2" w:rsidRDefault="0047413E" w:rsidP="00DA31D7">
      <w:pPr>
        <w:ind w:left="1440"/>
        <w:contextualSpacing/>
        <w:rPr>
          <w:rFonts w:eastAsia="Calibri" w:cs="Times New Roman"/>
        </w:rPr>
      </w:pPr>
      <w:r w:rsidRPr="008A3EC2">
        <w:rPr>
          <w:rFonts w:eastAsia="Calibri" w:cs="Times New Roman"/>
        </w:rPr>
        <w:t>Except as provided in this subsection (a), all items of base income of a partner that are derived from the partnership shall be allocated or apportioned pursuant to this Section, including all items required to be separately stated to the partner under IRC section 703(a)(1), all guaranteed payments under IRC section 707(c), and all addition and subtraction modifications, but excluding items described in IRC section 707(a).</w:t>
      </w:r>
    </w:p>
    <w:p w14:paraId="2E974006" w14:textId="77777777" w:rsidR="0047413E" w:rsidRPr="008A3EC2" w:rsidRDefault="0047413E" w:rsidP="00DA31D7">
      <w:pPr>
        <w:ind w:left="720"/>
        <w:contextualSpacing/>
        <w:rPr>
          <w:rFonts w:eastAsia="Calibri" w:cs="Times New Roman"/>
        </w:rPr>
      </w:pPr>
    </w:p>
    <w:p w14:paraId="7B7FF36D" w14:textId="77777777" w:rsidR="0047413E" w:rsidRPr="008A3EC2" w:rsidRDefault="0047413E" w:rsidP="00DA31D7">
      <w:pPr>
        <w:ind w:left="720"/>
        <w:contextualSpacing/>
        <w:rPr>
          <w:rFonts w:eastAsia="Calibri" w:cs="Times New Roman"/>
        </w:rPr>
      </w:pPr>
      <w:r w:rsidRPr="008A3EC2">
        <w:rPr>
          <w:rFonts w:eastAsia="Calibri" w:cs="Times New Roman"/>
        </w:rPr>
        <w:t>Illinois General Information Letter IT 22-0006 (04/15.2022)</w:t>
      </w:r>
    </w:p>
    <w:p w14:paraId="76AAA736" w14:textId="77777777" w:rsidR="0047413E" w:rsidRPr="008A3EC2" w:rsidRDefault="0047413E" w:rsidP="00DA31D7">
      <w:pPr>
        <w:ind w:left="720"/>
        <w:contextualSpacing/>
        <w:rPr>
          <w:rFonts w:eastAsia="Calibri" w:cs="Times New Roman"/>
        </w:rPr>
      </w:pPr>
    </w:p>
    <w:p w14:paraId="0BDDC452" w14:textId="77777777" w:rsidR="0047413E" w:rsidRPr="008A3EC2" w:rsidRDefault="0047413E" w:rsidP="00DA31D7">
      <w:pPr>
        <w:ind w:left="1440"/>
        <w:contextualSpacing/>
        <w:rPr>
          <w:rFonts w:eastAsia="Calibri" w:cs="Times New Roman"/>
        </w:rPr>
      </w:pPr>
      <w:r w:rsidRPr="008A3EC2">
        <w:rPr>
          <w:rFonts w:eastAsia="Calibri" w:cs="Times New Roman"/>
        </w:rPr>
        <w:t>Nonresident partners apportion guaranteed payments to Illinois based on the apportionment factor of the partnership. Resident partners include the guaranteed payments in Illinois base income.</w:t>
      </w:r>
    </w:p>
    <w:p w14:paraId="55C14173" w14:textId="77777777" w:rsidR="0047413E" w:rsidRPr="008A3EC2" w:rsidRDefault="0047413E" w:rsidP="0047413E">
      <w:pPr>
        <w:pBdr>
          <w:bottom w:val="single" w:sz="4" w:space="1" w:color="auto"/>
        </w:pBdr>
        <w:rPr>
          <w:rFonts w:eastAsia="Calibri" w:cs="Times New Roman"/>
        </w:rPr>
      </w:pPr>
    </w:p>
    <w:p w14:paraId="34B4FFF7" w14:textId="79AE2670" w:rsidR="00163EC0" w:rsidRDefault="00163EC0" w:rsidP="00163EC0">
      <w:pPr>
        <w:keepNext/>
        <w:keepLines/>
        <w:shd w:val="clear" w:color="auto" w:fill="FFEFC1" w:themeFill="accent5" w:themeFillTint="33"/>
        <w:spacing w:before="240" w:after="120"/>
        <w:outlineLvl w:val="2"/>
        <w:rPr>
          <w:rFonts w:ascii="Californian FB" w:eastAsia="Times New Roman" w:hAnsi="Californian FB" w:cs="Times New Roman"/>
          <w:b/>
          <w:color w:val="851C00"/>
          <w:sz w:val="24"/>
          <w:szCs w:val="24"/>
          <w:u w:val="single"/>
        </w:rPr>
      </w:pPr>
      <w:bookmarkStart w:id="66" w:name="_Toc153291180"/>
      <w:r>
        <w:rPr>
          <w:rFonts w:ascii="Californian FB" w:eastAsia="Times New Roman" w:hAnsi="Californian FB" w:cs="Times New Roman"/>
          <w:b/>
          <w:color w:val="851C00"/>
          <w:sz w:val="24"/>
          <w:szCs w:val="24"/>
          <w:u w:val="single"/>
        </w:rPr>
        <w:t>Indiana</w:t>
      </w:r>
      <w:bookmarkEnd w:id="66"/>
    </w:p>
    <w:p w14:paraId="3BB240E1" w14:textId="09A7C304" w:rsidR="00163EC0" w:rsidRDefault="00163EC0" w:rsidP="00163EC0">
      <w:pPr>
        <w:shd w:val="clear" w:color="auto" w:fill="FFEFC1" w:themeFill="accent5" w:themeFillTint="33"/>
        <w:ind w:left="720"/>
      </w:pPr>
      <w:r w:rsidRPr="00163EC0">
        <w:t>Letters of Findings: 02-20231182 and 02-20231624, Income Tax, for the Years 2019 and 2020</w:t>
      </w:r>
    </w:p>
    <w:p w14:paraId="5380C434" w14:textId="201D2814" w:rsidR="00163EC0" w:rsidRDefault="00163EC0" w:rsidP="00163EC0">
      <w:pPr>
        <w:shd w:val="clear" w:color="auto" w:fill="FFEFC1" w:themeFill="accent5" w:themeFillTint="33"/>
        <w:ind w:left="720"/>
      </w:pPr>
      <w:r>
        <w:tab/>
        <w:t>Guaranteed payments are sourced the same as distributive share for purposes of determining income attributable to the state.</w:t>
      </w:r>
    </w:p>
    <w:p w14:paraId="5CB2A6C9" w14:textId="72B18A8D" w:rsidR="00163EC0" w:rsidRPr="00163EC0" w:rsidRDefault="00163EC0" w:rsidP="00163EC0">
      <w:pPr>
        <w:pBdr>
          <w:bottom w:val="single" w:sz="4" w:space="1" w:color="auto"/>
        </w:pBdr>
      </w:pPr>
    </w:p>
    <w:p w14:paraId="71F8B370" w14:textId="48C7D14B"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7" w:name="_Toc153291181"/>
      <w:r w:rsidRPr="008A3EC2">
        <w:rPr>
          <w:rFonts w:ascii="Californian FB" w:eastAsia="Times New Roman" w:hAnsi="Californian FB" w:cs="Times New Roman"/>
          <w:b/>
          <w:color w:val="851C00"/>
          <w:sz w:val="24"/>
          <w:szCs w:val="24"/>
          <w:u w:val="single"/>
        </w:rPr>
        <w:t>Kansas</w:t>
      </w:r>
      <w:bookmarkEnd w:id="67"/>
    </w:p>
    <w:p w14:paraId="6D08C7A5" w14:textId="77777777" w:rsidR="0047413E" w:rsidRPr="008A3EC2" w:rsidRDefault="0047413E" w:rsidP="00DA31D7">
      <w:pPr>
        <w:ind w:left="720"/>
        <w:rPr>
          <w:rFonts w:eastAsia="Calibri" w:cs="Times New Roman"/>
        </w:rPr>
      </w:pPr>
      <w:r w:rsidRPr="008A3EC2">
        <w:rPr>
          <w:rFonts w:eastAsia="Calibri" w:cs="Times New Roman"/>
        </w:rPr>
        <w:t>SALT Parity Act FAQ (December 13, 2022)</w:t>
      </w:r>
    </w:p>
    <w:p w14:paraId="04DFFDCE" w14:textId="77777777" w:rsidR="0047413E" w:rsidRPr="008A3EC2" w:rsidRDefault="0047413E" w:rsidP="00DA31D7">
      <w:pPr>
        <w:ind w:left="1440"/>
        <w:rPr>
          <w:rFonts w:eastAsia="Calibri" w:cs="Times New Roman"/>
        </w:rPr>
      </w:pPr>
      <w:r w:rsidRPr="008A3EC2">
        <w:rPr>
          <w:rFonts w:eastAsia="Calibri" w:cs="Times New Roman"/>
        </w:rPr>
        <w:t>Guaranteed payments are included in determining the electing pass-through entity owner’s share of distributive income.</w:t>
      </w:r>
    </w:p>
    <w:p w14:paraId="20187ADD" w14:textId="77777777" w:rsidR="0047413E" w:rsidRPr="008A3EC2" w:rsidRDefault="0047413E" w:rsidP="0047413E">
      <w:pPr>
        <w:pBdr>
          <w:bottom w:val="single" w:sz="4" w:space="1" w:color="auto"/>
        </w:pBdr>
        <w:rPr>
          <w:rFonts w:eastAsia="Calibri" w:cs="Times New Roman"/>
        </w:rPr>
      </w:pPr>
    </w:p>
    <w:p w14:paraId="662E3E82"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8" w:name="_Toc153291182"/>
      <w:r w:rsidRPr="008A3EC2">
        <w:rPr>
          <w:rFonts w:ascii="Californian FB" w:eastAsia="Times New Roman" w:hAnsi="Californian FB" w:cs="Times New Roman"/>
          <w:b/>
          <w:color w:val="851C00"/>
          <w:sz w:val="24"/>
          <w:szCs w:val="24"/>
          <w:u w:val="single"/>
        </w:rPr>
        <w:t>Maine</w:t>
      </w:r>
      <w:bookmarkEnd w:id="68"/>
    </w:p>
    <w:p w14:paraId="1720F358" w14:textId="77777777" w:rsidR="0047413E" w:rsidRPr="008A3EC2" w:rsidRDefault="0047413E" w:rsidP="00DA31D7">
      <w:pPr>
        <w:ind w:left="720"/>
        <w:contextualSpacing/>
        <w:rPr>
          <w:rFonts w:eastAsia="Calibri" w:cs="Times New Roman"/>
        </w:rPr>
      </w:pPr>
      <w:r w:rsidRPr="008A3EC2">
        <w:rPr>
          <w:rFonts w:eastAsia="Calibri" w:cs="Times New Roman"/>
        </w:rPr>
        <w:t>36 M.R.S. § 5192.3</w:t>
      </w:r>
    </w:p>
    <w:p w14:paraId="662442F2" w14:textId="77777777" w:rsidR="0047413E" w:rsidRPr="008A3EC2" w:rsidRDefault="0047413E" w:rsidP="00DA31D7">
      <w:pPr>
        <w:ind w:left="720"/>
        <w:contextualSpacing/>
        <w:rPr>
          <w:rFonts w:eastAsia="Calibri" w:cs="Times New Roman"/>
        </w:rPr>
      </w:pPr>
    </w:p>
    <w:p w14:paraId="18291ECD" w14:textId="77777777" w:rsidR="0047413E" w:rsidRPr="008A3EC2" w:rsidRDefault="0047413E" w:rsidP="00DA31D7">
      <w:pPr>
        <w:ind w:left="1440"/>
        <w:rPr>
          <w:rFonts w:eastAsia="Calibri" w:cs="Times New Roman"/>
        </w:rPr>
      </w:pPr>
      <w:r w:rsidRPr="008A3EC2">
        <w:rPr>
          <w:rFonts w:eastAsia="Calibri" w:cs="Times New Roman"/>
        </w:rPr>
        <w:t xml:space="preserve">Special rules as to sources in this State.  In determining the sources of a nonresident partner's income, no effect shall be given to a provision in the partnership agreement which:  </w:t>
      </w:r>
    </w:p>
    <w:p w14:paraId="207B9222" w14:textId="77777777" w:rsidR="0047413E" w:rsidRPr="008A3EC2" w:rsidRDefault="0047413E" w:rsidP="00DA31D7">
      <w:pPr>
        <w:ind w:left="1440" w:firstLine="720"/>
        <w:rPr>
          <w:rFonts w:eastAsia="Calibri" w:cs="Times New Roman"/>
        </w:rPr>
      </w:pPr>
      <w:r w:rsidRPr="008A3EC2">
        <w:rPr>
          <w:rFonts w:eastAsia="Calibri" w:cs="Times New Roman"/>
        </w:rPr>
        <w:t xml:space="preserve">A. Characterizes payments to the partner as being for services or for the use of capital, or allocated to the partner, as income or gain from sources outside this State, a greater proportion of his distributive share of partnership income or gain than the ratio of partnership income or gain from sources outside this State to partnership income or gain from all sources except as authorized in subsection 5; or   </w:t>
      </w:r>
    </w:p>
    <w:p w14:paraId="42214ED2" w14:textId="77777777" w:rsidR="0047413E" w:rsidRPr="008A3EC2" w:rsidRDefault="0047413E" w:rsidP="00DA31D7">
      <w:pPr>
        <w:ind w:left="1440" w:firstLine="720"/>
        <w:rPr>
          <w:rFonts w:eastAsia="Calibri" w:cs="Times New Roman"/>
        </w:rPr>
      </w:pPr>
      <w:r w:rsidRPr="008A3EC2">
        <w:rPr>
          <w:rFonts w:eastAsia="Calibri" w:cs="Times New Roman"/>
        </w:rPr>
        <w:t>B. Allocates to the partner a greater proportion of a partnership item of loss or deduction connected with sources in this State than his proportionate share, for federal income tax purposes, of partnership loss or deduction generally, except as authorized in subsection 5.</w:t>
      </w:r>
    </w:p>
    <w:p w14:paraId="435308D1" w14:textId="77777777" w:rsidR="0047413E" w:rsidRPr="008A3EC2" w:rsidRDefault="0047413E" w:rsidP="0047413E">
      <w:pPr>
        <w:pBdr>
          <w:bottom w:val="single" w:sz="4" w:space="1" w:color="auto"/>
        </w:pBdr>
        <w:rPr>
          <w:rFonts w:eastAsia="Calibri" w:cs="Times New Roman"/>
        </w:rPr>
      </w:pPr>
    </w:p>
    <w:p w14:paraId="6386056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69" w:name="_Toc153291183"/>
      <w:r w:rsidRPr="008A3EC2">
        <w:rPr>
          <w:rFonts w:ascii="Californian FB" w:eastAsia="Times New Roman" w:hAnsi="Californian FB" w:cs="Times New Roman"/>
          <w:b/>
          <w:color w:val="851C00"/>
          <w:sz w:val="24"/>
          <w:szCs w:val="24"/>
          <w:u w:val="single"/>
        </w:rPr>
        <w:t>Maryland</w:t>
      </w:r>
      <w:bookmarkEnd w:id="69"/>
    </w:p>
    <w:p w14:paraId="278930B5" w14:textId="77777777" w:rsidR="0047413E" w:rsidRPr="008A3EC2" w:rsidRDefault="0047413E" w:rsidP="00DA31D7">
      <w:pPr>
        <w:ind w:left="720"/>
        <w:rPr>
          <w:rFonts w:eastAsia="Calibri" w:cs="Times New Roman"/>
        </w:rPr>
      </w:pPr>
      <w:r w:rsidRPr="008A3EC2">
        <w:rPr>
          <w:rFonts w:eastAsia="Calibri" w:cs="Times New Roman"/>
        </w:rPr>
        <w:t>Frequently Asked Questions on the Maryland Pass-through Entity Tax (December 27, 2021)</w:t>
      </w:r>
    </w:p>
    <w:p w14:paraId="551E5AC2" w14:textId="77777777" w:rsidR="0047413E" w:rsidRPr="008A3EC2" w:rsidRDefault="0047413E" w:rsidP="00DA31D7">
      <w:pPr>
        <w:ind w:left="1440"/>
        <w:rPr>
          <w:rFonts w:eastAsia="Calibri" w:cs="Times New Roman"/>
        </w:rPr>
      </w:pPr>
      <w:r w:rsidRPr="008A3EC2">
        <w:rPr>
          <w:rFonts w:eastAsia="Calibri" w:cs="Times New Roman"/>
        </w:rPr>
        <w:t>Equity partners’ pro rata share of profits, as well as guaranteed payments to equity or non-equity partners, are included in PTE taxable income. Guaranteed payments are considered distributive income. The deduction for guaranteed payments on federal Form 1065, Line 10 is added back to federal Form 1065, Schedule, K, Line 4.</w:t>
      </w:r>
    </w:p>
    <w:p w14:paraId="088C9780" w14:textId="77777777" w:rsidR="0047413E" w:rsidRPr="008A3EC2" w:rsidRDefault="0047413E" w:rsidP="0047413E">
      <w:pPr>
        <w:pBdr>
          <w:bottom w:val="single" w:sz="4" w:space="0" w:color="auto"/>
        </w:pBdr>
        <w:rPr>
          <w:rFonts w:eastAsia="Calibri" w:cs="Times New Roman"/>
        </w:rPr>
      </w:pPr>
    </w:p>
    <w:p w14:paraId="149CC6DF"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0" w:name="_Toc153291184"/>
      <w:r w:rsidRPr="008A3EC2">
        <w:rPr>
          <w:rFonts w:ascii="Californian FB" w:eastAsia="Times New Roman" w:hAnsi="Californian FB" w:cs="Times New Roman"/>
          <w:b/>
          <w:color w:val="851C00"/>
          <w:sz w:val="24"/>
          <w:szCs w:val="24"/>
          <w:u w:val="single"/>
        </w:rPr>
        <w:t>Massachusetts</w:t>
      </w:r>
      <w:bookmarkEnd w:id="70"/>
    </w:p>
    <w:p w14:paraId="5D86036B" w14:textId="77777777" w:rsidR="0047413E" w:rsidRPr="008A3EC2" w:rsidRDefault="0047413E" w:rsidP="00DA31D7">
      <w:pPr>
        <w:ind w:left="720"/>
        <w:rPr>
          <w:rFonts w:eastAsia="Calibri" w:cs="Times New Roman"/>
        </w:rPr>
      </w:pPr>
      <w:r w:rsidRPr="008A3EC2">
        <w:rPr>
          <w:rFonts w:eastAsia="Calibri" w:cs="Times New Roman"/>
        </w:rPr>
        <w:t>830 Mass. Code Regs. 62.5A.1</w:t>
      </w:r>
    </w:p>
    <w:p w14:paraId="793E18BA" w14:textId="77777777" w:rsidR="0047413E" w:rsidRPr="008A3EC2" w:rsidRDefault="0047413E" w:rsidP="00DA31D7">
      <w:pPr>
        <w:ind w:left="1440"/>
        <w:rPr>
          <w:rFonts w:eastAsia="Calibri" w:cs="Times New Roman"/>
        </w:rPr>
      </w:pPr>
      <w:r w:rsidRPr="008A3EC2">
        <w:rPr>
          <w:rFonts w:eastAsia="Calibri" w:cs="Times New Roman"/>
        </w:rPr>
        <w:t>(6) Rules for Allocation or Apportionment of Income to Massachusetts for Non-resident Members of Pass-through Entities. A pass-through entity that earns or derives income from sources both within Massachusetts and elsewhere must either allocate or apportion the income to determine the amount of Massachusetts source income of its non-</w:t>
      </w:r>
      <w:r w:rsidRPr="008A3EC2">
        <w:rPr>
          <w:rFonts w:eastAsia="Calibri" w:cs="Times New Roman"/>
        </w:rPr>
        <w:lastRenderedPageBreak/>
        <w:t>resident members, using the following allocation and apportionment provisions. 830 CMR 62.5A 1(6) applies to pass-through entities with non-resident members that have Massachusetts source income. Non-resident individuals use the rules at 830 CMR 62.5A.1(5). The Commissioner may by rule or other public statement create alternate allocation and apportionment methods.</w:t>
      </w:r>
    </w:p>
    <w:p w14:paraId="5E47973F" w14:textId="77777777" w:rsidR="0047413E" w:rsidRPr="008A3EC2" w:rsidRDefault="0047413E" w:rsidP="00DA31D7">
      <w:pPr>
        <w:ind w:left="1440" w:firstLine="720"/>
        <w:rPr>
          <w:rFonts w:eastAsia="Calibri" w:cs="Times New Roman"/>
        </w:rPr>
      </w:pPr>
      <w:r w:rsidRPr="008A3EC2">
        <w:rPr>
          <w:rFonts w:eastAsia="Calibri" w:cs="Times New Roman"/>
        </w:rPr>
        <w:t>(a) General. A pass-through entity that has income that is taxable both within and outside of Massachusetts must report the member's apportioned share of income to the member. To arrive at the apportioned income figure, the pass-through entity must multiply its taxable net income by the apportionment percentage determined under M.G.L. c. 63, § 38(c) through (g) and 830 CMR 63.38.1. For Massachusetts purposes, the pass-through entity's income subject to apportionment is its entire net income derived from its related business activities, as that term is defined at 830 CMR 62.5A.1(2), and further described at 830 CMR 62.5A.1(6)(d), within and outside of Massachusetts. The entity's income subject to Massachusetts tax is its apportioned net income derived from its related business activities, plus any other income subject to the tax jurisdiction of Massachusetts. Guaranteed payments made to pass-through entity members are treated as other income of the pass-through entity is treated, and are subject to the apportionment rules in 830 CMR 62.5A.1(6)(a).</w:t>
      </w:r>
    </w:p>
    <w:p w14:paraId="4DE5001A" w14:textId="77777777" w:rsidR="0047413E" w:rsidRPr="008A3EC2" w:rsidRDefault="0047413E" w:rsidP="00DA31D7">
      <w:pPr>
        <w:ind w:left="720"/>
        <w:rPr>
          <w:rFonts w:eastAsia="Calibri" w:cs="Times New Roman"/>
        </w:rPr>
      </w:pPr>
      <w:r w:rsidRPr="008A3EC2">
        <w:rPr>
          <w:rFonts w:eastAsia="Calibri" w:cs="Times New Roman"/>
        </w:rPr>
        <w:t>Massachusetts Technical Information Release No. 22-6 (March 18, 2022)</w:t>
      </w:r>
    </w:p>
    <w:p w14:paraId="6541B132" w14:textId="77777777" w:rsidR="0047413E" w:rsidRPr="00FF4B36" w:rsidRDefault="0047413E" w:rsidP="00DA31D7">
      <w:pPr>
        <w:ind w:left="1440"/>
        <w:rPr>
          <w:rFonts w:eastAsia="Calibri" w:cs="Times New Roman"/>
        </w:rPr>
      </w:pPr>
      <w:r w:rsidRPr="00FF4B36">
        <w:rPr>
          <w:rFonts w:eastAsia="Calibri" w:cs="Times New Roman"/>
        </w:rPr>
        <w:t>PTE Excise is imposed on the total amount of an entity's income that passes through to qualified members and that is subject to tax under chapter 62, as reported by the entity to its members on the entity's Massachusetts Schedule K-1s, including guaranteed payments.</w:t>
      </w:r>
    </w:p>
    <w:p w14:paraId="2437BD82" w14:textId="77777777" w:rsidR="0047413E" w:rsidRPr="008A3EC2" w:rsidRDefault="0047413E" w:rsidP="0047413E">
      <w:pPr>
        <w:pBdr>
          <w:bottom w:val="single" w:sz="4" w:space="1" w:color="auto"/>
        </w:pBdr>
        <w:rPr>
          <w:rFonts w:eastAsia="Calibri" w:cs="Times New Roman"/>
        </w:rPr>
      </w:pPr>
      <w:bookmarkStart w:id="71" w:name="_Toc104209240"/>
    </w:p>
    <w:p w14:paraId="096DDEC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2" w:name="_Toc153291185"/>
      <w:r w:rsidRPr="008A3EC2">
        <w:rPr>
          <w:rFonts w:ascii="Californian FB" w:eastAsia="Times New Roman" w:hAnsi="Californian FB" w:cs="Times New Roman"/>
          <w:b/>
          <w:color w:val="851C00"/>
          <w:sz w:val="24"/>
          <w:szCs w:val="24"/>
          <w:u w:val="single"/>
        </w:rPr>
        <w:t>Michigan</w:t>
      </w:r>
      <w:bookmarkEnd w:id="72"/>
    </w:p>
    <w:p w14:paraId="570719E8" w14:textId="77777777" w:rsidR="0047413E" w:rsidRPr="008A3EC2" w:rsidRDefault="0047413E" w:rsidP="00DA31D7">
      <w:pPr>
        <w:ind w:left="720"/>
        <w:rPr>
          <w:rFonts w:eastAsia="Calibri" w:cs="Times New Roman"/>
        </w:rPr>
      </w:pPr>
      <w:r w:rsidRPr="008A3EC2">
        <w:rPr>
          <w:rFonts w:eastAsia="Calibri" w:cs="Times New Roman"/>
        </w:rPr>
        <w:t>Michigan Revenue Administrative Bulletin 1988-31 (05/27/1988)</w:t>
      </w:r>
    </w:p>
    <w:p w14:paraId="4679AEED" w14:textId="77777777" w:rsidR="0047413E" w:rsidRPr="008A3EC2" w:rsidRDefault="0047413E" w:rsidP="00DA31D7">
      <w:pPr>
        <w:ind w:left="1440"/>
        <w:rPr>
          <w:rFonts w:eastAsia="Calibri" w:cs="Times New Roman"/>
        </w:rPr>
      </w:pPr>
      <w:r w:rsidRPr="008A3EC2">
        <w:rPr>
          <w:rFonts w:eastAsia="Calibri" w:cs="Times New Roman"/>
        </w:rPr>
        <w:t>A guaranteed payment as defined under the Internal Revenue Code of 1986 Section 707(c) which is determined to be compensation for services rendered or for the use of capital is not considered a distributive share of the partnership's profits. The payment, to the extent included in federal adjusted gross income, is characterized as compensation or interest on the individual's return. . . A nonresident partner is taxed on a guaranteed payment to the extent the payment is includable in federal adjusted gross income and is for compensation received for personal services performed in this State. A guaranteed payment for the use of capital is allocated to the nonresident partner's state of domicile.</w:t>
      </w:r>
    </w:p>
    <w:p w14:paraId="2459E957" w14:textId="77777777" w:rsidR="0047413E" w:rsidRPr="008A3EC2" w:rsidRDefault="0047413E" w:rsidP="00DA31D7">
      <w:pPr>
        <w:ind w:left="720"/>
        <w:rPr>
          <w:rFonts w:eastAsia="Calibri" w:cs="Times New Roman"/>
        </w:rPr>
      </w:pPr>
      <w:r w:rsidRPr="008A3EC2">
        <w:rPr>
          <w:rFonts w:eastAsia="Calibri" w:cs="Times New Roman"/>
        </w:rPr>
        <w:t>Mich. Comp. Laws § 206.815</w:t>
      </w:r>
    </w:p>
    <w:p w14:paraId="285967DA" w14:textId="77777777" w:rsidR="0047413E" w:rsidRPr="008A3EC2" w:rsidRDefault="0047413E" w:rsidP="00DA31D7">
      <w:pPr>
        <w:ind w:left="1440"/>
        <w:rPr>
          <w:rFonts w:eastAsia="Calibri" w:cs="Times New Roman"/>
        </w:rPr>
      </w:pPr>
      <w:r w:rsidRPr="008A3EC2">
        <w:rPr>
          <w:rFonts w:eastAsia="Calibri" w:cs="Times New Roman"/>
        </w:rPr>
        <w:t>Deduct guaranteed payments for services rendered by a member who is an individual to the extent that those guaranteed payments were included in federal taxable income</w:t>
      </w:r>
      <w:r>
        <w:rPr>
          <w:rFonts w:eastAsia="Calibri" w:cs="Times New Roman"/>
        </w:rPr>
        <w:t>.</w:t>
      </w:r>
    </w:p>
    <w:p w14:paraId="08F1E759" w14:textId="77777777" w:rsidR="0047413E" w:rsidRPr="008A3EC2" w:rsidRDefault="0047413E" w:rsidP="0047413E">
      <w:pPr>
        <w:pBdr>
          <w:bottom w:val="single" w:sz="4" w:space="0" w:color="auto"/>
        </w:pBdr>
        <w:rPr>
          <w:rFonts w:eastAsia="Calibri" w:cs="Times New Roman"/>
        </w:rPr>
      </w:pPr>
    </w:p>
    <w:p w14:paraId="4344E9F1"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3" w:name="_Toc153291186"/>
      <w:r w:rsidRPr="008A3EC2">
        <w:rPr>
          <w:rFonts w:ascii="Californian FB" w:eastAsia="Times New Roman" w:hAnsi="Californian FB" w:cs="Times New Roman"/>
          <w:b/>
          <w:color w:val="851C00"/>
          <w:sz w:val="24"/>
          <w:szCs w:val="24"/>
          <w:u w:val="single"/>
        </w:rPr>
        <w:t>M</w:t>
      </w:r>
      <w:bookmarkEnd w:id="71"/>
      <w:r w:rsidRPr="008A3EC2">
        <w:rPr>
          <w:rFonts w:ascii="Californian FB" w:eastAsia="Times New Roman" w:hAnsi="Californian FB" w:cs="Times New Roman"/>
          <w:b/>
          <w:color w:val="851C00"/>
          <w:sz w:val="24"/>
          <w:szCs w:val="24"/>
          <w:u w:val="single"/>
        </w:rPr>
        <w:t>innesota</w:t>
      </w:r>
      <w:bookmarkEnd w:id="73"/>
    </w:p>
    <w:p w14:paraId="45CFADA0" w14:textId="77777777" w:rsidR="0047413E" w:rsidRDefault="0047413E" w:rsidP="00DA31D7">
      <w:pPr>
        <w:ind w:left="720"/>
        <w:contextualSpacing/>
        <w:rPr>
          <w:rFonts w:eastAsia="Calibri" w:cs="Times New Roman"/>
        </w:rPr>
      </w:pPr>
      <w:r w:rsidRPr="008A3EC2">
        <w:rPr>
          <w:rFonts w:eastAsia="Calibri" w:cs="Times New Roman"/>
        </w:rPr>
        <w:t>Minn. R. 8002.0200(3)</w:t>
      </w:r>
    </w:p>
    <w:p w14:paraId="78D14C3E" w14:textId="77777777" w:rsidR="00DA31D7" w:rsidRPr="008A3EC2" w:rsidRDefault="00DA31D7" w:rsidP="00DA31D7">
      <w:pPr>
        <w:ind w:left="720"/>
        <w:contextualSpacing/>
        <w:rPr>
          <w:rFonts w:eastAsia="Calibri" w:cs="Times New Roman"/>
        </w:rPr>
      </w:pPr>
    </w:p>
    <w:p w14:paraId="4B449C41" w14:textId="77777777" w:rsidR="0047413E" w:rsidRPr="008A3EC2" w:rsidRDefault="0047413E" w:rsidP="00DA31D7">
      <w:pPr>
        <w:ind w:left="1440"/>
        <w:rPr>
          <w:rFonts w:eastAsia="Calibri" w:cs="Times New Roman"/>
        </w:rPr>
      </w:pPr>
      <w:r w:rsidRPr="008A3EC2">
        <w:rPr>
          <w:rFonts w:eastAsia="Calibri" w:cs="Times New Roman"/>
        </w:rPr>
        <w:t>Income received by a nonresident, which is the distributive share of partnership income from personal or professional services which are performed in Minnesota, is assignable to Minnesota in the same proportion as the partnership income is assignable to Minnesota even though the nonresident partner performed no personal or professional services in Minnesota during that year.</w:t>
      </w:r>
    </w:p>
    <w:p w14:paraId="72657830" w14:textId="77777777" w:rsidR="0047413E" w:rsidRDefault="0047413E" w:rsidP="008C5D0D">
      <w:pPr>
        <w:ind w:left="720"/>
        <w:contextualSpacing/>
        <w:rPr>
          <w:rFonts w:eastAsia="Calibri" w:cs="Times New Roman"/>
        </w:rPr>
      </w:pPr>
      <w:r w:rsidRPr="008A3EC2">
        <w:rPr>
          <w:rFonts w:eastAsia="Calibri" w:cs="Times New Roman"/>
        </w:rPr>
        <w:lastRenderedPageBreak/>
        <w:t>Form M3 Instructions for 2022</w:t>
      </w:r>
    </w:p>
    <w:p w14:paraId="4785F0F5" w14:textId="77777777" w:rsidR="00DA31D7" w:rsidRPr="008A3EC2" w:rsidRDefault="00DA31D7" w:rsidP="008C5D0D">
      <w:pPr>
        <w:ind w:left="720"/>
        <w:contextualSpacing/>
        <w:rPr>
          <w:rFonts w:eastAsia="Calibri" w:cs="Times New Roman"/>
        </w:rPr>
      </w:pPr>
    </w:p>
    <w:p w14:paraId="39C0B735" w14:textId="77777777" w:rsidR="0047413E" w:rsidRPr="008A3EC2" w:rsidRDefault="0047413E" w:rsidP="008C5D0D">
      <w:pPr>
        <w:ind w:left="1440"/>
        <w:contextualSpacing/>
        <w:rPr>
          <w:rFonts w:eastAsia="Calibri" w:cs="Times New Roman"/>
        </w:rPr>
      </w:pPr>
      <w:r w:rsidRPr="008A3EC2">
        <w:rPr>
          <w:rFonts w:eastAsia="Calibri" w:cs="Times New Roman"/>
        </w:rPr>
        <w:t>Guaranteed payments to partners (including for services and use of capital) make up a portion of the partner’s distributive share of partnership income. Accordingly, to determine the Minnesota portion of each partner’s share of guaranteed payments, multiply the amount reported to the partner on Schedule K-1, line 4, to Minnesota using the same apportionment percentage or assignment ratio used to allocate the income from which the guaranteed payment was deducted federally.</w:t>
      </w:r>
    </w:p>
    <w:p w14:paraId="31414A24" w14:textId="77777777" w:rsidR="0047413E" w:rsidRPr="008A3EC2" w:rsidRDefault="0047413E" w:rsidP="0047413E">
      <w:pPr>
        <w:pBdr>
          <w:bottom w:val="single" w:sz="4" w:space="1" w:color="auto"/>
        </w:pBdr>
        <w:rPr>
          <w:rFonts w:eastAsia="Calibri" w:cs="Times New Roman"/>
        </w:rPr>
      </w:pPr>
      <w:bookmarkStart w:id="74" w:name="_Toc104209241"/>
    </w:p>
    <w:p w14:paraId="30C61169"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5" w:name="_Toc153291187"/>
      <w:r w:rsidRPr="008A3EC2">
        <w:rPr>
          <w:rFonts w:ascii="Californian FB" w:eastAsia="Times New Roman" w:hAnsi="Californian FB" w:cs="Times New Roman"/>
          <w:b/>
          <w:color w:val="851C00"/>
          <w:sz w:val="24"/>
          <w:szCs w:val="24"/>
          <w:u w:val="single"/>
        </w:rPr>
        <w:t>Mississippi</w:t>
      </w:r>
      <w:bookmarkEnd w:id="75"/>
    </w:p>
    <w:p w14:paraId="3996A3D0" w14:textId="77777777" w:rsidR="0047413E" w:rsidRPr="008A3EC2" w:rsidRDefault="0047413E" w:rsidP="00DA31D7">
      <w:pPr>
        <w:ind w:left="720"/>
        <w:rPr>
          <w:rFonts w:eastAsia="Calibri" w:cs="Times New Roman"/>
        </w:rPr>
      </w:pPr>
      <w:r w:rsidRPr="008A3EC2">
        <w:rPr>
          <w:rFonts w:eastAsia="Calibri" w:cs="Times New Roman"/>
        </w:rPr>
        <w:t>Miss. Code R. § 35.III.9.01.101.4</w:t>
      </w:r>
    </w:p>
    <w:p w14:paraId="63174504" w14:textId="77777777" w:rsidR="0047413E" w:rsidRPr="008A3EC2" w:rsidRDefault="0047413E" w:rsidP="00DA31D7">
      <w:pPr>
        <w:ind w:left="1440"/>
        <w:rPr>
          <w:rFonts w:eastAsia="Calibri" w:cs="Times New Roman"/>
        </w:rPr>
      </w:pPr>
      <w:r w:rsidRPr="008A3EC2">
        <w:rPr>
          <w:rFonts w:eastAsia="Calibri" w:cs="Times New Roman"/>
        </w:rPr>
        <w:t>Payments made to a partner for services rendered and for interest on capital contributions are not deductible in computing the net income of the partnership, such payments being held to represent a division of partner profits.</w:t>
      </w:r>
    </w:p>
    <w:p w14:paraId="0EBF9E38" w14:textId="77777777" w:rsidR="0047413E" w:rsidRPr="008A3EC2" w:rsidRDefault="0047413E" w:rsidP="0047413E">
      <w:pPr>
        <w:pBdr>
          <w:bottom w:val="single" w:sz="4" w:space="1" w:color="auto"/>
        </w:pBdr>
        <w:rPr>
          <w:rFonts w:eastAsia="Calibri" w:cs="Times New Roman"/>
        </w:rPr>
      </w:pPr>
    </w:p>
    <w:p w14:paraId="6825962B"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6" w:name="_Toc153291188"/>
      <w:r w:rsidRPr="008A3EC2">
        <w:rPr>
          <w:rFonts w:ascii="Californian FB" w:eastAsia="Times New Roman" w:hAnsi="Californian FB" w:cs="Times New Roman"/>
          <w:b/>
          <w:color w:val="851C00"/>
          <w:sz w:val="24"/>
          <w:szCs w:val="24"/>
          <w:u w:val="single"/>
        </w:rPr>
        <w:t>Missouri</w:t>
      </w:r>
      <w:bookmarkEnd w:id="76"/>
    </w:p>
    <w:p w14:paraId="04FEE8EF" w14:textId="77777777" w:rsidR="0047413E" w:rsidRPr="008A3EC2" w:rsidRDefault="0047413E" w:rsidP="00DA31D7">
      <w:pPr>
        <w:ind w:left="720"/>
        <w:rPr>
          <w:rFonts w:eastAsia="Calibri" w:cs="Times New Roman"/>
        </w:rPr>
      </w:pPr>
      <w:r w:rsidRPr="008A3EC2">
        <w:rPr>
          <w:rFonts w:eastAsia="Calibri" w:cs="Times New Roman"/>
        </w:rPr>
        <w:t>Mo. Rev. Stat. § 143.421</w:t>
      </w:r>
    </w:p>
    <w:p w14:paraId="423ACF39" w14:textId="77777777" w:rsidR="0047413E" w:rsidRPr="008A3EC2" w:rsidRDefault="0047413E" w:rsidP="00DA31D7">
      <w:pPr>
        <w:ind w:left="1440"/>
        <w:rPr>
          <w:rFonts w:eastAsia="Calibri" w:cs="Times New Roman"/>
        </w:rPr>
      </w:pPr>
      <w:r w:rsidRPr="008A3EC2">
        <w:rPr>
          <w:rFonts w:eastAsia="Calibri" w:cs="Times New Roman"/>
        </w:rPr>
        <w:t>2. In determining the source of a nonresident partner's adjusted gross income, no effect shall be given to a provision in the partnership agreement which:</w:t>
      </w:r>
    </w:p>
    <w:p w14:paraId="652C9299" w14:textId="77777777" w:rsidR="0047413E" w:rsidRPr="008A3EC2" w:rsidRDefault="0047413E" w:rsidP="00DA31D7">
      <w:pPr>
        <w:ind w:left="1440" w:firstLine="720"/>
        <w:rPr>
          <w:rFonts w:eastAsia="Calibri" w:cs="Times New Roman"/>
        </w:rPr>
      </w:pPr>
      <w:r w:rsidRPr="008A3EC2">
        <w:rPr>
          <w:rFonts w:eastAsia="Calibri" w:cs="Times New Roman"/>
        </w:rPr>
        <w:t>(1) Characterizes payments to the partner as being for services or for the use of capital, or allocated to the partner, as income or gain from sources outside this state, a greater proportion of his distributive share of partnership income or gain than the ratio of partnership income or gain from sources outside this state to partnership income or gain from all sources, except as authorized in subsection 4; . . .</w:t>
      </w:r>
    </w:p>
    <w:p w14:paraId="7A00F010" w14:textId="77777777" w:rsidR="0047413E" w:rsidRPr="008A3EC2" w:rsidRDefault="0047413E" w:rsidP="0047413E">
      <w:pPr>
        <w:pBdr>
          <w:bottom w:val="single" w:sz="4" w:space="1" w:color="auto"/>
        </w:pBdr>
        <w:rPr>
          <w:rFonts w:eastAsia="Calibri" w:cs="Times New Roman"/>
        </w:rPr>
      </w:pPr>
    </w:p>
    <w:p w14:paraId="11069904"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7" w:name="_Toc153291189"/>
      <w:r w:rsidRPr="008A3EC2">
        <w:rPr>
          <w:rFonts w:ascii="Californian FB" w:eastAsia="Times New Roman" w:hAnsi="Californian FB" w:cs="Times New Roman"/>
          <w:b/>
          <w:color w:val="851C00"/>
          <w:sz w:val="24"/>
          <w:szCs w:val="24"/>
          <w:u w:val="single"/>
        </w:rPr>
        <w:t>Montana</w:t>
      </w:r>
      <w:bookmarkEnd w:id="77"/>
    </w:p>
    <w:p w14:paraId="4528E407" w14:textId="77777777" w:rsidR="0047413E" w:rsidRPr="008A3EC2" w:rsidRDefault="0047413E" w:rsidP="00DA31D7">
      <w:pPr>
        <w:ind w:left="720"/>
        <w:rPr>
          <w:rFonts w:eastAsia="Calibri" w:cs="Times New Roman"/>
        </w:rPr>
      </w:pPr>
      <w:r w:rsidRPr="008A3EC2">
        <w:rPr>
          <w:rFonts w:eastAsia="Calibri" w:cs="Times New Roman"/>
        </w:rPr>
        <w:t>Mont. Admin. R. 42.9.303</w:t>
      </w:r>
    </w:p>
    <w:p w14:paraId="4CC0B583" w14:textId="77777777" w:rsidR="0047413E" w:rsidRPr="008A3EC2" w:rsidRDefault="0047413E" w:rsidP="00DA31D7">
      <w:pPr>
        <w:ind w:left="1440"/>
        <w:rPr>
          <w:rFonts w:eastAsia="Calibri" w:cs="Times New Roman"/>
        </w:rPr>
      </w:pPr>
      <w:r w:rsidRPr="008A3EC2">
        <w:rPr>
          <w:rFonts w:eastAsia="Calibri" w:cs="Times New Roman"/>
        </w:rPr>
        <w:t>(1) Except as provided in (2) and (3), guaranteed payments made to individual partners pursuant to section 707 of the Internal Revenue Code, 26 U.S.C. 707, are sourced to Montana based upon the Montana apportionment factor of the partnership. For example:</w:t>
      </w:r>
    </w:p>
    <w:p w14:paraId="18003BAF" w14:textId="77777777" w:rsidR="0047413E" w:rsidRPr="008A3EC2" w:rsidRDefault="0047413E" w:rsidP="00DA31D7">
      <w:pPr>
        <w:ind w:left="1440" w:firstLine="720"/>
        <w:rPr>
          <w:rFonts w:eastAsia="Calibri" w:cs="Times New Roman"/>
        </w:rPr>
      </w:pPr>
      <w:r w:rsidRPr="008A3EC2">
        <w:rPr>
          <w:rFonts w:eastAsia="Calibri" w:cs="Times New Roman"/>
        </w:rPr>
        <w:t>(a) A nonresident taxpayer's federal adjusted gross income includes three hundred thousand dollars ($300,000) of guaranteed payments for a designated use of capital received from a partnership that has a fifty percent (50%) Montana apportionment factor. One hundred and fifty thousand dollars ($150,000) of the guaranteed payments are included in the partner's gross income from Montana sources based on the apportionment factor of the partnership.</w:t>
      </w:r>
    </w:p>
    <w:p w14:paraId="5BFE5AED" w14:textId="77777777" w:rsidR="0047413E" w:rsidRPr="008A3EC2" w:rsidRDefault="0047413E" w:rsidP="00DA31D7">
      <w:pPr>
        <w:ind w:left="1440"/>
        <w:rPr>
          <w:rFonts w:eastAsia="Calibri" w:cs="Times New Roman"/>
        </w:rPr>
      </w:pPr>
      <w:r w:rsidRPr="008A3EC2">
        <w:rPr>
          <w:rFonts w:eastAsia="Calibri" w:cs="Times New Roman"/>
        </w:rPr>
        <w:t>(2) Guaranteed payments made to a retired partner, per 4 U.S.C., section 114(b)(1)(I), are sourced to the recipient's state of domicile.</w:t>
      </w:r>
    </w:p>
    <w:p w14:paraId="47F31256" w14:textId="77777777" w:rsidR="0047413E" w:rsidRPr="008A3EC2" w:rsidRDefault="0047413E" w:rsidP="00DA31D7">
      <w:pPr>
        <w:ind w:left="1440"/>
        <w:rPr>
          <w:rFonts w:eastAsia="Calibri" w:cs="Times New Roman"/>
        </w:rPr>
      </w:pPr>
      <w:r w:rsidRPr="008A3EC2">
        <w:rPr>
          <w:rFonts w:eastAsia="Calibri" w:cs="Times New Roman"/>
        </w:rPr>
        <w:t>(3) Guaranteed payments made to an individual partner as compensation for services are sourced to Montana if the services provided by the individual partner are performed in the state. For example:</w:t>
      </w:r>
    </w:p>
    <w:p w14:paraId="531337B8" w14:textId="77777777" w:rsidR="0047413E" w:rsidRPr="008A3EC2" w:rsidRDefault="0047413E" w:rsidP="00DA31D7">
      <w:pPr>
        <w:ind w:left="1440" w:firstLine="720"/>
        <w:rPr>
          <w:rFonts w:eastAsia="Calibri" w:cs="Times New Roman"/>
        </w:rPr>
      </w:pPr>
      <w:r w:rsidRPr="008A3EC2">
        <w:rPr>
          <w:rFonts w:eastAsia="Calibri" w:cs="Times New Roman"/>
        </w:rPr>
        <w:lastRenderedPageBreak/>
        <w:t>(a) A nonresident taxpayer's federal adjusted gross income includes five thousand dollars ($5,000) of guaranteed payments for services performed outside of Montana received from a partnership that has a fifty percent (50%) Montana apportionment factor. None of the guaranteed payments are included in the partner's gross income from Montana sources because the services were performed outside of Montana.</w:t>
      </w:r>
    </w:p>
    <w:p w14:paraId="234D7CD1" w14:textId="77777777" w:rsidR="0047413E" w:rsidRPr="008A3EC2" w:rsidRDefault="0047413E" w:rsidP="00DA31D7">
      <w:pPr>
        <w:ind w:left="1440" w:firstLine="720"/>
        <w:rPr>
          <w:rFonts w:eastAsia="Calibri" w:cs="Times New Roman"/>
        </w:rPr>
      </w:pPr>
      <w:r w:rsidRPr="008A3EC2">
        <w:rPr>
          <w:rFonts w:eastAsia="Calibri" w:cs="Times New Roman"/>
        </w:rPr>
        <w:t>(b) A nonresident taxpayer's federal adjusted gross income includes five thousand dollars ($5,000) of guaranteed payments for services performed in Montana received from a partnership that has a fifty percent (50%) Montana apportionment factor. All of the guaranteed payments are included in the partner's gross income from Montana sources because the services were performed in Montana.</w:t>
      </w:r>
    </w:p>
    <w:p w14:paraId="6EBA11C6" w14:textId="77777777" w:rsidR="0047413E" w:rsidRPr="008A3EC2" w:rsidRDefault="0047413E" w:rsidP="0047413E">
      <w:pPr>
        <w:pBdr>
          <w:bottom w:val="single" w:sz="4" w:space="1" w:color="auto"/>
        </w:pBdr>
        <w:rPr>
          <w:rFonts w:eastAsia="Calibri" w:cs="Times New Roman"/>
        </w:rPr>
      </w:pPr>
    </w:p>
    <w:p w14:paraId="7348CD71"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8" w:name="_Toc153291190"/>
      <w:r w:rsidRPr="008A3EC2">
        <w:rPr>
          <w:rFonts w:ascii="Californian FB" w:eastAsia="Times New Roman" w:hAnsi="Californian FB" w:cs="Times New Roman"/>
          <w:b/>
          <w:color w:val="851C00"/>
          <w:sz w:val="24"/>
          <w:szCs w:val="24"/>
          <w:u w:val="single"/>
        </w:rPr>
        <w:t>Nebraska</w:t>
      </w:r>
      <w:bookmarkEnd w:id="78"/>
    </w:p>
    <w:p w14:paraId="4AFE5346" w14:textId="77777777" w:rsidR="0047413E" w:rsidRPr="008A3EC2" w:rsidRDefault="0047413E" w:rsidP="00DA31D7">
      <w:pPr>
        <w:ind w:left="720"/>
        <w:rPr>
          <w:rFonts w:eastAsia="Calibri" w:cs="Times New Roman"/>
        </w:rPr>
      </w:pPr>
      <w:r w:rsidRPr="008A3EC2">
        <w:rPr>
          <w:rFonts w:eastAsia="Calibri" w:cs="Times New Roman"/>
        </w:rPr>
        <w:t>Neb. Rev. Stat. § 77-2729(2)</w:t>
      </w:r>
    </w:p>
    <w:p w14:paraId="19CD7B93" w14:textId="77777777" w:rsidR="0047413E" w:rsidRPr="008A3EC2" w:rsidRDefault="0047413E" w:rsidP="00DA31D7">
      <w:pPr>
        <w:ind w:left="1440"/>
        <w:rPr>
          <w:rFonts w:eastAsia="Calibri" w:cs="Times New Roman"/>
        </w:rPr>
      </w:pPr>
      <w:r w:rsidRPr="008A3EC2">
        <w:rPr>
          <w:rFonts w:eastAsia="Calibri" w:cs="Times New Roman"/>
        </w:rPr>
        <w:t>In determining the sources of a nonresident partner's income, no effect shall be given to a provision in the partnership agreement which:</w:t>
      </w:r>
    </w:p>
    <w:p w14:paraId="7B0A7364" w14:textId="77777777" w:rsidR="0047413E" w:rsidRPr="008A3EC2" w:rsidRDefault="0047413E" w:rsidP="00DA31D7">
      <w:pPr>
        <w:ind w:left="1440" w:firstLine="720"/>
        <w:rPr>
          <w:rFonts w:eastAsia="Calibri" w:cs="Times New Roman"/>
        </w:rPr>
      </w:pPr>
      <w:r w:rsidRPr="008A3EC2">
        <w:rPr>
          <w:rFonts w:eastAsia="Calibri" w:cs="Times New Roman"/>
        </w:rPr>
        <w:t>(a) Characterizes payments to the partner as being for services or for the use of capital, or allocated to the partner, as income or gain from sources outside this state, a greater proportion of his or her distributive share of partnership income or gain than the ratio of partnership income or gain from sources outside this state to partnership income or gain from all sources, except as authorized in subsection (4) of this section; or</w:t>
      </w:r>
    </w:p>
    <w:p w14:paraId="5AF9BDFC" w14:textId="77777777" w:rsidR="0047413E" w:rsidRPr="008A3EC2" w:rsidRDefault="0047413E" w:rsidP="00DA31D7">
      <w:pPr>
        <w:ind w:left="1440" w:firstLine="720"/>
        <w:rPr>
          <w:rFonts w:eastAsia="Calibri" w:cs="Times New Roman"/>
        </w:rPr>
      </w:pPr>
      <w:r w:rsidRPr="008A3EC2">
        <w:rPr>
          <w:rFonts w:eastAsia="Calibri" w:cs="Times New Roman"/>
        </w:rPr>
        <w:t>(b) Allocates to the partner a greater proportion of a partnership item of loss or deduction connected with sources in this state than his or her proportionate share, for federal income tax purposes, of partnership loss or deduction generally, except as authorized in subsection (4) of this section.</w:t>
      </w:r>
    </w:p>
    <w:p w14:paraId="39FA53B9" w14:textId="77777777" w:rsidR="0047413E" w:rsidRPr="008A3EC2" w:rsidRDefault="0047413E" w:rsidP="0047413E">
      <w:pPr>
        <w:pBdr>
          <w:bottom w:val="single" w:sz="4" w:space="1" w:color="auto"/>
        </w:pBdr>
        <w:ind w:firstLine="720"/>
        <w:rPr>
          <w:rFonts w:eastAsia="Calibri" w:cs="Times New Roman"/>
        </w:rPr>
      </w:pPr>
    </w:p>
    <w:p w14:paraId="536ABE9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79" w:name="_Toc153291191"/>
      <w:r w:rsidRPr="008A3EC2">
        <w:rPr>
          <w:rFonts w:ascii="Californian FB" w:eastAsia="Times New Roman" w:hAnsi="Californian FB" w:cs="Times New Roman"/>
          <w:b/>
          <w:color w:val="851C00"/>
          <w:sz w:val="24"/>
          <w:szCs w:val="24"/>
          <w:u w:val="single"/>
        </w:rPr>
        <w:t>New Jersey</w:t>
      </w:r>
      <w:bookmarkEnd w:id="79"/>
    </w:p>
    <w:p w14:paraId="411F8825" w14:textId="77777777" w:rsidR="0047413E" w:rsidRPr="008A3EC2" w:rsidRDefault="0047413E" w:rsidP="00DA31D7">
      <w:pPr>
        <w:ind w:left="720"/>
        <w:rPr>
          <w:rFonts w:eastAsia="Calibri" w:cs="Times New Roman"/>
        </w:rPr>
      </w:pPr>
      <w:r w:rsidRPr="008A3EC2">
        <w:rPr>
          <w:rFonts w:eastAsia="Calibri" w:cs="Times New Roman"/>
        </w:rPr>
        <w:t>N.J. Admin. Code § 18:35-1.3(d)3</w:t>
      </w:r>
    </w:p>
    <w:p w14:paraId="71B6B7A0" w14:textId="77777777" w:rsidR="0047413E" w:rsidRPr="008A3EC2" w:rsidRDefault="0047413E" w:rsidP="00DA31D7">
      <w:pPr>
        <w:ind w:left="1440"/>
        <w:rPr>
          <w:rFonts w:eastAsia="Calibri" w:cs="Times New Roman"/>
        </w:rPr>
      </w:pPr>
      <w:r w:rsidRPr="008A3EC2">
        <w:rPr>
          <w:rFonts w:eastAsia="Calibri" w:cs="Times New Roman"/>
        </w:rPr>
        <w:t>Guaranteed payments shall be reported as distributive share of partnership income, except guaranteed payments received by a retired partner who is receiving such payments as a result of a period of service to the partnership pursuant to a retirement agreement or pension plan. Such guaranteed payments will be treated as pension income to retired partners and shall be reported by the partner as pension income, described in 54A:5-1.j.</w:t>
      </w:r>
    </w:p>
    <w:p w14:paraId="27245815" w14:textId="77777777" w:rsidR="0047413E" w:rsidRPr="00E44340" w:rsidRDefault="0047413E" w:rsidP="00DA31D7">
      <w:pPr>
        <w:ind w:left="720"/>
        <w:rPr>
          <w:rFonts w:eastAsia="Calibri" w:cs="Times New Roman"/>
        </w:rPr>
      </w:pPr>
      <w:r w:rsidRPr="008A3EC2">
        <w:rPr>
          <w:rFonts w:eastAsia="Calibri" w:cs="Times New Roman"/>
        </w:rPr>
        <w:t>Notice: Gross Income Tax/Corporation Business Tax Pass-Through Business Alternative Income Tax Act (February 7, 2020)</w:t>
      </w:r>
    </w:p>
    <w:p w14:paraId="3853D347" w14:textId="77777777" w:rsidR="0047413E" w:rsidRDefault="0047413E" w:rsidP="00DA31D7">
      <w:pPr>
        <w:ind w:left="1440"/>
        <w:rPr>
          <w:rFonts w:eastAsia="Calibri" w:cs="Times New Roman"/>
        </w:rPr>
      </w:pPr>
      <w:r w:rsidRPr="008A3EC2">
        <w:rPr>
          <w:rFonts w:eastAsia="Calibri" w:cs="Times New Roman"/>
        </w:rPr>
        <w:t>“Distributive proceeds” means the net income, dividends, royalties, interest, rents, guaranteed payments, and gains of a pass-through entity, derived from or connected with sources within the State.</w:t>
      </w:r>
    </w:p>
    <w:p w14:paraId="2862E484" w14:textId="77777777" w:rsidR="00DA31D7" w:rsidRPr="008A3EC2" w:rsidRDefault="00DA31D7" w:rsidP="00DA31D7">
      <w:pPr>
        <w:pBdr>
          <w:bottom w:val="single" w:sz="4" w:space="1" w:color="auto"/>
        </w:pBdr>
        <w:rPr>
          <w:rFonts w:eastAsia="Calibri" w:cs="Times New Roman"/>
        </w:rPr>
      </w:pPr>
    </w:p>
    <w:p w14:paraId="507DC515" w14:textId="77777777" w:rsidR="00163EC0" w:rsidRDefault="00163EC0">
      <w:pPr>
        <w:spacing w:line="276" w:lineRule="auto"/>
        <w:jc w:val="left"/>
        <w:rPr>
          <w:rFonts w:ascii="Californian FB" w:eastAsia="Times New Roman" w:hAnsi="Californian FB" w:cs="Times New Roman"/>
          <w:b/>
          <w:color w:val="851C00"/>
          <w:sz w:val="24"/>
          <w:szCs w:val="24"/>
          <w:u w:val="single"/>
        </w:rPr>
      </w:pPr>
      <w:r>
        <w:rPr>
          <w:rFonts w:ascii="Californian FB" w:eastAsia="Times New Roman" w:hAnsi="Californian FB" w:cs="Times New Roman"/>
          <w:b/>
          <w:color w:val="851C00"/>
          <w:sz w:val="24"/>
          <w:szCs w:val="24"/>
          <w:u w:val="single"/>
        </w:rPr>
        <w:br w:type="page"/>
      </w:r>
    </w:p>
    <w:p w14:paraId="02DD26BC" w14:textId="6693D5CB"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0" w:name="_Toc153291192"/>
      <w:r w:rsidRPr="008A3EC2">
        <w:rPr>
          <w:rFonts w:ascii="Californian FB" w:eastAsia="Times New Roman" w:hAnsi="Californian FB" w:cs="Times New Roman"/>
          <w:b/>
          <w:color w:val="851C00"/>
          <w:sz w:val="24"/>
          <w:szCs w:val="24"/>
          <w:u w:val="single"/>
        </w:rPr>
        <w:lastRenderedPageBreak/>
        <w:t>New Mexico</w:t>
      </w:r>
      <w:bookmarkEnd w:id="80"/>
    </w:p>
    <w:p w14:paraId="7923A8E6" w14:textId="77777777" w:rsidR="0047413E" w:rsidRPr="008A3EC2" w:rsidRDefault="0047413E" w:rsidP="00DA31D7">
      <w:pPr>
        <w:ind w:left="720"/>
        <w:contextualSpacing/>
        <w:rPr>
          <w:rFonts w:eastAsia="Calibri" w:cs="Times New Roman"/>
        </w:rPr>
      </w:pPr>
      <w:r w:rsidRPr="008A3EC2">
        <w:rPr>
          <w:rFonts w:eastAsia="Calibri" w:cs="Times New Roman"/>
        </w:rPr>
        <w:t>N.M. Code R. § 3.2.1.14.R(2)</w:t>
      </w:r>
    </w:p>
    <w:p w14:paraId="68137F02" w14:textId="77777777" w:rsidR="0047413E" w:rsidRPr="008A3EC2" w:rsidRDefault="0047413E" w:rsidP="00DA31D7">
      <w:pPr>
        <w:ind w:left="720"/>
        <w:contextualSpacing/>
        <w:rPr>
          <w:rFonts w:eastAsia="Calibri" w:cs="Times New Roman"/>
        </w:rPr>
      </w:pPr>
    </w:p>
    <w:p w14:paraId="4EFC5F72" w14:textId="77777777" w:rsidR="0047413E" w:rsidRPr="008A3EC2" w:rsidRDefault="0047413E" w:rsidP="00DA31D7">
      <w:pPr>
        <w:ind w:left="1440"/>
        <w:contextualSpacing/>
        <w:rPr>
          <w:rFonts w:eastAsia="Calibri" w:cs="Times New Roman"/>
        </w:rPr>
      </w:pPr>
      <w:r w:rsidRPr="008A3EC2">
        <w:rPr>
          <w:rFonts w:eastAsia="Calibri" w:cs="Times New Roman"/>
        </w:rPr>
        <w:t>When a partner or interest holder in an entity is allocated profits or receives a guaranteed payment or other distributions for activities undertaken as a partner on behalf of the partnership such as administrative services done solely for the benefit of the partnership or for activities for third-parties transacting business with the partnership, these receipts of the partner are not gross receipts and are not subject to the gross receipts tax. When a partner engages in business separately from the partnership any transactions of that partner with the partnership, where the partner is not acting as a partner on behalf of the partnership, are gross receipts. Indicia that a partner is not acting as a partner on behalf of the partnership may include:</w:t>
      </w:r>
    </w:p>
    <w:p w14:paraId="42E66B96" w14:textId="77777777" w:rsidR="0047413E" w:rsidRPr="008A3EC2" w:rsidRDefault="0047413E" w:rsidP="00DA31D7">
      <w:pPr>
        <w:ind w:left="1440" w:firstLine="720"/>
        <w:rPr>
          <w:rFonts w:eastAsia="Calibri" w:cs="Times New Roman"/>
        </w:rPr>
      </w:pPr>
      <w:r w:rsidRPr="008A3EC2">
        <w:rPr>
          <w:rFonts w:eastAsia="Calibri" w:cs="Times New Roman"/>
        </w:rPr>
        <w:t>(a) that the partner engages in similar transactions with third parties other than the partnership;</w:t>
      </w:r>
    </w:p>
    <w:p w14:paraId="1CBA24CC" w14:textId="77777777" w:rsidR="0047413E" w:rsidRPr="008A3EC2" w:rsidRDefault="0047413E" w:rsidP="00DA31D7">
      <w:pPr>
        <w:ind w:left="1440" w:firstLine="720"/>
        <w:rPr>
          <w:rFonts w:eastAsia="Calibri" w:cs="Times New Roman"/>
        </w:rPr>
      </w:pPr>
      <w:r w:rsidRPr="008A3EC2">
        <w:rPr>
          <w:rFonts w:eastAsia="Calibri" w:cs="Times New Roman"/>
        </w:rPr>
        <w:t>(b) that the allocation, payment, or distribution made by the partnership is not made under the partnership agreement;</w:t>
      </w:r>
    </w:p>
    <w:p w14:paraId="2C226EA4" w14:textId="77777777" w:rsidR="0047413E" w:rsidRPr="008A3EC2" w:rsidRDefault="0047413E" w:rsidP="00DA31D7">
      <w:pPr>
        <w:ind w:left="1440" w:firstLine="720"/>
        <w:rPr>
          <w:rFonts w:eastAsia="Calibri" w:cs="Times New Roman"/>
        </w:rPr>
      </w:pPr>
      <w:r w:rsidRPr="008A3EC2">
        <w:rPr>
          <w:rFonts w:eastAsia="Calibri" w:cs="Times New Roman"/>
        </w:rPr>
        <w:t>(c) that the partner's transaction(s) with the partnership involve the sale or lease of goods or the sale of services not provided by the partnership to third parties</w:t>
      </w:r>
    </w:p>
    <w:p w14:paraId="2924DCED" w14:textId="77777777" w:rsidR="0047413E" w:rsidRPr="008A3EC2" w:rsidRDefault="0047413E" w:rsidP="00DA31D7">
      <w:pPr>
        <w:ind w:left="720"/>
        <w:contextualSpacing/>
        <w:rPr>
          <w:rFonts w:eastAsia="Calibri" w:cs="Times New Roman"/>
        </w:rPr>
      </w:pPr>
      <w:r w:rsidRPr="008A3EC2">
        <w:rPr>
          <w:rFonts w:eastAsia="Calibri" w:cs="Times New Roman"/>
        </w:rPr>
        <w:t>New Mexico Public Decision No. 12-12 (April 9, 2012)</w:t>
      </w:r>
    </w:p>
    <w:p w14:paraId="063C3483" w14:textId="77777777" w:rsidR="0047413E" w:rsidRPr="008A3EC2" w:rsidRDefault="0047413E" w:rsidP="0047413E">
      <w:pPr>
        <w:contextualSpacing/>
        <w:rPr>
          <w:rFonts w:eastAsia="Calibri" w:cs="Times New Roman"/>
        </w:rPr>
      </w:pPr>
    </w:p>
    <w:p w14:paraId="4EB732D9" w14:textId="77777777" w:rsidR="0047413E" w:rsidRDefault="0047413E" w:rsidP="00DA31D7">
      <w:pPr>
        <w:ind w:left="1440"/>
        <w:rPr>
          <w:rFonts w:eastAsia="Calibri" w:cs="Times New Roman"/>
        </w:rPr>
      </w:pPr>
      <w:r w:rsidRPr="008A3EC2">
        <w:rPr>
          <w:rFonts w:eastAsia="Calibri" w:cs="Times New Roman"/>
        </w:rPr>
        <w:t>A New Mexico resident taxpayer received guaranteed payments for his duties as a CEO member of an LLC. The taxpayer’s allocation of the guaranteed payment to New Mexico as compensation was upheld. </w:t>
      </w:r>
    </w:p>
    <w:p w14:paraId="10AC934D" w14:textId="3595EDB6" w:rsidR="0047413E" w:rsidRDefault="0047413E" w:rsidP="00DA31D7">
      <w:pPr>
        <w:ind w:left="720"/>
        <w:rPr>
          <w:rFonts w:eastAsia="Calibri" w:cs="Times New Roman"/>
        </w:rPr>
      </w:pPr>
      <w:r>
        <w:rPr>
          <w:rFonts w:eastAsia="Calibri" w:cs="Times New Roman"/>
        </w:rPr>
        <w:t xml:space="preserve">2023 N.M. H.B. 368 (signed by </w:t>
      </w:r>
      <w:r w:rsidR="0088150D">
        <w:rPr>
          <w:rFonts w:eastAsia="Calibri" w:cs="Times New Roman"/>
        </w:rPr>
        <w:t>Governor April</w:t>
      </w:r>
      <w:r>
        <w:rPr>
          <w:rFonts w:eastAsia="Calibri" w:cs="Times New Roman"/>
        </w:rPr>
        <w:t xml:space="preserve"> 5, 2023)</w:t>
      </w:r>
    </w:p>
    <w:p w14:paraId="479BA01A" w14:textId="77777777" w:rsidR="0047413E" w:rsidRDefault="0047413E" w:rsidP="00416BA9">
      <w:pPr>
        <w:ind w:left="1440"/>
        <w:rPr>
          <w:rFonts w:eastAsia="Calibri" w:cs="Times New Roman"/>
        </w:rPr>
      </w:pPr>
      <w:r w:rsidRPr="002707F0">
        <w:rPr>
          <w:rFonts w:eastAsia="Calibri" w:cs="Times New Roman"/>
        </w:rPr>
        <w:t xml:space="preserve">Distributed net income of a pass-through entity shall equal the amount allocated and apportioned to New Mexico pursuant to the Uniform Division of Income for Tax Purposes Act from the following: </w:t>
      </w:r>
    </w:p>
    <w:p w14:paraId="3859E8F3" w14:textId="77777777" w:rsidR="0047413E" w:rsidRDefault="0047413E" w:rsidP="00416BA9">
      <w:pPr>
        <w:ind w:left="1440"/>
        <w:rPr>
          <w:rFonts w:eastAsia="Calibri" w:cs="Times New Roman"/>
        </w:rPr>
      </w:pPr>
      <w:r w:rsidRPr="002707F0">
        <w:rPr>
          <w:rFonts w:eastAsia="Calibri" w:cs="Times New Roman"/>
        </w:rPr>
        <w:t xml:space="preserve">(1)  the total income of the pass-through entity properly reported for federal income tax purposes plus, for partnerships, the amount of guaranteed payments other than premiums for health insurance paid by the partnership on behalf of a partner, less the net income or guaranteed payments properly allocated or made to: </w:t>
      </w:r>
    </w:p>
    <w:p w14:paraId="6C4A9482" w14:textId="77777777" w:rsidR="0047413E" w:rsidRDefault="0047413E" w:rsidP="00416BA9">
      <w:pPr>
        <w:ind w:left="1440" w:firstLine="720"/>
        <w:rPr>
          <w:rFonts w:eastAsia="Calibri" w:cs="Times New Roman"/>
        </w:rPr>
      </w:pPr>
      <w:r w:rsidRPr="002707F0">
        <w:rPr>
          <w:rFonts w:eastAsia="Calibri" w:cs="Times New Roman"/>
        </w:rPr>
        <w:t xml:space="preserve">(a)  the United States, this state or a political subdivision of either; </w:t>
      </w:r>
    </w:p>
    <w:p w14:paraId="04301E17" w14:textId="77777777" w:rsidR="0047413E" w:rsidRDefault="0047413E" w:rsidP="00416BA9">
      <w:pPr>
        <w:ind w:left="1440" w:firstLine="720"/>
        <w:rPr>
          <w:rFonts w:eastAsia="Calibri" w:cs="Times New Roman"/>
        </w:rPr>
      </w:pPr>
      <w:r w:rsidRPr="002707F0">
        <w:rPr>
          <w:rFonts w:eastAsia="Calibri" w:cs="Times New Roman"/>
        </w:rPr>
        <w:t xml:space="preserve">(b)  a federally recognized Indian nation, tribe or pueblo located wholly or partially in New Mexico, or any political subdivision thereof; </w:t>
      </w:r>
    </w:p>
    <w:p w14:paraId="44FF0A55" w14:textId="77777777" w:rsidR="0047413E" w:rsidRDefault="0047413E" w:rsidP="00416BA9">
      <w:pPr>
        <w:ind w:left="1440" w:firstLine="720"/>
        <w:rPr>
          <w:rFonts w:eastAsia="Calibri" w:cs="Times New Roman"/>
        </w:rPr>
      </w:pPr>
      <w:r w:rsidRPr="002707F0">
        <w:rPr>
          <w:rFonts w:eastAsia="Calibri" w:cs="Times New Roman"/>
        </w:rPr>
        <w:t xml:space="preserve">(c)  an organization that has been granted exemption from the federal income tax by the United States commissioner of internal revenue as an organization described in Section 501(c)(3) of the Internal Revenue Code; </w:t>
      </w:r>
    </w:p>
    <w:p w14:paraId="073C3EA4" w14:textId="77777777" w:rsidR="0047413E" w:rsidRDefault="0047413E" w:rsidP="00416BA9">
      <w:pPr>
        <w:ind w:left="1440" w:firstLine="720"/>
        <w:rPr>
          <w:rFonts w:eastAsia="Calibri" w:cs="Times New Roman"/>
        </w:rPr>
      </w:pPr>
      <w:r w:rsidRPr="002707F0">
        <w:rPr>
          <w:rFonts w:eastAsia="Calibri" w:cs="Times New Roman"/>
        </w:rPr>
        <w:t xml:space="preserve">(d)  a corporate partner that would properly include the income in the partner's New Mexico tax return as part of the partner's unitary business income; or </w:t>
      </w:r>
      <w:r>
        <w:rPr>
          <w:rFonts w:eastAsia="Calibri" w:cs="Times New Roman"/>
        </w:rPr>
        <w:t>X</w:t>
      </w:r>
    </w:p>
    <w:p w14:paraId="2D3BD24D" w14:textId="77777777" w:rsidR="0047413E" w:rsidRDefault="0047413E" w:rsidP="00416BA9">
      <w:pPr>
        <w:ind w:left="1440" w:firstLine="720"/>
        <w:rPr>
          <w:rFonts w:eastAsia="Calibri" w:cs="Times New Roman"/>
        </w:rPr>
      </w:pPr>
      <w:r w:rsidRPr="002707F0">
        <w:rPr>
          <w:rFonts w:eastAsia="Calibri" w:cs="Times New Roman"/>
        </w:rPr>
        <w:t xml:space="preserve">(e)  a pass-through entity that is an owner of the electing pass-through entity; and </w:t>
      </w:r>
    </w:p>
    <w:p w14:paraId="6AFF9AB4" w14:textId="77777777" w:rsidR="0047413E" w:rsidRDefault="0047413E" w:rsidP="00416BA9">
      <w:pPr>
        <w:ind w:left="1440"/>
        <w:rPr>
          <w:rFonts w:eastAsia="Calibri" w:cs="Times New Roman"/>
        </w:rPr>
      </w:pPr>
      <w:r w:rsidRPr="002707F0">
        <w:rPr>
          <w:rFonts w:eastAsia="Calibri" w:cs="Times New Roman"/>
        </w:rPr>
        <w:t>(2)  less the amount of net capital gains that may be deducted pursuant to Section 7-2-34 NMSA 1978 and is properly allocated to owners who are subject to tax pursuant to the Income Tax Act</w:t>
      </w:r>
      <w:r>
        <w:rPr>
          <w:rFonts w:eastAsia="Calibri" w:cs="Times New Roman"/>
        </w:rPr>
        <w:t xml:space="preserve"> . . </w:t>
      </w:r>
    </w:p>
    <w:p w14:paraId="6ADED736" w14:textId="77777777" w:rsidR="0047413E" w:rsidRDefault="0047413E" w:rsidP="00416BA9">
      <w:pPr>
        <w:ind w:left="1440"/>
        <w:rPr>
          <w:rFonts w:eastAsia="Calibri" w:cs="Times New Roman"/>
        </w:rPr>
      </w:pPr>
      <w:r w:rsidRPr="000735F3">
        <w:rPr>
          <w:rFonts w:eastAsia="Calibri" w:cs="Times New Roman"/>
        </w:rPr>
        <w:t xml:space="preserve">As used in this section: </w:t>
      </w:r>
    </w:p>
    <w:p w14:paraId="01F31B25" w14:textId="77777777" w:rsidR="0047413E" w:rsidRPr="008A3EC2" w:rsidRDefault="0047413E" w:rsidP="00416BA9">
      <w:pPr>
        <w:ind w:left="1440"/>
        <w:rPr>
          <w:rFonts w:eastAsia="Calibri" w:cs="Times New Roman"/>
        </w:rPr>
      </w:pPr>
      <w:r w:rsidRPr="000735F3">
        <w:rPr>
          <w:rFonts w:eastAsia="Calibri" w:cs="Times New Roman"/>
        </w:rPr>
        <w:lastRenderedPageBreak/>
        <w:t>(1)  "guaranteed payments" means the guaranteed payments described in Section 707(c) of the Internal Revenue Code, as that section may be amended or renumbered</w:t>
      </w:r>
      <w:r>
        <w:rPr>
          <w:rFonts w:eastAsia="Calibri" w:cs="Times New Roman"/>
        </w:rPr>
        <w:t>.</w:t>
      </w:r>
    </w:p>
    <w:p w14:paraId="66651CE7" w14:textId="77777777" w:rsidR="0047413E" w:rsidRPr="008A3EC2" w:rsidRDefault="0047413E" w:rsidP="0047413E">
      <w:pPr>
        <w:pBdr>
          <w:bottom w:val="single" w:sz="4" w:space="1" w:color="auto"/>
        </w:pBdr>
        <w:rPr>
          <w:rFonts w:eastAsia="Calibri" w:cs="Times New Roman"/>
        </w:rPr>
      </w:pPr>
    </w:p>
    <w:p w14:paraId="5012A82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1" w:name="_Toc153291193"/>
      <w:r w:rsidRPr="008A3EC2">
        <w:rPr>
          <w:rFonts w:ascii="Californian FB" w:eastAsia="Times New Roman" w:hAnsi="Californian FB" w:cs="Times New Roman"/>
          <w:b/>
          <w:color w:val="851C00"/>
          <w:sz w:val="24"/>
          <w:szCs w:val="24"/>
          <w:u w:val="single"/>
        </w:rPr>
        <w:t>New York</w:t>
      </w:r>
      <w:bookmarkEnd w:id="81"/>
    </w:p>
    <w:p w14:paraId="76CACA85" w14:textId="77777777" w:rsidR="0047413E" w:rsidRPr="008A3EC2" w:rsidRDefault="0047413E" w:rsidP="00416BA9">
      <w:pPr>
        <w:ind w:left="720"/>
        <w:rPr>
          <w:rFonts w:eastAsia="Calibri" w:cs="Times New Roman"/>
        </w:rPr>
      </w:pPr>
      <w:r w:rsidRPr="008A3EC2">
        <w:rPr>
          <w:rFonts w:eastAsia="Calibri" w:cs="Times New Roman"/>
        </w:rPr>
        <w:t>N.Y. Tax Law § 632(b)</w:t>
      </w:r>
    </w:p>
    <w:p w14:paraId="5CC83A0A" w14:textId="77777777" w:rsidR="0047413E" w:rsidRPr="008A3EC2" w:rsidRDefault="0047413E" w:rsidP="00416BA9">
      <w:pPr>
        <w:ind w:left="1440"/>
        <w:rPr>
          <w:rFonts w:eastAsia="Calibri" w:cs="Times New Roman"/>
        </w:rPr>
      </w:pPr>
      <w:r w:rsidRPr="008A3EC2">
        <w:rPr>
          <w:rFonts w:eastAsia="Calibri" w:cs="Times New Roman"/>
        </w:rPr>
        <w:t>Special rules as to New York sources.  In determining the sources of a nonresident partner's income, no effect shall be given to a provision in the partnership agreement which--</w:t>
      </w:r>
    </w:p>
    <w:p w14:paraId="086776DD" w14:textId="77777777" w:rsidR="0047413E" w:rsidRPr="008A3EC2" w:rsidRDefault="0047413E" w:rsidP="00416BA9">
      <w:pPr>
        <w:ind w:left="1440" w:firstLine="720"/>
        <w:rPr>
          <w:rFonts w:eastAsia="Calibri" w:cs="Times New Roman"/>
        </w:rPr>
      </w:pPr>
      <w:r w:rsidRPr="008A3EC2">
        <w:rPr>
          <w:rFonts w:eastAsia="Calibri" w:cs="Times New Roman"/>
        </w:rPr>
        <w:t>(1) characterizes payments to the partner as being for services or for the use of capital, or</w:t>
      </w:r>
    </w:p>
    <w:p w14:paraId="0447BEFA"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or gain from sources outside New York, a greater proportion of his distributive share of partnership income or gain than the ratio of partnership income or gain from sources outside New York to partnership income or gain from all sources, except as authorized in subsection (d), or</w:t>
      </w:r>
    </w:p>
    <w:p w14:paraId="4F762342" w14:textId="77777777" w:rsidR="0047413E" w:rsidRPr="008A3EC2"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loss or deduction connected with New York sources than his proportionate share, for federal income tax purposes, of partnership loss or deduction generally, except as authorized in subsection (d).</w:t>
      </w:r>
    </w:p>
    <w:p w14:paraId="0C209B93" w14:textId="77777777" w:rsidR="0047413E" w:rsidRPr="008A3EC2" w:rsidRDefault="0047413E" w:rsidP="00416BA9">
      <w:pPr>
        <w:ind w:left="720"/>
        <w:rPr>
          <w:rFonts w:eastAsia="Calibri" w:cs="Times New Roman"/>
        </w:rPr>
      </w:pPr>
      <w:r w:rsidRPr="008A3EC2">
        <w:rPr>
          <w:rFonts w:eastAsia="Calibri" w:cs="Times New Roman"/>
          <w:i/>
          <w:iCs/>
        </w:rPr>
        <w:t>In re Tosti</w:t>
      </w:r>
      <w:r w:rsidRPr="008A3EC2">
        <w:rPr>
          <w:rFonts w:eastAsia="Calibri" w:cs="Times New Roman"/>
        </w:rPr>
        <w:t>, No. 822915 (N.Y. Tax App. Trib. May 12, 2011)</w:t>
      </w:r>
    </w:p>
    <w:p w14:paraId="59FD09CE" w14:textId="77777777" w:rsidR="0047413E" w:rsidRPr="008A3EC2" w:rsidRDefault="0047413E" w:rsidP="00416BA9">
      <w:pPr>
        <w:ind w:left="1440"/>
        <w:rPr>
          <w:rFonts w:eastAsia="Calibri" w:cs="Times New Roman"/>
        </w:rPr>
      </w:pPr>
      <w:r w:rsidRPr="008A3EC2">
        <w:rPr>
          <w:rFonts w:eastAsia="Calibri" w:cs="Times New Roman"/>
        </w:rPr>
        <w:t>This decision treated guaranteed payments as distributive share citing prior New York decisions on the issue. </w:t>
      </w:r>
    </w:p>
    <w:p w14:paraId="26D71DEE" w14:textId="77777777" w:rsidR="0047413E" w:rsidRPr="008A3EC2" w:rsidRDefault="0047413E" w:rsidP="00416BA9">
      <w:pPr>
        <w:ind w:left="720"/>
        <w:rPr>
          <w:rFonts w:eastAsia="Calibri" w:cs="Times New Roman"/>
        </w:rPr>
      </w:pPr>
      <w:r w:rsidRPr="008A3EC2">
        <w:rPr>
          <w:rFonts w:eastAsia="Calibri" w:cs="Times New Roman"/>
        </w:rPr>
        <w:t>New York Technical Service No. TSB-M-21(1)C (August 25, 2021)</w:t>
      </w:r>
    </w:p>
    <w:p w14:paraId="25A4000A" w14:textId="77777777" w:rsidR="0047413E" w:rsidRPr="008A3EC2" w:rsidRDefault="0047413E" w:rsidP="00416BA9">
      <w:pPr>
        <w:ind w:left="1440"/>
        <w:rPr>
          <w:rFonts w:eastAsia="Calibri" w:cs="Times New Roman"/>
        </w:rPr>
      </w:pPr>
      <w:r w:rsidRPr="008A3EC2">
        <w:rPr>
          <w:rFonts w:eastAsia="Calibri" w:cs="Times New Roman"/>
        </w:rPr>
        <w:t>An electing partnership's calculation of its PTE taxable income must include all items of income, gain, loss or deduction, to the extent they would flow through and be included in the taxable income of direct members or partners that are taxable under Article 22, including guaranteed payments</w:t>
      </w:r>
    </w:p>
    <w:p w14:paraId="1FA24B8A" w14:textId="77777777" w:rsidR="0047413E" w:rsidRPr="008A3EC2" w:rsidRDefault="0047413E" w:rsidP="0047413E">
      <w:pPr>
        <w:pBdr>
          <w:bottom w:val="single" w:sz="4" w:space="1" w:color="auto"/>
        </w:pBdr>
        <w:rPr>
          <w:rFonts w:eastAsia="Calibri" w:cs="Times New Roman"/>
        </w:rPr>
      </w:pPr>
    </w:p>
    <w:p w14:paraId="3038A0AF"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2" w:name="_Toc153291194"/>
      <w:r w:rsidRPr="008A3EC2">
        <w:rPr>
          <w:rFonts w:ascii="Californian FB" w:eastAsia="Times New Roman" w:hAnsi="Californian FB" w:cs="Times New Roman"/>
          <w:b/>
          <w:color w:val="851C00"/>
          <w:sz w:val="24"/>
          <w:szCs w:val="24"/>
          <w:u w:val="single"/>
        </w:rPr>
        <w:t>North Carolina</w:t>
      </w:r>
      <w:bookmarkEnd w:id="82"/>
    </w:p>
    <w:p w14:paraId="07793238" w14:textId="77777777" w:rsidR="0047413E" w:rsidRPr="008A3EC2" w:rsidRDefault="0047413E" w:rsidP="00416BA9">
      <w:pPr>
        <w:ind w:left="720"/>
        <w:rPr>
          <w:rFonts w:eastAsia="Calibri" w:cs="Times New Roman"/>
        </w:rPr>
      </w:pPr>
      <w:r w:rsidRPr="008A3EC2">
        <w:rPr>
          <w:rFonts w:eastAsia="Calibri" w:cs="Times New Roman"/>
        </w:rPr>
        <w:t>N.C. Gen. Stat. § 105-154</w:t>
      </w:r>
    </w:p>
    <w:p w14:paraId="4F883D40" w14:textId="77777777" w:rsidR="0047413E" w:rsidRPr="008A3EC2" w:rsidRDefault="0047413E" w:rsidP="00416BA9">
      <w:pPr>
        <w:ind w:left="1440"/>
        <w:rPr>
          <w:rFonts w:eastAsia="Calibri" w:cs="Times New Roman"/>
        </w:rPr>
      </w:pPr>
      <w:r w:rsidRPr="008A3EC2">
        <w:rPr>
          <w:rFonts w:eastAsia="Calibri" w:cs="Times New Roman"/>
        </w:rPr>
        <w:t>(c) Information Returns of Partnerships. - A partnership doing business in this State and required to file a return under the Code shall file an information return with the Secretary. A partnership that the Secretary believes to be doing business in this State and to be required to file a return under the Code shall file an information return when requested to do so by the Secretary. The information return shall contain all information required by the Secretary. It shall state specifically the items of the partnership's gross income, the deductions allowed under the Code, each partner's distributive share of the partnership's income, and the adjustments required by this Part. A partner's distributive share of partnership net income includes any guaranteed payments made to the partner. . .</w:t>
      </w:r>
    </w:p>
    <w:p w14:paraId="38A28EDA" w14:textId="77777777" w:rsidR="0047413E" w:rsidRPr="008A3EC2" w:rsidRDefault="0047413E" w:rsidP="00416BA9">
      <w:pPr>
        <w:ind w:left="1440"/>
        <w:rPr>
          <w:rFonts w:eastAsia="Calibri" w:cs="Times New Roman"/>
        </w:rPr>
      </w:pPr>
      <w:r w:rsidRPr="008A3EC2">
        <w:rPr>
          <w:rFonts w:eastAsia="Calibri" w:cs="Times New Roman"/>
        </w:rPr>
        <w:t xml:space="preserve">(d) Payment of Tax on Behalf of Nonresident Owner or Partner. - If a business conducted in this State is owned by a nonresident individual or by a partnership having one or more nonresident members, the business shall report information concerning the earnings of the business in this State, the distributive share of the income of each nonresident owner or partner, and any other information required by the Secretary. </w:t>
      </w:r>
      <w:r w:rsidRPr="008A3EC2">
        <w:rPr>
          <w:rFonts w:eastAsia="Calibri" w:cs="Times New Roman"/>
        </w:rPr>
        <w:lastRenderedPageBreak/>
        <w:t>The distributive share of the income of each nonresident partner includes any guaranteed payments made to the partner. The business shall pay with the return the tax on each nonresident owner or partner's share of the income computed at the rate levied on individuals under G.S. 105-153.7. The business may deduct the payment for each nonresident owner or partner from the owner or partner's distributive share of the income of the business in this State. The Secretary may enforce the business's liability for the tax on each nonresident owner or partner's share of the income by sending the business a notice of proposed assessment in accordance with G.S. 105-241.9. . .</w:t>
      </w:r>
    </w:p>
    <w:p w14:paraId="26297856" w14:textId="77777777" w:rsidR="0047413E" w:rsidRPr="008A3EC2" w:rsidRDefault="0047413E" w:rsidP="00416BA9">
      <w:pPr>
        <w:ind w:left="720"/>
        <w:rPr>
          <w:rFonts w:eastAsia="Calibri" w:cs="Times New Roman"/>
        </w:rPr>
      </w:pPr>
      <w:r w:rsidRPr="008A3EC2">
        <w:rPr>
          <w:rFonts w:eastAsia="Calibri" w:cs="Times New Roman"/>
        </w:rPr>
        <w:t>17 N.C. Admin. Code 6B.3513</w:t>
      </w:r>
    </w:p>
    <w:p w14:paraId="1FFA37A3" w14:textId="77777777" w:rsidR="0047413E" w:rsidRPr="008A3EC2" w:rsidRDefault="0047413E" w:rsidP="00416BA9">
      <w:pPr>
        <w:ind w:left="1440"/>
        <w:rPr>
          <w:rFonts w:eastAsia="Calibri" w:cs="Times New Roman"/>
        </w:rPr>
      </w:pPr>
      <w:r w:rsidRPr="008A3EC2">
        <w:rPr>
          <w:rFonts w:eastAsia="Calibri" w:cs="Times New Roman"/>
        </w:rPr>
        <w:t>(a) Although a partnership may treat guaranteed payments to a partner for services or for use of capital as if they were paid to a person who is not a partner, that treatment is only for purposes of determining the partnership's gross income and deductible business expenses. For other tax purposes, guaranteed payments are treated as a partner's distributive share of ordinary income.</w:t>
      </w:r>
    </w:p>
    <w:p w14:paraId="5D352B20" w14:textId="77777777" w:rsidR="0047413E" w:rsidRPr="008A3EC2" w:rsidRDefault="0047413E" w:rsidP="00416BA9">
      <w:pPr>
        <w:ind w:left="1440"/>
        <w:rPr>
          <w:rFonts w:eastAsia="Calibri" w:cs="Times New Roman"/>
        </w:rPr>
      </w:pPr>
      <w:r w:rsidRPr="008A3EC2">
        <w:rPr>
          <w:rFonts w:eastAsia="Calibri" w:cs="Times New Roman"/>
        </w:rPr>
        <w:t>(b) Deductions from adjusted gross income do not include a partner's salary, interest on a partner's capital account, partner relocation and mortgage interest differential payments, or payments to a retired partner regardless of whether they were determined without regard to current profits. The payments listed in this Paragraph shall be treated as part of the partnership income.</w:t>
      </w:r>
    </w:p>
    <w:p w14:paraId="5BC44C55" w14:textId="77777777" w:rsidR="0047413E" w:rsidRPr="008A3EC2" w:rsidRDefault="0047413E" w:rsidP="00416BA9">
      <w:pPr>
        <w:ind w:left="1440"/>
        <w:rPr>
          <w:rFonts w:eastAsia="Calibri" w:cs="Times New Roman"/>
        </w:rPr>
      </w:pPr>
      <w:r w:rsidRPr="008A3EC2">
        <w:rPr>
          <w:rFonts w:eastAsia="Calibri" w:cs="Times New Roman"/>
        </w:rPr>
        <w:t>(c) A nonresident individual partner is not required to file a North Carolina individual income tax return when the only income from North Carolina sources is the nonresident's share of income from a partnership doing business in North Carolina, and the manager of the partnership has reported the income of the nonresident partner, including any guaranteed payments made to the partner, and paid the tax due. A nonresident individual partner may file an individual income tax return and claim credit for the tax paid by the manager of the partnership if the partner submits with the individual income tax return the Schedule NC K-1 or other document from the partnership verifying that the partnership paid tax on behalf of the partner.</w:t>
      </w:r>
    </w:p>
    <w:p w14:paraId="6C2497D3" w14:textId="77777777" w:rsidR="0047413E" w:rsidRPr="008A3EC2" w:rsidRDefault="0047413E" w:rsidP="00416BA9">
      <w:pPr>
        <w:ind w:left="720"/>
        <w:rPr>
          <w:rFonts w:eastAsia="Calibri" w:cs="Times New Roman"/>
        </w:rPr>
      </w:pPr>
      <w:r w:rsidRPr="008A3EC2">
        <w:rPr>
          <w:rFonts w:eastAsia="Calibri" w:cs="Times New Roman"/>
        </w:rPr>
        <w:t>Important Notice Regarding North Carolina’s Recently Enacted Pass-Through Entity Tax  (December 2, 2022)</w:t>
      </w:r>
    </w:p>
    <w:p w14:paraId="52E16F37" w14:textId="77777777" w:rsidR="0047413E" w:rsidRPr="008A3EC2" w:rsidRDefault="0047413E" w:rsidP="00416BA9">
      <w:pPr>
        <w:ind w:left="1440"/>
        <w:rPr>
          <w:rFonts w:eastAsia="Calibri" w:cs="Times New Roman"/>
        </w:rPr>
      </w:pPr>
      <w:r w:rsidRPr="008A3EC2">
        <w:rPr>
          <w:rFonts w:eastAsia="Calibri" w:cs="Times New Roman"/>
        </w:rPr>
        <w:t>The North Carolina Administrative Code provides that “[a] nonresident individual partner is not required to file a North Carolina individual income tax return when the only income from North Carolina sources is the nonresident's share of income from a partnership doing business in North Carolina, and the manager of the partnership has reported the income of the nonresident partner, including any guaranteed payments made to the partner, and paid the tax due.” This rule applies to nonresident partners of Taxed Partnerships to the extent the Taxed Partnership complies with the provisions of new N.C. Gen. Stat. § 105-154.1</w:t>
      </w:r>
      <w:r>
        <w:rPr>
          <w:rFonts w:eastAsia="Calibri" w:cs="Times New Roman"/>
        </w:rPr>
        <w:t>.</w:t>
      </w:r>
    </w:p>
    <w:p w14:paraId="2D746AAC" w14:textId="77777777" w:rsidR="0047413E" w:rsidRPr="008A3EC2" w:rsidRDefault="0047413E" w:rsidP="0047413E">
      <w:pPr>
        <w:pBdr>
          <w:bottom w:val="single" w:sz="4" w:space="1" w:color="auto"/>
        </w:pBdr>
        <w:rPr>
          <w:rFonts w:eastAsia="Calibri" w:cs="Times New Roman"/>
        </w:rPr>
      </w:pPr>
    </w:p>
    <w:p w14:paraId="662D0C3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3" w:name="_Toc153291195"/>
      <w:r w:rsidRPr="008A3EC2">
        <w:rPr>
          <w:rFonts w:ascii="Californian FB" w:eastAsia="Times New Roman" w:hAnsi="Californian FB" w:cs="Times New Roman"/>
          <w:b/>
          <w:color w:val="851C00"/>
          <w:sz w:val="24"/>
          <w:szCs w:val="24"/>
          <w:u w:val="single"/>
        </w:rPr>
        <w:t>North Dakota</w:t>
      </w:r>
      <w:bookmarkEnd w:id="83"/>
    </w:p>
    <w:p w14:paraId="693AA1F9" w14:textId="77777777" w:rsidR="0047413E" w:rsidRPr="008A3EC2" w:rsidRDefault="0047413E" w:rsidP="00416BA9">
      <w:pPr>
        <w:ind w:left="720"/>
        <w:rPr>
          <w:rFonts w:eastAsia="Calibri" w:cs="Times New Roman"/>
        </w:rPr>
      </w:pPr>
      <w:r w:rsidRPr="008A3EC2">
        <w:rPr>
          <w:rFonts w:eastAsia="Calibri" w:cs="Times New Roman"/>
        </w:rPr>
        <w:t>N.D. Cent. Code § 57-38-08.1.3</w:t>
      </w:r>
    </w:p>
    <w:p w14:paraId="0964C14D" w14:textId="77777777" w:rsidR="0047413E" w:rsidRPr="008A3EC2" w:rsidRDefault="0047413E" w:rsidP="00416BA9">
      <w:pPr>
        <w:ind w:left="1440"/>
        <w:rPr>
          <w:rFonts w:eastAsia="Calibri" w:cs="Times New Roman"/>
        </w:rPr>
      </w:pPr>
      <w:r w:rsidRPr="008A3EC2">
        <w:rPr>
          <w:rFonts w:eastAsia="Calibri" w:cs="Times New Roman"/>
        </w:rPr>
        <w:t xml:space="preserve">a. Except as otherwise provided in this subdivision, guaranteed payments paid to nonresident partners of a partnership that has business activity in this state are treated as a distributive share of partnership income for state tax purposes. In the case of a professional service partnership, the portion of a guaranteed payment paid to a nonresident partner attributable to a reasonable salary may not be treated as a distributive share. The portion of the guaranteed payment not treated as a distributive share that is for services performed in this state must be assigned as provided under subsection 1 of section 57-38-04. For purposes of this subdivision, "professional service </w:t>
      </w:r>
      <w:r w:rsidRPr="008A3EC2">
        <w:rPr>
          <w:rFonts w:eastAsia="Calibri" w:cs="Times New Roman"/>
        </w:rPr>
        <w:lastRenderedPageBreak/>
        <w:t>partnership" means a partnership that engages in the practice of law, accounting, medicine, and any other profession in which neither capital nor the services of employees are a material income-producing factor.</w:t>
      </w:r>
    </w:p>
    <w:p w14:paraId="79585367" w14:textId="77777777" w:rsidR="0047413E" w:rsidRPr="008A3EC2" w:rsidRDefault="0047413E" w:rsidP="00416BA9">
      <w:pPr>
        <w:ind w:left="1440"/>
        <w:rPr>
          <w:rFonts w:eastAsia="Calibri" w:cs="Times New Roman"/>
        </w:rPr>
      </w:pPr>
      <w:r w:rsidRPr="008A3EC2">
        <w:rPr>
          <w:rFonts w:eastAsia="Calibri" w:cs="Times New Roman"/>
        </w:rPr>
        <w:t>b. In determining the sources of a nonresident partner's income, no effect shall be given to a provision in the partnership agreement which:</w:t>
      </w:r>
    </w:p>
    <w:p w14:paraId="4C848B9B" w14:textId="77777777" w:rsidR="0047413E" w:rsidRPr="008A3EC2" w:rsidRDefault="0047413E" w:rsidP="00416BA9">
      <w:pPr>
        <w:ind w:left="1440" w:firstLine="720"/>
        <w:rPr>
          <w:rFonts w:eastAsia="Calibri" w:cs="Times New Roman"/>
        </w:rPr>
      </w:pPr>
      <w:r w:rsidRPr="008A3EC2">
        <w:rPr>
          <w:rFonts w:eastAsia="Calibri" w:cs="Times New Roman"/>
        </w:rPr>
        <w:t>(1) Characterizes payments to the partners as being for services or for the use of capital or allocates to the partner, as income or gain from sources outside this state, a greater proportion of the partner's distributive share of partnership income or gain than the ratio of partnership income or gain from sources outside this state to partnership income or gain from all sources, except as authorized in subdivision d; or</w:t>
      </w:r>
    </w:p>
    <w:p w14:paraId="13EC9673" w14:textId="77777777" w:rsidR="0047413E" w:rsidRPr="008A3EC2" w:rsidRDefault="0047413E" w:rsidP="00416BA9">
      <w:pPr>
        <w:ind w:left="1440"/>
        <w:rPr>
          <w:rFonts w:eastAsia="Calibri" w:cs="Times New Roman"/>
        </w:rPr>
      </w:pPr>
      <w:r w:rsidRPr="008A3EC2">
        <w:rPr>
          <w:rFonts w:eastAsia="Calibri" w:cs="Times New Roman"/>
        </w:rPr>
        <w:tab/>
        <w:t>2) Allocates to the partner a greater proportion of a partnership item of loss or deduction connected with sources in this state than the proportionate share of the partner, for federal income tax purposes, of partnership loss or deduction generally, except as authorized in subdivision d.</w:t>
      </w:r>
    </w:p>
    <w:p w14:paraId="765464C8" w14:textId="77777777" w:rsidR="0047413E" w:rsidRPr="008A3EC2" w:rsidRDefault="0047413E" w:rsidP="0047413E">
      <w:pPr>
        <w:pBdr>
          <w:bottom w:val="single" w:sz="4" w:space="1" w:color="auto"/>
        </w:pBdr>
        <w:rPr>
          <w:rFonts w:eastAsia="Calibri" w:cs="Times New Roman"/>
        </w:rPr>
      </w:pPr>
    </w:p>
    <w:p w14:paraId="1EAB56E7"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4" w:name="_Toc153291196"/>
      <w:r>
        <w:rPr>
          <w:rFonts w:ascii="Californian FB" w:eastAsia="Times New Roman" w:hAnsi="Californian FB" w:cs="Times New Roman"/>
          <w:b/>
          <w:color w:val="851C00"/>
          <w:sz w:val="24"/>
          <w:szCs w:val="24"/>
          <w:u w:val="single"/>
        </w:rPr>
        <w:t>Ohio</w:t>
      </w:r>
      <w:bookmarkEnd w:id="84"/>
      <w:r>
        <w:rPr>
          <w:rFonts w:ascii="Californian FB" w:eastAsia="Times New Roman" w:hAnsi="Californian FB" w:cs="Times New Roman"/>
          <w:b/>
          <w:color w:val="851C00"/>
          <w:sz w:val="24"/>
          <w:szCs w:val="24"/>
          <w:u w:val="single"/>
        </w:rPr>
        <w:t xml:space="preserve"> </w:t>
      </w:r>
    </w:p>
    <w:p w14:paraId="2E319457" w14:textId="77777777" w:rsidR="0047413E" w:rsidRPr="008A3EC2" w:rsidRDefault="0047413E" w:rsidP="00416BA9">
      <w:pPr>
        <w:ind w:left="720"/>
        <w:rPr>
          <w:rFonts w:eastAsia="Calibri" w:cs="Times New Roman"/>
        </w:rPr>
      </w:pPr>
      <w:r w:rsidRPr="00AB22FB">
        <w:rPr>
          <w:rFonts w:eastAsia="Calibri" w:cs="Times New Roman"/>
        </w:rPr>
        <w:t>Ohio Rev. Code Ann. §</w:t>
      </w:r>
      <w:r>
        <w:rPr>
          <w:rFonts w:eastAsia="Calibri" w:cs="Times New Roman"/>
        </w:rPr>
        <w:t xml:space="preserve"> 5733.40(A)(7)</w:t>
      </w:r>
    </w:p>
    <w:p w14:paraId="3F149ED4" w14:textId="77777777" w:rsidR="0047413E" w:rsidRDefault="0047413E" w:rsidP="00416BA9">
      <w:pPr>
        <w:ind w:left="1440"/>
        <w:rPr>
          <w:rFonts w:eastAsia="Calibri" w:cs="Times New Roman"/>
        </w:rPr>
      </w:pPr>
      <w:r w:rsidRPr="00BD4519">
        <w:rPr>
          <w:rFonts w:eastAsia="Calibri" w:cs="Times New Roman"/>
        </w:rPr>
        <w:t>For the purposes of Chapters 5733. and 5747. of the Revised Code, guaranteed payments or compensation paid to investors by a qualifying entity that is not subject to the tax imposed by section 5733.06 of the Revised Code shall be considered a distributive share of income of the qualifying entity. Division (A)(7) of this section applies only to such payments or such compensation paid to an investor who at any time during the qualifying entity's taxable year holds at least a twenty per cent direct or indirect interest in the profits or capital of the qualifying entity. For the purposes of this division, guaranteed payments and compensation shall be considered to be paid to an investor by a qualifying entity if the qualifying entity in which the investor holds at least a twenty per cent direct or indirect interest is a client employer of a professional employer organization or alternate employer organization, as those terms are defined in section 4125.01 or 4133.01 of the Revised Code, as applicable, and the guaranteed payments or compensation are paid to the investor by that professional employer organization or alternate employer organization.</w:t>
      </w:r>
    </w:p>
    <w:p w14:paraId="151E00F6"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5" w:name="_Toc153291197"/>
      <w:r w:rsidRPr="008A3EC2">
        <w:rPr>
          <w:rFonts w:ascii="Californian FB" w:eastAsia="Times New Roman" w:hAnsi="Californian FB" w:cs="Times New Roman"/>
          <w:b/>
          <w:color w:val="851C00"/>
          <w:sz w:val="24"/>
          <w:szCs w:val="24"/>
          <w:u w:val="single"/>
        </w:rPr>
        <w:t>Oregon</w:t>
      </w:r>
      <w:bookmarkEnd w:id="85"/>
    </w:p>
    <w:p w14:paraId="3B179DF5" w14:textId="77777777" w:rsidR="0047413E" w:rsidRPr="008A3EC2" w:rsidRDefault="0047413E" w:rsidP="00416BA9">
      <w:pPr>
        <w:ind w:left="720"/>
        <w:rPr>
          <w:rFonts w:eastAsia="Calibri" w:cs="Times New Roman"/>
        </w:rPr>
      </w:pPr>
      <w:r w:rsidRPr="008A3EC2">
        <w:rPr>
          <w:rFonts w:eastAsia="Calibri" w:cs="Times New Roman"/>
        </w:rPr>
        <w:t>Or. Admin. R. 150-316-0155(1)</w:t>
      </w:r>
    </w:p>
    <w:p w14:paraId="14138983" w14:textId="77777777" w:rsidR="0047413E" w:rsidRPr="008A3EC2" w:rsidRDefault="0047413E" w:rsidP="00416BA9">
      <w:pPr>
        <w:ind w:left="1440"/>
        <w:rPr>
          <w:rFonts w:eastAsia="Calibri" w:cs="Times New Roman"/>
        </w:rPr>
      </w:pPr>
      <w:r w:rsidRPr="008A3EC2">
        <w:rPr>
          <w:rFonts w:eastAsia="Calibri" w:cs="Times New Roman"/>
        </w:rPr>
        <w:t>Guaranteed payments paid to nonresident partners of a partnership that has business activity in the state of Oregon are treated as a distributive share of partnership income for Oregon tax purposes. In order to determine the income attributable to Oregon sources, each nonresident partner's entire distributive share, including the guaranteed payments, is then subject to the allocation and apportionment provisions of ORS 314.605 to 314.675.</w:t>
      </w:r>
    </w:p>
    <w:p w14:paraId="29FEA34E" w14:textId="77777777" w:rsidR="0047413E" w:rsidRPr="008A3EC2" w:rsidRDefault="0047413E" w:rsidP="00416BA9">
      <w:pPr>
        <w:ind w:left="720"/>
        <w:rPr>
          <w:rFonts w:eastAsia="Calibri" w:cs="Times New Roman"/>
        </w:rPr>
      </w:pPr>
      <w:r w:rsidRPr="008A3EC2">
        <w:rPr>
          <w:rFonts w:eastAsia="Calibri" w:cs="Times New Roman"/>
        </w:rPr>
        <w:t>Or. Admin. R. 150-314-0415</w:t>
      </w:r>
    </w:p>
    <w:p w14:paraId="28CBB09E" w14:textId="77777777" w:rsidR="0047413E" w:rsidRPr="008A3EC2" w:rsidRDefault="0047413E" w:rsidP="00416BA9">
      <w:pPr>
        <w:ind w:left="1440"/>
        <w:rPr>
          <w:rFonts w:eastAsia="Calibri" w:cs="Times New Roman"/>
        </w:rPr>
      </w:pPr>
      <w:r w:rsidRPr="008A3EC2">
        <w:rPr>
          <w:rFonts w:eastAsia="Calibri" w:cs="Times New Roman"/>
        </w:rPr>
        <w:t>(4) The term "compensation" means wages, salaries, commissions, and any other form of remuneration paid to employees for personal services. Guaranteed payments representing compensation for services to a partnership are considered remuneration paid to employees for personal services. Other than this exception relating to guaranteed payments, payments made to an independent contractor or any other person not properly classifiable as an employee are excluded.</w:t>
      </w:r>
    </w:p>
    <w:p w14:paraId="2943699A" w14:textId="77777777" w:rsidR="0047413E" w:rsidRPr="008A3EC2" w:rsidRDefault="0047413E" w:rsidP="00416BA9">
      <w:pPr>
        <w:ind w:left="1440"/>
        <w:rPr>
          <w:rFonts w:eastAsia="Calibri" w:cs="Times New Roman"/>
        </w:rPr>
      </w:pPr>
      <w:r w:rsidRPr="008A3EC2">
        <w:rPr>
          <w:rFonts w:eastAsia="Calibri" w:cs="Times New Roman"/>
        </w:rPr>
        <w:lastRenderedPageBreak/>
        <w:t>(5) Guaranteed payments which represent a return of capital, interest paid on a capital account, or for any purpose other than compensation for services are excluded. Only amounts paid directly to employees are included in the payroll factor. Amounts considered paid directly include the value of board, rent, housing, lodging, and other benefits or services furnished to employees by the taxpayer in return for personal services, provided that such amounts constitute income to the recipient under the federal Internal Revenue Code. In the case of employees not subject to the federal Internal Revenue Code, e.g., those employed in foreign countries, the determination of whether such benefits or services would constitute income to the employees is made as though such employees were subject to the federal Internal Revenue Code.</w:t>
      </w:r>
    </w:p>
    <w:p w14:paraId="4C48ECAB" w14:textId="77777777" w:rsidR="0047413E" w:rsidRPr="008A3EC2" w:rsidRDefault="0047413E" w:rsidP="008C5D0D">
      <w:pPr>
        <w:ind w:left="720"/>
        <w:rPr>
          <w:rFonts w:eastAsia="Calibri" w:cs="Times New Roman"/>
        </w:rPr>
      </w:pPr>
      <w:r w:rsidRPr="008A3EC2">
        <w:rPr>
          <w:rFonts w:eastAsia="Calibri" w:cs="Times New Roman"/>
          <w:i/>
          <w:iCs/>
        </w:rPr>
        <w:t xml:space="preserve">Reeve v. </w:t>
      </w:r>
      <w:proofErr w:type="spellStart"/>
      <w:r w:rsidRPr="008A3EC2">
        <w:rPr>
          <w:rFonts w:eastAsia="Calibri" w:cs="Times New Roman"/>
          <w:i/>
          <w:iCs/>
        </w:rPr>
        <w:t>Dep’t</w:t>
      </w:r>
      <w:proofErr w:type="spellEnd"/>
      <w:r w:rsidRPr="008A3EC2">
        <w:rPr>
          <w:rFonts w:eastAsia="Calibri" w:cs="Times New Roman"/>
          <w:i/>
          <w:iCs/>
        </w:rPr>
        <w:t>. of Revenue</w:t>
      </w:r>
      <w:r w:rsidRPr="008A3EC2">
        <w:rPr>
          <w:rFonts w:eastAsia="Calibri" w:cs="Times New Roman"/>
        </w:rPr>
        <w:t xml:space="preserve">, 37 P.3d 981 (Or. 2001) </w:t>
      </w:r>
    </w:p>
    <w:p w14:paraId="24AC32E4" w14:textId="77777777" w:rsidR="0047413E" w:rsidRPr="008A3EC2" w:rsidRDefault="0047413E" w:rsidP="00416BA9">
      <w:pPr>
        <w:ind w:left="1440"/>
        <w:rPr>
          <w:rFonts w:eastAsia="Calibri" w:cs="Times New Roman"/>
        </w:rPr>
      </w:pPr>
      <w:r w:rsidRPr="008A3EC2">
        <w:rPr>
          <w:rFonts w:eastAsia="Calibri" w:cs="Times New Roman"/>
        </w:rPr>
        <w:t xml:space="preserve">Washington resident taxpayers characterized payments from an Oregon general partnership for legal services in Washington state as guaranteed payments for services exempt from Oregon tax. The Supreme Court of Oregon determined that guaranteed payments for services made to nonresident partners are considered a distributive shares of partnership profits. See also </w:t>
      </w:r>
      <w:r w:rsidRPr="008A3EC2">
        <w:rPr>
          <w:rFonts w:eastAsia="Calibri" w:cs="Times New Roman"/>
          <w:i/>
          <w:iCs/>
        </w:rPr>
        <w:t xml:space="preserve">Pratt &amp; Larsen Tile v. </w:t>
      </w:r>
      <w:proofErr w:type="spellStart"/>
      <w:r w:rsidRPr="008A3EC2">
        <w:rPr>
          <w:rFonts w:eastAsia="Calibri" w:cs="Times New Roman"/>
          <w:i/>
          <w:iCs/>
        </w:rPr>
        <w:t>Dep’t</w:t>
      </w:r>
      <w:proofErr w:type="spellEnd"/>
      <w:r w:rsidRPr="008A3EC2">
        <w:rPr>
          <w:rFonts w:eastAsia="Calibri" w:cs="Times New Roman"/>
          <w:i/>
          <w:iCs/>
        </w:rPr>
        <w:t>. of Revenue</w:t>
      </w:r>
      <w:r w:rsidRPr="008A3EC2">
        <w:rPr>
          <w:rFonts w:eastAsia="Calibri" w:cs="Times New Roman"/>
        </w:rPr>
        <w:t>, 13 OTR 270 (Or. Tax 1995).</w:t>
      </w:r>
    </w:p>
    <w:p w14:paraId="2C249382" w14:textId="77777777" w:rsidR="0047413E" w:rsidRPr="008A3EC2" w:rsidRDefault="0047413E" w:rsidP="00416BA9">
      <w:pPr>
        <w:ind w:left="720"/>
        <w:rPr>
          <w:rFonts w:eastAsia="Calibri" w:cs="Times New Roman"/>
        </w:rPr>
      </w:pPr>
      <w:r w:rsidRPr="008A3EC2">
        <w:rPr>
          <w:rFonts w:eastAsia="Calibri" w:cs="Times New Roman"/>
        </w:rPr>
        <w:t xml:space="preserve">2021 Or. Laws, </w:t>
      </w:r>
      <w:proofErr w:type="spellStart"/>
      <w:r w:rsidRPr="008A3EC2">
        <w:rPr>
          <w:rFonts w:eastAsia="Calibri" w:cs="Times New Roman"/>
        </w:rPr>
        <w:t>ch.</w:t>
      </w:r>
      <w:proofErr w:type="spellEnd"/>
      <w:r w:rsidRPr="008A3EC2">
        <w:rPr>
          <w:rFonts w:eastAsia="Calibri" w:cs="Times New Roman"/>
        </w:rPr>
        <w:t xml:space="preserve"> 589 (2021 Or. S.B. 727)</w:t>
      </w:r>
    </w:p>
    <w:p w14:paraId="123BA118" w14:textId="77777777" w:rsidR="0047413E" w:rsidRPr="008A3EC2" w:rsidRDefault="0047413E" w:rsidP="00416BA9">
      <w:pPr>
        <w:ind w:left="1440"/>
        <w:rPr>
          <w:rFonts w:eastAsia="Calibri" w:cs="Times New Roman"/>
        </w:rPr>
      </w:pPr>
      <w:r w:rsidRPr="008A3EC2">
        <w:rPr>
          <w:rFonts w:eastAsia="Calibri" w:cs="Times New Roman"/>
        </w:rPr>
        <w:t>“Distributive proceeds” means the net income, dividends, royalties, interest, rents, guaranteed payments and gains of a pass-through entity, derived from or connected with sources within this state.</w:t>
      </w:r>
    </w:p>
    <w:p w14:paraId="149FD868" w14:textId="77777777" w:rsidR="0047413E" w:rsidRPr="008A3EC2" w:rsidRDefault="0047413E" w:rsidP="0047413E">
      <w:pPr>
        <w:pBdr>
          <w:bottom w:val="single" w:sz="4" w:space="1" w:color="auto"/>
        </w:pBdr>
        <w:rPr>
          <w:rFonts w:eastAsia="Calibri" w:cs="Times New Roman"/>
        </w:rPr>
      </w:pPr>
    </w:p>
    <w:p w14:paraId="533DDA95"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6" w:name="_Toc153291198"/>
      <w:r w:rsidRPr="008A3EC2">
        <w:rPr>
          <w:rFonts w:ascii="Californian FB" w:eastAsia="Times New Roman" w:hAnsi="Californian FB" w:cs="Times New Roman"/>
          <w:b/>
          <w:color w:val="851C00"/>
          <w:sz w:val="24"/>
          <w:szCs w:val="24"/>
          <w:u w:val="single"/>
        </w:rPr>
        <w:t>Pennsylvania</w:t>
      </w:r>
      <w:bookmarkEnd w:id="86"/>
    </w:p>
    <w:p w14:paraId="06F766F1" w14:textId="77777777" w:rsidR="0047413E" w:rsidRPr="008A3EC2" w:rsidRDefault="0047413E" w:rsidP="00416BA9">
      <w:pPr>
        <w:ind w:left="720"/>
        <w:rPr>
          <w:rFonts w:eastAsia="Calibri" w:cs="Times New Roman"/>
        </w:rPr>
      </w:pPr>
      <w:r w:rsidRPr="008A3EC2">
        <w:rPr>
          <w:rFonts w:eastAsia="Calibri" w:cs="Times New Roman"/>
        </w:rPr>
        <w:t>Pennsylvania Personal Income Tax Guide, Chapter 16</w:t>
      </w:r>
    </w:p>
    <w:p w14:paraId="5C34D2BD" w14:textId="351726C8" w:rsidR="0047413E" w:rsidRPr="008A3EC2" w:rsidRDefault="007A488B" w:rsidP="00416BA9">
      <w:pPr>
        <w:ind w:left="1440"/>
        <w:rPr>
          <w:rFonts w:eastAsia="Calibri" w:cs="Times New Roman"/>
        </w:rPr>
      </w:pPr>
      <w:r>
        <w:rPr>
          <w:rFonts w:eastAsia="Calibri" w:cs="Times New Roman"/>
        </w:rPr>
        <w:t xml:space="preserve">For nonresidents a guaranteed payment for services rendered directly in the production of </w:t>
      </w:r>
      <w:r w:rsidR="0047413E" w:rsidRPr="008A3EC2">
        <w:rPr>
          <w:rFonts w:eastAsia="Calibri" w:cs="Times New Roman"/>
        </w:rPr>
        <w:t>income from a business, profession or farm is allocable or apportionable to Pennsylvania to the same extent as the net profits are allocable or apportionable to Pennsylvania . . . For nonresidents a guaranteed payment for services rendered directly in the production of rental or royalty income is allocable to Pennsylvania to the same extent as the rental and royalty income is allocable to Pennsylvania . . .For nonresidents a guaranteed payment for other services or for the use of capital is allocable to their state of residence. Nonresidents are not taxed on a guaranteed payment for the use of capital for Pennsylvania personal income tax purposes.</w:t>
      </w:r>
    </w:p>
    <w:p w14:paraId="7185766C" w14:textId="77777777" w:rsidR="0047413E" w:rsidRPr="008A3EC2" w:rsidRDefault="0047413E" w:rsidP="00416BA9">
      <w:pPr>
        <w:ind w:left="1440"/>
        <w:rPr>
          <w:rFonts w:eastAsia="Calibri" w:cs="Times New Roman"/>
        </w:rPr>
      </w:pPr>
      <w:r w:rsidRPr="008A3EC2">
        <w:rPr>
          <w:rFonts w:eastAsia="Calibri" w:cs="Times New Roman"/>
        </w:rPr>
        <w:t xml:space="preserve">Recent federal statutory changes prohibit states from taxing some retirement income of nonresidents. </w:t>
      </w:r>
      <w:proofErr w:type="gramStart"/>
      <w:r w:rsidRPr="008A3EC2">
        <w:rPr>
          <w:rFonts w:eastAsia="Calibri" w:cs="Times New Roman"/>
        </w:rPr>
        <w:t>Public Law 109-264,</w:t>
      </w:r>
      <w:proofErr w:type="gramEnd"/>
      <w:r w:rsidRPr="008A3EC2">
        <w:rPr>
          <w:rFonts w:eastAsia="Calibri" w:cs="Times New Roman"/>
        </w:rPr>
        <w:t xml:space="preserve"> signed Aug. 3, 2006, amends § 114 of Title 4 of the U.S. Code. The law provides that retirement payments made under a nonqualified plan maintained by a partnership and meeting specific criteria are taxable only by a state where the retired partner is a resident or where the retired partner is domiciled at the time the payments are received. To qualify for this tax treatment, the retirement payments must meet all of the following criteria:</w:t>
      </w:r>
    </w:p>
    <w:p w14:paraId="281CFE4E" w14:textId="77777777" w:rsidR="0047413E" w:rsidRPr="008A3EC2" w:rsidRDefault="0047413E" w:rsidP="00416BA9">
      <w:pPr>
        <w:ind w:left="1440"/>
        <w:rPr>
          <w:rFonts w:eastAsia="Calibri" w:cs="Times New Roman"/>
        </w:rPr>
      </w:pPr>
      <w:r w:rsidRPr="008A3EC2">
        <w:rPr>
          <w:rFonts w:eastAsia="Calibri" w:cs="Times New Roman"/>
        </w:rPr>
        <w:t>The payments must be provided for in a written plan, program, or arrangement that was in effect before the partner’s retirement;</w:t>
      </w:r>
    </w:p>
    <w:p w14:paraId="7B54AD8E" w14:textId="77777777" w:rsidR="0047413E" w:rsidRPr="008A3EC2" w:rsidRDefault="0047413E" w:rsidP="00416BA9">
      <w:pPr>
        <w:ind w:left="1440"/>
        <w:rPr>
          <w:rFonts w:eastAsia="Calibri" w:cs="Times New Roman"/>
        </w:rPr>
      </w:pPr>
      <w:r w:rsidRPr="008A3EC2">
        <w:rPr>
          <w:rFonts w:eastAsia="Calibri" w:cs="Times New Roman"/>
        </w:rPr>
        <w:t>The payments must be in recognition of prior service performed by the partner for the partnership; and</w:t>
      </w:r>
    </w:p>
    <w:p w14:paraId="7A931BC4" w14:textId="77777777" w:rsidR="0047413E" w:rsidRPr="008A3EC2" w:rsidRDefault="0047413E" w:rsidP="00416BA9">
      <w:pPr>
        <w:ind w:left="1440"/>
        <w:rPr>
          <w:rFonts w:eastAsia="Calibri" w:cs="Times New Roman"/>
        </w:rPr>
      </w:pPr>
      <w:r w:rsidRPr="008A3EC2">
        <w:rPr>
          <w:rFonts w:eastAsia="Calibri" w:cs="Times New Roman"/>
        </w:rPr>
        <w:t>The payments must be made over the life or life expectancy of the recipient or over a period of at least 10 years, must be paid at least annually, and must be paid in substantially equal periodic payments.</w:t>
      </w:r>
    </w:p>
    <w:p w14:paraId="789D1FB7" w14:textId="77777777" w:rsidR="0047413E" w:rsidRPr="008A3EC2" w:rsidRDefault="0047413E" w:rsidP="0047413E">
      <w:pPr>
        <w:pBdr>
          <w:bottom w:val="single" w:sz="4" w:space="1" w:color="auto"/>
        </w:pBdr>
        <w:rPr>
          <w:rFonts w:eastAsia="Calibri" w:cs="Times New Roman"/>
        </w:rPr>
      </w:pPr>
    </w:p>
    <w:p w14:paraId="3ED6B6E0"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7" w:name="_Toc153291199"/>
      <w:bookmarkStart w:id="88" w:name="_Hlk130546526"/>
      <w:r w:rsidRPr="008A3EC2">
        <w:rPr>
          <w:rFonts w:ascii="Californian FB" w:eastAsia="Times New Roman" w:hAnsi="Californian FB" w:cs="Times New Roman"/>
          <w:b/>
          <w:color w:val="851C00"/>
          <w:sz w:val="24"/>
          <w:szCs w:val="24"/>
          <w:u w:val="single"/>
        </w:rPr>
        <w:t>Rhode Island</w:t>
      </w:r>
      <w:bookmarkEnd w:id="87"/>
      <w:r w:rsidRPr="008A3EC2">
        <w:rPr>
          <w:rFonts w:ascii="Californian FB" w:eastAsia="Times New Roman" w:hAnsi="Californian FB" w:cs="Times New Roman"/>
          <w:b/>
          <w:color w:val="851C00"/>
          <w:sz w:val="24"/>
          <w:szCs w:val="24"/>
          <w:u w:val="single"/>
        </w:rPr>
        <w:t xml:space="preserve"> </w:t>
      </w:r>
    </w:p>
    <w:p w14:paraId="4E3291E8" w14:textId="77777777" w:rsidR="0047413E" w:rsidRPr="008A3EC2" w:rsidRDefault="0047413E" w:rsidP="00416BA9">
      <w:pPr>
        <w:ind w:left="720"/>
        <w:rPr>
          <w:rFonts w:eastAsia="Calibri" w:cs="Times New Roman"/>
        </w:rPr>
      </w:pPr>
      <w:r w:rsidRPr="008A3EC2">
        <w:rPr>
          <w:rFonts w:eastAsia="Calibri" w:cs="Times New Roman"/>
        </w:rPr>
        <w:t>R.I. Gen. Laws § 44-30-34</w:t>
      </w:r>
    </w:p>
    <w:p w14:paraId="051445A8" w14:textId="77777777" w:rsidR="0047413E" w:rsidRPr="008A3EC2" w:rsidRDefault="0047413E" w:rsidP="00416BA9">
      <w:pPr>
        <w:ind w:left="1440"/>
        <w:rPr>
          <w:rFonts w:eastAsia="Calibri" w:cs="Times New Roman"/>
        </w:rPr>
      </w:pPr>
      <w:r w:rsidRPr="008A3EC2">
        <w:rPr>
          <w:rFonts w:eastAsia="Calibri" w:cs="Times New Roman"/>
        </w:rPr>
        <w:t>(b) Special rules as to Rhode Island sources. In determining the sources of a nonresident partner's income, no effect shall be given to a provision in the partnership agreement which:</w:t>
      </w:r>
    </w:p>
    <w:p w14:paraId="75C0DF5F" w14:textId="77777777" w:rsidR="0047413E" w:rsidRPr="008A3EC2" w:rsidRDefault="0047413E" w:rsidP="00416BA9">
      <w:pPr>
        <w:ind w:left="1440" w:firstLine="720"/>
        <w:rPr>
          <w:rFonts w:eastAsia="Calibri" w:cs="Times New Roman"/>
        </w:rPr>
      </w:pPr>
      <w:r w:rsidRPr="008A3EC2">
        <w:rPr>
          <w:rFonts w:eastAsia="Calibri" w:cs="Times New Roman"/>
        </w:rPr>
        <w:t>(1) Characterizes payments to the partner as being for services or for the use of capital; or</w:t>
      </w:r>
    </w:p>
    <w:p w14:paraId="03463933"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from sources outside Rhode Island, a greater proportion of his or her distributive share of partnership income than the ratio of partnership income from sources outside Rhode Island to partnership income from all sources, except as authorized in subsection (d) of this section; or</w:t>
      </w:r>
    </w:p>
    <w:p w14:paraId="380D0C68" w14:textId="77777777" w:rsidR="0047413E" w:rsidRPr="008A3EC2"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deduction connected with Rhode Island sources than his or her proportionate share, for federal income tax purposes, of partnership deductions generally, except as authorized in subsection (d) of this section.</w:t>
      </w:r>
    </w:p>
    <w:p w14:paraId="41394789" w14:textId="77777777" w:rsidR="0047413E" w:rsidRPr="008A3EC2" w:rsidRDefault="0047413E" w:rsidP="00416BA9">
      <w:pPr>
        <w:ind w:left="720"/>
        <w:rPr>
          <w:rFonts w:eastAsia="Calibri" w:cs="Times New Roman"/>
        </w:rPr>
      </w:pPr>
      <w:r w:rsidRPr="008A3EC2">
        <w:rPr>
          <w:rFonts w:eastAsia="Calibri" w:cs="Times New Roman"/>
        </w:rPr>
        <w:t>R.I. Gen. Laws § 44-11-2.3(a)(2)</w:t>
      </w:r>
    </w:p>
    <w:p w14:paraId="4D7A3B4B" w14:textId="77777777" w:rsidR="0047413E" w:rsidRPr="008A3EC2" w:rsidRDefault="0047413E" w:rsidP="00416BA9">
      <w:pPr>
        <w:ind w:left="1440"/>
        <w:rPr>
          <w:rFonts w:eastAsia="Calibri" w:cs="Times New Roman"/>
        </w:rPr>
      </w:pPr>
      <w:r w:rsidRPr="008A3EC2">
        <w:rPr>
          <w:rFonts w:eastAsia="Calibri" w:cs="Times New Roman"/>
        </w:rPr>
        <w:t>“Net income” means the net ordinary income, net rental real estate income, other net rental income, guaranteed payments, and other business income less specially allocated depreciation and deductions allowed pursuant to § 179 of the United States Revenue Code (26 U.S.C. § 179), all of which would be reported on federal tax form schedules C and E. Net income for purposes of this section does not include specially allocated investment income or any other types of deductions.</w:t>
      </w:r>
    </w:p>
    <w:bookmarkEnd w:id="88"/>
    <w:p w14:paraId="654194FE" w14:textId="77777777" w:rsidR="0047413E" w:rsidRPr="008A3EC2" w:rsidRDefault="0047413E" w:rsidP="0047413E">
      <w:pPr>
        <w:pBdr>
          <w:bottom w:val="single" w:sz="4" w:space="1" w:color="auto"/>
        </w:pBdr>
        <w:rPr>
          <w:rFonts w:eastAsia="Calibri" w:cs="Times New Roman"/>
        </w:rPr>
      </w:pPr>
    </w:p>
    <w:p w14:paraId="1FFDD1EE"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89" w:name="_Toc153291200"/>
      <w:r w:rsidRPr="008A3EC2">
        <w:rPr>
          <w:rFonts w:ascii="Californian FB" w:eastAsia="Times New Roman" w:hAnsi="Californian FB" w:cs="Times New Roman"/>
          <w:b/>
          <w:color w:val="851C00"/>
          <w:sz w:val="24"/>
          <w:szCs w:val="24"/>
          <w:u w:val="single"/>
        </w:rPr>
        <w:t>South Carolina</w:t>
      </w:r>
      <w:bookmarkEnd w:id="89"/>
    </w:p>
    <w:p w14:paraId="676B6263" w14:textId="77777777" w:rsidR="0047413E" w:rsidRPr="008A3EC2" w:rsidRDefault="0047413E" w:rsidP="00416BA9">
      <w:pPr>
        <w:ind w:left="720"/>
        <w:rPr>
          <w:rFonts w:eastAsia="Calibri" w:cs="Times New Roman"/>
        </w:rPr>
      </w:pPr>
      <w:r w:rsidRPr="008A3EC2">
        <w:rPr>
          <w:rFonts w:eastAsia="Calibri" w:cs="Times New Roman"/>
        </w:rPr>
        <w:t>2022 Instructions for Form SC1065</w:t>
      </w:r>
    </w:p>
    <w:p w14:paraId="1DAA6262" w14:textId="77777777" w:rsidR="0047413E" w:rsidRPr="008A3EC2" w:rsidRDefault="0047413E" w:rsidP="00416BA9">
      <w:pPr>
        <w:ind w:left="1440"/>
        <w:rPr>
          <w:rFonts w:eastAsia="Calibri" w:cs="Times New Roman"/>
        </w:rPr>
      </w:pPr>
      <w:r w:rsidRPr="008A3EC2">
        <w:rPr>
          <w:rFonts w:eastAsia="Calibri" w:cs="Times New Roman"/>
        </w:rPr>
        <w:t>Allocate personal service income, including guaranteed payments, to South Carolina if (a) the income is received by a resident individual or (b) the income is for services performed in South Carolina.</w:t>
      </w:r>
    </w:p>
    <w:p w14:paraId="39EF41C1" w14:textId="77777777" w:rsidR="0047413E" w:rsidRPr="008A3EC2" w:rsidRDefault="0047413E" w:rsidP="00416BA9">
      <w:pPr>
        <w:ind w:left="720"/>
        <w:rPr>
          <w:rFonts w:eastAsia="Calibri" w:cs="Times New Roman"/>
        </w:rPr>
      </w:pPr>
      <w:r w:rsidRPr="008A3EC2">
        <w:rPr>
          <w:rFonts w:eastAsia="Calibri" w:cs="Times New Roman"/>
        </w:rPr>
        <w:t>S.C. Revenue Ruling #21-15; S.C. Code Ann. § 12-6-545(A)(1)(d)</w:t>
      </w:r>
    </w:p>
    <w:p w14:paraId="2ABA5F22" w14:textId="77777777" w:rsidR="0047413E" w:rsidRPr="008A3EC2" w:rsidRDefault="0047413E" w:rsidP="00416BA9">
      <w:pPr>
        <w:ind w:left="1440"/>
        <w:rPr>
          <w:rFonts w:eastAsia="Calibri" w:cs="Times New Roman"/>
        </w:rPr>
      </w:pPr>
      <w:r w:rsidRPr="008A3EC2">
        <w:rPr>
          <w:rFonts w:eastAsia="Calibri" w:cs="Times New Roman"/>
        </w:rPr>
        <w:t>Active trade or business income or loss does not include . . . payments for services referred to in Internal Revenue Code Section 707(c); amounts reasonably related to personal services. All amounts paid as compensation and all guaranteed payments for services, but not for the use of capital as defined in Internal Revenue Code Section 707(c) are deemed to be reasonably related to personal services. In addition, if an owner of a pass-through entity who performs personal services for the entity is not paid a reasonable amount for those personal services as compensation or payments referred to in Internal Revenue Code Section 707(c), all of the owner's income from the entity is presumed to be amounts reasonably related to personal services. . For purposes of this section, amounts reasonably related to personal services include amounts reasonably related to the personal services of the owner, the owner's spouse, and any person claimed as a dependent on the owner's income tax return.</w:t>
      </w:r>
    </w:p>
    <w:p w14:paraId="4AE062E8" w14:textId="77777777" w:rsidR="0047413E" w:rsidRPr="008A3EC2" w:rsidRDefault="0047413E" w:rsidP="0047413E">
      <w:pPr>
        <w:pBdr>
          <w:bottom w:val="single" w:sz="4" w:space="1" w:color="auto"/>
        </w:pBdr>
        <w:rPr>
          <w:rFonts w:eastAsia="Calibri" w:cs="Times New Roman"/>
        </w:rPr>
      </w:pPr>
    </w:p>
    <w:p w14:paraId="1D3F4A08"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0" w:name="_Toc153291201"/>
      <w:r w:rsidRPr="008A3EC2">
        <w:rPr>
          <w:rFonts w:ascii="Californian FB" w:eastAsia="Times New Roman" w:hAnsi="Californian FB" w:cs="Times New Roman"/>
          <w:b/>
          <w:color w:val="851C00"/>
          <w:sz w:val="24"/>
          <w:szCs w:val="24"/>
          <w:u w:val="single"/>
        </w:rPr>
        <w:lastRenderedPageBreak/>
        <w:t>Utah</w:t>
      </w:r>
      <w:bookmarkEnd w:id="90"/>
    </w:p>
    <w:p w14:paraId="2007D007" w14:textId="77777777" w:rsidR="0047413E" w:rsidRPr="008A3EC2" w:rsidRDefault="0047413E" w:rsidP="00416BA9">
      <w:pPr>
        <w:ind w:left="720"/>
        <w:rPr>
          <w:rFonts w:eastAsia="Calibri" w:cs="Times New Roman"/>
        </w:rPr>
      </w:pPr>
      <w:r w:rsidRPr="008A3EC2">
        <w:rPr>
          <w:rFonts w:eastAsia="Calibri" w:cs="Times New Roman"/>
        </w:rPr>
        <w:t>Utah Advisory Opinion, No. 93-006 (03/22/1993)</w:t>
      </w:r>
    </w:p>
    <w:p w14:paraId="66C45C15" w14:textId="77777777" w:rsidR="0047413E" w:rsidRPr="008A3EC2" w:rsidRDefault="0047413E" w:rsidP="00416BA9">
      <w:pPr>
        <w:ind w:left="1440"/>
        <w:rPr>
          <w:rFonts w:eastAsia="Calibri" w:cs="Times New Roman"/>
        </w:rPr>
      </w:pPr>
      <w:r w:rsidRPr="008A3EC2">
        <w:rPr>
          <w:rFonts w:eastAsia="Calibri" w:cs="Times New Roman"/>
        </w:rPr>
        <w:t>Sources guaranteed payments the same as distributive share.</w:t>
      </w:r>
    </w:p>
    <w:p w14:paraId="160D6CAB" w14:textId="77777777" w:rsidR="0047413E" w:rsidRPr="008A3EC2" w:rsidRDefault="0047413E" w:rsidP="0047413E">
      <w:pPr>
        <w:pBdr>
          <w:bottom w:val="single" w:sz="4" w:space="1" w:color="auto"/>
        </w:pBdr>
        <w:rPr>
          <w:rFonts w:eastAsia="Calibri" w:cs="Times New Roman"/>
        </w:rPr>
      </w:pPr>
    </w:p>
    <w:p w14:paraId="1C0EAA33"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1" w:name="_Toc153291202"/>
      <w:bookmarkEnd w:id="74"/>
      <w:r w:rsidRPr="008A3EC2">
        <w:rPr>
          <w:rFonts w:ascii="Californian FB" w:eastAsia="Times New Roman" w:hAnsi="Californian FB" w:cs="Times New Roman"/>
          <w:b/>
          <w:color w:val="851C00"/>
          <w:sz w:val="24"/>
          <w:szCs w:val="24"/>
          <w:u w:val="single"/>
        </w:rPr>
        <w:t>Vermont</w:t>
      </w:r>
      <w:bookmarkEnd w:id="91"/>
    </w:p>
    <w:p w14:paraId="79A42457" w14:textId="77777777" w:rsidR="0047413E" w:rsidRPr="008A3EC2" w:rsidRDefault="0047413E" w:rsidP="00416BA9">
      <w:pPr>
        <w:ind w:left="720"/>
        <w:rPr>
          <w:rFonts w:eastAsia="Calibri" w:cs="Times New Roman"/>
        </w:rPr>
      </w:pPr>
      <w:r w:rsidRPr="008A3EC2">
        <w:rPr>
          <w:rFonts w:eastAsia="Calibri" w:cs="Times New Roman"/>
        </w:rPr>
        <w:t>2022 Instructions to Schedule BI-473</w:t>
      </w:r>
    </w:p>
    <w:p w14:paraId="29131831" w14:textId="77777777" w:rsidR="0047413E" w:rsidRPr="008A3EC2" w:rsidRDefault="0047413E" w:rsidP="00416BA9">
      <w:pPr>
        <w:ind w:left="1440"/>
        <w:rPr>
          <w:rFonts w:eastAsia="Calibri" w:cs="Times New Roman"/>
        </w:rPr>
      </w:pPr>
      <w:r w:rsidRPr="008A3EC2">
        <w:rPr>
          <w:rFonts w:eastAsia="Calibri" w:cs="Times New Roman"/>
        </w:rPr>
        <w:t>Guaranteed payments are apportioned.</w:t>
      </w:r>
    </w:p>
    <w:p w14:paraId="5C93C992" w14:textId="77777777" w:rsidR="0047413E" w:rsidRPr="008A3EC2" w:rsidRDefault="0047413E" w:rsidP="0047413E">
      <w:pPr>
        <w:pBdr>
          <w:bottom w:val="single" w:sz="4" w:space="1" w:color="auto"/>
        </w:pBdr>
        <w:rPr>
          <w:rFonts w:eastAsia="Calibri" w:cs="Times New Roman"/>
        </w:rPr>
      </w:pPr>
    </w:p>
    <w:p w14:paraId="2CA8C19A"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2" w:name="_Toc153291203"/>
      <w:r w:rsidRPr="008A3EC2">
        <w:rPr>
          <w:rFonts w:ascii="Californian FB" w:eastAsia="Times New Roman" w:hAnsi="Californian FB" w:cs="Times New Roman"/>
          <w:b/>
          <w:color w:val="851C00"/>
          <w:sz w:val="24"/>
          <w:szCs w:val="24"/>
          <w:u w:val="single"/>
        </w:rPr>
        <w:t>Virginia</w:t>
      </w:r>
      <w:bookmarkEnd w:id="92"/>
    </w:p>
    <w:p w14:paraId="6118096F" w14:textId="77777777" w:rsidR="0047413E" w:rsidRPr="008A3EC2" w:rsidRDefault="0047413E" w:rsidP="00416BA9">
      <w:pPr>
        <w:ind w:left="720"/>
        <w:rPr>
          <w:rFonts w:eastAsia="Calibri" w:cs="Times New Roman"/>
        </w:rPr>
      </w:pPr>
      <w:r w:rsidRPr="008A3EC2">
        <w:rPr>
          <w:rFonts w:eastAsia="Calibri" w:cs="Times New Roman"/>
        </w:rPr>
        <w:t>PD 05-38 (March 16, 2005); PD 05-48 (April 7, 2005)</w:t>
      </w:r>
    </w:p>
    <w:p w14:paraId="722ED504" w14:textId="77777777" w:rsidR="0047413E" w:rsidRPr="008A3EC2" w:rsidRDefault="0047413E" w:rsidP="00416BA9">
      <w:pPr>
        <w:ind w:left="1440"/>
        <w:rPr>
          <w:rFonts w:eastAsia="Calibri" w:cs="Times New Roman"/>
        </w:rPr>
      </w:pPr>
      <w:r w:rsidRPr="008A3EC2">
        <w:rPr>
          <w:rFonts w:eastAsia="Calibri" w:cs="Times New Roman"/>
        </w:rPr>
        <w:t>Guaranteed payments for services are attributed to where the services are performed.</w:t>
      </w:r>
    </w:p>
    <w:p w14:paraId="185FD5F4" w14:textId="77777777" w:rsidR="0047413E" w:rsidRPr="008A3EC2" w:rsidRDefault="0047413E" w:rsidP="00416BA9">
      <w:pPr>
        <w:ind w:left="720"/>
        <w:rPr>
          <w:rFonts w:eastAsia="Calibri" w:cs="Times New Roman"/>
        </w:rPr>
      </w:pPr>
      <w:r w:rsidRPr="008A3EC2">
        <w:rPr>
          <w:rFonts w:eastAsia="Calibri" w:cs="Times New Roman"/>
        </w:rPr>
        <w:t>DRAFT Guidelines for the Pass-through Entity Tax (October 31, 2022)</w:t>
      </w:r>
    </w:p>
    <w:p w14:paraId="2F9FB707" w14:textId="77777777" w:rsidR="0047413E" w:rsidRPr="008A3EC2" w:rsidRDefault="0047413E" w:rsidP="00416BA9">
      <w:pPr>
        <w:ind w:left="1440"/>
        <w:rPr>
          <w:rFonts w:eastAsia="Calibri" w:cs="Times New Roman"/>
        </w:rPr>
      </w:pPr>
      <w:r w:rsidRPr="008A3EC2">
        <w:rPr>
          <w:rFonts w:eastAsia="Calibri" w:cs="Times New Roman"/>
        </w:rPr>
        <w:t>An electing PTE’s calculation of its PTE taxable income must include all items of income, gain, loss, or deduction, to the extent they would flow through and be included in the income of owners that are taxable under Va. Code §§ 58.1-320 and 58.1-360, as applicable, including guaranteed payments. However, the electing PTE can exclude income from the calculation of PTE taxable income to the extent that the PTE can establish that the amount is properly allocable to an owner who is not subject to tax on such amount under Va. Code §§ 58.1-320 and 58.1-360, as applicable. Two examples are (1) income that is not U.S. sourced and is allocable to nonresident alien partners and, therefore, not included in federal adjusted gross income under the Internal Revenue Code, and (2) retirement income of former partners that is exempt from nonresident state taxation under 4 U.S.C § 114.</w:t>
      </w:r>
    </w:p>
    <w:p w14:paraId="1D3D42AA" w14:textId="77777777" w:rsidR="0047413E" w:rsidRPr="008A3EC2" w:rsidRDefault="0047413E" w:rsidP="0047413E">
      <w:pPr>
        <w:pBdr>
          <w:bottom w:val="single" w:sz="4" w:space="1" w:color="auto"/>
        </w:pBdr>
        <w:rPr>
          <w:rFonts w:eastAsia="Calibri" w:cs="Times New Roman"/>
        </w:rPr>
      </w:pPr>
    </w:p>
    <w:p w14:paraId="5233334C"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3" w:name="_Toc153291204"/>
      <w:bookmarkStart w:id="94" w:name="_Hlk130546567"/>
      <w:r w:rsidRPr="008A3EC2">
        <w:rPr>
          <w:rFonts w:ascii="Californian FB" w:eastAsia="Times New Roman" w:hAnsi="Californian FB" w:cs="Times New Roman"/>
          <w:b/>
          <w:color w:val="851C00"/>
          <w:sz w:val="24"/>
          <w:szCs w:val="24"/>
          <w:u w:val="single"/>
        </w:rPr>
        <w:t>West Virginia</w:t>
      </w:r>
      <w:bookmarkEnd w:id="93"/>
    </w:p>
    <w:p w14:paraId="1143C5A7" w14:textId="77777777" w:rsidR="0047413E" w:rsidRPr="008A3EC2" w:rsidRDefault="0047413E" w:rsidP="00416BA9">
      <w:pPr>
        <w:ind w:left="720"/>
        <w:rPr>
          <w:rFonts w:eastAsia="Calibri" w:cs="Times New Roman"/>
        </w:rPr>
      </w:pPr>
      <w:r w:rsidRPr="008A3EC2">
        <w:rPr>
          <w:rFonts w:eastAsia="Calibri" w:cs="Times New Roman"/>
        </w:rPr>
        <w:t>W. Va. Code § 11-21-37(b)</w:t>
      </w:r>
    </w:p>
    <w:p w14:paraId="70023F61" w14:textId="77777777" w:rsidR="0047413E" w:rsidRPr="008A3EC2" w:rsidRDefault="0047413E" w:rsidP="00416BA9">
      <w:pPr>
        <w:ind w:left="1440"/>
        <w:rPr>
          <w:rFonts w:eastAsia="Calibri" w:cs="Times New Roman"/>
        </w:rPr>
      </w:pPr>
      <w:r w:rsidRPr="008A3EC2">
        <w:rPr>
          <w:rFonts w:eastAsia="Calibri" w:cs="Times New Roman"/>
        </w:rPr>
        <w:t>Special rules as to West Virginia sources. -- In determining the sources of a nonresident partner's income, no effect shall be given to a provision of the partnership agreement which:</w:t>
      </w:r>
    </w:p>
    <w:p w14:paraId="2146506B" w14:textId="77777777" w:rsidR="0047413E" w:rsidRPr="008A3EC2" w:rsidRDefault="0047413E" w:rsidP="00416BA9">
      <w:pPr>
        <w:ind w:left="1440" w:firstLine="720"/>
        <w:rPr>
          <w:rFonts w:eastAsia="Calibri" w:cs="Times New Roman"/>
        </w:rPr>
      </w:pPr>
      <w:r w:rsidRPr="008A3EC2">
        <w:rPr>
          <w:rFonts w:eastAsia="Calibri" w:cs="Times New Roman"/>
        </w:rPr>
        <w:t>(1) Characterizes payments to the partner as being for services or for the use of capital; or</w:t>
      </w:r>
    </w:p>
    <w:p w14:paraId="2187ED2B" w14:textId="77777777" w:rsidR="0047413E" w:rsidRPr="008A3EC2" w:rsidRDefault="0047413E" w:rsidP="00416BA9">
      <w:pPr>
        <w:ind w:left="1440" w:firstLine="720"/>
        <w:rPr>
          <w:rFonts w:eastAsia="Calibri" w:cs="Times New Roman"/>
        </w:rPr>
      </w:pPr>
      <w:r w:rsidRPr="008A3EC2">
        <w:rPr>
          <w:rFonts w:eastAsia="Calibri" w:cs="Times New Roman"/>
        </w:rPr>
        <w:t>(2) Allocates to the partner, as income or gain from sources outside West Virginia, a greater proportion of his or her distributive share of partnership income or gain than the ratio of partnership income or gain from sources outside West Virginia to partnership income or gain from all sources, except as authorized in subsection (d); or</w:t>
      </w:r>
    </w:p>
    <w:p w14:paraId="76A24B5B" w14:textId="77777777" w:rsidR="0047413E" w:rsidRDefault="0047413E" w:rsidP="00416BA9">
      <w:pPr>
        <w:ind w:left="1440" w:firstLine="720"/>
        <w:rPr>
          <w:rFonts w:eastAsia="Calibri" w:cs="Times New Roman"/>
        </w:rPr>
      </w:pPr>
      <w:r w:rsidRPr="008A3EC2">
        <w:rPr>
          <w:rFonts w:eastAsia="Calibri" w:cs="Times New Roman"/>
        </w:rPr>
        <w:t>(3) Allocates to the partner a greater proportion of a partnership item of loss or deduction connected with West Virginia sources than his or her proportionate share, for federal income tax purposes, of partnership loss or deduction generally, except as authorized in subsection (c).</w:t>
      </w:r>
    </w:p>
    <w:p w14:paraId="4B31DFDD" w14:textId="77777777" w:rsidR="0047413E" w:rsidRPr="001F5515" w:rsidRDefault="0047413E" w:rsidP="0047413E">
      <w:pPr>
        <w:pBdr>
          <w:bottom w:val="single" w:sz="4" w:space="1" w:color="auto"/>
        </w:pBdr>
        <w:ind w:firstLine="720"/>
        <w:rPr>
          <w:rFonts w:eastAsia="Calibri" w:cs="Times New Roman"/>
        </w:rPr>
      </w:pPr>
    </w:p>
    <w:p w14:paraId="5365FA39" w14:textId="77777777" w:rsidR="0047413E" w:rsidRPr="008A3EC2" w:rsidRDefault="0047413E" w:rsidP="0047413E">
      <w:pPr>
        <w:keepNext/>
        <w:keepLines/>
        <w:spacing w:before="240" w:after="120"/>
        <w:outlineLvl w:val="2"/>
        <w:rPr>
          <w:rFonts w:ascii="Californian FB" w:eastAsia="Times New Roman" w:hAnsi="Californian FB" w:cs="Times New Roman"/>
          <w:b/>
          <w:color w:val="851C00"/>
          <w:sz w:val="24"/>
          <w:szCs w:val="24"/>
          <w:u w:val="single"/>
        </w:rPr>
      </w:pPr>
      <w:bookmarkStart w:id="95" w:name="_Toc153291205"/>
      <w:bookmarkEnd w:id="94"/>
      <w:r w:rsidRPr="008A3EC2">
        <w:rPr>
          <w:rFonts w:ascii="Californian FB" w:eastAsia="Times New Roman" w:hAnsi="Californian FB" w:cs="Times New Roman"/>
          <w:b/>
          <w:color w:val="851C00"/>
          <w:sz w:val="24"/>
          <w:szCs w:val="24"/>
          <w:u w:val="single"/>
        </w:rPr>
        <w:lastRenderedPageBreak/>
        <w:t>W</w:t>
      </w:r>
      <w:r>
        <w:rPr>
          <w:rFonts w:ascii="Californian FB" w:eastAsia="Times New Roman" w:hAnsi="Californian FB" w:cs="Times New Roman"/>
          <w:b/>
          <w:color w:val="851C00"/>
          <w:sz w:val="24"/>
          <w:szCs w:val="24"/>
          <w:u w:val="single"/>
        </w:rPr>
        <w:t>isconsin</w:t>
      </w:r>
      <w:bookmarkEnd w:id="95"/>
    </w:p>
    <w:p w14:paraId="0A3D4DDA" w14:textId="4464474A" w:rsidR="0047413E" w:rsidRPr="008A3EC2" w:rsidRDefault="0047413E" w:rsidP="00416BA9">
      <w:pPr>
        <w:ind w:left="720"/>
        <w:rPr>
          <w:rFonts w:eastAsia="Calibri" w:cs="Times New Roman"/>
        </w:rPr>
      </w:pPr>
      <w:r w:rsidRPr="00BC27FF">
        <w:rPr>
          <w:rFonts w:eastAsia="Calibri" w:cs="Times New Roman"/>
        </w:rPr>
        <w:t>Wis. Stat. §</w:t>
      </w:r>
      <w:r>
        <w:rPr>
          <w:rFonts w:eastAsia="Calibri" w:cs="Times New Roman"/>
        </w:rPr>
        <w:t xml:space="preserve"> 71.2</w:t>
      </w:r>
      <w:r w:rsidR="00AB38D5">
        <w:rPr>
          <w:rFonts w:eastAsia="Calibri" w:cs="Times New Roman"/>
        </w:rPr>
        <w:t>1</w:t>
      </w:r>
    </w:p>
    <w:p w14:paraId="6CE0624F" w14:textId="6591EA58" w:rsidR="0047413E" w:rsidRDefault="0047413E" w:rsidP="00416BA9">
      <w:pPr>
        <w:ind w:left="1440"/>
        <w:rPr>
          <w:rFonts w:eastAsia="Calibri" w:cs="Times New Roman"/>
        </w:rPr>
      </w:pPr>
      <w:r w:rsidRPr="00E84099">
        <w:rPr>
          <w:rFonts w:eastAsia="Calibri" w:cs="Times New Roman"/>
        </w:rPr>
        <w:t xml:space="preserve">According to </w:t>
      </w:r>
      <w:r w:rsidRPr="00B747D5">
        <w:rPr>
          <w:rFonts w:eastAsia="Calibri" w:cs="Times New Roman"/>
        </w:rPr>
        <w:t>Wis. Stat. § 71.2</w:t>
      </w:r>
      <w:r w:rsidR="00916A31">
        <w:rPr>
          <w:rFonts w:eastAsia="Calibri" w:cs="Times New Roman"/>
        </w:rPr>
        <w:t>1</w:t>
      </w:r>
      <w:r>
        <w:rPr>
          <w:rFonts w:eastAsia="Calibri" w:cs="Times New Roman"/>
        </w:rPr>
        <w:t>(6)(b)</w:t>
      </w:r>
      <w:r w:rsidRPr="00E84099">
        <w:rPr>
          <w:rFonts w:eastAsia="Calibri" w:cs="Times New Roman"/>
        </w:rPr>
        <w:t xml:space="preserve">, a partnership making the election to pay tax at the entity level in Wisconsin under </w:t>
      </w:r>
      <w:r w:rsidRPr="00B747D5">
        <w:rPr>
          <w:rFonts w:eastAsia="Calibri" w:cs="Times New Roman"/>
        </w:rPr>
        <w:t>Wis. Stat. § 71.2</w:t>
      </w:r>
      <w:r w:rsidR="00916A31">
        <w:rPr>
          <w:rFonts w:eastAsia="Calibri" w:cs="Times New Roman"/>
        </w:rPr>
        <w:t>1</w:t>
      </w:r>
      <w:r w:rsidRPr="00B747D5">
        <w:rPr>
          <w:rFonts w:eastAsia="Calibri" w:cs="Times New Roman"/>
        </w:rPr>
        <w:t>(6)(b)</w:t>
      </w:r>
      <w:r w:rsidRPr="00E84099">
        <w:rPr>
          <w:rFonts w:eastAsia="Calibri" w:cs="Times New Roman"/>
        </w:rPr>
        <w:t>, shall pay tax on items that would otherwise be taxed if the election was not made. Therefore, to the extent a partner would otherwise include the guaranteed payments in Wisconsin taxable income, the electing partnership must include the guaranteed payments in Wisconsin taxable income.</w:t>
      </w:r>
    </w:p>
    <w:p w14:paraId="63161B65" w14:textId="77777777" w:rsidR="0047413E" w:rsidRDefault="0047413E" w:rsidP="00416BA9">
      <w:pPr>
        <w:ind w:left="720"/>
        <w:rPr>
          <w:rFonts w:eastAsia="Calibri" w:cs="Times New Roman"/>
        </w:rPr>
      </w:pPr>
      <w:r>
        <w:rPr>
          <w:rFonts w:eastAsia="Calibri" w:cs="Times New Roman"/>
        </w:rPr>
        <w:t xml:space="preserve">Publication 122: </w:t>
      </w:r>
      <w:r w:rsidRPr="009842D4">
        <w:rPr>
          <w:rFonts w:eastAsia="Calibri" w:cs="Times New Roman"/>
        </w:rPr>
        <w:t>Tax Information for Part-Year Residents and Nonresidents of Wisconsin</w:t>
      </w:r>
      <w:r>
        <w:rPr>
          <w:rFonts w:eastAsia="Calibri" w:cs="Times New Roman"/>
        </w:rPr>
        <w:t xml:space="preserve"> (March 1, 2023)</w:t>
      </w:r>
    </w:p>
    <w:p w14:paraId="6225CED3" w14:textId="77777777" w:rsidR="0047413E" w:rsidRDefault="0047413E" w:rsidP="00416BA9">
      <w:pPr>
        <w:ind w:left="1440"/>
        <w:rPr>
          <w:rFonts w:eastAsia="Calibri" w:cs="Times New Roman"/>
        </w:rPr>
      </w:pPr>
      <w:r w:rsidRPr="008D278D">
        <w:rPr>
          <w:rFonts w:eastAsia="Calibri" w:cs="Times New Roman"/>
        </w:rPr>
        <w:t>Income from Wisconsin sources includes</w:t>
      </w:r>
      <w:r>
        <w:rPr>
          <w:rFonts w:eastAsia="Calibri" w:cs="Times New Roman"/>
        </w:rPr>
        <w:t xml:space="preserve"> . . .</w:t>
      </w:r>
      <w:r w:rsidRPr="005233FA">
        <w:t xml:space="preserve"> </w:t>
      </w:r>
      <w:r>
        <w:rPr>
          <w:rFonts w:eastAsia="Calibri" w:cs="Times New Roman"/>
        </w:rPr>
        <w:t>[p]</w:t>
      </w:r>
      <w:proofErr w:type="spellStart"/>
      <w:r w:rsidRPr="005233FA">
        <w:rPr>
          <w:rFonts w:eastAsia="Calibri" w:cs="Times New Roman"/>
        </w:rPr>
        <w:t>rofits</w:t>
      </w:r>
      <w:proofErr w:type="spellEnd"/>
      <w:r w:rsidRPr="005233FA">
        <w:rPr>
          <w:rFonts w:eastAsia="Calibri" w:cs="Times New Roman"/>
        </w:rPr>
        <w:t xml:space="preserve"> or losses from businesses, professions, and farm operations conducted in Wisconsin, including sole proprietorships, partnerships, limited liability companies (LLCs), and tax-option (S) corporations. This includes interest, dividend, and capital gain income attributable to Wisconsin which is passed through from a tax-option (S) corporation, as well as guaranteed payments from partnerships.</w:t>
      </w:r>
    </w:p>
    <w:p w14:paraId="78D96C6D" w14:textId="77777777" w:rsidR="00416BA9" w:rsidRDefault="00416BA9">
      <w:pPr>
        <w:spacing w:line="276" w:lineRule="auto"/>
        <w:jc w:val="left"/>
        <w:rPr>
          <w:rFonts w:asciiTheme="majorHAnsi" w:eastAsiaTheme="majorEastAsia" w:hAnsiTheme="majorHAnsi" w:cstheme="majorBidi"/>
          <w:b/>
          <w:smallCaps/>
          <w:color w:val="851C00" w:themeColor="accent6" w:themeShade="BF"/>
          <w:sz w:val="36"/>
          <w:szCs w:val="32"/>
        </w:rPr>
      </w:pPr>
      <w:r>
        <w:br w:type="page"/>
      </w:r>
    </w:p>
    <w:p w14:paraId="267CF5CA" w14:textId="434D503E" w:rsidR="00183D41" w:rsidRPr="006557B6" w:rsidRDefault="00F54CF3" w:rsidP="00AE364A">
      <w:pPr>
        <w:pStyle w:val="Heading1"/>
      </w:pPr>
      <w:bookmarkStart w:id="96" w:name="_Toc153291206"/>
      <w:r>
        <w:lastRenderedPageBreak/>
        <w:t>V</w:t>
      </w:r>
      <w:r w:rsidR="00AE364A" w:rsidRPr="006557B6">
        <w:t>. Findings</w:t>
      </w:r>
      <w:r w:rsidR="006557B6">
        <w:t xml:space="preserve"> – </w:t>
      </w:r>
      <w:r w:rsidR="006B39E4">
        <w:t>Considerations</w:t>
      </w:r>
      <w:r w:rsidR="006557B6">
        <w:t xml:space="preserve"> – Recommendations</w:t>
      </w:r>
      <w:bookmarkEnd w:id="96"/>
    </w:p>
    <w:p w14:paraId="6A3603C4" w14:textId="6545C0F5" w:rsidR="0033545F" w:rsidRPr="005C5F73" w:rsidRDefault="005C5F73" w:rsidP="005C5F73">
      <w:pPr>
        <w:jc w:val="center"/>
        <w:rPr>
          <w:bCs/>
          <w:i/>
          <w:iCs/>
          <w:sz w:val="18"/>
          <w:szCs w:val="20"/>
        </w:rPr>
      </w:pPr>
      <w:r>
        <w:rPr>
          <w:bCs/>
          <w:i/>
          <w:iCs/>
          <w:sz w:val="18"/>
          <w:szCs w:val="20"/>
        </w:rPr>
        <w:t xml:space="preserve">This section </w:t>
      </w:r>
      <w:r w:rsidR="00731192">
        <w:rPr>
          <w:bCs/>
          <w:i/>
          <w:iCs/>
          <w:sz w:val="18"/>
          <w:szCs w:val="20"/>
        </w:rPr>
        <w:t xml:space="preserve">draws on Sections I – IV above to </w:t>
      </w:r>
      <w:r w:rsidR="003F2321">
        <w:rPr>
          <w:bCs/>
          <w:i/>
          <w:iCs/>
          <w:sz w:val="18"/>
          <w:szCs w:val="20"/>
        </w:rPr>
        <w:t xml:space="preserve">determine the </w:t>
      </w:r>
      <w:r w:rsidR="002A6341">
        <w:rPr>
          <w:bCs/>
          <w:i/>
          <w:iCs/>
          <w:sz w:val="18"/>
          <w:szCs w:val="20"/>
        </w:rPr>
        <w:t>important context and other information that may affect the state sourcing of guaranteed payments</w:t>
      </w:r>
      <w:r w:rsidR="005455C4">
        <w:rPr>
          <w:bCs/>
          <w:i/>
          <w:iCs/>
          <w:sz w:val="18"/>
          <w:szCs w:val="20"/>
        </w:rPr>
        <w:t xml:space="preserve"> for services</w:t>
      </w:r>
      <w:r w:rsidR="002A6341">
        <w:rPr>
          <w:bCs/>
          <w:i/>
          <w:iCs/>
          <w:sz w:val="18"/>
          <w:szCs w:val="20"/>
        </w:rPr>
        <w:t xml:space="preserve">, </w:t>
      </w:r>
      <w:r w:rsidR="005455C4">
        <w:rPr>
          <w:bCs/>
          <w:i/>
          <w:iCs/>
          <w:sz w:val="18"/>
          <w:szCs w:val="20"/>
        </w:rPr>
        <w:t xml:space="preserve">the implications or </w:t>
      </w:r>
      <w:r w:rsidR="00866F8C">
        <w:rPr>
          <w:bCs/>
          <w:i/>
          <w:iCs/>
          <w:sz w:val="18"/>
          <w:szCs w:val="20"/>
        </w:rPr>
        <w:t>factors favoring</w:t>
      </w:r>
      <w:r w:rsidR="003F2321">
        <w:rPr>
          <w:bCs/>
          <w:i/>
          <w:iCs/>
          <w:sz w:val="18"/>
          <w:szCs w:val="20"/>
        </w:rPr>
        <w:t xml:space="preserve"> the different </w:t>
      </w:r>
      <w:r w:rsidR="00406365">
        <w:rPr>
          <w:bCs/>
          <w:i/>
          <w:iCs/>
          <w:sz w:val="18"/>
          <w:szCs w:val="20"/>
        </w:rPr>
        <w:t>methods of sourcing</w:t>
      </w:r>
      <w:r w:rsidR="005455C4">
        <w:rPr>
          <w:bCs/>
          <w:i/>
          <w:iCs/>
          <w:sz w:val="18"/>
          <w:szCs w:val="20"/>
        </w:rPr>
        <w:t xml:space="preserve">, </w:t>
      </w:r>
      <w:r w:rsidR="00406365">
        <w:rPr>
          <w:bCs/>
          <w:i/>
          <w:iCs/>
          <w:sz w:val="18"/>
          <w:szCs w:val="20"/>
        </w:rPr>
        <w:t>and recommendations</w:t>
      </w:r>
      <w:r w:rsidR="00F9564F">
        <w:rPr>
          <w:bCs/>
          <w:i/>
          <w:iCs/>
          <w:sz w:val="18"/>
          <w:szCs w:val="20"/>
        </w:rPr>
        <w:t xml:space="preserve"> for the states to consider</w:t>
      </w:r>
      <w:r w:rsidR="00406365">
        <w:rPr>
          <w:bCs/>
          <w:i/>
          <w:iCs/>
          <w:sz w:val="18"/>
          <w:szCs w:val="20"/>
        </w:rPr>
        <w:t>.</w:t>
      </w:r>
    </w:p>
    <w:p w14:paraId="6FB48126" w14:textId="12089FB4" w:rsidR="00BC2A98" w:rsidRDefault="00BC2A98" w:rsidP="006557B6">
      <w:pPr>
        <w:rPr>
          <w:bCs/>
        </w:rPr>
      </w:pPr>
      <w:r>
        <w:rPr>
          <w:bCs/>
        </w:rPr>
        <w:t>In addition to the research reflected in this white paper</w:t>
      </w:r>
      <w:r w:rsidR="0088459B">
        <w:rPr>
          <w:bCs/>
        </w:rPr>
        <w:t>,</w:t>
      </w:r>
      <w:r>
        <w:rPr>
          <w:bCs/>
        </w:rPr>
        <w:t xml:space="preserve"> the </w:t>
      </w:r>
      <w:r w:rsidR="00925260">
        <w:rPr>
          <w:bCs/>
        </w:rPr>
        <w:t xml:space="preserve">MTC work group on the taxation of partnerships has held a number of discussions on the issue of sourcing guaranteed payments for services. </w:t>
      </w:r>
      <w:r w:rsidR="00EE3F84">
        <w:rPr>
          <w:bCs/>
        </w:rPr>
        <w:t>Th</w:t>
      </w:r>
      <w:r w:rsidR="00A44171">
        <w:rPr>
          <w:bCs/>
        </w:rPr>
        <w:t>e findings here are based on those discussions as well as information in Sections I-IV of this white paper.</w:t>
      </w:r>
    </w:p>
    <w:p w14:paraId="5C9DDB37" w14:textId="39F80103" w:rsidR="00081FE7" w:rsidRPr="00081FE7" w:rsidRDefault="00081FE7" w:rsidP="00081FE7">
      <w:pPr>
        <w:rPr>
          <w:bCs/>
        </w:rPr>
      </w:pPr>
      <w:r>
        <w:rPr>
          <w:bCs/>
        </w:rPr>
        <w:t xml:space="preserve">Based on the research and discussions, the work group has formulated the question to be addressed as follows: </w:t>
      </w:r>
      <w:r w:rsidRPr="00081FE7">
        <w:rPr>
          <w:bCs/>
        </w:rPr>
        <w:t>Should states source an individual partner’s guaranteed payments for services as distributive share or compensation?</w:t>
      </w:r>
    </w:p>
    <w:p w14:paraId="631A58E5" w14:textId="327CDD9B" w:rsidR="00290004" w:rsidRPr="00E72FE3" w:rsidRDefault="00290004" w:rsidP="00290004">
      <w:pPr>
        <w:pStyle w:val="Heading2"/>
      </w:pPr>
      <w:bookmarkStart w:id="97" w:name="_Toc153291207"/>
      <w:r>
        <w:t xml:space="preserve">V. A. </w:t>
      </w:r>
      <w:r w:rsidR="00C37041">
        <w:t>Re</w:t>
      </w:r>
      <w:r w:rsidR="004A5D52">
        <w:t>levant</w:t>
      </w:r>
      <w:r w:rsidR="00C37041">
        <w:t xml:space="preserve"> </w:t>
      </w:r>
      <w:r>
        <w:t>Findings</w:t>
      </w:r>
      <w:bookmarkEnd w:id="97"/>
    </w:p>
    <w:p w14:paraId="579DDF54" w14:textId="4A6E2977" w:rsidR="006557B6" w:rsidRPr="006557B6" w:rsidRDefault="006557B6" w:rsidP="00290004">
      <w:pPr>
        <w:pStyle w:val="Heading3"/>
      </w:pPr>
      <w:bookmarkStart w:id="98" w:name="_Toc153291208"/>
      <w:r w:rsidRPr="006557B6">
        <w:t>Important Federal Tax and Related Rules:</w:t>
      </w:r>
      <w:bookmarkEnd w:id="98"/>
      <w:r w:rsidRPr="006557B6">
        <w:t xml:space="preserve"> </w:t>
      </w:r>
    </w:p>
    <w:p w14:paraId="5E8D86E9" w14:textId="77777777" w:rsidR="006557B6" w:rsidRPr="006557B6" w:rsidRDefault="006557B6" w:rsidP="00A62E1A">
      <w:pPr>
        <w:spacing w:after="120"/>
      </w:pPr>
      <w:r w:rsidRPr="006557B6">
        <w:t xml:space="preserve">Under federal tax law, to which most states conform: </w:t>
      </w:r>
    </w:p>
    <w:p w14:paraId="50294B0E" w14:textId="667D7E16" w:rsidR="00422412" w:rsidRDefault="00790246" w:rsidP="00B24426">
      <w:pPr>
        <w:numPr>
          <w:ilvl w:val="0"/>
          <w:numId w:val="15"/>
        </w:numPr>
      </w:pPr>
      <w:r>
        <w:t>Partnership income is taxed on a pass-through basis</w:t>
      </w:r>
      <w:r w:rsidR="00947ADE">
        <w:t xml:space="preserve">, using the aggregate approach, so </w:t>
      </w:r>
      <w:r w:rsidR="00ED3ACE">
        <w:t xml:space="preserve">the character </w:t>
      </w:r>
      <w:r w:rsidR="00E5003F">
        <w:t xml:space="preserve">of items of </w:t>
      </w:r>
      <w:r w:rsidR="00947ADE">
        <w:t>income, expense, gain, or loss</w:t>
      </w:r>
      <w:r w:rsidR="00ED3ACE">
        <w:t xml:space="preserve"> </w:t>
      </w:r>
      <w:r w:rsidR="005D7EF9">
        <w:t xml:space="preserve">and their tax effects are </w:t>
      </w:r>
      <w:r w:rsidR="00ED3ACE">
        <w:t xml:space="preserve">determined based on the partnership’s activities and </w:t>
      </w:r>
      <w:r w:rsidR="00E5003F">
        <w:t>then</w:t>
      </w:r>
      <w:r w:rsidR="00422412">
        <w:t xml:space="preserve"> </w:t>
      </w:r>
      <w:r w:rsidR="005D7EF9">
        <w:t xml:space="preserve">this information is </w:t>
      </w:r>
      <w:r w:rsidR="00422412">
        <w:t>passed through to the partners</w:t>
      </w:r>
      <w:r w:rsidR="00E5003F">
        <w:t>, who report their distributive share of those item</w:t>
      </w:r>
      <w:r w:rsidR="005D7EF9">
        <w:t>s, along with the related tax effects</w:t>
      </w:r>
      <w:r w:rsidR="00422412">
        <w:t xml:space="preserve">. </w:t>
      </w:r>
      <w:r w:rsidR="00DE63DF">
        <w:t>See IRC § 704(b).</w:t>
      </w:r>
    </w:p>
    <w:p w14:paraId="767D79F9" w14:textId="05FD2596" w:rsidR="006557B6" w:rsidRDefault="005D7EF9" w:rsidP="00B24426">
      <w:pPr>
        <w:numPr>
          <w:ilvl w:val="0"/>
          <w:numId w:val="15"/>
        </w:numPr>
      </w:pPr>
      <w:r>
        <w:t>In addition to</w:t>
      </w:r>
      <w:r w:rsidR="000C7E11">
        <w:t xml:space="preserve"> allocating </w:t>
      </w:r>
      <w:r w:rsidR="00E0662E">
        <w:t xml:space="preserve">to partners their </w:t>
      </w:r>
      <w:r w:rsidR="000C7E11">
        <w:t xml:space="preserve">distributive share of partnership income and </w:t>
      </w:r>
      <w:r w:rsidR="00E0662E">
        <w:t>making</w:t>
      </w:r>
      <w:r w:rsidR="000C7E11">
        <w:t xml:space="preserve"> </w:t>
      </w:r>
      <w:r w:rsidR="00E0662E">
        <w:t xml:space="preserve">any </w:t>
      </w:r>
      <w:r w:rsidR="000C7E11">
        <w:t>related distributions, p</w:t>
      </w:r>
      <w:r w:rsidR="00422412">
        <w:t>artnerships can also engage</w:t>
      </w:r>
      <w:r w:rsidR="002662A0">
        <w:t xml:space="preserve"> in partner-partnership transactions </w:t>
      </w:r>
      <w:r w:rsidR="008E4C0A">
        <w:t xml:space="preserve">where the partner is not acting in the capacity of a partner and </w:t>
      </w:r>
      <w:r w:rsidR="002662A0">
        <w:t xml:space="preserve">which </w:t>
      </w:r>
      <w:r w:rsidR="008E4C0A">
        <w:t>have the respective tax effects they would have if the partner was not a partner.</w:t>
      </w:r>
      <w:r w:rsidR="00BB0BE7">
        <w:t xml:space="preserve"> See IRC § 707(a). </w:t>
      </w:r>
    </w:p>
    <w:p w14:paraId="45346499" w14:textId="77777777" w:rsidR="00B4569C" w:rsidRPr="00B4569C" w:rsidRDefault="0009523B" w:rsidP="00B24426">
      <w:pPr>
        <w:numPr>
          <w:ilvl w:val="0"/>
          <w:numId w:val="15"/>
        </w:numPr>
      </w:pPr>
      <w:r>
        <w:t xml:space="preserve">Subchapter K </w:t>
      </w:r>
      <w:r w:rsidR="008E4C0A">
        <w:t xml:space="preserve">also </w:t>
      </w:r>
      <w:r w:rsidR="00050B65">
        <w:t xml:space="preserve">recognizes that partnerships can pay partners for services </w:t>
      </w:r>
      <w:r w:rsidR="00550FDD">
        <w:t xml:space="preserve">performed in the capacity of a partner and distinguishes these </w:t>
      </w:r>
      <w:r>
        <w:t xml:space="preserve">guaranteed payments from both </w:t>
      </w:r>
      <w:r w:rsidR="006557B6" w:rsidRPr="006557B6">
        <w:t>distributive share</w:t>
      </w:r>
      <w:r>
        <w:t>/distribu</w:t>
      </w:r>
      <w:r w:rsidR="001F3EAD">
        <w:t>t</w:t>
      </w:r>
      <w:r>
        <w:t xml:space="preserve">ions and from partner-partnership payments. </w:t>
      </w:r>
      <w:r w:rsidR="006557B6" w:rsidRPr="006557B6">
        <w:t xml:space="preserve"> </w:t>
      </w:r>
      <w:r w:rsidR="001F3EAD">
        <w:t xml:space="preserve">See IRC </w:t>
      </w:r>
      <w:r w:rsidR="0084137D">
        <w:t>§ 707(c)</w:t>
      </w:r>
      <w:r w:rsidR="00C02DEB">
        <w:t>.</w:t>
      </w:r>
      <w:r w:rsidR="0084137D">
        <w:t xml:space="preserve"> </w:t>
      </w:r>
      <w:r w:rsidR="00B4569C" w:rsidRPr="00B4569C">
        <w:t>REG-115452-14, 80 Fed. Reg. 43,652 (July 23, 2015).</w:t>
      </w:r>
    </w:p>
    <w:p w14:paraId="33AA5C9D" w14:textId="77777777" w:rsidR="002B366A" w:rsidRDefault="002B366A" w:rsidP="00B24426">
      <w:pPr>
        <w:numPr>
          <w:ilvl w:val="0"/>
          <w:numId w:val="15"/>
        </w:numPr>
      </w:pPr>
      <w:r>
        <w:t xml:space="preserve">Guaranteed payments for services are also distinguished from guaranteed payments for the use of capital. </w:t>
      </w:r>
    </w:p>
    <w:p w14:paraId="018972C6" w14:textId="18BF159D" w:rsidR="00A050D8" w:rsidRDefault="00B4569C" w:rsidP="00B24426">
      <w:pPr>
        <w:numPr>
          <w:ilvl w:val="0"/>
          <w:numId w:val="15"/>
        </w:numPr>
      </w:pPr>
      <w:r>
        <w:t xml:space="preserve">Under Subchapter K, </w:t>
      </w:r>
      <w:r w:rsidR="00A050D8" w:rsidRPr="006557B6">
        <w:t xml:space="preserve">guaranteed payments made to partners do not retain the character of any partnership items that gave rise to those payments, </w:t>
      </w:r>
      <w:r w:rsidR="002B366A" w:rsidRPr="002B366A">
        <w:t>unlike a partner’s distributive share of partnership income,</w:t>
      </w:r>
      <w:r w:rsidR="002B366A">
        <w:t xml:space="preserve"> </w:t>
      </w:r>
      <w:r w:rsidR="00A050D8" w:rsidRPr="006557B6">
        <w:t>but are treated as ordinary income to the partners.</w:t>
      </w:r>
      <w:r w:rsidR="00C02DEB">
        <w:t xml:space="preserve"> </w:t>
      </w:r>
    </w:p>
    <w:p w14:paraId="214C933A" w14:textId="070E6DC4" w:rsidR="00146C4D" w:rsidRDefault="00146C4D" w:rsidP="00B24426">
      <w:pPr>
        <w:pStyle w:val="ListParagraph"/>
        <w:numPr>
          <w:ilvl w:val="0"/>
          <w:numId w:val="15"/>
        </w:numPr>
        <w:contextualSpacing w:val="0"/>
      </w:pPr>
      <w:r>
        <w:t>Guaranteed payments for services, unlike distributive share income, are not included in “qualified business income” for purposes of the deduction provided under IRC § 199A</w:t>
      </w:r>
      <w:r w:rsidR="00B24426">
        <w:t>(c)(4)(B)</w:t>
      </w:r>
      <w:r>
        <w:t>.</w:t>
      </w:r>
    </w:p>
    <w:p w14:paraId="457AE7B3" w14:textId="48488976" w:rsidR="006557B6" w:rsidRPr="006557B6" w:rsidRDefault="006557B6" w:rsidP="00B24426">
      <w:pPr>
        <w:numPr>
          <w:ilvl w:val="0"/>
          <w:numId w:val="15"/>
        </w:numPr>
        <w:spacing w:before="120"/>
      </w:pPr>
      <w:r w:rsidRPr="006557B6">
        <w:t>Under federal sourcing rules, guaranteed payments for services performed in a foreign jurisdiction are attributed to that jurisdiction, with some limitations, and are excluded from domestic income</w:t>
      </w:r>
      <w:r w:rsidR="005B65CB">
        <w:t xml:space="preserve"> to which states often conform</w:t>
      </w:r>
      <w:r w:rsidRPr="006557B6">
        <w:t xml:space="preserve">. </w:t>
      </w:r>
      <w:r w:rsidR="00BB29AE">
        <w:t xml:space="preserve">See </w:t>
      </w:r>
      <w:r w:rsidR="0035038C" w:rsidRPr="0035038C">
        <w:rPr>
          <w:iCs/>
        </w:rPr>
        <w:t>IRC § 911</w:t>
      </w:r>
      <w:r w:rsidR="00BB29AE">
        <w:rPr>
          <w:iCs/>
        </w:rPr>
        <w:t>.</w:t>
      </w:r>
    </w:p>
    <w:p w14:paraId="1717A881" w14:textId="78FC2833" w:rsidR="006557B6" w:rsidRPr="006557B6" w:rsidRDefault="00122E68" w:rsidP="00B24426">
      <w:pPr>
        <w:numPr>
          <w:ilvl w:val="0"/>
          <w:numId w:val="15"/>
        </w:numPr>
        <w:spacing w:before="120"/>
      </w:pPr>
      <w:r>
        <w:t>Guaranteed payments for services are not treated as wages paid to employees, rather, f</w:t>
      </w:r>
      <w:r w:rsidR="006557B6" w:rsidRPr="006557B6">
        <w:t xml:space="preserve">ederal guidance on self-employment taxes indicates that general partners should pay self-employment tax on partnership related income, including distributive share and guaranteed payments, while limited partners would pay self-employment tax only on guaranteed payments for services. </w:t>
      </w:r>
      <w:r w:rsidR="00143D46" w:rsidRPr="00143D46">
        <w:t>See IRC §1402(a)(13)</w:t>
      </w:r>
      <w:r w:rsidR="00143D46">
        <w:t>.</w:t>
      </w:r>
    </w:p>
    <w:p w14:paraId="01A8149D" w14:textId="5C63B20D" w:rsidR="006557B6" w:rsidRPr="006557B6" w:rsidRDefault="006557B6" w:rsidP="00B24426">
      <w:pPr>
        <w:numPr>
          <w:ilvl w:val="0"/>
          <w:numId w:val="15"/>
        </w:numPr>
        <w:spacing w:before="120"/>
      </w:pPr>
      <w:r w:rsidRPr="006557B6">
        <w:t>Under federal pension law, certain guaranteed payments to retired partners can only be sourced to the partner’s residence.</w:t>
      </w:r>
      <w:r w:rsidR="00991514">
        <w:t xml:space="preserve"> See </w:t>
      </w:r>
      <w:r w:rsidR="00991514" w:rsidRPr="00991514">
        <w:t>4 U.S.C. § 114</w:t>
      </w:r>
      <w:r w:rsidR="00D421E7">
        <w:t>.</w:t>
      </w:r>
    </w:p>
    <w:p w14:paraId="282B83E8" w14:textId="3EA7A16D" w:rsidR="006557B6" w:rsidRPr="006557B6" w:rsidRDefault="006557B6" w:rsidP="00D421E7">
      <w:pPr>
        <w:pStyle w:val="Heading3"/>
        <w:keepNext w:val="0"/>
        <w:keepLines w:val="0"/>
        <w:spacing w:after="120"/>
      </w:pPr>
      <w:bookmarkStart w:id="99" w:name="_Toc153291209"/>
      <w:r w:rsidRPr="006557B6">
        <w:lastRenderedPageBreak/>
        <w:t>Types and Amounts of Guaranteed Payments</w:t>
      </w:r>
      <w:bookmarkEnd w:id="99"/>
    </w:p>
    <w:p w14:paraId="28702FF4" w14:textId="17463B81" w:rsidR="006557B6" w:rsidRPr="006557B6" w:rsidRDefault="006557B6" w:rsidP="00B24426">
      <w:pPr>
        <w:numPr>
          <w:ilvl w:val="0"/>
          <w:numId w:val="17"/>
        </w:numPr>
        <w:spacing w:before="120"/>
      </w:pPr>
      <w:r w:rsidRPr="006557B6">
        <w:t xml:space="preserve">In 2020, total guaranteed payments </w:t>
      </w:r>
      <w:r w:rsidR="00AA0BD8">
        <w:t xml:space="preserve">for services and use of capital </w:t>
      </w:r>
      <w:r w:rsidRPr="006557B6">
        <w:t>reported to the IRS (which include both payments for services and the use of capital) were $74 billion, or about 9% of total partnership income (after adding back guaranteed payments).</w:t>
      </w:r>
    </w:p>
    <w:p w14:paraId="72EC6C5B" w14:textId="77777777" w:rsidR="006557B6" w:rsidRPr="006557B6" w:rsidRDefault="006557B6" w:rsidP="00B24426">
      <w:pPr>
        <w:numPr>
          <w:ilvl w:val="0"/>
          <w:numId w:val="17"/>
        </w:numPr>
        <w:spacing w:before="120"/>
      </w:pPr>
      <w:r w:rsidRPr="006557B6">
        <w:t xml:space="preserve">About a third of all guaranteed payments come from the professional, scientific, and technical industry sector and another quarter is from the finance and insurance sector. </w:t>
      </w:r>
    </w:p>
    <w:p w14:paraId="7305D6E7" w14:textId="5C4DAB06" w:rsidR="006557B6" w:rsidRPr="006557B6" w:rsidRDefault="005B65CB" w:rsidP="00B24426">
      <w:pPr>
        <w:numPr>
          <w:ilvl w:val="0"/>
          <w:numId w:val="17"/>
        </w:numPr>
        <w:spacing w:before="120"/>
      </w:pPr>
      <w:r>
        <w:t xml:space="preserve">Because guaranteed payments </w:t>
      </w:r>
      <w:r w:rsidR="0093423C">
        <w:t xml:space="preserve">are generally </w:t>
      </w:r>
      <w:r>
        <w:t xml:space="preserve">treated less favorably </w:t>
      </w:r>
      <w:r w:rsidR="007168F5">
        <w:t xml:space="preserve">for tax purposes </w:t>
      </w:r>
      <w:r>
        <w:t xml:space="preserve">than distributive share/distributions, </w:t>
      </w:r>
      <w:r w:rsidR="007168F5">
        <w:t>partnerships may seek alternatives to paying guaranteed payments.</w:t>
      </w:r>
    </w:p>
    <w:p w14:paraId="42125D78" w14:textId="43431552" w:rsidR="006557B6" w:rsidRPr="006557B6" w:rsidRDefault="006557B6" w:rsidP="00D421E7">
      <w:pPr>
        <w:pStyle w:val="Heading3"/>
        <w:keepNext w:val="0"/>
        <w:keepLines w:val="0"/>
        <w:spacing w:after="120"/>
      </w:pPr>
      <w:bookmarkStart w:id="100" w:name="_Toc153291210"/>
      <w:r w:rsidRPr="006557B6">
        <w:t>Current Sourcing Treatment by States that have Specifically Addressed the Issue</w:t>
      </w:r>
      <w:bookmarkEnd w:id="100"/>
    </w:p>
    <w:p w14:paraId="5598A0AE" w14:textId="77777777" w:rsidR="006557B6" w:rsidRPr="006557B6" w:rsidRDefault="006557B6" w:rsidP="00B24426">
      <w:pPr>
        <w:numPr>
          <w:ilvl w:val="0"/>
          <w:numId w:val="16"/>
        </w:numPr>
        <w:spacing w:before="120"/>
      </w:pPr>
      <w:r w:rsidRPr="006557B6">
        <w:t xml:space="preserve">About half of the states have specifically addressed sourcing of guaranteed payments in their official guidance, including statutes, regulations, or case law. Those states take one of two general approaches: </w:t>
      </w:r>
    </w:p>
    <w:p w14:paraId="5B59161D" w14:textId="77777777" w:rsidR="006557B6" w:rsidRPr="006557B6" w:rsidRDefault="006557B6" w:rsidP="00122E68">
      <w:pPr>
        <w:numPr>
          <w:ilvl w:val="1"/>
          <w:numId w:val="16"/>
        </w:numPr>
      </w:pPr>
      <w:r w:rsidRPr="006557B6">
        <w:t>Sourcing the same as distributive share – The majority of the states that have specifically addressed the issue source guaranteed payments the same as distributive share, which for non-investment partnerships means sourcing based on the partnership’s activities.</w:t>
      </w:r>
    </w:p>
    <w:p w14:paraId="03B24DC0" w14:textId="2B7F6659" w:rsidR="006557B6" w:rsidRPr="006557B6" w:rsidRDefault="006557B6" w:rsidP="00122E68">
      <w:pPr>
        <w:numPr>
          <w:ilvl w:val="1"/>
          <w:numId w:val="16"/>
        </w:numPr>
      </w:pPr>
      <w:r w:rsidRPr="006557B6">
        <w:t xml:space="preserve">Sourcing as compensation – A minority of states source guaranteed payments for services </w:t>
      </w:r>
      <w:r w:rsidR="00E419AF">
        <w:t xml:space="preserve"> </w:t>
      </w:r>
      <w:r w:rsidRPr="006557B6">
        <w:t>as compensation</w:t>
      </w:r>
      <w:r w:rsidR="00E419AF">
        <w:t>—that is to the place services are performed—</w:t>
      </w:r>
      <w:r w:rsidRPr="006557B6">
        <w:t>with</w:t>
      </w:r>
      <w:r w:rsidR="00E419AF">
        <w:t xml:space="preserve"> or without</w:t>
      </w:r>
      <w:r w:rsidRPr="006557B6">
        <w:t xml:space="preserve"> limitations.</w:t>
      </w:r>
    </w:p>
    <w:p w14:paraId="6A5D71D9" w14:textId="12E99A9A" w:rsidR="006557B6" w:rsidRDefault="006557B6" w:rsidP="00B24426">
      <w:pPr>
        <w:numPr>
          <w:ilvl w:val="0"/>
          <w:numId w:val="16"/>
        </w:numPr>
        <w:spacing w:before="120"/>
      </w:pPr>
      <w:r w:rsidRPr="006557B6">
        <w:t>Some states that provide PTE tax elections also include guaranteed payments in the PTE tax base and source them as distributive share</w:t>
      </w:r>
      <w:r w:rsidR="002A2C2A">
        <w:t>—using apportionment or allocation at the entity-level.</w:t>
      </w:r>
    </w:p>
    <w:p w14:paraId="20065611" w14:textId="4B3D7BDB" w:rsidR="00BC2A98" w:rsidRPr="00F53915" w:rsidRDefault="00A62E1A" w:rsidP="00B24426">
      <w:pPr>
        <w:pStyle w:val="ListParagraph"/>
        <w:numPr>
          <w:ilvl w:val="0"/>
          <w:numId w:val="16"/>
        </w:numPr>
        <w:contextualSpacing w:val="0"/>
        <w:rPr>
          <w:bCs/>
        </w:rPr>
      </w:pPr>
      <w:r>
        <w:rPr>
          <w:bCs/>
        </w:rPr>
        <w:t xml:space="preserve">While </w:t>
      </w:r>
      <w:r w:rsidR="005F6FCE">
        <w:rPr>
          <w:bCs/>
        </w:rPr>
        <w:t>the use of different sourcing methods by states</w:t>
      </w:r>
      <w:r w:rsidR="00BC2A98" w:rsidRPr="00BC2A98">
        <w:rPr>
          <w:bCs/>
        </w:rPr>
        <w:t xml:space="preserve"> may result in multiple taxation, neither the states</w:t>
      </w:r>
      <w:r w:rsidR="005F6FCE">
        <w:rPr>
          <w:bCs/>
        </w:rPr>
        <w:t>,</w:t>
      </w:r>
      <w:r w:rsidR="00BC2A98" w:rsidRPr="00BC2A98">
        <w:rPr>
          <w:bCs/>
        </w:rPr>
        <w:t xml:space="preserve"> taxpayers</w:t>
      </w:r>
      <w:r w:rsidR="005F6FCE">
        <w:rPr>
          <w:bCs/>
        </w:rPr>
        <w:t>,</w:t>
      </w:r>
      <w:r w:rsidR="00BC2A98" w:rsidRPr="00BC2A98">
        <w:rPr>
          <w:bCs/>
        </w:rPr>
        <w:t xml:space="preserve"> </w:t>
      </w:r>
      <w:r w:rsidR="005F6FCE">
        <w:rPr>
          <w:bCs/>
        </w:rPr>
        <w:t>n</w:t>
      </w:r>
      <w:r w:rsidR="00BC2A98" w:rsidRPr="00BC2A98">
        <w:rPr>
          <w:bCs/>
        </w:rPr>
        <w:t xml:space="preserve">or practitioner groups have indicated that </w:t>
      </w:r>
      <w:r w:rsidR="005F6FCE">
        <w:rPr>
          <w:bCs/>
        </w:rPr>
        <w:t>the different</w:t>
      </w:r>
      <w:r w:rsidR="00BC2A98" w:rsidRPr="00BC2A98">
        <w:rPr>
          <w:bCs/>
        </w:rPr>
        <w:t xml:space="preserve"> sourcing of guaranteed payments </w:t>
      </w:r>
      <w:r w:rsidR="005F6FCE">
        <w:rPr>
          <w:bCs/>
        </w:rPr>
        <w:t xml:space="preserve">used by some states has </w:t>
      </w:r>
      <w:r w:rsidR="00BC2A98" w:rsidRPr="00BC2A98">
        <w:rPr>
          <w:bCs/>
        </w:rPr>
        <w:t>cause</w:t>
      </w:r>
      <w:r w:rsidR="00B96694">
        <w:rPr>
          <w:bCs/>
        </w:rPr>
        <w:t>d</w:t>
      </w:r>
      <w:r w:rsidR="00BC2A98" w:rsidRPr="00BC2A98">
        <w:rPr>
          <w:bCs/>
        </w:rPr>
        <w:t xml:space="preserve"> significant problems.</w:t>
      </w:r>
      <w:r w:rsidR="00264D9F">
        <w:rPr>
          <w:bCs/>
        </w:rPr>
        <w:t xml:space="preserve"> While a generous credit to residents for taxes paid to other states, regardless of the sourcing method, might alleviate </w:t>
      </w:r>
      <w:r w:rsidR="000B22E8">
        <w:rPr>
          <w:bCs/>
        </w:rPr>
        <w:t xml:space="preserve">such problems, our research shows that the state credit rules </w:t>
      </w:r>
      <w:r w:rsidR="004A3722">
        <w:rPr>
          <w:bCs/>
        </w:rPr>
        <w:t>on this issue are</w:t>
      </w:r>
      <w:r w:rsidR="000B22E8">
        <w:rPr>
          <w:bCs/>
        </w:rPr>
        <w:t xml:space="preserve"> not clear. </w:t>
      </w:r>
      <w:r w:rsidR="00BC275E">
        <w:rPr>
          <w:bCs/>
        </w:rPr>
        <w:t xml:space="preserve">This issue is also </w:t>
      </w:r>
      <w:r w:rsidR="009D6EF5">
        <w:rPr>
          <w:bCs/>
        </w:rPr>
        <w:t>affected by states’ adoption of PTE taxes and the credits provided to residents</w:t>
      </w:r>
      <w:r w:rsidR="00122E68">
        <w:rPr>
          <w:bCs/>
        </w:rPr>
        <w:t>.</w:t>
      </w:r>
    </w:p>
    <w:p w14:paraId="1DE58D64" w14:textId="78D6AD66" w:rsidR="006557B6" w:rsidRDefault="00307FB2" w:rsidP="00307FB2">
      <w:pPr>
        <w:pStyle w:val="Heading2"/>
      </w:pPr>
      <w:bookmarkStart w:id="101" w:name="_Toc153291211"/>
      <w:r>
        <w:t xml:space="preserve">V. B. </w:t>
      </w:r>
      <w:r w:rsidR="006B39E4">
        <w:t>Considerations</w:t>
      </w:r>
      <w:r w:rsidR="006557B6" w:rsidRPr="006557B6">
        <w:t xml:space="preserve"> </w:t>
      </w:r>
      <w:r w:rsidR="009D3542">
        <w:t xml:space="preserve">– </w:t>
      </w:r>
      <w:r w:rsidR="00C12A1A">
        <w:t xml:space="preserve">Factors Favoring </w:t>
      </w:r>
      <w:r w:rsidR="00866F8C">
        <w:t>Each Sourcing Approach</w:t>
      </w:r>
      <w:bookmarkEnd w:id="101"/>
    </w:p>
    <w:p w14:paraId="7B3E3A09" w14:textId="0738F543" w:rsidR="000A2C08" w:rsidRPr="000A2C08" w:rsidRDefault="00FF62D9" w:rsidP="000A2C08">
      <w:r>
        <w:t>The two sourcing approaches used by states—distributive share and compensation</w:t>
      </w:r>
      <w:r w:rsidR="002A2C2D">
        <w:t xml:space="preserve">—lead to different results and, most importantly, may lead to duplicative taxation if different states use different approaches. Each of the approaches has factors which favor that approach, listed below. </w:t>
      </w:r>
    </w:p>
    <w:p w14:paraId="51DC5D20" w14:textId="0E38022F" w:rsidR="003E6351" w:rsidRDefault="00902759" w:rsidP="00B5499B">
      <w:pPr>
        <w:pStyle w:val="Heading3"/>
      </w:pPr>
      <w:bookmarkStart w:id="102" w:name="_Toc153291212"/>
      <w:r>
        <w:t>Factors Favoring Sourcing</w:t>
      </w:r>
      <w:r w:rsidR="0056650F">
        <w:t xml:space="preserve"> as Distributive Share</w:t>
      </w:r>
      <w:bookmarkEnd w:id="102"/>
    </w:p>
    <w:p w14:paraId="2D782D7A" w14:textId="05A385B9" w:rsidR="006E5B35" w:rsidRDefault="006557B6" w:rsidP="00B24426">
      <w:pPr>
        <w:pStyle w:val="ListParagraph"/>
        <w:numPr>
          <w:ilvl w:val="0"/>
          <w:numId w:val="23"/>
        </w:numPr>
        <w:contextualSpacing w:val="0"/>
      </w:pPr>
      <w:r w:rsidRPr="006557B6">
        <w:t>Because guaranteed payments are simply a matter of agreement between partners</w:t>
      </w:r>
      <w:r w:rsidR="00104299">
        <w:t xml:space="preserve"> and</w:t>
      </w:r>
      <w:r w:rsidR="002A6511">
        <w:t>, in some cases,</w:t>
      </w:r>
      <w:r w:rsidR="00104299">
        <w:t xml:space="preserve"> can lead to the same economic result</w:t>
      </w:r>
      <w:r w:rsidR="002A6511">
        <w:t xml:space="preserve"> for the partners as distributive share</w:t>
      </w:r>
      <w:r w:rsidRPr="006557B6">
        <w:t xml:space="preserve">, applying a different sourcing method than that used for distributive share might result in “elective” sourcing, or income shifting.  </w:t>
      </w:r>
    </w:p>
    <w:p w14:paraId="1BC6C463" w14:textId="67539FA7" w:rsidR="00A45706" w:rsidRDefault="006557B6" w:rsidP="00B24426">
      <w:pPr>
        <w:pStyle w:val="ListParagraph"/>
        <w:numPr>
          <w:ilvl w:val="0"/>
          <w:numId w:val="23"/>
        </w:numPr>
        <w:contextualSpacing w:val="0"/>
      </w:pPr>
      <w:r w:rsidRPr="006557B6">
        <w:t>Sourcing guaranteed payments for services as compensation requires distinguishing</w:t>
      </w:r>
      <w:r w:rsidR="006E5B35">
        <w:t xml:space="preserve"> these payments from distributive share/distributions (and special allocations)</w:t>
      </w:r>
      <w:r w:rsidR="00112560">
        <w:t xml:space="preserve"> and </w:t>
      </w:r>
      <w:r w:rsidR="005B6161">
        <w:t xml:space="preserve">from </w:t>
      </w:r>
      <w:r w:rsidR="00112560">
        <w:t xml:space="preserve">payments for the use of capital. </w:t>
      </w:r>
      <w:r w:rsidR="001A298A">
        <w:t xml:space="preserve">While federal rules </w:t>
      </w:r>
      <w:r w:rsidR="007517BD">
        <w:t>distinguish them for certain purposes—</w:t>
      </w:r>
      <w:r w:rsidR="00D91ED3">
        <w:t>those purposes may have a different</w:t>
      </w:r>
      <w:r w:rsidR="00F90B9E">
        <w:t xml:space="preserve"> basis than the distinction states make </w:t>
      </w:r>
      <w:r w:rsidR="002C3276">
        <w:t xml:space="preserve">for purposes of </w:t>
      </w:r>
      <w:r w:rsidR="00F90B9E">
        <w:t xml:space="preserve"> sourcing</w:t>
      </w:r>
      <w:r w:rsidR="007517BD">
        <w:t xml:space="preserve">. For example, </w:t>
      </w:r>
      <w:r w:rsidR="00E6639F">
        <w:t xml:space="preserve">federal rules may distinguish </w:t>
      </w:r>
      <w:r w:rsidR="00C25D83">
        <w:t xml:space="preserve">guaranteed payments for services </w:t>
      </w:r>
      <w:r w:rsidR="00F90B9E">
        <w:t xml:space="preserve">made to limited partners </w:t>
      </w:r>
      <w:r w:rsidR="00E6639F">
        <w:t xml:space="preserve">when imposing self-employment taxes, but they do not </w:t>
      </w:r>
      <w:r w:rsidR="006215F3">
        <w:t>distinguish such payments when made to</w:t>
      </w:r>
      <w:r w:rsidR="003B3671">
        <w:t xml:space="preserve"> general partners, </w:t>
      </w:r>
      <w:r w:rsidR="006215F3">
        <w:t xml:space="preserve">instead, subjecting </w:t>
      </w:r>
      <w:r w:rsidR="0039153E">
        <w:t xml:space="preserve">their </w:t>
      </w:r>
      <w:r w:rsidR="003B3671">
        <w:t xml:space="preserve">distributive share </w:t>
      </w:r>
      <w:r w:rsidR="0039153E">
        <w:t>to the</w:t>
      </w:r>
      <w:r w:rsidR="003B3671">
        <w:t xml:space="preserve"> tax</w:t>
      </w:r>
      <w:r w:rsidR="0039153E">
        <w:t xml:space="preserve"> as well</w:t>
      </w:r>
      <w:r w:rsidR="003B3671">
        <w:t>.</w:t>
      </w:r>
    </w:p>
    <w:p w14:paraId="6EF637FD" w14:textId="4A910528" w:rsidR="003E4843" w:rsidRDefault="0028571F" w:rsidP="00B24426">
      <w:pPr>
        <w:pStyle w:val="ListParagraph"/>
        <w:numPr>
          <w:ilvl w:val="0"/>
          <w:numId w:val="23"/>
        </w:numPr>
        <w:contextualSpacing w:val="0"/>
      </w:pPr>
      <w:r>
        <w:t xml:space="preserve">States </w:t>
      </w:r>
      <w:r w:rsidR="00FC3A7E">
        <w:t>that have adopted pass-through entity taxes a</w:t>
      </w:r>
      <w:r w:rsidR="008C15B7">
        <w:t xml:space="preserve">nd include guaranteed payments in the tax base to which the tax is applied </w:t>
      </w:r>
      <w:r w:rsidR="00FD0262">
        <w:t xml:space="preserve">will generally </w:t>
      </w:r>
      <w:r w:rsidR="00BA6582">
        <w:t xml:space="preserve">source that tax base using entity-level apportionment or </w:t>
      </w:r>
      <w:r w:rsidR="00BA6582">
        <w:lastRenderedPageBreak/>
        <w:t>allocation</w:t>
      </w:r>
      <w:r w:rsidR="00EA4CC5">
        <w:t>,</w:t>
      </w:r>
      <w:r w:rsidR="00BA6582">
        <w:t xml:space="preserve"> and </w:t>
      </w:r>
      <w:r w:rsidR="008C15B7">
        <w:t>should</w:t>
      </w:r>
      <w:r>
        <w:t xml:space="preserve"> </w:t>
      </w:r>
      <w:r w:rsidR="00EA4CC5">
        <w:t>use</w:t>
      </w:r>
      <w:r>
        <w:t xml:space="preserve"> the same approach for sourcing guaranteed payments for services </w:t>
      </w:r>
      <w:r w:rsidR="00BA6582">
        <w:t>when taxed on a pass-through basis</w:t>
      </w:r>
      <w:r w:rsidR="00906D1B">
        <w:t>.</w:t>
      </w:r>
    </w:p>
    <w:p w14:paraId="6D8A0DE9" w14:textId="5CD3FA7D" w:rsidR="006557B6" w:rsidRDefault="006557B6" w:rsidP="00B24426">
      <w:pPr>
        <w:pStyle w:val="ListParagraph"/>
        <w:numPr>
          <w:ilvl w:val="0"/>
          <w:numId w:val="23"/>
        </w:numPr>
        <w:contextualSpacing w:val="0"/>
      </w:pPr>
      <w:r w:rsidRPr="006557B6">
        <w:t xml:space="preserve">Sourcing guaranteed payments </w:t>
      </w:r>
      <w:r w:rsidR="00001CF4">
        <w:t xml:space="preserve">differently than distributive share may </w:t>
      </w:r>
      <w:r w:rsidR="005A566C">
        <w:t xml:space="preserve">also </w:t>
      </w:r>
      <w:r w:rsidRPr="006557B6">
        <w:t>add administrative complexity to partnership-level reporting and withholding</w:t>
      </w:r>
      <w:r w:rsidR="00122E68">
        <w:t>, especially in cases where the partners receive guaranteed payments for services performed in multiple locations.</w:t>
      </w:r>
    </w:p>
    <w:p w14:paraId="2A2E1D1B" w14:textId="06F0D980" w:rsidR="00CA213B" w:rsidRDefault="00CA213B" w:rsidP="00B24426">
      <w:pPr>
        <w:pStyle w:val="ListParagraph"/>
        <w:numPr>
          <w:ilvl w:val="0"/>
          <w:numId w:val="23"/>
        </w:numPr>
        <w:contextualSpacing w:val="0"/>
      </w:pPr>
      <w:r>
        <w:t>Sourcing guaranteed payments as distributive</w:t>
      </w:r>
      <w:r w:rsidR="00C146D0">
        <w:t xml:space="preserve"> share is the approach used by the majority of states that have specifically addressed </w:t>
      </w:r>
      <w:r w:rsidR="00A33664">
        <w:t>the issue.</w:t>
      </w:r>
    </w:p>
    <w:p w14:paraId="1BE22E82" w14:textId="5126EA82" w:rsidR="000C014D" w:rsidRDefault="000C014D" w:rsidP="004D0343">
      <w:pPr>
        <w:pStyle w:val="Heading3"/>
      </w:pPr>
      <w:bookmarkStart w:id="103" w:name="_Toc153291213"/>
      <w:r>
        <w:t>Factors Favoring Sourcing as Compensation</w:t>
      </w:r>
      <w:bookmarkEnd w:id="103"/>
    </w:p>
    <w:p w14:paraId="6B8AF717" w14:textId="34859430" w:rsidR="00B5499B" w:rsidRDefault="009E7E52" w:rsidP="00B24426">
      <w:pPr>
        <w:pStyle w:val="ListParagraph"/>
        <w:numPr>
          <w:ilvl w:val="0"/>
          <w:numId w:val="24"/>
        </w:numPr>
        <w:contextualSpacing w:val="0"/>
      </w:pPr>
      <w:r>
        <w:t xml:space="preserve">Sourcing guaranteed payments for services </w:t>
      </w:r>
      <w:r w:rsidR="00F11CEB">
        <w:t xml:space="preserve">as compensation is </w:t>
      </w:r>
      <w:r w:rsidR="00972EEA">
        <w:t xml:space="preserve">more </w:t>
      </w:r>
      <w:r w:rsidR="00F11CEB">
        <w:t xml:space="preserve">consistent with the entity approach, which is also the approach generally used </w:t>
      </w:r>
      <w:r w:rsidR="00D34965">
        <w:t>by Subchapter K to account for and tax these payments, rather than the aggregate approach</w:t>
      </w:r>
      <w:r w:rsidR="00972EEA">
        <w:t>,</w:t>
      </w:r>
      <w:r w:rsidR="00D34965">
        <w:t xml:space="preserve"> which is used to account for and tax distributive share. </w:t>
      </w:r>
    </w:p>
    <w:p w14:paraId="3B1491AA" w14:textId="440292D7" w:rsidR="00B5499B" w:rsidRDefault="00972EEA" w:rsidP="00B24426">
      <w:pPr>
        <w:pStyle w:val="ListParagraph"/>
        <w:numPr>
          <w:ilvl w:val="0"/>
          <w:numId w:val="24"/>
        </w:numPr>
        <w:contextualSpacing w:val="0"/>
      </w:pPr>
      <w:r>
        <w:t>Sourcing guar</w:t>
      </w:r>
      <w:r w:rsidR="0024214D">
        <w:t xml:space="preserve">anteed payments for services as compensation </w:t>
      </w:r>
      <w:r w:rsidR="00C37041">
        <w:t>may</w:t>
      </w:r>
      <w:r w:rsidR="0024214D">
        <w:t xml:space="preserve"> also </w:t>
      </w:r>
      <w:r w:rsidR="00C37041">
        <w:t xml:space="preserve">be </w:t>
      </w:r>
      <w:r w:rsidR="0024214D">
        <w:t xml:space="preserve">more consistent with the way in which </w:t>
      </w:r>
      <w:r w:rsidR="00C37041">
        <w:t xml:space="preserve">some </w:t>
      </w:r>
      <w:r w:rsidR="00B5499B">
        <w:t xml:space="preserve">partner-partnership transactions </w:t>
      </w:r>
      <w:r w:rsidR="00C37041">
        <w:t xml:space="preserve">involving the partner’s services would be sourced—treating the partner as an unrelated party. </w:t>
      </w:r>
      <w:r w:rsidR="00DE67F9">
        <w:t>When this is the case</w:t>
      </w:r>
      <w:r w:rsidR="00CF29FB">
        <w:t xml:space="preserve">, it will not be necessary to distinguish guaranteed payments, paid to a partner acting in the capacity of a partner, from guaranteed payments to a partner acting in a separate capacity. </w:t>
      </w:r>
    </w:p>
    <w:p w14:paraId="169F3957" w14:textId="178A2A50" w:rsidR="00B5499B" w:rsidRDefault="00FA53F8" w:rsidP="00B24426">
      <w:pPr>
        <w:pStyle w:val="ListParagraph"/>
        <w:numPr>
          <w:ilvl w:val="0"/>
          <w:numId w:val="24"/>
        </w:numPr>
        <w:contextualSpacing w:val="0"/>
      </w:pPr>
      <w:r>
        <w:t xml:space="preserve">The fact that guaranteed payments are generally given less </w:t>
      </w:r>
      <w:r w:rsidR="00B5499B">
        <w:t xml:space="preserve">favorable treatment </w:t>
      </w:r>
      <w:r>
        <w:t xml:space="preserve">than </w:t>
      </w:r>
      <w:r w:rsidR="001E5F21">
        <w:t xml:space="preserve">distributive share/distributions </w:t>
      </w:r>
      <w:r w:rsidR="00B5499B">
        <w:t xml:space="preserve">means </w:t>
      </w:r>
      <w:r w:rsidR="001E5F21">
        <w:t xml:space="preserve">that the risk that they would be used merely to alter the sourcing result is somewhat reduced. </w:t>
      </w:r>
    </w:p>
    <w:p w14:paraId="49113528" w14:textId="2A8FC949" w:rsidR="00566288" w:rsidRPr="004D0343" w:rsidRDefault="00432D49" w:rsidP="00B24426">
      <w:pPr>
        <w:pStyle w:val="ListParagraph"/>
        <w:numPr>
          <w:ilvl w:val="0"/>
          <w:numId w:val="24"/>
        </w:numPr>
        <w:contextualSpacing w:val="0"/>
      </w:pPr>
      <w:r>
        <w:t xml:space="preserve">Sourcing guaranteed payments as compensation is generally consistent with the </w:t>
      </w:r>
      <w:r w:rsidR="00566288">
        <w:t>federal sourcing</w:t>
      </w:r>
      <w:r>
        <w:t xml:space="preserve"> of such payments when partners perform services overseas</w:t>
      </w:r>
      <w:r w:rsidR="000831CA">
        <w:t xml:space="preserve">, so that states that conform to federal adjusted gross income might not have to make </w:t>
      </w:r>
      <w:r w:rsidR="008F09B2">
        <w:t>adjustments to that amount in order to tax the payments sourced on a different basis for state purposes.</w:t>
      </w:r>
    </w:p>
    <w:p w14:paraId="34D375AC" w14:textId="5CBE7A4B" w:rsidR="006557B6" w:rsidRPr="006557B6" w:rsidRDefault="00EC0D1A" w:rsidP="00402AF9">
      <w:pPr>
        <w:pStyle w:val="Heading2"/>
        <w:spacing w:before="360"/>
      </w:pPr>
      <w:bookmarkStart w:id="104" w:name="_Toc153291214"/>
      <w:r>
        <w:t xml:space="preserve">V. C. </w:t>
      </w:r>
      <w:r w:rsidR="006557B6" w:rsidRPr="006557B6">
        <w:t>Proposed Recommendations</w:t>
      </w:r>
      <w:bookmarkEnd w:id="104"/>
    </w:p>
    <w:p w14:paraId="206331B4" w14:textId="4EA0C095" w:rsidR="00243F83" w:rsidRDefault="001B7F7E" w:rsidP="00C66B7F">
      <w:pPr>
        <w:spacing w:after="120"/>
      </w:pPr>
      <w:r>
        <w:t>There is nothing that prevents states from using either of the methods for sourcing guaranteed payments</w:t>
      </w:r>
      <w:r w:rsidR="00C66B7F">
        <w:t xml:space="preserve"> made to individuals for services</w:t>
      </w:r>
      <w:r>
        <w:t xml:space="preserve">—whether as distributive share or as </w:t>
      </w:r>
      <w:r w:rsidR="00C72792">
        <w:t>compensation</w:t>
      </w:r>
      <w:r w:rsidR="007D1D8E">
        <w:t>.</w:t>
      </w:r>
      <w:r w:rsidR="00CA5B49">
        <w:t xml:space="preserve"> </w:t>
      </w:r>
      <w:r w:rsidR="007D1D8E">
        <w:t>D</w:t>
      </w:r>
      <w:r w:rsidR="00CA5B49">
        <w:t xml:space="preserve">ifferent factors may generally favor one method versus the other. </w:t>
      </w:r>
      <w:r w:rsidR="00490569">
        <w:t>Nevertheless, this white paper can make the following recommendations:</w:t>
      </w:r>
    </w:p>
    <w:p w14:paraId="5B397AFF" w14:textId="77777777" w:rsidR="008B31C0" w:rsidRDefault="006557B6" w:rsidP="00DF1F82">
      <w:pPr>
        <w:pStyle w:val="ListParagraph"/>
        <w:numPr>
          <w:ilvl w:val="0"/>
          <w:numId w:val="26"/>
        </w:numPr>
        <w:contextualSpacing w:val="0"/>
      </w:pPr>
      <w:r w:rsidRPr="006557B6">
        <w:t xml:space="preserve">States should explicitly address the sourcing of guaranteed payments in order to avoid uncertainty. </w:t>
      </w:r>
    </w:p>
    <w:p w14:paraId="6215887B" w14:textId="660B37D3" w:rsidR="008B31C0" w:rsidRDefault="006557B6" w:rsidP="00DF1F82">
      <w:pPr>
        <w:pStyle w:val="ListParagraph"/>
        <w:numPr>
          <w:ilvl w:val="0"/>
          <w:numId w:val="26"/>
        </w:numPr>
        <w:contextualSpacing w:val="0"/>
      </w:pPr>
      <w:r w:rsidRPr="006557B6">
        <w:t xml:space="preserve">States should source guaranteed payments the same </w:t>
      </w:r>
      <w:r w:rsidR="007D1D8E">
        <w:t xml:space="preserve">whether applying tax to the partner on a pass-through basis or on the entity. </w:t>
      </w:r>
    </w:p>
    <w:p w14:paraId="429DB5D7" w14:textId="77777777" w:rsidR="00DF1F82" w:rsidRDefault="006557B6" w:rsidP="00DF1F82">
      <w:pPr>
        <w:pStyle w:val="ListParagraph"/>
        <w:numPr>
          <w:ilvl w:val="0"/>
          <w:numId w:val="26"/>
        </w:numPr>
        <w:contextualSpacing w:val="0"/>
      </w:pPr>
      <w:r w:rsidRPr="006557B6">
        <w:t xml:space="preserve">States that provide guaranteed payments should be sourced as distributive share should also: </w:t>
      </w:r>
    </w:p>
    <w:p w14:paraId="4C7D4455" w14:textId="77777777" w:rsidR="00DF1F82" w:rsidRDefault="006557B6" w:rsidP="00DF1F82">
      <w:pPr>
        <w:pStyle w:val="ListParagraph"/>
        <w:numPr>
          <w:ilvl w:val="1"/>
          <w:numId w:val="26"/>
        </w:numPr>
        <w:contextualSpacing w:val="0"/>
      </w:pPr>
      <w:r w:rsidRPr="006557B6">
        <w:t>Address whether this applies to individuals working in foreign jurisdictions who may source the payments as compensation for federal purposes</w:t>
      </w:r>
      <w:r w:rsidR="005704E9">
        <w:t xml:space="preserve">—and provide necessary adjustments </w:t>
      </w:r>
      <w:r w:rsidR="00D2764C">
        <w:t>to the federal tax base</w:t>
      </w:r>
      <w:r w:rsidRPr="006557B6">
        <w:t>.</w:t>
      </w:r>
    </w:p>
    <w:p w14:paraId="2C54B063" w14:textId="77777777" w:rsidR="00DF1F82" w:rsidRDefault="00757CBF" w:rsidP="00DF1F82">
      <w:pPr>
        <w:pStyle w:val="ListParagraph"/>
        <w:numPr>
          <w:ilvl w:val="1"/>
          <w:numId w:val="26"/>
        </w:numPr>
        <w:contextualSpacing w:val="0"/>
      </w:pPr>
      <w:r>
        <w:t xml:space="preserve">Address whether they follow federal treatment in distinguishing </w:t>
      </w:r>
      <w:r w:rsidR="00C8617A">
        <w:t>guaranteed payments for services from partner-partnership transactions</w:t>
      </w:r>
      <w:r w:rsidR="006C4970">
        <w:t xml:space="preserve">. </w:t>
      </w:r>
    </w:p>
    <w:p w14:paraId="77303D0F" w14:textId="77777777" w:rsidR="00DF1F82" w:rsidRDefault="006557B6" w:rsidP="00DF1F82">
      <w:pPr>
        <w:pStyle w:val="ListParagraph"/>
        <w:numPr>
          <w:ilvl w:val="1"/>
          <w:numId w:val="26"/>
        </w:numPr>
        <w:contextualSpacing w:val="0"/>
      </w:pPr>
      <w:r w:rsidRPr="006557B6">
        <w:t>Specify that this sourcing treatment does not apply to payments made to retired partners</w:t>
      </w:r>
      <w:r w:rsidR="007A488B">
        <w:t xml:space="preserve"> that are </w:t>
      </w:r>
      <w:r w:rsidRPr="006557B6">
        <w:t>required to be sourced to residence</w:t>
      </w:r>
      <w:r w:rsidR="007A488B">
        <w:t xml:space="preserve"> under 4 U.S.C. §114</w:t>
      </w:r>
      <w:r w:rsidRPr="006557B6">
        <w:t xml:space="preserve">. </w:t>
      </w:r>
    </w:p>
    <w:p w14:paraId="5014B05F" w14:textId="77777777" w:rsidR="00DF1F82" w:rsidRDefault="006557B6" w:rsidP="00DF1F82">
      <w:pPr>
        <w:pStyle w:val="ListParagraph"/>
        <w:numPr>
          <w:ilvl w:val="0"/>
          <w:numId w:val="26"/>
        </w:numPr>
        <w:contextualSpacing w:val="0"/>
      </w:pPr>
      <w:r w:rsidRPr="006557B6">
        <w:t xml:space="preserve">States that source the payments as compensation should </w:t>
      </w:r>
      <w:r w:rsidR="006C4970">
        <w:t>also:</w:t>
      </w:r>
    </w:p>
    <w:p w14:paraId="045F8EAE" w14:textId="77777777" w:rsidR="00DF1F82" w:rsidRDefault="006C4970" w:rsidP="00DF1F82">
      <w:pPr>
        <w:pStyle w:val="ListParagraph"/>
        <w:numPr>
          <w:ilvl w:val="1"/>
          <w:numId w:val="26"/>
        </w:numPr>
        <w:contextualSpacing w:val="0"/>
      </w:pPr>
      <w:r>
        <w:lastRenderedPageBreak/>
        <w:t>I</w:t>
      </w:r>
      <w:r w:rsidR="006557B6" w:rsidRPr="006557B6">
        <w:t xml:space="preserve">mpose appropriate limits to ensure that the payments are </w:t>
      </w:r>
      <w:r w:rsidR="00EE69B6">
        <w:t xml:space="preserve">genuinely </w:t>
      </w:r>
      <w:r w:rsidR="006557B6" w:rsidRPr="006557B6">
        <w:t xml:space="preserve">similar to compensation for services performed and to avoid income shifting. </w:t>
      </w:r>
    </w:p>
    <w:p w14:paraId="0E025848" w14:textId="77777777" w:rsidR="00DF1F82" w:rsidRDefault="00DF7B30" w:rsidP="00DF1F82">
      <w:pPr>
        <w:pStyle w:val="ListParagraph"/>
        <w:numPr>
          <w:ilvl w:val="1"/>
          <w:numId w:val="26"/>
        </w:numPr>
        <w:contextualSpacing w:val="0"/>
      </w:pPr>
      <w:r>
        <w:t xml:space="preserve">Address whether they </w:t>
      </w:r>
      <w:r w:rsidR="00E73F73">
        <w:t xml:space="preserve">will </w:t>
      </w:r>
      <w:r>
        <w:t>follow federal treatment in distinguishing guaranteed payments from distributive share/distributions.</w:t>
      </w:r>
    </w:p>
    <w:p w14:paraId="4A7516E7" w14:textId="77777777" w:rsidR="00DF1F82" w:rsidRDefault="006C4970" w:rsidP="00DF1F82">
      <w:pPr>
        <w:pStyle w:val="ListParagraph"/>
        <w:numPr>
          <w:ilvl w:val="1"/>
          <w:numId w:val="26"/>
        </w:numPr>
        <w:contextualSpacing w:val="0"/>
      </w:pPr>
      <w:r>
        <w:t xml:space="preserve">Address </w:t>
      </w:r>
      <w:r w:rsidR="00DF7B30">
        <w:t xml:space="preserve">whether they </w:t>
      </w:r>
      <w:r w:rsidR="00E73F73">
        <w:t xml:space="preserve">will </w:t>
      </w:r>
      <w:r w:rsidR="00DF7B30">
        <w:t>follow federal treatment in</w:t>
      </w:r>
      <w:r w:rsidR="006557B6" w:rsidRPr="006557B6">
        <w:t xml:space="preserve"> distinguishing guaranteed payments for services from guaranteed payments for capital. </w:t>
      </w:r>
    </w:p>
    <w:p w14:paraId="4F31780E" w14:textId="5DF2E62C" w:rsidR="006557B6" w:rsidRPr="006557B6" w:rsidRDefault="006557B6" w:rsidP="00DF1F82">
      <w:pPr>
        <w:pStyle w:val="ListParagraph"/>
        <w:numPr>
          <w:ilvl w:val="0"/>
          <w:numId w:val="26"/>
        </w:numPr>
        <w:contextualSpacing w:val="0"/>
      </w:pPr>
      <w:r w:rsidRPr="006557B6">
        <w:t>To mitigate the possibility of multiple taxation, consider provisions that might grant additional credits to residents who can show that they paid tax on more than 100% of their guaranteed payments</w:t>
      </w:r>
      <w:r w:rsidR="00E73F73">
        <w:t xml:space="preserve"> based on different state sourcing rules</w:t>
      </w:r>
      <w:r w:rsidRPr="006557B6">
        <w:t>.</w:t>
      </w:r>
      <w:bookmarkEnd w:id="0"/>
    </w:p>
    <w:sectPr w:rsidR="006557B6" w:rsidRPr="006557B6" w:rsidSect="005D7EF7">
      <w:footerReference w:type="default" r:id="rId40"/>
      <w:pgSz w:w="12240" w:h="15840" w:code="1"/>
      <w:pgMar w:top="864" w:right="1728" w:bottom="864" w:left="1728" w:header="288" w:footer="0" w:gutter="0"/>
      <w:pgBorders w:offsetFrom="page">
        <w:top w:val="single" w:sz="24" w:space="10" w:color="591200" w:themeColor="accent6" w:themeShade="80"/>
        <w:left w:val="single" w:sz="24" w:space="15" w:color="591200" w:themeColor="accent6" w:themeShade="80"/>
        <w:bottom w:val="single" w:sz="24" w:space="25" w:color="591200" w:themeColor="accent6" w:themeShade="80"/>
        <w:right w:val="single" w:sz="24" w:space="15" w:color="591200" w:themeColor="accent6"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EFB7A" w14:textId="77777777" w:rsidR="007B12F6" w:rsidRDefault="007B12F6" w:rsidP="00F804A3">
      <w:pPr>
        <w:spacing w:after="0"/>
      </w:pPr>
      <w:r>
        <w:separator/>
      </w:r>
    </w:p>
  </w:endnote>
  <w:endnote w:type="continuationSeparator" w:id="0">
    <w:p w14:paraId="67170FD6" w14:textId="77777777" w:rsidR="007B12F6" w:rsidRDefault="007B12F6" w:rsidP="00F804A3">
      <w:pPr>
        <w:spacing w:after="0"/>
      </w:pPr>
      <w:r>
        <w:continuationSeparator/>
      </w:r>
    </w:p>
  </w:endnote>
  <w:endnote w:type="continuationNotice" w:id="1">
    <w:p w14:paraId="50BD46AF" w14:textId="77777777" w:rsidR="007B12F6" w:rsidRDefault="007B12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sa Offc Serif Pro">
    <w:charset w:val="00"/>
    <w:family w:val="auto"/>
    <w:pitch w:val="variable"/>
    <w:sig w:usb0="800002E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FB90" w14:textId="422994ED" w:rsidR="00817E18" w:rsidRPr="00924DB9" w:rsidRDefault="00D011B7" w:rsidP="00D011B7">
    <w:pPr>
      <w:pStyle w:val="Footer"/>
      <w:jc w:val="left"/>
      <w:rPr>
        <w:color w:val="595959" w:themeColor="text1" w:themeTint="A6"/>
        <w:sz w:val="18"/>
        <w:szCs w:val="20"/>
      </w:rPr>
    </w:pPr>
    <w:r>
      <w:rPr>
        <w:noProof/>
      </w:rPr>
      <w:drawing>
        <wp:anchor distT="0" distB="0" distL="114300" distR="114300" simplePos="0" relativeHeight="251666432" behindDoc="0" locked="0" layoutInCell="1" allowOverlap="1" wp14:anchorId="7F38D4EB" wp14:editId="3F227162">
          <wp:simplePos x="0" y="0"/>
          <wp:positionH relativeFrom="column">
            <wp:posOffset>-237399</wp:posOffset>
          </wp:positionH>
          <wp:positionV relativeFrom="paragraph">
            <wp:posOffset>12700</wp:posOffset>
          </wp:positionV>
          <wp:extent cx="403860" cy="214630"/>
          <wp:effectExtent l="0" t="0" r="0" b="0"/>
          <wp:wrapSquare wrapText="bothSides"/>
          <wp:docPr id="743783632" name="Picture 74378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Effect>
                              <a14:brightnessContrast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03860" cy="214630"/>
                  </a:xfrm>
                  <a:prstGeom prst="rect">
                    <a:avLst/>
                  </a:prstGeom>
                  <a:noFill/>
                  <a:effectLst/>
                </pic:spPr>
              </pic:pic>
            </a:graphicData>
          </a:graphic>
          <wp14:sizeRelH relativeFrom="page">
            <wp14:pctWidth>0</wp14:pctWidth>
          </wp14:sizeRelH>
          <wp14:sizeRelV relativeFrom="page">
            <wp14:pctHeight>0</wp14:pctHeight>
          </wp14:sizeRelV>
        </wp:anchor>
      </w:drawing>
    </w:r>
    <w:sdt>
      <w:sdtPr>
        <w:rPr>
          <w:color w:val="595959" w:themeColor="text1" w:themeTint="A6"/>
          <w:sz w:val="18"/>
          <w:szCs w:val="20"/>
        </w:rPr>
        <w:id w:val="-2083526493"/>
        <w:docPartObj>
          <w:docPartGallery w:val="Page Numbers (Bottom of Page)"/>
          <w:docPartUnique/>
        </w:docPartObj>
      </w:sdtPr>
      <w:sdtEndPr>
        <w:rPr>
          <w:noProof/>
        </w:rPr>
      </w:sdtEndPr>
      <w:sdtContent>
        <w:r w:rsidR="00DB290A" w:rsidRPr="00924DB9">
          <w:rPr>
            <w:color w:val="595959" w:themeColor="text1" w:themeTint="A6"/>
            <w:sz w:val="18"/>
            <w:szCs w:val="20"/>
          </w:rPr>
          <w:t>White Paper</w:t>
        </w:r>
        <w:r w:rsidR="00822499" w:rsidRPr="00924DB9">
          <w:rPr>
            <w:color w:val="595959" w:themeColor="text1" w:themeTint="A6"/>
            <w:sz w:val="18"/>
            <w:szCs w:val="20"/>
          </w:rPr>
          <w:t xml:space="preserve">  -  State Tax</w:t>
        </w:r>
        <w:r w:rsidR="000A2267">
          <w:rPr>
            <w:color w:val="595959" w:themeColor="text1" w:themeTint="A6"/>
            <w:sz w:val="18"/>
            <w:szCs w:val="20"/>
          </w:rPr>
          <w:t xml:space="preserve"> Sourcing </w:t>
        </w:r>
        <w:r w:rsidR="00822499" w:rsidRPr="00924DB9">
          <w:rPr>
            <w:color w:val="595959" w:themeColor="text1" w:themeTint="A6"/>
            <w:sz w:val="18"/>
            <w:szCs w:val="20"/>
          </w:rPr>
          <w:t xml:space="preserve">of </w:t>
        </w:r>
        <w:r w:rsidR="00C23413" w:rsidRPr="00924DB9">
          <w:rPr>
            <w:color w:val="595959" w:themeColor="text1" w:themeTint="A6"/>
            <w:sz w:val="18"/>
            <w:szCs w:val="20"/>
          </w:rPr>
          <w:t xml:space="preserve">Certain </w:t>
        </w:r>
        <w:r w:rsidR="00822499" w:rsidRPr="00924DB9">
          <w:rPr>
            <w:color w:val="595959" w:themeColor="text1" w:themeTint="A6"/>
            <w:sz w:val="18"/>
            <w:szCs w:val="20"/>
          </w:rPr>
          <w:t xml:space="preserve">Guaranteed Payments </w:t>
        </w:r>
        <w:r w:rsidRPr="00924DB9">
          <w:rPr>
            <w:color w:val="595959" w:themeColor="text1" w:themeTint="A6"/>
            <w:sz w:val="18"/>
            <w:szCs w:val="20"/>
          </w:rPr>
          <w:t xml:space="preserve">– </w:t>
        </w:r>
        <w:r w:rsidR="00283D73">
          <w:rPr>
            <w:color w:val="595959" w:themeColor="text1" w:themeTint="A6"/>
            <w:sz w:val="18"/>
            <w:szCs w:val="20"/>
          </w:rPr>
          <w:t>October 12</w:t>
        </w:r>
        <w:r w:rsidRPr="00924DB9">
          <w:rPr>
            <w:color w:val="595959" w:themeColor="text1" w:themeTint="A6"/>
            <w:sz w:val="18"/>
            <w:szCs w:val="20"/>
          </w:rPr>
          <w:t>, 2023</w:t>
        </w:r>
        <w:r w:rsidRPr="00924DB9">
          <w:rPr>
            <w:color w:val="595959" w:themeColor="text1" w:themeTint="A6"/>
            <w:sz w:val="18"/>
            <w:szCs w:val="20"/>
          </w:rPr>
          <w:tab/>
        </w:r>
        <w:r w:rsidR="00822499" w:rsidRPr="00924DB9">
          <w:rPr>
            <w:noProof/>
            <w:color w:val="595959" w:themeColor="text1" w:themeTint="A6"/>
            <w:sz w:val="18"/>
            <w:szCs w:val="20"/>
          </w:rPr>
          <w:t xml:space="preserve">Page </w:t>
        </w:r>
        <w:r w:rsidR="00817E18" w:rsidRPr="00924DB9">
          <w:rPr>
            <w:color w:val="595959" w:themeColor="text1" w:themeTint="A6"/>
            <w:sz w:val="18"/>
            <w:szCs w:val="20"/>
          </w:rPr>
          <w:fldChar w:fldCharType="begin"/>
        </w:r>
        <w:r w:rsidR="00817E18" w:rsidRPr="00924DB9">
          <w:rPr>
            <w:color w:val="595959" w:themeColor="text1" w:themeTint="A6"/>
            <w:sz w:val="18"/>
            <w:szCs w:val="20"/>
          </w:rPr>
          <w:instrText xml:space="preserve"> PAGE   \* MERGEFORMAT </w:instrText>
        </w:r>
        <w:r w:rsidR="00817E18" w:rsidRPr="00924DB9">
          <w:rPr>
            <w:color w:val="595959" w:themeColor="text1" w:themeTint="A6"/>
            <w:sz w:val="18"/>
            <w:szCs w:val="20"/>
          </w:rPr>
          <w:fldChar w:fldCharType="separate"/>
        </w:r>
        <w:r w:rsidR="00817E18" w:rsidRPr="00924DB9">
          <w:rPr>
            <w:noProof/>
            <w:color w:val="595959" w:themeColor="text1" w:themeTint="A6"/>
            <w:sz w:val="18"/>
            <w:szCs w:val="20"/>
          </w:rPr>
          <w:t>2</w:t>
        </w:r>
        <w:r w:rsidR="00817E18" w:rsidRPr="00924DB9">
          <w:rPr>
            <w:noProof/>
            <w:color w:val="595959" w:themeColor="text1" w:themeTint="A6"/>
            <w:sz w:val="18"/>
            <w:szCs w:val="20"/>
          </w:rPr>
          <w:fldChar w:fldCharType="end"/>
        </w:r>
      </w:sdtContent>
    </w:sdt>
  </w:p>
  <w:p w14:paraId="012BFCCC" w14:textId="4029920A" w:rsidR="00817E18" w:rsidRDefault="00817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03901" w14:textId="77777777" w:rsidR="007B12F6" w:rsidRDefault="007B12F6" w:rsidP="00F804A3">
      <w:pPr>
        <w:spacing w:after="0"/>
      </w:pPr>
      <w:r>
        <w:separator/>
      </w:r>
    </w:p>
  </w:footnote>
  <w:footnote w:type="continuationSeparator" w:id="0">
    <w:p w14:paraId="42306D06" w14:textId="77777777" w:rsidR="007B12F6" w:rsidRDefault="007B12F6" w:rsidP="00F804A3">
      <w:pPr>
        <w:spacing w:after="0"/>
      </w:pPr>
      <w:r>
        <w:continuationSeparator/>
      </w:r>
    </w:p>
  </w:footnote>
  <w:footnote w:type="continuationNotice" w:id="1">
    <w:p w14:paraId="07696B34" w14:textId="77777777" w:rsidR="007B12F6" w:rsidRDefault="007B12F6">
      <w:pPr>
        <w:spacing w:after="0"/>
      </w:pPr>
    </w:p>
  </w:footnote>
  <w:footnote w:id="2">
    <w:p w14:paraId="380F4590" w14:textId="77777777" w:rsidR="00EE070D" w:rsidRDefault="00EE070D" w:rsidP="00EE070D">
      <w:pPr>
        <w:pStyle w:val="FootnoteText"/>
      </w:pPr>
      <w:r>
        <w:rPr>
          <w:rStyle w:val="FootnoteReference"/>
        </w:rPr>
        <w:footnoteRef/>
      </w:r>
      <w:r>
        <w:t xml:space="preserve"> Available on the project web page, here: </w:t>
      </w:r>
      <w:hyperlink r:id="rId1" w:history="1">
        <w:r w:rsidRPr="00CE56DA">
          <w:rPr>
            <w:rStyle w:val="Hyperlink"/>
          </w:rPr>
          <w:t>https://www.mtc.gov/Uniformity/Project-Teams/Partnership-Tax</w:t>
        </w:r>
      </w:hyperlink>
      <w:r>
        <w:t xml:space="preserve">. </w:t>
      </w:r>
    </w:p>
  </w:footnote>
  <w:footnote w:id="3">
    <w:p w14:paraId="5B5D3D42" w14:textId="558D1516" w:rsidR="001D5D18" w:rsidRDefault="001D5D18">
      <w:pPr>
        <w:pStyle w:val="FootnoteText"/>
      </w:pPr>
      <w:r>
        <w:rPr>
          <w:rStyle w:val="FootnoteReference"/>
        </w:rPr>
        <w:footnoteRef/>
      </w:r>
      <w:r>
        <w:t xml:space="preserve"> Other resources can be found on the MTC website, on the Adopted Uniformity Recommendations page, which contains links to the MTC’s recommended version of the Uniform Division of Income for Tax Purposes Act and regulations implementing the sourcing rules that are part of that act.</w:t>
      </w:r>
    </w:p>
  </w:footnote>
  <w:footnote w:id="4">
    <w:p w14:paraId="1B8CE53A" w14:textId="772D2ABA" w:rsidR="00DB4852" w:rsidRDefault="00DB4852">
      <w:pPr>
        <w:pStyle w:val="FootnoteText"/>
      </w:pPr>
      <w:r>
        <w:rPr>
          <w:rStyle w:val="FootnoteReference"/>
        </w:rPr>
        <w:footnoteRef/>
      </w:r>
      <w:r>
        <w:t xml:space="preserve"> </w:t>
      </w:r>
      <w:r w:rsidR="00146D3A">
        <w:t>T</w:t>
      </w:r>
      <w:r w:rsidR="00146D3A" w:rsidRPr="00146D3A">
        <w:t>his is reflected in the Uniform Partnership Act as well as state laws generally.</w:t>
      </w:r>
      <w:r w:rsidR="00146D3A">
        <w:t xml:space="preserve"> </w:t>
      </w:r>
      <w:r>
        <w:t xml:space="preserve">See the Uniform Law Commission’s summary of changes to the 1997 version of the Act, available here: </w:t>
      </w:r>
      <w:hyperlink r:id="rId2" w:history="1">
        <w:r w:rsidRPr="00C61F20">
          <w:rPr>
            <w:rStyle w:val="Hyperlink"/>
          </w:rPr>
          <w:t>https://www.uniformlaws.org/viewdocument/enactment-kit-73?CommunityKey=52456941-7883-47a5-91b6-d2f086d0bb44&amp;tab=librarydocuments</w:t>
        </w:r>
      </w:hyperlink>
      <w:r>
        <w:t xml:space="preserve">. </w:t>
      </w:r>
    </w:p>
  </w:footnote>
  <w:footnote w:id="5">
    <w:p w14:paraId="28F1044E" w14:textId="3717E0C4" w:rsidR="00681757" w:rsidRPr="00C95E47" w:rsidRDefault="00681757" w:rsidP="00681757">
      <w:pPr>
        <w:pStyle w:val="FootnoteText"/>
      </w:pPr>
      <w:r>
        <w:rPr>
          <w:rStyle w:val="FootnoteReference"/>
        </w:rPr>
        <w:footnoteRef/>
      </w:r>
      <w:r>
        <w:t xml:space="preserve"> </w:t>
      </w:r>
      <w:r w:rsidR="00890477">
        <w:t xml:space="preserve">See </w:t>
      </w:r>
      <w:r w:rsidRPr="00C95E47">
        <w:rPr>
          <w:i/>
          <w:iCs/>
        </w:rPr>
        <w:t>Cagle v. Commissioner</w:t>
      </w:r>
      <w:r w:rsidRPr="00C95E47">
        <w:t xml:space="preserve">, 63 T.C. 86, 94 (1974) </w:t>
      </w:r>
      <w:r>
        <w:t xml:space="preserve">citing </w:t>
      </w:r>
      <w:r w:rsidRPr="00C95E47">
        <w:t>H. Rept. No. 1337, supra at pp. 67-68; S. Rept. No. 1622, supra at p. 92.</w:t>
      </w:r>
      <w:r w:rsidR="00D530E5">
        <w:t xml:space="preserve"> Also note that for other purposes, guaranteed payments are treated as distributive share. </w:t>
      </w:r>
    </w:p>
    <w:p w14:paraId="413EFBC7" w14:textId="77777777" w:rsidR="00681757" w:rsidRDefault="00681757" w:rsidP="00681757">
      <w:pPr>
        <w:pStyle w:val="FootnoteText"/>
      </w:pPr>
    </w:p>
  </w:footnote>
  <w:footnote w:id="6">
    <w:p w14:paraId="75706C83" w14:textId="55D91DD5" w:rsidR="003466AA" w:rsidRPr="009208D1" w:rsidRDefault="003466AA">
      <w:pPr>
        <w:pStyle w:val="FootnoteText"/>
      </w:pPr>
      <w:r>
        <w:rPr>
          <w:rStyle w:val="FootnoteReference"/>
        </w:rPr>
        <w:footnoteRef/>
      </w:r>
      <w:r>
        <w:t xml:space="preserve"> See </w:t>
      </w:r>
      <w:r>
        <w:rPr>
          <w:i/>
          <w:iCs/>
        </w:rPr>
        <w:t xml:space="preserve">Hunt-Wesson v. </w:t>
      </w:r>
      <w:r w:rsidR="009208D1">
        <w:rPr>
          <w:i/>
          <w:iCs/>
        </w:rPr>
        <w:t xml:space="preserve">Franchise Tax Bd. of Cal, </w:t>
      </w:r>
      <w:r w:rsidR="009208D1">
        <w:rPr>
          <w:rFonts w:ascii="Open Sans" w:hAnsi="Open Sans" w:cs="Open Sans"/>
          <w:color w:val="333333"/>
          <w:shd w:val="clear" w:color="auto" w:fill="FFFFFF"/>
        </w:rPr>
        <w:t>528 U.S. 458 (2000)</w:t>
      </w:r>
      <w:r w:rsidR="00727A3A">
        <w:rPr>
          <w:rFonts w:ascii="Open Sans" w:hAnsi="Open Sans" w:cs="Open Sans"/>
          <w:color w:val="333333"/>
          <w:shd w:val="clear" w:color="auto" w:fill="FFFFFF"/>
        </w:rPr>
        <w:t>.</w:t>
      </w:r>
    </w:p>
  </w:footnote>
  <w:footnote w:id="7">
    <w:p w14:paraId="6065373E" w14:textId="77777777" w:rsidR="00092BB5" w:rsidRDefault="00092BB5" w:rsidP="00092BB5">
      <w:pPr>
        <w:pStyle w:val="FootnoteText"/>
        <w:spacing w:after="0" w:line="240" w:lineRule="auto"/>
      </w:pPr>
      <w:r>
        <w:rPr>
          <w:rStyle w:val="FootnoteReference"/>
        </w:rPr>
        <w:footnoteRef/>
      </w:r>
      <w:r>
        <w:t xml:space="preserve"> </w:t>
      </w:r>
      <w:r w:rsidRPr="00A41D71">
        <w:t>Exceptions are</w:t>
      </w:r>
      <w:r>
        <w:t xml:space="preserve"> the District of Columbia</w:t>
      </w:r>
      <w:r w:rsidRPr="00A41D71">
        <w:t xml:space="preserve">, New Hampshire, </w:t>
      </w:r>
      <w:r>
        <w:t xml:space="preserve">Connecticut, </w:t>
      </w:r>
      <w:r w:rsidRPr="00A41D71">
        <w:t>and Texas, which impose entity-level taxes.</w:t>
      </w:r>
    </w:p>
  </w:footnote>
  <w:footnote w:id="8">
    <w:p w14:paraId="6665A7C6" w14:textId="0324EA6D" w:rsidR="008957DF" w:rsidRDefault="008957DF">
      <w:pPr>
        <w:pStyle w:val="FootnoteText"/>
      </w:pPr>
      <w:r>
        <w:rPr>
          <w:rStyle w:val="FootnoteReference"/>
        </w:rPr>
        <w:footnoteRef/>
      </w:r>
      <w:r>
        <w:t xml:space="preserve"> See IRC § 704(b) which allows partners to share partnership items of income, expense, gain, or loss in proportions other than by the partners' interest in the partnership.</w:t>
      </w:r>
    </w:p>
  </w:footnote>
  <w:footnote w:id="9">
    <w:p w14:paraId="4606BA80" w14:textId="3D2C4157" w:rsidR="00D46078" w:rsidRDefault="00D46078">
      <w:pPr>
        <w:pStyle w:val="FootnoteText"/>
      </w:pPr>
      <w:r>
        <w:rPr>
          <w:rStyle w:val="FootnoteReference"/>
        </w:rPr>
        <w:footnoteRef/>
      </w:r>
      <w:r>
        <w:t xml:space="preserve"> </w:t>
      </w:r>
      <w:r w:rsidRPr="00D46078">
        <w:t xml:space="preserve">64 T.C. 204 (1975), aff’d in part, </w:t>
      </w:r>
      <w:r w:rsidRPr="00D46078">
        <w:t>rev’d in part, 550 F.2d 1023 (5th Cir. 1977)</w:t>
      </w:r>
    </w:p>
  </w:footnote>
  <w:footnote w:id="10">
    <w:p w14:paraId="025EDD79" w14:textId="527999B1" w:rsidR="00C071A7" w:rsidRDefault="00C071A7">
      <w:pPr>
        <w:pStyle w:val="FootnoteText"/>
      </w:pPr>
      <w:r>
        <w:rPr>
          <w:rStyle w:val="FootnoteReference"/>
        </w:rPr>
        <w:footnoteRef/>
      </w:r>
      <w:r>
        <w:t xml:space="preserve"> </w:t>
      </w:r>
      <w:r w:rsidR="00773D6F">
        <w:t>Id</w:t>
      </w:r>
      <w:r w:rsidR="006C3BE8">
        <w:t>.</w:t>
      </w:r>
    </w:p>
  </w:footnote>
  <w:footnote w:id="11">
    <w:p w14:paraId="47DDA259" w14:textId="4F169AF3" w:rsidR="00EB67CF" w:rsidRDefault="00EB67CF">
      <w:pPr>
        <w:pStyle w:val="FootnoteText"/>
      </w:pPr>
      <w:r>
        <w:rPr>
          <w:rStyle w:val="FootnoteReference"/>
        </w:rPr>
        <w:footnoteRef/>
      </w:r>
      <w:r>
        <w:t xml:space="preserve"> </w:t>
      </w:r>
      <w:r w:rsidR="0083320D">
        <w:t xml:space="preserve">C.B. </w:t>
      </w:r>
      <w:r w:rsidR="00A93105">
        <w:t>2015-32</w:t>
      </w:r>
    </w:p>
  </w:footnote>
  <w:footnote w:id="12">
    <w:p w14:paraId="6755AFD5" w14:textId="4688A316" w:rsidR="005B44CD" w:rsidRDefault="005B44CD">
      <w:pPr>
        <w:pStyle w:val="FootnoteText"/>
      </w:pPr>
      <w:r>
        <w:rPr>
          <w:rStyle w:val="FootnoteReference"/>
        </w:rPr>
        <w:footnoteRef/>
      </w:r>
      <w:r>
        <w:t xml:space="preserve"> Rev. Rul. </w:t>
      </w:r>
      <w:r w:rsidR="00C1799C">
        <w:t>81-300.</w:t>
      </w:r>
    </w:p>
  </w:footnote>
  <w:footnote w:id="13">
    <w:p w14:paraId="22B61C02" w14:textId="678CA406" w:rsidR="00283498" w:rsidRDefault="00283498">
      <w:pPr>
        <w:pStyle w:val="FootnoteText"/>
      </w:pPr>
      <w:r>
        <w:rPr>
          <w:rStyle w:val="FootnoteReference"/>
        </w:rPr>
        <w:footnoteRef/>
      </w:r>
      <w:r>
        <w:t xml:space="preserve"> Congress specifically addressed the holdings in Rev. Rul.</w:t>
      </w:r>
      <w:r w:rsidR="00CA7730">
        <w:t xml:space="preserve"> 81-300 and 81-301 as part of the Deficit Reduction Act of 1984. </w:t>
      </w:r>
      <w:r w:rsidR="00C15CB1">
        <w:t xml:space="preserve">Congress affirmed Rev. Rul. 81-301, but it concluded that the payment in Rev. Rul. </w:t>
      </w:r>
      <w:r w:rsidR="00155F02">
        <w:t>81-300 should have been properly characterized as a section 707(a) paymen</w:t>
      </w:r>
      <w:r w:rsidR="006753E1">
        <w:t>t. As a result, the Treasury Department obsoleted Rev. Rul. 81-300 when it issued proposed regulations under the newly enacted section 707</w:t>
      </w:r>
      <w:r w:rsidR="00C436A8">
        <w:t>(a)(2)(A).</w:t>
      </w:r>
    </w:p>
  </w:footnote>
  <w:footnote w:id="14">
    <w:p w14:paraId="1CFB5708" w14:textId="473DC5C4" w:rsidR="00E845DE" w:rsidRDefault="00E845DE">
      <w:pPr>
        <w:pStyle w:val="FootnoteText"/>
      </w:pPr>
      <w:r>
        <w:rPr>
          <w:rStyle w:val="FootnoteReference"/>
        </w:rPr>
        <w:footnoteRef/>
      </w:r>
      <w:r>
        <w:t xml:space="preserve"> </w:t>
      </w:r>
      <w:r w:rsidR="002E103B" w:rsidRPr="002E103B">
        <w:t>REG-115452-14, 80 Fed. Reg. 43,652 (July 23, 2015).</w:t>
      </w:r>
    </w:p>
  </w:footnote>
  <w:footnote w:id="15">
    <w:p w14:paraId="24AD4039" w14:textId="05525D8C" w:rsidR="001F18DB" w:rsidRDefault="001F18DB">
      <w:pPr>
        <w:pStyle w:val="FootnoteText"/>
      </w:pPr>
      <w:r>
        <w:rPr>
          <w:rStyle w:val="FootnoteReference"/>
        </w:rPr>
        <w:footnoteRef/>
      </w:r>
      <w:r>
        <w:t xml:space="preserve"> </w:t>
      </w:r>
      <w:r w:rsidR="00BC7BB4">
        <w:t xml:space="preserve">Id. </w:t>
      </w:r>
    </w:p>
  </w:footnote>
  <w:footnote w:id="16">
    <w:p w14:paraId="21C03D65" w14:textId="5A00ED53" w:rsidR="00C72941" w:rsidRDefault="00C72941">
      <w:pPr>
        <w:pStyle w:val="FootnoteText"/>
      </w:pPr>
      <w:r>
        <w:rPr>
          <w:rStyle w:val="FootnoteReference"/>
        </w:rPr>
        <w:footnoteRef/>
      </w:r>
      <w:r>
        <w:t xml:space="preserve"> IRC § 199A(</w:t>
      </w:r>
      <w:r w:rsidR="00EC5BA7">
        <w:t>c)(4)(</w:t>
      </w:r>
      <w:r w:rsidR="00947E0E">
        <w:t>B).</w:t>
      </w:r>
    </w:p>
  </w:footnote>
  <w:footnote w:id="17">
    <w:p w14:paraId="32CB50D6" w14:textId="0739228C" w:rsidR="006A4890" w:rsidRDefault="006A4890">
      <w:pPr>
        <w:pStyle w:val="FootnoteText"/>
      </w:pPr>
      <w:r>
        <w:rPr>
          <w:rStyle w:val="FootnoteReference"/>
        </w:rPr>
        <w:footnoteRef/>
      </w:r>
      <w:r>
        <w:t xml:space="preserve"> IRC § 199A(f)(1)(</w:t>
      </w:r>
      <w:r w:rsidR="00C126C9">
        <w:t>A</w:t>
      </w:r>
      <w:r>
        <w:t>)</w:t>
      </w:r>
      <w:r w:rsidR="00C126C9">
        <w:t>(ii)</w:t>
      </w:r>
      <w:r>
        <w:t>.</w:t>
      </w:r>
    </w:p>
  </w:footnote>
  <w:footnote w:id="18">
    <w:p w14:paraId="13361FD7" w14:textId="77777777" w:rsidR="0005558C" w:rsidRDefault="0005558C" w:rsidP="0005558C">
      <w:pPr>
        <w:pStyle w:val="FootnoteText"/>
      </w:pPr>
      <w:r>
        <w:rPr>
          <w:rStyle w:val="FootnoteReference"/>
        </w:rPr>
        <w:footnoteRef/>
      </w:r>
      <w:r>
        <w:t xml:space="preserve"> </w:t>
      </w:r>
      <w:r w:rsidRPr="0057541D">
        <w:rPr>
          <w:i/>
          <w:iCs/>
        </w:rPr>
        <w:t>Miller v. Commissioner</w:t>
      </w:r>
      <w:r w:rsidRPr="0057541D">
        <w:t xml:space="preserve">, 52 T.C. </w:t>
      </w:r>
      <w:r>
        <w:t>at 762.</w:t>
      </w:r>
    </w:p>
  </w:footnote>
  <w:footnote w:id="19">
    <w:p w14:paraId="1E703793" w14:textId="5605ADFA" w:rsidR="0005558C" w:rsidRDefault="0005558C" w:rsidP="0005558C">
      <w:pPr>
        <w:pStyle w:val="FootnoteText"/>
      </w:pPr>
      <w:r>
        <w:rPr>
          <w:rStyle w:val="FootnoteReference"/>
        </w:rPr>
        <w:footnoteRef/>
      </w:r>
      <w:r>
        <w:t xml:space="preserve"> </w:t>
      </w:r>
      <w:r w:rsidR="00A36EB1" w:rsidRPr="00A36EB1">
        <w:t xml:space="preserve">See IRS LB&amp;I International Practice Service Process Unit – Audit, Calculating Foreign Earned Income Exclusion – Partner in a Partnership with Foreign Earned Income; available here: https://www.irs.gov/pub/int_practice_units/jto_p_09_06_05_19.pdf. </w:t>
      </w:r>
    </w:p>
  </w:footnote>
  <w:footnote w:id="20">
    <w:p w14:paraId="53286B4F" w14:textId="3345CFC0" w:rsidR="0092280E" w:rsidRDefault="0092280E">
      <w:pPr>
        <w:pStyle w:val="FootnoteText"/>
      </w:pPr>
      <w:r>
        <w:rPr>
          <w:rStyle w:val="FootnoteReference"/>
        </w:rPr>
        <w:footnoteRef/>
      </w:r>
      <w:r>
        <w:t xml:space="preserve"> Those states are </w:t>
      </w:r>
      <w:r w:rsidRPr="0092280E">
        <w:t>California, Georgia, Idaho, Illinois, Maine, Maryland, Minnesota, Mississippi, Missouri, Montana, Nebraska, New Jersey, New York, North Carolina, North Dakota, Oregon, Rhode Island, Utah, Vermont, and West Virginia</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06D"/>
    <w:multiLevelType w:val="hybridMultilevel"/>
    <w:tmpl w:val="066842D8"/>
    <w:lvl w:ilvl="0" w:tplc="0D82AFC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E5903"/>
    <w:multiLevelType w:val="hybridMultilevel"/>
    <w:tmpl w:val="0B504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D3522"/>
    <w:multiLevelType w:val="hybridMultilevel"/>
    <w:tmpl w:val="0B4A8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E331C"/>
    <w:multiLevelType w:val="multilevel"/>
    <w:tmpl w:val="B790A890"/>
    <w:styleLink w:val="Style1"/>
    <w:lvl w:ilvl="0">
      <w:start w:val="1"/>
      <w:numFmt w:val="bullet"/>
      <w:lvlText w:val=""/>
      <w:lvlJc w:val="left"/>
      <w:pPr>
        <w:ind w:left="432" w:hanging="288"/>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BF67D4"/>
    <w:multiLevelType w:val="hybridMultilevel"/>
    <w:tmpl w:val="E222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B75BD"/>
    <w:multiLevelType w:val="hybridMultilevel"/>
    <w:tmpl w:val="4BA0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57A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E2F6E32"/>
    <w:multiLevelType w:val="hybridMultilevel"/>
    <w:tmpl w:val="7724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C43E3"/>
    <w:multiLevelType w:val="hybridMultilevel"/>
    <w:tmpl w:val="4DA4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938BF"/>
    <w:multiLevelType w:val="hybridMultilevel"/>
    <w:tmpl w:val="4846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718AF"/>
    <w:multiLevelType w:val="hybridMultilevel"/>
    <w:tmpl w:val="5686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53F7D"/>
    <w:multiLevelType w:val="hybridMultilevel"/>
    <w:tmpl w:val="C6FA0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4582E"/>
    <w:multiLevelType w:val="hybridMultilevel"/>
    <w:tmpl w:val="60564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866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20B278E"/>
    <w:multiLevelType w:val="hybridMultilevel"/>
    <w:tmpl w:val="714E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E90EAB"/>
    <w:multiLevelType w:val="hybridMultilevel"/>
    <w:tmpl w:val="75D8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A58FB"/>
    <w:multiLevelType w:val="hybridMultilevel"/>
    <w:tmpl w:val="BDBEB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45B9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E7D300D"/>
    <w:multiLevelType w:val="hybridMultilevel"/>
    <w:tmpl w:val="5FEC4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F5317C"/>
    <w:multiLevelType w:val="hybridMultilevel"/>
    <w:tmpl w:val="248E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93AE0"/>
    <w:multiLevelType w:val="multilevel"/>
    <w:tmpl w:val="55529C88"/>
    <w:lvl w:ilvl="0">
      <w:start w:val="1"/>
      <w:numFmt w:val="upp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66510037"/>
    <w:multiLevelType w:val="hybridMultilevel"/>
    <w:tmpl w:val="EBBE94EE"/>
    <w:lvl w:ilvl="0" w:tplc="9B082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AC75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D6E5C06"/>
    <w:multiLevelType w:val="hybridMultilevel"/>
    <w:tmpl w:val="60564B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010885"/>
    <w:multiLevelType w:val="hybridMultilevel"/>
    <w:tmpl w:val="347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51B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D63B94"/>
    <w:multiLevelType w:val="hybridMultilevel"/>
    <w:tmpl w:val="C64CDCEC"/>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864" w:hanging="360"/>
      </w:pPr>
      <w:rPr>
        <w:rFonts w:ascii="Courier New" w:hAnsi="Courier New" w:cs="Courier New" w:hint="default"/>
      </w:rPr>
    </w:lvl>
    <w:lvl w:ilvl="2" w:tplc="04090005">
      <w:start w:val="1"/>
      <w:numFmt w:val="bullet"/>
      <w:lvlText w:val=""/>
      <w:lvlJc w:val="left"/>
      <w:pPr>
        <w:ind w:left="1584" w:hanging="360"/>
      </w:pPr>
      <w:rPr>
        <w:rFonts w:ascii="Wingdings" w:hAnsi="Wingdings" w:hint="default"/>
      </w:rPr>
    </w:lvl>
    <w:lvl w:ilvl="3" w:tplc="0409000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num w:numId="1" w16cid:durableId="1991860697">
    <w:abstractNumId w:val="21"/>
  </w:num>
  <w:num w:numId="2" w16cid:durableId="1849641117">
    <w:abstractNumId w:val="3"/>
  </w:num>
  <w:num w:numId="3" w16cid:durableId="880246744">
    <w:abstractNumId w:val="18"/>
  </w:num>
  <w:num w:numId="4" w16cid:durableId="707685888">
    <w:abstractNumId w:val="11"/>
  </w:num>
  <w:num w:numId="5" w16cid:durableId="394159763">
    <w:abstractNumId w:val="14"/>
  </w:num>
  <w:num w:numId="6" w16cid:durableId="1805612221">
    <w:abstractNumId w:val="10"/>
  </w:num>
  <w:num w:numId="7" w16cid:durableId="261452024">
    <w:abstractNumId w:val="8"/>
  </w:num>
  <w:num w:numId="8" w16cid:durableId="2117292064">
    <w:abstractNumId w:val="7"/>
  </w:num>
  <w:num w:numId="9" w16cid:durableId="1066337614">
    <w:abstractNumId w:val="9"/>
  </w:num>
  <w:num w:numId="10" w16cid:durableId="193084108">
    <w:abstractNumId w:val="19"/>
  </w:num>
  <w:num w:numId="11" w16cid:durableId="1239511545">
    <w:abstractNumId w:val="5"/>
  </w:num>
  <w:num w:numId="12" w16cid:durableId="1699619975">
    <w:abstractNumId w:val="2"/>
  </w:num>
  <w:num w:numId="13" w16cid:durableId="1162548474">
    <w:abstractNumId w:val="26"/>
  </w:num>
  <w:num w:numId="14" w16cid:durableId="1946226677">
    <w:abstractNumId w:val="16"/>
  </w:num>
  <w:num w:numId="15" w16cid:durableId="992560161">
    <w:abstractNumId w:val="25"/>
  </w:num>
  <w:num w:numId="16" w16cid:durableId="133371967">
    <w:abstractNumId w:val="13"/>
  </w:num>
  <w:num w:numId="17" w16cid:durableId="1661614949">
    <w:abstractNumId w:val="17"/>
  </w:num>
  <w:num w:numId="18" w16cid:durableId="1686130259">
    <w:abstractNumId w:val="20"/>
  </w:num>
  <w:num w:numId="19" w16cid:durableId="65805879">
    <w:abstractNumId w:val="15"/>
  </w:num>
  <w:num w:numId="20" w16cid:durableId="1478842930">
    <w:abstractNumId w:val="24"/>
  </w:num>
  <w:num w:numId="21" w16cid:durableId="2074346563">
    <w:abstractNumId w:val="4"/>
  </w:num>
  <w:num w:numId="22" w16cid:durableId="1576234092">
    <w:abstractNumId w:val="12"/>
  </w:num>
  <w:num w:numId="23" w16cid:durableId="1491211889">
    <w:abstractNumId w:val="6"/>
  </w:num>
  <w:num w:numId="24" w16cid:durableId="851652159">
    <w:abstractNumId w:val="22"/>
  </w:num>
  <w:num w:numId="25" w16cid:durableId="346566542">
    <w:abstractNumId w:val="23"/>
  </w:num>
  <w:num w:numId="26" w16cid:durableId="603809354">
    <w:abstractNumId w:val="0"/>
  </w:num>
  <w:num w:numId="27" w16cid:durableId="175488651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32"/>
  <w:characterSpacingControl w:val="doNotCompress"/>
  <w:hdrShapeDefaults>
    <o:shapedefaults v:ext="edit" spidmax="2051" fillcolor="none [3212]" strokecolor="none [1614]">
      <v:fill color="none [3212]"/>
      <v:stroke color="none [1614]" weight="1.25pt"/>
      <v:textbox inset="14.4pt,36pt,14.4pt,5.76pt"/>
      <o:colormru v:ext="edit" colors="#f1f0ef,#f9f1eb,#edebe7,#f5f4f1"/>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5C"/>
    <w:rsid w:val="00000E15"/>
    <w:rsid w:val="000010D5"/>
    <w:rsid w:val="000013DD"/>
    <w:rsid w:val="00001A51"/>
    <w:rsid w:val="00001CF4"/>
    <w:rsid w:val="000020C2"/>
    <w:rsid w:val="000024B3"/>
    <w:rsid w:val="00003044"/>
    <w:rsid w:val="000043CC"/>
    <w:rsid w:val="0000446D"/>
    <w:rsid w:val="00004FD5"/>
    <w:rsid w:val="00005232"/>
    <w:rsid w:val="0000568C"/>
    <w:rsid w:val="00005FE9"/>
    <w:rsid w:val="00006ABC"/>
    <w:rsid w:val="00006C05"/>
    <w:rsid w:val="00007075"/>
    <w:rsid w:val="000070E0"/>
    <w:rsid w:val="0001069C"/>
    <w:rsid w:val="00010846"/>
    <w:rsid w:val="00010A26"/>
    <w:rsid w:val="00010DB8"/>
    <w:rsid w:val="00011180"/>
    <w:rsid w:val="000113EF"/>
    <w:rsid w:val="000119D1"/>
    <w:rsid w:val="00011B2A"/>
    <w:rsid w:val="00011C4A"/>
    <w:rsid w:val="00011E07"/>
    <w:rsid w:val="00012158"/>
    <w:rsid w:val="0001290A"/>
    <w:rsid w:val="00013068"/>
    <w:rsid w:val="000134CF"/>
    <w:rsid w:val="000143F4"/>
    <w:rsid w:val="00014F49"/>
    <w:rsid w:val="00014FA0"/>
    <w:rsid w:val="000154DE"/>
    <w:rsid w:val="0001559E"/>
    <w:rsid w:val="00015CA0"/>
    <w:rsid w:val="00015D62"/>
    <w:rsid w:val="00015EAE"/>
    <w:rsid w:val="000163B4"/>
    <w:rsid w:val="00016592"/>
    <w:rsid w:val="000169A8"/>
    <w:rsid w:val="000179D8"/>
    <w:rsid w:val="00017F62"/>
    <w:rsid w:val="00017F7E"/>
    <w:rsid w:val="0002097E"/>
    <w:rsid w:val="0002099B"/>
    <w:rsid w:val="00020CAB"/>
    <w:rsid w:val="00020CEA"/>
    <w:rsid w:val="000211CB"/>
    <w:rsid w:val="00021538"/>
    <w:rsid w:val="000215BF"/>
    <w:rsid w:val="00021908"/>
    <w:rsid w:val="000220D5"/>
    <w:rsid w:val="0002222D"/>
    <w:rsid w:val="000228EA"/>
    <w:rsid w:val="00022A83"/>
    <w:rsid w:val="0002306C"/>
    <w:rsid w:val="000235BE"/>
    <w:rsid w:val="00023D0C"/>
    <w:rsid w:val="00023F13"/>
    <w:rsid w:val="000242F1"/>
    <w:rsid w:val="0002598C"/>
    <w:rsid w:val="00025F65"/>
    <w:rsid w:val="00026BD4"/>
    <w:rsid w:val="000275CC"/>
    <w:rsid w:val="00027665"/>
    <w:rsid w:val="00027DA2"/>
    <w:rsid w:val="00030244"/>
    <w:rsid w:val="00030EEA"/>
    <w:rsid w:val="00030FF1"/>
    <w:rsid w:val="00031076"/>
    <w:rsid w:val="00031185"/>
    <w:rsid w:val="00032473"/>
    <w:rsid w:val="00033B8B"/>
    <w:rsid w:val="00035227"/>
    <w:rsid w:val="000369E1"/>
    <w:rsid w:val="00036C63"/>
    <w:rsid w:val="00036D40"/>
    <w:rsid w:val="00037BD0"/>
    <w:rsid w:val="00037C31"/>
    <w:rsid w:val="00037CB4"/>
    <w:rsid w:val="00037E20"/>
    <w:rsid w:val="00040E86"/>
    <w:rsid w:val="000411D9"/>
    <w:rsid w:val="00041C23"/>
    <w:rsid w:val="0004222E"/>
    <w:rsid w:val="0004314D"/>
    <w:rsid w:val="00043443"/>
    <w:rsid w:val="00043B9B"/>
    <w:rsid w:val="00043E02"/>
    <w:rsid w:val="00044139"/>
    <w:rsid w:val="00044B50"/>
    <w:rsid w:val="00045442"/>
    <w:rsid w:val="000458AD"/>
    <w:rsid w:val="00045C75"/>
    <w:rsid w:val="0004621A"/>
    <w:rsid w:val="000466A5"/>
    <w:rsid w:val="0004722A"/>
    <w:rsid w:val="00047488"/>
    <w:rsid w:val="000477BB"/>
    <w:rsid w:val="00047C4A"/>
    <w:rsid w:val="00050111"/>
    <w:rsid w:val="0005070E"/>
    <w:rsid w:val="000509AA"/>
    <w:rsid w:val="00050B65"/>
    <w:rsid w:val="00051020"/>
    <w:rsid w:val="00051089"/>
    <w:rsid w:val="000518F3"/>
    <w:rsid w:val="00051922"/>
    <w:rsid w:val="00051998"/>
    <w:rsid w:val="00052664"/>
    <w:rsid w:val="000534E3"/>
    <w:rsid w:val="00053B4B"/>
    <w:rsid w:val="000540B7"/>
    <w:rsid w:val="00054169"/>
    <w:rsid w:val="0005427A"/>
    <w:rsid w:val="00054BB2"/>
    <w:rsid w:val="00054D39"/>
    <w:rsid w:val="00054EE9"/>
    <w:rsid w:val="00055455"/>
    <w:rsid w:val="0005558C"/>
    <w:rsid w:val="00055A7F"/>
    <w:rsid w:val="00055D42"/>
    <w:rsid w:val="00056242"/>
    <w:rsid w:val="000577C0"/>
    <w:rsid w:val="00060CD7"/>
    <w:rsid w:val="00060EB5"/>
    <w:rsid w:val="00061394"/>
    <w:rsid w:val="00061793"/>
    <w:rsid w:val="0006193B"/>
    <w:rsid w:val="00061B7F"/>
    <w:rsid w:val="00061CC1"/>
    <w:rsid w:val="000620AA"/>
    <w:rsid w:val="0006259D"/>
    <w:rsid w:val="00062878"/>
    <w:rsid w:val="0006320F"/>
    <w:rsid w:val="0006381F"/>
    <w:rsid w:val="00064165"/>
    <w:rsid w:val="00064992"/>
    <w:rsid w:val="00064A66"/>
    <w:rsid w:val="00064C60"/>
    <w:rsid w:val="000650B0"/>
    <w:rsid w:val="0006537E"/>
    <w:rsid w:val="00066E26"/>
    <w:rsid w:val="0006746F"/>
    <w:rsid w:val="00067783"/>
    <w:rsid w:val="00067B8A"/>
    <w:rsid w:val="00067F5D"/>
    <w:rsid w:val="000701EA"/>
    <w:rsid w:val="00070341"/>
    <w:rsid w:val="0007087D"/>
    <w:rsid w:val="00070EAB"/>
    <w:rsid w:val="00071D76"/>
    <w:rsid w:val="0007222F"/>
    <w:rsid w:val="00072234"/>
    <w:rsid w:val="00072367"/>
    <w:rsid w:val="00073731"/>
    <w:rsid w:val="00073898"/>
    <w:rsid w:val="000739A3"/>
    <w:rsid w:val="00073AB8"/>
    <w:rsid w:val="0007409D"/>
    <w:rsid w:val="00074553"/>
    <w:rsid w:val="0007532E"/>
    <w:rsid w:val="0007645E"/>
    <w:rsid w:val="00077019"/>
    <w:rsid w:val="0007704F"/>
    <w:rsid w:val="000778F2"/>
    <w:rsid w:val="000779C6"/>
    <w:rsid w:val="00077A40"/>
    <w:rsid w:val="000805B1"/>
    <w:rsid w:val="00080A52"/>
    <w:rsid w:val="00080F57"/>
    <w:rsid w:val="00081CEC"/>
    <w:rsid w:val="00081FE7"/>
    <w:rsid w:val="00082136"/>
    <w:rsid w:val="000829C5"/>
    <w:rsid w:val="0008312F"/>
    <w:rsid w:val="000831CA"/>
    <w:rsid w:val="0008344D"/>
    <w:rsid w:val="00083E99"/>
    <w:rsid w:val="0008478D"/>
    <w:rsid w:val="0008493B"/>
    <w:rsid w:val="00085288"/>
    <w:rsid w:val="0008552C"/>
    <w:rsid w:val="00085F80"/>
    <w:rsid w:val="0008658A"/>
    <w:rsid w:val="0008663E"/>
    <w:rsid w:val="00086E74"/>
    <w:rsid w:val="00087A1F"/>
    <w:rsid w:val="00087FAB"/>
    <w:rsid w:val="00090A5F"/>
    <w:rsid w:val="00090B48"/>
    <w:rsid w:val="0009107A"/>
    <w:rsid w:val="0009164C"/>
    <w:rsid w:val="0009237B"/>
    <w:rsid w:val="00092861"/>
    <w:rsid w:val="00092BB5"/>
    <w:rsid w:val="00092C7A"/>
    <w:rsid w:val="00092E8D"/>
    <w:rsid w:val="00093EC5"/>
    <w:rsid w:val="0009473C"/>
    <w:rsid w:val="00094E4B"/>
    <w:rsid w:val="00094F12"/>
    <w:rsid w:val="0009523B"/>
    <w:rsid w:val="000953D6"/>
    <w:rsid w:val="0009604E"/>
    <w:rsid w:val="00096080"/>
    <w:rsid w:val="00096B0A"/>
    <w:rsid w:val="00096BD7"/>
    <w:rsid w:val="0009769C"/>
    <w:rsid w:val="00097A0B"/>
    <w:rsid w:val="00097E23"/>
    <w:rsid w:val="000A0096"/>
    <w:rsid w:val="000A148D"/>
    <w:rsid w:val="000A14AE"/>
    <w:rsid w:val="000A2267"/>
    <w:rsid w:val="000A2306"/>
    <w:rsid w:val="000A2357"/>
    <w:rsid w:val="000A25F4"/>
    <w:rsid w:val="000A2A20"/>
    <w:rsid w:val="000A2C08"/>
    <w:rsid w:val="000A331F"/>
    <w:rsid w:val="000A35CE"/>
    <w:rsid w:val="000A37C8"/>
    <w:rsid w:val="000A3B30"/>
    <w:rsid w:val="000A3FEE"/>
    <w:rsid w:val="000A421B"/>
    <w:rsid w:val="000A4A69"/>
    <w:rsid w:val="000A5011"/>
    <w:rsid w:val="000A5A68"/>
    <w:rsid w:val="000A5BAB"/>
    <w:rsid w:val="000A616E"/>
    <w:rsid w:val="000A7447"/>
    <w:rsid w:val="000A76D7"/>
    <w:rsid w:val="000A79D6"/>
    <w:rsid w:val="000B01F8"/>
    <w:rsid w:val="000B021A"/>
    <w:rsid w:val="000B0720"/>
    <w:rsid w:val="000B078B"/>
    <w:rsid w:val="000B07EC"/>
    <w:rsid w:val="000B0E89"/>
    <w:rsid w:val="000B10D0"/>
    <w:rsid w:val="000B1348"/>
    <w:rsid w:val="000B1CF4"/>
    <w:rsid w:val="000B1E70"/>
    <w:rsid w:val="000B20C4"/>
    <w:rsid w:val="000B22E8"/>
    <w:rsid w:val="000B244B"/>
    <w:rsid w:val="000B2C44"/>
    <w:rsid w:val="000B34E5"/>
    <w:rsid w:val="000B3AAC"/>
    <w:rsid w:val="000B3B92"/>
    <w:rsid w:val="000B3E7F"/>
    <w:rsid w:val="000B3EDC"/>
    <w:rsid w:val="000B4244"/>
    <w:rsid w:val="000B4A85"/>
    <w:rsid w:val="000B5367"/>
    <w:rsid w:val="000B5652"/>
    <w:rsid w:val="000B5B16"/>
    <w:rsid w:val="000B7D52"/>
    <w:rsid w:val="000C014D"/>
    <w:rsid w:val="000C06B1"/>
    <w:rsid w:val="000C10ED"/>
    <w:rsid w:val="000C17B7"/>
    <w:rsid w:val="000C1A3F"/>
    <w:rsid w:val="000C265E"/>
    <w:rsid w:val="000C2C07"/>
    <w:rsid w:val="000C2E1D"/>
    <w:rsid w:val="000C31CD"/>
    <w:rsid w:val="000C328B"/>
    <w:rsid w:val="000C3EC0"/>
    <w:rsid w:val="000C5808"/>
    <w:rsid w:val="000C5BDA"/>
    <w:rsid w:val="000C5EE4"/>
    <w:rsid w:val="000C6420"/>
    <w:rsid w:val="000C7037"/>
    <w:rsid w:val="000C70BB"/>
    <w:rsid w:val="000C70E7"/>
    <w:rsid w:val="000C74AA"/>
    <w:rsid w:val="000C7E11"/>
    <w:rsid w:val="000D0797"/>
    <w:rsid w:val="000D1277"/>
    <w:rsid w:val="000D12E5"/>
    <w:rsid w:val="000D13D1"/>
    <w:rsid w:val="000D1FD5"/>
    <w:rsid w:val="000D237E"/>
    <w:rsid w:val="000D243A"/>
    <w:rsid w:val="000D2B9F"/>
    <w:rsid w:val="000D35B8"/>
    <w:rsid w:val="000D411D"/>
    <w:rsid w:val="000D41A1"/>
    <w:rsid w:val="000D46C1"/>
    <w:rsid w:val="000D492B"/>
    <w:rsid w:val="000D57A1"/>
    <w:rsid w:val="000D5870"/>
    <w:rsid w:val="000D599C"/>
    <w:rsid w:val="000D7167"/>
    <w:rsid w:val="000D7243"/>
    <w:rsid w:val="000D757A"/>
    <w:rsid w:val="000D75F2"/>
    <w:rsid w:val="000D7708"/>
    <w:rsid w:val="000E02D9"/>
    <w:rsid w:val="000E076F"/>
    <w:rsid w:val="000E0BCD"/>
    <w:rsid w:val="000E1517"/>
    <w:rsid w:val="000E160A"/>
    <w:rsid w:val="000E1822"/>
    <w:rsid w:val="000E203C"/>
    <w:rsid w:val="000E26AF"/>
    <w:rsid w:val="000E2B39"/>
    <w:rsid w:val="000E387B"/>
    <w:rsid w:val="000E3A3E"/>
    <w:rsid w:val="000E52BE"/>
    <w:rsid w:val="000E53F6"/>
    <w:rsid w:val="000E5625"/>
    <w:rsid w:val="000E5EF9"/>
    <w:rsid w:val="000E6DBF"/>
    <w:rsid w:val="000E7443"/>
    <w:rsid w:val="000E7878"/>
    <w:rsid w:val="000F0148"/>
    <w:rsid w:val="000F022D"/>
    <w:rsid w:val="000F06F4"/>
    <w:rsid w:val="000F08D9"/>
    <w:rsid w:val="000F0B81"/>
    <w:rsid w:val="000F0BC0"/>
    <w:rsid w:val="000F13B9"/>
    <w:rsid w:val="000F15F2"/>
    <w:rsid w:val="000F18F1"/>
    <w:rsid w:val="000F1C5C"/>
    <w:rsid w:val="000F1D6B"/>
    <w:rsid w:val="000F1E03"/>
    <w:rsid w:val="000F2AEB"/>
    <w:rsid w:val="000F3DE2"/>
    <w:rsid w:val="000F3FA5"/>
    <w:rsid w:val="000F3FDA"/>
    <w:rsid w:val="000F59EC"/>
    <w:rsid w:val="000F6379"/>
    <w:rsid w:val="000F64E5"/>
    <w:rsid w:val="000F66E3"/>
    <w:rsid w:val="000F693F"/>
    <w:rsid w:val="000F75B7"/>
    <w:rsid w:val="00102213"/>
    <w:rsid w:val="0010270B"/>
    <w:rsid w:val="0010296B"/>
    <w:rsid w:val="00102F02"/>
    <w:rsid w:val="00103A47"/>
    <w:rsid w:val="00104299"/>
    <w:rsid w:val="00105258"/>
    <w:rsid w:val="0010571F"/>
    <w:rsid w:val="00105FFC"/>
    <w:rsid w:val="00106051"/>
    <w:rsid w:val="00106685"/>
    <w:rsid w:val="001067B7"/>
    <w:rsid w:val="00106B06"/>
    <w:rsid w:val="00107AC0"/>
    <w:rsid w:val="00110ED1"/>
    <w:rsid w:val="00112560"/>
    <w:rsid w:val="00113408"/>
    <w:rsid w:val="0011378E"/>
    <w:rsid w:val="00113D59"/>
    <w:rsid w:val="00113F82"/>
    <w:rsid w:val="0011454E"/>
    <w:rsid w:val="001153F6"/>
    <w:rsid w:val="001157BC"/>
    <w:rsid w:val="00115DFE"/>
    <w:rsid w:val="001162A6"/>
    <w:rsid w:val="00116CEB"/>
    <w:rsid w:val="00117040"/>
    <w:rsid w:val="00117319"/>
    <w:rsid w:val="001174E9"/>
    <w:rsid w:val="001200EA"/>
    <w:rsid w:val="00120A2A"/>
    <w:rsid w:val="00120A52"/>
    <w:rsid w:val="00120BD2"/>
    <w:rsid w:val="00120DCC"/>
    <w:rsid w:val="00120DEF"/>
    <w:rsid w:val="00120F46"/>
    <w:rsid w:val="001213EB"/>
    <w:rsid w:val="0012159A"/>
    <w:rsid w:val="001217DB"/>
    <w:rsid w:val="00122154"/>
    <w:rsid w:val="0012260B"/>
    <w:rsid w:val="00122928"/>
    <w:rsid w:val="00122BE6"/>
    <w:rsid w:val="00122CAE"/>
    <w:rsid w:val="00122E68"/>
    <w:rsid w:val="00123C6D"/>
    <w:rsid w:val="00123ECE"/>
    <w:rsid w:val="001241E3"/>
    <w:rsid w:val="001242CE"/>
    <w:rsid w:val="001257D0"/>
    <w:rsid w:val="0012597E"/>
    <w:rsid w:val="00125B22"/>
    <w:rsid w:val="0012662B"/>
    <w:rsid w:val="001274BD"/>
    <w:rsid w:val="00127713"/>
    <w:rsid w:val="00130081"/>
    <w:rsid w:val="00130224"/>
    <w:rsid w:val="00130386"/>
    <w:rsid w:val="00130A45"/>
    <w:rsid w:val="00131A8B"/>
    <w:rsid w:val="00132040"/>
    <w:rsid w:val="00132315"/>
    <w:rsid w:val="00132531"/>
    <w:rsid w:val="00132584"/>
    <w:rsid w:val="00133447"/>
    <w:rsid w:val="00133775"/>
    <w:rsid w:val="001337B3"/>
    <w:rsid w:val="00133A87"/>
    <w:rsid w:val="0013502C"/>
    <w:rsid w:val="001350A6"/>
    <w:rsid w:val="001354A4"/>
    <w:rsid w:val="00135760"/>
    <w:rsid w:val="00135F24"/>
    <w:rsid w:val="0013675C"/>
    <w:rsid w:val="00136F83"/>
    <w:rsid w:val="00137591"/>
    <w:rsid w:val="00137D36"/>
    <w:rsid w:val="0014075C"/>
    <w:rsid w:val="00140BD1"/>
    <w:rsid w:val="00140EF2"/>
    <w:rsid w:val="001411ED"/>
    <w:rsid w:val="001413DB"/>
    <w:rsid w:val="00141BB5"/>
    <w:rsid w:val="00141BB9"/>
    <w:rsid w:val="001428BA"/>
    <w:rsid w:val="00142B22"/>
    <w:rsid w:val="00142BB8"/>
    <w:rsid w:val="00142FD4"/>
    <w:rsid w:val="001430BF"/>
    <w:rsid w:val="00143C71"/>
    <w:rsid w:val="00143D46"/>
    <w:rsid w:val="001440AB"/>
    <w:rsid w:val="00144A97"/>
    <w:rsid w:val="00146C06"/>
    <w:rsid w:val="00146C4D"/>
    <w:rsid w:val="00146D3A"/>
    <w:rsid w:val="00146D6A"/>
    <w:rsid w:val="00147BFF"/>
    <w:rsid w:val="0015055E"/>
    <w:rsid w:val="00150A09"/>
    <w:rsid w:val="00150EDB"/>
    <w:rsid w:val="00151170"/>
    <w:rsid w:val="00152761"/>
    <w:rsid w:val="00152D2A"/>
    <w:rsid w:val="0015314B"/>
    <w:rsid w:val="00153FC0"/>
    <w:rsid w:val="00154135"/>
    <w:rsid w:val="00154AF5"/>
    <w:rsid w:val="00154EC1"/>
    <w:rsid w:val="0015520E"/>
    <w:rsid w:val="00155BED"/>
    <w:rsid w:val="00155F02"/>
    <w:rsid w:val="00155F98"/>
    <w:rsid w:val="001564FE"/>
    <w:rsid w:val="00156825"/>
    <w:rsid w:val="001568F1"/>
    <w:rsid w:val="00157023"/>
    <w:rsid w:val="00157707"/>
    <w:rsid w:val="001579A9"/>
    <w:rsid w:val="0016073C"/>
    <w:rsid w:val="00161EC5"/>
    <w:rsid w:val="00162057"/>
    <w:rsid w:val="00162313"/>
    <w:rsid w:val="0016318A"/>
    <w:rsid w:val="0016320F"/>
    <w:rsid w:val="00163D88"/>
    <w:rsid w:val="00163EC0"/>
    <w:rsid w:val="00164B72"/>
    <w:rsid w:val="00164BF5"/>
    <w:rsid w:val="00164E85"/>
    <w:rsid w:val="00164EDE"/>
    <w:rsid w:val="001652B2"/>
    <w:rsid w:val="0016537D"/>
    <w:rsid w:val="00165DAB"/>
    <w:rsid w:val="00165E73"/>
    <w:rsid w:val="00166104"/>
    <w:rsid w:val="001668E0"/>
    <w:rsid w:val="0016742C"/>
    <w:rsid w:val="00167A11"/>
    <w:rsid w:val="00167C5C"/>
    <w:rsid w:val="001705D5"/>
    <w:rsid w:val="00170748"/>
    <w:rsid w:val="0017087C"/>
    <w:rsid w:val="00170E03"/>
    <w:rsid w:val="00171E43"/>
    <w:rsid w:val="0017218E"/>
    <w:rsid w:val="00172E10"/>
    <w:rsid w:val="00172F69"/>
    <w:rsid w:val="001733CE"/>
    <w:rsid w:val="001735A9"/>
    <w:rsid w:val="001735D3"/>
    <w:rsid w:val="001736B8"/>
    <w:rsid w:val="00173C56"/>
    <w:rsid w:val="00173E56"/>
    <w:rsid w:val="00174BD1"/>
    <w:rsid w:val="00174ED0"/>
    <w:rsid w:val="00174FA8"/>
    <w:rsid w:val="00175474"/>
    <w:rsid w:val="001759DA"/>
    <w:rsid w:val="00176146"/>
    <w:rsid w:val="00176B52"/>
    <w:rsid w:val="00177AA8"/>
    <w:rsid w:val="00177EE2"/>
    <w:rsid w:val="001819E8"/>
    <w:rsid w:val="00181C5A"/>
    <w:rsid w:val="00183785"/>
    <w:rsid w:val="00183D41"/>
    <w:rsid w:val="00184874"/>
    <w:rsid w:val="00184D79"/>
    <w:rsid w:val="00185A41"/>
    <w:rsid w:val="00185B09"/>
    <w:rsid w:val="00186166"/>
    <w:rsid w:val="001868DA"/>
    <w:rsid w:val="001871C7"/>
    <w:rsid w:val="00187DF9"/>
    <w:rsid w:val="00190352"/>
    <w:rsid w:val="00190881"/>
    <w:rsid w:val="00190948"/>
    <w:rsid w:val="00191781"/>
    <w:rsid w:val="0019370A"/>
    <w:rsid w:val="00193EC3"/>
    <w:rsid w:val="00194507"/>
    <w:rsid w:val="00194D72"/>
    <w:rsid w:val="0019545B"/>
    <w:rsid w:val="001957BA"/>
    <w:rsid w:val="00195BA8"/>
    <w:rsid w:val="00195E11"/>
    <w:rsid w:val="00195E57"/>
    <w:rsid w:val="001962D4"/>
    <w:rsid w:val="00196366"/>
    <w:rsid w:val="0019637D"/>
    <w:rsid w:val="0019675B"/>
    <w:rsid w:val="00196A5F"/>
    <w:rsid w:val="00196F22"/>
    <w:rsid w:val="001979A5"/>
    <w:rsid w:val="00197EA3"/>
    <w:rsid w:val="001A0262"/>
    <w:rsid w:val="001A02A7"/>
    <w:rsid w:val="001A058A"/>
    <w:rsid w:val="001A098E"/>
    <w:rsid w:val="001A10B3"/>
    <w:rsid w:val="001A1733"/>
    <w:rsid w:val="001A1AAB"/>
    <w:rsid w:val="001A26B4"/>
    <w:rsid w:val="001A298A"/>
    <w:rsid w:val="001A29B6"/>
    <w:rsid w:val="001A31CA"/>
    <w:rsid w:val="001A3CC1"/>
    <w:rsid w:val="001A3CD0"/>
    <w:rsid w:val="001A3F2D"/>
    <w:rsid w:val="001A4166"/>
    <w:rsid w:val="001A420C"/>
    <w:rsid w:val="001A4322"/>
    <w:rsid w:val="001A43AF"/>
    <w:rsid w:val="001A56F3"/>
    <w:rsid w:val="001A70E4"/>
    <w:rsid w:val="001A7379"/>
    <w:rsid w:val="001A7F09"/>
    <w:rsid w:val="001B06B0"/>
    <w:rsid w:val="001B08EA"/>
    <w:rsid w:val="001B1B43"/>
    <w:rsid w:val="001B1F6A"/>
    <w:rsid w:val="001B22E9"/>
    <w:rsid w:val="001B27D2"/>
    <w:rsid w:val="001B2D6E"/>
    <w:rsid w:val="001B3046"/>
    <w:rsid w:val="001B310E"/>
    <w:rsid w:val="001B3BBA"/>
    <w:rsid w:val="001B46BA"/>
    <w:rsid w:val="001B4D24"/>
    <w:rsid w:val="001B55BA"/>
    <w:rsid w:val="001B5C4A"/>
    <w:rsid w:val="001B68E1"/>
    <w:rsid w:val="001B69EC"/>
    <w:rsid w:val="001B6F00"/>
    <w:rsid w:val="001B7F7E"/>
    <w:rsid w:val="001C01DD"/>
    <w:rsid w:val="001C08C8"/>
    <w:rsid w:val="001C0ECE"/>
    <w:rsid w:val="001C0F6A"/>
    <w:rsid w:val="001C1895"/>
    <w:rsid w:val="001C1DA0"/>
    <w:rsid w:val="001C1E34"/>
    <w:rsid w:val="001C2AB3"/>
    <w:rsid w:val="001C2B4E"/>
    <w:rsid w:val="001C2EE2"/>
    <w:rsid w:val="001C305E"/>
    <w:rsid w:val="001C44C5"/>
    <w:rsid w:val="001C5010"/>
    <w:rsid w:val="001C556D"/>
    <w:rsid w:val="001C5AB1"/>
    <w:rsid w:val="001C5C48"/>
    <w:rsid w:val="001C5D32"/>
    <w:rsid w:val="001C5E08"/>
    <w:rsid w:val="001C6681"/>
    <w:rsid w:val="001C6B00"/>
    <w:rsid w:val="001C7449"/>
    <w:rsid w:val="001C7A3C"/>
    <w:rsid w:val="001C7CEF"/>
    <w:rsid w:val="001C7FB1"/>
    <w:rsid w:val="001D03C0"/>
    <w:rsid w:val="001D09FA"/>
    <w:rsid w:val="001D0EFF"/>
    <w:rsid w:val="001D111C"/>
    <w:rsid w:val="001D2EA8"/>
    <w:rsid w:val="001D338C"/>
    <w:rsid w:val="001D3AF4"/>
    <w:rsid w:val="001D3BD0"/>
    <w:rsid w:val="001D3C3D"/>
    <w:rsid w:val="001D3E9B"/>
    <w:rsid w:val="001D42B6"/>
    <w:rsid w:val="001D4729"/>
    <w:rsid w:val="001D49E9"/>
    <w:rsid w:val="001D4B0C"/>
    <w:rsid w:val="001D4F9F"/>
    <w:rsid w:val="001D51B0"/>
    <w:rsid w:val="001D5225"/>
    <w:rsid w:val="001D551A"/>
    <w:rsid w:val="001D5890"/>
    <w:rsid w:val="001D5D18"/>
    <w:rsid w:val="001D6072"/>
    <w:rsid w:val="001D6422"/>
    <w:rsid w:val="001D6AF5"/>
    <w:rsid w:val="001D6DFF"/>
    <w:rsid w:val="001D7D94"/>
    <w:rsid w:val="001E0939"/>
    <w:rsid w:val="001E0E8D"/>
    <w:rsid w:val="001E1306"/>
    <w:rsid w:val="001E1B27"/>
    <w:rsid w:val="001E1DED"/>
    <w:rsid w:val="001E25C4"/>
    <w:rsid w:val="001E260A"/>
    <w:rsid w:val="001E2801"/>
    <w:rsid w:val="001E2D94"/>
    <w:rsid w:val="001E3046"/>
    <w:rsid w:val="001E3570"/>
    <w:rsid w:val="001E4458"/>
    <w:rsid w:val="001E48BA"/>
    <w:rsid w:val="001E4F4B"/>
    <w:rsid w:val="001E5755"/>
    <w:rsid w:val="001E5890"/>
    <w:rsid w:val="001E5DD6"/>
    <w:rsid w:val="001E5F21"/>
    <w:rsid w:val="001E6323"/>
    <w:rsid w:val="001E65FE"/>
    <w:rsid w:val="001E6936"/>
    <w:rsid w:val="001E6BF5"/>
    <w:rsid w:val="001E6E3C"/>
    <w:rsid w:val="001E7AFF"/>
    <w:rsid w:val="001F0C79"/>
    <w:rsid w:val="001F0E32"/>
    <w:rsid w:val="001F166B"/>
    <w:rsid w:val="001F1812"/>
    <w:rsid w:val="001F18DB"/>
    <w:rsid w:val="001F1CA8"/>
    <w:rsid w:val="001F2517"/>
    <w:rsid w:val="001F2930"/>
    <w:rsid w:val="001F2B27"/>
    <w:rsid w:val="001F369F"/>
    <w:rsid w:val="001F39B4"/>
    <w:rsid w:val="001F3EAD"/>
    <w:rsid w:val="001F437E"/>
    <w:rsid w:val="001F481A"/>
    <w:rsid w:val="001F48C8"/>
    <w:rsid w:val="001F4919"/>
    <w:rsid w:val="001F645E"/>
    <w:rsid w:val="001F6E5B"/>
    <w:rsid w:val="001F792B"/>
    <w:rsid w:val="001F7B0B"/>
    <w:rsid w:val="001F7B25"/>
    <w:rsid w:val="0020044B"/>
    <w:rsid w:val="0020062E"/>
    <w:rsid w:val="00200FC9"/>
    <w:rsid w:val="002011C2"/>
    <w:rsid w:val="002026A7"/>
    <w:rsid w:val="002026DE"/>
    <w:rsid w:val="00202842"/>
    <w:rsid w:val="00202845"/>
    <w:rsid w:val="00203611"/>
    <w:rsid w:val="00203847"/>
    <w:rsid w:val="00204367"/>
    <w:rsid w:val="00204499"/>
    <w:rsid w:val="0020493C"/>
    <w:rsid w:val="002052DC"/>
    <w:rsid w:val="00205BC9"/>
    <w:rsid w:val="00206207"/>
    <w:rsid w:val="00206C2F"/>
    <w:rsid w:val="00206FD3"/>
    <w:rsid w:val="002070EA"/>
    <w:rsid w:val="0021043B"/>
    <w:rsid w:val="00210929"/>
    <w:rsid w:val="00210C15"/>
    <w:rsid w:val="00210C6C"/>
    <w:rsid w:val="002111BF"/>
    <w:rsid w:val="00211B0D"/>
    <w:rsid w:val="0021202E"/>
    <w:rsid w:val="002122CB"/>
    <w:rsid w:val="00212343"/>
    <w:rsid w:val="002124E4"/>
    <w:rsid w:val="00212962"/>
    <w:rsid w:val="00212B07"/>
    <w:rsid w:val="002134B4"/>
    <w:rsid w:val="00213C3B"/>
    <w:rsid w:val="0021403C"/>
    <w:rsid w:val="002141AC"/>
    <w:rsid w:val="002149DA"/>
    <w:rsid w:val="00214E93"/>
    <w:rsid w:val="00214FB5"/>
    <w:rsid w:val="00215398"/>
    <w:rsid w:val="00216079"/>
    <w:rsid w:val="0021684E"/>
    <w:rsid w:val="0021687F"/>
    <w:rsid w:val="00217866"/>
    <w:rsid w:val="00220781"/>
    <w:rsid w:val="00220AE4"/>
    <w:rsid w:val="002218DB"/>
    <w:rsid w:val="002219A3"/>
    <w:rsid w:val="00222407"/>
    <w:rsid w:val="00222893"/>
    <w:rsid w:val="00222C83"/>
    <w:rsid w:val="0022463B"/>
    <w:rsid w:val="00224AA1"/>
    <w:rsid w:val="00224FC2"/>
    <w:rsid w:val="0022562E"/>
    <w:rsid w:val="00225C49"/>
    <w:rsid w:val="00225E49"/>
    <w:rsid w:val="00225FF6"/>
    <w:rsid w:val="00227065"/>
    <w:rsid w:val="002272E8"/>
    <w:rsid w:val="002275BD"/>
    <w:rsid w:val="00227EB1"/>
    <w:rsid w:val="00230288"/>
    <w:rsid w:val="00230506"/>
    <w:rsid w:val="00230517"/>
    <w:rsid w:val="00230A1F"/>
    <w:rsid w:val="00230A85"/>
    <w:rsid w:val="00230C63"/>
    <w:rsid w:val="00230E43"/>
    <w:rsid w:val="00231423"/>
    <w:rsid w:val="00232C40"/>
    <w:rsid w:val="0023319A"/>
    <w:rsid w:val="002347DB"/>
    <w:rsid w:val="00234D50"/>
    <w:rsid w:val="0023772D"/>
    <w:rsid w:val="00240276"/>
    <w:rsid w:val="002402C9"/>
    <w:rsid w:val="00241BE4"/>
    <w:rsid w:val="00242020"/>
    <w:rsid w:val="0024214D"/>
    <w:rsid w:val="00243137"/>
    <w:rsid w:val="0024353A"/>
    <w:rsid w:val="00243EA4"/>
    <w:rsid w:val="00243F83"/>
    <w:rsid w:val="00244380"/>
    <w:rsid w:val="00244387"/>
    <w:rsid w:val="0024494B"/>
    <w:rsid w:val="00244E14"/>
    <w:rsid w:val="00246806"/>
    <w:rsid w:val="00246E24"/>
    <w:rsid w:val="0024741C"/>
    <w:rsid w:val="00247634"/>
    <w:rsid w:val="002478BE"/>
    <w:rsid w:val="00247AB4"/>
    <w:rsid w:val="00250059"/>
    <w:rsid w:val="00250A86"/>
    <w:rsid w:val="00252F28"/>
    <w:rsid w:val="00252F30"/>
    <w:rsid w:val="0025419A"/>
    <w:rsid w:val="00254E24"/>
    <w:rsid w:val="00255A9B"/>
    <w:rsid w:val="0025666C"/>
    <w:rsid w:val="00256A45"/>
    <w:rsid w:val="00256BF5"/>
    <w:rsid w:val="002570D6"/>
    <w:rsid w:val="002572B0"/>
    <w:rsid w:val="00257CF7"/>
    <w:rsid w:val="0026010A"/>
    <w:rsid w:val="002603F7"/>
    <w:rsid w:val="00260BD9"/>
    <w:rsid w:val="00260D8A"/>
    <w:rsid w:val="00260E79"/>
    <w:rsid w:val="00261359"/>
    <w:rsid w:val="00261683"/>
    <w:rsid w:val="00261755"/>
    <w:rsid w:val="00262393"/>
    <w:rsid w:val="002626E1"/>
    <w:rsid w:val="00262DCD"/>
    <w:rsid w:val="00262E5B"/>
    <w:rsid w:val="00262FB8"/>
    <w:rsid w:val="00263859"/>
    <w:rsid w:val="00263950"/>
    <w:rsid w:val="00263F1F"/>
    <w:rsid w:val="002643F9"/>
    <w:rsid w:val="00264D9F"/>
    <w:rsid w:val="00265432"/>
    <w:rsid w:val="00265DF3"/>
    <w:rsid w:val="002660D7"/>
    <w:rsid w:val="00266264"/>
    <w:rsid w:val="002662A0"/>
    <w:rsid w:val="00266690"/>
    <w:rsid w:val="002666D7"/>
    <w:rsid w:val="00267275"/>
    <w:rsid w:val="0026741B"/>
    <w:rsid w:val="00267E75"/>
    <w:rsid w:val="00270511"/>
    <w:rsid w:val="00270E08"/>
    <w:rsid w:val="00272190"/>
    <w:rsid w:val="002732D6"/>
    <w:rsid w:val="002733A2"/>
    <w:rsid w:val="00274284"/>
    <w:rsid w:val="00274D8A"/>
    <w:rsid w:val="00274DE4"/>
    <w:rsid w:val="00275D3C"/>
    <w:rsid w:val="002761F4"/>
    <w:rsid w:val="002762BC"/>
    <w:rsid w:val="002763D8"/>
    <w:rsid w:val="00276779"/>
    <w:rsid w:val="00276A4D"/>
    <w:rsid w:val="00276CA5"/>
    <w:rsid w:val="00280FDF"/>
    <w:rsid w:val="002814AE"/>
    <w:rsid w:val="002819B0"/>
    <w:rsid w:val="00283498"/>
    <w:rsid w:val="00283D73"/>
    <w:rsid w:val="002840FD"/>
    <w:rsid w:val="00284980"/>
    <w:rsid w:val="0028571F"/>
    <w:rsid w:val="002859C6"/>
    <w:rsid w:val="002860C6"/>
    <w:rsid w:val="00286526"/>
    <w:rsid w:val="00286B1B"/>
    <w:rsid w:val="00287065"/>
    <w:rsid w:val="002879D6"/>
    <w:rsid w:val="00287FE0"/>
    <w:rsid w:val="00290004"/>
    <w:rsid w:val="00290612"/>
    <w:rsid w:val="00291805"/>
    <w:rsid w:val="00291FEE"/>
    <w:rsid w:val="0029208D"/>
    <w:rsid w:val="00292A8E"/>
    <w:rsid w:val="002932D1"/>
    <w:rsid w:val="00293DF9"/>
    <w:rsid w:val="00295BF6"/>
    <w:rsid w:val="00295DD6"/>
    <w:rsid w:val="00296041"/>
    <w:rsid w:val="00296708"/>
    <w:rsid w:val="00296856"/>
    <w:rsid w:val="002968E8"/>
    <w:rsid w:val="0029703A"/>
    <w:rsid w:val="002972EC"/>
    <w:rsid w:val="00297494"/>
    <w:rsid w:val="00297497"/>
    <w:rsid w:val="002974BD"/>
    <w:rsid w:val="002A1397"/>
    <w:rsid w:val="002A2192"/>
    <w:rsid w:val="002A24CD"/>
    <w:rsid w:val="002A2C2A"/>
    <w:rsid w:val="002A2C2D"/>
    <w:rsid w:val="002A43D9"/>
    <w:rsid w:val="002A4CB3"/>
    <w:rsid w:val="002A4EC9"/>
    <w:rsid w:val="002A5576"/>
    <w:rsid w:val="002A565F"/>
    <w:rsid w:val="002A5E46"/>
    <w:rsid w:val="002A6233"/>
    <w:rsid w:val="002A6341"/>
    <w:rsid w:val="002A6511"/>
    <w:rsid w:val="002A6A52"/>
    <w:rsid w:val="002A7B69"/>
    <w:rsid w:val="002A7BB3"/>
    <w:rsid w:val="002B076E"/>
    <w:rsid w:val="002B0913"/>
    <w:rsid w:val="002B0A99"/>
    <w:rsid w:val="002B0EBD"/>
    <w:rsid w:val="002B11AF"/>
    <w:rsid w:val="002B2196"/>
    <w:rsid w:val="002B26E0"/>
    <w:rsid w:val="002B352F"/>
    <w:rsid w:val="002B366A"/>
    <w:rsid w:val="002B3D78"/>
    <w:rsid w:val="002B3DB4"/>
    <w:rsid w:val="002B4ADD"/>
    <w:rsid w:val="002B5BDD"/>
    <w:rsid w:val="002B6355"/>
    <w:rsid w:val="002B6C46"/>
    <w:rsid w:val="002B7780"/>
    <w:rsid w:val="002B78D0"/>
    <w:rsid w:val="002C0A4D"/>
    <w:rsid w:val="002C0D54"/>
    <w:rsid w:val="002C110D"/>
    <w:rsid w:val="002C23B7"/>
    <w:rsid w:val="002C2BD0"/>
    <w:rsid w:val="002C3089"/>
    <w:rsid w:val="002C3276"/>
    <w:rsid w:val="002C366A"/>
    <w:rsid w:val="002C3965"/>
    <w:rsid w:val="002C479D"/>
    <w:rsid w:val="002C4B6B"/>
    <w:rsid w:val="002C50A5"/>
    <w:rsid w:val="002C5417"/>
    <w:rsid w:val="002C66E4"/>
    <w:rsid w:val="002C699D"/>
    <w:rsid w:val="002C6E08"/>
    <w:rsid w:val="002C7D92"/>
    <w:rsid w:val="002D0F3E"/>
    <w:rsid w:val="002D115E"/>
    <w:rsid w:val="002D1208"/>
    <w:rsid w:val="002D1AB8"/>
    <w:rsid w:val="002D1D6E"/>
    <w:rsid w:val="002D2294"/>
    <w:rsid w:val="002D3ED7"/>
    <w:rsid w:val="002D4AD6"/>
    <w:rsid w:val="002D6DD8"/>
    <w:rsid w:val="002D6EDD"/>
    <w:rsid w:val="002D7BD3"/>
    <w:rsid w:val="002D7C6A"/>
    <w:rsid w:val="002E0097"/>
    <w:rsid w:val="002E096A"/>
    <w:rsid w:val="002E0A9A"/>
    <w:rsid w:val="002E0B91"/>
    <w:rsid w:val="002E0CDE"/>
    <w:rsid w:val="002E103B"/>
    <w:rsid w:val="002E2315"/>
    <w:rsid w:val="002E25AB"/>
    <w:rsid w:val="002E285E"/>
    <w:rsid w:val="002E28B4"/>
    <w:rsid w:val="002E2C9D"/>
    <w:rsid w:val="002E3A09"/>
    <w:rsid w:val="002E3D02"/>
    <w:rsid w:val="002E4077"/>
    <w:rsid w:val="002E47FC"/>
    <w:rsid w:val="002E5DA1"/>
    <w:rsid w:val="002E5FBD"/>
    <w:rsid w:val="002E657F"/>
    <w:rsid w:val="002E66AD"/>
    <w:rsid w:val="002E68EB"/>
    <w:rsid w:val="002E7BB0"/>
    <w:rsid w:val="002F17CE"/>
    <w:rsid w:val="002F17F3"/>
    <w:rsid w:val="002F2E8B"/>
    <w:rsid w:val="002F3294"/>
    <w:rsid w:val="002F32D8"/>
    <w:rsid w:val="002F3B4D"/>
    <w:rsid w:val="002F3EFC"/>
    <w:rsid w:val="002F3F1A"/>
    <w:rsid w:val="002F56DC"/>
    <w:rsid w:val="002F5EF8"/>
    <w:rsid w:val="002F73D8"/>
    <w:rsid w:val="002F7EB4"/>
    <w:rsid w:val="003001D3"/>
    <w:rsid w:val="0030124D"/>
    <w:rsid w:val="00301A7A"/>
    <w:rsid w:val="0030229E"/>
    <w:rsid w:val="0030274D"/>
    <w:rsid w:val="00302AEB"/>
    <w:rsid w:val="003034B0"/>
    <w:rsid w:val="003039CD"/>
    <w:rsid w:val="003040B2"/>
    <w:rsid w:val="0030450A"/>
    <w:rsid w:val="00304B4C"/>
    <w:rsid w:val="0030526A"/>
    <w:rsid w:val="003055C4"/>
    <w:rsid w:val="00305A27"/>
    <w:rsid w:val="00305D61"/>
    <w:rsid w:val="00306F71"/>
    <w:rsid w:val="00307CF7"/>
    <w:rsid w:val="00307FB2"/>
    <w:rsid w:val="0031022C"/>
    <w:rsid w:val="00310925"/>
    <w:rsid w:val="00311A43"/>
    <w:rsid w:val="00311A92"/>
    <w:rsid w:val="00313471"/>
    <w:rsid w:val="0031354C"/>
    <w:rsid w:val="0031364F"/>
    <w:rsid w:val="0031371B"/>
    <w:rsid w:val="00313E5E"/>
    <w:rsid w:val="00313F5F"/>
    <w:rsid w:val="00315A10"/>
    <w:rsid w:val="00315E6C"/>
    <w:rsid w:val="0031671D"/>
    <w:rsid w:val="00316847"/>
    <w:rsid w:val="003177FD"/>
    <w:rsid w:val="003179AA"/>
    <w:rsid w:val="00317B2B"/>
    <w:rsid w:val="00317DEE"/>
    <w:rsid w:val="003204F3"/>
    <w:rsid w:val="003211AA"/>
    <w:rsid w:val="0032144B"/>
    <w:rsid w:val="003217EA"/>
    <w:rsid w:val="00321D8B"/>
    <w:rsid w:val="00321DB3"/>
    <w:rsid w:val="003229DA"/>
    <w:rsid w:val="00323128"/>
    <w:rsid w:val="0032327D"/>
    <w:rsid w:val="00323DD4"/>
    <w:rsid w:val="0032441A"/>
    <w:rsid w:val="003251B0"/>
    <w:rsid w:val="003255B4"/>
    <w:rsid w:val="0032645D"/>
    <w:rsid w:val="00326525"/>
    <w:rsid w:val="003268D9"/>
    <w:rsid w:val="00326D6F"/>
    <w:rsid w:val="003276BD"/>
    <w:rsid w:val="00330101"/>
    <w:rsid w:val="003301BF"/>
    <w:rsid w:val="003310AE"/>
    <w:rsid w:val="00331176"/>
    <w:rsid w:val="0033200C"/>
    <w:rsid w:val="003339F1"/>
    <w:rsid w:val="0033492A"/>
    <w:rsid w:val="0033545F"/>
    <w:rsid w:val="00335A89"/>
    <w:rsid w:val="003363FE"/>
    <w:rsid w:val="00336DEF"/>
    <w:rsid w:val="00337324"/>
    <w:rsid w:val="0033750A"/>
    <w:rsid w:val="003379A2"/>
    <w:rsid w:val="00337E97"/>
    <w:rsid w:val="00340188"/>
    <w:rsid w:val="003404D1"/>
    <w:rsid w:val="00340C81"/>
    <w:rsid w:val="00340FB5"/>
    <w:rsid w:val="00341148"/>
    <w:rsid w:val="00341227"/>
    <w:rsid w:val="0034191A"/>
    <w:rsid w:val="00341FA8"/>
    <w:rsid w:val="00342A67"/>
    <w:rsid w:val="0034393C"/>
    <w:rsid w:val="00343987"/>
    <w:rsid w:val="00343F4B"/>
    <w:rsid w:val="00344256"/>
    <w:rsid w:val="003452D9"/>
    <w:rsid w:val="00345403"/>
    <w:rsid w:val="003466AA"/>
    <w:rsid w:val="00346BA5"/>
    <w:rsid w:val="00346BEB"/>
    <w:rsid w:val="00347C27"/>
    <w:rsid w:val="0035038C"/>
    <w:rsid w:val="003513EF"/>
    <w:rsid w:val="00352080"/>
    <w:rsid w:val="003521FB"/>
    <w:rsid w:val="0035239D"/>
    <w:rsid w:val="00352D1C"/>
    <w:rsid w:val="0035305F"/>
    <w:rsid w:val="00353BCC"/>
    <w:rsid w:val="003542CC"/>
    <w:rsid w:val="003550D2"/>
    <w:rsid w:val="00355DD8"/>
    <w:rsid w:val="00355EBE"/>
    <w:rsid w:val="00357303"/>
    <w:rsid w:val="0035748E"/>
    <w:rsid w:val="00357A91"/>
    <w:rsid w:val="00357F38"/>
    <w:rsid w:val="00357F60"/>
    <w:rsid w:val="0036056D"/>
    <w:rsid w:val="00361AA1"/>
    <w:rsid w:val="00361E2E"/>
    <w:rsid w:val="003626C0"/>
    <w:rsid w:val="00362E9F"/>
    <w:rsid w:val="00363000"/>
    <w:rsid w:val="0036456E"/>
    <w:rsid w:val="00364B39"/>
    <w:rsid w:val="00365886"/>
    <w:rsid w:val="00365A06"/>
    <w:rsid w:val="00365F37"/>
    <w:rsid w:val="003669C3"/>
    <w:rsid w:val="00366EA3"/>
    <w:rsid w:val="00370282"/>
    <w:rsid w:val="00370DFD"/>
    <w:rsid w:val="003712A8"/>
    <w:rsid w:val="003721B8"/>
    <w:rsid w:val="003723A3"/>
    <w:rsid w:val="003736FD"/>
    <w:rsid w:val="0037565E"/>
    <w:rsid w:val="00376949"/>
    <w:rsid w:val="003770F1"/>
    <w:rsid w:val="0038010C"/>
    <w:rsid w:val="00380325"/>
    <w:rsid w:val="003803F5"/>
    <w:rsid w:val="003807F1"/>
    <w:rsid w:val="0038209D"/>
    <w:rsid w:val="00382490"/>
    <w:rsid w:val="00382AC9"/>
    <w:rsid w:val="003830C0"/>
    <w:rsid w:val="00383251"/>
    <w:rsid w:val="00383C18"/>
    <w:rsid w:val="00383C2A"/>
    <w:rsid w:val="00384243"/>
    <w:rsid w:val="00384255"/>
    <w:rsid w:val="00384892"/>
    <w:rsid w:val="003849FE"/>
    <w:rsid w:val="00384BE8"/>
    <w:rsid w:val="00385916"/>
    <w:rsid w:val="00385969"/>
    <w:rsid w:val="00386156"/>
    <w:rsid w:val="003861BA"/>
    <w:rsid w:val="0038664F"/>
    <w:rsid w:val="00386892"/>
    <w:rsid w:val="00386BCF"/>
    <w:rsid w:val="00386D45"/>
    <w:rsid w:val="003871E1"/>
    <w:rsid w:val="003872B0"/>
    <w:rsid w:val="003901C1"/>
    <w:rsid w:val="0039028D"/>
    <w:rsid w:val="003907D7"/>
    <w:rsid w:val="003907DE"/>
    <w:rsid w:val="0039138D"/>
    <w:rsid w:val="0039153E"/>
    <w:rsid w:val="003915FF"/>
    <w:rsid w:val="0039195B"/>
    <w:rsid w:val="00391F7D"/>
    <w:rsid w:val="00391FAF"/>
    <w:rsid w:val="00392065"/>
    <w:rsid w:val="00392E65"/>
    <w:rsid w:val="00392ECA"/>
    <w:rsid w:val="00392F3C"/>
    <w:rsid w:val="00393E01"/>
    <w:rsid w:val="00395D26"/>
    <w:rsid w:val="00395E69"/>
    <w:rsid w:val="00396174"/>
    <w:rsid w:val="00396237"/>
    <w:rsid w:val="003962E5"/>
    <w:rsid w:val="00396561"/>
    <w:rsid w:val="00396907"/>
    <w:rsid w:val="00396A45"/>
    <w:rsid w:val="00396DBA"/>
    <w:rsid w:val="00396ED4"/>
    <w:rsid w:val="0039763B"/>
    <w:rsid w:val="003A05AD"/>
    <w:rsid w:val="003A07A8"/>
    <w:rsid w:val="003A16E2"/>
    <w:rsid w:val="003A1891"/>
    <w:rsid w:val="003A19B6"/>
    <w:rsid w:val="003A1C2F"/>
    <w:rsid w:val="003A1E36"/>
    <w:rsid w:val="003A2404"/>
    <w:rsid w:val="003A393F"/>
    <w:rsid w:val="003A40A3"/>
    <w:rsid w:val="003A5090"/>
    <w:rsid w:val="003A50A1"/>
    <w:rsid w:val="003A56F9"/>
    <w:rsid w:val="003A57D3"/>
    <w:rsid w:val="003A69AF"/>
    <w:rsid w:val="003A7CB2"/>
    <w:rsid w:val="003B0040"/>
    <w:rsid w:val="003B0A78"/>
    <w:rsid w:val="003B0DBA"/>
    <w:rsid w:val="003B108F"/>
    <w:rsid w:val="003B1217"/>
    <w:rsid w:val="003B2FB2"/>
    <w:rsid w:val="003B3671"/>
    <w:rsid w:val="003B3B72"/>
    <w:rsid w:val="003B471B"/>
    <w:rsid w:val="003B4748"/>
    <w:rsid w:val="003B4842"/>
    <w:rsid w:val="003B4A1E"/>
    <w:rsid w:val="003B4B42"/>
    <w:rsid w:val="003B4BCF"/>
    <w:rsid w:val="003B4C7D"/>
    <w:rsid w:val="003B4CE3"/>
    <w:rsid w:val="003B5496"/>
    <w:rsid w:val="003B5548"/>
    <w:rsid w:val="003B5A83"/>
    <w:rsid w:val="003B5AE7"/>
    <w:rsid w:val="003B6E08"/>
    <w:rsid w:val="003B7D6B"/>
    <w:rsid w:val="003C008A"/>
    <w:rsid w:val="003C043B"/>
    <w:rsid w:val="003C05BF"/>
    <w:rsid w:val="003C1920"/>
    <w:rsid w:val="003C1F7A"/>
    <w:rsid w:val="003C2121"/>
    <w:rsid w:val="003C22C7"/>
    <w:rsid w:val="003C2531"/>
    <w:rsid w:val="003C34E4"/>
    <w:rsid w:val="003C38A8"/>
    <w:rsid w:val="003C3D1F"/>
    <w:rsid w:val="003C3DD3"/>
    <w:rsid w:val="003C3E46"/>
    <w:rsid w:val="003C40A7"/>
    <w:rsid w:val="003C47C9"/>
    <w:rsid w:val="003C4BB5"/>
    <w:rsid w:val="003C5FFB"/>
    <w:rsid w:val="003C6534"/>
    <w:rsid w:val="003C6841"/>
    <w:rsid w:val="003C702E"/>
    <w:rsid w:val="003C73CC"/>
    <w:rsid w:val="003C76F7"/>
    <w:rsid w:val="003C7E7A"/>
    <w:rsid w:val="003C7EC9"/>
    <w:rsid w:val="003D10DA"/>
    <w:rsid w:val="003D182B"/>
    <w:rsid w:val="003D184A"/>
    <w:rsid w:val="003D1A73"/>
    <w:rsid w:val="003D1C4E"/>
    <w:rsid w:val="003D1FF2"/>
    <w:rsid w:val="003D2AAD"/>
    <w:rsid w:val="003D3167"/>
    <w:rsid w:val="003D3484"/>
    <w:rsid w:val="003D35B6"/>
    <w:rsid w:val="003D3901"/>
    <w:rsid w:val="003D3980"/>
    <w:rsid w:val="003D3FE9"/>
    <w:rsid w:val="003D4415"/>
    <w:rsid w:val="003D4A9A"/>
    <w:rsid w:val="003D5201"/>
    <w:rsid w:val="003D544C"/>
    <w:rsid w:val="003D5C34"/>
    <w:rsid w:val="003D5D43"/>
    <w:rsid w:val="003D5D9B"/>
    <w:rsid w:val="003D6245"/>
    <w:rsid w:val="003D6384"/>
    <w:rsid w:val="003D658A"/>
    <w:rsid w:val="003D6932"/>
    <w:rsid w:val="003D69C2"/>
    <w:rsid w:val="003D6CBC"/>
    <w:rsid w:val="003D6E30"/>
    <w:rsid w:val="003D73F0"/>
    <w:rsid w:val="003D7967"/>
    <w:rsid w:val="003D7ABF"/>
    <w:rsid w:val="003D7E47"/>
    <w:rsid w:val="003E0017"/>
    <w:rsid w:val="003E0EB1"/>
    <w:rsid w:val="003E1312"/>
    <w:rsid w:val="003E13BA"/>
    <w:rsid w:val="003E16A7"/>
    <w:rsid w:val="003E1B98"/>
    <w:rsid w:val="003E410D"/>
    <w:rsid w:val="003E455B"/>
    <w:rsid w:val="003E4843"/>
    <w:rsid w:val="003E5212"/>
    <w:rsid w:val="003E58A0"/>
    <w:rsid w:val="003E5C4E"/>
    <w:rsid w:val="003E6273"/>
    <w:rsid w:val="003E6351"/>
    <w:rsid w:val="003E704F"/>
    <w:rsid w:val="003E7148"/>
    <w:rsid w:val="003F08AF"/>
    <w:rsid w:val="003F0A96"/>
    <w:rsid w:val="003F1689"/>
    <w:rsid w:val="003F1942"/>
    <w:rsid w:val="003F2183"/>
    <w:rsid w:val="003F21ED"/>
    <w:rsid w:val="003F22AF"/>
    <w:rsid w:val="003F2321"/>
    <w:rsid w:val="003F2601"/>
    <w:rsid w:val="003F2633"/>
    <w:rsid w:val="003F3622"/>
    <w:rsid w:val="003F41DD"/>
    <w:rsid w:val="003F4DDF"/>
    <w:rsid w:val="003F51F0"/>
    <w:rsid w:val="003F6CDE"/>
    <w:rsid w:val="003F7055"/>
    <w:rsid w:val="003F70EC"/>
    <w:rsid w:val="003F7258"/>
    <w:rsid w:val="003F752E"/>
    <w:rsid w:val="003F7C08"/>
    <w:rsid w:val="003F7D81"/>
    <w:rsid w:val="00400148"/>
    <w:rsid w:val="00400AEB"/>
    <w:rsid w:val="00400C17"/>
    <w:rsid w:val="00400EC2"/>
    <w:rsid w:val="0040186B"/>
    <w:rsid w:val="004020EF"/>
    <w:rsid w:val="0040235D"/>
    <w:rsid w:val="00402428"/>
    <w:rsid w:val="004024BE"/>
    <w:rsid w:val="00402AF9"/>
    <w:rsid w:val="00403807"/>
    <w:rsid w:val="00403999"/>
    <w:rsid w:val="004047E0"/>
    <w:rsid w:val="0040521D"/>
    <w:rsid w:val="00405C83"/>
    <w:rsid w:val="004061FF"/>
    <w:rsid w:val="00406365"/>
    <w:rsid w:val="00406506"/>
    <w:rsid w:val="00406522"/>
    <w:rsid w:val="004072BF"/>
    <w:rsid w:val="0040740D"/>
    <w:rsid w:val="00407A58"/>
    <w:rsid w:val="00407E56"/>
    <w:rsid w:val="0041027B"/>
    <w:rsid w:val="004103EA"/>
    <w:rsid w:val="004108A3"/>
    <w:rsid w:val="00410CB5"/>
    <w:rsid w:val="004118FD"/>
    <w:rsid w:val="00412E6B"/>
    <w:rsid w:val="0041381A"/>
    <w:rsid w:val="00413992"/>
    <w:rsid w:val="00413A96"/>
    <w:rsid w:val="00413BD7"/>
    <w:rsid w:val="00413E6C"/>
    <w:rsid w:val="004142DE"/>
    <w:rsid w:val="00414F05"/>
    <w:rsid w:val="004154D1"/>
    <w:rsid w:val="00415589"/>
    <w:rsid w:val="0041661E"/>
    <w:rsid w:val="004167A0"/>
    <w:rsid w:val="004167E5"/>
    <w:rsid w:val="00416B54"/>
    <w:rsid w:val="00416BA9"/>
    <w:rsid w:val="00417A31"/>
    <w:rsid w:val="0042018F"/>
    <w:rsid w:val="00420CBF"/>
    <w:rsid w:val="004217D0"/>
    <w:rsid w:val="004218EC"/>
    <w:rsid w:val="0042190A"/>
    <w:rsid w:val="0042222F"/>
    <w:rsid w:val="00422412"/>
    <w:rsid w:val="00422CFB"/>
    <w:rsid w:val="00422FA0"/>
    <w:rsid w:val="00423208"/>
    <w:rsid w:val="00423D7B"/>
    <w:rsid w:val="0042429B"/>
    <w:rsid w:val="00424358"/>
    <w:rsid w:val="00424C26"/>
    <w:rsid w:val="00424DF2"/>
    <w:rsid w:val="00425001"/>
    <w:rsid w:val="0042559E"/>
    <w:rsid w:val="00425AA8"/>
    <w:rsid w:val="004263C9"/>
    <w:rsid w:val="0042660E"/>
    <w:rsid w:val="004268F3"/>
    <w:rsid w:val="004269E6"/>
    <w:rsid w:val="004269F6"/>
    <w:rsid w:val="00426C95"/>
    <w:rsid w:val="00426EB0"/>
    <w:rsid w:val="00427961"/>
    <w:rsid w:val="00427A5B"/>
    <w:rsid w:val="00427B91"/>
    <w:rsid w:val="00430019"/>
    <w:rsid w:val="00430937"/>
    <w:rsid w:val="00430ADB"/>
    <w:rsid w:val="00430CE3"/>
    <w:rsid w:val="004312E5"/>
    <w:rsid w:val="004315B2"/>
    <w:rsid w:val="00431682"/>
    <w:rsid w:val="00432A82"/>
    <w:rsid w:val="00432CEA"/>
    <w:rsid w:val="00432D49"/>
    <w:rsid w:val="0043328A"/>
    <w:rsid w:val="00433377"/>
    <w:rsid w:val="00435723"/>
    <w:rsid w:val="004359FF"/>
    <w:rsid w:val="00435DBA"/>
    <w:rsid w:val="004367DD"/>
    <w:rsid w:val="0043692B"/>
    <w:rsid w:val="00436972"/>
    <w:rsid w:val="004369F0"/>
    <w:rsid w:val="00436DC9"/>
    <w:rsid w:val="00440AF9"/>
    <w:rsid w:val="004411F4"/>
    <w:rsid w:val="004420FF"/>
    <w:rsid w:val="004424D1"/>
    <w:rsid w:val="004424D6"/>
    <w:rsid w:val="0044324B"/>
    <w:rsid w:val="004434BA"/>
    <w:rsid w:val="004438B0"/>
    <w:rsid w:val="0044425F"/>
    <w:rsid w:val="0044460B"/>
    <w:rsid w:val="0044519B"/>
    <w:rsid w:val="0044558C"/>
    <w:rsid w:val="004462EE"/>
    <w:rsid w:val="00446D41"/>
    <w:rsid w:val="00446F69"/>
    <w:rsid w:val="004473F3"/>
    <w:rsid w:val="004474DC"/>
    <w:rsid w:val="00450802"/>
    <w:rsid w:val="00450949"/>
    <w:rsid w:val="0045098D"/>
    <w:rsid w:val="00450F6A"/>
    <w:rsid w:val="004515F5"/>
    <w:rsid w:val="004519A5"/>
    <w:rsid w:val="00451C41"/>
    <w:rsid w:val="00451C52"/>
    <w:rsid w:val="00451DFC"/>
    <w:rsid w:val="00451E9A"/>
    <w:rsid w:val="004522DE"/>
    <w:rsid w:val="0045272A"/>
    <w:rsid w:val="004529BD"/>
    <w:rsid w:val="00452DBD"/>
    <w:rsid w:val="00452EC2"/>
    <w:rsid w:val="004547CC"/>
    <w:rsid w:val="00454C59"/>
    <w:rsid w:val="0045505C"/>
    <w:rsid w:val="0045532D"/>
    <w:rsid w:val="004557FA"/>
    <w:rsid w:val="004558E7"/>
    <w:rsid w:val="0045597F"/>
    <w:rsid w:val="00455ED0"/>
    <w:rsid w:val="0045693F"/>
    <w:rsid w:val="0045694B"/>
    <w:rsid w:val="00456FDF"/>
    <w:rsid w:val="00457184"/>
    <w:rsid w:val="004575CB"/>
    <w:rsid w:val="00457EAB"/>
    <w:rsid w:val="004600F2"/>
    <w:rsid w:val="00460251"/>
    <w:rsid w:val="00460436"/>
    <w:rsid w:val="004608B7"/>
    <w:rsid w:val="00460B21"/>
    <w:rsid w:val="00460C51"/>
    <w:rsid w:val="00460F07"/>
    <w:rsid w:val="00461076"/>
    <w:rsid w:val="00461543"/>
    <w:rsid w:val="00461748"/>
    <w:rsid w:val="004617CD"/>
    <w:rsid w:val="00462F16"/>
    <w:rsid w:val="00463897"/>
    <w:rsid w:val="00464031"/>
    <w:rsid w:val="00464AC0"/>
    <w:rsid w:val="00464F55"/>
    <w:rsid w:val="00465525"/>
    <w:rsid w:val="00465619"/>
    <w:rsid w:val="0046631C"/>
    <w:rsid w:val="00467683"/>
    <w:rsid w:val="00467AC9"/>
    <w:rsid w:val="00467BDF"/>
    <w:rsid w:val="00467CC1"/>
    <w:rsid w:val="00470352"/>
    <w:rsid w:val="00470B97"/>
    <w:rsid w:val="004710C8"/>
    <w:rsid w:val="00471899"/>
    <w:rsid w:val="00472448"/>
    <w:rsid w:val="00473487"/>
    <w:rsid w:val="00473799"/>
    <w:rsid w:val="00473AFF"/>
    <w:rsid w:val="0047413E"/>
    <w:rsid w:val="00474218"/>
    <w:rsid w:val="00474E65"/>
    <w:rsid w:val="00474F17"/>
    <w:rsid w:val="00475E85"/>
    <w:rsid w:val="004766A6"/>
    <w:rsid w:val="004768DF"/>
    <w:rsid w:val="00476B6C"/>
    <w:rsid w:val="00480EA4"/>
    <w:rsid w:val="00481163"/>
    <w:rsid w:val="00481328"/>
    <w:rsid w:val="00481443"/>
    <w:rsid w:val="00481CA9"/>
    <w:rsid w:val="0048276F"/>
    <w:rsid w:val="00483611"/>
    <w:rsid w:val="004837DE"/>
    <w:rsid w:val="00483AAB"/>
    <w:rsid w:val="004841EE"/>
    <w:rsid w:val="004843D2"/>
    <w:rsid w:val="00484465"/>
    <w:rsid w:val="004849AD"/>
    <w:rsid w:val="00484C73"/>
    <w:rsid w:val="004850FF"/>
    <w:rsid w:val="00485299"/>
    <w:rsid w:val="004854C1"/>
    <w:rsid w:val="00485850"/>
    <w:rsid w:val="00485AF8"/>
    <w:rsid w:val="00485EB0"/>
    <w:rsid w:val="004865A5"/>
    <w:rsid w:val="004867FB"/>
    <w:rsid w:val="00487542"/>
    <w:rsid w:val="004900D4"/>
    <w:rsid w:val="00490569"/>
    <w:rsid w:val="00490592"/>
    <w:rsid w:val="00490F4F"/>
    <w:rsid w:val="00490FC0"/>
    <w:rsid w:val="004912E0"/>
    <w:rsid w:val="00491330"/>
    <w:rsid w:val="00491369"/>
    <w:rsid w:val="00491581"/>
    <w:rsid w:val="0049197B"/>
    <w:rsid w:val="004934A8"/>
    <w:rsid w:val="00493EC3"/>
    <w:rsid w:val="00494419"/>
    <w:rsid w:val="00494C9A"/>
    <w:rsid w:val="00494E24"/>
    <w:rsid w:val="00495745"/>
    <w:rsid w:val="004960CB"/>
    <w:rsid w:val="004963AE"/>
    <w:rsid w:val="00496F13"/>
    <w:rsid w:val="00497526"/>
    <w:rsid w:val="00497663"/>
    <w:rsid w:val="00497ED2"/>
    <w:rsid w:val="004A0101"/>
    <w:rsid w:val="004A0158"/>
    <w:rsid w:val="004A08D1"/>
    <w:rsid w:val="004A10C6"/>
    <w:rsid w:val="004A1614"/>
    <w:rsid w:val="004A18BE"/>
    <w:rsid w:val="004A1FE3"/>
    <w:rsid w:val="004A3722"/>
    <w:rsid w:val="004A3D3A"/>
    <w:rsid w:val="004A3D86"/>
    <w:rsid w:val="004A43AE"/>
    <w:rsid w:val="004A44E2"/>
    <w:rsid w:val="004A5ABF"/>
    <w:rsid w:val="004A5C22"/>
    <w:rsid w:val="004A5CAD"/>
    <w:rsid w:val="004A5D52"/>
    <w:rsid w:val="004A5D59"/>
    <w:rsid w:val="004A67D7"/>
    <w:rsid w:val="004A7951"/>
    <w:rsid w:val="004B099A"/>
    <w:rsid w:val="004B0A39"/>
    <w:rsid w:val="004B26DF"/>
    <w:rsid w:val="004B3808"/>
    <w:rsid w:val="004B3951"/>
    <w:rsid w:val="004B3AB9"/>
    <w:rsid w:val="004B4F67"/>
    <w:rsid w:val="004B5273"/>
    <w:rsid w:val="004B72CF"/>
    <w:rsid w:val="004C0164"/>
    <w:rsid w:val="004C08D2"/>
    <w:rsid w:val="004C0EE7"/>
    <w:rsid w:val="004C0FCE"/>
    <w:rsid w:val="004C1532"/>
    <w:rsid w:val="004C25CB"/>
    <w:rsid w:val="004C28BB"/>
    <w:rsid w:val="004C2AB2"/>
    <w:rsid w:val="004C2FBF"/>
    <w:rsid w:val="004C3EFC"/>
    <w:rsid w:val="004C4282"/>
    <w:rsid w:val="004C43D4"/>
    <w:rsid w:val="004C4C17"/>
    <w:rsid w:val="004C58C3"/>
    <w:rsid w:val="004C5AF9"/>
    <w:rsid w:val="004C5B4C"/>
    <w:rsid w:val="004C5D15"/>
    <w:rsid w:val="004C5DB8"/>
    <w:rsid w:val="004C6089"/>
    <w:rsid w:val="004C72C3"/>
    <w:rsid w:val="004C77AE"/>
    <w:rsid w:val="004C7920"/>
    <w:rsid w:val="004D01E9"/>
    <w:rsid w:val="004D026C"/>
    <w:rsid w:val="004D02BC"/>
    <w:rsid w:val="004D0343"/>
    <w:rsid w:val="004D03E6"/>
    <w:rsid w:val="004D183B"/>
    <w:rsid w:val="004D2392"/>
    <w:rsid w:val="004D339D"/>
    <w:rsid w:val="004D3832"/>
    <w:rsid w:val="004D3DD1"/>
    <w:rsid w:val="004D3ECC"/>
    <w:rsid w:val="004D3FE4"/>
    <w:rsid w:val="004D40AC"/>
    <w:rsid w:val="004D4767"/>
    <w:rsid w:val="004D4AC6"/>
    <w:rsid w:val="004D4B83"/>
    <w:rsid w:val="004D58EC"/>
    <w:rsid w:val="004D5B8E"/>
    <w:rsid w:val="004D5D1F"/>
    <w:rsid w:val="004D607A"/>
    <w:rsid w:val="004D6581"/>
    <w:rsid w:val="004D67EF"/>
    <w:rsid w:val="004D7623"/>
    <w:rsid w:val="004D79FA"/>
    <w:rsid w:val="004E094E"/>
    <w:rsid w:val="004E22BF"/>
    <w:rsid w:val="004E22D5"/>
    <w:rsid w:val="004E2330"/>
    <w:rsid w:val="004E2421"/>
    <w:rsid w:val="004E2C11"/>
    <w:rsid w:val="004E2DE3"/>
    <w:rsid w:val="004E3D9D"/>
    <w:rsid w:val="004E407F"/>
    <w:rsid w:val="004E4669"/>
    <w:rsid w:val="004E4BCE"/>
    <w:rsid w:val="004E4D4E"/>
    <w:rsid w:val="004E63C0"/>
    <w:rsid w:val="004E6DD5"/>
    <w:rsid w:val="004E786C"/>
    <w:rsid w:val="004E7EBC"/>
    <w:rsid w:val="004F0449"/>
    <w:rsid w:val="004F103D"/>
    <w:rsid w:val="004F14E2"/>
    <w:rsid w:val="004F17F8"/>
    <w:rsid w:val="004F22E9"/>
    <w:rsid w:val="004F27EE"/>
    <w:rsid w:val="004F285C"/>
    <w:rsid w:val="004F31AE"/>
    <w:rsid w:val="004F44F9"/>
    <w:rsid w:val="004F59CA"/>
    <w:rsid w:val="004F6173"/>
    <w:rsid w:val="004F67A7"/>
    <w:rsid w:val="004F67BC"/>
    <w:rsid w:val="004F6AEA"/>
    <w:rsid w:val="004F6EA2"/>
    <w:rsid w:val="004F76D4"/>
    <w:rsid w:val="005001AF"/>
    <w:rsid w:val="00500209"/>
    <w:rsid w:val="00501092"/>
    <w:rsid w:val="0050143D"/>
    <w:rsid w:val="00501ADA"/>
    <w:rsid w:val="00502054"/>
    <w:rsid w:val="00502635"/>
    <w:rsid w:val="00502AC3"/>
    <w:rsid w:val="0050368C"/>
    <w:rsid w:val="0050397F"/>
    <w:rsid w:val="005043B2"/>
    <w:rsid w:val="005046E0"/>
    <w:rsid w:val="0050568D"/>
    <w:rsid w:val="00505F72"/>
    <w:rsid w:val="005065CE"/>
    <w:rsid w:val="0050720A"/>
    <w:rsid w:val="0050759E"/>
    <w:rsid w:val="005075A4"/>
    <w:rsid w:val="00507C58"/>
    <w:rsid w:val="005103B7"/>
    <w:rsid w:val="00510E78"/>
    <w:rsid w:val="00511E7A"/>
    <w:rsid w:val="0051234D"/>
    <w:rsid w:val="005123CC"/>
    <w:rsid w:val="00512BCE"/>
    <w:rsid w:val="00513306"/>
    <w:rsid w:val="00513845"/>
    <w:rsid w:val="00514213"/>
    <w:rsid w:val="00514660"/>
    <w:rsid w:val="0051494D"/>
    <w:rsid w:val="005154D8"/>
    <w:rsid w:val="005156A8"/>
    <w:rsid w:val="00515FBF"/>
    <w:rsid w:val="005165D6"/>
    <w:rsid w:val="00517467"/>
    <w:rsid w:val="005175FF"/>
    <w:rsid w:val="00517B26"/>
    <w:rsid w:val="0052006C"/>
    <w:rsid w:val="00520D20"/>
    <w:rsid w:val="00520E0E"/>
    <w:rsid w:val="00521CAB"/>
    <w:rsid w:val="00522903"/>
    <w:rsid w:val="00522D4B"/>
    <w:rsid w:val="00523C90"/>
    <w:rsid w:val="0052423C"/>
    <w:rsid w:val="00524706"/>
    <w:rsid w:val="005265F8"/>
    <w:rsid w:val="005266EC"/>
    <w:rsid w:val="00526C40"/>
    <w:rsid w:val="005275ED"/>
    <w:rsid w:val="00530621"/>
    <w:rsid w:val="005306B0"/>
    <w:rsid w:val="00530725"/>
    <w:rsid w:val="00530838"/>
    <w:rsid w:val="00530FB7"/>
    <w:rsid w:val="005311BA"/>
    <w:rsid w:val="0053160F"/>
    <w:rsid w:val="00531B1F"/>
    <w:rsid w:val="00531B68"/>
    <w:rsid w:val="0053241E"/>
    <w:rsid w:val="005324AC"/>
    <w:rsid w:val="00532A0F"/>
    <w:rsid w:val="00532DAC"/>
    <w:rsid w:val="00532EE5"/>
    <w:rsid w:val="00534FC7"/>
    <w:rsid w:val="00535149"/>
    <w:rsid w:val="005354E5"/>
    <w:rsid w:val="00535C60"/>
    <w:rsid w:val="00536B83"/>
    <w:rsid w:val="00537CD0"/>
    <w:rsid w:val="00540017"/>
    <w:rsid w:val="005407D2"/>
    <w:rsid w:val="00540F77"/>
    <w:rsid w:val="00541306"/>
    <w:rsid w:val="00541CC8"/>
    <w:rsid w:val="00541F98"/>
    <w:rsid w:val="005420CF"/>
    <w:rsid w:val="00542BE3"/>
    <w:rsid w:val="00543791"/>
    <w:rsid w:val="0054399B"/>
    <w:rsid w:val="00544BBE"/>
    <w:rsid w:val="005455C4"/>
    <w:rsid w:val="00545F7F"/>
    <w:rsid w:val="0054729B"/>
    <w:rsid w:val="0054763C"/>
    <w:rsid w:val="00547EA3"/>
    <w:rsid w:val="005503B8"/>
    <w:rsid w:val="0055055C"/>
    <w:rsid w:val="00550979"/>
    <w:rsid w:val="00550FDD"/>
    <w:rsid w:val="005510B7"/>
    <w:rsid w:val="005518AA"/>
    <w:rsid w:val="00551E66"/>
    <w:rsid w:val="00551EFE"/>
    <w:rsid w:val="00552B07"/>
    <w:rsid w:val="00552BD2"/>
    <w:rsid w:val="00552D72"/>
    <w:rsid w:val="00552F07"/>
    <w:rsid w:val="00552F8D"/>
    <w:rsid w:val="00553EC5"/>
    <w:rsid w:val="00555422"/>
    <w:rsid w:val="005558BE"/>
    <w:rsid w:val="00555F95"/>
    <w:rsid w:val="005569E4"/>
    <w:rsid w:val="00556D34"/>
    <w:rsid w:val="005578E1"/>
    <w:rsid w:val="00557B9A"/>
    <w:rsid w:val="005609B9"/>
    <w:rsid w:val="0056105E"/>
    <w:rsid w:val="00561330"/>
    <w:rsid w:val="00561B90"/>
    <w:rsid w:val="00562318"/>
    <w:rsid w:val="005624BF"/>
    <w:rsid w:val="0056256C"/>
    <w:rsid w:val="00562811"/>
    <w:rsid w:val="00563182"/>
    <w:rsid w:val="00563804"/>
    <w:rsid w:val="00564451"/>
    <w:rsid w:val="0056570C"/>
    <w:rsid w:val="00565F87"/>
    <w:rsid w:val="0056605A"/>
    <w:rsid w:val="00566288"/>
    <w:rsid w:val="0056650F"/>
    <w:rsid w:val="00567D3B"/>
    <w:rsid w:val="0057012C"/>
    <w:rsid w:val="005703D4"/>
    <w:rsid w:val="005704E9"/>
    <w:rsid w:val="005706AB"/>
    <w:rsid w:val="00570C5D"/>
    <w:rsid w:val="00570E99"/>
    <w:rsid w:val="0057106D"/>
    <w:rsid w:val="00571ACB"/>
    <w:rsid w:val="00571E16"/>
    <w:rsid w:val="0057297C"/>
    <w:rsid w:val="00572B98"/>
    <w:rsid w:val="00572C6F"/>
    <w:rsid w:val="00572F51"/>
    <w:rsid w:val="00573310"/>
    <w:rsid w:val="00573B95"/>
    <w:rsid w:val="00573E04"/>
    <w:rsid w:val="00574306"/>
    <w:rsid w:val="00574E82"/>
    <w:rsid w:val="0057541D"/>
    <w:rsid w:val="00575539"/>
    <w:rsid w:val="00575735"/>
    <w:rsid w:val="00575CE0"/>
    <w:rsid w:val="00575DE9"/>
    <w:rsid w:val="00576C81"/>
    <w:rsid w:val="00576D45"/>
    <w:rsid w:val="005773A1"/>
    <w:rsid w:val="00577ADB"/>
    <w:rsid w:val="0058051C"/>
    <w:rsid w:val="005807C4"/>
    <w:rsid w:val="0058090E"/>
    <w:rsid w:val="00580BE8"/>
    <w:rsid w:val="00580E3A"/>
    <w:rsid w:val="00581045"/>
    <w:rsid w:val="005810C9"/>
    <w:rsid w:val="005813CF"/>
    <w:rsid w:val="0058270F"/>
    <w:rsid w:val="00582E30"/>
    <w:rsid w:val="00582E7B"/>
    <w:rsid w:val="00583165"/>
    <w:rsid w:val="0058333E"/>
    <w:rsid w:val="0058440D"/>
    <w:rsid w:val="00584819"/>
    <w:rsid w:val="00584C05"/>
    <w:rsid w:val="005856B2"/>
    <w:rsid w:val="00586188"/>
    <w:rsid w:val="005861C8"/>
    <w:rsid w:val="005861CC"/>
    <w:rsid w:val="005861FB"/>
    <w:rsid w:val="00586687"/>
    <w:rsid w:val="00586688"/>
    <w:rsid w:val="00586725"/>
    <w:rsid w:val="00587539"/>
    <w:rsid w:val="0058786D"/>
    <w:rsid w:val="00587A9C"/>
    <w:rsid w:val="00590A79"/>
    <w:rsid w:val="00590FE0"/>
    <w:rsid w:val="00591336"/>
    <w:rsid w:val="005929C8"/>
    <w:rsid w:val="005937A1"/>
    <w:rsid w:val="005937D6"/>
    <w:rsid w:val="00593856"/>
    <w:rsid w:val="0059504A"/>
    <w:rsid w:val="005950C9"/>
    <w:rsid w:val="0059526B"/>
    <w:rsid w:val="005954EC"/>
    <w:rsid w:val="0059572A"/>
    <w:rsid w:val="005959C0"/>
    <w:rsid w:val="00595D85"/>
    <w:rsid w:val="00595E89"/>
    <w:rsid w:val="00596D4C"/>
    <w:rsid w:val="0059710E"/>
    <w:rsid w:val="005971B9"/>
    <w:rsid w:val="00597442"/>
    <w:rsid w:val="00597499"/>
    <w:rsid w:val="005977B9"/>
    <w:rsid w:val="00597AC1"/>
    <w:rsid w:val="005A0486"/>
    <w:rsid w:val="005A07BB"/>
    <w:rsid w:val="005A0ABF"/>
    <w:rsid w:val="005A2780"/>
    <w:rsid w:val="005A36AD"/>
    <w:rsid w:val="005A3795"/>
    <w:rsid w:val="005A3873"/>
    <w:rsid w:val="005A3A75"/>
    <w:rsid w:val="005A3E7F"/>
    <w:rsid w:val="005A51A9"/>
    <w:rsid w:val="005A566C"/>
    <w:rsid w:val="005A570F"/>
    <w:rsid w:val="005A5CFE"/>
    <w:rsid w:val="005A5FE5"/>
    <w:rsid w:val="005A6F5F"/>
    <w:rsid w:val="005A70FC"/>
    <w:rsid w:val="005A716E"/>
    <w:rsid w:val="005A740E"/>
    <w:rsid w:val="005A7770"/>
    <w:rsid w:val="005A7D23"/>
    <w:rsid w:val="005B0D74"/>
    <w:rsid w:val="005B1BAE"/>
    <w:rsid w:val="005B240E"/>
    <w:rsid w:val="005B29A2"/>
    <w:rsid w:val="005B44CD"/>
    <w:rsid w:val="005B4A8D"/>
    <w:rsid w:val="005B5546"/>
    <w:rsid w:val="005B57B9"/>
    <w:rsid w:val="005B5A50"/>
    <w:rsid w:val="005B613A"/>
    <w:rsid w:val="005B6161"/>
    <w:rsid w:val="005B6581"/>
    <w:rsid w:val="005B65CB"/>
    <w:rsid w:val="005B779B"/>
    <w:rsid w:val="005B7887"/>
    <w:rsid w:val="005B7A32"/>
    <w:rsid w:val="005B7C1C"/>
    <w:rsid w:val="005B7EC7"/>
    <w:rsid w:val="005C00D1"/>
    <w:rsid w:val="005C026A"/>
    <w:rsid w:val="005C03BF"/>
    <w:rsid w:val="005C20AE"/>
    <w:rsid w:val="005C233E"/>
    <w:rsid w:val="005C24BF"/>
    <w:rsid w:val="005C2CE8"/>
    <w:rsid w:val="005C2FE7"/>
    <w:rsid w:val="005C3C7C"/>
    <w:rsid w:val="005C3CFA"/>
    <w:rsid w:val="005C3F57"/>
    <w:rsid w:val="005C40CB"/>
    <w:rsid w:val="005C4553"/>
    <w:rsid w:val="005C4878"/>
    <w:rsid w:val="005C554F"/>
    <w:rsid w:val="005C576A"/>
    <w:rsid w:val="005C584B"/>
    <w:rsid w:val="005C5F73"/>
    <w:rsid w:val="005C6858"/>
    <w:rsid w:val="005C7497"/>
    <w:rsid w:val="005C78EE"/>
    <w:rsid w:val="005C7B46"/>
    <w:rsid w:val="005C7D3B"/>
    <w:rsid w:val="005D01B6"/>
    <w:rsid w:val="005D04DF"/>
    <w:rsid w:val="005D1008"/>
    <w:rsid w:val="005D1169"/>
    <w:rsid w:val="005D1275"/>
    <w:rsid w:val="005D13B5"/>
    <w:rsid w:val="005D1AC3"/>
    <w:rsid w:val="005D1C06"/>
    <w:rsid w:val="005D2671"/>
    <w:rsid w:val="005D26A6"/>
    <w:rsid w:val="005D2AE0"/>
    <w:rsid w:val="005D2C3C"/>
    <w:rsid w:val="005D4708"/>
    <w:rsid w:val="005D4F75"/>
    <w:rsid w:val="005D5616"/>
    <w:rsid w:val="005D5D0A"/>
    <w:rsid w:val="005D725B"/>
    <w:rsid w:val="005D72CA"/>
    <w:rsid w:val="005D772A"/>
    <w:rsid w:val="005D7772"/>
    <w:rsid w:val="005D791A"/>
    <w:rsid w:val="005D7A61"/>
    <w:rsid w:val="005D7A9F"/>
    <w:rsid w:val="005D7EF7"/>
    <w:rsid w:val="005D7EF9"/>
    <w:rsid w:val="005E0362"/>
    <w:rsid w:val="005E03E6"/>
    <w:rsid w:val="005E0D32"/>
    <w:rsid w:val="005E0F6E"/>
    <w:rsid w:val="005E0FFA"/>
    <w:rsid w:val="005E216A"/>
    <w:rsid w:val="005E24CC"/>
    <w:rsid w:val="005E2AA2"/>
    <w:rsid w:val="005E32B1"/>
    <w:rsid w:val="005E3B96"/>
    <w:rsid w:val="005E3DC5"/>
    <w:rsid w:val="005E4401"/>
    <w:rsid w:val="005E45CC"/>
    <w:rsid w:val="005E573B"/>
    <w:rsid w:val="005E5DD2"/>
    <w:rsid w:val="005E5E52"/>
    <w:rsid w:val="005E6301"/>
    <w:rsid w:val="005E6D67"/>
    <w:rsid w:val="005E71AB"/>
    <w:rsid w:val="005E71FA"/>
    <w:rsid w:val="005E7E2A"/>
    <w:rsid w:val="005F08BF"/>
    <w:rsid w:val="005F1853"/>
    <w:rsid w:val="005F1D0B"/>
    <w:rsid w:val="005F1FD1"/>
    <w:rsid w:val="005F2FCD"/>
    <w:rsid w:val="005F3519"/>
    <w:rsid w:val="005F4E67"/>
    <w:rsid w:val="005F54C5"/>
    <w:rsid w:val="005F6689"/>
    <w:rsid w:val="005F6796"/>
    <w:rsid w:val="005F692D"/>
    <w:rsid w:val="005F6DF1"/>
    <w:rsid w:val="005F6FCE"/>
    <w:rsid w:val="005F74F6"/>
    <w:rsid w:val="005F765A"/>
    <w:rsid w:val="005F79CB"/>
    <w:rsid w:val="005F7B48"/>
    <w:rsid w:val="005F7E25"/>
    <w:rsid w:val="005F7F13"/>
    <w:rsid w:val="00600614"/>
    <w:rsid w:val="0060094E"/>
    <w:rsid w:val="00601181"/>
    <w:rsid w:val="0060271F"/>
    <w:rsid w:val="00603637"/>
    <w:rsid w:val="00603645"/>
    <w:rsid w:val="00603825"/>
    <w:rsid w:val="00603F27"/>
    <w:rsid w:val="0060535E"/>
    <w:rsid w:val="006059DF"/>
    <w:rsid w:val="00605B79"/>
    <w:rsid w:val="006066C8"/>
    <w:rsid w:val="00606B45"/>
    <w:rsid w:val="00606C88"/>
    <w:rsid w:val="00606EBF"/>
    <w:rsid w:val="00607006"/>
    <w:rsid w:val="00607063"/>
    <w:rsid w:val="0060713E"/>
    <w:rsid w:val="006073A9"/>
    <w:rsid w:val="0060781E"/>
    <w:rsid w:val="00607D91"/>
    <w:rsid w:val="00607E91"/>
    <w:rsid w:val="00610C30"/>
    <w:rsid w:val="006115B6"/>
    <w:rsid w:val="006116CF"/>
    <w:rsid w:val="00611BE5"/>
    <w:rsid w:val="00611DD0"/>
    <w:rsid w:val="00612135"/>
    <w:rsid w:val="006130BC"/>
    <w:rsid w:val="006136DF"/>
    <w:rsid w:val="00613E2D"/>
    <w:rsid w:val="00613FF9"/>
    <w:rsid w:val="00614512"/>
    <w:rsid w:val="00614F7B"/>
    <w:rsid w:val="006153DF"/>
    <w:rsid w:val="006156A1"/>
    <w:rsid w:val="00615710"/>
    <w:rsid w:val="00615A8C"/>
    <w:rsid w:val="00616359"/>
    <w:rsid w:val="006163B7"/>
    <w:rsid w:val="006164FC"/>
    <w:rsid w:val="00616CA4"/>
    <w:rsid w:val="006200BF"/>
    <w:rsid w:val="006215F3"/>
    <w:rsid w:val="00621BC3"/>
    <w:rsid w:val="006232FE"/>
    <w:rsid w:val="00623745"/>
    <w:rsid w:val="00623821"/>
    <w:rsid w:val="0062396A"/>
    <w:rsid w:val="00623BC5"/>
    <w:rsid w:val="006240F2"/>
    <w:rsid w:val="00624155"/>
    <w:rsid w:val="006246CA"/>
    <w:rsid w:val="00624A16"/>
    <w:rsid w:val="00624F32"/>
    <w:rsid w:val="00625EAD"/>
    <w:rsid w:val="006273CF"/>
    <w:rsid w:val="0062767F"/>
    <w:rsid w:val="0063016B"/>
    <w:rsid w:val="00630F0A"/>
    <w:rsid w:val="00632859"/>
    <w:rsid w:val="00632B6E"/>
    <w:rsid w:val="00633061"/>
    <w:rsid w:val="00633186"/>
    <w:rsid w:val="006336F5"/>
    <w:rsid w:val="0063382C"/>
    <w:rsid w:val="00633860"/>
    <w:rsid w:val="00633993"/>
    <w:rsid w:val="00634102"/>
    <w:rsid w:val="00634302"/>
    <w:rsid w:val="006344BD"/>
    <w:rsid w:val="0063451C"/>
    <w:rsid w:val="006346EF"/>
    <w:rsid w:val="00634B93"/>
    <w:rsid w:val="00635715"/>
    <w:rsid w:val="006363FD"/>
    <w:rsid w:val="0063692C"/>
    <w:rsid w:val="00636936"/>
    <w:rsid w:val="00636F84"/>
    <w:rsid w:val="00636F8A"/>
    <w:rsid w:val="00637011"/>
    <w:rsid w:val="00637CE2"/>
    <w:rsid w:val="0064008E"/>
    <w:rsid w:val="00640D01"/>
    <w:rsid w:val="006421D3"/>
    <w:rsid w:val="0064389B"/>
    <w:rsid w:val="0064396E"/>
    <w:rsid w:val="00643FA2"/>
    <w:rsid w:val="006441A4"/>
    <w:rsid w:val="00644868"/>
    <w:rsid w:val="00644F39"/>
    <w:rsid w:val="006458E6"/>
    <w:rsid w:val="00646445"/>
    <w:rsid w:val="0064701A"/>
    <w:rsid w:val="00647FC0"/>
    <w:rsid w:val="0065004E"/>
    <w:rsid w:val="0065046B"/>
    <w:rsid w:val="00651004"/>
    <w:rsid w:val="006511C7"/>
    <w:rsid w:val="00651886"/>
    <w:rsid w:val="00651C08"/>
    <w:rsid w:val="00652023"/>
    <w:rsid w:val="00652A4B"/>
    <w:rsid w:val="0065381C"/>
    <w:rsid w:val="006538A9"/>
    <w:rsid w:val="0065485A"/>
    <w:rsid w:val="00654892"/>
    <w:rsid w:val="00654C59"/>
    <w:rsid w:val="006557B6"/>
    <w:rsid w:val="00656574"/>
    <w:rsid w:val="006573E9"/>
    <w:rsid w:val="00657A36"/>
    <w:rsid w:val="00657F87"/>
    <w:rsid w:val="0066041A"/>
    <w:rsid w:val="006604EA"/>
    <w:rsid w:val="00660AB2"/>
    <w:rsid w:val="00660AC1"/>
    <w:rsid w:val="00660BE9"/>
    <w:rsid w:val="00660DC2"/>
    <w:rsid w:val="00660E4E"/>
    <w:rsid w:val="006625F5"/>
    <w:rsid w:val="006628E5"/>
    <w:rsid w:val="00663536"/>
    <w:rsid w:val="006635B0"/>
    <w:rsid w:val="006639C6"/>
    <w:rsid w:val="006645CA"/>
    <w:rsid w:val="0066468E"/>
    <w:rsid w:val="00664D3D"/>
    <w:rsid w:val="00664E01"/>
    <w:rsid w:val="00665873"/>
    <w:rsid w:val="00666FCD"/>
    <w:rsid w:val="006673C4"/>
    <w:rsid w:val="00667E89"/>
    <w:rsid w:val="00670213"/>
    <w:rsid w:val="00673A94"/>
    <w:rsid w:val="00673E31"/>
    <w:rsid w:val="0067450A"/>
    <w:rsid w:val="006747FB"/>
    <w:rsid w:val="006753E1"/>
    <w:rsid w:val="00675508"/>
    <w:rsid w:val="00675A26"/>
    <w:rsid w:val="00675A80"/>
    <w:rsid w:val="006763CA"/>
    <w:rsid w:val="00677642"/>
    <w:rsid w:val="0067797D"/>
    <w:rsid w:val="00677AE2"/>
    <w:rsid w:val="00677F07"/>
    <w:rsid w:val="00680500"/>
    <w:rsid w:val="00680736"/>
    <w:rsid w:val="00680B7E"/>
    <w:rsid w:val="0068135C"/>
    <w:rsid w:val="0068172D"/>
    <w:rsid w:val="00681757"/>
    <w:rsid w:val="006817E4"/>
    <w:rsid w:val="00681976"/>
    <w:rsid w:val="00681BEC"/>
    <w:rsid w:val="00681CE5"/>
    <w:rsid w:val="00681E6A"/>
    <w:rsid w:val="0068213C"/>
    <w:rsid w:val="00682552"/>
    <w:rsid w:val="00682660"/>
    <w:rsid w:val="00683700"/>
    <w:rsid w:val="00683904"/>
    <w:rsid w:val="00683F7C"/>
    <w:rsid w:val="0068449C"/>
    <w:rsid w:val="006846E3"/>
    <w:rsid w:val="00684847"/>
    <w:rsid w:val="00684955"/>
    <w:rsid w:val="006855B8"/>
    <w:rsid w:val="006859C0"/>
    <w:rsid w:val="0068637C"/>
    <w:rsid w:val="006864D1"/>
    <w:rsid w:val="00686CE2"/>
    <w:rsid w:val="0068745E"/>
    <w:rsid w:val="006901F3"/>
    <w:rsid w:val="00690A1A"/>
    <w:rsid w:val="00691096"/>
    <w:rsid w:val="0069191F"/>
    <w:rsid w:val="00691B4B"/>
    <w:rsid w:val="0069244B"/>
    <w:rsid w:val="0069266B"/>
    <w:rsid w:val="00692D15"/>
    <w:rsid w:val="00693F30"/>
    <w:rsid w:val="00694D4A"/>
    <w:rsid w:val="00694ECB"/>
    <w:rsid w:val="00695470"/>
    <w:rsid w:val="00695E5E"/>
    <w:rsid w:val="006974C3"/>
    <w:rsid w:val="00697B87"/>
    <w:rsid w:val="006A043D"/>
    <w:rsid w:val="006A07B4"/>
    <w:rsid w:val="006A09A8"/>
    <w:rsid w:val="006A2786"/>
    <w:rsid w:val="006A2898"/>
    <w:rsid w:val="006A2961"/>
    <w:rsid w:val="006A2C3C"/>
    <w:rsid w:val="006A2CCD"/>
    <w:rsid w:val="006A2E1F"/>
    <w:rsid w:val="006A30B9"/>
    <w:rsid w:val="006A3D94"/>
    <w:rsid w:val="006A4500"/>
    <w:rsid w:val="006A4890"/>
    <w:rsid w:val="006A570E"/>
    <w:rsid w:val="006A5D5F"/>
    <w:rsid w:val="006A5F50"/>
    <w:rsid w:val="006A619E"/>
    <w:rsid w:val="006A6726"/>
    <w:rsid w:val="006A7567"/>
    <w:rsid w:val="006A75BC"/>
    <w:rsid w:val="006A75CF"/>
    <w:rsid w:val="006A7B0A"/>
    <w:rsid w:val="006B0963"/>
    <w:rsid w:val="006B1967"/>
    <w:rsid w:val="006B1DBD"/>
    <w:rsid w:val="006B1EED"/>
    <w:rsid w:val="006B204D"/>
    <w:rsid w:val="006B2114"/>
    <w:rsid w:val="006B26CC"/>
    <w:rsid w:val="006B2700"/>
    <w:rsid w:val="006B30F9"/>
    <w:rsid w:val="006B3166"/>
    <w:rsid w:val="006B39E4"/>
    <w:rsid w:val="006B4B94"/>
    <w:rsid w:val="006B5005"/>
    <w:rsid w:val="006B547B"/>
    <w:rsid w:val="006B5567"/>
    <w:rsid w:val="006B5609"/>
    <w:rsid w:val="006B5BD6"/>
    <w:rsid w:val="006B5C13"/>
    <w:rsid w:val="006B6293"/>
    <w:rsid w:val="006B65D7"/>
    <w:rsid w:val="006B6DA4"/>
    <w:rsid w:val="006B7704"/>
    <w:rsid w:val="006B78C8"/>
    <w:rsid w:val="006C04C9"/>
    <w:rsid w:val="006C0777"/>
    <w:rsid w:val="006C14F2"/>
    <w:rsid w:val="006C193A"/>
    <w:rsid w:val="006C2A4C"/>
    <w:rsid w:val="006C3941"/>
    <w:rsid w:val="006C3BE8"/>
    <w:rsid w:val="006C3F34"/>
    <w:rsid w:val="006C4798"/>
    <w:rsid w:val="006C47B8"/>
    <w:rsid w:val="006C4970"/>
    <w:rsid w:val="006C4DEE"/>
    <w:rsid w:val="006C4F5B"/>
    <w:rsid w:val="006C5289"/>
    <w:rsid w:val="006C5394"/>
    <w:rsid w:val="006C550E"/>
    <w:rsid w:val="006C5BF6"/>
    <w:rsid w:val="006C649C"/>
    <w:rsid w:val="006C6936"/>
    <w:rsid w:val="006C6B23"/>
    <w:rsid w:val="006C6D61"/>
    <w:rsid w:val="006C7541"/>
    <w:rsid w:val="006D0590"/>
    <w:rsid w:val="006D0C3A"/>
    <w:rsid w:val="006D1153"/>
    <w:rsid w:val="006D21EF"/>
    <w:rsid w:val="006D2665"/>
    <w:rsid w:val="006D2D69"/>
    <w:rsid w:val="006D30B8"/>
    <w:rsid w:val="006D385E"/>
    <w:rsid w:val="006D4682"/>
    <w:rsid w:val="006D4950"/>
    <w:rsid w:val="006D4F0F"/>
    <w:rsid w:val="006D4F89"/>
    <w:rsid w:val="006D5CFA"/>
    <w:rsid w:val="006D6996"/>
    <w:rsid w:val="006D6FCA"/>
    <w:rsid w:val="006D77C0"/>
    <w:rsid w:val="006D7B56"/>
    <w:rsid w:val="006D7D11"/>
    <w:rsid w:val="006E01C8"/>
    <w:rsid w:val="006E041A"/>
    <w:rsid w:val="006E109D"/>
    <w:rsid w:val="006E11C0"/>
    <w:rsid w:val="006E278A"/>
    <w:rsid w:val="006E2A90"/>
    <w:rsid w:val="006E3789"/>
    <w:rsid w:val="006E3AFA"/>
    <w:rsid w:val="006E3D10"/>
    <w:rsid w:val="006E42AF"/>
    <w:rsid w:val="006E48BD"/>
    <w:rsid w:val="006E494B"/>
    <w:rsid w:val="006E503E"/>
    <w:rsid w:val="006E5782"/>
    <w:rsid w:val="006E5B35"/>
    <w:rsid w:val="006E6159"/>
    <w:rsid w:val="006E640D"/>
    <w:rsid w:val="006E6615"/>
    <w:rsid w:val="006E6A42"/>
    <w:rsid w:val="006E6D57"/>
    <w:rsid w:val="006E6EDE"/>
    <w:rsid w:val="006E790A"/>
    <w:rsid w:val="006F079B"/>
    <w:rsid w:val="006F11C0"/>
    <w:rsid w:val="006F1706"/>
    <w:rsid w:val="006F19A0"/>
    <w:rsid w:val="006F1B6E"/>
    <w:rsid w:val="006F2200"/>
    <w:rsid w:val="006F231E"/>
    <w:rsid w:val="006F331F"/>
    <w:rsid w:val="006F3F06"/>
    <w:rsid w:val="006F43F6"/>
    <w:rsid w:val="006F4FE5"/>
    <w:rsid w:val="006F513A"/>
    <w:rsid w:val="006F53D6"/>
    <w:rsid w:val="006F565C"/>
    <w:rsid w:val="006F5C1B"/>
    <w:rsid w:val="006F6015"/>
    <w:rsid w:val="006F614E"/>
    <w:rsid w:val="006F687E"/>
    <w:rsid w:val="006F6D21"/>
    <w:rsid w:val="006F7096"/>
    <w:rsid w:val="006F7390"/>
    <w:rsid w:val="006F74A5"/>
    <w:rsid w:val="006F7FEF"/>
    <w:rsid w:val="0070059E"/>
    <w:rsid w:val="007020F7"/>
    <w:rsid w:val="00703EE6"/>
    <w:rsid w:val="0070440C"/>
    <w:rsid w:val="007047BB"/>
    <w:rsid w:val="0070511F"/>
    <w:rsid w:val="0070523B"/>
    <w:rsid w:val="007053FE"/>
    <w:rsid w:val="00705EF9"/>
    <w:rsid w:val="00706992"/>
    <w:rsid w:val="00707544"/>
    <w:rsid w:val="00707D9B"/>
    <w:rsid w:val="00710F55"/>
    <w:rsid w:val="007117F5"/>
    <w:rsid w:val="00711A65"/>
    <w:rsid w:val="00713406"/>
    <w:rsid w:val="00714666"/>
    <w:rsid w:val="007150DB"/>
    <w:rsid w:val="00715859"/>
    <w:rsid w:val="00715874"/>
    <w:rsid w:val="00715E7D"/>
    <w:rsid w:val="00716321"/>
    <w:rsid w:val="007168F5"/>
    <w:rsid w:val="00717099"/>
    <w:rsid w:val="00717A7C"/>
    <w:rsid w:val="00717AED"/>
    <w:rsid w:val="00721B5C"/>
    <w:rsid w:val="00722543"/>
    <w:rsid w:val="00723226"/>
    <w:rsid w:val="00723ACB"/>
    <w:rsid w:val="00723D3A"/>
    <w:rsid w:val="007247E6"/>
    <w:rsid w:val="00724964"/>
    <w:rsid w:val="0072502F"/>
    <w:rsid w:val="007251D6"/>
    <w:rsid w:val="00725F97"/>
    <w:rsid w:val="00726029"/>
    <w:rsid w:val="007265B8"/>
    <w:rsid w:val="00727655"/>
    <w:rsid w:val="00727A3A"/>
    <w:rsid w:val="00727B9C"/>
    <w:rsid w:val="00727CAB"/>
    <w:rsid w:val="00730350"/>
    <w:rsid w:val="00730907"/>
    <w:rsid w:val="00730B13"/>
    <w:rsid w:val="00731121"/>
    <w:rsid w:val="00731192"/>
    <w:rsid w:val="0073129F"/>
    <w:rsid w:val="0073163D"/>
    <w:rsid w:val="0073192E"/>
    <w:rsid w:val="007321F5"/>
    <w:rsid w:val="0073245F"/>
    <w:rsid w:val="00732A06"/>
    <w:rsid w:val="00732C20"/>
    <w:rsid w:val="00732CB6"/>
    <w:rsid w:val="00732D8B"/>
    <w:rsid w:val="00732DE9"/>
    <w:rsid w:val="007336AD"/>
    <w:rsid w:val="00733AF3"/>
    <w:rsid w:val="00733B59"/>
    <w:rsid w:val="0073460C"/>
    <w:rsid w:val="0073476D"/>
    <w:rsid w:val="0073499E"/>
    <w:rsid w:val="00734F3A"/>
    <w:rsid w:val="00735975"/>
    <w:rsid w:val="00735ACA"/>
    <w:rsid w:val="00735AF2"/>
    <w:rsid w:val="00736CD6"/>
    <w:rsid w:val="00736FE8"/>
    <w:rsid w:val="00737083"/>
    <w:rsid w:val="00737A7F"/>
    <w:rsid w:val="00737E91"/>
    <w:rsid w:val="0074020D"/>
    <w:rsid w:val="007409D0"/>
    <w:rsid w:val="00740F66"/>
    <w:rsid w:val="0074146B"/>
    <w:rsid w:val="00741696"/>
    <w:rsid w:val="007416C6"/>
    <w:rsid w:val="00742A9F"/>
    <w:rsid w:val="00742C45"/>
    <w:rsid w:val="0074496D"/>
    <w:rsid w:val="0074497E"/>
    <w:rsid w:val="00744A90"/>
    <w:rsid w:val="007451DA"/>
    <w:rsid w:val="007456A3"/>
    <w:rsid w:val="00745AE1"/>
    <w:rsid w:val="00746952"/>
    <w:rsid w:val="00747B17"/>
    <w:rsid w:val="00747D6E"/>
    <w:rsid w:val="00750156"/>
    <w:rsid w:val="00750157"/>
    <w:rsid w:val="00750712"/>
    <w:rsid w:val="007509EC"/>
    <w:rsid w:val="00751772"/>
    <w:rsid w:val="007517BD"/>
    <w:rsid w:val="00751844"/>
    <w:rsid w:val="0075203E"/>
    <w:rsid w:val="00752F1B"/>
    <w:rsid w:val="00753372"/>
    <w:rsid w:val="0075438D"/>
    <w:rsid w:val="00754875"/>
    <w:rsid w:val="00754C75"/>
    <w:rsid w:val="007557CD"/>
    <w:rsid w:val="00755A2A"/>
    <w:rsid w:val="00755CAB"/>
    <w:rsid w:val="00755F6D"/>
    <w:rsid w:val="007561B0"/>
    <w:rsid w:val="00756309"/>
    <w:rsid w:val="0075671B"/>
    <w:rsid w:val="00756FBB"/>
    <w:rsid w:val="00757465"/>
    <w:rsid w:val="007575C1"/>
    <w:rsid w:val="007576AE"/>
    <w:rsid w:val="00757A33"/>
    <w:rsid w:val="00757CBF"/>
    <w:rsid w:val="00757D27"/>
    <w:rsid w:val="00761025"/>
    <w:rsid w:val="007612D2"/>
    <w:rsid w:val="00761323"/>
    <w:rsid w:val="0076309A"/>
    <w:rsid w:val="007632D8"/>
    <w:rsid w:val="007637C4"/>
    <w:rsid w:val="00763D5A"/>
    <w:rsid w:val="007640F8"/>
    <w:rsid w:val="007651B7"/>
    <w:rsid w:val="0076520B"/>
    <w:rsid w:val="00765482"/>
    <w:rsid w:val="00765D78"/>
    <w:rsid w:val="00766A92"/>
    <w:rsid w:val="00767AFF"/>
    <w:rsid w:val="00767FAA"/>
    <w:rsid w:val="00770935"/>
    <w:rsid w:val="00770AB8"/>
    <w:rsid w:val="007720B2"/>
    <w:rsid w:val="00772CD0"/>
    <w:rsid w:val="007737EF"/>
    <w:rsid w:val="00773D6F"/>
    <w:rsid w:val="007745E3"/>
    <w:rsid w:val="00775F0C"/>
    <w:rsid w:val="00776253"/>
    <w:rsid w:val="007766B6"/>
    <w:rsid w:val="0077732B"/>
    <w:rsid w:val="00777E87"/>
    <w:rsid w:val="00777F71"/>
    <w:rsid w:val="00780B58"/>
    <w:rsid w:val="00781241"/>
    <w:rsid w:val="00782201"/>
    <w:rsid w:val="007825EC"/>
    <w:rsid w:val="00782796"/>
    <w:rsid w:val="007828FD"/>
    <w:rsid w:val="00783265"/>
    <w:rsid w:val="00783849"/>
    <w:rsid w:val="00784C66"/>
    <w:rsid w:val="007851EC"/>
    <w:rsid w:val="00785687"/>
    <w:rsid w:val="00785CBA"/>
    <w:rsid w:val="00785EEA"/>
    <w:rsid w:val="0078637A"/>
    <w:rsid w:val="0078642F"/>
    <w:rsid w:val="007865F2"/>
    <w:rsid w:val="00786BC3"/>
    <w:rsid w:val="00786FE7"/>
    <w:rsid w:val="0078720B"/>
    <w:rsid w:val="00787918"/>
    <w:rsid w:val="00787ECD"/>
    <w:rsid w:val="00787F23"/>
    <w:rsid w:val="00790181"/>
    <w:rsid w:val="00790246"/>
    <w:rsid w:val="00790692"/>
    <w:rsid w:val="00790E30"/>
    <w:rsid w:val="00792045"/>
    <w:rsid w:val="00793433"/>
    <w:rsid w:val="00793647"/>
    <w:rsid w:val="00793B5F"/>
    <w:rsid w:val="00794104"/>
    <w:rsid w:val="00794BFC"/>
    <w:rsid w:val="00794D39"/>
    <w:rsid w:val="00795687"/>
    <w:rsid w:val="0079570E"/>
    <w:rsid w:val="00796B68"/>
    <w:rsid w:val="00797885"/>
    <w:rsid w:val="00797D1F"/>
    <w:rsid w:val="00797F7F"/>
    <w:rsid w:val="007A0ED0"/>
    <w:rsid w:val="007A10E0"/>
    <w:rsid w:val="007A1DBF"/>
    <w:rsid w:val="007A2D19"/>
    <w:rsid w:val="007A309D"/>
    <w:rsid w:val="007A3615"/>
    <w:rsid w:val="007A37F5"/>
    <w:rsid w:val="007A44A2"/>
    <w:rsid w:val="007A488B"/>
    <w:rsid w:val="007A4EEC"/>
    <w:rsid w:val="007A51FB"/>
    <w:rsid w:val="007A5C9C"/>
    <w:rsid w:val="007A616E"/>
    <w:rsid w:val="007A66FB"/>
    <w:rsid w:val="007A6ABA"/>
    <w:rsid w:val="007A71DD"/>
    <w:rsid w:val="007A7526"/>
    <w:rsid w:val="007A7FCF"/>
    <w:rsid w:val="007B07C4"/>
    <w:rsid w:val="007B12F6"/>
    <w:rsid w:val="007B13DE"/>
    <w:rsid w:val="007B17E0"/>
    <w:rsid w:val="007B1930"/>
    <w:rsid w:val="007B2159"/>
    <w:rsid w:val="007B2D76"/>
    <w:rsid w:val="007B3471"/>
    <w:rsid w:val="007B3BC8"/>
    <w:rsid w:val="007B3E25"/>
    <w:rsid w:val="007B3E36"/>
    <w:rsid w:val="007B429D"/>
    <w:rsid w:val="007B4875"/>
    <w:rsid w:val="007B5546"/>
    <w:rsid w:val="007B59F3"/>
    <w:rsid w:val="007B5F04"/>
    <w:rsid w:val="007B6005"/>
    <w:rsid w:val="007B621E"/>
    <w:rsid w:val="007B7184"/>
    <w:rsid w:val="007B75F8"/>
    <w:rsid w:val="007B7949"/>
    <w:rsid w:val="007B7B5A"/>
    <w:rsid w:val="007C0095"/>
    <w:rsid w:val="007C02FA"/>
    <w:rsid w:val="007C3901"/>
    <w:rsid w:val="007C3ED2"/>
    <w:rsid w:val="007C5E46"/>
    <w:rsid w:val="007C6113"/>
    <w:rsid w:val="007C73D6"/>
    <w:rsid w:val="007D0108"/>
    <w:rsid w:val="007D0153"/>
    <w:rsid w:val="007D0160"/>
    <w:rsid w:val="007D09F2"/>
    <w:rsid w:val="007D0B6D"/>
    <w:rsid w:val="007D1A91"/>
    <w:rsid w:val="007D1D8E"/>
    <w:rsid w:val="007D23A4"/>
    <w:rsid w:val="007D24CD"/>
    <w:rsid w:val="007D353B"/>
    <w:rsid w:val="007D3647"/>
    <w:rsid w:val="007D3C40"/>
    <w:rsid w:val="007D42F8"/>
    <w:rsid w:val="007D434C"/>
    <w:rsid w:val="007D48DC"/>
    <w:rsid w:val="007D490F"/>
    <w:rsid w:val="007D5036"/>
    <w:rsid w:val="007D5045"/>
    <w:rsid w:val="007D5397"/>
    <w:rsid w:val="007D53B2"/>
    <w:rsid w:val="007D58F8"/>
    <w:rsid w:val="007D6036"/>
    <w:rsid w:val="007D604F"/>
    <w:rsid w:val="007D63D4"/>
    <w:rsid w:val="007D684E"/>
    <w:rsid w:val="007D6D71"/>
    <w:rsid w:val="007D74CB"/>
    <w:rsid w:val="007E042E"/>
    <w:rsid w:val="007E049B"/>
    <w:rsid w:val="007E0B0C"/>
    <w:rsid w:val="007E0DCB"/>
    <w:rsid w:val="007E1C44"/>
    <w:rsid w:val="007E272D"/>
    <w:rsid w:val="007E3516"/>
    <w:rsid w:val="007E5083"/>
    <w:rsid w:val="007E5124"/>
    <w:rsid w:val="007E5B1D"/>
    <w:rsid w:val="007E64B4"/>
    <w:rsid w:val="007E6BEA"/>
    <w:rsid w:val="007E7743"/>
    <w:rsid w:val="007E78C7"/>
    <w:rsid w:val="007E7DED"/>
    <w:rsid w:val="007E7F8B"/>
    <w:rsid w:val="007F0E15"/>
    <w:rsid w:val="007F2652"/>
    <w:rsid w:val="007F31B4"/>
    <w:rsid w:val="007F322C"/>
    <w:rsid w:val="007F326C"/>
    <w:rsid w:val="007F3739"/>
    <w:rsid w:val="007F398B"/>
    <w:rsid w:val="007F3F2E"/>
    <w:rsid w:val="007F4316"/>
    <w:rsid w:val="007F49D3"/>
    <w:rsid w:val="007F554B"/>
    <w:rsid w:val="007F6056"/>
    <w:rsid w:val="007F61B5"/>
    <w:rsid w:val="007F620E"/>
    <w:rsid w:val="007F6844"/>
    <w:rsid w:val="007F6AF0"/>
    <w:rsid w:val="007F6DDC"/>
    <w:rsid w:val="007F7186"/>
    <w:rsid w:val="007F73BB"/>
    <w:rsid w:val="007F75E3"/>
    <w:rsid w:val="008002B7"/>
    <w:rsid w:val="008004D6"/>
    <w:rsid w:val="00800687"/>
    <w:rsid w:val="008009CC"/>
    <w:rsid w:val="00800ABE"/>
    <w:rsid w:val="00800E54"/>
    <w:rsid w:val="008022A3"/>
    <w:rsid w:val="008033DD"/>
    <w:rsid w:val="00803B0C"/>
    <w:rsid w:val="00803C1C"/>
    <w:rsid w:val="00803E36"/>
    <w:rsid w:val="008049FF"/>
    <w:rsid w:val="00804D94"/>
    <w:rsid w:val="008051D8"/>
    <w:rsid w:val="0080524D"/>
    <w:rsid w:val="00805744"/>
    <w:rsid w:val="00805B17"/>
    <w:rsid w:val="008060C7"/>
    <w:rsid w:val="00806613"/>
    <w:rsid w:val="00806655"/>
    <w:rsid w:val="0080692D"/>
    <w:rsid w:val="00806966"/>
    <w:rsid w:val="00806FB2"/>
    <w:rsid w:val="008079A3"/>
    <w:rsid w:val="00807EEE"/>
    <w:rsid w:val="00810504"/>
    <w:rsid w:val="0081225D"/>
    <w:rsid w:val="0081289D"/>
    <w:rsid w:val="00812A24"/>
    <w:rsid w:val="00812C0B"/>
    <w:rsid w:val="008139A4"/>
    <w:rsid w:val="00814C5B"/>
    <w:rsid w:val="008157FD"/>
    <w:rsid w:val="00815EF5"/>
    <w:rsid w:val="00816053"/>
    <w:rsid w:val="00817818"/>
    <w:rsid w:val="00817A8D"/>
    <w:rsid w:val="00817E18"/>
    <w:rsid w:val="00817F81"/>
    <w:rsid w:val="00820BC0"/>
    <w:rsid w:val="0082180E"/>
    <w:rsid w:val="00822499"/>
    <w:rsid w:val="008229E1"/>
    <w:rsid w:val="00822DFA"/>
    <w:rsid w:val="0082309A"/>
    <w:rsid w:val="008234A3"/>
    <w:rsid w:val="008239DD"/>
    <w:rsid w:val="00823A10"/>
    <w:rsid w:val="00823CBC"/>
    <w:rsid w:val="00823CE3"/>
    <w:rsid w:val="0082443A"/>
    <w:rsid w:val="00824FCC"/>
    <w:rsid w:val="008251F3"/>
    <w:rsid w:val="0082556E"/>
    <w:rsid w:val="0082584C"/>
    <w:rsid w:val="0082670D"/>
    <w:rsid w:val="008270AE"/>
    <w:rsid w:val="00827AEA"/>
    <w:rsid w:val="008303CA"/>
    <w:rsid w:val="008303F9"/>
    <w:rsid w:val="00830724"/>
    <w:rsid w:val="008309C9"/>
    <w:rsid w:val="008318C5"/>
    <w:rsid w:val="00831C6E"/>
    <w:rsid w:val="00831E33"/>
    <w:rsid w:val="00832346"/>
    <w:rsid w:val="00832ECD"/>
    <w:rsid w:val="0083313C"/>
    <w:rsid w:val="0083320D"/>
    <w:rsid w:val="0083368A"/>
    <w:rsid w:val="00833B95"/>
    <w:rsid w:val="008340FD"/>
    <w:rsid w:val="00834285"/>
    <w:rsid w:val="00834B3A"/>
    <w:rsid w:val="00835986"/>
    <w:rsid w:val="0083631D"/>
    <w:rsid w:val="00836BA8"/>
    <w:rsid w:val="00836C21"/>
    <w:rsid w:val="0084067C"/>
    <w:rsid w:val="0084069A"/>
    <w:rsid w:val="0084079F"/>
    <w:rsid w:val="00840B9C"/>
    <w:rsid w:val="00840D12"/>
    <w:rsid w:val="0084137D"/>
    <w:rsid w:val="00841983"/>
    <w:rsid w:val="00841E83"/>
    <w:rsid w:val="00843304"/>
    <w:rsid w:val="00843C87"/>
    <w:rsid w:val="00844079"/>
    <w:rsid w:val="008444D0"/>
    <w:rsid w:val="00845536"/>
    <w:rsid w:val="00845827"/>
    <w:rsid w:val="00845916"/>
    <w:rsid w:val="008461C3"/>
    <w:rsid w:val="00846205"/>
    <w:rsid w:val="0084627E"/>
    <w:rsid w:val="008463D7"/>
    <w:rsid w:val="008477DD"/>
    <w:rsid w:val="008478D5"/>
    <w:rsid w:val="008502A5"/>
    <w:rsid w:val="0085040D"/>
    <w:rsid w:val="00851597"/>
    <w:rsid w:val="00851B3C"/>
    <w:rsid w:val="00851F07"/>
    <w:rsid w:val="008526BE"/>
    <w:rsid w:val="00852B73"/>
    <w:rsid w:val="0085320C"/>
    <w:rsid w:val="008532FB"/>
    <w:rsid w:val="00853C34"/>
    <w:rsid w:val="00853D48"/>
    <w:rsid w:val="008545E5"/>
    <w:rsid w:val="008546FC"/>
    <w:rsid w:val="00854C1F"/>
    <w:rsid w:val="00855637"/>
    <w:rsid w:val="0085585E"/>
    <w:rsid w:val="00856AE4"/>
    <w:rsid w:val="00856F26"/>
    <w:rsid w:val="00856FE4"/>
    <w:rsid w:val="0086014F"/>
    <w:rsid w:val="00860B60"/>
    <w:rsid w:val="00861206"/>
    <w:rsid w:val="008616EC"/>
    <w:rsid w:val="00861828"/>
    <w:rsid w:val="00862E9F"/>
    <w:rsid w:val="0086347C"/>
    <w:rsid w:val="00863600"/>
    <w:rsid w:val="00863785"/>
    <w:rsid w:val="00863DF9"/>
    <w:rsid w:val="00864236"/>
    <w:rsid w:val="00864390"/>
    <w:rsid w:val="008657C7"/>
    <w:rsid w:val="00866C89"/>
    <w:rsid w:val="00866CC4"/>
    <w:rsid w:val="00866E9B"/>
    <w:rsid w:val="00866F8C"/>
    <w:rsid w:val="008700DC"/>
    <w:rsid w:val="0087024D"/>
    <w:rsid w:val="008705AD"/>
    <w:rsid w:val="0087138B"/>
    <w:rsid w:val="0087183A"/>
    <w:rsid w:val="0087338F"/>
    <w:rsid w:val="0087568F"/>
    <w:rsid w:val="008757B9"/>
    <w:rsid w:val="0087598C"/>
    <w:rsid w:val="00875B99"/>
    <w:rsid w:val="00875C04"/>
    <w:rsid w:val="00875D5F"/>
    <w:rsid w:val="008761F0"/>
    <w:rsid w:val="00876251"/>
    <w:rsid w:val="00876838"/>
    <w:rsid w:val="008768B9"/>
    <w:rsid w:val="008779BF"/>
    <w:rsid w:val="00877EF5"/>
    <w:rsid w:val="00880FA4"/>
    <w:rsid w:val="00881193"/>
    <w:rsid w:val="00881195"/>
    <w:rsid w:val="00881391"/>
    <w:rsid w:val="008813F6"/>
    <w:rsid w:val="0088150D"/>
    <w:rsid w:val="00881C72"/>
    <w:rsid w:val="0088282C"/>
    <w:rsid w:val="00882954"/>
    <w:rsid w:val="008831B3"/>
    <w:rsid w:val="008838EE"/>
    <w:rsid w:val="00883F83"/>
    <w:rsid w:val="008843EB"/>
    <w:rsid w:val="0088459B"/>
    <w:rsid w:val="0088461B"/>
    <w:rsid w:val="00884813"/>
    <w:rsid w:val="00884BA6"/>
    <w:rsid w:val="00885404"/>
    <w:rsid w:val="00885B83"/>
    <w:rsid w:val="00885D5A"/>
    <w:rsid w:val="0088641C"/>
    <w:rsid w:val="008865CC"/>
    <w:rsid w:val="00886903"/>
    <w:rsid w:val="00886945"/>
    <w:rsid w:val="008879FE"/>
    <w:rsid w:val="00887A94"/>
    <w:rsid w:val="0089030C"/>
    <w:rsid w:val="00890477"/>
    <w:rsid w:val="00890D7E"/>
    <w:rsid w:val="00890FBC"/>
    <w:rsid w:val="00891021"/>
    <w:rsid w:val="008917D4"/>
    <w:rsid w:val="0089219C"/>
    <w:rsid w:val="00892524"/>
    <w:rsid w:val="008944D9"/>
    <w:rsid w:val="00894B74"/>
    <w:rsid w:val="00894C35"/>
    <w:rsid w:val="0089577D"/>
    <w:rsid w:val="008957DF"/>
    <w:rsid w:val="00895B1E"/>
    <w:rsid w:val="00895D53"/>
    <w:rsid w:val="008973F8"/>
    <w:rsid w:val="00897814"/>
    <w:rsid w:val="00897E56"/>
    <w:rsid w:val="00897F78"/>
    <w:rsid w:val="008A0103"/>
    <w:rsid w:val="008A02FA"/>
    <w:rsid w:val="008A137F"/>
    <w:rsid w:val="008A13A5"/>
    <w:rsid w:val="008A196E"/>
    <w:rsid w:val="008A312C"/>
    <w:rsid w:val="008A3F45"/>
    <w:rsid w:val="008A447A"/>
    <w:rsid w:val="008A45E5"/>
    <w:rsid w:val="008A4C1F"/>
    <w:rsid w:val="008A4CC8"/>
    <w:rsid w:val="008A50F9"/>
    <w:rsid w:val="008A540B"/>
    <w:rsid w:val="008A5B62"/>
    <w:rsid w:val="008A768F"/>
    <w:rsid w:val="008B01C5"/>
    <w:rsid w:val="008B0BD6"/>
    <w:rsid w:val="008B128D"/>
    <w:rsid w:val="008B1E5A"/>
    <w:rsid w:val="008B2114"/>
    <w:rsid w:val="008B211C"/>
    <w:rsid w:val="008B2142"/>
    <w:rsid w:val="008B219E"/>
    <w:rsid w:val="008B2497"/>
    <w:rsid w:val="008B263E"/>
    <w:rsid w:val="008B2917"/>
    <w:rsid w:val="008B3175"/>
    <w:rsid w:val="008B31C0"/>
    <w:rsid w:val="008B32B5"/>
    <w:rsid w:val="008B383A"/>
    <w:rsid w:val="008B48E5"/>
    <w:rsid w:val="008B5836"/>
    <w:rsid w:val="008B5A81"/>
    <w:rsid w:val="008B5C3A"/>
    <w:rsid w:val="008B6879"/>
    <w:rsid w:val="008B6CAC"/>
    <w:rsid w:val="008B7C56"/>
    <w:rsid w:val="008C0055"/>
    <w:rsid w:val="008C0161"/>
    <w:rsid w:val="008C02BF"/>
    <w:rsid w:val="008C038A"/>
    <w:rsid w:val="008C1574"/>
    <w:rsid w:val="008C15B7"/>
    <w:rsid w:val="008C262D"/>
    <w:rsid w:val="008C2724"/>
    <w:rsid w:val="008C27A4"/>
    <w:rsid w:val="008C2DAA"/>
    <w:rsid w:val="008C3441"/>
    <w:rsid w:val="008C36D2"/>
    <w:rsid w:val="008C37F0"/>
    <w:rsid w:val="008C39A5"/>
    <w:rsid w:val="008C4CDA"/>
    <w:rsid w:val="008C50CF"/>
    <w:rsid w:val="008C510F"/>
    <w:rsid w:val="008C5D0D"/>
    <w:rsid w:val="008C5E1B"/>
    <w:rsid w:val="008C5F80"/>
    <w:rsid w:val="008C68E9"/>
    <w:rsid w:val="008C6986"/>
    <w:rsid w:val="008C79B0"/>
    <w:rsid w:val="008C7ABE"/>
    <w:rsid w:val="008D08D6"/>
    <w:rsid w:val="008D0EBA"/>
    <w:rsid w:val="008D1160"/>
    <w:rsid w:val="008D1490"/>
    <w:rsid w:val="008D1891"/>
    <w:rsid w:val="008D18BE"/>
    <w:rsid w:val="008D21D8"/>
    <w:rsid w:val="008D279C"/>
    <w:rsid w:val="008D2A31"/>
    <w:rsid w:val="008D3C34"/>
    <w:rsid w:val="008D539B"/>
    <w:rsid w:val="008D6AA8"/>
    <w:rsid w:val="008D743B"/>
    <w:rsid w:val="008D7E26"/>
    <w:rsid w:val="008D7EBF"/>
    <w:rsid w:val="008E057B"/>
    <w:rsid w:val="008E0A3E"/>
    <w:rsid w:val="008E0D11"/>
    <w:rsid w:val="008E11E2"/>
    <w:rsid w:val="008E1D50"/>
    <w:rsid w:val="008E1D8D"/>
    <w:rsid w:val="008E209F"/>
    <w:rsid w:val="008E2289"/>
    <w:rsid w:val="008E27C5"/>
    <w:rsid w:val="008E2E3E"/>
    <w:rsid w:val="008E35DD"/>
    <w:rsid w:val="008E3697"/>
    <w:rsid w:val="008E38BB"/>
    <w:rsid w:val="008E42ED"/>
    <w:rsid w:val="008E43FF"/>
    <w:rsid w:val="008E47D4"/>
    <w:rsid w:val="008E4C0A"/>
    <w:rsid w:val="008E5385"/>
    <w:rsid w:val="008E5884"/>
    <w:rsid w:val="008E58C4"/>
    <w:rsid w:val="008E5BA9"/>
    <w:rsid w:val="008E63C8"/>
    <w:rsid w:val="008E647D"/>
    <w:rsid w:val="008E69A6"/>
    <w:rsid w:val="008F0099"/>
    <w:rsid w:val="008F0128"/>
    <w:rsid w:val="008F0136"/>
    <w:rsid w:val="008F0239"/>
    <w:rsid w:val="008F023C"/>
    <w:rsid w:val="008F09B2"/>
    <w:rsid w:val="008F0B21"/>
    <w:rsid w:val="008F0BE6"/>
    <w:rsid w:val="008F0DE7"/>
    <w:rsid w:val="008F0E32"/>
    <w:rsid w:val="008F15D0"/>
    <w:rsid w:val="008F1B53"/>
    <w:rsid w:val="008F1DEF"/>
    <w:rsid w:val="008F1E2E"/>
    <w:rsid w:val="008F2EE9"/>
    <w:rsid w:val="008F2FCD"/>
    <w:rsid w:val="008F39A9"/>
    <w:rsid w:val="008F39EE"/>
    <w:rsid w:val="008F4257"/>
    <w:rsid w:val="008F46B9"/>
    <w:rsid w:val="008F5589"/>
    <w:rsid w:val="008F5DA8"/>
    <w:rsid w:val="008F5E7C"/>
    <w:rsid w:val="008F6579"/>
    <w:rsid w:val="008F6CCD"/>
    <w:rsid w:val="008F75CD"/>
    <w:rsid w:val="008F7830"/>
    <w:rsid w:val="008F792B"/>
    <w:rsid w:val="00900164"/>
    <w:rsid w:val="00900FD7"/>
    <w:rsid w:val="00901431"/>
    <w:rsid w:val="0090193C"/>
    <w:rsid w:val="00901CF3"/>
    <w:rsid w:val="00901E01"/>
    <w:rsid w:val="00901F0D"/>
    <w:rsid w:val="00902031"/>
    <w:rsid w:val="00902759"/>
    <w:rsid w:val="00902A7E"/>
    <w:rsid w:val="00903202"/>
    <w:rsid w:val="00903ACF"/>
    <w:rsid w:val="00904489"/>
    <w:rsid w:val="009045BC"/>
    <w:rsid w:val="009048EB"/>
    <w:rsid w:val="0090492A"/>
    <w:rsid w:val="00904CD3"/>
    <w:rsid w:val="0090546D"/>
    <w:rsid w:val="00905571"/>
    <w:rsid w:val="009059F2"/>
    <w:rsid w:val="00906198"/>
    <w:rsid w:val="0090665E"/>
    <w:rsid w:val="00906D1B"/>
    <w:rsid w:val="00910288"/>
    <w:rsid w:val="009117DA"/>
    <w:rsid w:val="00911AEC"/>
    <w:rsid w:val="00911E4F"/>
    <w:rsid w:val="00912456"/>
    <w:rsid w:val="00912617"/>
    <w:rsid w:val="00913093"/>
    <w:rsid w:val="00913998"/>
    <w:rsid w:val="00913D59"/>
    <w:rsid w:val="009142D5"/>
    <w:rsid w:val="00914326"/>
    <w:rsid w:val="00914E46"/>
    <w:rsid w:val="0091509F"/>
    <w:rsid w:val="00915A13"/>
    <w:rsid w:val="0091669C"/>
    <w:rsid w:val="00916809"/>
    <w:rsid w:val="009168A5"/>
    <w:rsid w:val="00916A31"/>
    <w:rsid w:val="00916C3B"/>
    <w:rsid w:val="00916C78"/>
    <w:rsid w:val="00916D8A"/>
    <w:rsid w:val="009170A7"/>
    <w:rsid w:val="00917445"/>
    <w:rsid w:val="00917B1D"/>
    <w:rsid w:val="00920418"/>
    <w:rsid w:val="009204B3"/>
    <w:rsid w:val="009208D1"/>
    <w:rsid w:val="00921021"/>
    <w:rsid w:val="009214EE"/>
    <w:rsid w:val="00921718"/>
    <w:rsid w:val="00921D78"/>
    <w:rsid w:val="0092280E"/>
    <w:rsid w:val="00923071"/>
    <w:rsid w:val="00923ABF"/>
    <w:rsid w:val="00923E05"/>
    <w:rsid w:val="00923F8C"/>
    <w:rsid w:val="0092407C"/>
    <w:rsid w:val="009241FF"/>
    <w:rsid w:val="00924DB9"/>
    <w:rsid w:val="00925209"/>
    <w:rsid w:val="00925260"/>
    <w:rsid w:val="009257EC"/>
    <w:rsid w:val="0092588B"/>
    <w:rsid w:val="00927308"/>
    <w:rsid w:val="009276A6"/>
    <w:rsid w:val="00930026"/>
    <w:rsid w:val="00930270"/>
    <w:rsid w:val="009303E1"/>
    <w:rsid w:val="00932ECD"/>
    <w:rsid w:val="009333E9"/>
    <w:rsid w:val="00933B6A"/>
    <w:rsid w:val="00933D35"/>
    <w:rsid w:val="00934202"/>
    <w:rsid w:val="0093423C"/>
    <w:rsid w:val="00935505"/>
    <w:rsid w:val="00935C48"/>
    <w:rsid w:val="00935D28"/>
    <w:rsid w:val="0093606F"/>
    <w:rsid w:val="009362F1"/>
    <w:rsid w:val="00936362"/>
    <w:rsid w:val="0093697B"/>
    <w:rsid w:val="0093700B"/>
    <w:rsid w:val="009371C1"/>
    <w:rsid w:val="009376A8"/>
    <w:rsid w:val="00940DB9"/>
    <w:rsid w:val="00940F68"/>
    <w:rsid w:val="0094117E"/>
    <w:rsid w:val="009416C1"/>
    <w:rsid w:val="00942EC3"/>
    <w:rsid w:val="00943353"/>
    <w:rsid w:val="00944885"/>
    <w:rsid w:val="0094558C"/>
    <w:rsid w:val="00945605"/>
    <w:rsid w:val="00946B80"/>
    <w:rsid w:val="00946BBD"/>
    <w:rsid w:val="00947987"/>
    <w:rsid w:val="00947ADE"/>
    <w:rsid w:val="00947E0E"/>
    <w:rsid w:val="00950081"/>
    <w:rsid w:val="00950953"/>
    <w:rsid w:val="00950B16"/>
    <w:rsid w:val="00951110"/>
    <w:rsid w:val="00951549"/>
    <w:rsid w:val="009517E1"/>
    <w:rsid w:val="00952048"/>
    <w:rsid w:val="00952CFC"/>
    <w:rsid w:val="00952E4D"/>
    <w:rsid w:val="00953350"/>
    <w:rsid w:val="009538E7"/>
    <w:rsid w:val="00954140"/>
    <w:rsid w:val="0095484C"/>
    <w:rsid w:val="00954B6D"/>
    <w:rsid w:val="00956961"/>
    <w:rsid w:val="00956D31"/>
    <w:rsid w:val="00957573"/>
    <w:rsid w:val="00957A4F"/>
    <w:rsid w:val="009603AF"/>
    <w:rsid w:val="009606AB"/>
    <w:rsid w:val="009606BE"/>
    <w:rsid w:val="009620C8"/>
    <w:rsid w:val="00963385"/>
    <w:rsid w:val="00963450"/>
    <w:rsid w:val="009646C5"/>
    <w:rsid w:val="00964C0A"/>
    <w:rsid w:val="00966955"/>
    <w:rsid w:val="0096790C"/>
    <w:rsid w:val="00970E63"/>
    <w:rsid w:val="009715DA"/>
    <w:rsid w:val="0097236A"/>
    <w:rsid w:val="0097252E"/>
    <w:rsid w:val="00972EEA"/>
    <w:rsid w:val="00973630"/>
    <w:rsid w:val="00973FDD"/>
    <w:rsid w:val="00974062"/>
    <w:rsid w:val="00975053"/>
    <w:rsid w:val="009755F3"/>
    <w:rsid w:val="00975655"/>
    <w:rsid w:val="0097641C"/>
    <w:rsid w:val="00977E71"/>
    <w:rsid w:val="00980276"/>
    <w:rsid w:val="00980853"/>
    <w:rsid w:val="00982737"/>
    <w:rsid w:val="00982D4F"/>
    <w:rsid w:val="00982DAD"/>
    <w:rsid w:val="00983208"/>
    <w:rsid w:val="009836A5"/>
    <w:rsid w:val="00983DE9"/>
    <w:rsid w:val="00984FD9"/>
    <w:rsid w:val="00985D7C"/>
    <w:rsid w:val="0098611F"/>
    <w:rsid w:val="009871C4"/>
    <w:rsid w:val="00987365"/>
    <w:rsid w:val="00987F46"/>
    <w:rsid w:val="009904BC"/>
    <w:rsid w:val="00991020"/>
    <w:rsid w:val="00991514"/>
    <w:rsid w:val="00991E20"/>
    <w:rsid w:val="00992217"/>
    <w:rsid w:val="009923F2"/>
    <w:rsid w:val="009924BA"/>
    <w:rsid w:val="009925CF"/>
    <w:rsid w:val="00993A72"/>
    <w:rsid w:val="00993C4C"/>
    <w:rsid w:val="00993C71"/>
    <w:rsid w:val="00993E28"/>
    <w:rsid w:val="0099459C"/>
    <w:rsid w:val="0099469A"/>
    <w:rsid w:val="009948A5"/>
    <w:rsid w:val="009956AE"/>
    <w:rsid w:val="009960B9"/>
    <w:rsid w:val="00996707"/>
    <w:rsid w:val="009977A8"/>
    <w:rsid w:val="009A027F"/>
    <w:rsid w:val="009A059C"/>
    <w:rsid w:val="009A177D"/>
    <w:rsid w:val="009A1A12"/>
    <w:rsid w:val="009A2360"/>
    <w:rsid w:val="009A26E2"/>
    <w:rsid w:val="009A3E7C"/>
    <w:rsid w:val="009A41F5"/>
    <w:rsid w:val="009A4272"/>
    <w:rsid w:val="009A4375"/>
    <w:rsid w:val="009A4BA6"/>
    <w:rsid w:val="009A5AE0"/>
    <w:rsid w:val="009A6917"/>
    <w:rsid w:val="009A69A8"/>
    <w:rsid w:val="009A6B4D"/>
    <w:rsid w:val="009A6D40"/>
    <w:rsid w:val="009A6ED5"/>
    <w:rsid w:val="009A6EF4"/>
    <w:rsid w:val="009A7CFC"/>
    <w:rsid w:val="009A7FCD"/>
    <w:rsid w:val="009B03D7"/>
    <w:rsid w:val="009B041E"/>
    <w:rsid w:val="009B1092"/>
    <w:rsid w:val="009B161D"/>
    <w:rsid w:val="009B1645"/>
    <w:rsid w:val="009B1934"/>
    <w:rsid w:val="009B1A00"/>
    <w:rsid w:val="009B1D75"/>
    <w:rsid w:val="009B2006"/>
    <w:rsid w:val="009B2064"/>
    <w:rsid w:val="009B4176"/>
    <w:rsid w:val="009B49D1"/>
    <w:rsid w:val="009B4CCA"/>
    <w:rsid w:val="009B536D"/>
    <w:rsid w:val="009B59FD"/>
    <w:rsid w:val="009B5FD4"/>
    <w:rsid w:val="009B629F"/>
    <w:rsid w:val="009B6767"/>
    <w:rsid w:val="009B7865"/>
    <w:rsid w:val="009B797E"/>
    <w:rsid w:val="009B7FFA"/>
    <w:rsid w:val="009C0170"/>
    <w:rsid w:val="009C0A2B"/>
    <w:rsid w:val="009C0FFA"/>
    <w:rsid w:val="009C1405"/>
    <w:rsid w:val="009C19EF"/>
    <w:rsid w:val="009C22C8"/>
    <w:rsid w:val="009C29BB"/>
    <w:rsid w:val="009C2E67"/>
    <w:rsid w:val="009C3543"/>
    <w:rsid w:val="009C3B2A"/>
    <w:rsid w:val="009C3BB2"/>
    <w:rsid w:val="009C4FE6"/>
    <w:rsid w:val="009C5347"/>
    <w:rsid w:val="009C53A1"/>
    <w:rsid w:val="009C551C"/>
    <w:rsid w:val="009C5B80"/>
    <w:rsid w:val="009C5BC9"/>
    <w:rsid w:val="009C6316"/>
    <w:rsid w:val="009C688F"/>
    <w:rsid w:val="009C7827"/>
    <w:rsid w:val="009C7C57"/>
    <w:rsid w:val="009C7EAA"/>
    <w:rsid w:val="009D0A42"/>
    <w:rsid w:val="009D108C"/>
    <w:rsid w:val="009D1FCC"/>
    <w:rsid w:val="009D2077"/>
    <w:rsid w:val="009D26C7"/>
    <w:rsid w:val="009D3304"/>
    <w:rsid w:val="009D33EC"/>
    <w:rsid w:val="009D340D"/>
    <w:rsid w:val="009D342A"/>
    <w:rsid w:val="009D3542"/>
    <w:rsid w:val="009D3595"/>
    <w:rsid w:val="009D3674"/>
    <w:rsid w:val="009D3A49"/>
    <w:rsid w:val="009D3C61"/>
    <w:rsid w:val="009D3F6E"/>
    <w:rsid w:val="009D4169"/>
    <w:rsid w:val="009D4175"/>
    <w:rsid w:val="009D4988"/>
    <w:rsid w:val="009D4ACE"/>
    <w:rsid w:val="009D50E7"/>
    <w:rsid w:val="009D56AE"/>
    <w:rsid w:val="009D61E3"/>
    <w:rsid w:val="009D63A6"/>
    <w:rsid w:val="009D6BD8"/>
    <w:rsid w:val="009D6EF5"/>
    <w:rsid w:val="009D7569"/>
    <w:rsid w:val="009D7AF1"/>
    <w:rsid w:val="009D7F2D"/>
    <w:rsid w:val="009E0BCC"/>
    <w:rsid w:val="009E191F"/>
    <w:rsid w:val="009E1BB2"/>
    <w:rsid w:val="009E1C17"/>
    <w:rsid w:val="009E210F"/>
    <w:rsid w:val="009E2E08"/>
    <w:rsid w:val="009E3049"/>
    <w:rsid w:val="009E3190"/>
    <w:rsid w:val="009E3D99"/>
    <w:rsid w:val="009E3E1E"/>
    <w:rsid w:val="009E3E2E"/>
    <w:rsid w:val="009E42B7"/>
    <w:rsid w:val="009E4BBE"/>
    <w:rsid w:val="009E5728"/>
    <w:rsid w:val="009E5944"/>
    <w:rsid w:val="009E5ED3"/>
    <w:rsid w:val="009E644A"/>
    <w:rsid w:val="009E65D1"/>
    <w:rsid w:val="009E6980"/>
    <w:rsid w:val="009E6AF6"/>
    <w:rsid w:val="009E6C4E"/>
    <w:rsid w:val="009E7843"/>
    <w:rsid w:val="009E7D30"/>
    <w:rsid w:val="009E7E52"/>
    <w:rsid w:val="009F00A3"/>
    <w:rsid w:val="009F01EC"/>
    <w:rsid w:val="009F0310"/>
    <w:rsid w:val="009F0C13"/>
    <w:rsid w:val="009F0F62"/>
    <w:rsid w:val="009F265B"/>
    <w:rsid w:val="009F28CF"/>
    <w:rsid w:val="009F2EAF"/>
    <w:rsid w:val="009F4C2C"/>
    <w:rsid w:val="009F5220"/>
    <w:rsid w:val="009F7110"/>
    <w:rsid w:val="009F7844"/>
    <w:rsid w:val="009F7A8A"/>
    <w:rsid w:val="009F7BBA"/>
    <w:rsid w:val="009F7C0E"/>
    <w:rsid w:val="00A00585"/>
    <w:rsid w:val="00A00A2B"/>
    <w:rsid w:val="00A01436"/>
    <w:rsid w:val="00A016A6"/>
    <w:rsid w:val="00A01A8C"/>
    <w:rsid w:val="00A02417"/>
    <w:rsid w:val="00A03E2C"/>
    <w:rsid w:val="00A049B9"/>
    <w:rsid w:val="00A04EE0"/>
    <w:rsid w:val="00A050D8"/>
    <w:rsid w:val="00A05E2C"/>
    <w:rsid w:val="00A06307"/>
    <w:rsid w:val="00A0682D"/>
    <w:rsid w:val="00A06D31"/>
    <w:rsid w:val="00A07230"/>
    <w:rsid w:val="00A07E10"/>
    <w:rsid w:val="00A07FB5"/>
    <w:rsid w:val="00A10062"/>
    <w:rsid w:val="00A10F86"/>
    <w:rsid w:val="00A11E37"/>
    <w:rsid w:val="00A127E2"/>
    <w:rsid w:val="00A127F0"/>
    <w:rsid w:val="00A1443A"/>
    <w:rsid w:val="00A14D14"/>
    <w:rsid w:val="00A14EA0"/>
    <w:rsid w:val="00A15C37"/>
    <w:rsid w:val="00A17179"/>
    <w:rsid w:val="00A172B7"/>
    <w:rsid w:val="00A1736C"/>
    <w:rsid w:val="00A2019A"/>
    <w:rsid w:val="00A20822"/>
    <w:rsid w:val="00A224E1"/>
    <w:rsid w:val="00A23042"/>
    <w:rsid w:val="00A23639"/>
    <w:rsid w:val="00A2367E"/>
    <w:rsid w:val="00A237DA"/>
    <w:rsid w:val="00A23E31"/>
    <w:rsid w:val="00A24876"/>
    <w:rsid w:val="00A2527B"/>
    <w:rsid w:val="00A264D6"/>
    <w:rsid w:val="00A26E6B"/>
    <w:rsid w:val="00A2703A"/>
    <w:rsid w:val="00A270A6"/>
    <w:rsid w:val="00A27DEA"/>
    <w:rsid w:val="00A3089C"/>
    <w:rsid w:val="00A30BB8"/>
    <w:rsid w:val="00A3152F"/>
    <w:rsid w:val="00A3208E"/>
    <w:rsid w:val="00A328EB"/>
    <w:rsid w:val="00A32988"/>
    <w:rsid w:val="00A32D11"/>
    <w:rsid w:val="00A32D75"/>
    <w:rsid w:val="00A330F1"/>
    <w:rsid w:val="00A3333C"/>
    <w:rsid w:val="00A33647"/>
    <w:rsid w:val="00A33664"/>
    <w:rsid w:val="00A337BF"/>
    <w:rsid w:val="00A33B66"/>
    <w:rsid w:val="00A33C30"/>
    <w:rsid w:val="00A34285"/>
    <w:rsid w:val="00A342D4"/>
    <w:rsid w:val="00A345A7"/>
    <w:rsid w:val="00A34B7A"/>
    <w:rsid w:val="00A34EFB"/>
    <w:rsid w:val="00A356D1"/>
    <w:rsid w:val="00A36EB1"/>
    <w:rsid w:val="00A371B5"/>
    <w:rsid w:val="00A378D4"/>
    <w:rsid w:val="00A37C17"/>
    <w:rsid w:val="00A400D3"/>
    <w:rsid w:val="00A4092D"/>
    <w:rsid w:val="00A40D1D"/>
    <w:rsid w:val="00A40D23"/>
    <w:rsid w:val="00A40F56"/>
    <w:rsid w:val="00A40FAD"/>
    <w:rsid w:val="00A4138E"/>
    <w:rsid w:val="00A41450"/>
    <w:rsid w:val="00A41D71"/>
    <w:rsid w:val="00A423FA"/>
    <w:rsid w:val="00A4290F"/>
    <w:rsid w:val="00A440D8"/>
    <w:rsid w:val="00A44171"/>
    <w:rsid w:val="00A44CF3"/>
    <w:rsid w:val="00A45706"/>
    <w:rsid w:val="00A45F7D"/>
    <w:rsid w:val="00A45F8E"/>
    <w:rsid w:val="00A466CA"/>
    <w:rsid w:val="00A471A0"/>
    <w:rsid w:val="00A47F4E"/>
    <w:rsid w:val="00A50D37"/>
    <w:rsid w:val="00A5130A"/>
    <w:rsid w:val="00A5187F"/>
    <w:rsid w:val="00A519C5"/>
    <w:rsid w:val="00A52C20"/>
    <w:rsid w:val="00A52E15"/>
    <w:rsid w:val="00A53C83"/>
    <w:rsid w:val="00A53CF5"/>
    <w:rsid w:val="00A53EDC"/>
    <w:rsid w:val="00A53F3E"/>
    <w:rsid w:val="00A542EC"/>
    <w:rsid w:val="00A547EC"/>
    <w:rsid w:val="00A548DE"/>
    <w:rsid w:val="00A55316"/>
    <w:rsid w:val="00A5544E"/>
    <w:rsid w:val="00A558A1"/>
    <w:rsid w:val="00A56DFE"/>
    <w:rsid w:val="00A57176"/>
    <w:rsid w:val="00A57496"/>
    <w:rsid w:val="00A57AE2"/>
    <w:rsid w:val="00A57B60"/>
    <w:rsid w:val="00A57BD8"/>
    <w:rsid w:val="00A60C69"/>
    <w:rsid w:val="00A60D74"/>
    <w:rsid w:val="00A61F2E"/>
    <w:rsid w:val="00A62E1A"/>
    <w:rsid w:val="00A62F5D"/>
    <w:rsid w:val="00A634D2"/>
    <w:rsid w:val="00A63697"/>
    <w:rsid w:val="00A63CF7"/>
    <w:rsid w:val="00A63D30"/>
    <w:rsid w:val="00A6475C"/>
    <w:rsid w:val="00A65699"/>
    <w:rsid w:val="00A65938"/>
    <w:rsid w:val="00A660A0"/>
    <w:rsid w:val="00A666FE"/>
    <w:rsid w:val="00A6680B"/>
    <w:rsid w:val="00A676D3"/>
    <w:rsid w:val="00A676EE"/>
    <w:rsid w:val="00A67DCE"/>
    <w:rsid w:val="00A70B82"/>
    <w:rsid w:val="00A70DD9"/>
    <w:rsid w:val="00A71355"/>
    <w:rsid w:val="00A71518"/>
    <w:rsid w:val="00A715BC"/>
    <w:rsid w:val="00A71CE0"/>
    <w:rsid w:val="00A7239A"/>
    <w:rsid w:val="00A7254B"/>
    <w:rsid w:val="00A726DD"/>
    <w:rsid w:val="00A726DE"/>
    <w:rsid w:val="00A72FB1"/>
    <w:rsid w:val="00A73087"/>
    <w:rsid w:val="00A7382A"/>
    <w:rsid w:val="00A73A5C"/>
    <w:rsid w:val="00A741AE"/>
    <w:rsid w:val="00A75290"/>
    <w:rsid w:val="00A75ADB"/>
    <w:rsid w:val="00A76186"/>
    <w:rsid w:val="00A7699B"/>
    <w:rsid w:val="00A77E1B"/>
    <w:rsid w:val="00A77EB2"/>
    <w:rsid w:val="00A80165"/>
    <w:rsid w:val="00A80CB9"/>
    <w:rsid w:val="00A810BA"/>
    <w:rsid w:val="00A813D7"/>
    <w:rsid w:val="00A818DA"/>
    <w:rsid w:val="00A82119"/>
    <w:rsid w:val="00A82293"/>
    <w:rsid w:val="00A832BC"/>
    <w:rsid w:val="00A83445"/>
    <w:rsid w:val="00A83A3E"/>
    <w:rsid w:val="00A84127"/>
    <w:rsid w:val="00A846E4"/>
    <w:rsid w:val="00A848E4"/>
    <w:rsid w:val="00A850AC"/>
    <w:rsid w:val="00A85447"/>
    <w:rsid w:val="00A85E6E"/>
    <w:rsid w:val="00A85F73"/>
    <w:rsid w:val="00A86040"/>
    <w:rsid w:val="00A8626E"/>
    <w:rsid w:val="00A864D7"/>
    <w:rsid w:val="00A8663F"/>
    <w:rsid w:val="00A86692"/>
    <w:rsid w:val="00A86855"/>
    <w:rsid w:val="00A86864"/>
    <w:rsid w:val="00A86AA5"/>
    <w:rsid w:val="00A91763"/>
    <w:rsid w:val="00A9182B"/>
    <w:rsid w:val="00A91B3D"/>
    <w:rsid w:val="00A91BDF"/>
    <w:rsid w:val="00A91EB0"/>
    <w:rsid w:val="00A9282E"/>
    <w:rsid w:val="00A92913"/>
    <w:rsid w:val="00A92F6F"/>
    <w:rsid w:val="00A93105"/>
    <w:rsid w:val="00A93A9F"/>
    <w:rsid w:val="00A93AC3"/>
    <w:rsid w:val="00A9425D"/>
    <w:rsid w:val="00A94288"/>
    <w:rsid w:val="00A9430E"/>
    <w:rsid w:val="00A9489E"/>
    <w:rsid w:val="00A95730"/>
    <w:rsid w:val="00A95A59"/>
    <w:rsid w:val="00A964C4"/>
    <w:rsid w:val="00A96853"/>
    <w:rsid w:val="00A974E1"/>
    <w:rsid w:val="00A97A92"/>
    <w:rsid w:val="00A97D21"/>
    <w:rsid w:val="00AA0861"/>
    <w:rsid w:val="00AA0A62"/>
    <w:rsid w:val="00AA0BD8"/>
    <w:rsid w:val="00AA0F5E"/>
    <w:rsid w:val="00AA190A"/>
    <w:rsid w:val="00AA1AA4"/>
    <w:rsid w:val="00AA28E6"/>
    <w:rsid w:val="00AA2BE8"/>
    <w:rsid w:val="00AA3FD1"/>
    <w:rsid w:val="00AA4696"/>
    <w:rsid w:val="00AA46EC"/>
    <w:rsid w:val="00AA4930"/>
    <w:rsid w:val="00AA4A1A"/>
    <w:rsid w:val="00AA5079"/>
    <w:rsid w:val="00AA5194"/>
    <w:rsid w:val="00AA561D"/>
    <w:rsid w:val="00AA58DC"/>
    <w:rsid w:val="00AA5E9B"/>
    <w:rsid w:val="00AA60F9"/>
    <w:rsid w:val="00AA6241"/>
    <w:rsid w:val="00AA658A"/>
    <w:rsid w:val="00AA6774"/>
    <w:rsid w:val="00AA69B8"/>
    <w:rsid w:val="00AA76D1"/>
    <w:rsid w:val="00AB05E8"/>
    <w:rsid w:val="00AB0FC2"/>
    <w:rsid w:val="00AB1456"/>
    <w:rsid w:val="00AB21CD"/>
    <w:rsid w:val="00AB38D5"/>
    <w:rsid w:val="00AB3F01"/>
    <w:rsid w:val="00AB4E9B"/>
    <w:rsid w:val="00AB6E4F"/>
    <w:rsid w:val="00AC0CC8"/>
    <w:rsid w:val="00AC10A3"/>
    <w:rsid w:val="00AC12BD"/>
    <w:rsid w:val="00AC198D"/>
    <w:rsid w:val="00AC1CDC"/>
    <w:rsid w:val="00AC230F"/>
    <w:rsid w:val="00AC2966"/>
    <w:rsid w:val="00AC2EBE"/>
    <w:rsid w:val="00AC3308"/>
    <w:rsid w:val="00AC33BA"/>
    <w:rsid w:val="00AC3B1F"/>
    <w:rsid w:val="00AC3C5C"/>
    <w:rsid w:val="00AC42FE"/>
    <w:rsid w:val="00AC44E1"/>
    <w:rsid w:val="00AC4672"/>
    <w:rsid w:val="00AC4EC0"/>
    <w:rsid w:val="00AC4F2B"/>
    <w:rsid w:val="00AC5247"/>
    <w:rsid w:val="00AC6046"/>
    <w:rsid w:val="00AC6234"/>
    <w:rsid w:val="00AC6517"/>
    <w:rsid w:val="00AC6A2B"/>
    <w:rsid w:val="00AC7682"/>
    <w:rsid w:val="00AC770A"/>
    <w:rsid w:val="00AD017A"/>
    <w:rsid w:val="00AD036F"/>
    <w:rsid w:val="00AD06E4"/>
    <w:rsid w:val="00AD0B06"/>
    <w:rsid w:val="00AD182E"/>
    <w:rsid w:val="00AD1D7C"/>
    <w:rsid w:val="00AD20F3"/>
    <w:rsid w:val="00AD26B0"/>
    <w:rsid w:val="00AD2C89"/>
    <w:rsid w:val="00AD34B1"/>
    <w:rsid w:val="00AD372A"/>
    <w:rsid w:val="00AD3A56"/>
    <w:rsid w:val="00AD3EE5"/>
    <w:rsid w:val="00AD424C"/>
    <w:rsid w:val="00AD4415"/>
    <w:rsid w:val="00AD4638"/>
    <w:rsid w:val="00AD4B0C"/>
    <w:rsid w:val="00AD5450"/>
    <w:rsid w:val="00AD6640"/>
    <w:rsid w:val="00AD698E"/>
    <w:rsid w:val="00AD6A94"/>
    <w:rsid w:val="00AD6B32"/>
    <w:rsid w:val="00AD7435"/>
    <w:rsid w:val="00AD7936"/>
    <w:rsid w:val="00AD7B2C"/>
    <w:rsid w:val="00AE0052"/>
    <w:rsid w:val="00AE056F"/>
    <w:rsid w:val="00AE0761"/>
    <w:rsid w:val="00AE1152"/>
    <w:rsid w:val="00AE134C"/>
    <w:rsid w:val="00AE1403"/>
    <w:rsid w:val="00AE176B"/>
    <w:rsid w:val="00AE1E9D"/>
    <w:rsid w:val="00AE226A"/>
    <w:rsid w:val="00AE234A"/>
    <w:rsid w:val="00AE2C0E"/>
    <w:rsid w:val="00AE2F83"/>
    <w:rsid w:val="00AE32E8"/>
    <w:rsid w:val="00AE34F6"/>
    <w:rsid w:val="00AE364A"/>
    <w:rsid w:val="00AE415A"/>
    <w:rsid w:val="00AE4818"/>
    <w:rsid w:val="00AE4BA8"/>
    <w:rsid w:val="00AE57BC"/>
    <w:rsid w:val="00AE5D9D"/>
    <w:rsid w:val="00AE5DCE"/>
    <w:rsid w:val="00AE5FC0"/>
    <w:rsid w:val="00AE65A3"/>
    <w:rsid w:val="00AE6BAF"/>
    <w:rsid w:val="00AE6D39"/>
    <w:rsid w:val="00AE71F0"/>
    <w:rsid w:val="00AE7375"/>
    <w:rsid w:val="00AE7578"/>
    <w:rsid w:val="00AE7793"/>
    <w:rsid w:val="00AF0DB8"/>
    <w:rsid w:val="00AF10AC"/>
    <w:rsid w:val="00AF28B3"/>
    <w:rsid w:val="00AF2A8F"/>
    <w:rsid w:val="00AF3502"/>
    <w:rsid w:val="00AF3690"/>
    <w:rsid w:val="00AF3BD8"/>
    <w:rsid w:val="00AF3BD9"/>
    <w:rsid w:val="00AF3E5B"/>
    <w:rsid w:val="00AF43DF"/>
    <w:rsid w:val="00AF48EF"/>
    <w:rsid w:val="00AF509E"/>
    <w:rsid w:val="00AF5618"/>
    <w:rsid w:val="00AF5C60"/>
    <w:rsid w:val="00AF5F07"/>
    <w:rsid w:val="00AF652E"/>
    <w:rsid w:val="00AF67E6"/>
    <w:rsid w:val="00AF69E7"/>
    <w:rsid w:val="00AF6D59"/>
    <w:rsid w:val="00B00103"/>
    <w:rsid w:val="00B00D14"/>
    <w:rsid w:val="00B019AE"/>
    <w:rsid w:val="00B023B5"/>
    <w:rsid w:val="00B029C9"/>
    <w:rsid w:val="00B02E0E"/>
    <w:rsid w:val="00B0348B"/>
    <w:rsid w:val="00B03A1A"/>
    <w:rsid w:val="00B03E51"/>
    <w:rsid w:val="00B03F8B"/>
    <w:rsid w:val="00B041A0"/>
    <w:rsid w:val="00B043B8"/>
    <w:rsid w:val="00B04F5D"/>
    <w:rsid w:val="00B055FC"/>
    <w:rsid w:val="00B05BE9"/>
    <w:rsid w:val="00B0745D"/>
    <w:rsid w:val="00B07676"/>
    <w:rsid w:val="00B1003F"/>
    <w:rsid w:val="00B100BA"/>
    <w:rsid w:val="00B101FF"/>
    <w:rsid w:val="00B10209"/>
    <w:rsid w:val="00B1027B"/>
    <w:rsid w:val="00B10E4A"/>
    <w:rsid w:val="00B11704"/>
    <w:rsid w:val="00B11826"/>
    <w:rsid w:val="00B11F7C"/>
    <w:rsid w:val="00B12729"/>
    <w:rsid w:val="00B1396C"/>
    <w:rsid w:val="00B13D9E"/>
    <w:rsid w:val="00B146E0"/>
    <w:rsid w:val="00B14A4D"/>
    <w:rsid w:val="00B15555"/>
    <w:rsid w:val="00B161A6"/>
    <w:rsid w:val="00B16F37"/>
    <w:rsid w:val="00B171D7"/>
    <w:rsid w:val="00B175EB"/>
    <w:rsid w:val="00B20C94"/>
    <w:rsid w:val="00B2115F"/>
    <w:rsid w:val="00B211EC"/>
    <w:rsid w:val="00B214D3"/>
    <w:rsid w:val="00B21CB0"/>
    <w:rsid w:val="00B22C88"/>
    <w:rsid w:val="00B23167"/>
    <w:rsid w:val="00B2425D"/>
    <w:rsid w:val="00B24426"/>
    <w:rsid w:val="00B246F0"/>
    <w:rsid w:val="00B24B28"/>
    <w:rsid w:val="00B24C91"/>
    <w:rsid w:val="00B24F5E"/>
    <w:rsid w:val="00B25BF7"/>
    <w:rsid w:val="00B26F87"/>
    <w:rsid w:val="00B27726"/>
    <w:rsid w:val="00B279C2"/>
    <w:rsid w:val="00B30158"/>
    <w:rsid w:val="00B30C2E"/>
    <w:rsid w:val="00B30E6F"/>
    <w:rsid w:val="00B31724"/>
    <w:rsid w:val="00B31D4E"/>
    <w:rsid w:val="00B324D6"/>
    <w:rsid w:val="00B34A96"/>
    <w:rsid w:val="00B34B83"/>
    <w:rsid w:val="00B35351"/>
    <w:rsid w:val="00B355DE"/>
    <w:rsid w:val="00B35807"/>
    <w:rsid w:val="00B35910"/>
    <w:rsid w:val="00B359E7"/>
    <w:rsid w:val="00B35A7D"/>
    <w:rsid w:val="00B37137"/>
    <w:rsid w:val="00B376BB"/>
    <w:rsid w:val="00B40120"/>
    <w:rsid w:val="00B404AF"/>
    <w:rsid w:val="00B43551"/>
    <w:rsid w:val="00B43D42"/>
    <w:rsid w:val="00B44576"/>
    <w:rsid w:val="00B44815"/>
    <w:rsid w:val="00B454A6"/>
    <w:rsid w:val="00B4569C"/>
    <w:rsid w:val="00B45843"/>
    <w:rsid w:val="00B45A3A"/>
    <w:rsid w:val="00B45A8E"/>
    <w:rsid w:val="00B4627C"/>
    <w:rsid w:val="00B463A1"/>
    <w:rsid w:val="00B468B2"/>
    <w:rsid w:val="00B46BFC"/>
    <w:rsid w:val="00B46C75"/>
    <w:rsid w:val="00B46E94"/>
    <w:rsid w:val="00B4702D"/>
    <w:rsid w:val="00B47144"/>
    <w:rsid w:val="00B47C47"/>
    <w:rsid w:val="00B47F0B"/>
    <w:rsid w:val="00B51509"/>
    <w:rsid w:val="00B525F6"/>
    <w:rsid w:val="00B52858"/>
    <w:rsid w:val="00B528FF"/>
    <w:rsid w:val="00B53913"/>
    <w:rsid w:val="00B5429A"/>
    <w:rsid w:val="00B54510"/>
    <w:rsid w:val="00B5459F"/>
    <w:rsid w:val="00B5499B"/>
    <w:rsid w:val="00B54B7C"/>
    <w:rsid w:val="00B55328"/>
    <w:rsid w:val="00B55640"/>
    <w:rsid w:val="00B558B8"/>
    <w:rsid w:val="00B55F8B"/>
    <w:rsid w:val="00B56455"/>
    <w:rsid w:val="00B5768D"/>
    <w:rsid w:val="00B57DBF"/>
    <w:rsid w:val="00B57F0D"/>
    <w:rsid w:val="00B60C4C"/>
    <w:rsid w:val="00B60F5D"/>
    <w:rsid w:val="00B615A5"/>
    <w:rsid w:val="00B6258A"/>
    <w:rsid w:val="00B62727"/>
    <w:rsid w:val="00B63C83"/>
    <w:rsid w:val="00B63C9C"/>
    <w:rsid w:val="00B645DF"/>
    <w:rsid w:val="00B64654"/>
    <w:rsid w:val="00B64A49"/>
    <w:rsid w:val="00B64BDC"/>
    <w:rsid w:val="00B64BEA"/>
    <w:rsid w:val="00B6586F"/>
    <w:rsid w:val="00B67732"/>
    <w:rsid w:val="00B703A9"/>
    <w:rsid w:val="00B704E2"/>
    <w:rsid w:val="00B7098F"/>
    <w:rsid w:val="00B70CC1"/>
    <w:rsid w:val="00B717B8"/>
    <w:rsid w:val="00B71861"/>
    <w:rsid w:val="00B71B90"/>
    <w:rsid w:val="00B71BA7"/>
    <w:rsid w:val="00B724F9"/>
    <w:rsid w:val="00B73A32"/>
    <w:rsid w:val="00B73C2E"/>
    <w:rsid w:val="00B74108"/>
    <w:rsid w:val="00B74521"/>
    <w:rsid w:val="00B74841"/>
    <w:rsid w:val="00B7507E"/>
    <w:rsid w:val="00B76477"/>
    <w:rsid w:val="00B76EA9"/>
    <w:rsid w:val="00B77366"/>
    <w:rsid w:val="00B77FFC"/>
    <w:rsid w:val="00B80A10"/>
    <w:rsid w:val="00B80FE8"/>
    <w:rsid w:val="00B8195B"/>
    <w:rsid w:val="00B826F6"/>
    <w:rsid w:val="00B8284B"/>
    <w:rsid w:val="00B82B75"/>
    <w:rsid w:val="00B83275"/>
    <w:rsid w:val="00B83565"/>
    <w:rsid w:val="00B843ED"/>
    <w:rsid w:val="00B848CB"/>
    <w:rsid w:val="00B85485"/>
    <w:rsid w:val="00B86105"/>
    <w:rsid w:val="00B8764E"/>
    <w:rsid w:val="00B87DE0"/>
    <w:rsid w:val="00B9009D"/>
    <w:rsid w:val="00B9040D"/>
    <w:rsid w:val="00B90735"/>
    <w:rsid w:val="00B90A64"/>
    <w:rsid w:val="00B90F08"/>
    <w:rsid w:val="00B91433"/>
    <w:rsid w:val="00B91614"/>
    <w:rsid w:val="00B91F47"/>
    <w:rsid w:val="00B920CF"/>
    <w:rsid w:val="00B928F7"/>
    <w:rsid w:val="00B93A68"/>
    <w:rsid w:val="00B943A5"/>
    <w:rsid w:val="00B94783"/>
    <w:rsid w:val="00B94A58"/>
    <w:rsid w:val="00B95672"/>
    <w:rsid w:val="00B95EC7"/>
    <w:rsid w:val="00B9629A"/>
    <w:rsid w:val="00B96694"/>
    <w:rsid w:val="00BA08FA"/>
    <w:rsid w:val="00BA0D08"/>
    <w:rsid w:val="00BA13D0"/>
    <w:rsid w:val="00BA17FB"/>
    <w:rsid w:val="00BA1AC4"/>
    <w:rsid w:val="00BA1B12"/>
    <w:rsid w:val="00BA2087"/>
    <w:rsid w:val="00BA3A7E"/>
    <w:rsid w:val="00BA403B"/>
    <w:rsid w:val="00BA5313"/>
    <w:rsid w:val="00BA5DB4"/>
    <w:rsid w:val="00BA5F36"/>
    <w:rsid w:val="00BA654E"/>
    <w:rsid w:val="00BA6582"/>
    <w:rsid w:val="00BA75CD"/>
    <w:rsid w:val="00BA7865"/>
    <w:rsid w:val="00BA7FEC"/>
    <w:rsid w:val="00BB02C1"/>
    <w:rsid w:val="00BB0BE7"/>
    <w:rsid w:val="00BB1510"/>
    <w:rsid w:val="00BB1D32"/>
    <w:rsid w:val="00BB2005"/>
    <w:rsid w:val="00BB21DD"/>
    <w:rsid w:val="00BB29AE"/>
    <w:rsid w:val="00BB29EF"/>
    <w:rsid w:val="00BB3602"/>
    <w:rsid w:val="00BB373B"/>
    <w:rsid w:val="00BB3F42"/>
    <w:rsid w:val="00BB423C"/>
    <w:rsid w:val="00BB4351"/>
    <w:rsid w:val="00BB4F9C"/>
    <w:rsid w:val="00BB5185"/>
    <w:rsid w:val="00BB7014"/>
    <w:rsid w:val="00BB702B"/>
    <w:rsid w:val="00BB7350"/>
    <w:rsid w:val="00BC0F19"/>
    <w:rsid w:val="00BC1618"/>
    <w:rsid w:val="00BC19F0"/>
    <w:rsid w:val="00BC20B1"/>
    <w:rsid w:val="00BC230C"/>
    <w:rsid w:val="00BC275E"/>
    <w:rsid w:val="00BC2A98"/>
    <w:rsid w:val="00BC2BD5"/>
    <w:rsid w:val="00BC2EE4"/>
    <w:rsid w:val="00BC3425"/>
    <w:rsid w:val="00BC43F5"/>
    <w:rsid w:val="00BC4D70"/>
    <w:rsid w:val="00BC4FA8"/>
    <w:rsid w:val="00BC5512"/>
    <w:rsid w:val="00BC5B43"/>
    <w:rsid w:val="00BC5C23"/>
    <w:rsid w:val="00BC5F30"/>
    <w:rsid w:val="00BC6DFA"/>
    <w:rsid w:val="00BC7069"/>
    <w:rsid w:val="00BC742D"/>
    <w:rsid w:val="00BC748E"/>
    <w:rsid w:val="00BC7BB4"/>
    <w:rsid w:val="00BD1218"/>
    <w:rsid w:val="00BD16A2"/>
    <w:rsid w:val="00BD17A7"/>
    <w:rsid w:val="00BD27FB"/>
    <w:rsid w:val="00BD2AFB"/>
    <w:rsid w:val="00BD3A73"/>
    <w:rsid w:val="00BD5A58"/>
    <w:rsid w:val="00BD5EE0"/>
    <w:rsid w:val="00BD6457"/>
    <w:rsid w:val="00BD74E9"/>
    <w:rsid w:val="00BD7EA7"/>
    <w:rsid w:val="00BE01DA"/>
    <w:rsid w:val="00BE02E2"/>
    <w:rsid w:val="00BE0AD7"/>
    <w:rsid w:val="00BE1307"/>
    <w:rsid w:val="00BE1A11"/>
    <w:rsid w:val="00BE2004"/>
    <w:rsid w:val="00BE209E"/>
    <w:rsid w:val="00BE2315"/>
    <w:rsid w:val="00BE25C2"/>
    <w:rsid w:val="00BE3408"/>
    <w:rsid w:val="00BE3707"/>
    <w:rsid w:val="00BE3D99"/>
    <w:rsid w:val="00BE3DAE"/>
    <w:rsid w:val="00BE4640"/>
    <w:rsid w:val="00BE46F8"/>
    <w:rsid w:val="00BE4888"/>
    <w:rsid w:val="00BE5146"/>
    <w:rsid w:val="00BE54F2"/>
    <w:rsid w:val="00BE5BCB"/>
    <w:rsid w:val="00BE61CB"/>
    <w:rsid w:val="00BE78B1"/>
    <w:rsid w:val="00BE7B52"/>
    <w:rsid w:val="00BE7E14"/>
    <w:rsid w:val="00BF0558"/>
    <w:rsid w:val="00BF0C69"/>
    <w:rsid w:val="00BF14E4"/>
    <w:rsid w:val="00BF1BC6"/>
    <w:rsid w:val="00BF1EF0"/>
    <w:rsid w:val="00BF25FC"/>
    <w:rsid w:val="00BF2C08"/>
    <w:rsid w:val="00BF2EB9"/>
    <w:rsid w:val="00BF38D3"/>
    <w:rsid w:val="00BF3A6A"/>
    <w:rsid w:val="00BF3AFF"/>
    <w:rsid w:val="00BF4FC0"/>
    <w:rsid w:val="00BF512A"/>
    <w:rsid w:val="00BF5915"/>
    <w:rsid w:val="00BF5D4C"/>
    <w:rsid w:val="00BF5D57"/>
    <w:rsid w:val="00BF5E49"/>
    <w:rsid w:val="00BF5F5B"/>
    <w:rsid w:val="00BF692B"/>
    <w:rsid w:val="00BF6EA9"/>
    <w:rsid w:val="00BF7015"/>
    <w:rsid w:val="00BF7447"/>
    <w:rsid w:val="00C0012D"/>
    <w:rsid w:val="00C00A03"/>
    <w:rsid w:val="00C00BFA"/>
    <w:rsid w:val="00C00E8D"/>
    <w:rsid w:val="00C01264"/>
    <w:rsid w:val="00C01B1D"/>
    <w:rsid w:val="00C01DE8"/>
    <w:rsid w:val="00C01F87"/>
    <w:rsid w:val="00C02339"/>
    <w:rsid w:val="00C02981"/>
    <w:rsid w:val="00C02B15"/>
    <w:rsid w:val="00C02C58"/>
    <w:rsid w:val="00C02DEB"/>
    <w:rsid w:val="00C02EAF"/>
    <w:rsid w:val="00C030CD"/>
    <w:rsid w:val="00C03E67"/>
    <w:rsid w:val="00C04EC7"/>
    <w:rsid w:val="00C05300"/>
    <w:rsid w:val="00C056D2"/>
    <w:rsid w:val="00C06005"/>
    <w:rsid w:val="00C0693E"/>
    <w:rsid w:val="00C0703E"/>
    <w:rsid w:val="00C07095"/>
    <w:rsid w:val="00C071A7"/>
    <w:rsid w:val="00C075B5"/>
    <w:rsid w:val="00C077C3"/>
    <w:rsid w:val="00C07A4E"/>
    <w:rsid w:val="00C10BA1"/>
    <w:rsid w:val="00C10C73"/>
    <w:rsid w:val="00C11EBF"/>
    <w:rsid w:val="00C1211F"/>
    <w:rsid w:val="00C126C9"/>
    <w:rsid w:val="00C12992"/>
    <w:rsid w:val="00C12A1A"/>
    <w:rsid w:val="00C12FA0"/>
    <w:rsid w:val="00C13C23"/>
    <w:rsid w:val="00C146D0"/>
    <w:rsid w:val="00C15790"/>
    <w:rsid w:val="00C15B76"/>
    <w:rsid w:val="00C15CB1"/>
    <w:rsid w:val="00C16828"/>
    <w:rsid w:val="00C16FC4"/>
    <w:rsid w:val="00C1799C"/>
    <w:rsid w:val="00C20003"/>
    <w:rsid w:val="00C20349"/>
    <w:rsid w:val="00C20B11"/>
    <w:rsid w:val="00C2117D"/>
    <w:rsid w:val="00C21392"/>
    <w:rsid w:val="00C21510"/>
    <w:rsid w:val="00C21624"/>
    <w:rsid w:val="00C2185A"/>
    <w:rsid w:val="00C21D97"/>
    <w:rsid w:val="00C22F0C"/>
    <w:rsid w:val="00C2318D"/>
    <w:rsid w:val="00C23413"/>
    <w:rsid w:val="00C23505"/>
    <w:rsid w:val="00C238CE"/>
    <w:rsid w:val="00C245DF"/>
    <w:rsid w:val="00C249ED"/>
    <w:rsid w:val="00C24D9E"/>
    <w:rsid w:val="00C24F9F"/>
    <w:rsid w:val="00C254AD"/>
    <w:rsid w:val="00C25A1C"/>
    <w:rsid w:val="00C25AA2"/>
    <w:rsid w:val="00C25AAD"/>
    <w:rsid w:val="00C25AF9"/>
    <w:rsid w:val="00C25D83"/>
    <w:rsid w:val="00C2640E"/>
    <w:rsid w:val="00C268E2"/>
    <w:rsid w:val="00C26F28"/>
    <w:rsid w:val="00C2724C"/>
    <w:rsid w:val="00C278A3"/>
    <w:rsid w:val="00C278C8"/>
    <w:rsid w:val="00C30189"/>
    <w:rsid w:val="00C308AA"/>
    <w:rsid w:val="00C318A1"/>
    <w:rsid w:val="00C31A59"/>
    <w:rsid w:val="00C31C05"/>
    <w:rsid w:val="00C31D1A"/>
    <w:rsid w:val="00C32571"/>
    <w:rsid w:val="00C328A5"/>
    <w:rsid w:val="00C330B1"/>
    <w:rsid w:val="00C33CE9"/>
    <w:rsid w:val="00C34076"/>
    <w:rsid w:val="00C343B9"/>
    <w:rsid w:val="00C348D8"/>
    <w:rsid w:val="00C34B8B"/>
    <w:rsid w:val="00C34ED8"/>
    <w:rsid w:val="00C35ECD"/>
    <w:rsid w:val="00C368D9"/>
    <w:rsid w:val="00C36A52"/>
    <w:rsid w:val="00C36C2C"/>
    <w:rsid w:val="00C37041"/>
    <w:rsid w:val="00C4096A"/>
    <w:rsid w:val="00C40D1E"/>
    <w:rsid w:val="00C41010"/>
    <w:rsid w:val="00C41F44"/>
    <w:rsid w:val="00C422B0"/>
    <w:rsid w:val="00C424E9"/>
    <w:rsid w:val="00C42A8A"/>
    <w:rsid w:val="00C43653"/>
    <w:rsid w:val="00C436A8"/>
    <w:rsid w:val="00C439F1"/>
    <w:rsid w:val="00C43E09"/>
    <w:rsid w:val="00C43F84"/>
    <w:rsid w:val="00C441D1"/>
    <w:rsid w:val="00C4459A"/>
    <w:rsid w:val="00C44F6B"/>
    <w:rsid w:val="00C450E4"/>
    <w:rsid w:val="00C4542D"/>
    <w:rsid w:val="00C4596C"/>
    <w:rsid w:val="00C45C31"/>
    <w:rsid w:val="00C46145"/>
    <w:rsid w:val="00C46BF7"/>
    <w:rsid w:val="00C46CE3"/>
    <w:rsid w:val="00C47B2C"/>
    <w:rsid w:val="00C5117B"/>
    <w:rsid w:val="00C513C1"/>
    <w:rsid w:val="00C519D3"/>
    <w:rsid w:val="00C51EA3"/>
    <w:rsid w:val="00C52063"/>
    <w:rsid w:val="00C5218A"/>
    <w:rsid w:val="00C52A79"/>
    <w:rsid w:val="00C53218"/>
    <w:rsid w:val="00C532DC"/>
    <w:rsid w:val="00C53483"/>
    <w:rsid w:val="00C534D4"/>
    <w:rsid w:val="00C5365F"/>
    <w:rsid w:val="00C536E2"/>
    <w:rsid w:val="00C5458B"/>
    <w:rsid w:val="00C54BD4"/>
    <w:rsid w:val="00C55486"/>
    <w:rsid w:val="00C55D2D"/>
    <w:rsid w:val="00C56748"/>
    <w:rsid w:val="00C5698E"/>
    <w:rsid w:val="00C57B24"/>
    <w:rsid w:val="00C60C16"/>
    <w:rsid w:val="00C60DF9"/>
    <w:rsid w:val="00C60E5E"/>
    <w:rsid w:val="00C614B8"/>
    <w:rsid w:val="00C61820"/>
    <w:rsid w:val="00C62A7B"/>
    <w:rsid w:val="00C62E2A"/>
    <w:rsid w:val="00C62F0F"/>
    <w:rsid w:val="00C62FF8"/>
    <w:rsid w:val="00C631EB"/>
    <w:rsid w:val="00C64091"/>
    <w:rsid w:val="00C65320"/>
    <w:rsid w:val="00C6638E"/>
    <w:rsid w:val="00C664CA"/>
    <w:rsid w:val="00C669D7"/>
    <w:rsid w:val="00C66B7F"/>
    <w:rsid w:val="00C66C84"/>
    <w:rsid w:val="00C67282"/>
    <w:rsid w:val="00C67EAE"/>
    <w:rsid w:val="00C707CE"/>
    <w:rsid w:val="00C70BAA"/>
    <w:rsid w:val="00C70F17"/>
    <w:rsid w:val="00C7146C"/>
    <w:rsid w:val="00C71E57"/>
    <w:rsid w:val="00C7219C"/>
    <w:rsid w:val="00C72618"/>
    <w:rsid w:val="00C72792"/>
    <w:rsid w:val="00C72828"/>
    <w:rsid w:val="00C72941"/>
    <w:rsid w:val="00C73892"/>
    <w:rsid w:val="00C74423"/>
    <w:rsid w:val="00C74815"/>
    <w:rsid w:val="00C7539B"/>
    <w:rsid w:val="00C754E8"/>
    <w:rsid w:val="00C76347"/>
    <w:rsid w:val="00C7673F"/>
    <w:rsid w:val="00C7694C"/>
    <w:rsid w:val="00C76C30"/>
    <w:rsid w:val="00C7789C"/>
    <w:rsid w:val="00C778F0"/>
    <w:rsid w:val="00C77DED"/>
    <w:rsid w:val="00C80270"/>
    <w:rsid w:val="00C80EB0"/>
    <w:rsid w:val="00C815CB"/>
    <w:rsid w:val="00C81698"/>
    <w:rsid w:val="00C819B1"/>
    <w:rsid w:val="00C82C44"/>
    <w:rsid w:val="00C82D8B"/>
    <w:rsid w:val="00C83835"/>
    <w:rsid w:val="00C84052"/>
    <w:rsid w:val="00C8500C"/>
    <w:rsid w:val="00C85C73"/>
    <w:rsid w:val="00C8603C"/>
    <w:rsid w:val="00C8617A"/>
    <w:rsid w:val="00C866A2"/>
    <w:rsid w:val="00C866B1"/>
    <w:rsid w:val="00C8681D"/>
    <w:rsid w:val="00C86EBD"/>
    <w:rsid w:val="00C87C60"/>
    <w:rsid w:val="00C902DF"/>
    <w:rsid w:val="00C9047C"/>
    <w:rsid w:val="00C906E1"/>
    <w:rsid w:val="00C9117B"/>
    <w:rsid w:val="00C9134B"/>
    <w:rsid w:val="00C91464"/>
    <w:rsid w:val="00C91830"/>
    <w:rsid w:val="00C92D7C"/>
    <w:rsid w:val="00C93290"/>
    <w:rsid w:val="00C936B0"/>
    <w:rsid w:val="00C93CE0"/>
    <w:rsid w:val="00C93F6B"/>
    <w:rsid w:val="00C94775"/>
    <w:rsid w:val="00C95273"/>
    <w:rsid w:val="00C95374"/>
    <w:rsid w:val="00C95AD8"/>
    <w:rsid w:val="00C95E47"/>
    <w:rsid w:val="00C96984"/>
    <w:rsid w:val="00C96A18"/>
    <w:rsid w:val="00C96C69"/>
    <w:rsid w:val="00C9787A"/>
    <w:rsid w:val="00CA0806"/>
    <w:rsid w:val="00CA0B0F"/>
    <w:rsid w:val="00CA0B32"/>
    <w:rsid w:val="00CA0ED8"/>
    <w:rsid w:val="00CA116E"/>
    <w:rsid w:val="00CA153C"/>
    <w:rsid w:val="00CA1CE3"/>
    <w:rsid w:val="00CA213B"/>
    <w:rsid w:val="00CA22DE"/>
    <w:rsid w:val="00CA297B"/>
    <w:rsid w:val="00CA31DD"/>
    <w:rsid w:val="00CA3997"/>
    <w:rsid w:val="00CA4310"/>
    <w:rsid w:val="00CA44E5"/>
    <w:rsid w:val="00CA4CF1"/>
    <w:rsid w:val="00CA562C"/>
    <w:rsid w:val="00CA5B49"/>
    <w:rsid w:val="00CA5BEB"/>
    <w:rsid w:val="00CA6338"/>
    <w:rsid w:val="00CA6A20"/>
    <w:rsid w:val="00CA7039"/>
    <w:rsid w:val="00CA7730"/>
    <w:rsid w:val="00CB0761"/>
    <w:rsid w:val="00CB0B2A"/>
    <w:rsid w:val="00CB2000"/>
    <w:rsid w:val="00CB2006"/>
    <w:rsid w:val="00CB235A"/>
    <w:rsid w:val="00CB30F5"/>
    <w:rsid w:val="00CB386A"/>
    <w:rsid w:val="00CB3C18"/>
    <w:rsid w:val="00CB3D23"/>
    <w:rsid w:val="00CB3FF4"/>
    <w:rsid w:val="00CB46BE"/>
    <w:rsid w:val="00CB48B9"/>
    <w:rsid w:val="00CB4D61"/>
    <w:rsid w:val="00CB4EAD"/>
    <w:rsid w:val="00CB6E42"/>
    <w:rsid w:val="00CB7523"/>
    <w:rsid w:val="00CB7F94"/>
    <w:rsid w:val="00CC008E"/>
    <w:rsid w:val="00CC11AA"/>
    <w:rsid w:val="00CC12D5"/>
    <w:rsid w:val="00CC1C85"/>
    <w:rsid w:val="00CC23AE"/>
    <w:rsid w:val="00CC2A6E"/>
    <w:rsid w:val="00CC323F"/>
    <w:rsid w:val="00CC366C"/>
    <w:rsid w:val="00CC3793"/>
    <w:rsid w:val="00CC3F41"/>
    <w:rsid w:val="00CC56BD"/>
    <w:rsid w:val="00CC5EFF"/>
    <w:rsid w:val="00CC66E4"/>
    <w:rsid w:val="00CC69FE"/>
    <w:rsid w:val="00CC6E96"/>
    <w:rsid w:val="00CC74C3"/>
    <w:rsid w:val="00CC7ED1"/>
    <w:rsid w:val="00CD0305"/>
    <w:rsid w:val="00CD06F0"/>
    <w:rsid w:val="00CD11CF"/>
    <w:rsid w:val="00CD1604"/>
    <w:rsid w:val="00CD1F9F"/>
    <w:rsid w:val="00CD1FA4"/>
    <w:rsid w:val="00CD1FA8"/>
    <w:rsid w:val="00CD2F3B"/>
    <w:rsid w:val="00CD33B5"/>
    <w:rsid w:val="00CD378D"/>
    <w:rsid w:val="00CD47FF"/>
    <w:rsid w:val="00CD5C6D"/>
    <w:rsid w:val="00CD5FAB"/>
    <w:rsid w:val="00CD6436"/>
    <w:rsid w:val="00CD65B4"/>
    <w:rsid w:val="00CD7B3B"/>
    <w:rsid w:val="00CE03AF"/>
    <w:rsid w:val="00CE04F3"/>
    <w:rsid w:val="00CE094E"/>
    <w:rsid w:val="00CE1EEC"/>
    <w:rsid w:val="00CE2B95"/>
    <w:rsid w:val="00CE2D18"/>
    <w:rsid w:val="00CE2EBE"/>
    <w:rsid w:val="00CE416B"/>
    <w:rsid w:val="00CE4C88"/>
    <w:rsid w:val="00CE5874"/>
    <w:rsid w:val="00CE599F"/>
    <w:rsid w:val="00CE5D55"/>
    <w:rsid w:val="00CE5F8C"/>
    <w:rsid w:val="00CE608F"/>
    <w:rsid w:val="00CE62D9"/>
    <w:rsid w:val="00CE6445"/>
    <w:rsid w:val="00CE66A4"/>
    <w:rsid w:val="00CE7B06"/>
    <w:rsid w:val="00CF0436"/>
    <w:rsid w:val="00CF0BB7"/>
    <w:rsid w:val="00CF2332"/>
    <w:rsid w:val="00CF29FB"/>
    <w:rsid w:val="00CF2E3C"/>
    <w:rsid w:val="00CF398A"/>
    <w:rsid w:val="00CF41F3"/>
    <w:rsid w:val="00CF44E2"/>
    <w:rsid w:val="00CF49AC"/>
    <w:rsid w:val="00CF4ABD"/>
    <w:rsid w:val="00CF4C6F"/>
    <w:rsid w:val="00CF4CD8"/>
    <w:rsid w:val="00CF4DE8"/>
    <w:rsid w:val="00CF4F8B"/>
    <w:rsid w:val="00CF521F"/>
    <w:rsid w:val="00CF567E"/>
    <w:rsid w:val="00CF5CD2"/>
    <w:rsid w:val="00CF659A"/>
    <w:rsid w:val="00CF722D"/>
    <w:rsid w:val="00CF7896"/>
    <w:rsid w:val="00CF7E55"/>
    <w:rsid w:val="00D00384"/>
    <w:rsid w:val="00D006AD"/>
    <w:rsid w:val="00D0083B"/>
    <w:rsid w:val="00D00B2A"/>
    <w:rsid w:val="00D00E4C"/>
    <w:rsid w:val="00D011B7"/>
    <w:rsid w:val="00D02103"/>
    <w:rsid w:val="00D02BB9"/>
    <w:rsid w:val="00D03A1E"/>
    <w:rsid w:val="00D049FD"/>
    <w:rsid w:val="00D0515A"/>
    <w:rsid w:val="00D05333"/>
    <w:rsid w:val="00D0601C"/>
    <w:rsid w:val="00D074F7"/>
    <w:rsid w:val="00D0794E"/>
    <w:rsid w:val="00D07FE8"/>
    <w:rsid w:val="00D10A55"/>
    <w:rsid w:val="00D10A62"/>
    <w:rsid w:val="00D1113E"/>
    <w:rsid w:val="00D11646"/>
    <w:rsid w:val="00D11FDD"/>
    <w:rsid w:val="00D124E8"/>
    <w:rsid w:val="00D1263C"/>
    <w:rsid w:val="00D127F8"/>
    <w:rsid w:val="00D128EE"/>
    <w:rsid w:val="00D1366D"/>
    <w:rsid w:val="00D13DC3"/>
    <w:rsid w:val="00D14157"/>
    <w:rsid w:val="00D15B24"/>
    <w:rsid w:val="00D16BFB"/>
    <w:rsid w:val="00D17FB7"/>
    <w:rsid w:val="00D201D1"/>
    <w:rsid w:val="00D20318"/>
    <w:rsid w:val="00D206CD"/>
    <w:rsid w:val="00D21970"/>
    <w:rsid w:val="00D21B20"/>
    <w:rsid w:val="00D21EB3"/>
    <w:rsid w:val="00D22663"/>
    <w:rsid w:val="00D227BF"/>
    <w:rsid w:val="00D22EA4"/>
    <w:rsid w:val="00D23623"/>
    <w:rsid w:val="00D23658"/>
    <w:rsid w:val="00D2380F"/>
    <w:rsid w:val="00D239BD"/>
    <w:rsid w:val="00D243D8"/>
    <w:rsid w:val="00D24626"/>
    <w:rsid w:val="00D24CCA"/>
    <w:rsid w:val="00D25687"/>
    <w:rsid w:val="00D26387"/>
    <w:rsid w:val="00D2667E"/>
    <w:rsid w:val="00D26FF0"/>
    <w:rsid w:val="00D2764C"/>
    <w:rsid w:val="00D30205"/>
    <w:rsid w:val="00D307FC"/>
    <w:rsid w:val="00D309E7"/>
    <w:rsid w:val="00D31F40"/>
    <w:rsid w:val="00D322CB"/>
    <w:rsid w:val="00D32ABB"/>
    <w:rsid w:val="00D32D8F"/>
    <w:rsid w:val="00D33BC0"/>
    <w:rsid w:val="00D34150"/>
    <w:rsid w:val="00D3468C"/>
    <w:rsid w:val="00D34965"/>
    <w:rsid w:val="00D350D4"/>
    <w:rsid w:val="00D360BC"/>
    <w:rsid w:val="00D361B3"/>
    <w:rsid w:val="00D365C0"/>
    <w:rsid w:val="00D36FDE"/>
    <w:rsid w:val="00D37115"/>
    <w:rsid w:val="00D3718B"/>
    <w:rsid w:val="00D37805"/>
    <w:rsid w:val="00D37AE6"/>
    <w:rsid w:val="00D40787"/>
    <w:rsid w:val="00D41B19"/>
    <w:rsid w:val="00D41B30"/>
    <w:rsid w:val="00D41BCB"/>
    <w:rsid w:val="00D421E7"/>
    <w:rsid w:val="00D42476"/>
    <w:rsid w:val="00D428E3"/>
    <w:rsid w:val="00D42DB3"/>
    <w:rsid w:val="00D43257"/>
    <w:rsid w:val="00D43290"/>
    <w:rsid w:val="00D43666"/>
    <w:rsid w:val="00D446A5"/>
    <w:rsid w:val="00D44A1A"/>
    <w:rsid w:val="00D45A8C"/>
    <w:rsid w:val="00D45EAA"/>
    <w:rsid w:val="00D46078"/>
    <w:rsid w:val="00D46337"/>
    <w:rsid w:val="00D4641D"/>
    <w:rsid w:val="00D4697E"/>
    <w:rsid w:val="00D478CC"/>
    <w:rsid w:val="00D50792"/>
    <w:rsid w:val="00D5118A"/>
    <w:rsid w:val="00D5119C"/>
    <w:rsid w:val="00D5131D"/>
    <w:rsid w:val="00D5140E"/>
    <w:rsid w:val="00D516A6"/>
    <w:rsid w:val="00D518ED"/>
    <w:rsid w:val="00D52513"/>
    <w:rsid w:val="00D5252B"/>
    <w:rsid w:val="00D526EA"/>
    <w:rsid w:val="00D530E5"/>
    <w:rsid w:val="00D54650"/>
    <w:rsid w:val="00D5488E"/>
    <w:rsid w:val="00D54911"/>
    <w:rsid w:val="00D54D8D"/>
    <w:rsid w:val="00D55CA4"/>
    <w:rsid w:val="00D55FDF"/>
    <w:rsid w:val="00D57046"/>
    <w:rsid w:val="00D570CE"/>
    <w:rsid w:val="00D6014F"/>
    <w:rsid w:val="00D601D9"/>
    <w:rsid w:val="00D6031B"/>
    <w:rsid w:val="00D603CD"/>
    <w:rsid w:val="00D60631"/>
    <w:rsid w:val="00D6185E"/>
    <w:rsid w:val="00D61BAD"/>
    <w:rsid w:val="00D62BA5"/>
    <w:rsid w:val="00D62EE1"/>
    <w:rsid w:val="00D63576"/>
    <w:rsid w:val="00D63755"/>
    <w:rsid w:val="00D63EB4"/>
    <w:rsid w:val="00D644A8"/>
    <w:rsid w:val="00D646C6"/>
    <w:rsid w:val="00D64A89"/>
    <w:rsid w:val="00D65FD9"/>
    <w:rsid w:val="00D66491"/>
    <w:rsid w:val="00D66848"/>
    <w:rsid w:val="00D66D6C"/>
    <w:rsid w:val="00D66E88"/>
    <w:rsid w:val="00D673D1"/>
    <w:rsid w:val="00D710F0"/>
    <w:rsid w:val="00D718F5"/>
    <w:rsid w:val="00D71AA3"/>
    <w:rsid w:val="00D72883"/>
    <w:rsid w:val="00D73067"/>
    <w:rsid w:val="00D737D6"/>
    <w:rsid w:val="00D73C11"/>
    <w:rsid w:val="00D7493B"/>
    <w:rsid w:val="00D74A7D"/>
    <w:rsid w:val="00D75169"/>
    <w:rsid w:val="00D761B4"/>
    <w:rsid w:val="00D76238"/>
    <w:rsid w:val="00D769BF"/>
    <w:rsid w:val="00D773E6"/>
    <w:rsid w:val="00D774B9"/>
    <w:rsid w:val="00D774DE"/>
    <w:rsid w:val="00D778B8"/>
    <w:rsid w:val="00D805CD"/>
    <w:rsid w:val="00D80B6A"/>
    <w:rsid w:val="00D81437"/>
    <w:rsid w:val="00D8150C"/>
    <w:rsid w:val="00D82730"/>
    <w:rsid w:val="00D82E95"/>
    <w:rsid w:val="00D82FE4"/>
    <w:rsid w:val="00D8330F"/>
    <w:rsid w:val="00D83393"/>
    <w:rsid w:val="00D83850"/>
    <w:rsid w:val="00D84351"/>
    <w:rsid w:val="00D84D39"/>
    <w:rsid w:val="00D85518"/>
    <w:rsid w:val="00D86D42"/>
    <w:rsid w:val="00D878FB"/>
    <w:rsid w:val="00D87DB9"/>
    <w:rsid w:val="00D903EB"/>
    <w:rsid w:val="00D905C4"/>
    <w:rsid w:val="00D90B48"/>
    <w:rsid w:val="00D90C9D"/>
    <w:rsid w:val="00D91993"/>
    <w:rsid w:val="00D91CF6"/>
    <w:rsid w:val="00D91D58"/>
    <w:rsid w:val="00D91ED3"/>
    <w:rsid w:val="00D920B2"/>
    <w:rsid w:val="00D926DE"/>
    <w:rsid w:val="00D9309C"/>
    <w:rsid w:val="00D943AA"/>
    <w:rsid w:val="00D945A1"/>
    <w:rsid w:val="00D947AA"/>
    <w:rsid w:val="00D949B0"/>
    <w:rsid w:val="00D95322"/>
    <w:rsid w:val="00D96B10"/>
    <w:rsid w:val="00D97129"/>
    <w:rsid w:val="00D9750E"/>
    <w:rsid w:val="00DA102C"/>
    <w:rsid w:val="00DA1312"/>
    <w:rsid w:val="00DA192C"/>
    <w:rsid w:val="00DA1CD0"/>
    <w:rsid w:val="00DA1F5F"/>
    <w:rsid w:val="00DA203F"/>
    <w:rsid w:val="00DA28D6"/>
    <w:rsid w:val="00DA31D7"/>
    <w:rsid w:val="00DA372B"/>
    <w:rsid w:val="00DA44A4"/>
    <w:rsid w:val="00DA4697"/>
    <w:rsid w:val="00DA4993"/>
    <w:rsid w:val="00DA4DB2"/>
    <w:rsid w:val="00DA4E43"/>
    <w:rsid w:val="00DA53B6"/>
    <w:rsid w:val="00DA5EB3"/>
    <w:rsid w:val="00DA6186"/>
    <w:rsid w:val="00DA69DA"/>
    <w:rsid w:val="00DA7893"/>
    <w:rsid w:val="00DB086A"/>
    <w:rsid w:val="00DB0D48"/>
    <w:rsid w:val="00DB1081"/>
    <w:rsid w:val="00DB129B"/>
    <w:rsid w:val="00DB186E"/>
    <w:rsid w:val="00DB1D76"/>
    <w:rsid w:val="00DB2473"/>
    <w:rsid w:val="00DB25CB"/>
    <w:rsid w:val="00DB290A"/>
    <w:rsid w:val="00DB2F5D"/>
    <w:rsid w:val="00DB33EE"/>
    <w:rsid w:val="00DB34BF"/>
    <w:rsid w:val="00DB352F"/>
    <w:rsid w:val="00DB378B"/>
    <w:rsid w:val="00DB3E8C"/>
    <w:rsid w:val="00DB430E"/>
    <w:rsid w:val="00DB4852"/>
    <w:rsid w:val="00DB5226"/>
    <w:rsid w:val="00DB53A7"/>
    <w:rsid w:val="00DB608A"/>
    <w:rsid w:val="00DB645B"/>
    <w:rsid w:val="00DB736E"/>
    <w:rsid w:val="00DB7423"/>
    <w:rsid w:val="00DB7768"/>
    <w:rsid w:val="00DB7C7C"/>
    <w:rsid w:val="00DC005F"/>
    <w:rsid w:val="00DC02F4"/>
    <w:rsid w:val="00DC10AB"/>
    <w:rsid w:val="00DC2259"/>
    <w:rsid w:val="00DC2339"/>
    <w:rsid w:val="00DC2378"/>
    <w:rsid w:val="00DC2B46"/>
    <w:rsid w:val="00DC2B9E"/>
    <w:rsid w:val="00DC315E"/>
    <w:rsid w:val="00DC317B"/>
    <w:rsid w:val="00DC321B"/>
    <w:rsid w:val="00DC3337"/>
    <w:rsid w:val="00DC343B"/>
    <w:rsid w:val="00DC3930"/>
    <w:rsid w:val="00DC4A42"/>
    <w:rsid w:val="00DC4CD8"/>
    <w:rsid w:val="00DC4CEC"/>
    <w:rsid w:val="00DC4DA3"/>
    <w:rsid w:val="00DC5117"/>
    <w:rsid w:val="00DC57CC"/>
    <w:rsid w:val="00DC6BE9"/>
    <w:rsid w:val="00DC6C13"/>
    <w:rsid w:val="00DC6E4F"/>
    <w:rsid w:val="00DC7885"/>
    <w:rsid w:val="00DD0BCC"/>
    <w:rsid w:val="00DD0E24"/>
    <w:rsid w:val="00DD25A9"/>
    <w:rsid w:val="00DD2697"/>
    <w:rsid w:val="00DD2BF6"/>
    <w:rsid w:val="00DD2F2E"/>
    <w:rsid w:val="00DD3AA6"/>
    <w:rsid w:val="00DD3F36"/>
    <w:rsid w:val="00DD4027"/>
    <w:rsid w:val="00DD42CA"/>
    <w:rsid w:val="00DD4331"/>
    <w:rsid w:val="00DD4973"/>
    <w:rsid w:val="00DD52ED"/>
    <w:rsid w:val="00DD537F"/>
    <w:rsid w:val="00DD5E11"/>
    <w:rsid w:val="00DD713C"/>
    <w:rsid w:val="00DD7E6B"/>
    <w:rsid w:val="00DE09CC"/>
    <w:rsid w:val="00DE12F4"/>
    <w:rsid w:val="00DE21D2"/>
    <w:rsid w:val="00DE2EC2"/>
    <w:rsid w:val="00DE3224"/>
    <w:rsid w:val="00DE37E7"/>
    <w:rsid w:val="00DE3D89"/>
    <w:rsid w:val="00DE4511"/>
    <w:rsid w:val="00DE49C4"/>
    <w:rsid w:val="00DE4BF9"/>
    <w:rsid w:val="00DE51F1"/>
    <w:rsid w:val="00DE5A61"/>
    <w:rsid w:val="00DE5BA7"/>
    <w:rsid w:val="00DE63DF"/>
    <w:rsid w:val="00DE675E"/>
    <w:rsid w:val="00DE67F9"/>
    <w:rsid w:val="00DE7311"/>
    <w:rsid w:val="00DF017C"/>
    <w:rsid w:val="00DF0281"/>
    <w:rsid w:val="00DF091E"/>
    <w:rsid w:val="00DF0AA3"/>
    <w:rsid w:val="00DF15D0"/>
    <w:rsid w:val="00DF1634"/>
    <w:rsid w:val="00DF1F82"/>
    <w:rsid w:val="00DF2103"/>
    <w:rsid w:val="00DF22E7"/>
    <w:rsid w:val="00DF269C"/>
    <w:rsid w:val="00DF3244"/>
    <w:rsid w:val="00DF3702"/>
    <w:rsid w:val="00DF37BA"/>
    <w:rsid w:val="00DF398A"/>
    <w:rsid w:val="00DF3AAA"/>
    <w:rsid w:val="00DF3B47"/>
    <w:rsid w:val="00DF3C5D"/>
    <w:rsid w:val="00DF3D77"/>
    <w:rsid w:val="00DF3FC4"/>
    <w:rsid w:val="00DF42C5"/>
    <w:rsid w:val="00DF4E74"/>
    <w:rsid w:val="00DF5976"/>
    <w:rsid w:val="00DF5ABB"/>
    <w:rsid w:val="00DF5D88"/>
    <w:rsid w:val="00DF6124"/>
    <w:rsid w:val="00DF78A9"/>
    <w:rsid w:val="00DF7B30"/>
    <w:rsid w:val="00DF7EC5"/>
    <w:rsid w:val="00E0005D"/>
    <w:rsid w:val="00E001F2"/>
    <w:rsid w:val="00E00659"/>
    <w:rsid w:val="00E0066C"/>
    <w:rsid w:val="00E00AC5"/>
    <w:rsid w:val="00E00D6E"/>
    <w:rsid w:val="00E01398"/>
    <w:rsid w:val="00E0286B"/>
    <w:rsid w:val="00E02AD6"/>
    <w:rsid w:val="00E03729"/>
    <w:rsid w:val="00E039C7"/>
    <w:rsid w:val="00E03D44"/>
    <w:rsid w:val="00E04702"/>
    <w:rsid w:val="00E056C1"/>
    <w:rsid w:val="00E06049"/>
    <w:rsid w:val="00E0662E"/>
    <w:rsid w:val="00E06A39"/>
    <w:rsid w:val="00E06AC4"/>
    <w:rsid w:val="00E072AE"/>
    <w:rsid w:val="00E07666"/>
    <w:rsid w:val="00E10120"/>
    <w:rsid w:val="00E10547"/>
    <w:rsid w:val="00E10B1F"/>
    <w:rsid w:val="00E10F6D"/>
    <w:rsid w:val="00E11AE2"/>
    <w:rsid w:val="00E11D18"/>
    <w:rsid w:val="00E12225"/>
    <w:rsid w:val="00E129FE"/>
    <w:rsid w:val="00E12D0E"/>
    <w:rsid w:val="00E12E3E"/>
    <w:rsid w:val="00E137B8"/>
    <w:rsid w:val="00E14D60"/>
    <w:rsid w:val="00E14E2A"/>
    <w:rsid w:val="00E14F87"/>
    <w:rsid w:val="00E1512E"/>
    <w:rsid w:val="00E15788"/>
    <w:rsid w:val="00E1620A"/>
    <w:rsid w:val="00E16E4A"/>
    <w:rsid w:val="00E17ADD"/>
    <w:rsid w:val="00E17D3A"/>
    <w:rsid w:val="00E17EC3"/>
    <w:rsid w:val="00E209BB"/>
    <w:rsid w:val="00E209C9"/>
    <w:rsid w:val="00E214FE"/>
    <w:rsid w:val="00E220AE"/>
    <w:rsid w:val="00E22D9A"/>
    <w:rsid w:val="00E248B4"/>
    <w:rsid w:val="00E24F07"/>
    <w:rsid w:val="00E25708"/>
    <w:rsid w:val="00E25733"/>
    <w:rsid w:val="00E2589D"/>
    <w:rsid w:val="00E26A8B"/>
    <w:rsid w:val="00E270AE"/>
    <w:rsid w:val="00E27BD2"/>
    <w:rsid w:val="00E27BDF"/>
    <w:rsid w:val="00E27C46"/>
    <w:rsid w:val="00E27D78"/>
    <w:rsid w:val="00E30A47"/>
    <w:rsid w:val="00E3141D"/>
    <w:rsid w:val="00E31641"/>
    <w:rsid w:val="00E32691"/>
    <w:rsid w:val="00E32EEA"/>
    <w:rsid w:val="00E32F31"/>
    <w:rsid w:val="00E32F54"/>
    <w:rsid w:val="00E33B82"/>
    <w:rsid w:val="00E34420"/>
    <w:rsid w:val="00E34827"/>
    <w:rsid w:val="00E35257"/>
    <w:rsid w:val="00E3542A"/>
    <w:rsid w:val="00E3641A"/>
    <w:rsid w:val="00E36631"/>
    <w:rsid w:val="00E36F0A"/>
    <w:rsid w:val="00E37058"/>
    <w:rsid w:val="00E373A4"/>
    <w:rsid w:val="00E373ED"/>
    <w:rsid w:val="00E37A21"/>
    <w:rsid w:val="00E37B11"/>
    <w:rsid w:val="00E40537"/>
    <w:rsid w:val="00E419AF"/>
    <w:rsid w:val="00E41BE2"/>
    <w:rsid w:val="00E41EDC"/>
    <w:rsid w:val="00E43301"/>
    <w:rsid w:val="00E43C04"/>
    <w:rsid w:val="00E43FD2"/>
    <w:rsid w:val="00E4418F"/>
    <w:rsid w:val="00E4430B"/>
    <w:rsid w:val="00E4480B"/>
    <w:rsid w:val="00E449AB"/>
    <w:rsid w:val="00E44AFD"/>
    <w:rsid w:val="00E44EC7"/>
    <w:rsid w:val="00E44F03"/>
    <w:rsid w:val="00E45647"/>
    <w:rsid w:val="00E45C49"/>
    <w:rsid w:val="00E46DFD"/>
    <w:rsid w:val="00E5003F"/>
    <w:rsid w:val="00E50F12"/>
    <w:rsid w:val="00E510E6"/>
    <w:rsid w:val="00E51144"/>
    <w:rsid w:val="00E512D3"/>
    <w:rsid w:val="00E51C1F"/>
    <w:rsid w:val="00E524B5"/>
    <w:rsid w:val="00E52D0E"/>
    <w:rsid w:val="00E53A23"/>
    <w:rsid w:val="00E54057"/>
    <w:rsid w:val="00E542DC"/>
    <w:rsid w:val="00E54513"/>
    <w:rsid w:val="00E55B8F"/>
    <w:rsid w:val="00E55EB8"/>
    <w:rsid w:val="00E56085"/>
    <w:rsid w:val="00E5621C"/>
    <w:rsid w:val="00E5681C"/>
    <w:rsid w:val="00E56D54"/>
    <w:rsid w:val="00E57B6D"/>
    <w:rsid w:val="00E57CA8"/>
    <w:rsid w:val="00E6083D"/>
    <w:rsid w:val="00E6093E"/>
    <w:rsid w:val="00E60D17"/>
    <w:rsid w:val="00E61B1B"/>
    <w:rsid w:val="00E624A4"/>
    <w:rsid w:val="00E62D2F"/>
    <w:rsid w:val="00E630A4"/>
    <w:rsid w:val="00E63276"/>
    <w:rsid w:val="00E63DB8"/>
    <w:rsid w:val="00E63EE6"/>
    <w:rsid w:val="00E64D70"/>
    <w:rsid w:val="00E6566B"/>
    <w:rsid w:val="00E658FC"/>
    <w:rsid w:val="00E6639F"/>
    <w:rsid w:val="00E6640B"/>
    <w:rsid w:val="00E66506"/>
    <w:rsid w:val="00E66B94"/>
    <w:rsid w:val="00E675AB"/>
    <w:rsid w:val="00E67655"/>
    <w:rsid w:val="00E67AA9"/>
    <w:rsid w:val="00E67B3E"/>
    <w:rsid w:val="00E701F4"/>
    <w:rsid w:val="00E705D9"/>
    <w:rsid w:val="00E70F13"/>
    <w:rsid w:val="00E715CE"/>
    <w:rsid w:val="00E71752"/>
    <w:rsid w:val="00E72217"/>
    <w:rsid w:val="00E7245D"/>
    <w:rsid w:val="00E72771"/>
    <w:rsid w:val="00E7282E"/>
    <w:rsid w:val="00E72FE3"/>
    <w:rsid w:val="00E73526"/>
    <w:rsid w:val="00E73979"/>
    <w:rsid w:val="00E73F73"/>
    <w:rsid w:val="00E74E8E"/>
    <w:rsid w:val="00E75A77"/>
    <w:rsid w:val="00E75E1B"/>
    <w:rsid w:val="00E761A4"/>
    <w:rsid w:val="00E76731"/>
    <w:rsid w:val="00E7792D"/>
    <w:rsid w:val="00E77A28"/>
    <w:rsid w:val="00E77D2C"/>
    <w:rsid w:val="00E77E67"/>
    <w:rsid w:val="00E8068A"/>
    <w:rsid w:val="00E8068D"/>
    <w:rsid w:val="00E80A06"/>
    <w:rsid w:val="00E80FF6"/>
    <w:rsid w:val="00E81992"/>
    <w:rsid w:val="00E819DE"/>
    <w:rsid w:val="00E82193"/>
    <w:rsid w:val="00E8264C"/>
    <w:rsid w:val="00E83677"/>
    <w:rsid w:val="00E83B4F"/>
    <w:rsid w:val="00E841AD"/>
    <w:rsid w:val="00E845DE"/>
    <w:rsid w:val="00E84C59"/>
    <w:rsid w:val="00E84D26"/>
    <w:rsid w:val="00E852B8"/>
    <w:rsid w:val="00E8536D"/>
    <w:rsid w:val="00E85560"/>
    <w:rsid w:val="00E8579E"/>
    <w:rsid w:val="00E85D23"/>
    <w:rsid w:val="00E86072"/>
    <w:rsid w:val="00E86168"/>
    <w:rsid w:val="00E86976"/>
    <w:rsid w:val="00E86FBA"/>
    <w:rsid w:val="00E8741C"/>
    <w:rsid w:val="00E874E5"/>
    <w:rsid w:val="00E87628"/>
    <w:rsid w:val="00E8782B"/>
    <w:rsid w:val="00E878FE"/>
    <w:rsid w:val="00E87E20"/>
    <w:rsid w:val="00E87FCF"/>
    <w:rsid w:val="00E900D3"/>
    <w:rsid w:val="00E9012C"/>
    <w:rsid w:val="00E9129B"/>
    <w:rsid w:val="00E912F3"/>
    <w:rsid w:val="00E92641"/>
    <w:rsid w:val="00E92E13"/>
    <w:rsid w:val="00E93325"/>
    <w:rsid w:val="00E93666"/>
    <w:rsid w:val="00E9371E"/>
    <w:rsid w:val="00E94823"/>
    <w:rsid w:val="00E94F11"/>
    <w:rsid w:val="00E951A6"/>
    <w:rsid w:val="00E95853"/>
    <w:rsid w:val="00E958E0"/>
    <w:rsid w:val="00E96649"/>
    <w:rsid w:val="00E96929"/>
    <w:rsid w:val="00E969F7"/>
    <w:rsid w:val="00E96A7C"/>
    <w:rsid w:val="00E97069"/>
    <w:rsid w:val="00EA059A"/>
    <w:rsid w:val="00EA0705"/>
    <w:rsid w:val="00EA0D5C"/>
    <w:rsid w:val="00EA0EFE"/>
    <w:rsid w:val="00EA11BB"/>
    <w:rsid w:val="00EA137F"/>
    <w:rsid w:val="00EA3B6F"/>
    <w:rsid w:val="00EA4029"/>
    <w:rsid w:val="00EA4CC5"/>
    <w:rsid w:val="00EA4CFA"/>
    <w:rsid w:val="00EA54F9"/>
    <w:rsid w:val="00EA5869"/>
    <w:rsid w:val="00EA5ADA"/>
    <w:rsid w:val="00EA69DA"/>
    <w:rsid w:val="00EA6CC4"/>
    <w:rsid w:val="00EA6FDE"/>
    <w:rsid w:val="00EA75FE"/>
    <w:rsid w:val="00EA768B"/>
    <w:rsid w:val="00EA7852"/>
    <w:rsid w:val="00EB0F61"/>
    <w:rsid w:val="00EB1541"/>
    <w:rsid w:val="00EB2201"/>
    <w:rsid w:val="00EB245E"/>
    <w:rsid w:val="00EB28FE"/>
    <w:rsid w:val="00EB343A"/>
    <w:rsid w:val="00EB3880"/>
    <w:rsid w:val="00EB3F0E"/>
    <w:rsid w:val="00EB3F4C"/>
    <w:rsid w:val="00EB4C4F"/>
    <w:rsid w:val="00EB4EAE"/>
    <w:rsid w:val="00EB5153"/>
    <w:rsid w:val="00EB54F3"/>
    <w:rsid w:val="00EB56D0"/>
    <w:rsid w:val="00EB60FA"/>
    <w:rsid w:val="00EB61AB"/>
    <w:rsid w:val="00EB67CF"/>
    <w:rsid w:val="00EB727F"/>
    <w:rsid w:val="00EB785E"/>
    <w:rsid w:val="00EB7CD5"/>
    <w:rsid w:val="00EB7EC5"/>
    <w:rsid w:val="00EB7FE0"/>
    <w:rsid w:val="00EC03CD"/>
    <w:rsid w:val="00EC0782"/>
    <w:rsid w:val="00EC0D1A"/>
    <w:rsid w:val="00EC0D38"/>
    <w:rsid w:val="00EC1270"/>
    <w:rsid w:val="00EC17D8"/>
    <w:rsid w:val="00EC1C5F"/>
    <w:rsid w:val="00EC2F56"/>
    <w:rsid w:val="00EC30D9"/>
    <w:rsid w:val="00EC3264"/>
    <w:rsid w:val="00EC3A5A"/>
    <w:rsid w:val="00EC3BA6"/>
    <w:rsid w:val="00EC3FB7"/>
    <w:rsid w:val="00EC5561"/>
    <w:rsid w:val="00EC5768"/>
    <w:rsid w:val="00EC585E"/>
    <w:rsid w:val="00EC5A85"/>
    <w:rsid w:val="00EC5BA7"/>
    <w:rsid w:val="00EC5C66"/>
    <w:rsid w:val="00EC6127"/>
    <w:rsid w:val="00EC6213"/>
    <w:rsid w:val="00EC6539"/>
    <w:rsid w:val="00EC6678"/>
    <w:rsid w:val="00EC6A69"/>
    <w:rsid w:val="00EC6D55"/>
    <w:rsid w:val="00EC7407"/>
    <w:rsid w:val="00EC7AE4"/>
    <w:rsid w:val="00EC7B3F"/>
    <w:rsid w:val="00EC7F96"/>
    <w:rsid w:val="00ED05D3"/>
    <w:rsid w:val="00ED11C0"/>
    <w:rsid w:val="00ED1A58"/>
    <w:rsid w:val="00ED23A9"/>
    <w:rsid w:val="00ED245A"/>
    <w:rsid w:val="00ED27B8"/>
    <w:rsid w:val="00ED31AF"/>
    <w:rsid w:val="00ED3ACE"/>
    <w:rsid w:val="00ED3CD6"/>
    <w:rsid w:val="00ED4190"/>
    <w:rsid w:val="00ED489C"/>
    <w:rsid w:val="00ED4A45"/>
    <w:rsid w:val="00ED4FC4"/>
    <w:rsid w:val="00ED64E1"/>
    <w:rsid w:val="00ED6772"/>
    <w:rsid w:val="00ED6B81"/>
    <w:rsid w:val="00ED6F5E"/>
    <w:rsid w:val="00ED70A7"/>
    <w:rsid w:val="00ED725B"/>
    <w:rsid w:val="00ED777D"/>
    <w:rsid w:val="00ED7910"/>
    <w:rsid w:val="00EE03C4"/>
    <w:rsid w:val="00EE070D"/>
    <w:rsid w:val="00EE0E9C"/>
    <w:rsid w:val="00EE0F15"/>
    <w:rsid w:val="00EE1395"/>
    <w:rsid w:val="00EE15AF"/>
    <w:rsid w:val="00EE1A7E"/>
    <w:rsid w:val="00EE1C70"/>
    <w:rsid w:val="00EE294B"/>
    <w:rsid w:val="00EE2C17"/>
    <w:rsid w:val="00EE3F84"/>
    <w:rsid w:val="00EE4020"/>
    <w:rsid w:val="00EE4A2A"/>
    <w:rsid w:val="00EE588C"/>
    <w:rsid w:val="00EE5BC4"/>
    <w:rsid w:val="00EE5D00"/>
    <w:rsid w:val="00EE5DE8"/>
    <w:rsid w:val="00EE62C9"/>
    <w:rsid w:val="00EE69B6"/>
    <w:rsid w:val="00EE6BA0"/>
    <w:rsid w:val="00EF04D0"/>
    <w:rsid w:val="00EF17B0"/>
    <w:rsid w:val="00EF204E"/>
    <w:rsid w:val="00EF21D7"/>
    <w:rsid w:val="00EF223C"/>
    <w:rsid w:val="00EF22F1"/>
    <w:rsid w:val="00EF23D8"/>
    <w:rsid w:val="00EF2630"/>
    <w:rsid w:val="00EF2705"/>
    <w:rsid w:val="00EF281D"/>
    <w:rsid w:val="00EF2D28"/>
    <w:rsid w:val="00EF2F2C"/>
    <w:rsid w:val="00EF3477"/>
    <w:rsid w:val="00EF4361"/>
    <w:rsid w:val="00EF4628"/>
    <w:rsid w:val="00EF48DE"/>
    <w:rsid w:val="00EF6C87"/>
    <w:rsid w:val="00EF718D"/>
    <w:rsid w:val="00EF7EED"/>
    <w:rsid w:val="00F0042A"/>
    <w:rsid w:val="00F0076D"/>
    <w:rsid w:val="00F00868"/>
    <w:rsid w:val="00F00AC2"/>
    <w:rsid w:val="00F00B95"/>
    <w:rsid w:val="00F00BA2"/>
    <w:rsid w:val="00F00C8D"/>
    <w:rsid w:val="00F011D2"/>
    <w:rsid w:val="00F01D2B"/>
    <w:rsid w:val="00F0253A"/>
    <w:rsid w:val="00F0301E"/>
    <w:rsid w:val="00F033EB"/>
    <w:rsid w:val="00F0353E"/>
    <w:rsid w:val="00F03FA5"/>
    <w:rsid w:val="00F048C2"/>
    <w:rsid w:val="00F05939"/>
    <w:rsid w:val="00F06328"/>
    <w:rsid w:val="00F064F6"/>
    <w:rsid w:val="00F065B8"/>
    <w:rsid w:val="00F06BBD"/>
    <w:rsid w:val="00F06EE2"/>
    <w:rsid w:val="00F06F5B"/>
    <w:rsid w:val="00F06FEB"/>
    <w:rsid w:val="00F07FAD"/>
    <w:rsid w:val="00F105FF"/>
    <w:rsid w:val="00F10A1F"/>
    <w:rsid w:val="00F10EB3"/>
    <w:rsid w:val="00F115EC"/>
    <w:rsid w:val="00F11718"/>
    <w:rsid w:val="00F11CEB"/>
    <w:rsid w:val="00F1297D"/>
    <w:rsid w:val="00F12B2B"/>
    <w:rsid w:val="00F12D60"/>
    <w:rsid w:val="00F130A2"/>
    <w:rsid w:val="00F1316A"/>
    <w:rsid w:val="00F13B4D"/>
    <w:rsid w:val="00F13D5C"/>
    <w:rsid w:val="00F1436C"/>
    <w:rsid w:val="00F1540C"/>
    <w:rsid w:val="00F1548C"/>
    <w:rsid w:val="00F15BD6"/>
    <w:rsid w:val="00F15C0E"/>
    <w:rsid w:val="00F15E79"/>
    <w:rsid w:val="00F16772"/>
    <w:rsid w:val="00F168EA"/>
    <w:rsid w:val="00F16D4C"/>
    <w:rsid w:val="00F16F65"/>
    <w:rsid w:val="00F1715D"/>
    <w:rsid w:val="00F20CBB"/>
    <w:rsid w:val="00F20E60"/>
    <w:rsid w:val="00F20F9F"/>
    <w:rsid w:val="00F2351E"/>
    <w:rsid w:val="00F23DB0"/>
    <w:rsid w:val="00F24184"/>
    <w:rsid w:val="00F2427C"/>
    <w:rsid w:val="00F24623"/>
    <w:rsid w:val="00F24722"/>
    <w:rsid w:val="00F247AE"/>
    <w:rsid w:val="00F2679B"/>
    <w:rsid w:val="00F267B2"/>
    <w:rsid w:val="00F26B50"/>
    <w:rsid w:val="00F26D5F"/>
    <w:rsid w:val="00F27D40"/>
    <w:rsid w:val="00F27D48"/>
    <w:rsid w:val="00F30289"/>
    <w:rsid w:val="00F30509"/>
    <w:rsid w:val="00F305A2"/>
    <w:rsid w:val="00F3103B"/>
    <w:rsid w:val="00F315B9"/>
    <w:rsid w:val="00F31B02"/>
    <w:rsid w:val="00F32077"/>
    <w:rsid w:val="00F32B81"/>
    <w:rsid w:val="00F32F04"/>
    <w:rsid w:val="00F32F2B"/>
    <w:rsid w:val="00F33485"/>
    <w:rsid w:val="00F33562"/>
    <w:rsid w:val="00F33BF0"/>
    <w:rsid w:val="00F33C77"/>
    <w:rsid w:val="00F33DEC"/>
    <w:rsid w:val="00F33F7B"/>
    <w:rsid w:val="00F34306"/>
    <w:rsid w:val="00F348E5"/>
    <w:rsid w:val="00F3512B"/>
    <w:rsid w:val="00F354F9"/>
    <w:rsid w:val="00F35EEA"/>
    <w:rsid w:val="00F36041"/>
    <w:rsid w:val="00F3604E"/>
    <w:rsid w:val="00F362E1"/>
    <w:rsid w:val="00F3665E"/>
    <w:rsid w:val="00F36722"/>
    <w:rsid w:val="00F379BD"/>
    <w:rsid w:val="00F41ADE"/>
    <w:rsid w:val="00F41D92"/>
    <w:rsid w:val="00F422A6"/>
    <w:rsid w:val="00F42619"/>
    <w:rsid w:val="00F429A2"/>
    <w:rsid w:val="00F43760"/>
    <w:rsid w:val="00F4388D"/>
    <w:rsid w:val="00F4465C"/>
    <w:rsid w:val="00F44ABC"/>
    <w:rsid w:val="00F44CDB"/>
    <w:rsid w:val="00F45F50"/>
    <w:rsid w:val="00F46969"/>
    <w:rsid w:val="00F46A0B"/>
    <w:rsid w:val="00F46A10"/>
    <w:rsid w:val="00F4759C"/>
    <w:rsid w:val="00F47C71"/>
    <w:rsid w:val="00F47D7C"/>
    <w:rsid w:val="00F500AD"/>
    <w:rsid w:val="00F508A7"/>
    <w:rsid w:val="00F50FE2"/>
    <w:rsid w:val="00F5183A"/>
    <w:rsid w:val="00F51A4A"/>
    <w:rsid w:val="00F53915"/>
    <w:rsid w:val="00F53CED"/>
    <w:rsid w:val="00F543A8"/>
    <w:rsid w:val="00F544E2"/>
    <w:rsid w:val="00F54CF3"/>
    <w:rsid w:val="00F54FE6"/>
    <w:rsid w:val="00F558F0"/>
    <w:rsid w:val="00F56226"/>
    <w:rsid w:val="00F56769"/>
    <w:rsid w:val="00F56BE7"/>
    <w:rsid w:val="00F57822"/>
    <w:rsid w:val="00F57BDA"/>
    <w:rsid w:val="00F60178"/>
    <w:rsid w:val="00F604E8"/>
    <w:rsid w:val="00F60C02"/>
    <w:rsid w:val="00F6165E"/>
    <w:rsid w:val="00F616B6"/>
    <w:rsid w:val="00F6194C"/>
    <w:rsid w:val="00F620CA"/>
    <w:rsid w:val="00F62393"/>
    <w:rsid w:val="00F631B7"/>
    <w:rsid w:val="00F63A22"/>
    <w:rsid w:val="00F6496C"/>
    <w:rsid w:val="00F64A73"/>
    <w:rsid w:val="00F652EE"/>
    <w:rsid w:val="00F65772"/>
    <w:rsid w:val="00F658F5"/>
    <w:rsid w:val="00F66DE7"/>
    <w:rsid w:val="00F66FF2"/>
    <w:rsid w:val="00F67038"/>
    <w:rsid w:val="00F67837"/>
    <w:rsid w:val="00F679AA"/>
    <w:rsid w:val="00F67E58"/>
    <w:rsid w:val="00F703F2"/>
    <w:rsid w:val="00F709F8"/>
    <w:rsid w:val="00F70AB3"/>
    <w:rsid w:val="00F70E36"/>
    <w:rsid w:val="00F7108B"/>
    <w:rsid w:val="00F71B2C"/>
    <w:rsid w:val="00F72044"/>
    <w:rsid w:val="00F7278E"/>
    <w:rsid w:val="00F72A33"/>
    <w:rsid w:val="00F72E5C"/>
    <w:rsid w:val="00F73284"/>
    <w:rsid w:val="00F73A99"/>
    <w:rsid w:val="00F73BFA"/>
    <w:rsid w:val="00F73D36"/>
    <w:rsid w:val="00F73E3B"/>
    <w:rsid w:val="00F74E5E"/>
    <w:rsid w:val="00F76083"/>
    <w:rsid w:val="00F77AE0"/>
    <w:rsid w:val="00F804A3"/>
    <w:rsid w:val="00F80742"/>
    <w:rsid w:val="00F80C0E"/>
    <w:rsid w:val="00F8142E"/>
    <w:rsid w:val="00F830E2"/>
    <w:rsid w:val="00F83C1E"/>
    <w:rsid w:val="00F83CE5"/>
    <w:rsid w:val="00F83FDE"/>
    <w:rsid w:val="00F84053"/>
    <w:rsid w:val="00F84FBF"/>
    <w:rsid w:val="00F85EA6"/>
    <w:rsid w:val="00F86C81"/>
    <w:rsid w:val="00F8724E"/>
    <w:rsid w:val="00F87945"/>
    <w:rsid w:val="00F87A17"/>
    <w:rsid w:val="00F87ADE"/>
    <w:rsid w:val="00F90702"/>
    <w:rsid w:val="00F90867"/>
    <w:rsid w:val="00F909F8"/>
    <w:rsid w:val="00F90B9E"/>
    <w:rsid w:val="00F915C5"/>
    <w:rsid w:val="00F9165A"/>
    <w:rsid w:val="00F91D7A"/>
    <w:rsid w:val="00F93ABC"/>
    <w:rsid w:val="00F95243"/>
    <w:rsid w:val="00F9564F"/>
    <w:rsid w:val="00F95B12"/>
    <w:rsid w:val="00F95D84"/>
    <w:rsid w:val="00F96459"/>
    <w:rsid w:val="00F96FBE"/>
    <w:rsid w:val="00F978A5"/>
    <w:rsid w:val="00FA0838"/>
    <w:rsid w:val="00FA0955"/>
    <w:rsid w:val="00FA0B13"/>
    <w:rsid w:val="00FA0F37"/>
    <w:rsid w:val="00FA1283"/>
    <w:rsid w:val="00FA187D"/>
    <w:rsid w:val="00FA18DF"/>
    <w:rsid w:val="00FA2477"/>
    <w:rsid w:val="00FA24E9"/>
    <w:rsid w:val="00FA3271"/>
    <w:rsid w:val="00FA3711"/>
    <w:rsid w:val="00FA3883"/>
    <w:rsid w:val="00FA3C53"/>
    <w:rsid w:val="00FA4187"/>
    <w:rsid w:val="00FA46DB"/>
    <w:rsid w:val="00FA4887"/>
    <w:rsid w:val="00FA4CEC"/>
    <w:rsid w:val="00FA53F8"/>
    <w:rsid w:val="00FA6B7B"/>
    <w:rsid w:val="00FA7534"/>
    <w:rsid w:val="00FA7927"/>
    <w:rsid w:val="00FA7B9D"/>
    <w:rsid w:val="00FB0C9F"/>
    <w:rsid w:val="00FB0F55"/>
    <w:rsid w:val="00FB11C9"/>
    <w:rsid w:val="00FB1DF2"/>
    <w:rsid w:val="00FB26CA"/>
    <w:rsid w:val="00FB27E1"/>
    <w:rsid w:val="00FB3314"/>
    <w:rsid w:val="00FB3AA6"/>
    <w:rsid w:val="00FB3DC9"/>
    <w:rsid w:val="00FB3E02"/>
    <w:rsid w:val="00FB4339"/>
    <w:rsid w:val="00FB46EE"/>
    <w:rsid w:val="00FB47DF"/>
    <w:rsid w:val="00FB4BF3"/>
    <w:rsid w:val="00FB4D59"/>
    <w:rsid w:val="00FB5774"/>
    <w:rsid w:val="00FB5D3D"/>
    <w:rsid w:val="00FB5D99"/>
    <w:rsid w:val="00FB66DD"/>
    <w:rsid w:val="00FB6893"/>
    <w:rsid w:val="00FB6A06"/>
    <w:rsid w:val="00FB7461"/>
    <w:rsid w:val="00FB74DB"/>
    <w:rsid w:val="00FB74F2"/>
    <w:rsid w:val="00FC04D2"/>
    <w:rsid w:val="00FC0EAE"/>
    <w:rsid w:val="00FC133E"/>
    <w:rsid w:val="00FC32D1"/>
    <w:rsid w:val="00FC33AB"/>
    <w:rsid w:val="00FC35C2"/>
    <w:rsid w:val="00FC3A7E"/>
    <w:rsid w:val="00FC3C71"/>
    <w:rsid w:val="00FC414C"/>
    <w:rsid w:val="00FC5B21"/>
    <w:rsid w:val="00FC5BD7"/>
    <w:rsid w:val="00FC5EBA"/>
    <w:rsid w:val="00FC6A0A"/>
    <w:rsid w:val="00FC6A0F"/>
    <w:rsid w:val="00FC6F8C"/>
    <w:rsid w:val="00FC7DE0"/>
    <w:rsid w:val="00FD0262"/>
    <w:rsid w:val="00FD037E"/>
    <w:rsid w:val="00FD1452"/>
    <w:rsid w:val="00FD1AE9"/>
    <w:rsid w:val="00FD1FE1"/>
    <w:rsid w:val="00FD221B"/>
    <w:rsid w:val="00FD26C1"/>
    <w:rsid w:val="00FD3009"/>
    <w:rsid w:val="00FD4C01"/>
    <w:rsid w:val="00FD518A"/>
    <w:rsid w:val="00FD53AB"/>
    <w:rsid w:val="00FD6429"/>
    <w:rsid w:val="00FD6B3A"/>
    <w:rsid w:val="00FD7143"/>
    <w:rsid w:val="00FD73B2"/>
    <w:rsid w:val="00FD74F4"/>
    <w:rsid w:val="00FD76EE"/>
    <w:rsid w:val="00FD79E2"/>
    <w:rsid w:val="00FE0C50"/>
    <w:rsid w:val="00FE0D0B"/>
    <w:rsid w:val="00FE0E40"/>
    <w:rsid w:val="00FE1936"/>
    <w:rsid w:val="00FE1D9D"/>
    <w:rsid w:val="00FE26E0"/>
    <w:rsid w:val="00FE2F50"/>
    <w:rsid w:val="00FE34C4"/>
    <w:rsid w:val="00FE3DCD"/>
    <w:rsid w:val="00FE4A00"/>
    <w:rsid w:val="00FE4C13"/>
    <w:rsid w:val="00FE4D03"/>
    <w:rsid w:val="00FE52DA"/>
    <w:rsid w:val="00FE640C"/>
    <w:rsid w:val="00FE6D54"/>
    <w:rsid w:val="00FE6ED8"/>
    <w:rsid w:val="00FE7CBD"/>
    <w:rsid w:val="00FF0C83"/>
    <w:rsid w:val="00FF1086"/>
    <w:rsid w:val="00FF18B7"/>
    <w:rsid w:val="00FF1F9F"/>
    <w:rsid w:val="00FF2C9A"/>
    <w:rsid w:val="00FF3526"/>
    <w:rsid w:val="00FF35A9"/>
    <w:rsid w:val="00FF3D15"/>
    <w:rsid w:val="00FF4067"/>
    <w:rsid w:val="00FF59F8"/>
    <w:rsid w:val="00FF5FF5"/>
    <w:rsid w:val="00FF62D9"/>
    <w:rsid w:val="00FF64FE"/>
    <w:rsid w:val="00FF671C"/>
    <w:rsid w:val="00FF6CD4"/>
    <w:rsid w:val="00FF740C"/>
    <w:rsid w:val="00FF759D"/>
    <w:rsid w:val="00FF7C46"/>
    <w:rsid w:val="00FF7D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fillcolor="none [3212]" strokecolor="none [1614]">
      <v:fill color="none [3212]"/>
      <v:stroke color="none [1614]" weight="1.25pt"/>
      <v:textbox inset="14.4pt,36pt,14.4pt,5.76pt"/>
      <o:colormru v:ext="edit" colors="#f1f0ef,#f9f1eb,#edebe7,#f5f4f1"/>
    </o:shapedefaults>
    <o:shapelayout v:ext="edit">
      <o:idmap v:ext="edit" data="2"/>
    </o:shapelayout>
  </w:shapeDefaults>
  <w:decimalSymbol w:val="."/>
  <w:listSeparator w:val=","/>
  <w14:docId w14:val="3C47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D8F"/>
    <w:pPr>
      <w:spacing w:line="252" w:lineRule="auto"/>
      <w:jc w:val="both"/>
    </w:pPr>
    <w:rPr>
      <w:rFonts w:ascii="Cambria" w:hAnsi="Cambria"/>
      <w:sz w:val="20"/>
    </w:rPr>
  </w:style>
  <w:style w:type="paragraph" w:styleId="Heading1">
    <w:name w:val="heading 1"/>
    <w:basedOn w:val="Normal"/>
    <w:next w:val="Normal"/>
    <w:link w:val="Heading1Char"/>
    <w:uiPriority w:val="9"/>
    <w:qFormat/>
    <w:rsid w:val="001350A6"/>
    <w:pPr>
      <w:keepNext/>
      <w:keepLines/>
      <w:pBdr>
        <w:bottom w:val="single" w:sz="12" w:space="1" w:color="5B2413" w:themeColor="accent3" w:themeShade="80"/>
      </w:pBdr>
      <w:spacing w:before="480" w:after="360"/>
      <w:jc w:val="center"/>
      <w:outlineLvl w:val="0"/>
    </w:pPr>
    <w:rPr>
      <w:rFonts w:asciiTheme="majorHAnsi" w:eastAsiaTheme="majorEastAsia" w:hAnsiTheme="majorHAnsi" w:cstheme="majorBidi"/>
      <w:b/>
      <w:smallCaps/>
      <w:color w:val="851C00" w:themeColor="accent6" w:themeShade="BF"/>
      <w:sz w:val="32"/>
      <w:szCs w:val="32"/>
    </w:rPr>
  </w:style>
  <w:style w:type="paragraph" w:styleId="Heading2">
    <w:name w:val="heading 2"/>
    <w:basedOn w:val="Normal"/>
    <w:next w:val="Normal"/>
    <w:link w:val="Heading2Char"/>
    <w:uiPriority w:val="9"/>
    <w:qFormat/>
    <w:rsid w:val="001350A6"/>
    <w:pPr>
      <w:keepNext/>
      <w:keepLines/>
      <w:spacing w:before="240" w:after="160"/>
      <w:jc w:val="center"/>
      <w:outlineLvl w:val="1"/>
    </w:pPr>
    <w:rPr>
      <w:rFonts w:asciiTheme="majorHAnsi" w:eastAsiaTheme="majorEastAsia" w:hAnsiTheme="majorHAnsi" w:cstheme="majorBidi"/>
      <w:b/>
      <w:color w:val="851C00" w:themeColor="accent6" w:themeShade="BF"/>
      <w:sz w:val="26"/>
      <w:szCs w:val="26"/>
      <w:u w:val="single"/>
    </w:rPr>
  </w:style>
  <w:style w:type="paragraph" w:styleId="Heading3">
    <w:name w:val="heading 3"/>
    <w:basedOn w:val="Normal"/>
    <w:next w:val="Normal"/>
    <w:link w:val="Heading3Char"/>
    <w:uiPriority w:val="9"/>
    <w:qFormat/>
    <w:rsid w:val="001D3BD0"/>
    <w:pPr>
      <w:keepNext/>
      <w:keepLines/>
      <w:spacing w:before="300" w:after="160"/>
      <w:outlineLvl w:val="2"/>
    </w:pPr>
    <w:rPr>
      <w:rFonts w:asciiTheme="majorHAnsi" w:eastAsiaTheme="majorEastAsia" w:hAnsiTheme="majorHAnsi" w:cstheme="majorBidi"/>
      <w:b/>
      <w:color w:val="851C00" w:themeColor="accent6" w:themeShade="BF"/>
      <w:sz w:val="22"/>
      <w:szCs w:val="24"/>
      <w:u w:val="single"/>
    </w:rPr>
  </w:style>
  <w:style w:type="paragraph" w:styleId="Heading4">
    <w:name w:val="heading 4"/>
    <w:basedOn w:val="Normal"/>
    <w:next w:val="Normal"/>
    <w:link w:val="Heading4Char"/>
    <w:uiPriority w:val="9"/>
    <w:qFormat/>
    <w:rsid w:val="00803B0C"/>
    <w:pPr>
      <w:keepNext/>
      <w:keepLines/>
      <w:spacing w:before="160" w:after="80"/>
      <w:outlineLvl w:val="3"/>
    </w:pPr>
    <w:rPr>
      <w:rFonts w:asciiTheme="majorHAnsi" w:eastAsiaTheme="majorEastAsia" w:hAnsiTheme="majorHAnsi" w:cstheme="majorBidi"/>
      <w:iCs/>
      <w:color w:val="851C00" w:themeColor="accent6" w:themeShade="BF"/>
    </w:rPr>
  </w:style>
  <w:style w:type="paragraph" w:styleId="Heading5">
    <w:name w:val="heading 5"/>
    <w:basedOn w:val="Normal"/>
    <w:next w:val="Normal"/>
    <w:link w:val="Heading5Char"/>
    <w:uiPriority w:val="9"/>
    <w:qFormat/>
    <w:rsid w:val="0065004E"/>
    <w:pPr>
      <w:keepNext/>
      <w:keepLines/>
      <w:spacing w:before="120" w:after="80"/>
      <w:outlineLvl w:val="4"/>
    </w:pPr>
    <w:rPr>
      <w:rFonts w:eastAsiaTheme="majorEastAsia" w:cstheme="majorBidi"/>
      <w:i/>
      <w:color w:val="5B2413" w:themeColor="accent3" w:themeShade="80"/>
    </w:rPr>
  </w:style>
  <w:style w:type="paragraph" w:styleId="Heading6">
    <w:name w:val="heading 6"/>
    <w:basedOn w:val="Normal"/>
    <w:next w:val="Normal"/>
    <w:link w:val="Heading6Char"/>
    <w:uiPriority w:val="9"/>
    <w:rsid w:val="00745AE1"/>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rsid w:val="00745AE1"/>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rsid w:val="00745AE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rsid w:val="00745AE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4020"/>
    <w:pPr>
      <w:contextualSpacing/>
      <w:jc w:val="center"/>
    </w:pPr>
    <w:rPr>
      <w:rFonts w:eastAsiaTheme="majorEastAsia" w:cstheme="majorBidi"/>
      <w:b/>
      <w:color w:val="404040" w:themeColor="text1" w:themeTint="BF"/>
      <w:spacing w:val="-10"/>
      <w:kern w:val="28"/>
      <w:sz w:val="36"/>
      <w:szCs w:val="56"/>
    </w:rPr>
  </w:style>
  <w:style w:type="character" w:customStyle="1" w:styleId="TitleChar">
    <w:name w:val="Title Char"/>
    <w:basedOn w:val="DefaultParagraphFont"/>
    <w:link w:val="Title"/>
    <w:uiPriority w:val="10"/>
    <w:rsid w:val="00EE4020"/>
    <w:rPr>
      <w:rFonts w:eastAsiaTheme="majorEastAsia" w:cstheme="majorBidi"/>
      <w:b/>
      <w:color w:val="404040" w:themeColor="text1" w:themeTint="BF"/>
      <w:spacing w:val="-10"/>
      <w:kern w:val="28"/>
      <w:sz w:val="36"/>
      <w:szCs w:val="56"/>
    </w:rPr>
  </w:style>
  <w:style w:type="character" w:customStyle="1" w:styleId="Heading1Char">
    <w:name w:val="Heading 1 Char"/>
    <w:basedOn w:val="DefaultParagraphFont"/>
    <w:link w:val="Heading1"/>
    <w:uiPriority w:val="9"/>
    <w:rsid w:val="001350A6"/>
    <w:rPr>
      <w:rFonts w:asciiTheme="majorHAnsi" w:eastAsiaTheme="majorEastAsia" w:hAnsiTheme="majorHAnsi" w:cstheme="majorBidi"/>
      <w:b/>
      <w:smallCaps/>
      <w:color w:val="851C00" w:themeColor="accent6" w:themeShade="BF"/>
      <w:sz w:val="32"/>
      <w:szCs w:val="32"/>
    </w:rPr>
  </w:style>
  <w:style w:type="character" w:customStyle="1" w:styleId="Heading2Char">
    <w:name w:val="Heading 2 Char"/>
    <w:basedOn w:val="DefaultParagraphFont"/>
    <w:link w:val="Heading2"/>
    <w:uiPriority w:val="9"/>
    <w:rsid w:val="001350A6"/>
    <w:rPr>
      <w:rFonts w:asciiTheme="majorHAnsi" w:eastAsiaTheme="majorEastAsia" w:hAnsiTheme="majorHAnsi" w:cstheme="majorBidi"/>
      <w:b/>
      <w:color w:val="851C00" w:themeColor="accent6" w:themeShade="BF"/>
      <w:sz w:val="26"/>
      <w:szCs w:val="26"/>
      <w:u w:val="single"/>
    </w:rPr>
  </w:style>
  <w:style w:type="character" w:customStyle="1" w:styleId="Heading3Char">
    <w:name w:val="Heading 3 Char"/>
    <w:basedOn w:val="DefaultParagraphFont"/>
    <w:link w:val="Heading3"/>
    <w:uiPriority w:val="9"/>
    <w:rsid w:val="001D3BD0"/>
    <w:rPr>
      <w:rFonts w:asciiTheme="majorHAnsi" w:eastAsiaTheme="majorEastAsia" w:hAnsiTheme="majorHAnsi" w:cstheme="majorBidi"/>
      <w:b/>
      <w:color w:val="851C00" w:themeColor="accent6" w:themeShade="BF"/>
      <w:szCs w:val="24"/>
      <w:u w:val="single"/>
    </w:rPr>
  </w:style>
  <w:style w:type="character" w:customStyle="1" w:styleId="Heading4Char">
    <w:name w:val="Heading 4 Char"/>
    <w:basedOn w:val="DefaultParagraphFont"/>
    <w:link w:val="Heading4"/>
    <w:uiPriority w:val="9"/>
    <w:rsid w:val="00803B0C"/>
    <w:rPr>
      <w:rFonts w:asciiTheme="majorHAnsi" w:eastAsiaTheme="majorEastAsia" w:hAnsiTheme="majorHAnsi" w:cstheme="majorBidi"/>
      <w:iCs/>
      <w:color w:val="851C00" w:themeColor="accent6" w:themeShade="BF"/>
      <w:sz w:val="20"/>
    </w:rPr>
  </w:style>
  <w:style w:type="character" w:customStyle="1" w:styleId="Heading5Char">
    <w:name w:val="Heading 5 Char"/>
    <w:basedOn w:val="DefaultParagraphFont"/>
    <w:link w:val="Heading5"/>
    <w:uiPriority w:val="9"/>
    <w:rsid w:val="0065004E"/>
    <w:rPr>
      <w:rFonts w:ascii="Tisa Offc Serif Pro" w:eastAsiaTheme="majorEastAsia" w:hAnsi="Tisa Offc Serif Pro" w:cstheme="majorBidi"/>
      <w:i/>
      <w:color w:val="5B2413" w:themeColor="accent3" w:themeShade="80"/>
      <w:sz w:val="20"/>
    </w:rPr>
  </w:style>
  <w:style w:type="character" w:customStyle="1" w:styleId="Heading6Char">
    <w:name w:val="Heading 6 Char"/>
    <w:basedOn w:val="DefaultParagraphFont"/>
    <w:link w:val="Heading6"/>
    <w:uiPriority w:val="9"/>
    <w:rsid w:val="00745AE1"/>
    <w:rPr>
      <w:rFonts w:asciiTheme="majorHAnsi" w:eastAsiaTheme="majorEastAsia" w:hAnsiTheme="majorHAnsi" w:cstheme="majorBidi"/>
      <w:color w:val="77230C" w:themeColor="accent1" w:themeShade="7F"/>
    </w:rPr>
  </w:style>
  <w:style w:type="character" w:customStyle="1" w:styleId="Heading7Char">
    <w:name w:val="Heading 7 Char"/>
    <w:basedOn w:val="DefaultParagraphFont"/>
    <w:link w:val="Heading7"/>
    <w:uiPriority w:val="9"/>
    <w:rsid w:val="00745A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9"/>
    <w:rsid w:val="00745A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45AE1"/>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
    <w:link w:val="BulletChar"/>
    <w:rsid w:val="00745AE1"/>
    <w:pPr>
      <w:numPr>
        <w:numId w:val="1"/>
      </w:numPr>
    </w:pPr>
  </w:style>
  <w:style w:type="character" w:customStyle="1" w:styleId="BulletChar">
    <w:name w:val="Bullet Char"/>
    <w:basedOn w:val="DefaultParagraphFont"/>
    <w:link w:val="Bullet"/>
    <w:rsid w:val="00745AE1"/>
    <w:rPr>
      <w:rFonts w:ascii="Cambria" w:hAnsi="Cambria"/>
      <w:sz w:val="20"/>
    </w:rPr>
  </w:style>
  <w:style w:type="character" w:styleId="Hyperlink">
    <w:name w:val="Hyperlink"/>
    <w:basedOn w:val="DefaultParagraphFont"/>
    <w:uiPriority w:val="99"/>
    <w:unhideWhenUsed/>
    <w:rsid w:val="00DB7768"/>
    <w:rPr>
      <w:color w:val="C00000"/>
      <w:u w:val="single"/>
    </w:rPr>
  </w:style>
  <w:style w:type="character" w:styleId="UnresolvedMention">
    <w:name w:val="Unresolved Mention"/>
    <w:basedOn w:val="DefaultParagraphFont"/>
    <w:uiPriority w:val="99"/>
    <w:semiHidden/>
    <w:unhideWhenUsed/>
    <w:rsid w:val="000134CF"/>
    <w:rPr>
      <w:color w:val="605E5C"/>
      <w:shd w:val="clear" w:color="auto" w:fill="E1DFDD"/>
    </w:rPr>
  </w:style>
  <w:style w:type="paragraph" w:styleId="FootnoteText">
    <w:name w:val="footnote text"/>
    <w:basedOn w:val="Normal"/>
    <w:link w:val="FootnoteTextChar"/>
    <w:uiPriority w:val="99"/>
    <w:unhideWhenUsed/>
    <w:rsid w:val="003D658A"/>
    <w:pPr>
      <w:spacing w:after="80" w:line="192" w:lineRule="auto"/>
      <w:jc w:val="left"/>
    </w:pPr>
    <w:rPr>
      <w:sz w:val="18"/>
      <w:szCs w:val="20"/>
    </w:rPr>
  </w:style>
  <w:style w:type="character" w:customStyle="1" w:styleId="FootnoteTextChar">
    <w:name w:val="Footnote Text Char"/>
    <w:basedOn w:val="DefaultParagraphFont"/>
    <w:link w:val="FootnoteText"/>
    <w:uiPriority w:val="99"/>
    <w:rsid w:val="003D658A"/>
    <w:rPr>
      <w:rFonts w:ascii="Tisa Offc Serif Pro" w:hAnsi="Tisa Offc Serif Pro"/>
      <w:sz w:val="18"/>
      <w:szCs w:val="20"/>
    </w:rPr>
  </w:style>
  <w:style w:type="character" w:styleId="FootnoteReference">
    <w:name w:val="footnote reference"/>
    <w:basedOn w:val="DefaultParagraphFont"/>
    <w:uiPriority w:val="99"/>
    <w:semiHidden/>
    <w:unhideWhenUsed/>
    <w:rsid w:val="00F804A3"/>
    <w:rPr>
      <w:vertAlign w:val="superscript"/>
    </w:rPr>
  </w:style>
  <w:style w:type="paragraph" w:styleId="ListParagraph">
    <w:name w:val="List Paragraph"/>
    <w:basedOn w:val="Normal"/>
    <w:uiPriority w:val="34"/>
    <w:unhideWhenUsed/>
    <w:qFormat/>
    <w:rsid w:val="004C77AE"/>
    <w:pPr>
      <w:ind w:left="720"/>
      <w:contextualSpacing/>
    </w:pPr>
  </w:style>
  <w:style w:type="paragraph" w:styleId="EndnoteText">
    <w:name w:val="endnote text"/>
    <w:basedOn w:val="Normal"/>
    <w:link w:val="EndnoteTextChar"/>
    <w:uiPriority w:val="99"/>
    <w:semiHidden/>
    <w:unhideWhenUsed/>
    <w:rsid w:val="004047E0"/>
    <w:pPr>
      <w:spacing w:after="0"/>
    </w:pPr>
    <w:rPr>
      <w:szCs w:val="20"/>
    </w:rPr>
  </w:style>
  <w:style w:type="character" w:customStyle="1" w:styleId="EndnoteTextChar">
    <w:name w:val="Endnote Text Char"/>
    <w:basedOn w:val="DefaultParagraphFont"/>
    <w:link w:val="EndnoteText"/>
    <w:uiPriority w:val="99"/>
    <w:semiHidden/>
    <w:rsid w:val="004047E0"/>
    <w:rPr>
      <w:sz w:val="20"/>
      <w:szCs w:val="20"/>
    </w:rPr>
  </w:style>
  <w:style w:type="character" w:styleId="EndnoteReference">
    <w:name w:val="endnote reference"/>
    <w:basedOn w:val="DefaultParagraphFont"/>
    <w:uiPriority w:val="99"/>
    <w:semiHidden/>
    <w:unhideWhenUsed/>
    <w:rsid w:val="004047E0"/>
    <w:rPr>
      <w:vertAlign w:val="superscript"/>
    </w:rPr>
  </w:style>
  <w:style w:type="paragraph" w:styleId="TOCHeading">
    <w:name w:val="TOC Heading"/>
    <w:basedOn w:val="Heading1"/>
    <w:next w:val="Normal"/>
    <w:uiPriority w:val="39"/>
    <w:unhideWhenUsed/>
    <w:qFormat/>
    <w:rsid w:val="003D6E30"/>
    <w:pPr>
      <w:spacing w:before="240" w:after="0" w:line="259" w:lineRule="auto"/>
      <w:outlineLvl w:val="9"/>
    </w:pPr>
    <w:rPr>
      <w:b w:val="0"/>
      <w:color w:val="B43412" w:themeColor="accent1" w:themeShade="BF"/>
    </w:rPr>
  </w:style>
  <w:style w:type="paragraph" w:styleId="TOC1">
    <w:name w:val="toc 1"/>
    <w:basedOn w:val="Normal"/>
    <w:next w:val="Normal"/>
    <w:autoRedefine/>
    <w:uiPriority w:val="39"/>
    <w:unhideWhenUsed/>
    <w:rsid w:val="00464AC0"/>
    <w:pPr>
      <w:tabs>
        <w:tab w:val="right" w:leader="dot" w:pos="9350"/>
      </w:tabs>
      <w:spacing w:after="100"/>
    </w:pPr>
    <w:rPr>
      <w:b/>
      <w:bCs/>
      <w:color w:val="88361C" w:themeColor="accent3" w:themeShade="BF"/>
      <w:sz w:val="28"/>
      <w:szCs w:val="32"/>
    </w:rPr>
  </w:style>
  <w:style w:type="paragraph" w:styleId="TOC3">
    <w:name w:val="toc 3"/>
    <w:basedOn w:val="Normal"/>
    <w:next w:val="Normal"/>
    <w:autoRedefine/>
    <w:uiPriority w:val="39"/>
    <w:unhideWhenUsed/>
    <w:rsid w:val="00DB290A"/>
    <w:pPr>
      <w:tabs>
        <w:tab w:val="right" w:leader="dot" w:pos="9350"/>
      </w:tabs>
      <w:spacing w:after="100"/>
      <w:ind w:left="480"/>
    </w:pPr>
  </w:style>
  <w:style w:type="paragraph" w:styleId="TOC2">
    <w:name w:val="toc 2"/>
    <w:basedOn w:val="Normal"/>
    <w:next w:val="Normal"/>
    <w:autoRedefine/>
    <w:uiPriority w:val="39"/>
    <w:unhideWhenUsed/>
    <w:rsid w:val="003D6E30"/>
    <w:pPr>
      <w:spacing w:after="100"/>
      <w:ind w:left="240"/>
    </w:pPr>
  </w:style>
  <w:style w:type="paragraph" w:styleId="NoSpacing">
    <w:name w:val="No Spacing"/>
    <w:link w:val="NoSpacingChar"/>
    <w:uiPriority w:val="1"/>
    <w:qFormat/>
    <w:rsid w:val="00EE5D00"/>
    <w:pPr>
      <w:spacing w:after="0" w:line="240" w:lineRule="auto"/>
    </w:pPr>
    <w:rPr>
      <w:rFonts w:eastAsiaTheme="minorEastAsia"/>
    </w:rPr>
  </w:style>
  <w:style w:type="character" w:customStyle="1" w:styleId="NoSpacingChar">
    <w:name w:val="No Spacing Char"/>
    <w:basedOn w:val="DefaultParagraphFont"/>
    <w:link w:val="NoSpacing"/>
    <w:uiPriority w:val="1"/>
    <w:rsid w:val="00EE5D00"/>
    <w:rPr>
      <w:rFonts w:eastAsiaTheme="minorEastAsia"/>
    </w:rPr>
  </w:style>
  <w:style w:type="numbering" w:customStyle="1" w:styleId="Style1">
    <w:name w:val="Style1"/>
    <w:uiPriority w:val="99"/>
    <w:rsid w:val="00A75290"/>
    <w:pPr>
      <w:numPr>
        <w:numId w:val="2"/>
      </w:numPr>
    </w:pPr>
  </w:style>
  <w:style w:type="paragraph" w:styleId="Header">
    <w:name w:val="header"/>
    <w:basedOn w:val="Normal"/>
    <w:link w:val="HeaderChar"/>
    <w:uiPriority w:val="99"/>
    <w:unhideWhenUsed/>
    <w:rsid w:val="00817E18"/>
    <w:pPr>
      <w:tabs>
        <w:tab w:val="center" w:pos="4680"/>
        <w:tab w:val="right" w:pos="9360"/>
      </w:tabs>
      <w:spacing w:after="0"/>
    </w:pPr>
  </w:style>
  <w:style w:type="character" w:customStyle="1" w:styleId="HeaderChar">
    <w:name w:val="Header Char"/>
    <w:basedOn w:val="DefaultParagraphFont"/>
    <w:link w:val="Header"/>
    <w:uiPriority w:val="99"/>
    <w:rsid w:val="00817E18"/>
    <w:rPr>
      <w:rFonts w:ascii="Tisa Offc Serif Pro" w:hAnsi="Tisa Offc Serif Pro"/>
      <w:sz w:val="20"/>
    </w:rPr>
  </w:style>
  <w:style w:type="paragraph" w:styleId="Footer">
    <w:name w:val="footer"/>
    <w:basedOn w:val="Normal"/>
    <w:link w:val="FooterChar"/>
    <w:uiPriority w:val="99"/>
    <w:unhideWhenUsed/>
    <w:rsid w:val="00817E18"/>
    <w:pPr>
      <w:tabs>
        <w:tab w:val="center" w:pos="4680"/>
        <w:tab w:val="right" w:pos="9360"/>
      </w:tabs>
      <w:spacing w:after="0"/>
    </w:pPr>
  </w:style>
  <w:style w:type="character" w:customStyle="1" w:styleId="FooterChar">
    <w:name w:val="Footer Char"/>
    <w:basedOn w:val="DefaultParagraphFont"/>
    <w:link w:val="Footer"/>
    <w:uiPriority w:val="99"/>
    <w:rsid w:val="00817E18"/>
    <w:rPr>
      <w:rFonts w:ascii="Tisa Offc Serif Pro" w:hAnsi="Tisa Offc Serif Pro"/>
      <w:sz w:val="20"/>
    </w:rPr>
  </w:style>
  <w:style w:type="paragraph" w:styleId="Revision">
    <w:name w:val="Revision"/>
    <w:hidden/>
    <w:uiPriority w:val="99"/>
    <w:semiHidden/>
    <w:rsid w:val="00EC0D38"/>
    <w:pPr>
      <w:spacing w:after="0" w:line="240" w:lineRule="auto"/>
    </w:pPr>
    <w:rPr>
      <w:rFonts w:ascii="Tisa Offc Serif Pro" w:hAnsi="Tisa Offc Serif Pro"/>
      <w:sz w:val="20"/>
    </w:rPr>
  </w:style>
  <w:style w:type="table" w:styleId="TableGrid">
    <w:name w:val="Table Grid"/>
    <w:basedOn w:val="TableNormal"/>
    <w:uiPriority w:val="59"/>
    <w:rsid w:val="00C4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13E"/>
    <w:rPr>
      <w:sz w:val="16"/>
      <w:szCs w:val="16"/>
    </w:rPr>
  </w:style>
  <w:style w:type="paragraph" w:styleId="CommentText">
    <w:name w:val="annotation text"/>
    <w:basedOn w:val="Normal"/>
    <w:link w:val="CommentTextChar"/>
    <w:uiPriority w:val="99"/>
    <w:unhideWhenUsed/>
    <w:rsid w:val="0047413E"/>
    <w:rPr>
      <w:rFonts w:ascii="Tisa Offc Serif Pro" w:hAnsi="Tisa Offc Serif Pro"/>
      <w:szCs w:val="20"/>
    </w:rPr>
  </w:style>
  <w:style w:type="character" w:customStyle="1" w:styleId="CommentTextChar">
    <w:name w:val="Comment Text Char"/>
    <w:basedOn w:val="DefaultParagraphFont"/>
    <w:link w:val="CommentText"/>
    <w:uiPriority w:val="99"/>
    <w:rsid w:val="0047413E"/>
    <w:rPr>
      <w:rFonts w:ascii="Tisa Offc Serif Pro" w:hAnsi="Tisa Offc Serif Pro"/>
      <w:sz w:val="20"/>
      <w:szCs w:val="20"/>
    </w:rPr>
  </w:style>
  <w:style w:type="paragraph" w:styleId="CommentSubject">
    <w:name w:val="annotation subject"/>
    <w:basedOn w:val="CommentText"/>
    <w:next w:val="CommentText"/>
    <w:link w:val="CommentSubjectChar"/>
    <w:uiPriority w:val="99"/>
    <w:semiHidden/>
    <w:unhideWhenUsed/>
    <w:rsid w:val="00244380"/>
    <w:rPr>
      <w:rFonts w:ascii="Cambria" w:hAnsi="Cambria"/>
      <w:b/>
      <w:bCs/>
    </w:rPr>
  </w:style>
  <w:style w:type="character" w:customStyle="1" w:styleId="CommentSubjectChar">
    <w:name w:val="Comment Subject Char"/>
    <w:basedOn w:val="CommentTextChar"/>
    <w:link w:val="CommentSubject"/>
    <w:uiPriority w:val="99"/>
    <w:semiHidden/>
    <w:rsid w:val="00244380"/>
    <w:rPr>
      <w:rFonts w:ascii="Cambria" w:hAnsi="Cambria"/>
      <w:b/>
      <w:bCs/>
      <w:sz w:val="20"/>
      <w:szCs w:val="20"/>
    </w:rPr>
  </w:style>
  <w:style w:type="character" w:styleId="HTMLCite">
    <w:name w:val="HTML Cite"/>
    <w:basedOn w:val="DefaultParagraphFont"/>
    <w:uiPriority w:val="99"/>
    <w:semiHidden/>
    <w:unhideWhenUsed/>
    <w:rsid w:val="00FD1452"/>
    <w:rPr>
      <w:i/>
      <w:iCs/>
    </w:rPr>
  </w:style>
  <w:style w:type="character" w:styleId="FollowedHyperlink">
    <w:name w:val="FollowedHyperlink"/>
    <w:basedOn w:val="DefaultParagraphFont"/>
    <w:uiPriority w:val="99"/>
    <w:semiHidden/>
    <w:unhideWhenUsed/>
    <w:rsid w:val="005B6581"/>
    <w:rPr>
      <w:color w:val="666699" w:themeColor="followedHyperlink"/>
      <w:u w:val="single"/>
    </w:rPr>
  </w:style>
  <w:style w:type="paragraph" w:styleId="TOC4">
    <w:name w:val="toc 4"/>
    <w:basedOn w:val="Normal"/>
    <w:next w:val="Normal"/>
    <w:autoRedefine/>
    <w:uiPriority w:val="39"/>
    <w:unhideWhenUsed/>
    <w:rsid w:val="00C01F87"/>
    <w:pPr>
      <w:spacing w:after="100" w:line="259" w:lineRule="auto"/>
      <w:ind w:left="660"/>
      <w:jc w:val="left"/>
    </w:pPr>
    <w:rPr>
      <w:rFonts w:asciiTheme="minorHAnsi" w:eastAsiaTheme="minorEastAsia" w:hAnsiTheme="minorHAnsi"/>
      <w:kern w:val="2"/>
      <w:sz w:val="22"/>
      <w14:ligatures w14:val="standardContextual"/>
    </w:rPr>
  </w:style>
  <w:style w:type="paragraph" w:styleId="TOC5">
    <w:name w:val="toc 5"/>
    <w:basedOn w:val="Normal"/>
    <w:next w:val="Normal"/>
    <w:autoRedefine/>
    <w:uiPriority w:val="39"/>
    <w:unhideWhenUsed/>
    <w:rsid w:val="00C01F87"/>
    <w:pPr>
      <w:spacing w:after="100" w:line="259" w:lineRule="auto"/>
      <w:ind w:left="880"/>
      <w:jc w:val="left"/>
    </w:pPr>
    <w:rPr>
      <w:rFonts w:asciiTheme="minorHAnsi" w:eastAsiaTheme="minorEastAsia" w:hAnsiTheme="minorHAnsi"/>
      <w:kern w:val="2"/>
      <w:sz w:val="22"/>
      <w14:ligatures w14:val="standardContextual"/>
    </w:rPr>
  </w:style>
  <w:style w:type="paragraph" w:styleId="TOC6">
    <w:name w:val="toc 6"/>
    <w:basedOn w:val="Normal"/>
    <w:next w:val="Normal"/>
    <w:autoRedefine/>
    <w:uiPriority w:val="39"/>
    <w:unhideWhenUsed/>
    <w:rsid w:val="00C01F87"/>
    <w:pPr>
      <w:spacing w:after="100" w:line="259" w:lineRule="auto"/>
      <w:ind w:left="1100"/>
      <w:jc w:val="left"/>
    </w:pPr>
    <w:rPr>
      <w:rFonts w:asciiTheme="minorHAnsi" w:eastAsiaTheme="minorEastAsia" w:hAnsiTheme="minorHAnsi"/>
      <w:kern w:val="2"/>
      <w:sz w:val="22"/>
      <w14:ligatures w14:val="standardContextual"/>
    </w:rPr>
  </w:style>
  <w:style w:type="paragraph" w:styleId="TOC7">
    <w:name w:val="toc 7"/>
    <w:basedOn w:val="Normal"/>
    <w:next w:val="Normal"/>
    <w:autoRedefine/>
    <w:uiPriority w:val="39"/>
    <w:unhideWhenUsed/>
    <w:rsid w:val="00C01F87"/>
    <w:pPr>
      <w:spacing w:after="100" w:line="259" w:lineRule="auto"/>
      <w:ind w:left="1320"/>
      <w:jc w:val="left"/>
    </w:pPr>
    <w:rPr>
      <w:rFonts w:asciiTheme="minorHAnsi" w:eastAsiaTheme="minorEastAsia" w:hAnsiTheme="minorHAnsi"/>
      <w:kern w:val="2"/>
      <w:sz w:val="22"/>
      <w14:ligatures w14:val="standardContextual"/>
    </w:rPr>
  </w:style>
  <w:style w:type="paragraph" w:styleId="TOC8">
    <w:name w:val="toc 8"/>
    <w:basedOn w:val="Normal"/>
    <w:next w:val="Normal"/>
    <w:autoRedefine/>
    <w:uiPriority w:val="39"/>
    <w:unhideWhenUsed/>
    <w:rsid w:val="00C01F87"/>
    <w:pPr>
      <w:spacing w:after="100" w:line="259" w:lineRule="auto"/>
      <w:ind w:left="1540"/>
      <w:jc w:val="left"/>
    </w:pPr>
    <w:rPr>
      <w:rFonts w:asciiTheme="minorHAnsi" w:eastAsiaTheme="minorEastAsia" w:hAnsiTheme="minorHAnsi"/>
      <w:kern w:val="2"/>
      <w:sz w:val="22"/>
      <w14:ligatures w14:val="standardContextual"/>
    </w:rPr>
  </w:style>
  <w:style w:type="paragraph" w:styleId="TOC9">
    <w:name w:val="toc 9"/>
    <w:basedOn w:val="Normal"/>
    <w:next w:val="Normal"/>
    <w:autoRedefine/>
    <w:uiPriority w:val="39"/>
    <w:unhideWhenUsed/>
    <w:rsid w:val="00C01F87"/>
    <w:pPr>
      <w:spacing w:after="100" w:line="259" w:lineRule="auto"/>
      <w:ind w:left="1760"/>
      <w:jc w:val="left"/>
    </w:pPr>
    <w:rPr>
      <w:rFonts w:asciiTheme="minorHAnsi" w:eastAsiaTheme="minorEastAsia" w:hAnsiTheme="minorHAnsi"/>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487">
      <w:bodyDiv w:val="1"/>
      <w:marLeft w:val="0"/>
      <w:marRight w:val="0"/>
      <w:marTop w:val="0"/>
      <w:marBottom w:val="0"/>
      <w:divBdr>
        <w:top w:val="none" w:sz="0" w:space="0" w:color="auto"/>
        <w:left w:val="none" w:sz="0" w:space="0" w:color="auto"/>
        <w:bottom w:val="none" w:sz="0" w:space="0" w:color="auto"/>
        <w:right w:val="none" w:sz="0" w:space="0" w:color="auto"/>
      </w:divBdr>
      <w:divsChild>
        <w:div w:id="144977336">
          <w:marLeft w:val="0"/>
          <w:marRight w:val="0"/>
          <w:marTop w:val="0"/>
          <w:marBottom w:val="0"/>
          <w:divBdr>
            <w:top w:val="none" w:sz="0" w:space="0" w:color="auto"/>
            <w:left w:val="none" w:sz="0" w:space="0" w:color="auto"/>
            <w:bottom w:val="none" w:sz="0" w:space="0" w:color="auto"/>
            <w:right w:val="none" w:sz="0" w:space="0" w:color="auto"/>
          </w:divBdr>
          <w:divsChild>
            <w:div w:id="1601403996">
              <w:marLeft w:val="0"/>
              <w:marRight w:val="0"/>
              <w:marTop w:val="0"/>
              <w:marBottom w:val="0"/>
              <w:divBdr>
                <w:top w:val="none" w:sz="0" w:space="0" w:color="auto"/>
                <w:left w:val="none" w:sz="0" w:space="0" w:color="auto"/>
                <w:bottom w:val="none" w:sz="0" w:space="0" w:color="auto"/>
                <w:right w:val="none" w:sz="0" w:space="0" w:color="auto"/>
              </w:divBdr>
            </w:div>
          </w:divsChild>
        </w:div>
        <w:div w:id="2111851621">
          <w:marLeft w:val="0"/>
          <w:marRight w:val="0"/>
          <w:marTop w:val="0"/>
          <w:marBottom w:val="150"/>
          <w:divBdr>
            <w:top w:val="none" w:sz="0" w:space="0" w:color="auto"/>
            <w:left w:val="none" w:sz="0" w:space="0" w:color="auto"/>
            <w:bottom w:val="none" w:sz="0" w:space="0" w:color="auto"/>
            <w:right w:val="none" w:sz="0" w:space="0" w:color="auto"/>
          </w:divBdr>
          <w:divsChild>
            <w:div w:id="16555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2905">
      <w:bodyDiv w:val="1"/>
      <w:marLeft w:val="0"/>
      <w:marRight w:val="0"/>
      <w:marTop w:val="0"/>
      <w:marBottom w:val="0"/>
      <w:divBdr>
        <w:top w:val="none" w:sz="0" w:space="0" w:color="auto"/>
        <w:left w:val="none" w:sz="0" w:space="0" w:color="auto"/>
        <w:bottom w:val="none" w:sz="0" w:space="0" w:color="auto"/>
        <w:right w:val="none" w:sz="0" w:space="0" w:color="auto"/>
      </w:divBdr>
      <w:divsChild>
        <w:div w:id="832600970">
          <w:marLeft w:val="0"/>
          <w:marRight w:val="0"/>
          <w:marTop w:val="210"/>
          <w:marBottom w:val="210"/>
          <w:divBdr>
            <w:top w:val="none" w:sz="0" w:space="0" w:color="auto"/>
            <w:left w:val="none" w:sz="0" w:space="0" w:color="auto"/>
            <w:bottom w:val="none" w:sz="0" w:space="0" w:color="auto"/>
            <w:right w:val="none" w:sz="0" w:space="0" w:color="auto"/>
          </w:divBdr>
          <w:divsChild>
            <w:div w:id="467472717">
              <w:marLeft w:val="0"/>
              <w:marRight w:val="0"/>
              <w:marTop w:val="210"/>
              <w:marBottom w:val="210"/>
              <w:divBdr>
                <w:top w:val="none" w:sz="0" w:space="0" w:color="auto"/>
                <w:left w:val="none" w:sz="0" w:space="0" w:color="auto"/>
                <w:bottom w:val="none" w:sz="0" w:space="0" w:color="auto"/>
                <w:right w:val="none" w:sz="0" w:space="0" w:color="auto"/>
              </w:divBdr>
              <w:divsChild>
                <w:div w:id="1452743239">
                  <w:marLeft w:val="0"/>
                  <w:marRight w:val="0"/>
                  <w:marTop w:val="210"/>
                  <w:marBottom w:val="210"/>
                  <w:divBdr>
                    <w:top w:val="none" w:sz="0" w:space="0" w:color="auto"/>
                    <w:left w:val="none" w:sz="0" w:space="0" w:color="auto"/>
                    <w:bottom w:val="none" w:sz="0" w:space="0" w:color="auto"/>
                    <w:right w:val="none" w:sz="0" w:space="0" w:color="auto"/>
                  </w:divBdr>
                  <w:divsChild>
                    <w:div w:id="476725768">
                      <w:marLeft w:val="0"/>
                      <w:marRight w:val="0"/>
                      <w:marTop w:val="210"/>
                      <w:marBottom w:val="210"/>
                      <w:divBdr>
                        <w:top w:val="none" w:sz="0" w:space="0" w:color="auto"/>
                        <w:left w:val="none" w:sz="0" w:space="0" w:color="auto"/>
                        <w:bottom w:val="none" w:sz="0" w:space="0" w:color="auto"/>
                        <w:right w:val="none" w:sz="0" w:space="0" w:color="auto"/>
                      </w:divBdr>
                    </w:div>
                  </w:divsChild>
                </w:div>
                <w:div w:id="1476992526">
                  <w:marLeft w:val="0"/>
                  <w:marRight w:val="0"/>
                  <w:marTop w:val="210"/>
                  <w:marBottom w:val="210"/>
                  <w:divBdr>
                    <w:top w:val="none" w:sz="0" w:space="0" w:color="auto"/>
                    <w:left w:val="none" w:sz="0" w:space="0" w:color="auto"/>
                    <w:bottom w:val="none" w:sz="0" w:space="0" w:color="auto"/>
                    <w:right w:val="none" w:sz="0" w:space="0" w:color="auto"/>
                  </w:divBdr>
                  <w:divsChild>
                    <w:div w:id="77112540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93940793">
      <w:bodyDiv w:val="1"/>
      <w:marLeft w:val="0"/>
      <w:marRight w:val="0"/>
      <w:marTop w:val="0"/>
      <w:marBottom w:val="0"/>
      <w:divBdr>
        <w:top w:val="none" w:sz="0" w:space="0" w:color="auto"/>
        <w:left w:val="none" w:sz="0" w:space="0" w:color="auto"/>
        <w:bottom w:val="none" w:sz="0" w:space="0" w:color="auto"/>
        <w:right w:val="none" w:sz="0" w:space="0" w:color="auto"/>
      </w:divBdr>
      <w:divsChild>
        <w:div w:id="588393315">
          <w:marLeft w:val="0"/>
          <w:marRight w:val="0"/>
          <w:marTop w:val="210"/>
          <w:marBottom w:val="210"/>
          <w:divBdr>
            <w:top w:val="none" w:sz="0" w:space="0" w:color="auto"/>
            <w:left w:val="none" w:sz="0" w:space="0" w:color="auto"/>
            <w:bottom w:val="none" w:sz="0" w:space="0" w:color="auto"/>
            <w:right w:val="none" w:sz="0" w:space="0" w:color="auto"/>
          </w:divBdr>
        </w:div>
        <w:div w:id="1317761742">
          <w:marLeft w:val="420"/>
          <w:marRight w:val="0"/>
          <w:marTop w:val="210"/>
          <w:marBottom w:val="210"/>
          <w:divBdr>
            <w:top w:val="none" w:sz="0" w:space="0" w:color="auto"/>
            <w:left w:val="none" w:sz="0" w:space="0" w:color="auto"/>
            <w:bottom w:val="none" w:sz="0" w:space="0" w:color="auto"/>
            <w:right w:val="none" w:sz="0" w:space="0" w:color="auto"/>
          </w:divBdr>
          <w:divsChild>
            <w:div w:id="2029717356">
              <w:marLeft w:val="0"/>
              <w:marRight w:val="0"/>
              <w:marTop w:val="210"/>
              <w:marBottom w:val="210"/>
              <w:divBdr>
                <w:top w:val="none" w:sz="0" w:space="0" w:color="auto"/>
                <w:left w:val="none" w:sz="0" w:space="0" w:color="auto"/>
                <w:bottom w:val="none" w:sz="0" w:space="0" w:color="auto"/>
                <w:right w:val="none" w:sz="0" w:space="0" w:color="auto"/>
              </w:divBdr>
            </w:div>
          </w:divsChild>
        </w:div>
        <w:div w:id="1987203511">
          <w:marLeft w:val="420"/>
          <w:marRight w:val="0"/>
          <w:marTop w:val="210"/>
          <w:marBottom w:val="210"/>
          <w:divBdr>
            <w:top w:val="none" w:sz="0" w:space="0" w:color="auto"/>
            <w:left w:val="none" w:sz="0" w:space="0" w:color="auto"/>
            <w:bottom w:val="none" w:sz="0" w:space="0" w:color="auto"/>
            <w:right w:val="none" w:sz="0" w:space="0" w:color="auto"/>
          </w:divBdr>
          <w:divsChild>
            <w:div w:id="20905421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7072305">
      <w:bodyDiv w:val="1"/>
      <w:marLeft w:val="0"/>
      <w:marRight w:val="0"/>
      <w:marTop w:val="0"/>
      <w:marBottom w:val="0"/>
      <w:divBdr>
        <w:top w:val="none" w:sz="0" w:space="0" w:color="auto"/>
        <w:left w:val="none" w:sz="0" w:space="0" w:color="auto"/>
        <w:bottom w:val="none" w:sz="0" w:space="0" w:color="auto"/>
        <w:right w:val="none" w:sz="0" w:space="0" w:color="auto"/>
      </w:divBdr>
      <w:divsChild>
        <w:div w:id="2050642333">
          <w:marLeft w:val="420"/>
          <w:marRight w:val="0"/>
          <w:marTop w:val="210"/>
          <w:marBottom w:val="210"/>
          <w:divBdr>
            <w:top w:val="none" w:sz="0" w:space="0" w:color="auto"/>
            <w:left w:val="none" w:sz="0" w:space="0" w:color="auto"/>
            <w:bottom w:val="none" w:sz="0" w:space="0" w:color="auto"/>
            <w:right w:val="none" w:sz="0" w:space="0" w:color="auto"/>
          </w:divBdr>
          <w:divsChild>
            <w:div w:id="1814833498">
              <w:marLeft w:val="0"/>
              <w:marRight w:val="0"/>
              <w:marTop w:val="210"/>
              <w:marBottom w:val="210"/>
              <w:divBdr>
                <w:top w:val="none" w:sz="0" w:space="0" w:color="auto"/>
                <w:left w:val="none" w:sz="0" w:space="0" w:color="auto"/>
                <w:bottom w:val="none" w:sz="0" w:space="0" w:color="auto"/>
                <w:right w:val="none" w:sz="0" w:space="0" w:color="auto"/>
              </w:divBdr>
              <w:divsChild>
                <w:div w:id="448859924">
                  <w:marLeft w:val="0"/>
                  <w:marRight w:val="0"/>
                  <w:marTop w:val="210"/>
                  <w:marBottom w:val="210"/>
                  <w:divBdr>
                    <w:top w:val="none" w:sz="0" w:space="0" w:color="auto"/>
                    <w:left w:val="none" w:sz="0" w:space="0" w:color="auto"/>
                    <w:bottom w:val="none" w:sz="0" w:space="0" w:color="auto"/>
                    <w:right w:val="none" w:sz="0" w:space="0" w:color="auto"/>
                  </w:divBdr>
                  <w:divsChild>
                    <w:div w:id="45841968">
                      <w:marLeft w:val="900"/>
                      <w:marRight w:val="1350"/>
                      <w:marTop w:val="150"/>
                      <w:marBottom w:val="150"/>
                      <w:divBdr>
                        <w:top w:val="dotted" w:sz="6" w:space="1" w:color="BBBBBB"/>
                        <w:left w:val="none" w:sz="0" w:space="0" w:color="BBBBBB"/>
                        <w:bottom w:val="dotted" w:sz="6" w:space="1" w:color="BBBBBB"/>
                        <w:right w:val="none" w:sz="0" w:space="0" w:color="BBBBBB"/>
                      </w:divBdr>
                      <w:divsChild>
                        <w:div w:id="488325725">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93755066">
          <w:marLeft w:val="420"/>
          <w:marRight w:val="0"/>
          <w:marTop w:val="210"/>
          <w:marBottom w:val="210"/>
          <w:divBdr>
            <w:top w:val="none" w:sz="0" w:space="0" w:color="auto"/>
            <w:left w:val="none" w:sz="0" w:space="0" w:color="auto"/>
            <w:bottom w:val="none" w:sz="0" w:space="0" w:color="auto"/>
            <w:right w:val="none" w:sz="0" w:space="0" w:color="auto"/>
          </w:divBdr>
        </w:div>
      </w:divsChild>
    </w:div>
    <w:div w:id="167209886">
      <w:bodyDiv w:val="1"/>
      <w:marLeft w:val="0"/>
      <w:marRight w:val="0"/>
      <w:marTop w:val="0"/>
      <w:marBottom w:val="0"/>
      <w:divBdr>
        <w:top w:val="none" w:sz="0" w:space="0" w:color="auto"/>
        <w:left w:val="none" w:sz="0" w:space="0" w:color="auto"/>
        <w:bottom w:val="none" w:sz="0" w:space="0" w:color="auto"/>
        <w:right w:val="none" w:sz="0" w:space="0" w:color="auto"/>
      </w:divBdr>
      <w:divsChild>
        <w:div w:id="824127108">
          <w:marLeft w:val="600"/>
          <w:marRight w:val="0"/>
          <w:marTop w:val="264"/>
          <w:marBottom w:val="264"/>
          <w:divBdr>
            <w:top w:val="none" w:sz="0" w:space="0" w:color="auto"/>
            <w:left w:val="none" w:sz="0" w:space="0" w:color="auto"/>
            <w:bottom w:val="none" w:sz="0" w:space="0" w:color="auto"/>
            <w:right w:val="none" w:sz="0" w:space="0" w:color="auto"/>
          </w:divBdr>
        </w:div>
      </w:divsChild>
    </w:div>
    <w:div w:id="205683646">
      <w:bodyDiv w:val="1"/>
      <w:marLeft w:val="0"/>
      <w:marRight w:val="0"/>
      <w:marTop w:val="0"/>
      <w:marBottom w:val="0"/>
      <w:divBdr>
        <w:top w:val="none" w:sz="0" w:space="0" w:color="auto"/>
        <w:left w:val="none" w:sz="0" w:space="0" w:color="auto"/>
        <w:bottom w:val="none" w:sz="0" w:space="0" w:color="auto"/>
        <w:right w:val="none" w:sz="0" w:space="0" w:color="auto"/>
      </w:divBdr>
    </w:div>
    <w:div w:id="377625795">
      <w:bodyDiv w:val="1"/>
      <w:marLeft w:val="0"/>
      <w:marRight w:val="0"/>
      <w:marTop w:val="0"/>
      <w:marBottom w:val="0"/>
      <w:divBdr>
        <w:top w:val="none" w:sz="0" w:space="0" w:color="auto"/>
        <w:left w:val="none" w:sz="0" w:space="0" w:color="auto"/>
        <w:bottom w:val="none" w:sz="0" w:space="0" w:color="auto"/>
        <w:right w:val="none" w:sz="0" w:space="0" w:color="auto"/>
      </w:divBdr>
      <w:divsChild>
        <w:div w:id="1333025597">
          <w:marLeft w:val="240"/>
          <w:marRight w:val="0"/>
          <w:marTop w:val="60"/>
          <w:marBottom w:val="60"/>
          <w:divBdr>
            <w:top w:val="none" w:sz="0" w:space="0" w:color="auto"/>
            <w:left w:val="none" w:sz="0" w:space="0" w:color="auto"/>
            <w:bottom w:val="none" w:sz="0" w:space="0" w:color="auto"/>
            <w:right w:val="none" w:sz="0" w:space="0" w:color="auto"/>
          </w:divBdr>
          <w:divsChild>
            <w:div w:id="17896574">
              <w:marLeft w:val="240"/>
              <w:marRight w:val="0"/>
              <w:marTop w:val="60"/>
              <w:marBottom w:val="60"/>
              <w:divBdr>
                <w:top w:val="none" w:sz="0" w:space="0" w:color="auto"/>
                <w:left w:val="none" w:sz="0" w:space="0" w:color="auto"/>
                <w:bottom w:val="none" w:sz="0" w:space="0" w:color="auto"/>
                <w:right w:val="none" w:sz="0" w:space="0" w:color="auto"/>
              </w:divBdr>
              <w:divsChild>
                <w:div w:id="1379665717">
                  <w:marLeft w:val="0"/>
                  <w:marRight w:val="0"/>
                  <w:marTop w:val="0"/>
                  <w:marBottom w:val="0"/>
                  <w:divBdr>
                    <w:top w:val="none" w:sz="0" w:space="0" w:color="auto"/>
                    <w:left w:val="none" w:sz="0" w:space="0" w:color="auto"/>
                    <w:bottom w:val="none" w:sz="0" w:space="0" w:color="auto"/>
                    <w:right w:val="none" w:sz="0" w:space="0" w:color="auto"/>
                  </w:divBdr>
                </w:div>
              </w:divsChild>
            </w:div>
            <w:div w:id="259996451">
              <w:marLeft w:val="462"/>
              <w:marRight w:val="0"/>
              <w:marTop w:val="0"/>
              <w:marBottom w:val="0"/>
              <w:divBdr>
                <w:top w:val="none" w:sz="0" w:space="0" w:color="auto"/>
                <w:left w:val="none" w:sz="0" w:space="0" w:color="auto"/>
                <w:bottom w:val="none" w:sz="0" w:space="0" w:color="auto"/>
                <w:right w:val="none" w:sz="0" w:space="0" w:color="auto"/>
              </w:divBdr>
            </w:div>
            <w:div w:id="462502602">
              <w:marLeft w:val="240"/>
              <w:marRight w:val="0"/>
              <w:marTop w:val="60"/>
              <w:marBottom w:val="60"/>
              <w:divBdr>
                <w:top w:val="none" w:sz="0" w:space="0" w:color="auto"/>
                <w:left w:val="none" w:sz="0" w:space="0" w:color="auto"/>
                <w:bottom w:val="none" w:sz="0" w:space="0" w:color="auto"/>
                <w:right w:val="none" w:sz="0" w:space="0" w:color="auto"/>
              </w:divBdr>
              <w:divsChild>
                <w:div w:id="1661691972">
                  <w:marLeft w:val="0"/>
                  <w:marRight w:val="0"/>
                  <w:marTop w:val="0"/>
                  <w:marBottom w:val="0"/>
                  <w:divBdr>
                    <w:top w:val="none" w:sz="0" w:space="0" w:color="auto"/>
                    <w:left w:val="none" w:sz="0" w:space="0" w:color="auto"/>
                    <w:bottom w:val="none" w:sz="0" w:space="0" w:color="auto"/>
                    <w:right w:val="none" w:sz="0" w:space="0" w:color="auto"/>
                  </w:divBdr>
                </w:div>
              </w:divsChild>
            </w:div>
            <w:div w:id="569577749">
              <w:marLeft w:val="240"/>
              <w:marRight w:val="0"/>
              <w:marTop w:val="60"/>
              <w:marBottom w:val="60"/>
              <w:divBdr>
                <w:top w:val="none" w:sz="0" w:space="0" w:color="auto"/>
                <w:left w:val="none" w:sz="0" w:space="0" w:color="auto"/>
                <w:bottom w:val="none" w:sz="0" w:space="0" w:color="auto"/>
                <w:right w:val="none" w:sz="0" w:space="0" w:color="auto"/>
              </w:divBdr>
              <w:divsChild>
                <w:div w:id="581569324">
                  <w:marLeft w:val="0"/>
                  <w:marRight w:val="0"/>
                  <w:marTop w:val="0"/>
                  <w:marBottom w:val="0"/>
                  <w:divBdr>
                    <w:top w:val="none" w:sz="0" w:space="0" w:color="auto"/>
                    <w:left w:val="none" w:sz="0" w:space="0" w:color="auto"/>
                    <w:bottom w:val="none" w:sz="0" w:space="0" w:color="auto"/>
                    <w:right w:val="none" w:sz="0" w:space="0" w:color="auto"/>
                  </w:divBdr>
                </w:div>
              </w:divsChild>
            </w:div>
            <w:div w:id="831213028">
              <w:marLeft w:val="240"/>
              <w:marRight w:val="0"/>
              <w:marTop w:val="60"/>
              <w:marBottom w:val="60"/>
              <w:divBdr>
                <w:top w:val="none" w:sz="0" w:space="0" w:color="auto"/>
                <w:left w:val="none" w:sz="0" w:space="0" w:color="auto"/>
                <w:bottom w:val="none" w:sz="0" w:space="0" w:color="auto"/>
                <w:right w:val="none" w:sz="0" w:space="0" w:color="auto"/>
              </w:divBdr>
              <w:divsChild>
                <w:div w:id="2083675861">
                  <w:marLeft w:val="0"/>
                  <w:marRight w:val="0"/>
                  <w:marTop w:val="0"/>
                  <w:marBottom w:val="0"/>
                  <w:divBdr>
                    <w:top w:val="none" w:sz="0" w:space="0" w:color="auto"/>
                    <w:left w:val="none" w:sz="0" w:space="0" w:color="auto"/>
                    <w:bottom w:val="none" w:sz="0" w:space="0" w:color="auto"/>
                    <w:right w:val="none" w:sz="0" w:space="0" w:color="auto"/>
                  </w:divBdr>
                </w:div>
              </w:divsChild>
            </w:div>
            <w:div w:id="1279950024">
              <w:marLeft w:val="240"/>
              <w:marRight w:val="0"/>
              <w:marTop w:val="60"/>
              <w:marBottom w:val="60"/>
              <w:divBdr>
                <w:top w:val="none" w:sz="0" w:space="0" w:color="auto"/>
                <w:left w:val="none" w:sz="0" w:space="0" w:color="auto"/>
                <w:bottom w:val="none" w:sz="0" w:space="0" w:color="auto"/>
                <w:right w:val="none" w:sz="0" w:space="0" w:color="auto"/>
              </w:divBdr>
              <w:divsChild>
                <w:div w:id="748038325">
                  <w:marLeft w:val="0"/>
                  <w:marRight w:val="0"/>
                  <w:marTop w:val="0"/>
                  <w:marBottom w:val="0"/>
                  <w:divBdr>
                    <w:top w:val="none" w:sz="0" w:space="0" w:color="auto"/>
                    <w:left w:val="none" w:sz="0" w:space="0" w:color="auto"/>
                    <w:bottom w:val="none" w:sz="0" w:space="0" w:color="auto"/>
                    <w:right w:val="none" w:sz="0" w:space="0" w:color="auto"/>
                  </w:divBdr>
                </w:div>
              </w:divsChild>
            </w:div>
            <w:div w:id="1282961263">
              <w:marLeft w:val="240"/>
              <w:marRight w:val="0"/>
              <w:marTop w:val="60"/>
              <w:marBottom w:val="60"/>
              <w:divBdr>
                <w:top w:val="none" w:sz="0" w:space="0" w:color="auto"/>
                <w:left w:val="none" w:sz="0" w:space="0" w:color="auto"/>
                <w:bottom w:val="none" w:sz="0" w:space="0" w:color="auto"/>
                <w:right w:val="none" w:sz="0" w:space="0" w:color="auto"/>
              </w:divBdr>
              <w:divsChild>
                <w:div w:id="997732304">
                  <w:marLeft w:val="0"/>
                  <w:marRight w:val="0"/>
                  <w:marTop w:val="0"/>
                  <w:marBottom w:val="0"/>
                  <w:divBdr>
                    <w:top w:val="none" w:sz="0" w:space="0" w:color="auto"/>
                    <w:left w:val="none" w:sz="0" w:space="0" w:color="auto"/>
                    <w:bottom w:val="none" w:sz="0" w:space="0" w:color="auto"/>
                    <w:right w:val="none" w:sz="0" w:space="0" w:color="auto"/>
                  </w:divBdr>
                </w:div>
              </w:divsChild>
            </w:div>
            <w:div w:id="1729986330">
              <w:marLeft w:val="240"/>
              <w:marRight w:val="0"/>
              <w:marTop w:val="60"/>
              <w:marBottom w:val="60"/>
              <w:divBdr>
                <w:top w:val="none" w:sz="0" w:space="0" w:color="auto"/>
                <w:left w:val="none" w:sz="0" w:space="0" w:color="auto"/>
                <w:bottom w:val="none" w:sz="0" w:space="0" w:color="auto"/>
                <w:right w:val="none" w:sz="0" w:space="0" w:color="auto"/>
              </w:divBdr>
              <w:divsChild>
                <w:div w:id="1079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87037">
          <w:marLeft w:val="240"/>
          <w:marRight w:val="0"/>
          <w:marTop w:val="60"/>
          <w:marBottom w:val="60"/>
          <w:divBdr>
            <w:top w:val="none" w:sz="0" w:space="0" w:color="auto"/>
            <w:left w:val="none" w:sz="0" w:space="0" w:color="auto"/>
            <w:bottom w:val="none" w:sz="0" w:space="0" w:color="auto"/>
            <w:right w:val="none" w:sz="0" w:space="0" w:color="auto"/>
          </w:divBdr>
        </w:div>
      </w:divsChild>
    </w:div>
    <w:div w:id="418603748">
      <w:bodyDiv w:val="1"/>
      <w:marLeft w:val="0"/>
      <w:marRight w:val="0"/>
      <w:marTop w:val="0"/>
      <w:marBottom w:val="0"/>
      <w:divBdr>
        <w:top w:val="none" w:sz="0" w:space="0" w:color="auto"/>
        <w:left w:val="none" w:sz="0" w:space="0" w:color="auto"/>
        <w:bottom w:val="none" w:sz="0" w:space="0" w:color="auto"/>
        <w:right w:val="none" w:sz="0" w:space="0" w:color="auto"/>
      </w:divBdr>
      <w:divsChild>
        <w:div w:id="626158957">
          <w:marLeft w:val="1260"/>
          <w:marRight w:val="0"/>
          <w:marTop w:val="210"/>
          <w:marBottom w:val="210"/>
          <w:divBdr>
            <w:top w:val="none" w:sz="0" w:space="0" w:color="auto"/>
            <w:left w:val="none" w:sz="0" w:space="0" w:color="auto"/>
            <w:bottom w:val="none" w:sz="0" w:space="0" w:color="auto"/>
            <w:right w:val="none" w:sz="0" w:space="0" w:color="auto"/>
          </w:divBdr>
        </w:div>
        <w:div w:id="639729008">
          <w:marLeft w:val="1260"/>
          <w:marRight w:val="0"/>
          <w:marTop w:val="210"/>
          <w:marBottom w:val="210"/>
          <w:divBdr>
            <w:top w:val="none" w:sz="0" w:space="0" w:color="auto"/>
            <w:left w:val="none" w:sz="0" w:space="0" w:color="auto"/>
            <w:bottom w:val="none" w:sz="0" w:space="0" w:color="auto"/>
            <w:right w:val="none" w:sz="0" w:space="0" w:color="auto"/>
          </w:divBdr>
        </w:div>
        <w:div w:id="1147552196">
          <w:marLeft w:val="840"/>
          <w:marRight w:val="0"/>
          <w:marTop w:val="210"/>
          <w:marBottom w:val="210"/>
          <w:divBdr>
            <w:top w:val="none" w:sz="0" w:space="0" w:color="auto"/>
            <w:left w:val="none" w:sz="0" w:space="0" w:color="auto"/>
            <w:bottom w:val="none" w:sz="0" w:space="0" w:color="auto"/>
            <w:right w:val="none" w:sz="0" w:space="0" w:color="auto"/>
          </w:divBdr>
        </w:div>
        <w:div w:id="1341275214">
          <w:marLeft w:val="1260"/>
          <w:marRight w:val="0"/>
          <w:marTop w:val="210"/>
          <w:marBottom w:val="210"/>
          <w:divBdr>
            <w:top w:val="none" w:sz="0" w:space="0" w:color="auto"/>
            <w:left w:val="none" w:sz="0" w:space="0" w:color="auto"/>
            <w:bottom w:val="none" w:sz="0" w:space="0" w:color="auto"/>
            <w:right w:val="none" w:sz="0" w:space="0" w:color="auto"/>
          </w:divBdr>
        </w:div>
      </w:divsChild>
    </w:div>
    <w:div w:id="526023495">
      <w:bodyDiv w:val="1"/>
      <w:marLeft w:val="0"/>
      <w:marRight w:val="0"/>
      <w:marTop w:val="0"/>
      <w:marBottom w:val="0"/>
      <w:divBdr>
        <w:top w:val="none" w:sz="0" w:space="0" w:color="auto"/>
        <w:left w:val="none" w:sz="0" w:space="0" w:color="auto"/>
        <w:bottom w:val="none" w:sz="0" w:space="0" w:color="auto"/>
        <w:right w:val="none" w:sz="0" w:space="0" w:color="auto"/>
      </w:divBdr>
    </w:div>
    <w:div w:id="555092084">
      <w:bodyDiv w:val="1"/>
      <w:marLeft w:val="0"/>
      <w:marRight w:val="0"/>
      <w:marTop w:val="0"/>
      <w:marBottom w:val="0"/>
      <w:divBdr>
        <w:top w:val="none" w:sz="0" w:space="0" w:color="auto"/>
        <w:left w:val="none" w:sz="0" w:space="0" w:color="auto"/>
        <w:bottom w:val="none" w:sz="0" w:space="0" w:color="auto"/>
        <w:right w:val="none" w:sz="0" w:space="0" w:color="auto"/>
      </w:divBdr>
    </w:div>
    <w:div w:id="609315311">
      <w:bodyDiv w:val="1"/>
      <w:marLeft w:val="0"/>
      <w:marRight w:val="0"/>
      <w:marTop w:val="0"/>
      <w:marBottom w:val="0"/>
      <w:divBdr>
        <w:top w:val="none" w:sz="0" w:space="0" w:color="auto"/>
        <w:left w:val="none" w:sz="0" w:space="0" w:color="auto"/>
        <w:bottom w:val="none" w:sz="0" w:space="0" w:color="auto"/>
        <w:right w:val="none" w:sz="0" w:space="0" w:color="auto"/>
      </w:divBdr>
    </w:div>
    <w:div w:id="618488197">
      <w:bodyDiv w:val="1"/>
      <w:marLeft w:val="0"/>
      <w:marRight w:val="0"/>
      <w:marTop w:val="0"/>
      <w:marBottom w:val="0"/>
      <w:divBdr>
        <w:top w:val="none" w:sz="0" w:space="0" w:color="auto"/>
        <w:left w:val="none" w:sz="0" w:space="0" w:color="auto"/>
        <w:bottom w:val="none" w:sz="0" w:space="0" w:color="auto"/>
        <w:right w:val="none" w:sz="0" w:space="0" w:color="auto"/>
      </w:divBdr>
      <w:divsChild>
        <w:div w:id="1646931600">
          <w:marLeft w:val="240"/>
          <w:marRight w:val="0"/>
          <w:marTop w:val="60"/>
          <w:marBottom w:val="60"/>
          <w:divBdr>
            <w:top w:val="none" w:sz="0" w:space="0" w:color="auto"/>
            <w:left w:val="none" w:sz="0" w:space="0" w:color="auto"/>
            <w:bottom w:val="none" w:sz="0" w:space="0" w:color="auto"/>
            <w:right w:val="none" w:sz="0" w:space="0" w:color="auto"/>
          </w:divBdr>
          <w:divsChild>
            <w:div w:id="1002783347">
              <w:marLeft w:val="0"/>
              <w:marRight w:val="0"/>
              <w:marTop w:val="0"/>
              <w:marBottom w:val="0"/>
              <w:divBdr>
                <w:top w:val="none" w:sz="0" w:space="0" w:color="auto"/>
                <w:left w:val="none" w:sz="0" w:space="0" w:color="auto"/>
                <w:bottom w:val="none" w:sz="0" w:space="0" w:color="auto"/>
                <w:right w:val="none" w:sz="0" w:space="0" w:color="auto"/>
              </w:divBdr>
            </w:div>
          </w:divsChild>
        </w:div>
        <w:div w:id="1760367171">
          <w:marLeft w:val="240"/>
          <w:marRight w:val="0"/>
          <w:marTop w:val="60"/>
          <w:marBottom w:val="60"/>
          <w:divBdr>
            <w:top w:val="none" w:sz="0" w:space="0" w:color="auto"/>
            <w:left w:val="none" w:sz="0" w:space="0" w:color="auto"/>
            <w:bottom w:val="none" w:sz="0" w:space="0" w:color="auto"/>
            <w:right w:val="none" w:sz="0" w:space="0" w:color="auto"/>
          </w:divBdr>
          <w:divsChild>
            <w:div w:id="854537843">
              <w:marLeft w:val="240"/>
              <w:marRight w:val="0"/>
              <w:marTop w:val="60"/>
              <w:marBottom w:val="60"/>
              <w:divBdr>
                <w:top w:val="none" w:sz="0" w:space="0" w:color="auto"/>
                <w:left w:val="none" w:sz="0" w:space="0" w:color="auto"/>
                <w:bottom w:val="none" w:sz="0" w:space="0" w:color="auto"/>
                <w:right w:val="none" w:sz="0" w:space="0" w:color="auto"/>
              </w:divBdr>
              <w:divsChild>
                <w:div w:id="1661696387">
                  <w:marLeft w:val="0"/>
                  <w:marRight w:val="0"/>
                  <w:marTop w:val="0"/>
                  <w:marBottom w:val="0"/>
                  <w:divBdr>
                    <w:top w:val="none" w:sz="0" w:space="0" w:color="auto"/>
                    <w:left w:val="none" w:sz="0" w:space="0" w:color="auto"/>
                    <w:bottom w:val="none" w:sz="0" w:space="0" w:color="auto"/>
                    <w:right w:val="none" w:sz="0" w:space="0" w:color="auto"/>
                  </w:divBdr>
                </w:div>
              </w:divsChild>
            </w:div>
            <w:div w:id="73402581">
              <w:marLeft w:val="240"/>
              <w:marRight w:val="0"/>
              <w:marTop w:val="60"/>
              <w:marBottom w:val="60"/>
              <w:divBdr>
                <w:top w:val="none" w:sz="0" w:space="0" w:color="auto"/>
                <w:left w:val="none" w:sz="0" w:space="0" w:color="auto"/>
                <w:bottom w:val="none" w:sz="0" w:space="0" w:color="auto"/>
                <w:right w:val="none" w:sz="0" w:space="0" w:color="auto"/>
              </w:divBdr>
              <w:divsChild>
                <w:div w:id="17784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6149">
      <w:bodyDiv w:val="1"/>
      <w:marLeft w:val="0"/>
      <w:marRight w:val="0"/>
      <w:marTop w:val="0"/>
      <w:marBottom w:val="0"/>
      <w:divBdr>
        <w:top w:val="none" w:sz="0" w:space="0" w:color="auto"/>
        <w:left w:val="none" w:sz="0" w:space="0" w:color="auto"/>
        <w:bottom w:val="none" w:sz="0" w:space="0" w:color="auto"/>
        <w:right w:val="none" w:sz="0" w:space="0" w:color="auto"/>
      </w:divBdr>
    </w:div>
    <w:div w:id="925043002">
      <w:bodyDiv w:val="1"/>
      <w:marLeft w:val="0"/>
      <w:marRight w:val="0"/>
      <w:marTop w:val="0"/>
      <w:marBottom w:val="0"/>
      <w:divBdr>
        <w:top w:val="none" w:sz="0" w:space="0" w:color="auto"/>
        <w:left w:val="none" w:sz="0" w:space="0" w:color="auto"/>
        <w:bottom w:val="none" w:sz="0" w:space="0" w:color="auto"/>
        <w:right w:val="none" w:sz="0" w:space="0" w:color="auto"/>
      </w:divBdr>
      <w:divsChild>
        <w:div w:id="173307546">
          <w:marLeft w:val="240"/>
          <w:marRight w:val="0"/>
          <w:marTop w:val="60"/>
          <w:marBottom w:val="60"/>
          <w:divBdr>
            <w:top w:val="none" w:sz="0" w:space="0" w:color="auto"/>
            <w:left w:val="none" w:sz="0" w:space="0" w:color="auto"/>
            <w:bottom w:val="none" w:sz="0" w:space="0" w:color="auto"/>
            <w:right w:val="none" w:sz="0" w:space="0" w:color="auto"/>
          </w:divBdr>
          <w:divsChild>
            <w:div w:id="501630904">
              <w:marLeft w:val="240"/>
              <w:marRight w:val="0"/>
              <w:marTop w:val="60"/>
              <w:marBottom w:val="60"/>
              <w:divBdr>
                <w:top w:val="none" w:sz="0" w:space="0" w:color="auto"/>
                <w:left w:val="none" w:sz="0" w:space="0" w:color="auto"/>
                <w:bottom w:val="none" w:sz="0" w:space="0" w:color="auto"/>
                <w:right w:val="none" w:sz="0" w:space="0" w:color="auto"/>
              </w:divBdr>
              <w:divsChild>
                <w:div w:id="1709376580">
                  <w:marLeft w:val="0"/>
                  <w:marRight w:val="0"/>
                  <w:marTop w:val="0"/>
                  <w:marBottom w:val="0"/>
                  <w:divBdr>
                    <w:top w:val="none" w:sz="0" w:space="0" w:color="auto"/>
                    <w:left w:val="none" w:sz="0" w:space="0" w:color="auto"/>
                    <w:bottom w:val="none" w:sz="0" w:space="0" w:color="auto"/>
                    <w:right w:val="none" w:sz="0" w:space="0" w:color="auto"/>
                  </w:divBdr>
                </w:div>
              </w:divsChild>
            </w:div>
            <w:div w:id="530873645">
              <w:marLeft w:val="240"/>
              <w:marRight w:val="0"/>
              <w:marTop w:val="60"/>
              <w:marBottom w:val="60"/>
              <w:divBdr>
                <w:top w:val="none" w:sz="0" w:space="0" w:color="auto"/>
                <w:left w:val="none" w:sz="0" w:space="0" w:color="auto"/>
                <w:bottom w:val="none" w:sz="0" w:space="0" w:color="auto"/>
                <w:right w:val="none" w:sz="0" w:space="0" w:color="auto"/>
              </w:divBdr>
              <w:divsChild>
                <w:div w:id="5497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4929">
          <w:marLeft w:val="416"/>
          <w:marRight w:val="0"/>
          <w:marTop w:val="0"/>
          <w:marBottom w:val="0"/>
          <w:divBdr>
            <w:top w:val="none" w:sz="0" w:space="0" w:color="auto"/>
            <w:left w:val="none" w:sz="0" w:space="0" w:color="auto"/>
            <w:bottom w:val="none" w:sz="0" w:space="0" w:color="auto"/>
            <w:right w:val="none" w:sz="0" w:space="0" w:color="auto"/>
          </w:divBdr>
        </w:div>
        <w:div w:id="1832869739">
          <w:marLeft w:val="240"/>
          <w:marRight w:val="0"/>
          <w:marTop w:val="60"/>
          <w:marBottom w:val="60"/>
          <w:divBdr>
            <w:top w:val="none" w:sz="0" w:space="0" w:color="auto"/>
            <w:left w:val="none" w:sz="0" w:space="0" w:color="auto"/>
            <w:bottom w:val="none" w:sz="0" w:space="0" w:color="auto"/>
            <w:right w:val="none" w:sz="0" w:space="0" w:color="auto"/>
          </w:divBdr>
          <w:divsChild>
            <w:div w:id="4075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91166">
      <w:bodyDiv w:val="1"/>
      <w:marLeft w:val="0"/>
      <w:marRight w:val="0"/>
      <w:marTop w:val="0"/>
      <w:marBottom w:val="0"/>
      <w:divBdr>
        <w:top w:val="none" w:sz="0" w:space="0" w:color="auto"/>
        <w:left w:val="none" w:sz="0" w:space="0" w:color="auto"/>
        <w:bottom w:val="none" w:sz="0" w:space="0" w:color="auto"/>
        <w:right w:val="none" w:sz="0" w:space="0" w:color="auto"/>
      </w:divBdr>
      <w:divsChild>
        <w:div w:id="247617944">
          <w:marLeft w:val="240"/>
          <w:marRight w:val="0"/>
          <w:marTop w:val="60"/>
          <w:marBottom w:val="60"/>
          <w:divBdr>
            <w:top w:val="none" w:sz="0" w:space="0" w:color="auto"/>
            <w:left w:val="none" w:sz="0" w:space="0" w:color="auto"/>
            <w:bottom w:val="none" w:sz="0" w:space="0" w:color="auto"/>
            <w:right w:val="none" w:sz="0" w:space="0" w:color="auto"/>
          </w:divBdr>
          <w:divsChild>
            <w:div w:id="1443724290">
              <w:marLeft w:val="240"/>
              <w:marRight w:val="0"/>
              <w:marTop w:val="60"/>
              <w:marBottom w:val="60"/>
              <w:divBdr>
                <w:top w:val="none" w:sz="0" w:space="0" w:color="auto"/>
                <w:left w:val="none" w:sz="0" w:space="0" w:color="auto"/>
                <w:bottom w:val="none" w:sz="0" w:space="0" w:color="auto"/>
                <w:right w:val="none" w:sz="0" w:space="0" w:color="auto"/>
              </w:divBdr>
              <w:divsChild>
                <w:div w:id="1179932016">
                  <w:marLeft w:val="0"/>
                  <w:marRight w:val="0"/>
                  <w:marTop w:val="0"/>
                  <w:marBottom w:val="0"/>
                  <w:divBdr>
                    <w:top w:val="none" w:sz="0" w:space="0" w:color="auto"/>
                    <w:left w:val="none" w:sz="0" w:space="0" w:color="auto"/>
                    <w:bottom w:val="none" w:sz="0" w:space="0" w:color="auto"/>
                    <w:right w:val="none" w:sz="0" w:space="0" w:color="auto"/>
                  </w:divBdr>
                </w:div>
              </w:divsChild>
            </w:div>
            <w:div w:id="1619067197">
              <w:marLeft w:val="240"/>
              <w:marRight w:val="0"/>
              <w:marTop w:val="60"/>
              <w:marBottom w:val="60"/>
              <w:divBdr>
                <w:top w:val="none" w:sz="0" w:space="0" w:color="auto"/>
                <w:left w:val="none" w:sz="0" w:space="0" w:color="auto"/>
                <w:bottom w:val="none" w:sz="0" w:space="0" w:color="auto"/>
                <w:right w:val="none" w:sz="0" w:space="0" w:color="auto"/>
              </w:divBdr>
              <w:divsChild>
                <w:div w:id="1691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3982">
          <w:marLeft w:val="240"/>
          <w:marRight w:val="0"/>
          <w:marTop w:val="60"/>
          <w:marBottom w:val="60"/>
          <w:divBdr>
            <w:top w:val="none" w:sz="0" w:space="0" w:color="auto"/>
            <w:left w:val="none" w:sz="0" w:space="0" w:color="auto"/>
            <w:bottom w:val="none" w:sz="0" w:space="0" w:color="auto"/>
            <w:right w:val="none" w:sz="0" w:space="0" w:color="auto"/>
          </w:divBdr>
          <w:divsChild>
            <w:div w:id="974213520">
              <w:marLeft w:val="0"/>
              <w:marRight w:val="0"/>
              <w:marTop w:val="0"/>
              <w:marBottom w:val="0"/>
              <w:divBdr>
                <w:top w:val="none" w:sz="0" w:space="0" w:color="auto"/>
                <w:left w:val="none" w:sz="0" w:space="0" w:color="auto"/>
                <w:bottom w:val="none" w:sz="0" w:space="0" w:color="auto"/>
                <w:right w:val="none" w:sz="0" w:space="0" w:color="auto"/>
              </w:divBdr>
            </w:div>
          </w:divsChild>
        </w:div>
        <w:div w:id="1751925392">
          <w:marLeft w:val="416"/>
          <w:marRight w:val="0"/>
          <w:marTop w:val="0"/>
          <w:marBottom w:val="0"/>
          <w:divBdr>
            <w:top w:val="none" w:sz="0" w:space="0" w:color="auto"/>
            <w:left w:val="none" w:sz="0" w:space="0" w:color="auto"/>
            <w:bottom w:val="none" w:sz="0" w:space="0" w:color="auto"/>
            <w:right w:val="none" w:sz="0" w:space="0" w:color="auto"/>
          </w:divBdr>
        </w:div>
      </w:divsChild>
    </w:div>
    <w:div w:id="1084491075">
      <w:bodyDiv w:val="1"/>
      <w:marLeft w:val="0"/>
      <w:marRight w:val="0"/>
      <w:marTop w:val="0"/>
      <w:marBottom w:val="0"/>
      <w:divBdr>
        <w:top w:val="none" w:sz="0" w:space="0" w:color="auto"/>
        <w:left w:val="none" w:sz="0" w:space="0" w:color="auto"/>
        <w:bottom w:val="none" w:sz="0" w:space="0" w:color="auto"/>
        <w:right w:val="none" w:sz="0" w:space="0" w:color="auto"/>
      </w:divBdr>
    </w:div>
    <w:div w:id="1230116241">
      <w:bodyDiv w:val="1"/>
      <w:marLeft w:val="0"/>
      <w:marRight w:val="0"/>
      <w:marTop w:val="0"/>
      <w:marBottom w:val="0"/>
      <w:divBdr>
        <w:top w:val="none" w:sz="0" w:space="0" w:color="auto"/>
        <w:left w:val="none" w:sz="0" w:space="0" w:color="auto"/>
        <w:bottom w:val="none" w:sz="0" w:space="0" w:color="auto"/>
        <w:right w:val="none" w:sz="0" w:space="0" w:color="auto"/>
      </w:divBdr>
    </w:div>
    <w:div w:id="1261914661">
      <w:bodyDiv w:val="1"/>
      <w:marLeft w:val="0"/>
      <w:marRight w:val="0"/>
      <w:marTop w:val="0"/>
      <w:marBottom w:val="0"/>
      <w:divBdr>
        <w:top w:val="none" w:sz="0" w:space="0" w:color="auto"/>
        <w:left w:val="none" w:sz="0" w:space="0" w:color="auto"/>
        <w:bottom w:val="none" w:sz="0" w:space="0" w:color="auto"/>
        <w:right w:val="none" w:sz="0" w:space="0" w:color="auto"/>
      </w:divBdr>
      <w:divsChild>
        <w:div w:id="27266037">
          <w:marLeft w:val="0"/>
          <w:marRight w:val="0"/>
          <w:marTop w:val="0"/>
          <w:marBottom w:val="150"/>
          <w:divBdr>
            <w:top w:val="single" w:sz="6" w:space="5" w:color="DDDDDD"/>
            <w:left w:val="single" w:sz="6" w:space="5" w:color="DDDDDD"/>
            <w:bottom w:val="single" w:sz="6" w:space="5" w:color="DDDDDD"/>
            <w:right w:val="single" w:sz="6" w:space="5" w:color="DDDDDD"/>
          </w:divBdr>
          <w:divsChild>
            <w:div w:id="124395642">
              <w:marLeft w:val="0"/>
              <w:marRight w:val="0"/>
              <w:marTop w:val="0"/>
              <w:marBottom w:val="0"/>
              <w:divBdr>
                <w:top w:val="none" w:sz="0" w:space="0" w:color="auto"/>
                <w:left w:val="none" w:sz="0" w:space="0" w:color="auto"/>
                <w:bottom w:val="none" w:sz="0" w:space="0" w:color="auto"/>
                <w:right w:val="none" w:sz="0" w:space="0" w:color="auto"/>
              </w:divBdr>
              <w:divsChild>
                <w:div w:id="1623027283">
                  <w:marLeft w:val="0"/>
                  <w:marRight w:val="0"/>
                  <w:marTop w:val="0"/>
                  <w:marBottom w:val="0"/>
                  <w:divBdr>
                    <w:top w:val="none" w:sz="0" w:space="0" w:color="auto"/>
                    <w:left w:val="none" w:sz="0" w:space="0" w:color="auto"/>
                    <w:bottom w:val="none" w:sz="0" w:space="0" w:color="auto"/>
                    <w:right w:val="none" w:sz="0" w:space="0" w:color="auto"/>
                  </w:divBdr>
                </w:div>
                <w:div w:id="18407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484">
      <w:bodyDiv w:val="1"/>
      <w:marLeft w:val="0"/>
      <w:marRight w:val="0"/>
      <w:marTop w:val="0"/>
      <w:marBottom w:val="0"/>
      <w:divBdr>
        <w:top w:val="none" w:sz="0" w:space="0" w:color="auto"/>
        <w:left w:val="none" w:sz="0" w:space="0" w:color="auto"/>
        <w:bottom w:val="none" w:sz="0" w:space="0" w:color="auto"/>
        <w:right w:val="none" w:sz="0" w:space="0" w:color="auto"/>
      </w:divBdr>
      <w:divsChild>
        <w:div w:id="679628300">
          <w:marLeft w:val="0"/>
          <w:marRight w:val="0"/>
          <w:marTop w:val="210"/>
          <w:marBottom w:val="210"/>
          <w:divBdr>
            <w:top w:val="none" w:sz="0" w:space="0" w:color="auto"/>
            <w:left w:val="none" w:sz="0" w:space="0" w:color="auto"/>
            <w:bottom w:val="none" w:sz="0" w:space="0" w:color="auto"/>
            <w:right w:val="none" w:sz="0" w:space="0" w:color="auto"/>
          </w:divBdr>
          <w:divsChild>
            <w:div w:id="8799481">
              <w:marLeft w:val="0"/>
              <w:marRight w:val="0"/>
              <w:marTop w:val="210"/>
              <w:marBottom w:val="210"/>
              <w:divBdr>
                <w:top w:val="none" w:sz="0" w:space="0" w:color="auto"/>
                <w:left w:val="none" w:sz="0" w:space="0" w:color="auto"/>
                <w:bottom w:val="none" w:sz="0" w:space="0" w:color="auto"/>
                <w:right w:val="none" w:sz="0" w:space="0" w:color="auto"/>
              </w:divBdr>
              <w:divsChild>
                <w:div w:id="362706091">
                  <w:marLeft w:val="0"/>
                  <w:marRight w:val="0"/>
                  <w:marTop w:val="210"/>
                  <w:marBottom w:val="210"/>
                  <w:divBdr>
                    <w:top w:val="none" w:sz="0" w:space="0" w:color="auto"/>
                    <w:left w:val="none" w:sz="0" w:space="0" w:color="auto"/>
                    <w:bottom w:val="none" w:sz="0" w:space="0" w:color="auto"/>
                    <w:right w:val="none" w:sz="0" w:space="0" w:color="auto"/>
                  </w:divBdr>
                  <w:divsChild>
                    <w:div w:id="1808887606">
                      <w:marLeft w:val="0"/>
                      <w:marRight w:val="0"/>
                      <w:marTop w:val="210"/>
                      <w:marBottom w:val="210"/>
                      <w:divBdr>
                        <w:top w:val="none" w:sz="0" w:space="0" w:color="auto"/>
                        <w:left w:val="none" w:sz="0" w:space="0" w:color="auto"/>
                        <w:bottom w:val="none" w:sz="0" w:space="0" w:color="auto"/>
                        <w:right w:val="none" w:sz="0" w:space="0" w:color="auto"/>
                      </w:divBdr>
                    </w:div>
                  </w:divsChild>
                </w:div>
                <w:div w:id="934097796">
                  <w:marLeft w:val="0"/>
                  <w:marRight w:val="0"/>
                  <w:marTop w:val="210"/>
                  <w:marBottom w:val="210"/>
                  <w:divBdr>
                    <w:top w:val="none" w:sz="0" w:space="0" w:color="auto"/>
                    <w:left w:val="none" w:sz="0" w:space="0" w:color="auto"/>
                    <w:bottom w:val="none" w:sz="0" w:space="0" w:color="auto"/>
                    <w:right w:val="none" w:sz="0" w:space="0" w:color="auto"/>
                  </w:divBdr>
                  <w:divsChild>
                    <w:div w:id="18408484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13759021">
      <w:bodyDiv w:val="1"/>
      <w:marLeft w:val="0"/>
      <w:marRight w:val="0"/>
      <w:marTop w:val="0"/>
      <w:marBottom w:val="0"/>
      <w:divBdr>
        <w:top w:val="none" w:sz="0" w:space="0" w:color="auto"/>
        <w:left w:val="none" w:sz="0" w:space="0" w:color="auto"/>
        <w:bottom w:val="none" w:sz="0" w:space="0" w:color="auto"/>
        <w:right w:val="none" w:sz="0" w:space="0" w:color="auto"/>
      </w:divBdr>
      <w:divsChild>
        <w:div w:id="251165905">
          <w:marLeft w:val="0"/>
          <w:marRight w:val="0"/>
          <w:marTop w:val="210"/>
          <w:marBottom w:val="210"/>
          <w:divBdr>
            <w:top w:val="none" w:sz="0" w:space="0" w:color="auto"/>
            <w:left w:val="none" w:sz="0" w:space="0" w:color="auto"/>
            <w:bottom w:val="none" w:sz="0" w:space="0" w:color="auto"/>
            <w:right w:val="none" w:sz="0" w:space="0" w:color="auto"/>
          </w:divBdr>
          <w:divsChild>
            <w:div w:id="885142145">
              <w:marLeft w:val="0"/>
              <w:marRight w:val="0"/>
              <w:marTop w:val="210"/>
              <w:marBottom w:val="210"/>
              <w:divBdr>
                <w:top w:val="none" w:sz="0" w:space="0" w:color="auto"/>
                <w:left w:val="none" w:sz="0" w:space="0" w:color="auto"/>
                <w:bottom w:val="none" w:sz="0" w:space="0" w:color="auto"/>
                <w:right w:val="none" w:sz="0" w:space="0" w:color="auto"/>
              </w:divBdr>
              <w:divsChild>
                <w:div w:id="1498301690">
                  <w:marLeft w:val="900"/>
                  <w:marRight w:val="1350"/>
                  <w:marTop w:val="150"/>
                  <w:marBottom w:val="150"/>
                  <w:divBdr>
                    <w:top w:val="dotted" w:sz="6" w:space="1" w:color="BBBBBB"/>
                    <w:left w:val="none" w:sz="0" w:space="0" w:color="BBBBBB"/>
                    <w:bottom w:val="dotted" w:sz="6" w:space="1" w:color="BBBBBB"/>
                    <w:right w:val="none" w:sz="0" w:space="0" w:color="BBBBBB"/>
                  </w:divBdr>
                  <w:divsChild>
                    <w:div w:id="2133938167">
                      <w:marLeft w:val="360"/>
                      <w:marRight w:val="0"/>
                      <w:marTop w:val="45"/>
                      <w:marBottom w:val="45"/>
                      <w:divBdr>
                        <w:top w:val="none" w:sz="0" w:space="0" w:color="auto"/>
                        <w:left w:val="none" w:sz="0" w:space="0" w:color="auto"/>
                        <w:bottom w:val="none" w:sz="0" w:space="0" w:color="auto"/>
                        <w:right w:val="none" w:sz="0" w:space="0" w:color="auto"/>
                      </w:divBdr>
                    </w:div>
                    <w:div w:id="174915691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924945404">
          <w:marLeft w:val="0"/>
          <w:marRight w:val="0"/>
          <w:marTop w:val="210"/>
          <w:marBottom w:val="210"/>
          <w:divBdr>
            <w:top w:val="none" w:sz="0" w:space="0" w:color="auto"/>
            <w:left w:val="none" w:sz="0" w:space="0" w:color="auto"/>
            <w:bottom w:val="none" w:sz="0" w:space="0" w:color="auto"/>
            <w:right w:val="none" w:sz="0" w:space="0" w:color="auto"/>
          </w:divBdr>
          <w:divsChild>
            <w:div w:id="269048581">
              <w:marLeft w:val="0"/>
              <w:marRight w:val="0"/>
              <w:marTop w:val="210"/>
              <w:marBottom w:val="210"/>
              <w:divBdr>
                <w:top w:val="none" w:sz="0" w:space="0" w:color="auto"/>
                <w:left w:val="none" w:sz="0" w:space="0" w:color="auto"/>
                <w:bottom w:val="none" w:sz="0" w:space="0" w:color="auto"/>
                <w:right w:val="none" w:sz="0" w:space="0" w:color="auto"/>
              </w:divBdr>
              <w:divsChild>
                <w:div w:id="1488936797">
                  <w:marLeft w:val="900"/>
                  <w:marRight w:val="1350"/>
                  <w:marTop w:val="150"/>
                  <w:marBottom w:val="150"/>
                  <w:divBdr>
                    <w:top w:val="dotted" w:sz="6" w:space="1" w:color="BBBBBB"/>
                    <w:left w:val="none" w:sz="0" w:space="0" w:color="BBBBBB"/>
                    <w:bottom w:val="dotted" w:sz="6" w:space="1" w:color="BBBBBB"/>
                    <w:right w:val="none" w:sz="0" w:space="0" w:color="BBBBBB"/>
                  </w:divBdr>
                  <w:divsChild>
                    <w:div w:id="2085450875">
                      <w:marLeft w:val="360"/>
                      <w:marRight w:val="0"/>
                      <w:marTop w:val="45"/>
                      <w:marBottom w:val="45"/>
                      <w:divBdr>
                        <w:top w:val="none" w:sz="0" w:space="0" w:color="auto"/>
                        <w:left w:val="none" w:sz="0" w:space="0" w:color="auto"/>
                        <w:bottom w:val="none" w:sz="0" w:space="0" w:color="auto"/>
                        <w:right w:val="none" w:sz="0" w:space="0" w:color="auto"/>
                      </w:divBdr>
                    </w:div>
                    <w:div w:id="932128960">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590192568">
          <w:marLeft w:val="0"/>
          <w:marRight w:val="0"/>
          <w:marTop w:val="210"/>
          <w:marBottom w:val="210"/>
          <w:divBdr>
            <w:top w:val="none" w:sz="0" w:space="0" w:color="auto"/>
            <w:left w:val="none" w:sz="0" w:space="0" w:color="auto"/>
            <w:bottom w:val="none" w:sz="0" w:space="0" w:color="auto"/>
            <w:right w:val="none" w:sz="0" w:space="0" w:color="auto"/>
          </w:divBdr>
          <w:divsChild>
            <w:div w:id="11185979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15452933">
      <w:bodyDiv w:val="1"/>
      <w:marLeft w:val="0"/>
      <w:marRight w:val="0"/>
      <w:marTop w:val="0"/>
      <w:marBottom w:val="0"/>
      <w:divBdr>
        <w:top w:val="none" w:sz="0" w:space="0" w:color="auto"/>
        <w:left w:val="none" w:sz="0" w:space="0" w:color="auto"/>
        <w:bottom w:val="none" w:sz="0" w:space="0" w:color="auto"/>
        <w:right w:val="none" w:sz="0" w:space="0" w:color="auto"/>
      </w:divBdr>
    </w:div>
    <w:div w:id="1354650884">
      <w:bodyDiv w:val="1"/>
      <w:marLeft w:val="0"/>
      <w:marRight w:val="0"/>
      <w:marTop w:val="0"/>
      <w:marBottom w:val="0"/>
      <w:divBdr>
        <w:top w:val="none" w:sz="0" w:space="0" w:color="auto"/>
        <w:left w:val="none" w:sz="0" w:space="0" w:color="auto"/>
        <w:bottom w:val="none" w:sz="0" w:space="0" w:color="auto"/>
        <w:right w:val="none" w:sz="0" w:space="0" w:color="auto"/>
      </w:divBdr>
      <w:divsChild>
        <w:div w:id="456416842">
          <w:marLeft w:val="240"/>
          <w:marRight w:val="0"/>
          <w:marTop w:val="60"/>
          <w:marBottom w:val="60"/>
          <w:divBdr>
            <w:top w:val="none" w:sz="0" w:space="0" w:color="auto"/>
            <w:left w:val="none" w:sz="0" w:space="0" w:color="auto"/>
            <w:bottom w:val="none" w:sz="0" w:space="0" w:color="auto"/>
            <w:right w:val="none" w:sz="0" w:space="0" w:color="auto"/>
          </w:divBdr>
        </w:div>
        <w:div w:id="1058095426">
          <w:marLeft w:val="240"/>
          <w:marRight w:val="0"/>
          <w:marTop w:val="60"/>
          <w:marBottom w:val="60"/>
          <w:divBdr>
            <w:top w:val="none" w:sz="0" w:space="0" w:color="auto"/>
            <w:left w:val="none" w:sz="0" w:space="0" w:color="auto"/>
            <w:bottom w:val="none" w:sz="0" w:space="0" w:color="auto"/>
            <w:right w:val="none" w:sz="0" w:space="0" w:color="auto"/>
          </w:divBdr>
          <w:divsChild>
            <w:div w:id="224529504">
              <w:marLeft w:val="240"/>
              <w:marRight w:val="0"/>
              <w:marTop w:val="60"/>
              <w:marBottom w:val="60"/>
              <w:divBdr>
                <w:top w:val="none" w:sz="0" w:space="0" w:color="auto"/>
                <w:left w:val="none" w:sz="0" w:space="0" w:color="auto"/>
                <w:bottom w:val="none" w:sz="0" w:space="0" w:color="auto"/>
                <w:right w:val="none" w:sz="0" w:space="0" w:color="auto"/>
              </w:divBdr>
              <w:divsChild>
                <w:div w:id="1642343998">
                  <w:marLeft w:val="0"/>
                  <w:marRight w:val="0"/>
                  <w:marTop w:val="0"/>
                  <w:marBottom w:val="0"/>
                  <w:divBdr>
                    <w:top w:val="none" w:sz="0" w:space="0" w:color="auto"/>
                    <w:left w:val="none" w:sz="0" w:space="0" w:color="auto"/>
                    <w:bottom w:val="none" w:sz="0" w:space="0" w:color="auto"/>
                    <w:right w:val="none" w:sz="0" w:space="0" w:color="auto"/>
                  </w:divBdr>
                </w:div>
              </w:divsChild>
            </w:div>
            <w:div w:id="252207814">
              <w:marLeft w:val="240"/>
              <w:marRight w:val="0"/>
              <w:marTop w:val="60"/>
              <w:marBottom w:val="60"/>
              <w:divBdr>
                <w:top w:val="none" w:sz="0" w:space="0" w:color="auto"/>
                <w:left w:val="none" w:sz="0" w:space="0" w:color="auto"/>
                <w:bottom w:val="none" w:sz="0" w:space="0" w:color="auto"/>
                <w:right w:val="none" w:sz="0" w:space="0" w:color="auto"/>
              </w:divBdr>
              <w:divsChild>
                <w:div w:id="2038921001">
                  <w:marLeft w:val="0"/>
                  <w:marRight w:val="0"/>
                  <w:marTop w:val="0"/>
                  <w:marBottom w:val="0"/>
                  <w:divBdr>
                    <w:top w:val="none" w:sz="0" w:space="0" w:color="auto"/>
                    <w:left w:val="none" w:sz="0" w:space="0" w:color="auto"/>
                    <w:bottom w:val="none" w:sz="0" w:space="0" w:color="auto"/>
                    <w:right w:val="none" w:sz="0" w:space="0" w:color="auto"/>
                  </w:divBdr>
                </w:div>
              </w:divsChild>
            </w:div>
            <w:div w:id="757992202">
              <w:marLeft w:val="240"/>
              <w:marRight w:val="0"/>
              <w:marTop w:val="60"/>
              <w:marBottom w:val="60"/>
              <w:divBdr>
                <w:top w:val="none" w:sz="0" w:space="0" w:color="auto"/>
                <w:left w:val="none" w:sz="0" w:space="0" w:color="auto"/>
                <w:bottom w:val="none" w:sz="0" w:space="0" w:color="auto"/>
                <w:right w:val="none" w:sz="0" w:space="0" w:color="auto"/>
              </w:divBdr>
              <w:divsChild>
                <w:div w:id="1622300662">
                  <w:marLeft w:val="0"/>
                  <w:marRight w:val="0"/>
                  <w:marTop w:val="0"/>
                  <w:marBottom w:val="0"/>
                  <w:divBdr>
                    <w:top w:val="none" w:sz="0" w:space="0" w:color="auto"/>
                    <w:left w:val="none" w:sz="0" w:space="0" w:color="auto"/>
                    <w:bottom w:val="none" w:sz="0" w:space="0" w:color="auto"/>
                    <w:right w:val="none" w:sz="0" w:space="0" w:color="auto"/>
                  </w:divBdr>
                </w:div>
              </w:divsChild>
            </w:div>
            <w:div w:id="872184683">
              <w:marLeft w:val="240"/>
              <w:marRight w:val="0"/>
              <w:marTop w:val="60"/>
              <w:marBottom w:val="60"/>
              <w:divBdr>
                <w:top w:val="none" w:sz="0" w:space="0" w:color="auto"/>
                <w:left w:val="none" w:sz="0" w:space="0" w:color="auto"/>
                <w:bottom w:val="none" w:sz="0" w:space="0" w:color="auto"/>
                <w:right w:val="none" w:sz="0" w:space="0" w:color="auto"/>
              </w:divBdr>
              <w:divsChild>
                <w:div w:id="469174637">
                  <w:marLeft w:val="0"/>
                  <w:marRight w:val="0"/>
                  <w:marTop w:val="0"/>
                  <w:marBottom w:val="0"/>
                  <w:divBdr>
                    <w:top w:val="none" w:sz="0" w:space="0" w:color="auto"/>
                    <w:left w:val="none" w:sz="0" w:space="0" w:color="auto"/>
                    <w:bottom w:val="none" w:sz="0" w:space="0" w:color="auto"/>
                    <w:right w:val="none" w:sz="0" w:space="0" w:color="auto"/>
                  </w:divBdr>
                </w:div>
              </w:divsChild>
            </w:div>
            <w:div w:id="1138916070">
              <w:marLeft w:val="240"/>
              <w:marRight w:val="0"/>
              <w:marTop w:val="60"/>
              <w:marBottom w:val="60"/>
              <w:divBdr>
                <w:top w:val="none" w:sz="0" w:space="0" w:color="auto"/>
                <w:left w:val="none" w:sz="0" w:space="0" w:color="auto"/>
                <w:bottom w:val="none" w:sz="0" w:space="0" w:color="auto"/>
                <w:right w:val="none" w:sz="0" w:space="0" w:color="auto"/>
              </w:divBdr>
              <w:divsChild>
                <w:div w:id="1571425433">
                  <w:marLeft w:val="0"/>
                  <w:marRight w:val="0"/>
                  <w:marTop w:val="0"/>
                  <w:marBottom w:val="0"/>
                  <w:divBdr>
                    <w:top w:val="none" w:sz="0" w:space="0" w:color="auto"/>
                    <w:left w:val="none" w:sz="0" w:space="0" w:color="auto"/>
                    <w:bottom w:val="none" w:sz="0" w:space="0" w:color="auto"/>
                    <w:right w:val="none" w:sz="0" w:space="0" w:color="auto"/>
                  </w:divBdr>
                </w:div>
              </w:divsChild>
            </w:div>
            <w:div w:id="1333920929">
              <w:marLeft w:val="240"/>
              <w:marRight w:val="0"/>
              <w:marTop w:val="60"/>
              <w:marBottom w:val="60"/>
              <w:divBdr>
                <w:top w:val="none" w:sz="0" w:space="0" w:color="auto"/>
                <w:left w:val="none" w:sz="0" w:space="0" w:color="auto"/>
                <w:bottom w:val="none" w:sz="0" w:space="0" w:color="auto"/>
                <w:right w:val="none" w:sz="0" w:space="0" w:color="auto"/>
              </w:divBdr>
              <w:divsChild>
                <w:div w:id="550382437">
                  <w:marLeft w:val="0"/>
                  <w:marRight w:val="0"/>
                  <w:marTop w:val="0"/>
                  <w:marBottom w:val="0"/>
                  <w:divBdr>
                    <w:top w:val="none" w:sz="0" w:space="0" w:color="auto"/>
                    <w:left w:val="none" w:sz="0" w:space="0" w:color="auto"/>
                    <w:bottom w:val="none" w:sz="0" w:space="0" w:color="auto"/>
                    <w:right w:val="none" w:sz="0" w:space="0" w:color="auto"/>
                  </w:divBdr>
                </w:div>
              </w:divsChild>
            </w:div>
            <w:div w:id="1413161984">
              <w:marLeft w:val="240"/>
              <w:marRight w:val="0"/>
              <w:marTop w:val="60"/>
              <w:marBottom w:val="60"/>
              <w:divBdr>
                <w:top w:val="none" w:sz="0" w:space="0" w:color="auto"/>
                <w:left w:val="none" w:sz="0" w:space="0" w:color="auto"/>
                <w:bottom w:val="none" w:sz="0" w:space="0" w:color="auto"/>
                <w:right w:val="none" w:sz="0" w:space="0" w:color="auto"/>
              </w:divBdr>
              <w:divsChild>
                <w:div w:id="1274706634">
                  <w:marLeft w:val="0"/>
                  <w:marRight w:val="0"/>
                  <w:marTop w:val="0"/>
                  <w:marBottom w:val="0"/>
                  <w:divBdr>
                    <w:top w:val="none" w:sz="0" w:space="0" w:color="auto"/>
                    <w:left w:val="none" w:sz="0" w:space="0" w:color="auto"/>
                    <w:bottom w:val="none" w:sz="0" w:space="0" w:color="auto"/>
                    <w:right w:val="none" w:sz="0" w:space="0" w:color="auto"/>
                  </w:divBdr>
                </w:div>
              </w:divsChild>
            </w:div>
            <w:div w:id="1726030275">
              <w:marLeft w:val="462"/>
              <w:marRight w:val="0"/>
              <w:marTop w:val="0"/>
              <w:marBottom w:val="0"/>
              <w:divBdr>
                <w:top w:val="none" w:sz="0" w:space="0" w:color="auto"/>
                <w:left w:val="none" w:sz="0" w:space="0" w:color="auto"/>
                <w:bottom w:val="none" w:sz="0" w:space="0" w:color="auto"/>
                <w:right w:val="none" w:sz="0" w:space="0" w:color="auto"/>
              </w:divBdr>
            </w:div>
          </w:divsChild>
        </w:div>
      </w:divsChild>
    </w:div>
    <w:div w:id="1404722010">
      <w:bodyDiv w:val="1"/>
      <w:marLeft w:val="0"/>
      <w:marRight w:val="0"/>
      <w:marTop w:val="0"/>
      <w:marBottom w:val="0"/>
      <w:divBdr>
        <w:top w:val="none" w:sz="0" w:space="0" w:color="auto"/>
        <w:left w:val="none" w:sz="0" w:space="0" w:color="auto"/>
        <w:bottom w:val="none" w:sz="0" w:space="0" w:color="auto"/>
        <w:right w:val="none" w:sz="0" w:space="0" w:color="auto"/>
      </w:divBdr>
      <w:divsChild>
        <w:div w:id="1729495941">
          <w:marLeft w:val="420"/>
          <w:marRight w:val="0"/>
          <w:marTop w:val="210"/>
          <w:marBottom w:val="210"/>
          <w:divBdr>
            <w:top w:val="none" w:sz="0" w:space="0" w:color="auto"/>
            <w:left w:val="none" w:sz="0" w:space="0" w:color="auto"/>
            <w:bottom w:val="none" w:sz="0" w:space="0" w:color="auto"/>
            <w:right w:val="none" w:sz="0" w:space="0" w:color="auto"/>
          </w:divBdr>
          <w:divsChild>
            <w:div w:id="848829885">
              <w:marLeft w:val="0"/>
              <w:marRight w:val="0"/>
              <w:marTop w:val="210"/>
              <w:marBottom w:val="210"/>
              <w:divBdr>
                <w:top w:val="none" w:sz="0" w:space="0" w:color="auto"/>
                <w:left w:val="none" w:sz="0" w:space="0" w:color="auto"/>
                <w:bottom w:val="none" w:sz="0" w:space="0" w:color="auto"/>
                <w:right w:val="none" w:sz="0" w:space="0" w:color="auto"/>
              </w:divBdr>
              <w:divsChild>
                <w:div w:id="1831553771">
                  <w:marLeft w:val="0"/>
                  <w:marRight w:val="0"/>
                  <w:marTop w:val="210"/>
                  <w:marBottom w:val="210"/>
                  <w:divBdr>
                    <w:top w:val="none" w:sz="0" w:space="0" w:color="auto"/>
                    <w:left w:val="none" w:sz="0" w:space="0" w:color="auto"/>
                    <w:bottom w:val="none" w:sz="0" w:space="0" w:color="auto"/>
                    <w:right w:val="none" w:sz="0" w:space="0" w:color="auto"/>
                  </w:divBdr>
                  <w:divsChild>
                    <w:div w:id="1860970188">
                      <w:marLeft w:val="900"/>
                      <w:marRight w:val="1350"/>
                      <w:marTop w:val="150"/>
                      <w:marBottom w:val="150"/>
                      <w:divBdr>
                        <w:top w:val="dotted" w:sz="6" w:space="1" w:color="BBBBBB"/>
                        <w:left w:val="none" w:sz="0" w:space="0" w:color="BBBBBB"/>
                        <w:bottom w:val="dotted" w:sz="6" w:space="1" w:color="BBBBBB"/>
                        <w:right w:val="none" w:sz="0" w:space="0" w:color="BBBBBB"/>
                      </w:divBdr>
                      <w:divsChild>
                        <w:div w:id="36634960">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2122987412">
          <w:marLeft w:val="420"/>
          <w:marRight w:val="0"/>
          <w:marTop w:val="210"/>
          <w:marBottom w:val="210"/>
          <w:divBdr>
            <w:top w:val="none" w:sz="0" w:space="0" w:color="auto"/>
            <w:left w:val="none" w:sz="0" w:space="0" w:color="auto"/>
            <w:bottom w:val="none" w:sz="0" w:space="0" w:color="auto"/>
            <w:right w:val="none" w:sz="0" w:space="0" w:color="auto"/>
          </w:divBdr>
        </w:div>
      </w:divsChild>
    </w:div>
    <w:div w:id="1418746110">
      <w:bodyDiv w:val="1"/>
      <w:marLeft w:val="0"/>
      <w:marRight w:val="0"/>
      <w:marTop w:val="0"/>
      <w:marBottom w:val="0"/>
      <w:divBdr>
        <w:top w:val="none" w:sz="0" w:space="0" w:color="auto"/>
        <w:left w:val="none" w:sz="0" w:space="0" w:color="auto"/>
        <w:bottom w:val="none" w:sz="0" w:space="0" w:color="auto"/>
        <w:right w:val="none" w:sz="0" w:space="0" w:color="auto"/>
      </w:divBdr>
      <w:divsChild>
        <w:div w:id="1784612682">
          <w:marLeft w:val="0"/>
          <w:marRight w:val="0"/>
          <w:marTop w:val="210"/>
          <w:marBottom w:val="210"/>
          <w:divBdr>
            <w:top w:val="none" w:sz="0" w:space="0" w:color="auto"/>
            <w:left w:val="none" w:sz="0" w:space="0" w:color="auto"/>
            <w:bottom w:val="none" w:sz="0" w:space="0" w:color="auto"/>
            <w:right w:val="none" w:sz="0" w:space="0" w:color="auto"/>
          </w:divBdr>
          <w:divsChild>
            <w:div w:id="1283154430">
              <w:marLeft w:val="0"/>
              <w:marRight w:val="0"/>
              <w:marTop w:val="210"/>
              <w:marBottom w:val="210"/>
              <w:divBdr>
                <w:top w:val="none" w:sz="0" w:space="0" w:color="auto"/>
                <w:left w:val="none" w:sz="0" w:space="0" w:color="auto"/>
                <w:bottom w:val="none" w:sz="0" w:space="0" w:color="auto"/>
                <w:right w:val="none" w:sz="0" w:space="0" w:color="auto"/>
              </w:divBdr>
              <w:divsChild>
                <w:div w:id="1467043664">
                  <w:marLeft w:val="900"/>
                  <w:marRight w:val="1350"/>
                  <w:marTop w:val="150"/>
                  <w:marBottom w:val="150"/>
                  <w:divBdr>
                    <w:top w:val="dotted" w:sz="6" w:space="1" w:color="BBBBBB"/>
                    <w:left w:val="none" w:sz="0" w:space="0" w:color="BBBBBB"/>
                    <w:bottom w:val="dotted" w:sz="6" w:space="1" w:color="BBBBBB"/>
                    <w:right w:val="none" w:sz="0" w:space="0" w:color="BBBBBB"/>
                  </w:divBdr>
                  <w:divsChild>
                    <w:div w:id="110057144">
                      <w:marLeft w:val="360"/>
                      <w:marRight w:val="0"/>
                      <w:marTop w:val="45"/>
                      <w:marBottom w:val="45"/>
                      <w:divBdr>
                        <w:top w:val="none" w:sz="0" w:space="0" w:color="auto"/>
                        <w:left w:val="none" w:sz="0" w:space="0" w:color="auto"/>
                        <w:bottom w:val="none" w:sz="0" w:space="0" w:color="auto"/>
                        <w:right w:val="none" w:sz="0" w:space="0" w:color="auto"/>
                      </w:divBdr>
                    </w:div>
                    <w:div w:id="206491120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409112716">
          <w:marLeft w:val="0"/>
          <w:marRight w:val="0"/>
          <w:marTop w:val="210"/>
          <w:marBottom w:val="210"/>
          <w:divBdr>
            <w:top w:val="none" w:sz="0" w:space="0" w:color="auto"/>
            <w:left w:val="none" w:sz="0" w:space="0" w:color="auto"/>
            <w:bottom w:val="none" w:sz="0" w:space="0" w:color="auto"/>
            <w:right w:val="none" w:sz="0" w:space="0" w:color="auto"/>
          </w:divBdr>
          <w:divsChild>
            <w:div w:id="2059743925">
              <w:marLeft w:val="0"/>
              <w:marRight w:val="0"/>
              <w:marTop w:val="210"/>
              <w:marBottom w:val="210"/>
              <w:divBdr>
                <w:top w:val="none" w:sz="0" w:space="0" w:color="auto"/>
                <w:left w:val="none" w:sz="0" w:space="0" w:color="auto"/>
                <w:bottom w:val="none" w:sz="0" w:space="0" w:color="auto"/>
                <w:right w:val="none" w:sz="0" w:space="0" w:color="auto"/>
              </w:divBdr>
              <w:divsChild>
                <w:div w:id="1028023596">
                  <w:marLeft w:val="900"/>
                  <w:marRight w:val="1350"/>
                  <w:marTop w:val="150"/>
                  <w:marBottom w:val="150"/>
                  <w:divBdr>
                    <w:top w:val="dotted" w:sz="6" w:space="1" w:color="BBBBBB"/>
                    <w:left w:val="none" w:sz="0" w:space="0" w:color="BBBBBB"/>
                    <w:bottom w:val="dotted" w:sz="6" w:space="1" w:color="BBBBBB"/>
                    <w:right w:val="none" w:sz="0" w:space="0" w:color="BBBBBB"/>
                  </w:divBdr>
                  <w:divsChild>
                    <w:div w:id="465044931">
                      <w:marLeft w:val="360"/>
                      <w:marRight w:val="0"/>
                      <w:marTop w:val="45"/>
                      <w:marBottom w:val="45"/>
                      <w:divBdr>
                        <w:top w:val="none" w:sz="0" w:space="0" w:color="auto"/>
                        <w:left w:val="none" w:sz="0" w:space="0" w:color="auto"/>
                        <w:bottom w:val="none" w:sz="0" w:space="0" w:color="auto"/>
                        <w:right w:val="none" w:sz="0" w:space="0" w:color="auto"/>
                      </w:divBdr>
                    </w:div>
                    <w:div w:id="41100566">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643805710">
          <w:marLeft w:val="0"/>
          <w:marRight w:val="0"/>
          <w:marTop w:val="210"/>
          <w:marBottom w:val="210"/>
          <w:divBdr>
            <w:top w:val="none" w:sz="0" w:space="0" w:color="auto"/>
            <w:left w:val="none" w:sz="0" w:space="0" w:color="auto"/>
            <w:bottom w:val="none" w:sz="0" w:space="0" w:color="auto"/>
            <w:right w:val="none" w:sz="0" w:space="0" w:color="auto"/>
          </w:divBdr>
          <w:divsChild>
            <w:div w:id="164188664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92453638">
      <w:bodyDiv w:val="1"/>
      <w:marLeft w:val="0"/>
      <w:marRight w:val="0"/>
      <w:marTop w:val="0"/>
      <w:marBottom w:val="0"/>
      <w:divBdr>
        <w:top w:val="none" w:sz="0" w:space="0" w:color="auto"/>
        <w:left w:val="none" w:sz="0" w:space="0" w:color="auto"/>
        <w:bottom w:val="none" w:sz="0" w:space="0" w:color="auto"/>
        <w:right w:val="none" w:sz="0" w:space="0" w:color="auto"/>
      </w:divBdr>
      <w:divsChild>
        <w:div w:id="384179048">
          <w:marLeft w:val="0"/>
          <w:marRight w:val="0"/>
          <w:marTop w:val="210"/>
          <w:marBottom w:val="210"/>
          <w:divBdr>
            <w:top w:val="none" w:sz="0" w:space="0" w:color="auto"/>
            <w:left w:val="none" w:sz="0" w:space="0" w:color="auto"/>
            <w:bottom w:val="none" w:sz="0" w:space="0" w:color="auto"/>
            <w:right w:val="none" w:sz="0" w:space="0" w:color="auto"/>
          </w:divBdr>
          <w:divsChild>
            <w:div w:id="1478954919">
              <w:marLeft w:val="0"/>
              <w:marRight w:val="0"/>
              <w:marTop w:val="210"/>
              <w:marBottom w:val="210"/>
              <w:divBdr>
                <w:top w:val="none" w:sz="0" w:space="0" w:color="auto"/>
                <w:left w:val="none" w:sz="0" w:space="0" w:color="auto"/>
                <w:bottom w:val="none" w:sz="0" w:space="0" w:color="auto"/>
                <w:right w:val="none" w:sz="0" w:space="0" w:color="auto"/>
              </w:divBdr>
              <w:divsChild>
                <w:div w:id="1963998291">
                  <w:marLeft w:val="900"/>
                  <w:marRight w:val="1350"/>
                  <w:marTop w:val="150"/>
                  <w:marBottom w:val="150"/>
                  <w:divBdr>
                    <w:top w:val="dotted" w:sz="6" w:space="1" w:color="BBBBBB"/>
                    <w:left w:val="none" w:sz="0" w:space="0" w:color="BBBBBB"/>
                    <w:bottom w:val="dotted" w:sz="6" w:space="1" w:color="BBBBBB"/>
                    <w:right w:val="none" w:sz="0" w:space="0" w:color="BBBBBB"/>
                  </w:divBdr>
                  <w:divsChild>
                    <w:div w:id="1256862859">
                      <w:marLeft w:val="360"/>
                      <w:marRight w:val="0"/>
                      <w:marTop w:val="45"/>
                      <w:marBottom w:val="45"/>
                      <w:divBdr>
                        <w:top w:val="none" w:sz="0" w:space="0" w:color="auto"/>
                        <w:left w:val="none" w:sz="0" w:space="0" w:color="auto"/>
                        <w:bottom w:val="none" w:sz="0" w:space="0" w:color="auto"/>
                        <w:right w:val="none" w:sz="0" w:space="0" w:color="auto"/>
                      </w:divBdr>
                    </w:div>
                    <w:div w:id="1118523804">
                      <w:marLeft w:val="360"/>
                      <w:marRight w:val="0"/>
                      <w:marTop w:val="45"/>
                      <w:marBottom w:val="45"/>
                      <w:divBdr>
                        <w:top w:val="none" w:sz="0" w:space="0" w:color="auto"/>
                        <w:left w:val="none" w:sz="0" w:space="0" w:color="auto"/>
                        <w:bottom w:val="none" w:sz="0" w:space="0" w:color="auto"/>
                        <w:right w:val="none" w:sz="0" w:space="0" w:color="auto"/>
                      </w:divBdr>
                    </w:div>
                    <w:div w:id="1988048339">
                      <w:marLeft w:val="360"/>
                      <w:marRight w:val="0"/>
                      <w:marTop w:val="45"/>
                      <w:marBottom w:val="45"/>
                      <w:divBdr>
                        <w:top w:val="none" w:sz="0" w:space="0" w:color="auto"/>
                        <w:left w:val="none" w:sz="0" w:space="0" w:color="auto"/>
                        <w:bottom w:val="none" w:sz="0" w:space="0" w:color="auto"/>
                        <w:right w:val="none" w:sz="0" w:space="0" w:color="auto"/>
                      </w:divBdr>
                    </w:div>
                    <w:div w:id="2145544099">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37978357">
          <w:marLeft w:val="0"/>
          <w:marRight w:val="0"/>
          <w:marTop w:val="210"/>
          <w:marBottom w:val="210"/>
          <w:divBdr>
            <w:top w:val="none" w:sz="0" w:space="0" w:color="auto"/>
            <w:left w:val="none" w:sz="0" w:space="0" w:color="auto"/>
            <w:bottom w:val="none" w:sz="0" w:space="0" w:color="auto"/>
            <w:right w:val="none" w:sz="0" w:space="0" w:color="auto"/>
          </w:divBdr>
          <w:divsChild>
            <w:div w:id="16758402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25248510">
      <w:bodyDiv w:val="1"/>
      <w:marLeft w:val="0"/>
      <w:marRight w:val="0"/>
      <w:marTop w:val="0"/>
      <w:marBottom w:val="0"/>
      <w:divBdr>
        <w:top w:val="none" w:sz="0" w:space="0" w:color="auto"/>
        <w:left w:val="none" w:sz="0" w:space="0" w:color="auto"/>
        <w:bottom w:val="none" w:sz="0" w:space="0" w:color="auto"/>
        <w:right w:val="none" w:sz="0" w:space="0" w:color="auto"/>
      </w:divBdr>
      <w:divsChild>
        <w:div w:id="676688885">
          <w:marLeft w:val="240"/>
          <w:marRight w:val="0"/>
          <w:marTop w:val="60"/>
          <w:marBottom w:val="60"/>
          <w:divBdr>
            <w:top w:val="none" w:sz="0" w:space="0" w:color="auto"/>
            <w:left w:val="none" w:sz="0" w:space="0" w:color="auto"/>
            <w:bottom w:val="none" w:sz="0" w:space="0" w:color="auto"/>
            <w:right w:val="none" w:sz="0" w:space="0" w:color="auto"/>
          </w:divBdr>
          <w:divsChild>
            <w:div w:id="1842742123">
              <w:marLeft w:val="0"/>
              <w:marRight w:val="0"/>
              <w:marTop w:val="0"/>
              <w:marBottom w:val="0"/>
              <w:divBdr>
                <w:top w:val="none" w:sz="0" w:space="0" w:color="auto"/>
                <w:left w:val="none" w:sz="0" w:space="0" w:color="auto"/>
                <w:bottom w:val="none" w:sz="0" w:space="0" w:color="auto"/>
                <w:right w:val="none" w:sz="0" w:space="0" w:color="auto"/>
              </w:divBdr>
            </w:div>
          </w:divsChild>
        </w:div>
        <w:div w:id="1322343272">
          <w:marLeft w:val="240"/>
          <w:marRight w:val="0"/>
          <w:marTop w:val="60"/>
          <w:marBottom w:val="60"/>
          <w:divBdr>
            <w:top w:val="none" w:sz="0" w:space="0" w:color="auto"/>
            <w:left w:val="none" w:sz="0" w:space="0" w:color="auto"/>
            <w:bottom w:val="none" w:sz="0" w:space="0" w:color="auto"/>
            <w:right w:val="none" w:sz="0" w:space="0" w:color="auto"/>
          </w:divBdr>
          <w:divsChild>
            <w:div w:id="1652632746">
              <w:marLeft w:val="240"/>
              <w:marRight w:val="0"/>
              <w:marTop w:val="60"/>
              <w:marBottom w:val="60"/>
              <w:divBdr>
                <w:top w:val="none" w:sz="0" w:space="0" w:color="auto"/>
                <w:left w:val="none" w:sz="0" w:space="0" w:color="auto"/>
                <w:bottom w:val="none" w:sz="0" w:space="0" w:color="auto"/>
                <w:right w:val="none" w:sz="0" w:space="0" w:color="auto"/>
              </w:divBdr>
              <w:divsChild>
                <w:div w:id="564150072">
                  <w:marLeft w:val="0"/>
                  <w:marRight w:val="0"/>
                  <w:marTop w:val="0"/>
                  <w:marBottom w:val="0"/>
                  <w:divBdr>
                    <w:top w:val="none" w:sz="0" w:space="0" w:color="auto"/>
                    <w:left w:val="none" w:sz="0" w:space="0" w:color="auto"/>
                    <w:bottom w:val="none" w:sz="0" w:space="0" w:color="auto"/>
                    <w:right w:val="none" w:sz="0" w:space="0" w:color="auto"/>
                  </w:divBdr>
                </w:div>
              </w:divsChild>
            </w:div>
            <w:div w:id="369719723">
              <w:marLeft w:val="240"/>
              <w:marRight w:val="0"/>
              <w:marTop w:val="60"/>
              <w:marBottom w:val="60"/>
              <w:divBdr>
                <w:top w:val="none" w:sz="0" w:space="0" w:color="auto"/>
                <w:left w:val="none" w:sz="0" w:space="0" w:color="auto"/>
                <w:bottom w:val="none" w:sz="0" w:space="0" w:color="auto"/>
                <w:right w:val="none" w:sz="0" w:space="0" w:color="auto"/>
              </w:divBdr>
              <w:divsChild>
                <w:div w:id="3441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9852">
      <w:bodyDiv w:val="1"/>
      <w:marLeft w:val="0"/>
      <w:marRight w:val="0"/>
      <w:marTop w:val="0"/>
      <w:marBottom w:val="0"/>
      <w:divBdr>
        <w:top w:val="none" w:sz="0" w:space="0" w:color="auto"/>
        <w:left w:val="none" w:sz="0" w:space="0" w:color="auto"/>
        <w:bottom w:val="none" w:sz="0" w:space="0" w:color="auto"/>
        <w:right w:val="none" w:sz="0" w:space="0" w:color="auto"/>
      </w:divBdr>
      <w:divsChild>
        <w:div w:id="28990520">
          <w:marLeft w:val="420"/>
          <w:marRight w:val="0"/>
          <w:marTop w:val="210"/>
          <w:marBottom w:val="210"/>
          <w:divBdr>
            <w:top w:val="none" w:sz="0" w:space="0" w:color="auto"/>
            <w:left w:val="none" w:sz="0" w:space="0" w:color="auto"/>
            <w:bottom w:val="none" w:sz="0" w:space="0" w:color="auto"/>
            <w:right w:val="none" w:sz="0" w:space="0" w:color="auto"/>
          </w:divBdr>
          <w:divsChild>
            <w:div w:id="1211765321">
              <w:marLeft w:val="0"/>
              <w:marRight w:val="0"/>
              <w:marTop w:val="210"/>
              <w:marBottom w:val="210"/>
              <w:divBdr>
                <w:top w:val="none" w:sz="0" w:space="0" w:color="auto"/>
                <w:left w:val="none" w:sz="0" w:space="0" w:color="auto"/>
                <w:bottom w:val="none" w:sz="0" w:space="0" w:color="auto"/>
                <w:right w:val="none" w:sz="0" w:space="0" w:color="auto"/>
              </w:divBdr>
            </w:div>
          </w:divsChild>
        </w:div>
        <w:div w:id="121464898">
          <w:marLeft w:val="420"/>
          <w:marRight w:val="0"/>
          <w:marTop w:val="210"/>
          <w:marBottom w:val="210"/>
          <w:divBdr>
            <w:top w:val="none" w:sz="0" w:space="0" w:color="auto"/>
            <w:left w:val="none" w:sz="0" w:space="0" w:color="auto"/>
            <w:bottom w:val="none" w:sz="0" w:space="0" w:color="auto"/>
            <w:right w:val="none" w:sz="0" w:space="0" w:color="auto"/>
          </w:divBdr>
          <w:divsChild>
            <w:div w:id="1671177712">
              <w:marLeft w:val="0"/>
              <w:marRight w:val="0"/>
              <w:marTop w:val="210"/>
              <w:marBottom w:val="210"/>
              <w:divBdr>
                <w:top w:val="none" w:sz="0" w:space="0" w:color="auto"/>
                <w:left w:val="none" w:sz="0" w:space="0" w:color="auto"/>
                <w:bottom w:val="none" w:sz="0" w:space="0" w:color="auto"/>
                <w:right w:val="none" w:sz="0" w:space="0" w:color="auto"/>
              </w:divBdr>
            </w:div>
          </w:divsChild>
        </w:div>
        <w:div w:id="541329709">
          <w:marLeft w:val="420"/>
          <w:marRight w:val="0"/>
          <w:marTop w:val="210"/>
          <w:marBottom w:val="210"/>
          <w:divBdr>
            <w:top w:val="none" w:sz="0" w:space="0" w:color="auto"/>
            <w:left w:val="none" w:sz="0" w:space="0" w:color="auto"/>
            <w:bottom w:val="none" w:sz="0" w:space="0" w:color="auto"/>
            <w:right w:val="none" w:sz="0" w:space="0" w:color="auto"/>
          </w:divBdr>
          <w:divsChild>
            <w:div w:id="2058821148">
              <w:marLeft w:val="0"/>
              <w:marRight w:val="0"/>
              <w:marTop w:val="210"/>
              <w:marBottom w:val="210"/>
              <w:divBdr>
                <w:top w:val="none" w:sz="0" w:space="0" w:color="auto"/>
                <w:left w:val="none" w:sz="0" w:space="0" w:color="auto"/>
                <w:bottom w:val="none" w:sz="0" w:space="0" w:color="auto"/>
                <w:right w:val="none" w:sz="0" w:space="0" w:color="auto"/>
              </w:divBdr>
            </w:div>
          </w:divsChild>
        </w:div>
        <w:div w:id="994525405">
          <w:marLeft w:val="420"/>
          <w:marRight w:val="0"/>
          <w:marTop w:val="210"/>
          <w:marBottom w:val="210"/>
          <w:divBdr>
            <w:top w:val="none" w:sz="0" w:space="0" w:color="auto"/>
            <w:left w:val="none" w:sz="0" w:space="0" w:color="auto"/>
            <w:bottom w:val="none" w:sz="0" w:space="0" w:color="auto"/>
            <w:right w:val="none" w:sz="0" w:space="0" w:color="auto"/>
          </w:divBdr>
          <w:divsChild>
            <w:div w:id="1217543127">
              <w:marLeft w:val="0"/>
              <w:marRight w:val="0"/>
              <w:marTop w:val="210"/>
              <w:marBottom w:val="210"/>
              <w:divBdr>
                <w:top w:val="none" w:sz="0" w:space="0" w:color="auto"/>
                <w:left w:val="none" w:sz="0" w:space="0" w:color="auto"/>
                <w:bottom w:val="none" w:sz="0" w:space="0" w:color="auto"/>
                <w:right w:val="none" w:sz="0" w:space="0" w:color="auto"/>
              </w:divBdr>
            </w:div>
          </w:divsChild>
        </w:div>
        <w:div w:id="1429157263">
          <w:marLeft w:val="420"/>
          <w:marRight w:val="0"/>
          <w:marTop w:val="210"/>
          <w:marBottom w:val="210"/>
          <w:divBdr>
            <w:top w:val="none" w:sz="0" w:space="0" w:color="auto"/>
            <w:left w:val="none" w:sz="0" w:space="0" w:color="auto"/>
            <w:bottom w:val="none" w:sz="0" w:space="0" w:color="auto"/>
            <w:right w:val="none" w:sz="0" w:space="0" w:color="auto"/>
          </w:divBdr>
          <w:divsChild>
            <w:div w:id="216822918">
              <w:marLeft w:val="0"/>
              <w:marRight w:val="0"/>
              <w:marTop w:val="210"/>
              <w:marBottom w:val="210"/>
              <w:divBdr>
                <w:top w:val="none" w:sz="0" w:space="0" w:color="auto"/>
                <w:left w:val="none" w:sz="0" w:space="0" w:color="auto"/>
                <w:bottom w:val="none" w:sz="0" w:space="0" w:color="auto"/>
                <w:right w:val="none" w:sz="0" w:space="0" w:color="auto"/>
              </w:divBdr>
            </w:div>
          </w:divsChild>
        </w:div>
        <w:div w:id="1507136737">
          <w:marLeft w:val="420"/>
          <w:marRight w:val="0"/>
          <w:marTop w:val="210"/>
          <w:marBottom w:val="210"/>
          <w:divBdr>
            <w:top w:val="none" w:sz="0" w:space="0" w:color="auto"/>
            <w:left w:val="none" w:sz="0" w:space="0" w:color="auto"/>
            <w:bottom w:val="none" w:sz="0" w:space="0" w:color="auto"/>
            <w:right w:val="none" w:sz="0" w:space="0" w:color="auto"/>
          </w:divBdr>
          <w:divsChild>
            <w:div w:id="1089814108">
              <w:marLeft w:val="0"/>
              <w:marRight w:val="0"/>
              <w:marTop w:val="210"/>
              <w:marBottom w:val="210"/>
              <w:divBdr>
                <w:top w:val="none" w:sz="0" w:space="0" w:color="auto"/>
                <w:left w:val="none" w:sz="0" w:space="0" w:color="auto"/>
                <w:bottom w:val="none" w:sz="0" w:space="0" w:color="auto"/>
                <w:right w:val="none" w:sz="0" w:space="0" w:color="auto"/>
              </w:divBdr>
            </w:div>
          </w:divsChild>
        </w:div>
        <w:div w:id="1611080932">
          <w:marLeft w:val="420"/>
          <w:marRight w:val="0"/>
          <w:marTop w:val="210"/>
          <w:marBottom w:val="210"/>
          <w:divBdr>
            <w:top w:val="none" w:sz="0" w:space="0" w:color="auto"/>
            <w:left w:val="none" w:sz="0" w:space="0" w:color="auto"/>
            <w:bottom w:val="none" w:sz="0" w:space="0" w:color="auto"/>
            <w:right w:val="none" w:sz="0" w:space="0" w:color="auto"/>
          </w:divBdr>
          <w:divsChild>
            <w:div w:id="1540045750">
              <w:marLeft w:val="0"/>
              <w:marRight w:val="0"/>
              <w:marTop w:val="210"/>
              <w:marBottom w:val="210"/>
              <w:divBdr>
                <w:top w:val="none" w:sz="0" w:space="0" w:color="auto"/>
                <w:left w:val="none" w:sz="0" w:space="0" w:color="auto"/>
                <w:bottom w:val="none" w:sz="0" w:space="0" w:color="auto"/>
                <w:right w:val="none" w:sz="0" w:space="0" w:color="auto"/>
              </w:divBdr>
            </w:div>
          </w:divsChild>
        </w:div>
        <w:div w:id="1684824584">
          <w:marLeft w:val="420"/>
          <w:marRight w:val="0"/>
          <w:marTop w:val="210"/>
          <w:marBottom w:val="210"/>
          <w:divBdr>
            <w:top w:val="none" w:sz="0" w:space="0" w:color="auto"/>
            <w:left w:val="none" w:sz="0" w:space="0" w:color="auto"/>
            <w:bottom w:val="none" w:sz="0" w:space="0" w:color="auto"/>
            <w:right w:val="none" w:sz="0" w:space="0" w:color="auto"/>
          </w:divBdr>
          <w:divsChild>
            <w:div w:id="1696997447">
              <w:marLeft w:val="0"/>
              <w:marRight w:val="0"/>
              <w:marTop w:val="210"/>
              <w:marBottom w:val="210"/>
              <w:divBdr>
                <w:top w:val="none" w:sz="0" w:space="0" w:color="auto"/>
                <w:left w:val="none" w:sz="0" w:space="0" w:color="auto"/>
                <w:bottom w:val="none" w:sz="0" w:space="0" w:color="auto"/>
                <w:right w:val="none" w:sz="0" w:space="0" w:color="auto"/>
              </w:divBdr>
            </w:div>
          </w:divsChild>
        </w:div>
        <w:div w:id="1712800955">
          <w:marLeft w:val="420"/>
          <w:marRight w:val="0"/>
          <w:marTop w:val="210"/>
          <w:marBottom w:val="210"/>
          <w:divBdr>
            <w:top w:val="none" w:sz="0" w:space="0" w:color="auto"/>
            <w:left w:val="none" w:sz="0" w:space="0" w:color="auto"/>
            <w:bottom w:val="none" w:sz="0" w:space="0" w:color="auto"/>
            <w:right w:val="none" w:sz="0" w:space="0" w:color="auto"/>
          </w:divBdr>
          <w:divsChild>
            <w:div w:id="2025933568">
              <w:marLeft w:val="0"/>
              <w:marRight w:val="0"/>
              <w:marTop w:val="210"/>
              <w:marBottom w:val="210"/>
              <w:divBdr>
                <w:top w:val="none" w:sz="0" w:space="0" w:color="auto"/>
                <w:left w:val="none" w:sz="0" w:space="0" w:color="auto"/>
                <w:bottom w:val="none" w:sz="0" w:space="0" w:color="auto"/>
                <w:right w:val="none" w:sz="0" w:space="0" w:color="auto"/>
              </w:divBdr>
            </w:div>
          </w:divsChild>
        </w:div>
        <w:div w:id="2037924760">
          <w:marLeft w:val="420"/>
          <w:marRight w:val="0"/>
          <w:marTop w:val="210"/>
          <w:marBottom w:val="210"/>
          <w:divBdr>
            <w:top w:val="none" w:sz="0" w:space="0" w:color="auto"/>
            <w:left w:val="none" w:sz="0" w:space="0" w:color="auto"/>
            <w:bottom w:val="none" w:sz="0" w:space="0" w:color="auto"/>
            <w:right w:val="none" w:sz="0" w:space="0" w:color="auto"/>
          </w:divBdr>
          <w:divsChild>
            <w:div w:id="16433901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93272151">
      <w:bodyDiv w:val="1"/>
      <w:marLeft w:val="0"/>
      <w:marRight w:val="0"/>
      <w:marTop w:val="0"/>
      <w:marBottom w:val="0"/>
      <w:divBdr>
        <w:top w:val="none" w:sz="0" w:space="0" w:color="auto"/>
        <w:left w:val="none" w:sz="0" w:space="0" w:color="auto"/>
        <w:bottom w:val="none" w:sz="0" w:space="0" w:color="auto"/>
        <w:right w:val="none" w:sz="0" w:space="0" w:color="auto"/>
      </w:divBdr>
    </w:div>
    <w:div w:id="1693871220">
      <w:bodyDiv w:val="1"/>
      <w:marLeft w:val="0"/>
      <w:marRight w:val="0"/>
      <w:marTop w:val="0"/>
      <w:marBottom w:val="0"/>
      <w:divBdr>
        <w:top w:val="none" w:sz="0" w:space="0" w:color="auto"/>
        <w:left w:val="none" w:sz="0" w:space="0" w:color="auto"/>
        <w:bottom w:val="none" w:sz="0" w:space="0" w:color="auto"/>
        <w:right w:val="none" w:sz="0" w:space="0" w:color="auto"/>
      </w:divBdr>
    </w:div>
    <w:div w:id="1794857875">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9">
          <w:marLeft w:val="0"/>
          <w:marRight w:val="0"/>
          <w:marTop w:val="0"/>
          <w:marBottom w:val="150"/>
          <w:divBdr>
            <w:top w:val="none" w:sz="0" w:space="0" w:color="auto"/>
            <w:left w:val="none" w:sz="0" w:space="0" w:color="auto"/>
            <w:bottom w:val="none" w:sz="0" w:space="0" w:color="auto"/>
            <w:right w:val="none" w:sz="0" w:space="0" w:color="auto"/>
          </w:divBdr>
          <w:divsChild>
            <w:div w:id="1873571192">
              <w:marLeft w:val="0"/>
              <w:marRight w:val="0"/>
              <w:marTop w:val="0"/>
              <w:marBottom w:val="0"/>
              <w:divBdr>
                <w:top w:val="none" w:sz="0" w:space="0" w:color="auto"/>
                <w:left w:val="none" w:sz="0" w:space="0" w:color="auto"/>
                <w:bottom w:val="none" w:sz="0" w:space="0" w:color="auto"/>
                <w:right w:val="none" w:sz="0" w:space="0" w:color="auto"/>
              </w:divBdr>
            </w:div>
          </w:divsChild>
        </w:div>
        <w:div w:id="1474905823">
          <w:marLeft w:val="0"/>
          <w:marRight w:val="0"/>
          <w:marTop w:val="0"/>
          <w:marBottom w:val="0"/>
          <w:divBdr>
            <w:top w:val="none" w:sz="0" w:space="0" w:color="auto"/>
            <w:left w:val="none" w:sz="0" w:space="0" w:color="auto"/>
            <w:bottom w:val="none" w:sz="0" w:space="0" w:color="auto"/>
            <w:right w:val="none" w:sz="0" w:space="0" w:color="auto"/>
          </w:divBdr>
          <w:divsChild>
            <w:div w:id="11544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386">
      <w:bodyDiv w:val="1"/>
      <w:marLeft w:val="0"/>
      <w:marRight w:val="0"/>
      <w:marTop w:val="0"/>
      <w:marBottom w:val="0"/>
      <w:divBdr>
        <w:top w:val="none" w:sz="0" w:space="0" w:color="auto"/>
        <w:left w:val="none" w:sz="0" w:space="0" w:color="auto"/>
        <w:bottom w:val="none" w:sz="0" w:space="0" w:color="auto"/>
        <w:right w:val="none" w:sz="0" w:space="0" w:color="auto"/>
      </w:divBdr>
      <w:divsChild>
        <w:div w:id="1904214993">
          <w:marLeft w:val="600"/>
          <w:marRight w:val="0"/>
          <w:marTop w:val="264"/>
          <w:marBottom w:val="264"/>
          <w:divBdr>
            <w:top w:val="none" w:sz="0" w:space="0" w:color="auto"/>
            <w:left w:val="none" w:sz="0" w:space="0" w:color="auto"/>
            <w:bottom w:val="none" w:sz="0" w:space="0" w:color="auto"/>
            <w:right w:val="none" w:sz="0" w:space="0" w:color="auto"/>
          </w:divBdr>
        </w:div>
      </w:divsChild>
    </w:div>
    <w:div w:id="1951467698">
      <w:bodyDiv w:val="1"/>
      <w:marLeft w:val="0"/>
      <w:marRight w:val="0"/>
      <w:marTop w:val="0"/>
      <w:marBottom w:val="0"/>
      <w:divBdr>
        <w:top w:val="none" w:sz="0" w:space="0" w:color="auto"/>
        <w:left w:val="none" w:sz="0" w:space="0" w:color="auto"/>
        <w:bottom w:val="none" w:sz="0" w:space="0" w:color="auto"/>
        <w:right w:val="none" w:sz="0" w:space="0" w:color="auto"/>
      </w:divBdr>
      <w:divsChild>
        <w:div w:id="1815638720">
          <w:marLeft w:val="0"/>
          <w:marRight w:val="0"/>
          <w:marTop w:val="210"/>
          <w:marBottom w:val="210"/>
          <w:divBdr>
            <w:top w:val="none" w:sz="0" w:space="0" w:color="auto"/>
            <w:left w:val="none" w:sz="0" w:space="0" w:color="auto"/>
            <w:bottom w:val="none" w:sz="0" w:space="0" w:color="auto"/>
            <w:right w:val="none" w:sz="0" w:space="0" w:color="auto"/>
          </w:divBdr>
          <w:divsChild>
            <w:div w:id="259028206">
              <w:marLeft w:val="0"/>
              <w:marRight w:val="0"/>
              <w:marTop w:val="210"/>
              <w:marBottom w:val="210"/>
              <w:divBdr>
                <w:top w:val="none" w:sz="0" w:space="0" w:color="auto"/>
                <w:left w:val="none" w:sz="0" w:space="0" w:color="auto"/>
                <w:bottom w:val="none" w:sz="0" w:space="0" w:color="auto"/>
                <w:right w:val="none" w:sz="0" w:space="0" w:color="auto"/>
              </w:divBdr>
              <w:divsChild>
                <w:div w:id="525992090">
                  <w:marLeft w:val="900"/>
                  <w:marRight w:val="1350"/>
                  <w:marTop w:val="150"/>
                  <w:marBottom w:val="150"/>
                  <w:divBdr>
                    <w:top w:val="dotted" w:sz="6" w:space="1" w:color="BBBBBB"/>
                    <w:left w:val="none" w:sz="0" w:space="0" w:color="BBBBBB"/>
                    <w:bottom w:val="dotted" w:sz="6" w:space="1" w:color="BBBBBB"/>
                    <w:right w:val="none" w:sz="0" w:space="0" w:color="BBBBBB"/>
                  </w:divBdr>
                  <w:divsChild>
                    <w:div w:id="619800810">
                      <w:marLeft w:val="360"/>
                      <w:marRight w:val="0"/>
                      <w:marTop w:val="45"/>
                      <w:marBottom w:val="45"/>
                      <w:divBdr>
                        <w:top w:val="none" w:sz="0" w:space="0" w:color="auto"/>
                        <w:left w:val="none" w:sz="0" w:space="0" w:color="auto"/>
                        <w:bottom w:val="none" w:sz="0" w:space="0" w:color="auto"/>
                        <w:right w:val="none" w:sz="0" w:space="0" w:color="auto"/>
                      </w:divBdr>
                    </w:div>
                    <w:div w:id="2112702368">
                      <w:marLeft w:val="360"/>
                      <w:marRight w:val="0"/>
                      <w:marTop w:val="45"/>
                      <w:marBottom w:val="45"/>
                      <w:divBdr>
                        <w:top w:val="none" w:sz="0" w:space="0" w:color="auto"/>
                        <w:left w:val="none" w:sz="0" w:space="0" w:color="auto"/>
                        <w:bottom w:val="none" w:sz="0" w:space="0" w:color="auto"/>
                        <w:right w:val="none" w:sz="0" w:space="0" w:color="auto"/>
                      </w:divBdr>
                    </w:div>
                    <w:div w:id="1624965797">
                      <w:marLeft w:val="360"/>
                      <w:marRight w:val="0"/>
                      <w:marTop w:val="45"/>
                      <w:marBottom w:val="45"/>
                      <w:divBdr>
                        <w:top w:val="none" w:sz="0" w:space="0" w:color="auto"/>
                        <w:left w:val="none" w:sz="0" w:space="0" w:color="auto"/>
                        <w:bottom w:val="none" w:sz="0" w:space="0" w:color="auto"/>
                        <w:right w:val="none" w:sz="0" w:space="0" w:color="auto"/>
                      </w:divBdr>
                    </w:div>
                    <w:div w:id="2147047958">
                      <w:marLeft w:val="36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038313025">
          <w:marLeft w:val="0"/>
          <w:marRight w:val="0"/>
          <w:marTop w:val="210"/>
          <w:marBottom w:val="210"/>
          <w:divBdr>
            <w:top w:val="none" w:sz="0" w:space="0" w:color="auto"/>
            <w:left w:val="none" w:sz="0" w:space="0" w:color="auto"/>
            <w:bottom w:val="none" w:sz="0" w:space="0" w:color="auto"/>
            <w:right w:val="none" w:sz="0" w:space="0" w:color="auto"/>
          </w:divBdr>
          <w:divsChild>
            <w:div w:id="16221028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80401731">
      <w:bodyDiv w:val="1"/>
      <w:marLeft w:val="0"/>
      <w:marRight w:val="0"/>
      <w:marTop w:val="0"/>
      <w:marBottom w:val="0"/>
      <w:divBdr>
        <w:top w:val="none" w:sz="0" w:space="0" w:color="auto"/>
        <w:left w:val="none" w:sz="0" w:space="0" w:color="auto"/>
        <w:bottom w:val="none" w:sz="0" w:space="0" w:color="auto"/>
        <w:right w:val="none" w:sz="0" w:space="0" w:color="auto"/>
      </w:divBdr>
      <w:divsChild>
        <w:div w:id="195000495">
          <w:marLeft w:val="0"/>
          <w:marRight w:val="0"/>
          <w:marTop w:val="0"/>
          <w:marBottom w:val="0"/>
          <w:divBdr>
            <w:top w:val="none" w:sz="0" w:space="0" w:color="auto"/>
            <w:left w:val="none" w:sz="0" w:space="0" w:color="auto"/>
            <w:bottom w:val="none" w:sz="0" w:space="0" w:color="auto"/>
            <w:right w:val="none" w:sz="0" w:space="0" w:color="auto"/>
          </w:divBdr>
        </w:div>
        <w:div w:id="2592164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customXml" Target="ink/ink4.xml"/><Relationship Id="rId34" Type="http://schemas.openxmlformats.org/officeDocument/2006/relationships/image" Target="media/image18.sv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svg"/><Relationship Id="rId37" Type="http://schemas.openxmlformats.org/officeDocument/2006/relationships/image" Target="media/image19.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customXml" Target="ink/ink8.xml"/><Relationship Id="rId36" Type="http://schemas.openxmlformats.org/officeDocument/2006/relationships/hyperlink" Target="https://www.irs.gov/statistics/soi-tax-stats-partnership-statistics" TargetMode="External"/><Relationship Id="rId10" Type="http://schemas.openxmlformats.org/officeDocument/2006/relationships/image" Target="media/image2.png"/><Relationship Id="rId19" Type="http://schemas.openxmlformats.org/officeDocument/2006/relationships/customXml" Target="ink/ink3.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mailto:hhecht@mtc.gov"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ustomXml" Target="ink/ink7.xml"/><Relationship Id="rId30" Type="http://schemas.openxmlformats.org/officeDocument/2006/relationships/image" Target="media/image14.png"/><Relationship Id="rId35" Type="http://schemas.openxmlformats.org/officeDocument/2006/relationships/hyperlink" Target="https://www.mtc.gov/uniformity/project-on-state-taxation-of-partnerships/" TargetMode="Externa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customXml" Target="ink/ink6.xml"/><Relationship Id="rId33" Type="http://schemas.openxmlformats.org/officeDocument/2006/relationships/image" Target="media/image17.png"/><Relationship Id="rId38" Type="http://schemas.openxmlformats.org/officeDocument/2006/relationships/image" Target="media/image20.em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uniformlaws.org/viewdocument/enactment-kit-73?CommunityKey=52456941-7883-47a5-91b6-d2f086d0bb44&amp;tab=librarydocuments" TargetMode="External"/><Relationship Id="rId1" Type="http://schemas.openxmlformats.org/officeDocument/2006/relationships/hyperlink" Target="https://www.mtc.gov/Uniformity/Project-Teams/Partnership-Ta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5.36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13 0,'-2'0,"-1"0</inkml:trace>
  <inkml:trace contextRef="#ctx0" brushRef="#br0" timeOffset="600.27">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4.23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80 146,'0'0</inkml:trace>
  <inkml:trace contextRef="#ctx0" brushRef="#br0" timeOffset="419.28">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3.59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12,'0'0</inkml:trace>
  <inkml:trace contextRef="#ctx0" brushRef="#br0" timeOffset="200.43">1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6.68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3.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6 1,'-2'0,"-1"0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1.61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315.86">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20.5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3.13">1 1,'0'0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15:07:19.5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6 1,'0'2,"0"3,-2 1,-1-1</inkml:trace>
</inkml:ink>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22998</Words>
  <Characters>131094</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153785</CharactersWithSpaces>
  <SharedDoc>false</SharedDoc>
  <HLinks>
    <vt:vector size="426" baseType="variant">
      <vt:variant>
        <vt:i4>2097270</vt:i4>
      </vt:variant>
      <vt:variant>
        <vt:i4>399</vt:i4>
      </vt:variant>
      <vt:variant>
        <vt:i4>0</vt:i4>
      </vt:variant>
      <vt:variant>
        <vt:i4>5</vt:i4>
      </vt:variant>
      <vt:variant>
        <vt:lpwstr>https://www.irs.gov/statistics/soi-tax-stats-partnership-statistics</vt:lpwstr>
      </vt:variant>
      <vt:variant>
        <vt:lpwstr/>
      </vt:variant>
      <vt:variant>
        <vt:i4>5898317</vt:i4>
      </vt:variant>
      <vt:variant>
        <vt:i4>396</vt:i4>
      </vt:variant>
      <vt:variant>
        <vt:i4>0</vt:i4>
      </vt:variant>
      <vt:variant>
        <vt:i4>5</vt:i4>
      </vt:variant>
      <vt:variant>
        <vt:lpwstr>https://www.mtc.gov/Uniformity/Project-Teams/Partnership-Tax</vt:lpwstr>
      </vt:variant>
      <vt:variant>
        <vt:lpwstr/>
      </vt:variant>
      <vt:variant>
        <vt:i4>7471196</vt:i4>
      </vt:variant>
      <vt:variant>
        <vt:i4>393</vt:i4>
      </vt:variant>
      <vt:variant>
        <vt:i4>0</vt:i4>
      </vt:variant>
      <vt:variant>
        <vt:i4>5</vt:i4>
      </vt:variant>
      <vt:variant>
        <vt:lpwstr>mailto:hhecht@mtc.gov</vt:lpwstr>
      </vt:variant>
      <vt:variant>
        <vt:lpwstr/>
      </vt:variant>
      <vt:variant>
        <vt:i4>1114167</vt:i4>
      </vt:variant>
      <vt:variant>
        <vt:i4>386</vt:i4>
      </vt:variant>
      <vt:variant>
        <vt:i4>0</vt:i4>
      </vt:variant>
      <vt:variant>
        <vt:i4>5</vt:i4>
      </vt:variant>
      <vt:variant>
        <vt:lpwstr/>
      </vt:variant>
      <vt:variant>
        <vt:lpwstr>_Toc132631722</vt:lpwstr>
      </vt:variant>
      <vt:variant>
        <vt:i4>1114167</vt:i4>
      </vt:variant>
      <vt:variant>
        <vt:i4>380</vt:i4>
      </vt:variant>
      <vt:variant>
        <vt:i4>0</vt:i4>
      </vt:variant>
      <vt:variant>
        <vt:i4>5</vt:i4>
      </vt:variant>
      <vt:variant>
        <vt:lpwstr/>
      </vt:variant>
      <vt:variant>
        <vt:lpwstr>_Toc132631721</vt:lpwstr>
      </vt:variant>
      <vt:variant>
        <vt:i4>1114167</vt:i4>
      </vt:variant>
      <vt:variant>
        <vt:i4>374</vt:i4>
      </vt:variant>
      <vt:variant>
        <vt:i4>0</vt:i4>
      </vt:variant>
      <vt:variant>
        <vt:i4>5</vt:i4>
      </vt:variant>
      <vt:variant>
        <vt:lpwstr/>
      </vt:variant>
      <vt:variant>
        <vt:lpwstr>_Toc132631720</vt:lpwstr>
      </vt:variant>
      <vt:variant>
        <vt:i4>1179703</vt:i4>
      </vt:variant>
      <vt:variant>
        <vt:i4>368</vt:i4>
      </vt:variant>
      <vt:variant>
        <vt:i4>0</vt:i4>
      </vt:variant>
      <vt:variant>
        <vt:i4>5</vt:i4>
      </vt:variant>
      <vt:variant>
        <vt:lpwstr/>
      </vt:variant>
      <vt:variant>
        <vt:lpwstr>_Toc132631719</vt:lpwstr>
      </vt:variant>
      <vt:variant>
        <vt:i4>1179703</vt:i4>
      </vt:variant>
      <vt:variant>
        <vt:i4>362</vt:i4>
      </vt:variant>
      <vt:variant>
        <vt:i4>0</vt:i4>
      </vt:variant>
      <vt:variant>
        <vt:i4>5</vt:i4>
      </vt:variant>
      <vt:variant>
        <vt:lpwstr/>
      </vt:variant>
      <vt:variant>
        <vt:lpwstr>_Toc132631718</vt:lpwstr>
      </vt:variant>
      <vt:variant>
        <vt:i4>1179703</vt:i4>
      </vt:variant>
      <vt:variant>
        <vt:i4>356</vt:i4>
      </vt:variant>
      <vt:variant>
        <vt:i4>0</vt:i4>
      </vt:variant>
      <vt:variant>
        <vt:i4>5</vt:i4>
      </vt:variant>
      <vt:variant>
        <vt:lpwstr/>
      </vt:variant>
      <vt:variant>
        <vt:lpwstr>_Toc132631717</vt:lpwstr>
      </vt:variant>
      <vt:variant>
        <vt:i4>1179703</vt:i4>
      </vt:variant>
      <vt:variant>
        <vt:i4>350</vt:i4>
      </vt:variant>
      <vt:variant>
        <vt:i4>0</vt:i4>
      </vt:variant>
      <vt:variant>
        <vt:i4>5</vt:i4>
      </vt:variant>
      <vt:variant>
        <vt:lpwstr/>
      </vt:variant>
      <vt:variant>
        <vt:lpwstr>_Toc132631716</vt:lpwstr>
      </vt:variant>
      <vt:variant>
        <vt:i4>1179703</vt:i4>
      </vt:variant>
      <vt:variant>
        <vt:i4>344</vt:i4>
      </vt:variant>
      <vt:variant>
        <vt:i4>0</vt:i4>
      </vt:variant>
      <vt:variant>
        <vt:i4>5</vt:i4>
      </vt:variant>
      <vt:variant>
        <vt:lpwstr/>
      </vt:variant>
      <vt:variant>
        <vt:lpwstr>_Toc132631715</vt:lpwstr>
      </vt:variant>
      <vt:variant>
        <vt:i4>1179703</vt:i4>
      </vt:variant>
      <vt:variant>
        <vt:i4>338</vt:i4>
      </vt:variant>
      <vt:variant>
        <vt:i4>0</vt:i4>
      </vt:variant>
      <vt:variant>
        <vt:i4>5</vt:i4>
      </vt:variant>
      <vt:variant>
        <vt:lpwstr/>
      </vt:variant>
      <vt:variant>
        <vt:lpwstr>_Toc132631714</vt:lpwstr>
      </vt:variant>
      <vt:variant>
        <vt:i4>1179703</vt:i4>
      </vt:variant>
      <vt:variant>
        <vt:i4>332</vt:i4>
      </vt:variant>
      <vt:variant>
        <vt:i4>0</vt:i4>
      </vt:variant>
      <vt:variant>
        <vt:i4>5</vt:i4>
      </vt:variant>
      <vt:variant>
        <vt:lpwstr/>
      </vt:variant>
      <vt:variant>
        <vt:lpwstr>_Toc132631713</vt:lpwstr>
      </vt:variant>
      <vt:variant>
        <vt:i4>1179703</vt:i4>
      </vt:variant>
      <vt:variant>
        <vt:i4>326</vt:i4>
      </vt:variant>
      <vt:variant>
        <vt:i4>0</vt:i4>
      </vt:variant>
      <vt:variant>
        <vt:i4>5</vt:i4>
      </vt:variant>
      <vt:variant>
        <vt:lpwstr/>
      </vt:variant>
      <vt:variant>
        <vt:lpwstr>_Toc132631712</vt:lpwstr>
      </vt:variant>
      <vt:variant>
        <vt:i4>1179703</vt:i4>
      </vt:variant>
      <vt:variant>
        <vt:i4>320</vt:i4>
      </vt:variant>
      <vt:variant>
        <vt:i4>0</vt:i4>
      </vt:variant>
      <vt:variant>
        <vt:i4>5</vt:i4>
      </vt:variant>
      <vt:variant>
        <vt:lpwstr/>
      </vt:variant>
      <vt:variant>
        <vt:lpwstr>_Toc132631711</vt:lpwstr>
      </vt:variant>
      <vt:variant>
        <vt:i4>1179703</vt:i4>
      </vt:variant>
      <vt:variant>
        <vt:i4>314</vt:i4>
      </vt:variant>
      <vt:variant>
        <vt:i4>0</vt:i4>
      </vt:variant>
      <vt:variant>
        <vt:i4>5</vt:i4>
      </vt:variant>
      <vt:variant>
        <vt:lpwstr/>
      </vt:variant>
      <vt:variant>
        <vt:lpwstr>_Toc132631710</vt:lpwstr>
      </vt:variant>
      <vt:variant>
        <vt:i4>1245239</vt:i4>
      </vt:variant>
      <vt:variant>
        <vt:i4>308</vt:i4>
      </vt:variant>
      <vt:variant>
        <vt:i4>0</vt:i4>
      </vt:variant>
      <vt:variant>
        <vt:i4>5</vt:i4>
      </vt:variant>
      <vt:variant>
        <vt:lpwstr/>
      </vt:variant>
      <vt:variant>
        <vt:lpwstr>_Toc132631709</vt:lpwstr>
      </vt:variant>
      <vt:variant>
        <vt:i4>1245239</vt:i4>
      </vt:variant>
      <vt:variant>
        <vt:i4>302</vt:i4>
      </vt:variant>
      <vt:variant>
        <vt:i4>0</vt:i4>
      </vt:variant>
      <vt:variant>
        <vt:i4>5</vt:i4>
      </vt:variant>
      <vt:variant>
        <vt:lpwstr/>
      </vt:variant>
      <vt:variant>
        <vt:lpwstr>_Toc132631708</vt:lpwstr>
      </vt:variant>
      <vt:variant>
        <vt:i4>1245239</vt:i4>
      </vt:variant>
      <vt:variant>
        <vt:i4>296</vt:i4>
      </vt:variant>
      <vt:variant>
        <vt:i4>0</vt:i4>
      </vt:variant>
      <vt:variant>
        <vt:i4>5</vt:i4>
      </vt:variant>
      <vt:variant>
        <vt:lpwstr/>
      </vt:variant>
      <vt:variant>
        <vt:lpwstr>_Toc132631707</vt:lpwstr>
      </vt:variant>
      <vt:variant>
        <vt:i4>1245239</vt:i4>
      </vt:variant>
      <vt:variant>
        <vt:i4>290</vt:i4>
      </vt:variant>
      <vt:variant>
        <vt:i4>0</vt:i4>
      </vt:variant>
      <vt:variant>
        <vt:i4>5</vt:i4>
      </vt:variant>
      <vt:variant>
        <vt:lpwstr/>
      </vt:variant>
      <vt:variant>
        <vt:lpwstr>_Toc132631706</vt:lpwstr>
      </vt:variant>
      <vt:variant>
        <vt:i4>1245239</vt:i4>
      </vt:variant>
      <vt:variant>
        <vt:i4>284</vt:i4>
      </vt:variant>
      <vt:variant>
        <vt:i4>0</vt:i4>
      </vt:variant>
      <vt:variant>
        <vt:i4>5</vt:i4>
      </vt:variant>
      <vt:variant>
        <vt:lpwstr/>
      </vt:variant>
      <vt:variant>
        <vt:lpwstr>_Toc132631705</vt:lpwstr>
      </vt:variant>
      <vt:variant>
        <vt:i4>1245239</vt:i4>
      </vt:variant>
      <vt:variant>
        <vt:i4>278</vt:i4>
      </vt:variant>
      <vt:variant>
        <vt:i4>0</vt:i4>
      </vt:variant>
      <vt:variant>
        <vt:i4>5</vt:i4>
      </vt:variant>
      <vt:variant>
        <vt:lpwstr/>
      </vt:variant>
      <vt:variant>
        <vt:lpwstr>_Toc132631704</vt:lpwstr>
      </vt:variant>
      <vt:variant>
        <vt:i4>1245239</vt:i4>
      </vt:variant>
      <vt:variant>
        <vt:i4>272</vt:i4>
      </vt:variant>
      <vt:variant>
        <vt:i4>0</vt:i4>
      </vt:variant>
      <vt:variant>
        <vt:i4>5</vt:i4>
      </vt:variant>
      <vt:variant>
        <vt:lpwstr/>
      </vt:variant>
      <vt:variant>
        <vt:lpwstr>_Toc132631703</vt:lpwstr>
      </vt:variant>
      <vt:variant>
        <vt:i4>1245239</vt:i4>
      </vt:variant>
      <vt:variant>
        <vt:i4>266</vt:i4>
      </vt:variant>
      <vt:variant>
        <vt:i4>0</vt:i4>
      </vt:variant>
      <vt:variant>
        <vt:i4>5</vt:i4>
      </vt:variant>
      <vt:variant>
        <vt:lpwstr/>
      </vt:variant>
      <vt:variant>
        <vt:lpwstr>_Toc132631702</vt:lpwstr>
      </vt:variant>
      <vt:variant>
        <vt:i4>1245239</vt:i4>
      </vt:variant>
      <vt:variant>
        <vt:i4>260</vt:i4>
      </vt:variant>
      <vt:variant>
        <vt:i4>0</vt:i4>
      </vt:variant>
      <vt:variant>
        <vt:i4>5</vt:i4>
      </vt:variant>
      <vt:variant>
        <vt:lpwstr/>
      </vt:variant>
      <vt:variant>
        <vt:lpwstr>_Toc132631701</vt:lpwstr>
      </vt:variant>
      <vt:variant>
        <vt:i4>1245239</vt:i4>
      </vt:variant>
      <vt:variant>
        <vt:i4>254</vt:i4>
      </vt:variant>
      <vt:variant>
        <vt:i4>0</vt:i4>
      </vt:variant>
      <vt:variant>
        <vt:i4>5</vt:i4>
      </vt:variant>
      <vt:variant>
        <vt:lpwstr/>
      </vt:variant>
      <vt:variant>
        <vt:lpwstr>_Toc132631700</vt:lpwstr>
      </vt:variant>
      <vt:variant>
        <vt:i4>1703990</vt:i4>
      </vt:variant>
      <vt:variant>
        <vt:i4>248</vt:i4>
      </vt:variant>
      <vt:variant>
        <vt:i4>0</vt:i4>
      </vt:variant>
      <vt:variant>
        <vt:i4>5</vt:i4>
      </vt:variant>
      <vt:variant>
        <vt:lpwstr/>
      </vt:variant>
      <vt:variant>
        <vt:lpwstr>_Toc132631699</vt:lpwstr>
      </vt:variant>
      <vt:variant>
        <vt:i4>1703990</vt:i4>
      </vt:variant>
      <vt:variant>
        <vt:i4>242</vt:i4>
      </vt:variant>
      <vt:variant>
        <vt:i4>0</vt:i4>
      </vt:variant>
      <vt:variant>
        <vt:i4>5</vt:i4>
      </vt:variant>
      <vt:variant>
        <vt:lpwstr/>
      </vt:variant>
      <vt:variant>
        <vt:lpwstr>_Toc132631698</vt:lpwstr>
      </vt:variant>
      <vt:variant>
        <vt:i4>1703990</vt:i4>
      </vt:variant>
      <vt:variant>
        <vt:i4>236</vt:i4>
      </vt:variant>
      <vt:variant>
        <vt:i4>0</vt:i4>
      </vt:variant>
      <vt:variant>
        <vt:i4>5</vt:i4>
      </vt:variant>
      <vt:variant>
        <vt:lpwstr/>
      </vt:variant>
      <vt:variant>
        <vt:lpwstr>_Toc132631697</vt:lpwstr>
      </vt:variant>
      <vt:variant>
        <vt:i4>1703990</vt:i4>
      </vt:variant>
      <vt:variant>
        <vt:i4>230</vt:i4>
      </vt:variant>
      <vt:variant>
        <vt:i4>0</vt:i4>
      </vt:variant>
      <vt:variant>
        <vt:i4>5</vt:i4>
      </vt:variant>
      <vt:variant>
        <vt:lpwstr/>
      </vt:variant>
      <vt:variant>
        <vt:lpwstr>_Toc132631696</vt:lpwstr>
      </vt:variant>
      <vt:variant>
        <vt:i4>1703990</vt:i4>
      </vt:variant>
      <vt:variant>
        <vt:i4>224</vt:i4>
      </vt:variant>
      <vt:variant>
        <vt:i4>0</vt:i4>
      </vt:variant>
      <vt:variant>
        <vt:i4>5</vt:i4>
      </vt:variant>
      <vt:variant>
        <vt:lpwstr/>
      </vt:variant>
      <vt:variant>
        <vt:lpwstr>_Toc132631695</vt:lpwstr>
      </vt:variant>
      <vt:variant>
        <vt:i4>1703990</vt:i4>
      </vt:variant>
      <vt:variant>
        <vt:i4>218</vt:i4>
      </vt:variant>
      <vt:variant>
        <vt:i4>0</vt:i4>
      </vt:variant>
      <vt:variant>
        <vt:i4>5</vt:i4>
      </vt:variant>
      <vt:variant>
        <vt:lpwstr/>
      </vt:variant>
      <vt:variant>
        <vt:lpwstr>_Toc132631694</vt:lpwstr>
      </vt:variant>
      <vt:variant>
        <vt:i4>1703990</vt:i4>
      </vt:variant>
      <vt:variant>
        <vt:i4>212</vt:i4>
      </vt:variant>
      <vt:variant>
        <vt:i4>0</vt:i4>
      </vt:variant>
      <vt:variant>
        <vt:i4>5</vt:i4>
      </vt:variant>
      <vt:variant>
        <vt:lpwstr/>
      </vt:variant>
      <vt:variant>
        <vt:lpwstr>_Toc132631693</vt:lpwstr>
      </vt:variant>
      <vt:variant>
        <vt:i4>1703990</vt:i4>
      </vt:variant>
      <vt:variant>
        <vt:i4>206</vt:i4>
      </vt:variant>
      <vt:variant>
        <vt:i4>0</vt:i4>
      </vt:variant>
      <vt:variant>
        <vt:i4>5</vt:i4>
      </vt:variant>
      <vt:variant>
        <vt:lpwstr/>
      </vt:variant>
      <vt:variant>
        <vt:lpwstr>_Toc132631692</vt:lpwstr>
      </vt:variant>
      <vt:variant>
        <vt:i4>1703990</vt:i4>
      </vt:variant>
      <vt:variant>
        <vt:i4>200</vt:i4>
      </vt:variant>
      <vt:variant>
        <vt:i4>0</vt:i4>
      </vt:variant>
      <vt:variant>
        <vt:i4>5</vt:i4>
      </vt:variant>
      <vt:variant>
        <vt:lpwstr/>
      </vt:variant>
      <vt:variant>
        <vt:lpwstr>_Toc132631691</vt:lpwstr>
      </vt:variant>
      <vt:variant>
        <vt:i4>1703990</vt:i4>
      </vt:variant>
      <vt:variant>
        <vt:i4>194</vt:i4>
      </vt:variant>
      <vt:variant>
        <vt:i4>0</vt:i4>
      </vt:variant>
      <vt:variant>
        <vt:i4>5</vt:i4>
      </vt:variant>
      <vt:variant>
        <vt:lpwstr/>
      </vt:variant>
      <vt:variant>
        <vt:lpwstr>_Toc132631690</vt:lpwstr>
      </vt:variant>
      <vt:variant>
        <vt:i4>1769526</vt:i4>
      </vt:variant>
      <vt:variant>
        <vt:i4>188</vt:i4>
      </vt:variant>
      <vt:variant>
        <vt:i4>0</vt:i4>
      </vt:variant>
      <vt:variant>
        <vt:i4>5</vt:i4>
      </vt:variant>
      <vt:variant>
        <vt:lpwstr/>
      </vt:variant>
      <vt:variant>
        <vt:lpwstr>_Toc132631689</vt:lpwstr>
      </vt:variant>
      <vt:variant>
        <vt:i4>1769526</vt:i4>
      </vt:variant>
      <vt:variant>
        <vt:i4>182</vt:i4>
      </vt:variant>
      <vt:variant>
        <vt:i4>0</vt:i4>
      </vt:variant>
      <vt:variant>
        <vt:i4>5</vt:i4>
      </vt:variant>
      <vt:variant>
        <vt:lpwstr/>
      </vt:variant>
      <vt:variant>
        <vt:lpwstr>_Toc132631688</vt:lpwstr>
      </vt:variant>
      <vt:variant>
        <vt:i4>1769526</vt:i4>
      </vt:variant>
      <vt:variant>
        <vt:i4>176</vt:i4>
      </vt:variant>
      <vt:variant>
        <vt:i4>0</vt:i4>
      </vt:variant>
      <vt:variant>
        <vt:i4>5</vt:i4>
      </vt:variant>
      <vt:variant>
        <vt:lpwstr/>
      </vt:variant>
      <vt:variant>
        <vt:lpwstr>_Toc132631687</vt:lpwstr>
      </vt:variant>
      <vt:variant>
        <vt:i4>1769526</vt:i4>
      </vt:variant>
      <vt:variant>
        <vt:i4>170</vt:i4>
      </vt:variant>
      <vt:variant>
        <vt:i4>0</vt:i4>
      </vt:variant>
      <vt:variant>
        <vt:i4>5</vt:i4>
      </vt:variant>
      <vt:variant>
        <vt:lpwstr/>
      </vt:variant>
      <vt:variant>
        <vt:lpwstr>_Toc132631686</vt:lpwstr>
      </vt:variant>
      <vt:variant>
        <vt:i4>1769526</vt:i4>
      </vt:variant>
      <vt:variant>
        <vt:i4>164</vt:i4>
      </vt:variant>
      <vt:variant>
        <vt:i4>0</vt:i4>
      </vt:variant>
      <vt:variant>
        <vt:i4>5</vt:i4>
      </vt:variant>
      <vt:variant>
        <vt:lpwstr/>
      </vt:variant>
      <vt:variant>
        <vt:lpwstr>_Toc132631685</vt:lpwstr>
      </vt:variant>
      <vt:variant>
        <vt:i4>1769526</vt:i4>
      </vt:variant>
      <vt:variant>
        <vt:i4>158</vt:i4>
      </vt:variant>
      <vt:variant>
        <vt:i4>0</vt:i4>
      </vt:variant>
      <vt:variant>
        <vt:i4>5</vt:i4>
      </vt:variant>
      <vt:variant>
        <vt:lpwstr/>
      </vt:variant>
      <vt:variant>
        <vt:lpwstr>_Toc132631684</vt:lpwstr>
      </vt:variant>
      <vt:variant>
        <vt:i4>1769526</vt:i4>
      </vt:variant>
      <vt:variant>
        <vt:i4>152</vt:i4>
      </vt:variant>
      <vt:variant>
        <vt:i4>0</vt:i4>
      </vt:variant>
      <vt:variant>
        <vt:i4>5</vt:i4>
      </vt:variant>
      <vt:variant>
        <vt:lpwstr/>
      </vt:variant>
      <vt:variant>
        <vt:lpwstr>_Toc132631683</vt:lpwstr>
      </vt:variant>
      <vt:variant>
        <vt:i4>1769526</vt:i4>
      </vt:variant>
      <vt:variant>
        <vt:i4>146</vt:i4>
      </vt:variant>
      <vt:variant>
        <vt:i4>0</vt:i4>
      </vt:variant>
      <vt:variant>
        <vt:i4>5</vt:i4>
      </vt:variant>
      <vt:variant>
        <vt:lpwstr/>
      </vt:variant>
      <vt:variant>
        <vt:lpwstr>_Toc132631682</vt:lpwstr>
      </vt:variant>
      <vt:variant>
        <vt:i4>1769526</vt:i4>
      </vt:variant>
      <vt:variant>
        <vt:i4>140</vt:i4>
      </vt:variant>
      <vt:variant>
        <vt:i4>0</vt:i4>
      </vt:variant>
      <vt:variant>
        <vt:i4>5</vt:i4>
      </vt:variant>
      <vt:variant>
        <vt:lpwstr/>
      </vt:variant>
      <vt:variant>
        <vt:lpwstr>_Toc132631681</vt:lpwstr>
      </vt:variant>
      <vt:variant>
        <vt:i4>1769526</vt:i4>
      </vt:variant>
      <vt:variant>
        <vt:i4>134</vt:i4>
      </vt:variant>
      <vt:variant>
        <vt:i4>0</vt:i4>
      </vt:variant>
      <vt:variant>
        <vt:i4>5</vt:i4>
      </vt:variant>
      <vt:variant>
        <vt:lpwstr/>
      </vt:variant>
      <vt:variant>
        <vt:lpwstr>_Toc132631680</vt:lpwstr>
      </vt:variant>
      <vt:variant>
        <vt:i4>1310774</vt:i4>
      </vt:variant>
      <vt:variant>
        <vt:i4>128</vt:i4>
      </vt:variant>
      <vt:variant>
        <vt:i4>0</vt:i4>
      </vt:variant>
      <vt:variant>
        <vt:i4>5</vt:i4>
      </vt:variant>
      <vt:variant>
        <vt:lpwstr/>
      </vt:variant>
      <vt:variant>
        <vt:lpwstr>_Toc132631679</vt:lpwstr>
      </vt:variant>
      <vt:variant>
        <vt:i4>1310774</vt:i4>
      </vt:variant>
      <vt:variant>
        <vt:i4>122</vt:i4>
      </vt:variant>
      <vt:variant>
        <vt:i4>0</vt:i4>
      </vt:variant>
      <vt:variant>
        <vt:i4>5</vt:i4>
      </vt:variant>
      <vt:variant>
        <vt:lpwstr/>
      </vt:variant>
      <vt:variant>
        <vt:lpwstr>_Toc132631678</vt:lpwstr>
      </vt:variant>
      <vt:variant>
        <vt:i4>1310774</vt:i4>
      </vt:variant>
      <vt:variant>
        <vt:i4>116</vt:i4>
      </vt:variant>
      <vt:variant>
        <vt:i4>0</vt:i4>
      </vt:variant>
      <vt:variant>
        <vt:i4>5</vt:i4>
      </vt:variant>
      <vt:variant>
        <vt:lpwstr/>
      </vt:variant>
      <vt:variant>
        <vt:lpwstr>_Toc132631677</vt:lpwstr>
      </vt:variant>
      <vt:variant>
        <vt:i4>1310774</vt:i4>
      </vt:variant>
      <vt:variant>
        <vt:i4>110</vt:i4>
      </vt:variant>
      <vt:variant>
        <vt:i4>0</vt:i4>
      </vt:variant>
      <vt:variant>
        <vt:i4>5</vt:i4>
      </vt:variant>
      <vt:variant>
        <vt:lpwstr/>
      </vt:variant>
      <vt:variant>
        <vt:lpwstr>_Toc132631676</vt:lpwstr>
      </vt:variant>
      <vt:variant>
        <vt:i4>1310774</vt:i4>
      </vt:variant>
      <vt:variant>
        <vt:i4>104</vt:i4>
      </vt:variant>
      <vt:variant>
        <vt:i4>0</vt:i4>
      </vt:variant>
      <vt:variant>
        <vt:i4>5</vt:i4>
      </vt:variant>
      <vt:variant>
        <vt:lpwstr/>
      </vt:variant>
      <vt:variant>
        <vt:lpwstr>_Toc132631675</vt:lpwstr>
      </vt:variant>
      <vt:variant>
        <vt:i4>1310774</vt:i4>
      </vt:variant>
      <vt:variant>
        <vt:i4>98</vt:i4>
      </vt:variant>
      <vt:variant>
        <vt:i4>0</vt:i4>
      </vt:variant>
      <vt:variant>
        <vt:i4>5</vt:i4>
      </vt:variant>
      <vt:variant>
        <vt:lpwstr/>
      </vt:variant>
      <vt:variant>
        <vt:lpwstr>_Toc132631674</vt:lpwstr>
      </vt:variant>
      <vt:variant>
        <vt:i4>1310774</vt:i4>
      </vt:variant>
      <vt:variant>
        <vt:i4>92</vt:i4>
      </vt:variant>
      <vt:variant>
        <vt:i4>0</vt:i4>
      </vt:variant>
      <vt:variant>
        <vt:i4>5</vt:i4>
      </vt:variant>
      <vt:variant>
        <vt:lpwstr/>
      </vt:variant>
      <vt:variant>
        <vt:lpwstr>_Toc132631673</vt:lpwstr>
      </vt:variant>
      <vt:variant>
        <vt:i4>1310774</vt:i4>
      </vt:variant>
      <vt:variant>
        <vt:i4>86</vt:i4>
      </vt:variant>
      <vt:variant>
        <vt:i4>0</vt:i4>
      </vt:variant>
      <vt:variant>
        <vt:i4>5</vt:i4>
      </vt:variant>
      <vt:variant>
        <vt:lpwstr/>
      </vt:variant>
      <vt:variant>
        <vt:lpwstr>_Toc132631672</vt:lpwstr>
      </vt:variant>
      <vt:variant>
        <vt:i4>1310774</vt:i4>
      </vt:variant>
      <vt:variant>
        <vt:i4>80</vt:i4>
      </vt:variant>
      <vt:variant>
        <vt:i4>0</vt:i4>
      </vt:variant>
      <vt:variant>
        <vt:i4>5</vt:i4>
      </vt:variant>
      <vt:variant>
        <vt:lpwstr/>
      </vt:variant>
      <vt:variant>
        <vt:lpwstr>_Toc132631671</vt:lpwstr>
      </vt:variant>
      <vt:variant>
        <vt:i4>1310774</vt:i4>
      </vt:variant>
      <vt:variant>
        <vt:i4>74</vt:i4>
      </vt:variant>
      <vt:variant>
        <vt:i4>0</vt:i4>
      </vt:variant>
      <vt:variant>
        <vt:i4>5</vt:i4>
      </vt:variant>
      <vt:variant>
        <vt:lpwstr/>
      </vt:variant>
      <vt:variant>
        <vt:lpwstr>_Toc132631670</vt:lpwstr>
      </vt:variant>
      <vt:variant>
        <vt:i4>1376310</vt:i4>
      </vt:variant>
      <vt:variant>
        <vt:i4>68</vt:i4>
      </vt:variant>
      <vt:variant>
        <vt:i4>0</vt:i4>
      </vt:variant>
      <vt:variant>
        <vt:i4>5</vt:i4>
      </vt:variant>
      <vt:variant>
        <vt:lpwstr/>
      </vt:variant>
      <vt:variant>
        <vt:lpwstr>_Toc132631669</vt:lpwstr>
      </vt:variant>
      <vt:variant>
        <vt:i4>1376310</vt:i4>
      </vt:variant>
      <vt:variant>
        <vt:i4>62</vt:i4>
      </vt:variant>
      <vt:variant>
        <vt:i4>0</vt:i4>
      </vt:variant>
      <vt:variant>
        <vt:i4>5</vt:i4>
      </vt:variant>
      <vt:variant>
        <vt:lpwstr/>
      </vt:variant>
      <vt:variant>
        <vt:lpwstr>_Toc132631668</vt:lpwstr>
      </vt:variant>
      <vt:variant>
        <vt:i4>1376310</vt:i4>
      </vt:variant>
      <vt:variant>
        <vt:i4>56</vt:i4>
      </vt:variant>
      <vt:variant>
        <vt:i4>0</vt:i4>
      </vt:variant>
      <vt:variant>
        <vt:i4>5</vt:i4>
      </vt:variant>
      <vt:variant>
        <vt:lpwstr/>
      </vt:variant>
      <vt:variant>
        <vt:lpwstr>_Toc132631667</vt:lpwstr>
      </vt:variant>
      <vt:variant>
        <vt:i4>1376310</vt:i4>
      </vt:variant>
      <vt:variant>
        <vt:i4>50</vt:i4>
      </vt:variant>
      <vt:variant>
        <vt:i4>0</vt:i4>
      </vt:variant>
      <vt:variant>
        <vt:i4>5</vt:i4>
      </vt:variant>
      <vt:variant>
        <vt:lpwstr/>
      </vt:variant>
      <vt:variant>
        <vt:lpwstr>_Toc132631666</vt:lpwstr>
      </vt:variant>
      <vt:variant>
        <vt:i4>1376310</vt:i4>
      </vt:variant>
      <vt:variant>
        <vt:i4>44</vt:i4>
      </vt:variant>
      <vt:variant>
        <vt:i4>0</vt:i4>
      </vt:variant>
      <vt:variant>
        <vt:i4>5</vt:i4>
      </vt:variant>
      <vt:variant>
        <vt:lpwstr/>
      </vt:variant>
      <vt:variant>
        <vt:lpwstr>_Toc132631665</vt:lpwstr>
      </vt:variant>
      <vt:variant>
        <vt:i4>1376310</vt:i4>
      </vt:variant>
      <vt:variant>
        <vt:i4>38</vt:i4>
      </vt:variant>
      <vt:variant>
        <vt:i4>0</vt:i4>
      </vt:variant>
      <vt:variant>
        <vt:i4>5</vt:i4>
      </vt:variant>
      <vt:variant>
        <vt:lpwstr/>
      </vt:variant>
      <vt:variant>
        <vt:lpwstr>_Toc132631664</vt:lpwstr>
      </vt:variant>
      <vt:variant>
        <vt:i4>1376310</vt:i4>
      </vt:variant>
      <vt:variant>
        <vt:i4>32</vt:i4>
      </vt:variant>
      <vt:variant>
        <vt:i4>0</vt:i4>
      </vt:variant>
      <vt:variant>
        <vt:i4>5</vt:i4>
      </vt:variant>
      <vt:variant>
        <vt:lpwstr/>
      </vt:variant>
      <vt:variant>
        <vt:lpwstr>_Toc132631663</vt:lpwstr>
      </vt:variant>
      <vt:variant>
        <vt:i4>1376310</vt:i4>
      </vt:variant>
      <vt:variant>
        <vt:i4>26</vt:i4>
      </vt:variant>
      <vt:variant>
        <vt:i4>0</vt:i4>
      </vt:variant>
      <vt:variant>
        <vt:i4>5</vt:i4>
      </vt:variant>
      <vt:variant>
        <vt:lpwstr/>
      </vt:variant>
      <vt:variant>
        <vt:lpwstr>_Toc132631662</vt:lpwstr>
      </vt:variant>
      <vt:variant>
        <vt:i4>1376310</vt:i4>
      </vt:variant>
      <vt:variant>
        <vt:i4>20</vt:i4>
      </vt:variant>
      <vt:variant>
        <vt:i4>0</vt:i4>
      </vt:variant>
      <vt:variant>
        <vt:i4>5</vt:i4>
      </vt:variant>
      <vt:variant>
        <vt:lpwstr/>
      </vt:variant>
      <vt:variant>
        <vt:lpwstr>_Toc132631661</vt:lpwstr>
      </vt:variant>
      <vt:variant>
        <vt:i4>1376310</vt:i4>
      </vt:variant>
      <vt:variant>
        <vt:i4>14</vt:i4>
      </vt:variant>
      <vt:variant>
        <vt:i4>0</vt:i4>
      </vt:variant>
      <vt:variant>
        <vt:i4>5</vt:i4>
      </vt:variant>
      <vt:variant>
        <vt:lpwstr/>
      </vt:variant>
      <vt:variant>
        <vt:lpwstr>_Toc132631660</vt:lpwstr>
      </vt:variant>
      <vt:variant>
        <vt:i4>1441846</vt:i4>
      </vt:variant>
      <vt:variant>
        <vt:i4>8</vt:i4>
      </vt:variant>
      <vt:variant>
        <vt:i4>0</vt:i4>
      </vt:variant>
      <vt:variant>
        <vt:i4>5</vt:i4>
      </vt:variant>
      <vt:variant>
        <vt:lpwstr/>
      </vt:variant>
      <vt:variant>
        <vt:lpwstr>_Toc132631659</vt:lpwstr>
      </vt:variant>
      <vt:variant>
        <vt:i4>1441846</vt:i4>
      </vt:variant>
      <vt:variant>
        <vt:i4>2</vt:i4>
      </vt:variant>
      <vt:variant>
        <vt:i4>0</vt:i4>
      </vt:variant>
      <vt:variant>
        <vt:i4>5</vt:i4>
      </vt:variant>
      <vt:variant>
        <vt:lpwstr/>
      </vt:variant>
      <vt:variant>
        <vt:lpwstr>_Toc132631658</vt:lpwstr>
      </vt:variant>
      <vt:variant>
        <vt:i4>2162756</vt:i4>
      </vt:variant>
      <vt:variant>
        <vt:i4>6</vt:i4>
      </vt:variant>
      <vt:variant>
        <vt:i4>0</vt:i4>
      </vt:variant>
      <vt:variant>
        <vt:i4>5</vt:i4>
      </vt:variant>
      <vt:variant>
        <vt:lpwstr>https://www.irs.gov/pub/int_practice_units/jto_p_09_06_05_19.pdf</vt:lpwstr>
      </vt:variant>
      <vt:variant>
        <vt:lpwstr/>
      </vt:variant>
      <vt:variant>
        <vt:i4>327707</vt:i4>
      </vt:variant>
      <vt:variant>
        <vt:i4>3</vt:i4>
      </vt:variant>
      <vt:variant>
        <vt:i4>0</vt:i4>
      </vt:variant>
      <vt:variant>
        <vt:i4>5</vt:i4>
      </vt:variant>
      <vt:variant>
        <vt:lpwstr>https://www.uniformlaws.org/viewdocument/enactment-kit-73?CommunityKey=52456941-7883-47a5-91b6-d2f086d0bb44&amp;tab=librarydocuments</vt:lpwstr>
      </vt:variant>
      <vt:variant>
        <vt:lpwstr/>
      </vt:variant>
      <vt:variant>
        <vt:i4>5898317</vt:i4>
      </vt:variant>
      <vt:variant>
        <vt:i4>0</vt:i4>
      </vt:variant>
      <vt:variant>
        <vt:i4>0</vt:i4>
      </vt:variant>
      <vt:variant>
        <vt:i4>5</vt:i4>
      </vt:variant>
      <vt:variant>
        <vt:lpwstr>https://www.mtc.gov/Uniformity/Project-Teams/Partnership-Tax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2023-12-12T21:44:00Z</dcterms:created>
  <dcterms:modified xsi:type="dcterms:W3CDTF">2023-12-12T21:45:00Z</dcterms:modified>
</cp:coreProperties>
</file>