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FA046" w14:textId="77777777" w:rsidR="000A5158" w:rsidRPr="00B20555" w:rsidRDefault="000A5158" w:rsidP="008E3DE5">
      <w:pPr>
        <w:pBdr>
          <w:top w:val="thinThickSmallGap" w:sz="18" w:space="1" w:color="262626" w:themeColor="text1" w:themeTint="D9"/>
          <w:left w:val="thinThickSmallGap" w:sz="18" w:space="12" w:color="262626" w:themeColor="text1" w:themeTint="D9"/>
          <w:bottom w:val="thickThinSmallGap" w:sz="18" w:space="1" w:color="262626" w:themeColor="text1" w:themeTint="D9"/>
          <w:right w:val="thickThinSmallGap" w:sz="18" w:space="4" w:color="262626" w:themeColor="text1" w:themeTint="D9"/>
        </w:pBdr>
        <w:spacing w:before="0" w:after="0"/>
        <w:ind w:left="1008" w:right="1008"/>
        <w:jc w:val="center"/>
        <w:rPr>
          <w:b/>
          <w:bCs/>
          <w:smallCaps/>
          <w:sz w:val="18"/>
          <w:szCs w:val="18"/>
        </w:rPr>
      </w:pPr>
    </w:p>
    <w:p w14:paraId="4025511B" w14:textId="202B8472" w:rsidR="00A9430F" w:rsidRDefault="00A9430F" w:rsidP="008E3DE5">
      <w:pPr>
        <w:pBdr>
          <w:top w:val="thinThickSmallGap" w:sz="18" w:space="1" w:color="262626" w:themeColor="text1" w:themeTint="D9"/>
          <w:left w:val="thinThickSmallGap" w:sz="18" w:space="12" w:color="262626" w:themeColor="text1" w:themeTint="D9"/>
          <w:bottom w:val="thickThinSmallGap" w:sz="18" w:space="1" w:color="262626" w:themeColor="text1" w:themeTint="D9"/>
          <w:right w:val="thickThinSmallGap" w:sz="18" w:space="4" w:color="262626" w:themeColor="text1" w:themeTint="D9"/>
        </w:pBdr>
        <w:spacing w:before="0" w:after="0"/>
        <w:ind w:left="1008" w:right="1008"/>
        <w:jc w:val="center"/>
        <w:rPr>
          <w:b/>
          <w:bCs/>
          <w:smallCaps/>
          <w:sz w:val="36"/>
          <w:szCs w:val="36"/>
        </w:rPr>
      </w:pPr>
      <w:r>
        <w:rPr>
          <w:noProof/>
        </w:rPr>
        <w:drawing>
          <wp:inline distT="0" distB="0" distL="0" distR="0" wp14:anchorId="4C38841A" wp14:editId="2A79C99B">
            <wp:extent cx="746760" cy="377105"/>
            <wp:effectExtent l="0" t="0" r="0" b="4445"/>
            <wp:docPr id="1843236080" name="Picture 1" descr="MultiTax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ltiTax Commission"/>
                    <pic:cNvPicPr>
                      <a:picLocks noChangeAspect="1" noChangeArrowheads="1"/>
                    </pic:cNvPicPr>
                  </pic:nvPicPr>
                  <pic:blipFill>
                    <a:blip r:embed="rId8" cstate="print">
                      <a:extLst>
                        <a:ext uri="{BEBA8EAE-BF5A-486C-A8C5-ECC9F3942E4B}">
                          <a14:imgProps xmlns:a14="http://schemas.microsoft.com/office/drawing/2010/main">
                            <a14:imgLayer r:embed="rId9">
                              <a14:imgEffect>
                                <a14:saturation sat="73000"/>
                              </a14:imgEffect>
                            </a14:imgLayer>
                          </a14:imgProps>
                        </a:ext>
                        <a:ext uri="{28A0092B-C50C-407E-A947-70E740481C1C}">
                          <a14:useLocalDpi xmlns:a14="http://schemas.microsoft.com/office/drawing/2010/main" val="0"/>
                        </a:ext>
                      </a:extLst>
                    </a:blip>
                    <a:srcRect/>
                    <a:stretch>
                      <a:fillRect/>
                    </a:stretch>
                  </pic:blipFill>
                  <pic:spPr bwMode="auto">
                    <a:xfrm>
                      <a:off x="0" y="0"/>
                      <a:ext cx="835882" cy="422111"/>
                    </a:xfrm>
                    <a:prstGeom prst="rect">
                      <a:avLst/>
                    </a:prstGeom>
                    <a:noFill/>
                    <a:ln>
                      <a:noFill/>
                    </a:ln>
                  </pic:spPr>
                </pic:pic>
              </a:graphicData>
            </a:graphic>
          </wp:inline>
        </w:drawing>
      </w:r>
      <w:r>
        <w:rPr>
          <w:b/>
          <w:bCs/>
          <w:smallCaps/>
          <w:sz w:val="36"/>
          <w:szCs w:val="36"/>
        </w:rPr>
        <w:t xml:space="preserve"> </w:t>
      </w:r>
    </w:p>
    <w:p w14:paraId="1509FBDD" w14:textId="77777777" w:rsidR="00202691" w:rsidRPr="00B20555" w:rsidRDefault="00202691" w:rsidP="008E3DE5">
      <w:pPr>
        <w:pBdr>
          <w:top w:val="thinThickSmallGap" w:sz="18" w:space="1" w:color="262626" w:themeColor="text1" w:themeTint="D9"/>
          <w:left w:val="thinThickSmallGap" w:sz="18" w:space="12" w:color="262626" w:themeColor="text1" w:themeTint="D9"/>
          <w:bottom w:val="thickThinSmallGap" w:sz="18" w:space="1" w:color="262626" w:themeColor="text1" w:themeTint="D9"/>
          <w:right w:val="thickThinSmallGap" w:sz="18" w:space="4" w:color="262626" w:themeColor="text1" w:themeTint="D9"/>
        </w:pBdr>
        <w:spacing w:before="0" w:after="0"/>
        <w:ind w:left="1008" w:right="1008"/>
        <w:jc w:val="center"/>
        <w:rPr>
          <w:b/>
          <w:bCs/>
          <w:smallCaps/>
          <w:sz w:val="16"/>
          <w:szCs w:val="16"/>
        </w:rPr>
      </w:pPr>
    </w:p>
    <w:p w14:paraId="12C99977" w14:textId="5549A168" w:rsidR="00EC69DE" w:rsidRPr="003F4986" w:rsidRDefault="008704CD" w:rsidP="008E3DE5">
      <w:pPr>
        <w:pBdr>
          <w:top w:val="thinThickSmallGap" w:sz="18" w:space="1" w:color="262626" w:themeColor="text1" w:themeTint="D9"/>
          <w:left w:val="thinThickSmallGap" w:sz="18" w:space="12" w:color="262626" w:themeColor="text1" w:themeTint="D9"/>
          <w:bottom w:val="thickThinSmallGap" w:sz="18" w:space="1" w:color="262626" w:themeColor="text1" w:themeTint="D9"/>
          <w:right w:val="thickThinSmallGap" w:sz="18" w:space="4" w:color="262626" w:themeColor="text1" w:themeTint="D9"/>
        </w:pBdr>
        <w:spacing w:before="0" w:after="0" w:line="240" w:lineRule="auto"/>
        <w:ind w:left="1008" w:right="1008"/>
        <w:jc w:val="center"/>
        <w:rPr>
          <w:rFonts w:cs="Leelawadee"/>
          <w:b/>
          <w:bCs/>
          <w:smallCaps/>
          <w:color w:val="595959" w:themeColor="text1" w:themeTint="A6"/>
          <w:sz w:val="32"/>
          <w:szCs w:val="32"/>
          <w14:textOutline w14:w="9525" w14:cap="rnd" w14:cmpd="sng" w14:algn="ctr">
            <w14:solidFill>
              <w14:schemeClr w14:val="accent2">
                <w14:lumMod w14:val="50000"/>
              </w14:schemeClr>
            </w14:solidFill>
            <w14:prstDash w14:val="solid"/>
            <w14:bevel/>
          </w14:textOutline>
        </w:rPr>
      </w:pPr>
      <w:r>
        <w:rPr>
          <w:rFonts w:cs="Leelawadee"/>
          <w:b/>
          <w:bCs/>
          <w:smallCaps/>
          <w:color w:val="595959" w:themeColor="text1" w:themeTint="A6"/>
          <w:sz w:val="36"/>
          <w:szCs w:val="36"/>
          <w14:textOutline w14:w="9525" w14:cap="rnd" w14:cmpd="sng" w14:algn="ctr">
            <w14:solidFill>
              <w14:schemeClr w14:val="accent2">
                <w14:lumMod w14:val="50000"/>
              </w14:schemeClr>
            </w14:solidFill>
            <w14:prstDash w14:val="solid"/>
            <w14:bevel/>
          </w14:textOutline>
        </w:rPr>
        <w:t xml:space="preserve"> </w:t>
      </w:r>
      <w:r w:rsidR="007A6101" w:rsidRPr="003F4986">
        <w:rPr>
          <w:rFonts w:cs="Leelawadee"/>
          <w:b/>
          <w:bCs/>
          <w:smallCaps/>
          <w:color w:val="595959" w:themeColor="text1" w:themeTint="A6"/>
          <w:sz w:val="32"/>
          <w:szCs w:val="32"/>
          <w14:textOutline w14:w="9525" w14:cap="rnd" w14:cmpd="sng" w14:algn="ctr">
            <w14:solidFill>
              <w14:schemeClr w14:val="accent2">
                <w14:lumMod w14:val="50000"/>
              </w14:schemeClr>
            </w14:solidFill>
            <w14:prstDash w14:val="solid"/>
            <w14:bevel/>
          </w14:textOutline>
        </w:rPr>
        <w:t xml:space="preserve">General </w:t>
      </w:r>
      <w:r w:rsidRPr="003F4986">
        <w:rPr>
          <w:rFonts w:cs="Leelawadee"/>
          <w:b/>
          <w:bCs/>
          <w:smallCaps/>
          <w:color w:val="595959" w:themeColor="text1" w:themeTint="A6"/>
          <w:sz w:val="32"/>
          <w:szCs w:val="32"/>
          <w14:textOutline w14:w="9525" w14:cap="rnd" w14:cmpd="sng" w14:algn="ctr">
            <w14:solidFill>
              <w14:schemeClr w14:val="accent2">
                <w14:lumMod w14:val="50000"/>
              </w14:schemeClr>
            </w14:solidFill>
            <w14:prstDash w14:val="solid"/>
            <w14:bevel/>
          </w14:textOutline>
        </w:rPr>
        <w:t xml:space="preserve">Framework </w:t>
      </w:r>
      <w:r w:rsidR="00C84D09" w:rsidRPr="003F4986">
        <w:rPr>
          <w:rFonts w:cs="Leelawadee"/>
          <w:b/>
          <w:bCs/>
          <w:smallCaps/>
          <w:color w:val="595959" w:themeColor="text1" w:themeTint="A6"/>
          <w:sz w:val="32"/>
          <w:szCs w:val="32"/>
          <w14:textOutline w14:w="9525" w14:cap="rnd" w14:cmpd="sng" w14:algn="ctr">
            <w14:solidFill>
              <w14:schemeClr w14:val="accent2">
                <w14:lumMod w14:val="50000"/>
              </w14:schemeClr>
            </w14:solidFill>
            <w14:prstDash w14:val="solid"/>
            <w14:bevel/>
          </w14:textOutline>
        </w:rPr>
        <w:t>of the</w:t>
      </w:r>
      <w:r w:rsidR="00202691" w:rsidRPr="003F4986">
        <w:rPr>
          <w:rFonts w:cs="Leelawadee"/>
          <w:b/>
          <w:bCs/>
          <w:smallCaps/>
          <w:color w:val="595959" w:themeColor="text1" w:themeTint="A6"/>
          <w:sz w:val="32"/>
          <w:szCs w:val="32"/>
          <w14:textOutline w14:w="9525" w14:cap="rnd" w14:cmpd="sng" w14:algn="ctr">
            <w14:solidFill>
              <w14:schemeClr w14:val="accent2">
                <w14:lumMod w14:val="50000"/>
              </w14:schemeClr>
            </w14:solidFill>
            <w14:prstDash w14:val="solid"/>
            <w14:bevel/>
          </w14:textOutline>
        </w:rPr>
        <w:t xml:space="preserve"> </w:t>
      </w:r>
      <w:r w:rsidR="00202691" w:rsidRPr="003F4986">
        <w:rPr>
          <w:rFonts w:cs="Leelawadee"/>
          <w:b/>
          <w:bCs/>
          <w:smallCaps/>
          <w:color w:val="595959" w:themeColor="text1" w:themeTint="A6"/>
          <w:sz w:val="32"/>
          <w:szCs w:val="32"/>
          <w14:textOutline w14:w="9525" w14:cap="rnd" w14:cmpd="sng" w14:algn="ctr">
            <w14:solidFill>
              <w14:schemeClr w14:val="accent2">
                <w14:lumMod w14:val="50000"/>
              </w14:schemeClr>
            </w14:solidFill>
            <w14:prstDash w14:val="solid"/>
            <w14:bevel/>
          </w14:textOutline>
        </w:rPr>
        <w:br/>
      </w:r>
      <w:r w:rsidR="00EC69DE" w:rsidRPr="003F4986">
        <w:rPr>
          <w:rFonts w:cs="Leelawadee"/>
          <w:b/>
          <w:bCs/>
          <w:smallCaps/>
          <w:color w:val="595959" w:themeColor="text1" w:themeTint="A6"/>
          <w:sz w:val="32"/>
          <w:szCs w:val="32"/>
          <w14:textOutline w14:w="9525" w14:cap="rnd" w14:cmpd="sng" w14:algn="ctr">
            <w14:solidFill>
              <w14:schemeClr w14:val="accent2">
                <w14:lumMod w14:val="50000"/>
              </w14:schemeClr>
            </w14:solidFill>
            <w14:prstDash w14:val="solid"/>
            <w14:bevel/>
          </w14:textOutline>
        </w:rPr>
        <w:t>State Partnership</w:t>
      </w:r>
      <w:r w:rsidR="00C84D09" w:rsidRPr="003F4986">
        <w:rPr>
          <w:rFonts w:cs="Leelawadee"/>
          <w:b/>
          <w:bCs/>
          <w:smallCaps/>
          <w:color w:val="595959" w:themeColor="text1" w:themeTint="A6"/>
          <w:sz w:val="32"/>
          <w:szCs w:val="32"/>
          <w14:textOutline w14:w="9525" w14:cap="rnd" w14:cmpd="sng" w14:algn="ctr">
            <w14:solidFill>
              <w14:schemeClr w14:val="accent2">
                <w14:lumMod w14:val="50000"/>
              </w14:schemeClr>
            </w14:solidFill>
            <w14:prstDash w14:val="solid"/>
            <w14:bevel/>
          </w14:textOutline>
        </w:rPr>
        <w:t xml:space="preserve"> </w:t>
      </w:r>
      <w:r w:rsidR="008E3DE5" w:rsidRPr="003F4986">
        <w:rPr>
          <w:rFonts w:cs="Leelawadee"/>
          <w:b/>
          <w:bCs/>
          <w:smallCaps/>
          <w:color w:val="595959" w:themeColor="text1" w:themeTint="A6"/>
          <w:sz w:val="32"/>
          <w:szCs w:val="32"/>
          <w14:textOutline w14:w="9525" w14:cap="rnd" w14:cmpd="sng" w14:algn="ctr">
            <w14:solidFill>
              <w14:schemeClr w14:val="accent2">
                <w14:lumMod w14:val="50000"/>
              </w14:schemeClr>
            </w14:solidFill>
            <w14:prstDash w14:val="solid"/>
            <w14:bevel/>
          </w14:textOutline>
        </w:rPr>
        <w:t xml:space="preserve">Pass-Through </w:t>
      </w:r>
      <w:r w:rsidR="00C84D09" w:rsidRPr="003F4986">
        <w:rPr>
          <w:rFonts w:cs="Leelawadee"/>
          <w:b/>
          <w:bCs/>
          <w:smallCaps/>
          <w:color w:val="595959" w:themeColor="text1" w:themeTint="A6"/>
          <w:sz w:val="32"/>
          <w:szCs w:val="32"/>
          <w14:textOutline w14:w="9525" w14:cap="rnd" w14:cmpd="sng" w14:algn="ctr">
            <w14:solidFill>
              <w14:schemeClr w14:val="accent2">
                <w14:lumMod w14:val="50000"/>
              </w14:schemeClr>
            </w14:solidFill>
            <w14:prstDash w14:val="solid"/>
            <w14:bevel/>
          </w14:textOutline>
        </w:rPr>
        <w:t>Tax System</w:t>
      </w:r>
    </w:p>
    <w:p w14:paraId="0F51DB6B" w14:textId="5C60F730" w:rsidR="009B722F" w:rsidRPr="003F4986" w:rsidRDefault="009B722F" w:rsidP="008E3DE5">
      <w:pPr>
        <w:pBdr>
          <w:top w:val="thinThickSmallGap" w:sz="18" w:space="1" w:color="262626" w:themeColor="text1" w:themeTint="D9"/>
          <w:left w:val="thinThickSmallGap" w:sz="18" w:space="12" w:color="262626" w:themeColor="text1" w:themeTint="D9"/>
          <w:bottom w:val="thickThinSmallGap" w:sz="18" w:space="1" w:color="262626" w:themeColor="text1" w:themeTint="D9"/>
          <w:right w:val="thickThinSmallGap" w:sz="18" w:space="4" w:color="262626" w:themeColor="text1" w:themeTint="D9"/>
        </w:pBdr>
        <w:spacing w:before="0" w:after="0" w:line="240" w:lineRule="auto"/>
        <w:ind w:left="1008" w:right="1008"/>
        <w:jc w:val="center"/>
        <w:rPr>
          <w:rFonts w:cs="Leelawadee"/>
          <w:b/>
          <w:bCs/>
          <w:smallCaps/>
          <w:color w:val="595959" w:themeColor="text1" w:themeTint="A6"/>
          <w:sz w:val="32"/>
          <w:szCs w:val="32"/>
          <w14:textOutline w14:w="9525" w14:cap="rnd" w14:cmpd="sng" w14:algn="ctr">
            <w14:solidFill>
              <w14:schemeClr w14:val="accent2">
                <w14:lumMod w14:val="50000"/>
              </w14:schemeClr>
            </w14:solidFill>
            <w14:prstDash w14:val="solid"/>
            <w14:bevel/>
          </w14:textOutline>
        </w:rPr>
      </w:pPr>
      <w:r w:rsidRPr="003F4986">
        <w:rPr>
          <w:rFonts w:cs="Leelawadee"/>
          <w:b/>
          <w:bCs/>
          <w:smallCaps/>
          <w:color w:val="595959" w:themeColor="text1" w:themeTint="A6"/>
          <w:sz w:val="32"/>
          <w:szCs w:val="32"/>
          <w14:textOutline w14:w="9525" w14:cap="rnd" w14:cmpd="sng" w14:algn="ctr">
            <w14:solidFill>
              <w14:schemeClr w14:val="accent2">
                <w14:lumMod w14:val="50000"/>
              </w14:schemeClr>
            </w14:solidFill>
            <w14:prstDash w14:val="solid"/>
            <w14:bevel/>
          </w14:textOutline>
        </w:rPr>
        <w:t>DISCUSSION DRAFT</w:t>
      </w:r>
    </w:p>
    <w:p w14:paraId="55446385" w14:textId="4F185678" w:rsidR="009B722F" w:rsidRPr="009B722F" w:rsidRDefault="003F4986" w:rsidP="008E3DE5">
      <w:pPr>
        <w:pBdr>
          <w:top w:val="thinThickSmallGap" w:sz="18" w:space="1" w:color="262626" w:themeColor="text1" w:themeTint="D9"/>
          <w:left w:val="thinThickSmallGap" w:sz="18" w:space="12" w:color="262626" w:themeColor="text1" w:themeTint="D9"/>
          <w:bottom w:val="thickThinSmallGap" w:sz="18" w:space="1" w:color="262626" w:themeColor="text1" w:themeTint="D9"/>
          <w:right w:val="thickThinSmallGap" w:sz="18" w:space="4" w:color="262626" w:themeColor="text1" w:themeTint="D9"/>
        </w:pBdr>
        <w:spacing w:before="0" w:after="0" w:line="240" w:lineRule="auto"/>
        <w:ind w:left="1008" w:right="1008"/>
        <w:jc w:val="center"/>
        <w:rPr>
          <w:rFonts w:cs="Leelawadee"/>
          <w:b/>
          <w:bCs/>
          <w:smallCaps/>
          <w:color w:val="595959" w:themeColor="text1" w:themeTint="A6"/>
          <w:sz w:val="22"/>
          <w14:textOutline w14:w="9525" w14:cap="rnd" w14:cmpd="sng" w14:algn="ctr">
            <w14:solidFill>
              <w14:schemeClr w14:val="accent2">
                <w14:lumMod w14:val="50000"/>
              </w14:schemeClr>
            </w14:solidFill>
            <w14:prstDash w14:val="solid"/>
            <w14:bevel/>
          </w14:textOutline>
        </w:rPr>
      </w:pPr>
      <w:r>
        <w:rPr>
          <w:rFonts w:cs="Leelawadee"/>
          <w:b/>
          <w:bCs/>
          <w:smallCaps/>
          <w:color w:val="595959" w:themeColor="text1" w:themeTint="A6"/>
          <w:sz w:val="22"/>
          <w14:textOutline w14:w="9525" w14:cap="rnd" w14:cmpd="sng" w14:algn="ctr">
            <w14:solidFill>
              <w14:schemeClr w14:val="accent2">
                <w14:lumMod w14:val="50000"/>
              </w14:schemeClr>
            </w14:solidFill>
            <w14:prstDash w14:val="solid"/>
            <w14:bevel/>
          </w14:textOutline>
        </w:rPr>
        <w:t>October 13, 2023</w:t>
      </w:r>
    </w:p>
    <w:p w14:paraId="6ADF6E7F" w14:textId="77777777" w:rsidR="00202691" w:rsidRPr="003F4986" w:rsidRDefault="00202691" w:rsidP="008E3DE5">
      <w:pPr>
        <w:pBdr>
          <w:top w:val="thinThickSmallGap" w:sz="18" w:space="1" w:color="262626" w:themeColor="text1" w:themeTint="D9"/>
          <w:left w:val="thinThickSmallGap" w:sz="18" w:space="12" w:color="262626" w:themeColor="text1" w:themeTint="D9"/>
          <w:bottom w:val="thickThinSmallGap" w:sz="18" w:space="1" w:color="262626" w:themeColor="text1" w:themeTint="D9"/>
          <w:right w:val="thickThinSmallGap" w:sz="18" w:space="4" w:color="262626" w:themeColor="text1" w:themeTint="D9"/>
        </w:pBdr>
        <w:spacing w:before="0" w:after="0"/>
        <w:ind w:left="1008" w:right="1008"/>
        <w:jc w:val="center"/>
        <w:rPr>
          <w:b/>
          <w:bCs/>
          <w:smallCaps/>
          <w:sz w:val="18"/>
          <w:szCs w:val="18"/>
        </w:rPr>
      </w:pPr>
    </w:p>
    <w:p w14:paraId="140A145C" w14:textId="14FCEDFD" w:rsidR="00907188" w:rsidRPr="002F28A6" w:rsidRDefault="00EC69DE" w:rsidP="0007124E">
      <w:pPr>
        <w:spacing w:before="240" w:after="0" w:line="240" w:lineRule="auto"/>
        <w:jc w:val="center"/>
        <w:rPr>
          <w:i/>
          <w:iCs/>
          <w:sz w:val="20"/>
          <w:szCs w:val="20"/>
        </w:rPr>
      </w:pPr>
      <w:r>
        <w:rPr>
          <w:i/>
          <w:iCs/>
          <w:sz w:val="20"/>
          <w:szCs w:val="20"/>
        </w:rPr>
        <w:t xml:space="preserve">Note: </w:t>
      </w:r>
      <w:r w:rsidR="0098179D">
        <w:rPr>
          <w:i/>
          <w:iCs/>
          <w:sz w:val="20"/>
          <w:szCs w:val="20"/>
        </w:rPr>
        <w:t>The terms</w:t>
      </w:r>
      <w:r w:rsidR="00133ED6" w:rsidRPr="002F28A6">
        <w:rPr>
          <w:i/>
          <w:iCs/>
          <w:sz w:val="20"/>
          <w:szCs w:val="20"/>
        </w:rPr>
        <w:t xml:space="preserve"> used in this</w:t>
      </w:r>
      <w:r w:rsidR="0000725F">
        <w:rPr>
          <w:i/>
          <w:iCs/>
          <w:sz w:val="20"/>
          <w:szCs w:val="20"/>
        </w:rPr>
        <w:t xml:space="preserve"> </w:t>
      </w:r>
      <w:r w:rsidR="00133ED6" w:rsidRPr="002F28A6">
        <w:rPr>
          <w:i/>
          <w:iCs/>
          <w:sz w:val="20"/>
          <w:szCs w:val="20"/>
        </w:rPr>
        <w:t xml:space="preserve">document have </w:t>
      </w:r>
      <w:r>
        <w:rPr>
          <w:i/>
          <w:iCs/>
          <w:sz w:val="20"/>
          <w:szCs w:val="20"/>
        </w:rPr>
        <w:t xml:space="preserve">the </w:t>
      </w:r>
      <w:r w:rsidR="00133ED6" w:rsidRPr="002F28A6">
        <w:rPr>
          <w:i/>
          <w:iCs/>
          <w:sz w:val="20"/>
          <w:szCs w:val="20"/>
        </w:rPr>
        <w:t xml:space="preserve">specific meanings set out in the Appendix attached. </w:t>
      </w:r>
    </w:p>
    <w:p w14:paraId="3DBB5730" w14:textId="790505CB" w:rsidR="000B4E1A" w:rsidRPr="003F4986" w:rsidRDefault="000B4E1A" w:rsidP="00B20555">
      <w:pPr>
        <w:spacing w:before="240"/>
        <w:jc w:val="center"/>
        <w:rPr>
          <w:b/>
          <w:bCs/>
          <w:color w:val="595959" w:themeColor="text1" w:themeTint="A6"/>
          <w:sz w:val="28"/>
          <w:szCs w:val="24"/>
          <w:u w:val="single"/>
        </w:rPr>
      </w:pPr>
      <w:r w:rsidRPr="003F4986">
        <w:rPr>
          <w:b/>
          <w:bCs/>
          <w:color w:val="595959" w:themeColor="text1" w:themeTint="A6"/>
          <w:sz w:val="28"/>
          <w:szCs w:val="24"/>
          <w:u w:val="single"/>
        </w:rPr>
        <w:t>Background</w:t>
      </w:r>
    </w:p>
    <w:p w14:paraId="365100C8" w14:textId="2996ED52" w:rsidR="00F708D4" w:rsidRPr="00255AD3" w:rsidRDefault="00674BD8" w:rsidP="00255AD3">
      <w:r w:rsidRPr="00255AD3">
        <w:t>In 2021, the</w:t>
      </w:r>
      <w:r w:rsidR="00807C5B" w:rsidRPr="00255AD3">
        <w:t xml:space="preserve"> </w:t>
      </w:r>
      <w:r w:rsidR="00355342">
        <w:t xml:space="preserve">MTC </w:t>
      </w:r>
      <w:r w:rsidR="00807C5B" w:rsidRPr="00255AD3">
        <w:t xml:space="preserve">Uniformity Committee </w:t>
      </w:r>
      <w:r w:rsidR="00613FA1" w:rsidRPr="00255AD3">
        <w:t>created</w:t>
      </w:r>
      <w:r w:rsidR="00807C5B" w:rsidRPr="00255AD3">
        <w:t xml:space="preserve"> a work group to </w:t>
      </w:r>
      <w:r w:rsidR="007C1438" w:rsidRPr="00255AD3">
        <w:t xml:space="preserve">study </w:t>
      </w:r>
      <w:r w:rsidR="00325C81">
        <w:t xml:space="preserve">state </w:t>
      </w:r>
      <w:r w:rsidR="008E3DE5">
        <w:t>tax</w:t>
      </w:r>
      <w:r w:rsidR="00E03A0A">
        <w:t xml:space="preserve">ation of partnerships </w:t>
      </w:r>
      <w:r w:rsidR="00613FA1" w:rsidRPr="00255AD3">
        <w:t xml:space="preserve">and </w:t>
      </w:r>
      <w:r w:rsidR="00CC090E" w:rsidRPr="00255AD3">
        <w:t>make recommendations</w:t>
      </w:r>
      <w:r w:rsidR="009B5553" w:rsidRPr="00255AD3">
        <w:t>.</w:t>
      </w:r>
      <w:r w:rsidR="00F708D4" w:rsidRPr="00255AD3">
        <w:t xml:space="preserve"> </w:t>
      </w:r>
      <w:r w:rsidR="00325C81">
        <w:t>So far, it</w:t>
      </w:r>
      <w:r w:rsidR="00F708D4" w:rsidRPr="00255AD3">
        <w:t xml:space="preserve"> has produced a comprehensive outline, two white papers, and two draft models</w:t>
      </w:r>
      <w:r w:rsidR="00325C81">
        <w:t>, one on</w:t>
      </w:r>
      <w:r w:rsidR="00A14342" w:rsidRPr="00255AD3">
        <w:t xml:space="preserve"> </w:t>
      </w:r>
      <w:r w:rsidR="00AD2D62">
        <w:t xml:space="preserve">sourcing of income from </w:t>
      </w:r>
      <w:r w:rsidR="00A14342" w:rsidRPr="00255AD3">
        <w:t xml:space="preserve">investment partnerships and </w:t>
      </w:r>
      <w:r w:rsidR="00325C81">
        <w:t xml:space="preserve">one on </w:t>
      </w:r>
      <w:r w:rsidR="00AD2D62">
        <w:t xml:space="preserve">sourcing </w:t>
      </w:r>
      <w:r w:rsidR="00A14342" w:rsidRPr="00255AD3">
        <w:t>guaranteed payments</w:t>
      </w:r>
      <w:r w:rsidR="00AD2D62">
        <w:t xml:space="preserve"> for services</w:t>
      </w:r>
      <w:r w:rsidR="00F708D4" w:rsidRPr="00255AD3">
        <w:t>.</w:t>
      </w:r>
      <w:r w:rsidRPr="00255AD3">
        <w:rPr>
          <w:rStyle w:val="FootnoteReference"/>
          <w:rFonts w:asciiTheme="majorHAnsi" w:hAnsiTheme="majorHAnsi"/>
          <w:color w:val="000000" w:themeColor="text1"/>
        </w:rPr>
        <w:footnoteReference w:id="1"/>
      </w:r>
      <w:r w:rsidR="00A22BA4" w:rsidRPr="00255AD3">
        <w:t xml:space="preserve"> </w:t>
      </w:r>
      <w:r w:rsidR="00AE2638" w:rsidRPr="00255AD3">
        <w:t>But, a</w:t>
      </w:r>
      <w:r w:rsidR="009C79A4" w:rsidRPr="00255AD3">
        <w:t xml:space="preserve">s expected, </w:t>
      </w:r>
      <w:r w:rsidR="00613FA1" w:rsidRPr="00255AD3">
        <w:t>t</w:t>
      </w:r>
      <w:r w:rsidR="002663E5">
        <w:t>he</w:t>
      </w:r>
      <w:r w:rsidR="00613FA1" w:rsidRPr="00255AD3">
        <w:t xml:space="preserve"> </w:t>
      </w:r>
      <w:r w:rsidR="002F371F" w:rsidRPr="00255AD3">
        <w:t xml:space="preserve">work on </w:t>
      </w:r>
      <w:r w:rsidR="002663E5">
        <w:t xml:space="preserve">these </w:t>
      </w:r>
      <w:r w:rsidR="002F371F" w:rsidRPr="00255AD3">
        <w:t>specific issues has</w:t>
      </w:r>
      <w:r w:rsidR="006656F3" w:rsidRPr="00255AD3">
        <w:t xml:space="preserve"> raised </w:t>
      </w:r>
      <w:r w:rsidR="002663E5">
        <w:t>some more</w:t>
      </w:r>
      <w:r w:rsidR="00240F97" w:rsidRPr="00255AD3">
        <w:t xml:space="preserve"> </w:t>
      </w:r>
      <w:r w:rsidR="002663E5">
        <w:t xml:space="preserve">fundamental </w:t>
      </w:r>
      <w:r w:rsidR="00847871" w:rsidRPr="00255AD3">
        <w:t>questions</w:t>
      </w:r>
      <w:r w:rsidR="00A14342" w:rsidRPr="00255AD3">
        <w:t xml:space="preserve"> </w:t>
      </w:r>
      <w:r w:rsidR="008E3DE5">
        <w:t xml:space="preserve">about the pass-through </w:t>
      </w:r>
      <w:r w:rsidR="001679B9">
        <w:t xml:space="preserve">tax </w:t>
      </w:r>
      <w:r w:rsidR="008E3DE5">
        <w:t>system</w:t>
      </w:r>
      <w:r w:rsidR="00E03A0A">
        <w:t xml:space="preserve"> used </w:t>
      </w:r>
      <w:r w:rsidR="00AF47A4">
        <w:t>by most states</w:t>
      </w:r>
      <w:r w:rsidR="00A14342" w:rsidRPr="00255AD3">
        <w:t xml:space="preserve">. </w:t>
      </w:r>
      <w:r w:rsidR="00AF47A4">
        <w:t xml:space="preserve">As the work group’s </w:t>
      </w:r>
      <w:r w:rsidR="001C0EC0">
        <w:t xml:space="preserve">discussions proceed to </w:t>
      </w:r>
      <w:r w:rsidR="00817C51">
        <w:t>other</w:t>
      </w:r>
      <w:r w:rsidR="001C0EC0">
        <w:t xml:space="preserve"> issues, it </w:t>
      </w:r>
      <w:r w:rsidR="00AD2D62">
        <w:t xml:space="preserve">may be helpful for </w:t>
      </w:r>
      <w:r w:rsidR="00755E32">
        <w:t xml:space="preserve">the </w:t>
      </w:r>
      <w:r w:rsidR="00FD7338">
        <w:t>participating</w:t>
      </w:r>
      <w:r w:rsidR="00AE2638" w:rsidRPr="00255AD3">
        <w:t xml:space="preserve"> states to </w:t>
      </w:r>
      <w:r w:rsidR="00FD7338">
        <w:t>adopt</w:t>
      </w:r>
      <w:r w:rsidR="00210296">
        <w:t xml:space="preserve"> an agreed-upon framework to guide those discussions</w:t>
      </w:r>
      <w:r w:rsidR="009C04E1" w:rsidRPr="00255AD3">
        <w:t xml:space="preserve">. </w:t>
      </w:r>
    </w:p>
    <w:p w14:paraId="2834BF99" w14:textId="7BE422A9" w:rsidR="001A38C1" w:rsidRPr="003F4986" w:rsidRDefault="007A6101" w:rsidP="001A38C1">
      <w:pPr>
        <w:jc w:val="center"/>
        <w:rPr>
          <w:b/>
          <w:bCs/>
          <w:color w:val="595959" w:themeColor="text1" w:themeTint="A6"/>
          <w:sz w:val="28"/>
          <w:szCs w:val="24"/>
          <w:u w:val="single"/>
        </w:rPr>
      </w:pPr>
      <w:r w:rsidRPr="003F4986">
        <w:rPr>
          <w:b/>
          <w:bCs/>
          <w:color w:val="595959" w:themeColor="text1" w:themeTint="A6"/>
          <w:sz w:val="28"/>
          <w:szCs w:val="24"/>
          <w:u w:val="single"/>
        </w:rPr>
        <w:t>Elements of the Framework</w:t>
      </w:r>
    </w:p>
    <w:p w14:paraId="3897E905" w14:textId="562A526B" w:rsidR="001A38C1" w:rsidRPr="001A38C1" w:rsidRDefault="00255AD3" w:rsidP="003F4986">
      <w:pPr>
        <w:spacing w:after="120"/>
      </w:pPr>
      <w:r>
        <w:t>T</w:t>
      </w:r>
      <w:r w:rsidR="002B6625">
        <w:t>ax system</w:t>
      </w:r>
      <w:r w:rsidR="00AE2638">
        <w:t>s</w:t>
      </w:r>
      <w:r w:rsidR="002E4759">
        <w:t xml:space="preserve"> are</w:t>
      </w:r>
      <w:r>
        <w:t xml:space="preserve"> like buildings</w:t>
      </w:r>
      <w:r w:rsidR="002E4759">
        <w:t xml:space="preserve"> in that they</w:t>
      </w:r>
      <w:r w:rsidR="002B6625">
        <w:t xml:space="preserve"> </w:t>
      </w:r>
      <w:r w:rsidR="00AE2638">
        <w:t>are</w:t>
      </w:r>
      <w:r w:rsidR="002B6625">
        <w:t xml:space="preserve"> made up of </w:t>
      </w:r>
      <w:r w:rsidR="002E4759">
        <w:t>different components</w:t>
      </w:r>
      <w:r w:rsidR="002663E5">
        <w:t xml:space="preserve">, </w:t>
      </w:r>
      <w:r w:rsidR="002E4759">
        <w:t>some of which are structural</w:t>
      </w:r>
      <w:r w:rsidR="002663E5">
        <w:t>—that is, harder to change and more integral—</w:t>
      </w:r>
      <w:r w:rsidR="00DC68EA">
        <w:t xml:space="preserve">and </w:t>
      </w:r>
      <w:r w:rsidR="002663E5">
        <w:t>which, in turn,</w:t>
      </w:r>
      <w:r w:rsidR="002E4759">
        <w:t xml:space="preserve"> may dictate how the entire building</w:t>
      </w:r>
      <w:r w:rsidR="002663E5">
        <w:t xml:space="preserve">, </w:t>
      </w:r>
      <w:r w:rsidR="002E4759">
        <w:t>or system</w:t>
      </w:r>
      <w:r w:rsidR="002663E5">
        <w:t>, can</w:t>
      </w:r>
      <w:r w:rsidR="002E4759">
        <w:t xml:space="preserve"> function</w:t>
      </w:r>
      <w:r w:rsidR="002B6625">
        <w:t xml:space="preserve">. </w:t>
      </w:r>
      <w:r w:rsidR="000A609E">
        <w:t>The</w:t>
      </w:r>
      <w:r w:rsidR="00A01592">
        <w:t xml:space="preserve"> element</w:t>
      </w:r>
      <w:r w:rsidR="000A609E">
        <w:t xml:space="preserve">s of the </w:t>
      </w:r>
      <w:r w:rsidR="00DC68EA">
        <w:t xml:space="preserve">state tax </w:t>
      </w:r>
      <w:r w:rsidR="000A609E">
        <w:t xml:space="preserve">framework proposed here are similar in that they are </w:t>
      </w:r>
      <w:r w:rsidR="002E4759">
        <w:t xml:space="preserve">either </w:t>
      </w:r>
      <w:r w:rsidR="00A01592">
        <w:t xml:space="preserve">permanent or difficult to change </w:t>
      </w:r>
      <w:r w:rsidR="002E4759">
        <w:t xml:space="preserve">and </w:t>
      </w:r>
      <w:r w:rsidR="000A609E">
        <w:t>are</w:t>
      </w:r>
      <w:r w:rsidR="002E4759">
        <w:t xml:space="preserve"> </w:t>
      </w:r>
      <w:r w:rsidR="00017022">
        <w:t>integral to the system</w:t>
      </w:r>
      <w:r w:rsidR="00B315C7">
        <w:t>—</w:t>
      </w:r>
      <w:r w:rsidR="00A01592">
        <w:t xml:space="preserve">that is, </w:t>
      </w:r>
      <w:r w:rsidR="00B315C7">
        <w:t xml:space="preserve">connected to or </w:t>
      </w:r>
      <w:r w:rsidR="006D18F3">
        <w:t xml:space="preserve">affecting multiple </w:t>
      </w:r>
      <w:r w:rsidR="002663E5">
        <w:t xml:space="preserve">different </w:t>
      </w:r>
      <w:r w:rsidR="006D18F3">
        <w:t>issues</w:t>
      </w:r>
      <w:r w:rsidR="00A01592">
        <w:t xml:space="preserve">. </w:t>
      </w:r>
      <w:r w:rsidR="006F7DC8">
        <w:t xml:space="preserve">The framework includes elements of general state law, constitutional law, and federal tax law, as well as </w:t>
      </w:r>
      <w:r w:rsidR="003A5DFC">
        <w:t>common provisions of state tax law</w:t>
      </w:r>
      <w:r w:rsidR="006F7DC8">
        <w:t xml:space="preserve">. </w:t>
      </w:r>
      <w:r w:rsidR="00DC68EA">
        <w:t xml:space="preserve">These elements are also necessary to make </w:t>
      </w:r>
      <w:r w:rsidR="00817C51">
        <w:t>the system</w:t>
      </w:r>
      <w:r w:rsidR="002F371F">
        <w:t>:</w:t>
      </w:r>
    </w:p>
    <w:p w14:paraId="12AFAAEC" w14:textId="0FB58401" w:rsidR="009C79A4" w:rsidRDefault="009C79A4" w:rsidP="00B315C7">
      <w:pPr>
        <w:numPr>
          <w:ilvl w:val="0"/>
          <w:numId w:val="10"/>
        </w:numPr>
        <w:spacing w:after="120"/>
        <w:ind w:left="1080" w:right="864"/>
      </w:pPr>
      <w:r>
        <w:t xml:space="preserve">Workable – creating a </w:t>
      </w:r>
      <w:r w:rsidR="00496353">
        <w:t xml:space="preserve">complete and </w:t>
      </w:r>
      <w:r>
        <w:t xml:space="preserve">consistent framework that can </w:t>
      </w:r>
      <w:r w:rsidR="00ED0C46">
        <w:t>address issues arising under various facts and circumstances</w:t>
      </w:r>
      <w:r>
        <w:t>;</w:t>
      </w:r>
    </w:p>
    <w:p w14:paraId="47CE9D08" w14:textId="26C186FC" w:rsidR="001A38C1" w:rsidRPr="001A38C1" w:rsidRDefault="001A38C1" w:rsidP="00B315C7">
      <w:pPr>
        <w:numPr>
          <w:ilvl w:val="0"/>
          <w:numId w:val="10"/>
        </w:numPr>
        <w:spacing w:after="120"/>
        <w:ind w:left="1080" w:right="864"/>
      </w:pPr>
      <w:r w:rsidRPr="001A38C1">
        <w:t>Enforceable – with clear, specific rules</w:t>
      </w:r>
      <w:r w:rsidR="00ED0C46">
        <w:t xml:space="preserve"> that create filing obligations</w:t>
      </w:r>
      <w:r w:rsidRPr="001A38C1">
        <w:t xml:space="preserve"> </w:t>
      </w:r>
      <w:r w:rsidR="00ED0C46">
        <w:t xml:space="preserve">as well as </w:t>
      </w:r>
      <w:r w:rsidRPr="001A38C1">
        <w:t>workable enforcement mechanisms;</w:t>
      </w:r>
    </w:p>
    <w:p w14:paraId="3A04AB96" w14:textId="79B3DCF6" w:rsidR="001A38C1" w:rsidRDefault="001A38C1" w:rsidP="00B315C7">
      <w:pPr>
        <w:numPr>
          <w:ilvl w:val="0"/>
          <w:numId w:val="10"/>
        </w:numPr>
        <w:spacing w:after="120"/>
        <w:ind w:left="1080" w:right="864"/>
      </w:pPr>
      <w:r w:rsidRPr="001A38C1">
        <w:t>Administrable – minimizing burdens on both states and taxpayers</w:t>
      </w:r>
      <w:r w:rsidR="00ED0C46">
        <w:t xml:space="preserve"> to the extent possible</w:t>
      </w:r>
      <w:r w:rsidRPr="001A38C1">
        <w:t>; and</w:t>
      </w:r>
    </w:p>
    <w:p w14:paraId="733A6673" w14:textId="0CA68F81" w:rsidR="004C0B80" w:rsidRDefault="001A38C1" w:rsidP="00B315C7">
      <w:pPr>
        <w:numPr>
          <w:ilvl w:val="0"/>
          <w:numId w:val="10"/>
        </w:numPr>
        <w:ind w:left="1080" w:right="864"/>
      </w:pPr>
      <w:r w:rsidRPr="001A38C1">
        <w:t xml:space="preserve">Equitable – treating similar income </w:t>
      </w:r>
      <w:r w:rsidR="00ED0C46">
        <w:t xml:space="preserve">from </w:t>
      </w:r>
      <w:r w:rsidRPr="001A38C1">
        <w:t>similar activities the same</w:t>
      </w:r>
      <w:r w:rsidR="00496353">
        <w:t>, unless otherwise indicated by state policy choices</w:t>
      </w:r>
      <w:r w:rsidRPr="001A38C1">
        <w:t>.</w:t>
      </w:r>
    </w:p>
    <w:p w14:paraId="73C23037" w14:textId="0F49AAB5" w:rsidR="00C4594F" w:rsidRPr="00255AD3" w:rsidRDefault="00E01B79" w:rsidP="00C4594F">
      <w:r>
        <w:t>Views</w:t>
      </w:r>
      <w:r w:rsidR="0000199F">
        <w:t xml:space="preserve"> </w:t>
      </w:r>
      <w:r w:rsidR="00C4594F">
        <w:t>about</w:t>
      </w:r>
      <w:r w:rsidR="0000199F">
        <w:t xml:space="preserve"> </w:t>
      </w:r>
      <w:r w:rsidR="00C4594F">
        <w:t xml:space="preserve">some of the </w:t>
      </w:r>
      <w:r w:rsidR="0000199F">
        <w:t xml:space="preserve">essential elements of the state </w:t>
      </w:r>
      <w:r w:rsidR="00C4594F">
        <w:t>pass-through</w:t>
      </w:r>
      <w:r w:rsidR="0000199F">
        <w:t xml:space="preserve"> tax </w:t>
      </w:r>
      <w:r w:rsidR="00EB41EA">
        <w:t>framework</w:t>
      </w:r>
      <w:r w:rsidR="0000199F">
        <w:t xml:space="preserve"> have evolved over time </w:t>
      </w:r>
      <w:r w:rsidR="00D2733B">
        <w:t>and</w:t>
      </w:r>
      <w:r w:rsidR="0000199F">
        <w:t xml:space="preserve"> the complexity of partnerships has also grown</w:t>
      </w:r>
      <w:r w:rsidR="00D2733B">
        <w:t>. So</w:t>
      </w:r>
      <w:r w:rsidR="0000199F">
        <w:t xml:space="preserve"> it is not always clear </w:t>
      </w:r>
      <w:r w:rsidR="00C4594F">
        <w:lastRenderedPageBreak/>
        <w:t>whether these</w:t>
      </w:r>
      <w:r w:rsidR="0000199F">
        <w:t xml:space="preserve"> essential elements </w:t>
      </w:r>
      <w:r w:rsidR="00C4594F">
        <w:t xml:space="preserve">can be relied on to </w:t>
      </w:r>
      <w:r w:rsidR="002663E5">
        <w:t xml:space="preserve">make the system function in all </w:t>
      </w:r>
      <w:r w:rsidR="0000199F">
        <w:t>circumstance</w:t>
      </w:r>
      <w:r w:rsidR="002663E5">
        <w:t>s</w:t>
      </w:r>
      <w:r w:rsidR="000800ED">
        <w:t>.</w:t>
      </w:r>
      <w:r w:rsidR="00C4594F">
        <w:t xml:space="preserve"> This </w:t>
      </w:r>
      <w:r w:rsidR="002663E5">
        <w:t xml:space="preserve">uncertainty </w:t>
      </w:r>
      <w:r w:rsidR="00C4594F">
        <w:t xml:space="preserve">is another reason to review </w:t>
      </w:r>
      <w:r w:rsidR="002663E5">
        <w:t xml:space="preserve">and consider </w:t>
      </w:r>
      <w:r w:rsidR="009B5415">
        <w:t>this framework</w:t>
      </w:r>
      <w:r w:rsidR="00C4594F">
        <w:t xml:space="preserve">. </w:t>
      </w:r>
    </w:p>
    <w:p w14:paraId="62FAD397" w14:textId="744EA29A" w:rsidR="00496353" w:rsidRPr="00EE2BB0" w:rsidRDefault="00C4322C" w:rsidP="00496353">
      <w:pPr>
        <w:jc w:val="center"/>
        <w:rPr>
          <w:b/>
          <w:bCs/>
          <w:color w:val="595959" w:themeColor="text1" w:themeTint="A6"/>
          <w:sz w:val="32"/>
          <w:szCs w:val="28"/>
          <w:u w:val="single"/>
        </w:rPr>
      </w:pPr>
      <w:r>
        <w:rPr>
          <w:b/>
          <w:bCs/>
          <w:color w:val="595959" w:themeColor="text1" w:themeTint="A6"/>
          <w:sz w:val="32"/>
          <w:szCs w:val="28"/>
          <w:u w:val="single"/>
        </w:rPr>
        <w:t>General Framework</w:t>
      </w:r>
    </w:p>
    <w:p w14:paraId="6971DA9D" w14:textId="63AAC1E1" w:rsidR="009C79A4" w:rsidRDefault="00496353" w:rsidP="009C79A4">
      <w:r>
        <w:t xml:space="preserve">The essential elements </w:t>
      </w:r>
      <w:r w:rsidR="00C4322C">
        <w:t xml:space="preserve">of this framework </w:t>
      </w:r>
      <w:r>
        <w:t xml:space="preserve">are </w:t>
      </w:r>
      <w:r w:rsidR="00022669">
        <w:t>listed</w:t>
      </w:r>
      <w:r>
        <w:t xml:space="preserve"> </w:t>
      </w:r>
      <w:r w:rsidR="00F50432">
        <w:t xml:space="preserve">here </w:t>
      </w:r>
      <w:r>
        <w:t>in summary form</w:t>
      </w:r>
      <w:r w:rsidR="002663E5">
        <w:t xml:space="preserve">, noting any inherent uncertainty that may affect that element. </w:t>
      </w:r>
      <w:r w:rsidR="00E84D8F">
        <w:t xml:space="preserve"> </w:t>
      </w:r>
    </w:p>
    <w:p w14:paraId="70F3D2C0" w14:textId="4E258F9C" w:rsidR="00842EFB" w:rsidRPr="00280DC7" w:rsidRDefault="00842EFB" w:rsidP="00457EE3">
      <w:pPr>
        <w:spacing w:after="120"/>
        <w:rPr>
          <w:b/>
          <w:bCs/>
          <w:color w:val="595959" w:themeColor="text1" w:themeTint="A6"/>
          <w:u w:val="single"/>
        </w:rPr>
      </w:pPr>
      <w:r w:rsidRPr="00280DC7">
        <w:rPr>
          <w:b/>
          <w:bCs/>
          <w:color w:val="595959" w:themeColor="text1" w:themeTint="A6"/>
          <w:u w:val="single"/>
        </w:rPr>
        <w:t>General</w:t>
      </w:r>
    </w:p>
    <w:p w14:paraId="26DD2120" w14:textId="2E1AD5FD" w:rsidR="00E84D8F" w:rsidRDefault="00AE2F5B" w:rsidP="00EE2BB0">
      <w:pPr>
        <w:pStyle w:val="ListParagraph"/>
        <w:numPr>
          <w:ilvl w:val="0"/>
          <w:numId w:val="11"/>
        </w:numPr>
        <w:spacing w:after="120"/>
        <w:contextualSpacing w:val="0"/>
      </w:pPr>
      <w:r>
        <w:t>S</w:t>
      </w:r>
      <w:r w:rsidR="00496353">
        <w:t>tate law govern</w:t>
      </w:r>
      <w:r w:rsidR="007802F7">
        <w:t>s</w:t>
      </w:r>
      <w:r w:rsidR="00496353">
        <w:t xml:space="preserve"> </w:t>
      </w:r>
      <w:r w:rsidR="00F50432">
        <w:t xml:space="preserve">the </w:t>
      </w:r>
      <w:r w:rsidR="00496353">
        <w:t xml:space="preserve">formation of different </w:t>
      </w:r>
      <w:r w:rsidR="00F50432">
        <w:t xml:space="preserve">types </w:t>
      </w:r>
      <w:r w:rsidR="00496353">
        <w:t xml:space="preserve">of </w:t>
      </w:r>
      <w:r w:rsidR="00F50432">
        <w:t>partnerships</w:t>
      </w:r>
      <w:r w:rsidR="00EE2BB0">
        <w:t xml:space="preserve"> and the</w:t>
      </w:r>
      <w:r w:rsidR="00496353">
        <w:t xml:space="preserve"> basic rights </w:t>
      </w:r>
      <w:r w:rsidR="00EE2BB0">
        <w:t>of partners</w:t>
      </w:r>
      <w:r w:rsidR="00496353">
        <w:t>, including</w:t>
      </w:r>
      <w:r w:rsidR="00C90C24">
        <w:t xml:space="preserve"> any rights to</w:t>
      </w:r>
      <w:r w:rsidR="00E84D8F">
        <w:t>:</w:t>
      </w:r>
      <w:r w:rsidR="00496353">
        <w:t xml:space="preserve"> </w:t>
      </w:r>
    </w:p>
    <w:p w14:paraId="0EEBEFFB" w14:textId="527DEADF" w:rsidR="00C90C24" w:rsidRDefault="00C90C24" w:rsidP="00022669">
      <w:pPr>
        <w:pStyle w:val="ListParagraph"/>
        <w:numPr>
          <w:ilvl w:val="1"/>
          <w:numId w:val="11"/>
        </w:numPr>
        <w:spacing w:before="0" w:after="120"/>
        <w:contextualSpacing w:val="0"/>
      </w:pPr>
      <w:r>
        <w:t>D</w:t>
      </w:r>
      <w:r w:rsidR="00496353">
        <w:t xml:space="preserve">ivest </w:t>
      </w:r>
      <w:r w:rsidR="00E84D8F">
        <w:t>or transfer the</w:t>
      </w:r>
      <w:r w:rsidR="003F4543">
        <w:t>ir</w:t>
      </w:r>
      <w:r w:rsidR="00E84D8F">
        <w:t xml:space="preserve"> </w:t>
      </w:r>
      <w:r w:rsidR="00496353">
        <w:t>interests</w:t>
      </w:r>
      <w:r>
        <w:t>;</w:t>
      </w:r>
    </w:p>
    <w:p w14:paraId="4D1DF36A" w14:textId="09221E08" w:rsidR="00E84D8F" w:rsidRDefault="00C90C24" w:rsidP="00022669">
      <w:pPr>
        <w:pStyle w:val="ListParagraph"/>
        <w:numPr>
          <w:ilvl w:val="1"/>
          <w:numId w:val="11"/>
        </w:numPr>
        <w:spacing w:before="0" w:after="120"/>
        <w:contextualSpacing w:val="0"/>
      </w:pPr>
      <w:r>
        <w:t xml:space="preserve">Receive liquidating </w:t>
      </w:r>
      <w:r w:rsidR="00496353">
        <w:t>distributions</w:t>
      </w:r>
      <w:r w:rsidR="00E84D8F">
        <w:t>; and</w:t>
      </w:r>
    </w:p>
    <w:p w14:paraId="7B145704" w14:textId="4F1D5442" w:rsidR="00496353" w:rsidRDefault="00C90C24" w:rsidP="00EE2BB0">
      <w:pPr>
        <w:pStyle w:val="ListParagraph"/>
        <w:numPr>
          <w:ilvl w:val="1"/>
          <w:numId w:val="11"/>
        </w:numPr>
        <w:spacing w:before="0"/>
        <w:contextualSpacing w:val="0"/>
      </w:pPr>
      <w:r>
        <w:t>A</w:t>
      </w:r>
      <w:r w:rsidR="00E84D8F">
        <w:t>lter certain legal and economic rights and relationships</w:t>
      </w:r>
      <w:r>
        <w:t xml:space="preserve"> by agreement</w:t>
      </w:r>
      <w:r w:rsidR="00E84D8F">
        <w:t xml:space="preserve">. </w:t>
      </w:r>
      <w:r w:rsidR="00496353">
        <w:t xml:space="preserve"> </w:t>
      </w:r>
    </w:p>
    <w:p w14:paraId="0F1154D7" w14:textId="06CD3CA5" w:rsidR="00F50432" w:rsidRDefault="00F50432" w:rsidP="00E84D8F">
      <w:pPr>
        <w:pStyle w:val="ListParagraph"/>
        <w:numPr>
          <w:ilvl w:val="0"/>
          <w:numId w:val="11"/>
        </w:numPr>
        <w:contextualSpacing w:val="0"/>
      </w:pPr>
      <w:r>
        <w:t>State</w:t>
      </w:r>
      <w:r w:rsidR="00E84D8F">
        <w:t xml:space="preserve">s allow </w:t>
      </w:r>
      <w:r>
        <w:t xml:space="preserve">entities formed </w:t>
      </w:r>
      <w:r w:rsidR="00EE2BB0">
        <w:t>in</w:t>
      </w:r>
      <w:r>
        <w:t xml:space="preserve"> other jurisdictions to operate in the state</w:t>
      </w:r>
      <w:r w:rsidR="00E84D8F">
        <w:t>,</w:t>
      </w:r>
      <w:r>
        <w:t xml:space="preserve"> provided they comply </w:t>
      </w:r>
      <w:r w:rsidR="00EE2BB0">
        <w:t xml:space="preserve">with </w:t>
      </w:r>
      <w:r>
        <w:t xml:space="preserve">state </w:t>
      </w:r>
      <w:r w:rsidR="00022669">
        <w:t>regulatory requirements</w:t>
      </w:r>
      <w:r>
        <w:t xml:space="preserve">. </w:t>
      </w:r>
    </w:p>
    <w:p w14:paraId="4B79932F" w14:textId="029D4A97" w:rsidR="00F50432" w:rsidRDefault="00F50432" w:rsidP="00E84D8F">
      <w:pPr>
        <w:pStyle w:val="ListParagraph"/>
        <w:numPr>
          <w:ilvl w:val="0"/>
          <w:numId w:val="11"/>
        </w:numPr>
        <w:contextualSpacing w:val="0"/>
      </w:pPr>
      <w:r>
        <w:t xml:space="preserve">State income taxes generally conform to applicable federal substantive tax provisions </w:t>
      </w:r>
      <w:r w:rsidR="00EE2BB0">
        <w:t xml:space="preserve">for computing </w:t>
      </w:r>
      <w:r w:rsidR="00184778">
        <w:t xml:space="preserve">and characterizing items of </w:t>
      </w:r>
      <w:r w:rsidR="00EE2BB0">
        <w:t xml:space="preserve">income </w:t>
      </w:r>
      <w:r w:rsidR="00184778">
        <w:t>for</w:t>
      </w:r>
      <w:r w:rsidR="00EE2BB0">
        <w:t xml:space="preserve"> individuals and corporations, </w:t>
      </w:r>
      <w:r>
        <w:t xml:space="preserve">and follow </w:t>
      </w:r>
      <w:r w:rsidR="00E84D8F">
        <w:t xml:space="preserve">the </w:t>
      </w:r>
      <w:r>
        <w:t xml:space="preserve">IRS interpretation of those provisions. </w:t>
      </w:r>
    </w:p>
    <w:p w14:paraId="64614C05" w14:textId="6C74ADD8" w:rsidR="00496353" w:rsidRDefault="00E84D8F" w:rsidP="00EE2BB0">
      <w:pPr>
        <w:pStyle w:val="ListParagraph"/>
        <w:numPr>
          <w:ilvl w:val="0"/>
          <w:numId w:val="11"/>
        </w:numPr>
        <w:spacing w:after="120"/>
        <w:contextualSpacing w:val="0"/>
      </w:pPr>
      <w:r>
        <w:t>S</w:t>
      </w:r>
      <w:r w:rsidR="00F50432">
        <w:t xml:space="preserve">tate </w:t>
      </w:r>
      <w:r>
        <w:t>pass-through tax</w:t>
      </w:r>
      <w:r w:rsidR="00EE2BB0">
        <w:t xml:space="preserve"> systems</w:t>
      </w:r>
      <w:r>
        <w:t xml:space="preserve"> generally </w:t>
      </w:r>
      <w:r w:rsidR="00496353">
        <w:t xml:space="preserve">conform to the provisions of IRC Subchapter K and follow IRS interpretations of those provisions. </w:t>
      </w:r>
      <w:r w:rsidR="00460E02">
        <w:t xml:space="preserve">The critical elements of Subchapter K </w:t>
      </w:r>
      <w:r w:rsidR="00EA0977">
        <w:t xml:space="preserve">include: </w:t>
      </w:r>
    </w:p>
    <w:p w14:paraId="6150BFF5" w14:textId="68E671F9" w:rsidR="00C90C24" w:rsidRDefault="00EA0977" w:rsidP="00022669">
      <w:pPr>
        <w:pStyle w:val="ListParagraph"/>
        <w:numPr>
          <w:ilvl w:val="1"/>
          <w:numId w:val="11"/>
        </w:numPr>
        <w:spacing w:before="0" w:after="120"/>
        <w:contextualSpacing w:val="0"/>
      </w:pPr>
      <w:r>
        <w:t>P</w:t>
      </w:r>
      <w:r w:rsidR="00C90C24">
        <w:t xml:space="preserve">artnership income </w:t>
      </w:r>
      <w:r>
        <w:t xml:space="preserve">is taxed </w:t>
      </w:r>
      <w:r w:rsidR="00C90C24">
        <w:t>when earned</w:t>
      </w:r>
      <w:r w:rsidR="00EE2BB0">
        <w:t xml:space="preserve"> (IRC § 702 &amp; 703)</w:t>
      </w:r>
      <w:r w:rsidR="00C90C24">
        <w:t>.</w:t>
      </w:r>
    </w:p>
    <w:p w14:paraId="2F5366AC" w14:textId="5186A212" w:rsidR="00C90C24" w:rsidRDefault="00BD0B15" w:rsidP="00022669">
      <w:pPr>
        <w:pStyle w:val="ListParagraph"/>
        <w:numPr>
          <w:ilvl w:val="1"/>
          <w:numId w:val="11"/>
        </w:numPr>
        <w:spacing w:before="0" w:after="120"/>
        <w:contextualSpacing w:val="0"/>
      </w:pPr>
      <w:r>
        <w:t>P</w:t>
      </w:r>
      <w:r w:rsidR="00C90C24">
        <w:t xml:space="preserve">artners </w:t>
      </w:r>
      <w:r>
        <w:t xml:space="preserve">are required to report and pay tax on </w:t>
      </w:r>
      <w:r w:rsidR="00C90C24">
        <w:t>their share</w:t>
      </w:r>
      <w:r>
        <w:t>s</w:t>
      </w:r>
      <w:r w:rsidR="00C90C24">
        <w:t xml:space="preserve"> of partnership items of income, expense, gain or loss, regardless of whether they receive any actual distribution</w:t>
      </w:r>
      <w:r w:rsidR="00441DB0">
        <w:t xml:space="preserve"> (IRC § 704).</w:t>
      </w:r>
    </w:p>
    <w:p w14:paraId="7CE24EBD" w14:textId="4BD19AB4" w:rsidR="00C90C24" w:rsidRDefault="004B588A" w:rsidP="00022669">
      <w:pPr>
        <w:pStyle w:val="ListParagraph"/>
        <w:numPr>
          <w:ilvl w:val="1"/>
          <w:numId w:val="11"/>
        </w:numPr>
        <w:spacing w:before="0" w:after="120"/>
        <w:contextualSpacing w:val="0"/>
      </w:pPr>
      <w:r>
        <w:t>D</w:t>
      </w:r>
      <w:r w:rsidR="00C90C24">
        <w:t>istribution</w:t>
      </w:r>
      <w:r>
        <w:t>s are not taxable</w:t>
      </w:r>
      <w:r w:rsidR="00C90C24">
        <w:t xml:space="preserve"> to the extent </w:t>
      </w:r>
      <w:r>
        <w:t>they</w:t>
      </w:r>
      <w:r w:rsidR="00C90C24">
        <w:t xml:space="preserve"> represent </w:t>
      </w:r>
      <w:r w:rsidR="0069496C">
        <w:t xml:space="preserve">contributions by or </w:t>
      </w:r>
      <w:r w:rsidR="00C90C24">
        <w:t>income already recognized by the partner</w:t>
      </w:r>
      <w:r w:rsidR="00441DB0">
        <w:t xml:space="preserve"> (IRC § 731)</w:t>
      </w:r>
      <w:r w:rsidR="00C90C24">
        <w:t xml:space="preserve">. </w:t>
      </w:r>
    </w:p>
    <w:p w14:paraId="1639961F" w14:textId="51F93755" w:rsidR="00E84D8F" w:rsidRDefault="0069496C" w:rsidP="00EE2BB0">
      <w:pPr>
        <w:pStyle w:val="ListParagraph"/>
        <w:numPr>
          <w:ilvl w:val="1"/>
          <w:numId w:val="11"/>
        </w:numPr>
        <w:spacing w:before="0"/>
        <w:contextualSpacing w:val="0"/>
      </w:pPr>
      <w:r>
        <w:t>P</w:t>
      </w:r>
      <w:r w:rsidR="00E84D8F">
        <w:t xml:space="preserve">artners </w:t>
      </w:r>
      <w:r>
        <w:t xml:space="preserve">may </w:t>
      </w:r>
      <w:r w:rsidR="00441DB0">
        <w:t>agree to vary their shares of partnership items and change those shares over time</w:t>
      </w:r>
      <w:r w:rsidR="003F26DF">
        <w:t xml:space="preserve"> and the tax result will reflect their agreement provided the allocations of items have substantial economic effect. </w:t>
      </w:r>
      <w:r w:rsidR="00441DB0">
        <w:t xml:space="preserve">(IRC § 704(b)). </w:t>
      </w:r>
    </w:p>
    <w:p w14:paraId="5B1798BB" w14:textId="4C584234" w:rsidR="00A301D1" w:rsidRDefault="003F26DF" w:rsidP="00A301D1">
      <w:pPr>
        <w:pStyle w:val="ListParagraph"/>
        <w:numPr>
          <w:ilvl w:val="0"/>
          <w:numId w:val="11"/>
        </w:numPr>
        <w:contextualSpacing w:val="0"/>
      </w:pPr>
      <w:r>
        <w:t xml:space="preserve">The </w:t>
      </w:r>
      <w:r w:rsidR="00441DB0">
        <w:t xml:space="preserve">IRS </w:t>
      </w:r>
      <w:r>
        <w:t>has adopted certain anti-abuse rules deemed essential for the</w:t>
      </w:r>
      <w:r w:rsidR="00441DB0">
        <w:t xml:space="preserve"> federal pass-through system </w:t>
      </w:r>
      <w:r>
        <w:t xml:space="preserve">to function properly but </w:t>
      </w:r>
      <w:r w:rsidR="00C4326D">
        <w:t xml:space="preserve">the application at the state level may be unclear. </w:t>
      </w:r>
    </w:p>
    <w:p w14:paraId="0CC92989" w14:textId="0CE7EDBB" w:rsidR="00A301D1" w:rsidRDefault="00A301D1" w:rsidP="00E84D8F">
      <w:pPr>
        <w:pStyle w:val="ListParagraph"/>
        <w:numPr>
          <w:ilvl w:val="0"/>
          <w:numId w:val="11"/>
        </w:numPr>
        <w:contextualSpacing w:val="0"/>
      </w:pPr>
      <w:r>
        <w:t xml:space="preserve">Both </w:t>
      </w:r>
      <w:r w:rsidR="00C4326D">
        <w:t xml:space="preserve">general </w:t>
      </w:r>
      <w:r>
        <w:t>state law and Subchapter K allow partnerships to have partners that are corporations (whether taxed as C corporations or S corporations), individuals, trusts, and other partnerships.</w:t>
      </w:r>
    </w:p>
    <w:p w14:paraId="2B81628E" w14:textId="6396CE04" w:rsidR="00842EFB" w:rsidRDefault="00842EFB" w:rsidP="00842EFB">
      <w:pPr>
        <w:pStyle w:val="ListParagraph"/>
        <w:numPr>
          <w:ilvl w:val="0"/>
          <w:numId w:val="11"/>
        </w:numPr>
        <w:contextualSpacing w:val="0"/>
      </w:pPr>
      <w:r>
        <w:lastRenderedPageBreak/>
        <w:t>Most states that impose tax on partnership income on a pass-through basis have also adopted elective pass-through entity taxes under which partnerships can report income and pay tax at the entity level in lieu of the tax on partners.</w:t>
      </w:r>
    </w:p>
    <w:p w14:paraId="183C3936" w14:textId="77777777" w:rsidR="00F73CCC" w:rsidRDefault="00F73CCC">
      <w:pPr>
        <w:spacing w:before="0" w:after="200" w:line="276" w:lineRule="auto"/>
        <w:rPr>
          <w:b/>
          <w:bCs/>
          <w:color w:val="595959" w:themeColor="text1" w:themeTint="A6"/>
          <w:u w:val="single"/>
        </w:rPr>
      </w:pPr>
      <w:r>
        <w:rPr>
          <w:b/>
          <w:bCs/>
          <w:color w:val="595959" w:themeColor="text1" w:themeTint="A6"/>
          <w:u w:val="single"/>
        </w:rPr>
        <w:br w:type="page"/>
      </w:r>
    </w:p>
    <w:p w14:paraId="2B1CAACB" w14:textId="3E201AF0" w:rsidR="00842EFB" w:rsidRPr="00280DC7" w:rsidRDefault="00592CC7" w:rsidP="00457EE3">
      <w:pPr>
        <w:spacing w:after="120"/>
        <w:rPr>
          <w:b/>
          <w:bCs/>
          <w:color w:val="595959" w:themeColor="text1" w:themeTint="A6"/>
          <w:u w:val="single"/>
        </w:rPr>
      </w:pPr>
      <w:r>
        <w:rPr>
          <w:b/>
          <w:bCs/>
          <w:color w:val="595959" w:themeColor="text1" w:themeTint="A6"/>
          <w:u w:val="single"/>
        </w:rPr>
        <w:t xml:space="preserve">General </w:t>
      </w:r>
      <w:r w:rsidR="00280DC7" w:rsidRPr="00280DC7">
        <w:rPr>
          <w:b/>
          <w:bCs/>
          <w:color w:val="595959" w:themeColor="text1" w:themeTint="A6"/>
          <w:u w:val="single"/>
        </w:rPr>
        <w:t xml:space="preserve">Regulatory </w:t>
      </w:r>
      <w:r w:rsidR="00842EFB" w:rsidRPr="00280DC7">
        <w:rPr>
          <w:b/>
          <w:bCs/>
          <w:color w:val="595959" w:themeColor="text1" w:themeTint="A6"/>
          <w:u w:val="single"/>
        </w:rPr>
        <w:t xml:space="preserve">Jurisdiction </w:t>
      </w:r>
    </w:p>
    <w:p w14:paraId="6FE6BF68" w14:textId="32B4B1F2" w:rsidR="006C275A" w:rsidRDefault="00280DC7" w:rsidP="004C6F5B">
      <w:pPr>
        <w:pStyle w:val="ListParagraph"/>
        <w:numPr>
          <w:ilvl w:val="0"/>
          <w:numId w:val="12"/>
        </w:numPr>
        <w:spacing w:after="80"/>
        <w:contextualSpacing w:val="0"/>
      </w:pPr>
      <w:r>
        <w:t xml:space="preserve">Over the Entity: </w:t>
      </w:r>
      <w:r w:rsidR="006C275A">
        <w:t xml:space="preserve">If a partnership has assets or activities </w:t>
      </w:r>
      <w:r w:rsidR="00D25540">
        <w:t>with a sufficient connectio</w:t>
      </w:r>
      <w:r w:rsidR="00E01838">
        <w:t>n</w:t>
      </w:r>
      <w:r w:rsidR="006C275A">
        <w:t xml:space="preserve"> to a state, the state may </w:t>
      </w:r>
      <w:r w:rsidR="00842EFB">
        <w:t xml:space="preserve">exercise </w:t>
      </w:r>
      <w:r w:rsidR="00E01838">
        <w:t xml:space="preserve">general </w:t>
      </w:r>
      <w:r w:rsidR="00842EFB">
        <w:t xml:space="preserve">regulatory jurisdiction over </w:t>
      </w:r>
      <w:r w:rsidR="006C275A">
        <w:t>that</w:t>
      </w:r>
      <w:r w:rsidR="00842EFB">
        <w:t xml:space="preserve"> partnership, including</w:t>
      </w:r>
      <w:r w:rsidR="006C275A">
        <w:t>:</w:t>
      </w:r>
      <w:r w:rsidR="00842EFB">
        <w:t xml:space="preserve"> </w:t>
      </w:r>
    </w:p>
    <w:p w14:paraId="4F50351F" w14:textId="77777777" w:rsidR="006C275A" w:rsidRDefault="006C275A" w:rsidP="004C6F5B">
      <w:pPr>
        <w:pStyle w:val="ListParagraph"/>
        <w:numPr>
          <w:ilvl w:val="1"/>
          <w:numId w:val="12"/>
        </w:numPr>
        <w:spacing w:after="80"/>
        <w:contextualSpacing w:val="0"/>
      </w:pPr>
      <w:r>
        <w:t>R</w:t>
      </w:r>
      <w:r w:rsidR="00842EFB">
        <w:t xml:space="preserve">equirements to </w:t>
      </w:r>
      <w:r>
        <w:t>register;</w:t>
      </w:r>
    </w:p>
    <w:p w14:paraId="6A264009" w14:textId="2C423E65" w:rsidR="006C275A" w:rsidRDefault="006C275A" w:rsidP="004C6F5B">
      <w:pPr>
        <w:pStyle w:val="ListParagraph"/>
        <w:numPr>
          <w:ilvl w:val="1"/>
          <w:numId w:val="12"/>
        </w:numPr>
        <w:spacing w:after="80"/>
        <w:contextualSpacing w:val="0"/>
      </w:pPr>
      <w:r>
        <w:t>Requirements to report activities in the state</w:t>
      </w:r>
      <w:r w:rsidR="00A2287F">
        <w:t>; and</w:t>
      </w:r>
    </w:p>
    <w:p w14:paraId="10CD69FC" w14:textId="4EA96FF1" w:rsidR="00842EFB" w:rsidRDefault="006C275A" w:rsidP="002663E5">
      <w:pPr>
        <w:pStyle w:val="ListParagraph"/>
        <w:numPr>
          <w:ilvl w:val="1"/>
          <w:numId w:val="12"/>
        </w:numPr>
        <w:contextualSpacing w:val="0"/>
      </w:pPr>
      <w:r>
        <w:t xml:space="preserve">Requirements to provide </w:t>
      </w:r>
      <w:r w:rsidR="00842EFB">
        <w:t>certain information about the partners</w:t>
      </w:r>
      <w:r>
        <w:t xml:space="preserve"> r</w:t>
      </w:r>
      <w:r w:rsidR="00842EFB">
        <w:t xml:space="preserve">egardless of </w:t>
      </w:r>
      <w:r>
        <w:t xml:space="preserve">a partner’s </w:t>
      </w:r>
      <w:r w:rsidR="00842EFB">
        <w:t>control of or role in the partnership.</w:t>
      </w:r>
    </w:p>
    <w:p w14:paraId="468150AD" w14:textId="1A3E1150" w:rsidR="00F60455" w:rsidRDefault="00280DC7" w:rsidP="00042483">
      <w:pPr>
        <w:pStyle w:val="ListParagraph"/>
        <w:numPr>
          <w:ilvl w:val="0"/>
          <w:numId w:val="12"/>
        </w:numPr>
        <w:contextualSpacing w:val="0"/>
      </w:pPr>
      <w:r>
        <w:t>Over the Partners: If a state ha</w:t>
      </w:r>
      <w:r w:rsidR="002663E5">
        <w:t>s</w:t>
      </w:r>
      <w:r>
        <w:t xml:space="preserve"> </w:t>
      </w:r>
      <w:r w:rsidR="00E82856">
        <w:t xml:space="preserve">general </w:t>
      </w:r>
      <w:r>
        <w:t>regulatory jurisdiction over the partnership,</w:t>
      </w:r>
      <w:r w:rsidR="000A2E35">
        <w:t xml:space="preserve"> that jurisdiction </w:t>
      </w:r>
      <w:r w:rsidR="00A07BF8">
        <w:t>generally extends to the partners</w:t>
      </w:r>
      <w:r w:rsidR="00186087">
        <w:t xml:space="preserve"> in matters involving activities of the partnership, </w:t>
      </w:r>
      <w:r w:rsidR="00A07BF8">
        <w:t>although</w:t>
      </w:r>
      <w:r>
        <w:t xml:space="preserve"> </w:t>
      </w:r>
      <w:r w:rsidR="00FD78C9">
        <w:t>there remains some</w:t>
      </w:r>
      <w:r>
        <w:t xml:space="preserve"> uncertain</w:t>
      </w:r>
      <w:r w:rsidR="00FD78C9">
        <w:t>ty as to</w:t>
      </w:r>
      <w:r>
        <w:t xml:space="preserve"> whether it </w:t>
      </w:r>
      <w:r w:rsidR="00A07BF8">
        <w:t>extends to</w:t>
      </w:r>
      <w:r w:rsidR="00042483">
        <w:t xml:space="preserve"> p</w:t>
      </w:r>
      <w:r w:rsidR="00F60455">
        <w:t xml:space="preserve">assive </w:t>
      </w:r>
      <w:r w:rsidR="00042483">
        <w:t>or i</w:t>
      </w:r>
      <w:r w:rsidR="00D1181A">
        <w:t>ndirect partners</w:t>
      </w:r>
      <w:r w:rsidR="0009380B">
        <w:t xml:space="preserve"> in all cases</w:t>
      </w:r>
      <w:r w:rsidR="00D1181A">
        <w:t>.</w:t>
      </w:r>
      <w:r w:rsidR="00F60455">
        <w:t xml:space="preserve"> </w:t>
      </w:r>
    </w:p>
    <w:p w14:paraId="44BC792E" w14:textId="0D3938FD" w:rsidR="00280DC7" w:rsidRPr="00F60455" w:rsidRDefault="00E82856" w:rsidP="00457EE3">
      <w:pPr>
        <w:spacing w:after="120"/>
        <w:rPr>
          <w:b/>
          <w:bCs/>
          <w:color w:val="595959" w:themeColor="text1" w:themeTint="A6"/>
          <w:u w:val="single"/>
        </w:rPr>
      </w:pPr>
      <w:r>
        <w:rPr>
          <w:b/>
          <w:bCs/>
          <w:color w:val="595959" w:themeColor="text1" w:themeTint="A6"/>
          <w:u w:val="single"/>
        </w:rPr>
        <w:t xml:space="preserve">Constitutional </w:t>
      </w:r>
      <w:r w:rsidR="00280DC7" w:rsidRPr="00F60455">
        <w:rPr>
          <w:b/>
          <w:bCs/>
          <w:color w:val="595959" w:themeColor="text1" w:themeTint="A6"/>
          <w:u w:val="single"/>
        </w:rPr>
        <w:t>Tax Nexus</w:t>
      </w:r>
      <w:r w:rsidR="006A179C">
        <w:rPr>
          <w:b/>
          <w:bCs/>
          <w:color w:val="595959" w:themeColor="text1" w:themeTint="A6"/>
          <w:u w:val="single"/>
        </w:rPr>
        <w:t xml:space="preserve"> and </w:t>
      </w:r>
      <w:r>
        <w:rPr>
          <w:b/>
          <w:bCs/>
          <w:color w:val="595959" w:themeColor="text1" w:themeTint="A6"/>
          <w:u w:val="single"/>
        </w:rPr>
        <w:t xml:space="preserve">State </w:t>
      </w:r>
      <w:r w:rsidR="006A179C">
        <w:rPr>
          <w:b/>
          <w:bCs/>
          <w:color w:val="595959" w:themeColor="text1" w:themeTint="A6"/>
          <w:u w:val="single"/>
        </w:rPr>
        <w:t>Doing Business Standards</w:t>
      </w:r>
    </w:p>
    <w:p w14:paraId="29943B72" w14:textId="77777777" w:rsidR="00842EFB" w:rsidRPr="002F28A6" w:rsidRDefault="00842EFB" w:rsidP="006A179C">
      <w:pPr>
        <w:pStyle w:val="ListParagraph"/>
        <w:numPr>
          <w:ilvl w:val="0"/>
          <w:numId w:val="12"/>
        </w:numPr>
        <w:ind w:right="576"/>
        <w:contextualSpacing w:val="0"/>
      </w:pPr>
      <w:r>
        <w:t>A business’s choice of entity—sole proprietorship, partnership, corporation, etc.—</w:t>
      </w:r>
      <w:r w:rsidRPr="002F28A6">
        <w:t xml:space="preserve">does not affect constitutional limits on the </w:t>
      </w:r>
      <w:r>
        <w:t xml:space="preserve">state </w:t>
      </w:r>
      <w:r w:rsidRPr="002F28A6">
        <w:t>taxation of th</w:t>
      </w:r>
      <w:r>
        <w:t>e</w:t>
      </w:r>
      <w:r w:rsidRPr="002F28A6">
        <w:t xml:space="preserve"> business’s income.</w:t>
      </w:r>
    </w:p>
    <w:p w14:paraId="36B95E7B" w14:textId="41F04975" w:rsidR="00842EFB" w:rsidRDefault="00842EFB" w:rsidP="006A179C">
      <w:pPr>
        <w:pStyle w:val="ListParagraph"/>
        <w:numPr>
          <w:ilvl w:val="0"/>
          <w:numId w:val="12"/>
        </w:numPr>
        <w:ind w:right="576"/>
        <w:contextualSpacing w:val="0"/>
      </w:pPr>
      <w:r w:rsidRPr="002F28A6">
        <w:t xml:space="preserve">States have due process nexus to impose tax </w:t>
      </w:r>
      <w:r>
        <w:t>on the income of a business</w:t>
      </w:r>
      <w:r w:rsidR="00532542">
        <w:t>, including a partnership,</w:t>
      </w:r>
      <w:r>
        <w:t xml:space="preserve"> to the extent there is a sufficient connection between the assets or activities giving rise to that income and the state. </w:t>
      </w:r>
    </w:p>
    <w:p w14:paraId="078EEAC9" w14:textId="53A0B1EC" w:rsidR="006A179C" w:rsidRDefault="00842EFB" w:rsidP="006A179C">
      <w:pPr>
        <w:pStyle w:val="ListParagraph"/>
        <w:numPr>
          <w:ilvl w:val="0"/>
          <w:numId w:val="12"/>
        </w:numPr>
        <w:ind w:right="576"/>
        <w:contextualSpacing w:val="0"/>
      </w:pPr>
      <w:r>
        <w:t>States have commerce clause nexus to impose tax on the income of a business</w:t>
      </w:r>
      <w:r w:rsidR="00532542">
        <w:t>, including a partnership,</w:t>
      </w:r>
      <w:r>
        <w:t xml:space="preserve"> to the extent the income or a share of it is fairly sourced (or “apportioned,” as that term is used generally in Supreme Court precedent), the tax does not discriminate against interstate commerce, and the tax does not impose an undue burden on interstate commerce.  </w:t>
      </w:r>
    </w:p>
    <w:p w14:paraId="0A47C896" w14:textId="26460815" w:rsidR="00842EFB" w:rsidRPr="002F28A6" w:rsidRDefault="00F83235" w:rsidP="006A179C">
      <w:pPr>
        <w:pStyle w:val="ListParagraph"/>
        <w:numPr>
          <w:ilvl w:val="0"/>
          <w:numId w:val="12"/>
        </w:numPr>
        <w:ind w:right="576"/>
        <w:contextualSpacing w:val="0"/>
      </w:pPr>
      <w:r>
        <w:t xml:space="preserve">States </w:t>
      </w:r>
      <w:r w:rsidR="00842EFB">
        <w:t xml:space="preserve">that have due process </w:t>
      </w:r>
      <w:r w:rsidR="00A84F30">
        <w:t xml:space="preserve">and commerce clause </w:t>
      </w:r>
      <w:r w:rsidR="00842EFB">
        <w:t xml:space="preserve">nexus over the income of a partnership taxed on a pass-through basis also have due process </w:t>
      </w:r>
      <w:r w:rsidR="00A84F30">
        <w:t xml:space="preserve">and commerce clause </w:t>
      </w:r>
      <w:r w:rsidR="00842EFB">
        <w:t>nexus</w:t>
      </w:r>
      <w:r w:rsidR="00A84F30">
        <w:t xml:space="preserve"> to apply the tax </w:t>
      </w:r>
      <w:bookmarkStart w:id="0" w:name="_Hlk147838613"/>
      <w:r w:rsidR="00A84F30">
        <w:t xml:space="preserve">to </w:t>
      </w:r>
      <w:r>
        <w:t xml:space="preserve">partners generally. And while there have been some conflicting opinions in the past, this nexus extends to both </w:t>
      </w:r>
      <w:r w:rsidR="00A84F30">
        <w:t xml:space="preserve">direct </w:t>
      </w:r>
      <w:r>
        <w:t>and</w:t>
      </w:r>
      <w:r w:rsidR="00A84F30">
        <w:t xml:space="preserve"> indirect partner</w:t>
      </w:r>
      <w:r>
        <w:t>s</w:t>
      </w:r>
      <w:r w:rsidR="007433BF">
        <w:t xml:space="preserve"> and applies</w:t>
      </w:r>
      <w:r w:rsidR="00A84F30">
        <w:t xml:space="preserve"> regardless of whether the partner is active or </w:t>
      </w:r>
      <w:r w:rsidR="001E31C2">
        <w:t xml:space="preserve">passive, holds a majority share of partnership capital, or controls </w:t>
      </w:r>
      <w:r w:rsidR="006A179C">
        <w:t xml:space="preserve">or does not control </w:t>
      </w:r>
      <w:r w:rsidR="001E31C2">
        <w:t>the partnership</w:t>
      </w:r>
      <w:r w:rsidR="006A179C">
        <w:t>, provided</w:t>
      </w:r>
      <w:r w:rsidR="001E31C2">
        <w:t xml:space="preserve"> </w:t>
      </w:r>
      <w:r w:rsidR="006A179C">
        <w:t>t</w:t>
      </w:r>
      <w:r w:rsidR="00A84F30">
        <w:t xml:space="preserve">he state </w:t>
      </w:r>
      <w:r w:rsidR="006A179C">
        <w:t xml:space="preserve">takes reasonable steps </w:t>
      </w:r>
      <w:r w:rsidR="009C2D9F">
        <w:t>so as not to burden interstate commerce.</w:t>
      </w:r>
    </w:p>
    <w:bookmarkEnd w:id="0"/>
    <w:p w14:paraId="2029181D" w14:textId="524F3BAB" w:rsidR="006A179C" w:rsidRDefault="00842EFB" w:rsidP="006A179C">
      <w:pPr>
        <w:pStyle w:val="ListParagraph"/>
        <w:numPr>
          <w:ilvl w:val="0"/>
          <w:numId w:val="12"/>
        </w:numPr>
        <w:ind w:right="576"/>
        <w:contextualSpacing w:val="0"/>
      </w:pPr>
      <w:r w:rsidRPr="002F28A6">
        <w:t>States</w:t>
      </w:r>
      <w:r w:rsidR="006A179C">
        <w:t>’</w:t>
      </w:r>
      <w:r w:rsidRPr="002F28A6">
        <w:t xml:space="preserve"> doing business </w:t>
      </w:r>
      <w:r w:rsidR="006A179C">
        <w:t xml:space="preserve">or tax imposition </w:t>
      </w:r>
      <w:r w:rsidRPr="002F28A6">
        <w:t>statutes, as applied to partnerships, should be consistent with other businesses</w:t>
      </w:r>
      <w:r w:rsidR="006A179C">
        <w:t xml:space="preserve"> and may apply a factor-presence nexus standard or threshold at the entity level</w:t>
      </w:r>
      <w:r w:rsidRPr="002F28A6">
        <w:t>.</w:t>
      </w:r>
      <w:r w:rsidR="0092019F">
        <w:rPr>
          <w:rStyle w:val="FootnoteReference"/>
        </w:rPr>
        <w:footnoteReference w:id="2"/>
      </w:r>
    </w:p>
    <w:p w14:paraId="1449F817" w14:textId="5E681E62" w:rsidR="00842EFB" w:rsidRDefault="006A179C" w:rsidP="00F73CCC">
      <w:pPr>
        <w:pStyle w:val="ListParagraph"/>
        <w:numPr>
          <w:ilvl w:val="0"/>
          <w:numId w:val="12"/>
        </w:numPr>
        <w:contextualSpacing w:val="0"/>
      </w:pPr>
      <w:r>
        <w:t xml:space="preserve">As with nexus, if a partnership exceeds any doing business standard or threshold, then states should make clear that the standard or threshold is also </w:t>
      </w:r>
      <w:r w:rsidR="00F73CCC">
        <w:t xml:space="preserve">met by </w:t>
      </w:r>
      <w:r w:rsidR="00F73CCC" w:rsidRPr="00F73CCC">
        <w:t>any direct or indirect partner, regardless of whether the partner is active or passive, holds a majority share of partnership capital, or controls or does not control the partnership.</w:t>
      </w:r>
    </w:p>
    <w:p w14:paraId="67F9670D" w14:textId="52D4BC7D" w:rsidR="00F73CCC" w:rsidRPr="00F73CCC" w:rsidRDefault="00F73CCC" w:rsidP="00F73CCC">
      <w:pPr>
        <w:rPr>
          <w:b/>
          <w:bCs/>
          <w:color w:val="595959" w:themeColor="text1" w:themeTint="A6"/>
          <w:u w:val="single"/>
        </w:rPr>
      </w:pPr>
      <w:r w:rsidRPr="00F73CCC">
        <w:rPr>
          <w:b/>
          <w:bCs/>
          <w:color w:val="595959" w:themeColor="text1" w:themeTint="A6"/>
          <w:u w:val="single"/>
        </w:rPr>
        <w:t>Sourcing</w:t>
      </w:r>
    </w:p>
    <w:p w14:paraId="7C366664" w14:textId="147FF8CE" w:rsidR="00A301D1" w:rsidRDefault="00A301D1" w:rsidP="00842EFB">
      <w:pPr>
        <w:pStyle w:val="ListParagraph"/>
        <w:numPr>
          <w:ilvl w:val="0"/>
          <w:numId w:val="12"/>
        </w:numPr>
        <w:contextualSpacing w:val="0"/>
      </w:pPr>
      <w:r>
        <w:t>S</w:t>
      </w:r>
      <w:r w:rsidR="00496353">
        <w:t>tates generally conform to the federal rules for domestic sourcing of multinational income,  but do not apply these federal rules to the sourcing of domestic income between the states</w:t>
      </w:r>
      <w:r>
        <w:t>.</w:t>
      </w:r>
    </w:p>
    <w:p w14:paraId="4A75AA6C" w14:textId="1C5DD855" w:rsidR="00496353" w:rsidRDefault="00842EFB" w:rsidP="00842EFB">
      <w:pPr>
        <w:pStyle w:val="ListParagraph"/>
        <w:numPr>
          <w:ilvl w:val="0"/>
          <w:numId w:val="12"/>
        </w:numPr>
        <w:contextualSpacing w:val="0"/>
      </w:pPr>
      <w:r>
        <w:t xml:space="preserve">States generally apply formulary apportionment </w:t>
      </w:r>
      <w:r w:rsidR="009E4AB7">
        <w:t>and</w:t>
      </w:r>
      <w:r>
        <w:t xml:space="preserve"> specific rules of assignment </w:t>
      </w:r>
      <w:r w:rsidR="00A104D0">
        <w:t xml:space="preserve">to </w:t>
      </w:r>
      <w:r w:rsidR="009E4AB7">
        <w:t xml:space="preserve">source income of </w:t>
      </w:r>
      <w:r w:rsidR="00343892">
        <w:t xml:space="preserve">multistate </w:t>
      </w:r>
      <w:r w:rsidR="009E4AB7">
        <w:t>businesses</w:t>
      </w:r>
      <w:r>
        <w:t xml:space="preserve">. </w:t>
      </w:r>
    </w:p>
    <w:p w14:paraId="5B15DC05" w14:textId="443C51F1" w:rsidR="00343892" w:rsidRPr="002F28A6" w:rsidRDefault="003A0661" w:rsidP="009C2D9F">
      <w:pPr>
        <w:pStyle w:val="ListParagraph"/>
        <w:numPr>
          <w:ilvl w:val="0"/>
          <w:numId w:val="12"/>
        </w:numPr>
        <w:ind w:right="576"/>
        <w:contextualSpacing w:val="0"/>
      </w:pPr>
      <w:r w:rsidRPr="002F28A6">
        <w:t xml:space="preserve">Under the dormant commerce clause, </w:t>
      </w:r>
      <w:r w:rsidR="009E4AB7">
        <w:t>apportionable income</w:t>
      </w:r>
      <w:r w:rsidR="00343892">
        <w:t xml:space="preserve"> is limited to income that has a sufficient connection to the apportionment </w:t>
      </w:r>
      <w:r w:rsidRPr="002F28A6">
        <w:t xml:space="preserve"> </w:t>
      </w:r>
      <w:r w:rsidR="00343892">
        <w:t xml:space="preserve">formula and </w:t>
      </w:r>
      <w:r w:rsidRPr="002F28A6">
        <w:t>factors</w:t>
      </w:r>
      <w:r w:rsidR="00A104D0">
        <w:t xml:space="preserve"> in the state</w:t>
      </w:r>
      <w:r w:rsidR="009C2D9F">
        <w:t>,</w:t>
      </w:r>
      <w:r w:rsidR="00343892">
        <w:t xml:space="preserve"> and </w:t>
      </w:r>
      <w:r w:rsidR="009C2D9F">
        <w:t xml:space="preserve">it </w:t>
      </w:r>
      <w:r w:rsidR="00343892">
        <w:t>may include income that is part of a unitary business to which the factors relate.</w:t>
      </w:r>
    </w:p>
    <w:p w14:paraId="063A5833" w14:textId="689A4D0B" w:rsidR="003A0661" w:rsidRDefault="00343892" w:rsidP="009C2D9F">
      <w:pPr>
        <w:pStyle w:val="ListParagraph"/>
        <w:numPr>
          <w:ilvl w:val="0"/>
          <w:numId w:val="12"/>
        </w:numPr>
        <w:ind w:right="576"/>
        <w:contextualSpacing w:val="0"/>
      </w:pPr>
      <w:r>
        <w:t xml:space="preserve">Nonapportionable income can be sourced using </w:t>
      </w:r>
      <w:r w:rsidR="00541E04">
        <w:t xml:space="preserve">state </w:t>
      </w:r>
      <w:r>
        <w:t>rules of assignment provided there is a sufficient connection between the basis for the rule and the income to be sourced</w:t>
      </w:r>
      <w:r w:rsidR="00CB27BE" w:rsidRPr="002F28A6">
        <w:t>.</w:t>
      </w:r>
    </w:p>
    <w:p w14:paraId="6DFB411C" w14:textId="301D1F68" w:rsidR="00343892" w:rsidRDefault="00343892" w:rsidP="009C2D9F">
      <w:pPr>
        <w:pStyle w:val="ListParagraph"/>
        <w:numPr>
          <w:ilvl w:val="0"/>
          <w:numId w:val="12"/>
        </w:numPr>
        <w:ind w:right="576"/>
        <w:contextualSpacing w:val="0"/>
      </w:pPr>
      <w:r>
        <w:t xml:space="preserve">Formulary apportionment and </w:t>
      </w:r>
      <w:r w:rsidR="00541E04">
        <w:t xml:space="preserve">state </w:t>
      </w:r>
      <w:r>
        <w:t xml:space="preserve">rules of assignment can be properly applied to the partnership income or items at the entity level, </w:t>
      </w:r>
      <w:r w:rsidR="006519AD">
        <w:t>based on the activities and assets of the partnership</w:t>
      </w:r>
      <w:r w:rsidR="004217FD">
        <w:t xml:space="preserve">. </w:t>
      </w:r>
    </w:p>
    <w:p w14:paraId="1411E521" w14:textId="2B28DDFF" w:rsidR="00B47879" w:rsidRDefault="00343892" w:rsidP="00B47879">
      <w:pPr>
        <w:pStyle w:val="ListParagraph"/>
        <w:numPr>
          <w:ilvl w:val="0"/>
          <w:numId w:val="12"/>
        </w:numPr>
        <w:spacing w:after="120"/>
        <w:ind w:right="576"/>
        <w:contextualSpacing w:val="0"/>
      </w:pPr>
      <w:r>
        <w:t xml:space="preserve">The sourcing of partnership income or items at the entity level </w:t>
      </w:r>
      <w:r w:rsidR="004217FD">
        <w:t>can</w:t>
      </w:r>
      <w:r w:rsidR="00FC02FB">
        <w:t xml:space="preserve"> be</w:t>
      </w:r>
      <w:r>
        <w:t xml:space="preserve"> attributed to any direct or indirect partner that receives a share of that income or items, regardless of whether the partner is active or passive, holds a majority share of partnership capital, or controls or does not control the partnership, </w:t>
      </w:r>
      <w:r w:rsidR="00B47879">
        <w:t xml:space="preserve">unless </w:t>
      </w:r>
      <w:r w:rsidR="00D7088F">
        <w:t>t</w:t>
      </w:r>
      <w:r w:rsidR="000800ED">
        <w:t>he partner is separately engaged in a business</w:t>
      </w:r>
      <w:r w:rsidR="00B47879">
        <w:t xml:space="preserve"> and –</w:t>
      </w:r>
    </w:p>
    <w:p w14:paraId="2789CF49" w14:textId="77777777" w:rsidR="00B47879" w:rsidRDefault="00B47879" w:rsidP="00B47879">
      <w:pPr>
        <w:pStyle w:val="ListParagraph"/>
        <w:numPr>
          <w:ilvl w:val="1"/>
          <w:numId w:val="12"/>
        </w:numPr>
        <w:spacing w:after="120"/>
        <w:ind w:right="576"/>
        <w:contextualSpacing w:val="0"/>
      </w:pPr>
      <w:r>
        <w:t>That business is unitary with the business conducted by the partnership, or</w:t>
      </w:r>
    </w:p>
    <w:p w14:paraId="59E2536E" w14:textId="52A09137" w:rsidR="00246F78" w:rsidRDefault="00B47879" w:rsidP="00B47879">
      <w:pPr>
        <w:pStyle w:val="ListParagraph"/>
        <w:numPr>
          <w:ilvl w:val="1"/>
          <w:numId w:val="12"/>
        </w:numPr>
        <w:ind w:right="576"/>
        <w:contextualSpacing w:val="0"/>
      </w:pPr>
      <w:r>
        <w:t>Th</w:t>
      </w:r>
      <w:r w:rsidR="001515EC">
        <w:t xml:space="preserve">at </w:t>
      </w:r>
      <w:r w:rsidR="0088790B">
        <w:t>partnership</w:t>
      </w:r>
      <w:r w:rsidR="001515EC">
        <w:t xml:space="preserve"> </w:t>
      </w:r>
      <w:r>
        <w:t xml:space="preserve">interest </w:t>
      </w:r>
      <w:r w:rsidR="0088790B">
        <w:t xml:space="preserve">held by the partner serves a </w:t>
      </w:r>
      <w:r>
        <w:t>unitary purpose in that</w:t>
      </w:r>
      <w:r w:rsidR="0088790B">
        <w:t xml:space="preserve"> business</w:t>
      </w:r>
      <w:r>
        <w:t xml:space="preserve">. </w:t>
      </w:r>
    </w:p>
    <w:p w14:paraId="68CFA7AA" w14:textId="4B28947B" w:rsidR="00B47879" w:rsidRPr="002F28A6" w:rsidRDefault="00B47879" w:rsidP="00B47879">
      <w:pPr>
        <w:ind w:left="720" w:right="576"/>
      </w:pPr>
      <w:r>
        <w:t xml:space="preserve">In that case, the factors related to the partner’s business may also be taken into account in sourcing </w:t>
      </w:r>
      <w:r w:rsidR="0088790B">
        <w:t>the partner’s</w:t>
      </w:r>
      <w:r>
        <w:t xml:space="preserve"> share of the partnership income or items.</w:t>
      </w:r>
    </w:p>
    <w:p w14:paraId="397B5773" w14:textId="484C6D77" w:rsidR="002C5F3B" w:rsidRPr="009C2D9F" w:rsidRDefault="00482E3B" w:rsidP="009C2D9F">
      <w:pPr>
        <w:ind w:right="576"/>
        <w:rPr>
          <w:b/>
          <w:bCs/>
          <w:color w:val="595959" w:themeColor="text1" w:themeTint="A6"/>
          <w:u w:val="single"/>
        </w:rPr>
      </w:pPr>
      <w:r w:rsidRPr="009C2D9F">
        <w:rPr>
          <w:b/>
          <w:bCs/>
          <w:color w:val="595959" w:themeColor="text1" w:themeTint="A6"/>
          <w:u w:val="single"/>
        </w:rPr>
        <w:t>Withholding/Composite/PTE Tax</w:t>
      </w:r>
    </w:p>
    <w:p w14:paraId="675C4753" w14:textId="0BA68337" w:rsidR="00FC02FB" w:rsidRDefault="009C2D9F" w:rsidP="00FC02FB">
      <w:pPr>
        <w:pStyle w:val="ListParagraph"/>
        <w:numPr>
          <w:ilvl w:val="0"/>
          <w:numId w:val="12"/>
        </w:numPr>
        <w:ind w:right="576"/>
        <w:contextualSpacing w:val="0"/>
      </w:pPr>
      <w:r>
        <w:t xml:space="preserve">States </w:t>
      </w:r>
      <w:r w:rsidR="00FC02FB">
        <w:t xml:space="preserve">that tax partnership income on a pass-through basis may impose </w:t>
      </w:r>
      <w:r>
        <w:t xml:space="preserve">a </w:t>
      </w:r>
      <w:r w:rsidR="00FC02FB">
        <w:t>requirement</w:t>
      </w:r>
      <w:r>
        <w:t xml:space="preserve"> on partnership</w:t>
      </w:r>
      <w:r w:rsidR="00FC02FB">
        <w:t>s</w:t>
      </w:r>
      <w:r>
        <w:t xml:space="preserve"> to withhold tax on </w:t>
      </w:r>
      <w:r w:rsidR="00FC02FB">
        <w:t>their</w:t>
      </w:r>
      <w:r>
        <w:t xml:space="preserve"> </w:t>
      </w:r>
      <w:r w:rsidR="00FC02FB">
        <w:t xml:space="preserve">partners </w:t>
      </w:r>
      <w:r>
        <w:t>distributive share</w:t>
      </w:r>
      <w:r w:rsidR="00FC02FB">
        <w:t>s</w:t>
      </w:r>
      <w:r>
        <w:t xml:space="preserve"> of </w:t>
      </w:r>
      <w:r w:rsidR="00FC02FB">
        <w:t xml:space="preserve">that </w:t>
      </w:r>
      <w:r>
        <w:t>income</w:t>
      </w:r>
      <w:r w:rsidR="00FC02FB">
        <w:t>, regardless of whether the partners receive any distributions.</w:t>
      </w:r>
    </w:p>
    <w:p w14:paraId="14FA2462" w14:textId="624C09CB" w:rsidR="007A7530" w:rsidRDefault="00FC02FB" w:rsidP="008B1A07">
      <w:pPr>
        <w:pStyle w:val="ListParagraph"/>
        <w:numPr>
          <w:ilvl w:val="0"/>
          <w:numId w:val="12"/>
        </w:numPr>
        <w:ind w:right="576"/>
        <w:contextualSpacing w:val="0"/>
      </w:pPr>
      <w:r>
        <w:t xml:space="preserve">States </w:t>
      </w:r>
      <w:r w:rsidR="007A7530">
        <w:t xml:space="preserve">that </w:t>
      </w:r>
      <w:r w:rsidR="00767AD1">
        <w:t>allow</w:t>
      </w:r>
      <w:r w:rsidR="007A7530">
        <w:t xml:space="preserve"> partnerships to file </w:t>
      </w:r>
      <w:r w:rsidR="008B1A07">
        <w:t xml:space="preserve">a </w:t>
      </w:r>
      <w:r w:rsidR="007A7530">
        <w:t xml:space="preserve">composite </w:t>
      </w:r>
      <w:r w:rsidR="008B1A07">
        <w:t xml:space="preserve">or PTE </w:t>
      </w:r>
      <w:r w:rsidR="007A7530">
        <w:t>return and pay tax attributable to the shares of income or items of partners</w:t>
      </w:r>
      <w:r w:rsidR="008B1A07">
        <w:t xml:space="preserve">, and that also </w:t>
      </w:r>
      <w:r w:rsidR="00053CF7">
        <w:t>exempt</w:t>
      </w:r>
      <w:r w:rsidR="008B1A07">
        <w:t xml:space="preserve"> partners </w:t>
      </w:r>
      <w:r w:rsidR="00901123">
        <w:t>with</w:t>
      </w:r>
      <w:r w:rsidR="00053CF7">
        <w:t xml:space="preserve"> </w:t>
      </w:r>
      <w:r w:rsidR="008B1A07">
        <w:t xml:space="preserve">no other income in the state </w:t>
      </w:r>
      <w:r w:rsidR="00053CF7">
        <w:t xml:space="preserve">from requirements to file and </w:t>
      </w:r>
      <w:r w:rsidR="008B1A07">
        <w:t xml:space="preserve">report tax on that </w:t>
      </w:r>
      <w:r w:rsidR="00901123">
        <w:t xml:space="preserve">partnership </w:t>
      </w:r>
      <w:r w:rsidR="008B1A07">
        <w:t>income or items, have</w:t>
      </w:r>
      <w:r w:rsidR="007A7530">
        <w:t xml:space="preserve"> sufficiently reduced the burden that the tax might otherwise impose on interstate commerce. </w:t>
      </w:r>
    </w:p>
    <w:p w14:paraId="1E048F2F" w14:textId="17F68515" w:rsidR="00D0613B" w:rsidRPr="00FC02FB" w:rsidRDefault="00D0613B" w:rsidP="007A7530">
      <w:pPr>
        <w:ind w:right="576"/>
        <w:jc w:val="center"/>
      </w:pPr>
      <w:r w:rsidRPr="002F28A6">
        <w:br w:type="page"/>
      </w:r>
      <w:r w:rsidR="00133ED6" w:rsidRPr="007A7530">
        <w:rPr>
          <w:b/>
          <w:bCs/>
          <w:u w:val="single"/>
        </w:rPr>
        <w:t xml:space="preserve">Appendix - </w:t>
      </w:r>
      <w:r w:rsidRPr="007A7530">
        <w:rPr>
          <w:b/>
          <w:bCs/>
          <w:u w:val="single"/>
        </w:rPr>
        <w:t>Important Terminology</w:t>
      </w:r>
    </w:p>
    <w:p w14:paraId="0CE70539" w14:textId="0B03BF6E" w:rsidR="004C7C86" w:rsidRDefault="004C7C86" w:rsidP="009C2D9F">
      <w:pPr>
        <w:rPr>
          <w:szCs w:val="20"/>
        </w:rPr>
      </w:pPr>
      <w:r w:rsidRPr="004C7C86">
        <w:rPr>
          <w:szCs w:val="20"/>
        </w:rPr>
        <w:t xml:space="preserve">The terminology commonly used in state taxation generally and taxation of partnerships in particular can be confusing. For example, </w:t>
      </w:r>
      <w:r>
        <w:rPr>
          <w:szCs w:val="20"/>
        </w:rPr>
        <w:t xml:space="preserve">the term “apportion” may refer to a particular kind of state sourcing (using a formula made up of certain factors) or it may refer to multistate sourcing of income among the states generally. </w:t>
      </w:r>
      <w:r w:rsidR="000A5158">
        <w:rPr>
          <w:szCs w:val="20"/>
        </w:rPr>
        <w:t>“Allocation” is sometimes used to describe state sourcing as well as the determination of partners’ distributive shares of partnership items.</w:t>
      </w:r>
    </w:p>
    <w:p w14:paraId="1608709B" w14:textId="2DBE33E3" w:rsidR="000A5158" w:rsidRPr="000A5158" w:rsidRDefault="000A5158" w:rsidP="009C2D9F">
      <w:pPr>
        <w:rPr>
          <w:sz w:val="22"/>
          <w:szCs w:val="20"/>
        </w:rPr>
      </w:pPr>
      <w:r>
        <w:rPr>
          <w:szCs w:val="20"/>
        </w:rPr>
        <w:t>To avoid confusion, this document uses terms as described below</w:t>
      </w:r>
      <w:r w:rsidR="004C7C86">
        <w:rPr>
          <w:szCs w:val="20"/>
        </w:rPr>
        <w:t>.</w:t>
      </w:r>
      <w:r w:rsidR="00D0613B" w:rsidRPr="004C7C86">
        <w:rPr>
          <w:sz w:val="22"/>
          <w:szCs w:val="20"/>
        </w:rPr>
        <w:t xml:space="preserve"> </w:t>
      </w:r>
      <w:r w:rsidRPr="000A5158">
        <w:t>All other terms have the same meaning as under Subchapter K.</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6930"/>
      </w:tblGrid>
      <w:tr w:rsidR="00907188" w:rsidRPr="00907188" w14:paraId="72B2CA49" w14:textId="77777777" w:rsidTr="000A5158">
        <w:trPr>
          <w:trHeight w:val="288"/>
        </w:trPr>
        <w:tc>
          <w:tcPr>
            <w:tcW w:w="2790" w:type="dxa"/>
            <w:shd w:val="clear" w:color="auto" w:fill="auto"/>
            <w:noWrap/>
            <w:vAlign w:val="bottom"/>
            <w:hideMark/>
          </w:tcPr>
          <w:p w14:paraId="08A61F5C" w14:textId="77777777" w:rsidR="00907188" w:rsidRPr="000A5158" w:rsidRDefault="00907188" w:rsidP="00907188">
            <w:pPr>
              <w:spacing w:before="0" w:after="0"/>
              <w:rPr>
                <w:rFonts w:eastAsia="Times New Roman" w:cs="Calibri"/>
                <w:b/>
                <w:bCs/>
                <w:color w:val="000000"/>
              </w:rPr>
            </w:pPr>
            <w:r w:rsidRPr="000A5158">
              <w:rPr>
                <w:rFonts w:eastAsia="Times New Roman" w:cs="Calibri"/>
                <w:b/>
                <w:bCs/>
                <w:color w:val="000000"/>
              </w:rPr>
              <w:t>Term</w:t>
            </w:r>
          </w:p>
        </w:tc>
        <w:tc>
          <w:tcPr>
            <w:tcW w:w="6930" w:type="dxa"/>
            <w:shd w:val="clear" w:color="auto" w:fill="auto"/>
            <w:noWrap/>
            <w:vAlign w:val="bottom"/>
            <w:hideMark/>
          </w:tcPr>
          <w:p w14:paraId="680DC105" w14:textId="77777777" w:rsidR="00907188" w:rsidRPr="000A5158" w:rsidRDefault="00907188" w:rsidP="00907188">
            <w:pPr>
              <w:spacing w:before="0" w:after="0"/>
              <w:rPr>
                <w:rFonts w:eastAsia="Times New Roman" w:cs="Calibri"/>
                <w:b/>
                <w:bCs/>
                <w:color w:val="000000"/>
              </w:rPr>
            </w:pPr>
            <w:r w:rsidRPr="000A5158">
              <w:rPr>
                <w:rFonts w:eastAsia="Times New Roman" w:cs="Calibri"/>
                <w:b/>
                <w:bCs/>
                <w:color w:val="000000"/>
              </w:rPr>
              <w:t>Meaning</w:t>
            </w:r>
          </w:p>
        </w:tc>
      </w:tr>
      <w:tr w:rsidR="00F60455" w:rsidRPr="000A5158" w14:paraId="4F1EDAF0" w14:textId="77777777" w:rsidTr="000A5158">
        <w:trPr>
          <w:trHeight w:val="288"/>
        </w:trPr>
        <w:tc>
          <w:tcPr>
            <w:tcW w:w="2790" w:type="dxa"/>
            <w:shd w:val="clear" w:color="auto" w:fill="auto"/>
            <w:noWrap/>
            <w:vAlign w:val="center"/>
          </w:tcPr>
          <w:p w14:paraId="5151AA9B" w14:textId="38C5D903" w:rsidR="00F60455" w:rsidRPr="000A5158" w:rsidRDefault="00F60455" w:rsidP="00907188">
            <w:pPr>
              <w:spacing w:after="120"/>
              <w:rPr>
                <w:rFonts w:eastAsia="Times New Roman" w:cs="Calibri"/>
                <w:color w:val="000000"/>
              </w:rPr>
            </w:pPr>
            <w:r>
              <w:rPr>
                <w:rFonts w:eastAsia="Times New Roman" w:cs="Calibri"/>
                <w:color w:val="000000"/>
              </w:rPr>
              <w:t>Active Partner</w:t>
            </w:r>
          </w:p>
        </w:tc>
        <w:tc>
          <w:tcPr>
            <w:tcW w:w="6930" w:type="dxa"/>
            <w:shd w:val="clear" w:color="auto" w:fill="auto"/>
            <w:vAlign w:val="center"/>
          </w:tcPr>
          <w:p w14:paraId="450AEC7A" w14:textId="725D653C" w:rsidR="00F60455" w:rsidRPr="000A5158" w:rsidRDefault="00F60455" w:rsidP="000A5158">
            <w:pPr>
              <w:spacing w:after="120" w:line="240" w:lineRule="auto"/>
              <w:rPr>
                <w:rFonts w:eastAsia="Times New Roman" w:cs="Calibri"/>
                <w:color w:val="000000"/>
                <w:sz w:val="22"/>
              </w:rPr>
            </w:pPr>
            <w:r>
              <w:rPr>
                <w:rFonts w:eastAsia="Times New Roman" w:cs="Calibri"/>
                <w:color w:val="000000"/>
                <w:sz w:val="22"/>
              </w:rPr>
              <w:t>A partner that takes some role in the partnership</w:t>
            </w:r>
            <w:r w:rsidR="00D1181A">
              <w:rPr>
                <w:rFonts w:eastAsia="Times New Roman" w:cs="Calibri"/>
                <w:color w:val="000000"/>
                <w:sz w:val="22"/>
              </w:rPr>
              <w:t xml:space="preserve"> other than voting on certain issues as the applicable state law requires without exception</w:t>
            </w:r>
            <w:r>
              <w:rPr>
                <w:rFonts w:eastAsia="Times New Roman" w:cs="Calibri"/>
                <w:color w:val="000000"/>
                <w:sz w:val="22"/>
              </w:rPr>
              <w:t>.</w:t>
            </w:r>
          </w:p>
        </w:tc>
      </w:tr>
      <w:tr w:rsidR="00907188" w:rsidRPr="000A5158" w14:paraId="7EF02201" w14:textId="77777777" w:rsidTr="000A5158">
        <w:trPr>
          <w:trHeight w:val="288"/>
        </w:trPr>
        <w:tc>
          <w:tcPr>
            <w:tcW w:w="2790" w:type="dxa"/>
            <w:shd w:val="clear" w:color="auto" w:fill="auto"/>
            <w:noWrap/>
            <w:vAlign w:val="center"/>
            <w:hideMark/>
          </w:tcPr>
          <w:p w14:paraId="50073AD2" w14:textId="590B5F87" w:rsidR="00907188" w:rsidRPr="000A5158" w:rsidRDefault="00907188" w:rsidP="00907188">
            <w:pPr>
              <w:spacing w:after="120"/>
              <w:rPr>
                <w:rFonts w:eastAsia="Times New Roman" w:cs="Calibri"/>
                <w:color w:val="000000"/>
              </w:rPr>
            </w:pPr>
            <w:r w:rsidRPr="000A5158">
              <w:rPr>
                <w:rFonts w:eastAsia="Times New Roman" w:cs="Calibri"/>
                <w:color w:val="000000"/>
              </w:rPr>
              <w:t xml:space="preserve">Allocate </w:t>
            </w:r>
            <w:r w:rsidR="00EE2BB0">
              <w:rPr>
                <w:rFonts w:eastAsia="Times New Roman" w:cs="Calibri"/>
                <w:color w:val="000000"/>
              </w:rPr>
              <w:t>or</w:t>
            </w:r>
            <w:r w:rsidRPr="000A5158">
              <w:rPr>
                <w:rFonts w:eastAsia="Times New Roman" w:cs="Calibri"/>
                <w:color w:val="000000"/>
              </w:rPr>
              <w:t xml:space="preserve"> Allocation</w:t>
            </w:r>
          </w:p>
        </w:tc>
        <w:tc>
          <w:tcPr>
            <w:tcW w:w="6930" w:type="dxa"/>
            <w:shd w:val="clear" w:color="auto" w:fill="auto"/>
            <w:vAlign w:val="center"/>
            <w:hideMark/>
          </w:tcPr>
          <w:p w14:paraId="40685E22" w14:textId="776D5904" w:rsidR="00907188" w:rsidRPr="000A5158" w:rsidRDefault="00907188" w:rsidP="000A5158">
            <w:pPr>
              <w:spacing w:after="120" w:line="240" w:lineRule="auto"/>
              <w:rPr>
                <w:rFonts w:eastAsia="Times New Roman" w:cs="Calibri"/>
                <w:color w:val="000000"/>
                <w:sz w:val="22"/>
              </w:rPr>
            </w:pPr>
            <w:r w:rsidRPr="000A5158">
              <w:rPr>
                <w:rFonts w:eastAsia="Times New Roman" w:cs="Calibri"/>
                <w:color w:val="000000"/>
                <w:sz w:val="22"/>
              </w:rPr>
              <w:t>Refers to the determination of partners’ distributive shares of the partnership’s income or items.</w:t>
            </w:r>
          </w:p>
        </w:tc>
      </w:tr>
      <w:tr w:rsidR="00907188" w:rsidRPr="000A5158" w14:paraId="5036E6FD" w14:textId="77777777" w:rsidTr="000A5158">
        <w:trPr>
          <w:trHeight w:val="288"/>
        </w:trPr>
        <w:tc>
          <w:tcPr>
            <w:tcW w:w="2790" w:type="dxa"/>
            <w:shd w:val="clear" w:color="auto" w:fill="auto"/>
            <w:noWrap/>
            <w:vAlign w:val="center"/>
            <w:hideMark/>
          </w:tcPr>
          <w:p w14:paraId="5D557088" w14:textId="77777777" w:rsidR="00907188" w:rsidRPr="000A5158" w:rsidRDefault="00907188" w:rsidP="00907188">
            <w:pPr>
              <w:spacing w:after="120"/>
              <w:rPr>
                <w:rFonts w:eastAsia="Times New Roman" w:cs="Calibri"/>
                <w:color w:val="000000"/>
              </w:rPr>
            </w:pPr>
            <w:r w:rsidRPr="000A5158">
              <w:rPr>
                <w:rFonts w:eastAsia="Times New Roman" w:cs="Calibri"/>
                <w:color w:val="000000"/>
              </w:rPr>
              <w:t>Apportionable Income</w:t>
            </w:r>
          </w:p>
        </w:tc>
        <w:tc>
          <w:tcPr>
            <w:tcW w:w="6930" w:type="dxa"/>
            <w:shd w:val="clear" w:color="auto" w:fill="auto"/>
            <w:vAlign w:val="center"/>
            <w:hideMark/>
          </w:tcPr>
          <w:p w14:paraId="31CAE819" w14:textId="523AEC67" w:rsidR="00907188" w:rsidRPr="000A5158" w:rsidRDefault="00907188" w:rsidP="000A5158">
            <w:pPr>
              <w:spacing w:after="120" w:line="240" w:lineRule="auto"/>
              <w:rPr>
                <w:rFonts w:eastAsia="Times New Roman" w:cs="Calibri"/>
                <w:color w:val="000000"/>
                <w:sz w:val="22"/>
              </w:rPr>
            </w:pPr>
            <w:r w:rsidRPr="000A5158">
              <w:rPr>
                <w:rFonts w:eastAsia="Times New Roman" w:cs="Calibri"/>
                <w:color w:val="000000"/>
                <w:sz w:val="22"/>
              </w:rPr>
              <w:t xml:space="preserve">Income to which formulary apportionment is </w:t>
            </w:r>
            <w:r w:rsidR="009E4AB7">
              <w:rPr>
                <w:rFonts w:eastAsia="Times New Roman" w:cs="Calibri"/>
                <w:color w:val="000000"/>
                <w:sz w:val="22"/>
              </w:rPr>
              <w:t xml:space="preserve">properly </w:t>
            </w:r>
            <w:r w:rsidRPr="000A5158">
              <w:rPr>
                <w:rFonts w:eastAsia="Times New Roman" w:cs="Calibri"/>
                <w:color w:val="000000"/>
                <w:sz w:val="22"/>
              </w:rPr>
              <w:t>applied.</w:t>
            </w:r>
          </w:p>
        </w:tc>
      </w:tr>
      <w:tr w:rsidR="00907188" w:rsidRPr="000A5158" w14:paraId="44A160A2" w14:textId="77777777" w:rsidTr="000A5158">
        <w:trPr>
          <w:trHeight w:val="288"/>
        </w:trPr>
        <w:tc>
          <w:tcPr>
            <w:tcW w:w="2790" w:type="dxa"/>
            <w:shd w:val="clear" w:color="auto" w:fill="auto"/>
            <w:noWrap/>
            <w:vAlign w:val="center"/>
            <w:hideMark/>
          </w:tcPr>
          <w:p w14:paraId="654864EE" w14:textId="77777777" w:rsidR="00907188" w:rsidRPr="000A5158" w:rsidRDefault="00907188" w:rsidP="00907188">
            <w:pPr>
              <w:spacing w:after="120"/>
              <w:rPr>
                <w:rFonts w:eastAsia="Times New Roman" w:cs="Calibri"/>
                <w:color w:val="000000"/>
              </w:rPr>
            </w:pPr>
            <w:r w:rsidRPr="000A5158">
              <w:rPr>
                <w:rFonts w:eastAsia="Times New Roman" w:cs="Calibri"/>
                <w:color w:val="000000"/>
              </w:rPr>
              <w:t>Assign</w:t>
            </w:r>
          </w:p>
        </w:tc>
        <w:tc>
          <w:tcPr>
            <w:tcW w:w="6930" w:type="dxa"/>
            <w:shd w:val="clear" w:color="auto" w:fill="auto"/>
            <w:vAlign w:val="center"/>
            <w:hideMark/>
          </w:tcPr>
          <w:p w14:paraId="2554E351" w14:textId="77777777" w:rsidR="00907188" w:rsidRPr="000A5158" w:rsidRDefault="00907188" w:rsidP="000A5158">
            <w:pPr>
              <w:spacing w:after="120" w:line="240" w:lineRule="auto"/>
              <w:rPr>
                <w:rFonts w:eastAsia="Times New Roman" w:cs="Calibri"/>
                <w:color w:val="000000"/>
                <w:sz w:val="22"/>
              </w:rPr>
            </w:pPr>
            <w:r w:rsidRPr="000A5158">
              <w:rPr>
                <w:rFonts w:eastAsia="Times New Roman" w:cs="Calibri"/>
                <w:color w:val="000000"/>
                <w:sz w:val="22"/>
              </w:rPr>
              <w:t>Sourcing items to a state using rules of assignment.</w:t>
            </w:r>
          </w:p>
        </w:tc>
      </w:tr>
      <w:tr w:rsidR="00907188" w:rsidRPr="000A5158" w14:paraId="741B8BE0" w14:textId="77777777" w:rsidTr="000A5158">
        <w:trPr>
          <w:trHeight w:val="756"/>
        </w:trPr>
        <w:tc>
          <w:tcPr>
            <w:tcW w:w="2790" w:type="dxa"/>
            <w:shd w:val="clear" w:color="auto" w:fill="auto"/>
            <w:noWrap/>
            <w:vAlign w:val="center"/>
            <w:hideMark/>
          </w:tcPr>
          <w:p w14:paraId="7E050841" w14:textId="77777777" w:rsidR="00907188" w:rsidRPr="000A5158" w:rsidRDefault="00907188" w:rsidP="00907188">
            <w:pPr>
              <w:spacing w:after="120"/>
              <w:rPr>
                <w:rFonts w:eastAsia="Times New Roman" w:cs="Calibri"/>
                <w:color w:val="000000"/>
              </w:rPr>
            </w:pPr>
            <w:r w:rsidRPr="000A5158">
              <w:rPr>
                <w:rFonts w:eastAsia="Times New Roman" w:cs="Calibri"/>
                <w:color w:val="000000"/>
              </w:rPr>
              <w:t>Attribute</w:t>
            </w:r>
          </w:p>
        </w:tc>
        <w:tc>
          <w:tcPr>
            <w:tcW w:w="6930" w:type="dxa"/>
            <w:shd w:val="clear" w:color="auto" w:fill="auto"/>
            <w:vAlign w:val="center"/>
            <w:hideMark/>
          </w:tcPr>
          <w:p w14:paraId="221AAAEA" w14:textId="77777777" w:rsidR="00907188" w:rsidRPr="000A5158" w:rsidRDefault="00907188" w:rsidP="000A5158">
            <w:pPr>
              <w:spacing w:after="120" w:line="240" w:lineRule="auto"/>
              <w:rPr>
                <w:rFonts w:eastAsia="Times New Roman" w:cs="Calibri"/>
                <w:color w:val="000000"/>
                <w:sz w:val="22"/>
              </w:rPr>
            </w:pPr>
            <w:r w:rsidRPr="000A5158">
              <w:rPr>
                <w:rFonts w:eastAsia="Times New Roman" w:cs="Calibri"/>
                <w:color w:val="000000"/>
                <w:sz w:val="22"/>
              </w:rPr>
              <w:t>The position of a taxpayer determined under federal tax rules that may be separate from, but have an effect on, taxation of an item. Example: A taxpayer’s NOL carryover is an attribute that may offset other ordinary income.</w:t>
            </w:r>
          </w:p>
        </w:tc>
      </w:tr>
      <w:tr w:rsidR="009B5553" w:rsidRPr="000A5158" w14:paraId="56474C78" w14:textId="77777777" w:rsidTr="000A5158">
        <w:trPr>
          <w:trHeight w:val="504"/>
        </w:trPr>
        <w:tc>
          <w:tcPr>
            <w:tcW w:w="2790" w:type="dxa"/>
            <w:shd w:val="clear" w:color="auto" w:fill="auto"/>
            <w:noWrap/>
            <w:vAlign w:val="center"/>
          </w:tcPr>
          <w:p w14:paraId="1CCC7EF1" w14:textId="7A36019C" w:rsidR="009B5553" w:rsidRPr="000A5158" w:rsidRDefault="009B5553" w:rsidP="00907188">
            <w:pPr>
              <w:spacing w:after="120"/>
              <w:rPr>
                <w:rFonts w:eastAsia="Times New Roman" w:cs="Calibri"/>
                <w:color w:val="000000"/>
              </w:rPr>
            </w:pPr>
            <w:r w:rsidRPr="000A5158">
              <w:rPr>
                <w:rFonts w:eastAsia="Times New Roman" w:cs="Calibri"/>
                <w:color w:val="000000"/>
              </w:rPr>
              <w:t>Character</w:t>
            </w:r>
          </w:p>
        </w:tc>
        <w:tc>
          <w:tcPr>
            <w:tcW w:w="6930" w:type="dxa"/>
            <w:shd w:val="clear" w:color="auto" w:fill="auto"/>
            <w:vAlign w:val="center"/>
          </w:tcPr>
          <w:p w14:paraId="6C2EB0F3" w14:textId="3D330444" w:rsidR="009B5553" w:rsidRPr="000A5158" w:rsidRDefault="009B5553" w:rsidP="000A5158">
            <w:pPr>
              <w:spacing w:after="120" w:line="240" w:lineRule="auto"/>
              <w:rPr>
                <w:rFonts w:eastAsia="Times New Roman" w:cs="Calibri"/>
                <w:color w:val="000000"/>
                <w:sz w:val="22"/>
              </w:rPr>
            </w:pPr>
            <w:r w:rsidRPr="000A5158">
              <w:rPr>
                <w:rFonts w:eastAsia="Times New Roman" w:cs="Calibri"/>
                <w:color w:val="000000"/>
                <w:sz w:val="22"/>
              </w:rPr>
              <w:t>Information about a particular tax item that determines its treatment for tax purposes. Example: The character of wages is that they are ordinary income.</w:t>
            </w:r>
          </w:p>
        </w:tc>
      </w:tr>
      <w:tr w:rsidR="001E31C2" w:rsidRPr="000A5158" w14:paraId="7C850D24" w14:textId="77777777" w:rsidTr="000A5158">
        <w:trPr>
          <w:trHeight w:val="504"/>
        </w:trPr>
        <w:tc>
          <w:tcPr>
            <w:tcW w:w="2790" w:type="dxa"/>
            <w:shd w:val="clear" w:color="auto" w:fill="auto"/>
            <w:noWrap/>
            <w:vAlign w:val="center"/>
          </w:tcPr>
          <w:p w14:paraId="50AD53F1" w14:textId="370B20BB" w:rsidR="001E31C2" w:rsidRDefault="001E31C2" w:rsidP="00907188">
            <w:pPr>
              <w:spacing w:after="120"/>
              <w:rPr>
                <w:rFonts w:eastAsia="Times New Roman" w:cs="Calibri"/>
                <w:color w:val="000000"/>
              </w:rPr>
            </w:pPr>
            <w:r>
              <w:rPr>
                <w:rFonts w:eastAsia="Times New Roman" w:cs="Calibri"/>
                <w:color w:val="000000"/>
              </w:rPr>
              <w:t>Control of a Partnership</w:t>
            </w:r>
          </w:p>
        </w:tc>
        <w:tc>
          <w:tcPr>
            <w:tcW w:w="6930" w:type="dxa"/>
            <w:shd w:val="clear" w:color="auto" w:fill="auto"/>
            <w:vAlign w:val="center"/>
          </w:tcPr>
          <w:p w14:paraId="247A225D" w14:textId="52F5BBEE" w:rsidR="001E31C2" w:rsidRDefault="001E31C2" w:rsidP="000A5158">
            <w:pPr>
              <w:spacing w:after="120" w:line="240" w:lineRule="auto"/>
              <w:rPr>
                <w:rFonts w:eastAsia="Times New Roman" w:cs="Calibri"/>
                <w:color w:val="000000"/>
                <w:sz w:val="22"/>
              </w:rPr>
            </w:pPr>
            <w:r>
              <w:rPr>
                <w:rFonts w:eastAsia="Times New Roman" w:cs="Calibri"/>
                <w:color w:val="000000"/>
                <w:sz w:val="22"/>
              </w:rPr>
              <w:t xml:space="preserve">Refers to the ability of a partner through that partner’s interest or role in the partnership, or through the interest or role of other partners which can be attributed to that partner, directly or indirectly, to make certain decisions over the partnership’s business activities. </w:t>
            </w:r>
          </w:p>
        </w:tc>
      </w:tr>
      <w:tr w:rsidR="00D1181A" w:rsidRPr="000A5158" w14:paraId="12416ABB" w14:textId="77777777" w:rsidTr="000A5158">
        <w:trPr>
          <w:trHeight w:val="504"/>
        </w:trPr>
        <w:tc>
          <w:tcPr>
            <w:tcW w:w="2790" w:type="dxa"/>
            <w:shd w:val="clear" w:color="auto" w:fill="auto"/>
            <w:noWrap/>
            <w:vAlign w:val="center"/>
          </w:tcPr>
          <w:p w14:paraId="65E43D09" w14:textId="066A5654" w:rsidR="00D1181A" w:rsidRPr="000A5158" w:rsidRDefault="00D1181A" w:rsidP="00907188">
            <w:pPr>
              <w:spacing w:after="120"/>
              <w:rPr>
                <w:rFonts w:eastAsia="Times New Roman" w:cs="Calibri"/>
                <w:color w:val="000000"/>
              </w:rPr>
            </w:pPr>
            <w:r>
              <w:rPr>
                <w:rFonts w:eastAsia="Times New Roman" w:cs="Calibri"/>
                <w:color w:val="000000"/>
              </w:rPr>
              <w:t>Direct Partner</w:t>
            </w:r>
          </w:p>
        </w:tc>
        <w:tc>
          <w:tcPr>
            <w:tcW w:w="6930" w:type="dxa"/>
            <w:shd w:val="clear" w:color="auto" w:fill="auto"/>
            <w:vAlign w:val="center"/>
          </w:tcPr>
          <w:p w14:paraId="0006719E" w14:textId="3FCB83ED" w:rsidR="00D1181A" w:rsidRPr="000A5158" w:rsidRDefault="00D1181A" w:rsidP="000A5158">
            <w:pPr>
              <w:spacing w:after="120" w:line="240" w:lineRule="auto"/>
              <w:rPr>
                <w:rFonts w:eastAsia="Times New Roman" w:cs="Calibri"/>
                <w:color w:val="000000"/>
                <w:sz w:val="22"/>
              </w:rPr>
            </w:pPr>
            <w:r>
              <w:rPr>
                <w:rFonts w:eastAsia="Times New Roman" w:cs="Calibri"/>
                <w:color w:val="000000"/>
                <w:sz w:val="22"/>
              </w:rPr>
              <w:t>A partner that holds an interest in a partnership.</w:t>
            </w:r>
          </w:p>
        </w:tc>
      </w:tr>
      <w:tr w:rsidR="0098179D" w:rsidRPr="000A5158" w14:paraId="4239E5D2" w14:textId="77777777" w:rsidTr="000A5158">
        <w:trPr>
          <w:trHeight w:val="504"/>
        </w:trPr>
        <w:tc>
          <w:tcPr>
            <w:tcW w:w="2790" w:type="dxa"/>
            <w:shd w:val="clear" w:color="auto" w:fill="auto"/>
            <w:noWrap/>
            <w:vAlign w:val="center"/>
          </w:tcPr>
          <w:p w14:paraId="14EB63AC" w14:textId="197015C9" w:rsidR="0098179D" w:rsidRPr="000A5158" w:rsidRDefault="0098179D" w:rsidP="00907188">
            <w:pPr>
              <w:spacing w:after="120"/>
              <w:rPr>
                <w:rFonts w:eastAsia="Times New Roman" w:cs="Calibri"/>
                <w:color w:val="000000"/>
              </w:rPr>
            </w:pPr>
            <w:r w:rsidRPr="000A5158">
              <w:rPr>
                <w:rFonts w:eastAsia="Times New Roman" w:cs="Calibri"/>
                <w:color w:val="000000"/>
              </w:rPr>
              <w:t>Distribution</w:t>
            </w:r>
          </w:p>
        </w:tc>
        <w:tc>
          <w:tcPr>
            <w:tcW w:w="6930" w:type="dxa"/>
            <w:shd w:val="clear" w:color="auto" w:fill="auto"/>
            <w:vAlign w:val="center"/>
          </w:tcPr>
          <w:p w14:paraId="255B7F93" w14:textId="20E519E6" w:rsidR="0098179D" w:rsidRPr="000A5158" w:rsidRDefault="0098179D" w:rsidP="000A5158">
            <w:pPr>
              <w:spacing w:after="120" w:line="240" w:lineRule="auto"/>
              <w:rPr>
                <w:rFonts w:eastAsia="Times New Roman" w:cs="Calibri"/>
                <w:color w:val="000000"/>
                <w:sz w:val="22"/>
              </w:rPr>
            </w:pPr>
            <w:r w:rsidRPr="000A5158">
              <w:rPr>
                <w:rFonts w:eastAsia="Times New Roman" w:cs="Calibri"/>
                <w:color w:val="000000"/>
                <w:sz w:val="22"/>
              </w:rPr>
              <w:t>Payment of money or assets by a partnership to a partner.</w:t>
            </w:r>
          </w:p>
        </w:tc>
      </w:tr>
      <w:tr w:rsidR="00907188" w:rsidRPr="000A5158" w14:paraId="31780A5D" w14:textId="77777777" w:rsidTr="000A5158">
        <w:trPr>
          <w:trHeight w:val="504"/>
        </w:trPr>
        <w:tc>
          <w:tcPr>
            <w:tcW w:w="2790" w:type="dxa"/>
            <w:shd w:val="clear" w:color="auto" w:fill="auto"/>
            <w:noWrap/>
            <w:vAlign w:val="center"/>
            <w:hideMark/>
          </w:tcPr>
          <w:p w14:paraId="5FD20B68" w14:textId="77777777" w:rsidR="00907188" w:rsidRPr="000A5158" w:rsidRDefault="00907188" w:rsidP="00907188">
            <w:pPr>
              <w:spacing w:after="120"/>
              <w:rPr>
                <w:rFonts w:eastAsia="Times New Roman" w:cs="Calibri"/>
                <w:color w:val="000000"/>
              </w:rPr>
            </w:pPr>
            <w:r w:rsidRPr="000A5158">
              <w:rPr>
                <w:rFonts w:eastAsia="Times New Roman" w:cs="Calibri"/>
                <w:color w:val="000000"/>
              </w:rPr>
              <w:t>Distributive Share</w:t>
            </w:r>
          </w:p>
        </w:tc>
        <w:tc>
          <w:tcPr>
            <w:tcW w:w="6930" w:type="dxa"/>
            <w:shd w:val="clear" w:color="auto" w:fill="auto"/>
            <w:vAlign w:val="center"/>
            <w:hideMark/>
          </w:tcPr>
          <w:p w14:paraId="180C7883" w14:textId="77777777" w:rsidR="00907188" w:rsidRPr="000A5158" w:rsidRDefault="00907188" w:rsidP="000A5158">
            <w:pPr>
              <w:spacing w:after="120" w:line="240" w:lineRule="auto"/>
              <w:rPr>
                <w:rFonts w:eastAsia="Times New Roman" w:cs="Calibri"/>
                <w:color w:val="000000"/>
                <w:sz w:val="22"/>
              </w:rPr>
            </w:pPr>
            <w:r w:rsidRPr="000A5158">
              <w:rPr>
                <w:rFonts w:eastAsia="Times New Roman" w:cs="Calibri"/>
                <w:color w:val="000000"/>
                <w:sz w:val="22"/>
              </w:rPr>
              <w:t>The partners’ share of items allocated each year, consistent with IRC § 704, including special allocations.</w:t>
            </w:r>
          </w:p>
        </w:tc>
      </w:tr>
      <w:tr w:rsidR="00907188" w:rsidRPr="000A5158" w14:paraId="394BA437" w14:textId="77777777" w:rsidTr="000A5158">
        <w:trPr>
          <w:trHeight w:val="756"/>
        </w:trPr>
        <w:tc>
          <w:tcPr>
            <w:tcW w:w="2790" w:type="dxa"/>
            <w:shd w:val="clear" w:color="auto" w:fill="auto"/>
            <w:noWrap/>
            <w:vAlign w:val="center"/>
            <w:hideMark/>
          </w:tcPr>
          <w:p w14:paraId="65326447" w14:textId="77777777" w:rsidR="00907188" w:rsidRPr="000A5158" w:rsidRDefault="00907188" w:rsidP="00907188">
            <w:pPr>
              <w:spacing w:after="120"/>
              <w:rPr>
                <w:rFonts w:eastAsia="Times New Roman" w:cs="Calibri"/>
                <w:color w:val="000000"/>
              </w:rPr>
            </w:pPr>
            <w:r w:rsidRPr="000A5158">
              <w:rPr>
                <w:rFonts w:eastAsia="Times New Roman" w:cs="Calibri"/>
                <w:color w:val="000000"/>
              </w:rPr>
              <w:t>Formulary Apportionment</w:t>
            </w:r>
          </w:p>
        </w:tc>
        <w:tc>
          <w:tcPr>
            <w:tcW w:w="6930" w:type="dxa"/>
            <w:shd w:val="clear" w:color="auto" w:fill="auto"/>
            <w:vAlign w:val="center"/>
            <w:hideMark/>
          </w:tcPr>
          <w:p w14:paraId="593DF778" w14:textId="77777777" w:rsidR="00907188" w:rsidRPr="000A5158" w:rsidRDefault="00907188" w:rsidP="000A5158">
            <w:pPr>
              <w:spacing w:after="120" w:line="240" w:lineRule="auto"/>
              <w:rPr>
                <w:rFonts w:eastAsia="Times New Roman" w:cs="Calibri"/>
                <w:color w:val="000000"/>
                <w:sz w:val="22"/>
              </w:rPr>
            </w:pPr>
            <w:r w:rsidRPr="000A5158">
              <w:rPr>
                <w:rFonts w:eastAsia="Times New Roman" w:cs="Calibri"/>
                <w:color w:val="000000"/>
                <w:sz w:val="22"/>
              </w:rPr>
              <w:t>Sourcing net income from multistate business activities to a state using a formula or ratio consisting of factors representing the amount of related activity in the state (e.g., receipts, property, and/or payroll).</w:t>
            </w:r>
          </w:p>
        </w:tc>
      </w:tr>
      <w:tr w:rsidR="00907188" w:rsidRPr="000A5158" w14:paraId="23AD7B4D" w14:textId="77777777" w:rsidTr="000A5158">
        <w:trPr>
          <w:trHeight w:val="504"/>
        </w:trPr>
        <w:tc>
          <w:tcPr>
            <w:tcW w:w="2790" w:type="dxa"/>
            <w:shd w:val="clear" w:color="auto" w:fill="auto"/>
            <w:noWrap/>
            <w:vAlign w:val="center"/>
            <w:hideMark/>
          </w:tcPr>
          <w:p w14:paraId="25E7A1DB" w14:textId="77777777" w:rsidR="00907188" w:rsidRPr="000A5158" w:rsidRDefault="00907188" w:rsidP="00907188">
            <w:pPr>
              <w:spacing w:after="120"/>
              <w:rPr>
                <w:rFonts w:eastAsia="Times New Roman" w:cs="Calibri"/>
                <w:color w:val="000000"/>
              </w:rPr>
            </w:pPr>
            <w:r w:rsidRPr="000A5158">
              <w:rPr>
                <w:rFonts w:eastAsia="Times New Roman" w:cs="Calibri"/>
                <w:color w:val="000000"/>
              </w:rPr>
              <w:t>Guaranteed Payment</w:t>
            </w:r>
          </w:p>
        </w:tc>
        <w:tc>
          <w:tcPr>
            <w:tcW w:w="6930" w:type="dxa"/>
            <w:shd w:val="clear" w:color="auto" w:fill="auto"/>
            <w:vAlign w:val="center"/>
            <w:hideMark/>
          </w:tcPr>
          <w:p w14:paraId="42391A29" w14:textId="77777777" w:rsidR="00907188" w:rsidRPr="000A5158" w:rsidRDefault="00907188" w:rsidP="000A5158">
            <w:pPr>
              <w:spacing w:after="120" w:line="240" w:lineRule="auto"/>
              <w:rPr>
                <w:rFonts w:eastAsia="Times New Roman" w:cs="Calibri"/>
                <w:color w:val="000000"/>
                <w:sz w:val="22"/>
              </w:rPr>
            </w:pPr>
            <w:r w:rsidRPr="000A5158">
              <w:rPr>
                <w:rFonts w:eastAsia="Times New Roman" w:cs="Calibri"/>
                <w:color w:val="000000"/>
                <w:sz w:val="22"/>
              </w:rPr>
              <w:t>Payment made to a partner, acting as a partner, which is not dependent on the partnership’s income, consistent with IRC § 707(c).</w:t>
            </w:r>
          </w:p>
        </w:tc>
      </w:tr>
      <w:tr w:rsidR="00D1181A" w:rsidRPr="000A5158" w14:paraId="2DE6C30B" w14:textId="77777777" w:rsidTr="000A5158">
        <w:trPr>
          <w:trHeight w:val="756"/>
        </w:trPr>
        <w:tc>
          <w:tcPr>
            <w:tcW w:w="2790" w:type="dxa"/>
            <w:shd w:val="clear" w:color="auto" w:fill="auto"/>
            <w:noWrap/>
            <w:vAlign w:val="center"/>
          </w:tcPr>
          <w:p w14:paraId="7DEB3617" w14:textId="72B4A7E0" w:rsidR="00D1181A" w:rsidRPr="000A5158" w:rsidRDefault="00D1181A" w:rsidP="00907188">
            <w:pPr>
              <w:spacing w:after="120"/>
              <w:rPr>
                <w:rFonts w:eastAsia="Times New Roman" w:cs="Calibri"/>
                <w:color w:val="000000"/>
              </w:rPr>
            </w:pPr>
            <w:r>
              <w:rPr>
                <w:rFonts w:eastAsia="Times New Roman" w:cs="Calibri"/>
                <w:color w:val="000000"/>
              </w:rPr>
              <w:t>Indirect Partner</w:t>
            </w:r>
          </w:p>
        </w:tc>
        <w:tc>
          <w:tcPr>
            <w:tcW w:w="6930" w:type="dxa"/>
            <w:shd w:val="clear" w:color="auto" w:fill="auto"/>
            <w:vAlign w:val="center"/>
          </w:tcPr>
          <w:p w14:paraId="43870565" w14:textId="5EBF14B6" w:rsidR="00D1181A" w:rsidRPr="000A5158" w:rsidRDefault="00D1181A" w:rsidP="000A5158">
            <w:pPr>
              <w:spacing w:after="120" w:line="240" w:lineRule="auto"/>
              <w:rPr>
                <w:rFonts w:eastAsia="Times New Roman" w:cs="Calibri"/>
                <w:color w:val="000000"/>
                <w:sz w:val="22"/>
              </w:rPr>
            </w:pPr>
            <w:r>
              <w:rPr>
                <w:rFonts w:eastAsia="Times New Roman" w:cs="Calibri"/>
                <w:color w:val="000000"/>
                <w:sz w:val="22"/>
              </w:rPr>
              <w:t xml:space="preserve">A </w:t>
            </w:r>
            <w:r w:rsidR="00532542">
              <w:rPr>
                <w:rFonts w:eastAsia="Times New Roman" w:cs="Calibri"/>
                <w:color w:val="000000"/>
                <w:sz w:val="22"/>
              </w:rPr>
              <w:t>partner of a tiered partnership, with respect to a lower</w:t>
            </w:r>
            <w:r w:rsidR="00746A3F">
              <w:rPr>
                <w:rFonts w:eastAsia="Times New Roman" w:cs="Calibri"/>
                <w:color w:val="000000"/>
                <w:sz w:val="22"/>
              </w:rPr>
              <w:t>-</w:t>
            </w:r>
            <w:r w:rsidR="00532542">
              <w:rPr>
                <w:rFonts w:eastAsia="Times New Roman" w:cs="Calibri"/>
                <w:color w:val="000000"/>
                <w:sz w:val="22"/>
              </w:rPr>
              <w:t>tier partnership.</w:t>
            </w:r>
          </w:p>
        </w:tc>
      </w:tr>
      <w:tr w:rsidR="00215DF2" w:rsidRPr="000A5158" w14:paraId="7E7512C6" w14:textId="77777777" w:rsidTr="000A5158">
        <w:trPr>
          <w:trHeight w:val="504"/>
        </w:trPr>
        <w:tc>
          <w:tcPr>
            <w:tcW w:w="2790" w:type="dxa"/>
            <w:shd w:val="clear" w:color="auto" w:fill="auto"/>
            <w:noWrap/>
            <w:vAlign w:val="center"/>
          </w:tcPr>
          <w:p w14:paraId="310CA057" w14:textId="4BE641AD" w:rsidR="00215DF2" w:rsidRPr="000A5158" w:rsidRDefault="00215DF2" w:rsidP="00907188">
            <w:pPr>
              <w:spacing w:after="120"/>
              <w:rPr>
                <w:rFonts w:eastAsia="Times New Roman" w:cs="Calibri"/>
                <w:color w:val="000000"/>
              </w:rPr>
            </w:pPr>
            <w:r w:rsidRPr="000A5158">
              <w:rPr>
                <w:rFonts w:eastAsia="Times New Roman" w:cs="Calibri"/>
                <w:color w:val="000000"/>
              </w:rPr>
              <w:t>IRC</w:t>
            </w:r>
          </w:p>
        </w:tc>
        <w:tc>
          <w:tcPr>
            <w:tcW w:w="6930" w:type="dxa"/>
            <w:shd w:val="clear" w:color="auto" w:fill="auto"/>
            <w:vAlign w:val="center"/>
          </w:tcPr>
          <w:p w14:paraId="4C6FF775" w14:textId="4403E14D" w:rsidR="00215DF2" w:rsidRPr="000A5158" w:rsidRDefault="00215DF2" w:rsidP="000A5158">
            <w:pPr>
              <w:spacing w:after="120" w:line="240" w:lineRule="auto"/>
              <w:rPr>
                <w:rFonts w:eastAsia="Times New Roman" w:cs="Calibri"/>
                <w:color w:val="000000"/>
                <w:sz w:val="22"/>
              </w:rPr>
            </w:pPr>
            <w:r w:rsidRPr="000A5158">
              <w:rPr>
                <w:rFonts w:eastAsia="Times New Roman" w:cs="Calibri"/>
                <w:color w:val="000000"/>
                <w:sz w:val="22"/>
              </w:rPr>
              <w:t>Internal Revenue Code.</w:t>
            </w:r>
          </w:p>
        </w:tc>
      </w:tr>
      <w:tr w:rsidR="00532542" w:rsidRPr="000A5158" w14:paraId="230C7194" w14:textId="77777777" w:rsidTr="00532542">
        <w:trPr>
          <w:trHeight w:val="350"/>
        </w:trPr>
        <w:tc>
          <w:tcPr>
            <w:tcW w:w="2790" w:type="dxa"/>
            <w:shd w:val="clear" w:color="auto" w:fill="auto"/>
            <w:noWrap/>
            <w:vAlign w:val="center"/>
            <w:hideMark/>
          </w:tcPr>
          <w:p w14:paraId="30C2A014" w14:textId="77777777" w:rsidR="00532542" w:rsidRPr="000A5158" w:rsidRDefault="00532542" w:rsidP="0027112A">
            <w:pPr>
              <w:spacing w:after="120"/>
              <w:rPr>
                <w:rFonts w:eastAsia="Times New Roman" w:cs="Calibri"/>
                <w:color w:val="000000"/>
              </w:rPr>
            </w:pPr>
            <w:r w:rsidRPr="000A5158">
              <w:rPr>
                <w:rFonts w:eastAsia="Times New Roman" w:cs="Calibri"/>
                <w:color w:val="000000"/>
              </w:rPr>
              <w:t>Item</w:t>
            </w:r>
          </w:p>
        </w:tc>
        <w:tc>
          <w:tcPr>
            <w:tcW w:w="6930" w:type="dxa"/>
            <w:shd w:val="clear" w:color="auto" w:fill="auto"/>
            <w:vAlign w:val="center"/>
            <w:hideMark/>
          </w:tcPr>
          <w:p w14:paraId="3583F9A1" w14:textId="77777777" w:rsidR="00532542" w:rsidRPr="000A5158" w:rsidRDefault="00532542" w:rsidP="0027112A">
            <w:pPr>
              <w:spacing w:after="120" w:line="240" w:lineRule="auto"/>
              <w:rPr>
                <w:rFonts w:eastAsia="Times New Roman" w:cs="Calibri"/>
                <w:color w:val="000000"/>
                <w:sz w:val="22"/>
              </w:rPr>
            </w:pPr>
            <w:r w:rsidRPr="000A5158">
              <w:rPr>
                <w:rFonts w:eastAsia="Times New Roman" w:cs="Calibri"/>
                <w:color w:val="000000"/>
                <w:sz w:val="22"/>
              </w:rPr>
              <w:t>Income, expense, gain, or loss from a particular transaction or activity that has a particular character under federal substantive tax rules. Example: Rent from certain property would be considered an “item” of income, and depreciation of that property would be considered another “item.”</w:t>
            </w:r>
          </w:p>
        </w:tc>
      </w:tr>
      <w:tr w:rsidR="00532542" w:rsidRPr="000A5158" w14:paraId="6CB48CF6" w14:textId="77777777" w:rsidTr="000A5158">
        <w:trPr>
          <w:trHeight w:val="504"/>
        </w:trPr>
        <w:tc>
          <w:tcPr>
            <w:tcW w:w="2790" w:type="dxa"/>
            <w:shd w:val="clear" w:color="auto" w:fill="auto"/>
            <w:noWrap/>
            <w:vAlign w:val="center"/>
          </w:tcPr>
          <w:p w14:paraId="51926E53" w14:textId="2571BAD7" w:rsidR="00532542" w:rsidRPr="000A5158" w:rsidRDefault="00532542" w:rsidP="00907188">
            <w:pPr>
              <w:spacing w:after="120"/>
              <w:rPr>
                <w:rFonts w:eastAsia="Times New Roman" w:cs="Calibri"/>
                <w:color w:val="000000"/>
              </w:rPr>
            </w:pPr>
            <w:r>
              <w:rPr>
                <w:rFonts w:eastAsia="Times New Roman" w:cs="Calibri"/>
                <w:color w:val="000000"/>
              </w:rPr>
              <w:t>Lower-Tier Partnership</w:t>
            </w:r>
          </w:p>
        </w:tc>
        <w:tc>
          <w:tcPr>
            <w:tcW w:w="6930" w:type="dxa"/>
            <w:shd w:val="clear" w:color="auto" w:fill="auto"/>
            <w:vAlign w:val="center"/>
          </w:tcPr>
          <w:p w14:paraId="799F3B58" w14:textId="03CD981F" w:rsidR="00532542" w:rsidRPr="000A5158" w:rsidRDefault="00532542" w:rsidP="000A5158">
            <w:pPr>
              <w:spacing w:after="120" w:line="240" w:lineRule="auto"/>
              <w:rPr>
                <w:rFonts w:eastAsia="Times New Roman" w:cs="Calibri"/>
                <w:color w:val="000000"/>
                <w:sz w:val="22"/>
              </w:rPr>
            </w:pPr>
            <w:r>
              <w:rPr>
                <w:rFonts w:eastAsia="Times New Roman" w:cs="Calibri"/>
                <w:color w:val="000000"/>
                <w:sz w:val="22"/>
              </w:rPr>
              <w:t xml:space="preserve">A partnership that has a partnership as a direct or indirect partner. </w:t>
            </w:r>
          </w:p>
        </w:tc>
      </w:tr>
      <w:tr w:rsidR="00907188" w:rsidRPr="000A5158" w14:paraId="3F75A062" w14:textId="77777777" w:rsidTr="000A5158">
        <w:trPr>
          <w:trHeight w:val="504"/>
        </w:trPr>
        <w:tc>
          <w:tcPr>
            <w:tcW w:w="2790" w:type="dxa"/>
            <w:shd w:val="clear" w:color="auto" w:fill="auto"/>
            <w:noWrap/>
            <w:vAlign w:val="center"/>
            <w:hideMark/>
          </w:tcPr>
          <w:p w14:paraId="455F9B36" w14:textId="77777777" w:rsidR="00907188" w:rsidRPr="000A5158" w:rsidRDefault="00907188" w:rsidP="00907188">
            <w:pPr>
              <w:spacing w:after="120"/>
              <w:rPr>
                <w:rFonts w:eastAsia="Times New Roman" w:cs="Calibri"/>
                <w:color w:val="000000"/>
              </w:rPr>
            </w:pPr>
            <w:r w:rsidRPr="000A5158">
              <w:rPr>
                <w:rFonts w:eastAsia="Times New Roman" w:cs="Calibri"/>
                <w:color w:val="000000"/>
              </w:rPr>
              <w:t>Net Income</w:t>
            </w:r>
          </w:p>
        </w:tc>
        <w:tc>
          <w:tcPr>
            <w:tcW w:w="6930" w:type="dxa"/>
            <w:shd w:val="clear" w:color="auto" w:fill="auto"/>
            <w:vAlign w:val="center"/>
            <w:hideMark/>
          </w:tcPr>
          <w:p w14:paraId="7FD23CDB" w14:textId="77777777" w:rsidR="00907188" w:rsidRPr="000A5158" w:rsidRDefault="00907188" w:rsidP="000A5158">
            <w:pPr>
              <w:spacing w:after="120" w:line="240" w:lineRule="auto"/>
              <w:rPr>
                <w:rFonts w:eastAsia="Times New Roman" w:cs="Calibri"/>
                <w:color w:val="000000"/>
                <w:sz w:val="22"/>
              </w:rPr>
            </w:pPr>
            <w:r w:rsidRPr="000A5158">
              <w:rPr>
                <w:rFonts w:eastAsia="Times New Roman" w:cs="Calibri"/>
                <w:color w:val="000000"/>
                <w:sz w:val="22"/>
              </w:rPr>
              <w:t>An amount made up of netting various items of income, expense, gain, and/or loss, as determined under applicable tax rules.</w:t>
            </w:r>
          </w:p>
        </w:tc>
      </w:tr>
      <w:tr w:rsidR="00533131" w:rsidRPr="000A5158" w14:paraId="3788EE24" w14:textId="77777777" w:rsidTr="000A5158">
        <w:trPr>
          <w:trHeight w:val="288"/>
        </w:trPr>
        <w:tc>
          <w:tcPr>
            <w:tcW w:w="2790" w:type="dxa"/>
            <w:shd w:val="clear" w:color="auto" w:fill="auto"/>
            <w:noWrap/>
            <w:vAlign w:val="center"/>
          </w:tcPr>
          <w:p w14:paraId="21551D7A" w14:textId="2F7371E7" w:rsidR="00533131" w:rsidRPr="000A5158" w:rsidRDefault="00533131" w:rsidP="00907188">
            <w:pPr>
              <w:spacing w:after="120"/>
              <w:rPr>
                <w:rFonts w:eastAsia="Times New Roman" w:cs="Calibri"/>
                <w:color w:val="000000"/>
              </w:rPr>
            </w:pPr>
            <w:r w:rsidRPr="000A5158">
              <w:rPr>
                <w:rFonts w:eastAsia="Times New Roman" w:cs="Calibri"/>
                <w:color w:val="000000"/>
              </w:rPr>
              <w:t>Nexus</w:t>
            </w:r>
          </w:p>
        </w:tc>
        <w:tc>
          <w:tcPr>
            <w:tcW w:w="6930" w:type="dxa"/>
            <w:shd w:val="clear" w:color="auto" w:fill="auto"/>
            <w:vAlign w:val="center"/>
          </w:tcPr>
          <w:p w14:paraId="59589CEC" w14:textId="00D04CD9" w:rsidR="00533131" w:rsidRPr="000A5158" w:rsidRDefault="00533131" w:rsidP="000A5158">
            <w:pPr>
              <w:spacing w:after="120" w:line="240" w:lineRule="auto"/>
              <w:rPr>
                <w:rFonts w:eastAsia="Times New Roman" w:cs="Calibri"/>
                <w:color w:val="000000"/>
                <w:sz w:val="22"/>
              </w:rPr>
            </w:pPr>
            <w:r w:rsidRPr="000A5158">
              <w:rPr>
                <w:rFonts w:eastAsia="Times New Roman" w:cs="Calibri"/>
                <w:color w:val="000000"/>
                <w:sz w:val="22"/>
              </w:rPr>
              <w:t>The connection between the thing or person to be taxed and the state imposing the tax. Nexus standards are derived from the U.S. Constitution, particularly the due process and dormant commerce clauses.</w:t>
            </w:r>
          </w:p>
        </w:tc>
      </w:tr>
      <w:tr w:rsidR="00907188" w:rsidRPr="000A5158" w14:paraId="726E7349" w14:textId="77777777" w:rsidTr="000A5158">
        <w:trPr>
          <w:trHeight w:val="288"/>
        </w:trPr>
        <w:tc>
          <w:tcPr>
            <w:tcW w:w="2790" w:type="dxa"/>
            <w:shd w:val="clear" w:color="auto" w:fill="auto"/>
            <w:noWrap/>
            <w:vAlign w:val="center"/>
            <w:hideMark/>
          </w:tcPr>
          <w:p w14:paraId="1E96AF23" w14:textId="34E91393" w:rsidR="00907188" w:rsidRPr="000A5158" w:rsidRDefault="00907188" w:rsidP="00907188">
            <w:pPr>
              <w:spacing w:after="120"/>
              <w:rPr>
                <w:rFonts w:eastAsia="Times New Roman" w:cs="Calibri"/>
                <w:color w:val="000000"/>
              </w:rPr>
            </w:pPr>
            <w:r w:rsidRPr="000A5158">
              <w:rPr>
                <w:rFonts w:eastAsia="Times New Roman" w:cs="Calibri"/>
                <w:color w:val="000000"/>
              </w:rPr>
              <w:t xml:space="preserve">Nonapportionable </w:t>
            </w:r>
            <w:r w:rsidR="00EE2BB0">
              <w:rPr>
                <w:rFonts w:eastAsia="Times New Roman" w:cs="Calibri"/>
                <w:color w:val="000000"/>
              </w:rPr>
              <w:br/>
            </w:r>
            <w:r w:rsidRPr="000A5158">
              <w:rPr>
                <w:rFonts w:eastAsia="Times New Roman" w:cs="Calibri"/>
                <w:color w:val="000000"/>
              </w:rPr>
              <w:t>Income</w:t>
            </w:r>
          </w:p>
        </w:tc>
        <w:tc>
          <w:tcPr>
            <w:tcW w:w="6930" w:type="dxa"/>
            <w:shd w:val="clear" w:color="auto" w:fill="auto"/>
            <w:vAlign w:val="center"/>
            <w:hideMark/>
          </w:tcPr>
          <w:p w14:paraId="15C99BE6" w14:textId="3D22D8B6" w:rsidR="00907188" w:rsidRPr="000A5158" w:rsidRDefault="00907188" w:rsidP="000A5158">
            <w:pPr>
              <w:spacing w:after="120" w:line="240" w:lineRule="auto"/>
              <w:rPr>
                <w:rFonts w:eastAsia="Times New Roman" w:cs="Calibri"/>
                <w:color w:val="000000"/>
                <w:sz w:val="22"/>
              </w:rPr>
            </w:pPr>
            <w:r w:rsidRPr="000A5158">
              <w:rPr>
                <w:rFonts w:eastAsia="Times New Roman" w:cs="Calibri"/>
                <w:color w:val="000000"/>
                <w:sz w:val="22"/>
              </w:rPr>
              <w:t>Income to which specific rules of assignment are</w:t>
            </w:r>
            <w:r w:rsidR="009E4AB7">
              <w:rPr>
                <w:rFonts w:eastAsia="Times New Roman" w:cs="Calibri"/>
                <w:color w:val="000000"/>
                <w:sz w:val="22"/>
              </w:rPr>
              <w:t xml:space="preserve"> properly</w:t>
            </w:r>
            <w:r w:rsidRPr="000A5158">
              <w:rPr>
                <w:rFonts w:eastAsia="Times New Roman" w:cs="Calibri"/>
                <w:color w:val="000000"/>
                <w:sz w:val="22"/>
              </w:rPr>
              <w:t xml:space="preserve"> applied.</w:t>
            </w:r>
          </w:p>
        </w:tc>
      </w:tr>
      <w:tr w:rsidR="00907188" w:rsidRPr="000A5158" w14:paraId="2D6FAB82" w14:textId="77777777" w:rsidTr="000A5158">
        <w:trPr>
          <w:trHeight w:val="288"/>
        </w:trPr>
        <w:tc>
          <w:tcPr>
            <w:tcW w:w="2790" w:type="dxa"/>
            <w:shd w:val="clear" w:color="auto" w:fill="auto"/>
            <w:noWrap/>
            <w:vAlign w:val="center"/>
            <w:hideMark/>
          </w:tcPr>
          <w:p w14:paraId="1249A238" w14:textId="77777777" w:rsidR="00907188" w:rsidRPr="000A5158" w:rsidRDefault="00907188" w:rsidP="00907188">
            <w:pPr>
              <w:spacing w:after="120"/>
              <w:rPr>
                <w:rFonts w:eastAsia="Times New Roman" w:cs="Calibri"/>
                <w:color w:val="000000"/>
              </w:rPr>
            </w:pPr>
            <w:r w:rsidRPr="000A5158">
              <w:rPr>
                <w:rFonts w:eastAsia="Times New Roman" w:cs="Calibri"/>
                <w:color w:val="000000"/>
              </w:rPr>
              <w:t>Partner</w:t>
            </w:r>
          </w:p>
        </w:tc>
        <w:tc>
          <w:tcPr>
            <w:tcW w:w="6930" w:type="dxa"/>
            <w:shd w:val="clear" w:color="auto" w:fill="auto"/>
            <w:vAlign w:val="center"/>
            <w:hideMark/>
          </w:tcPr>
          <w:p w14:paraId="2DE10AFF" w14:textId="77777777" w:rsidR="00907188" w:rsidRPr="000A5158" w:rsidRDefault="00907188" w:rsidP="000A5158">
            <w:pPr>
              <w:spacing w:after="120" w:line="240" w:lineRule="auto"/>
              <w:rPr>
                <w:rFonts w:eastAsia="Times New Roman" w:cs="Calibri"/>
                <w:color w:val="000000"/>
                <w:sz w:val="22"/>
              </w:rPr>
            </w:pPr>
            <w:r w:rsidRPr="000A5158">
              <w:rPr>
                <w:rFonts w:eastAsia="Times New Roman" w:cs="Calibri"/>
                <w:color w:val="000000"/>
                <w:sz w:val="22"/>
              </w:rPr>
              <w:t>A person properly treated as a partner under the rules of Subchapter K.</w:t>
            </w:r>
          </w:p>
        </w:tc>
      </w:tr>
      <w:tr w:rsidR="001E31C2" w:rsidRPr="000A5158" w14:paraId="41B3C135" w14:textId="77777777" w:rsidTr="000A5158">
        <w:trPr>
          <w:trHeight w:val="288"/>
        </w:trPr>
        <w:tc>
          <w:tcPr>
            <w:tcW w:w="2790" w:type="dxa"/>
            <w:shd w:val="clear" w:color="auto" w:fill="auto"/>
            <w:noWrap/>
            <w:vAlign w:val="center"/>
          </w:tcPr>
          <w:p w14:paraId="125FFCCE" w14:textId="3B06EF6A" w:rsidR="001E31C2" w:rsidRPr="000A5158" w:rsidRDefault="001E31C2" w:rsidP="00907188">
            <w:pPr>
              <w:spacing w:after="120"/>
              <w:rPr>
                <w:rFonts w:eastAsia="Times New Roman" w:cs="Calibri"/>
                <w:color w:val="000000"/>
              </w:rPr>
            </w:pPr>
            <w:r>
              <w:rPr>
                <w:rFonts w:eastAsia="Times New Roman" w:cs="Calibri"/>
                <w:color w:val="000000"/>
              </w:rPr>
              <w:t>Partner Capital</w:t>
            </w:r>
          </w:p>
        </w:tc>
        <w:tc>
          <w:tcPr>
            <w:tcW w:w="6930" w:type="dxa"/>
            <w:shd w:val="clear" w:color="auto" w:fill="auto"/>
            <w:vAlign w:val="center"/>
          </w:tcPr>
          <w:p w14:paraId="077229A1" w14:textId="3E62F84E" w:rsidR="001E31C2" w:rsidRPr="000A5158" w:rsidRDefault="001E31C2" w:rsidP="000A5158">
            <w:pPr>
              <w:spacing w:after="120" w:line="240" w:lineRule="auto"/>
              <w:rPr>
                <w:rFonts w:eastAsia="Times New Roman" w:cs="Calibri"/>
                <w:color w:val="000000"/>
                <w:sz w:val="22"/>
              </w:rPr>
            </w:pPr>
            <w:r>
              <w:rPr>
                <w:rFonts w:eastAsia="Times New Roman" w:cs="Calibri"/>
                <w:color w:val="000000"/>
                <w:sz w:val="22"/>
              </w:rPr>
              <w:t>The partnership share of partnership capital as determined under Subchapter K.</w:t>
            </w:r>
          </w:p>
        </w:tc>
      </w:tr>
      <w:tr w:rsidR="00907188" w:rsidRPr="000A5158" w14:paraId="1C9FE521" w14:textId="77777777" w:rsidTr="000A5158">
        <w:trPr>
          <w:trHeight w:val="288"/>
        </w:trPr>
        <w:tc>
          <w:tcPr>
            <w:tcW w:w="2790" w:type="dxa"/>
            <w:shd w:val="clear" w:color="auto" w:fill="auto"/>
            <w:noWrap/>
            <w:vAlign w:val="center"/>
            <w:hideMark/>
          </w:tcPr>
          <w:p w14:paraId="30137005" w14:textId="77777777" w:rsidR="00907188" w:rsidRPr="000A5158" w:rsidRDefault="00907188" w:rsidP="00907188">
            <w:pPr>
              <w:spacing w:after="120"/>
              <w:rPr>
                <w:rFonts w:eastAsia="Times New Roman" w:cs="Calibri"/>
                <w:color w:val="000000"/>
              </w:rPr>
            </w:pPr>
            <w:r w:rsidRPr="000A5158">
              <w:rPr>
                <w:rFonts w:eastAsia="Times New Roman" w:cs="Calibri"/>
                <w:color w:val="000000"/>
              </w:rPr>
              <w:t>Partnership</w:t>
            </w:r>
          </w:p>
        </w:tc>
        <w:tc>
          <w:tcPr>
            <w:tcW w:w="6930" w:type="dxa"/>
            <w:shd w:val="clear" w:color="auto" w:fill="auto"/>
            <w:vAlign w:val="center"/>
            <w:hideMark/>
          </w:tcPr>
          <w:p w14:paraId="74BD48D4" w14:textId="77777777" w:rsidR="00907188" w:rsidRPr="000A5158" w:rsidRDefault="00907188" w:rsidP="000A5158">
            <w:pPr>
              <w:spacing w:after="120" w:line="240" w:lineRule="auto"/>
              <w:rPr>
                <w:rFonts w:eastAsia="Times New Roman" w:cs="Calibri"/>
                <w:color w:val="000000"/>
                <w:sz w:val="22"/>
              </w:rPr>
            </w:pPr>
            <w:r w:rsidRPr="000A5158">
              <w:rPr>
                <w:rFonts w:eastAsia="Times New Roman" w:cs="Calibri"/>
                <w:color w:val="000000"/>
                <w:sz w:val="22"/>
              </w:rPr>
              <w:t>An entity properly treated as a partnership under the rules of Subchapter K.</w:t>
            </w:r>
          </w:p>
        </w:tc>
      </w:tr>
      <w:tr w:rsidR="00A84F30" w:rsidRPr="000A5158" w14:paraId="53624232" w14:textId="77777777" w:rsidTr="00281C68">
        <w:trPr>
          <w:trHeight w:val="504"/>
        </w:trPr>
        <w:tc>
          <w:tcPr>
            <w:tcW w:w="2790" w:type="dxa"/>
            <w:shd w:val="clear" w:color="auto" w:fill="auto"/>
            <w:noWrap/>
            <w:vAlign w:val="center"/>
          </w:tcPr>
          <w:p w14:paraId="7904A807" w14:textId="77777777" w:rsidR="00A84F30" w:rsidRPr="000A5158" w:rsidRDefault="00A84F30" w:rsidP="00281C68">
            <w:pPr>
              <w:spacing w:after="120"/>
              <w:rPr>
                <w:rFonts w:eastAsia="Times New Roman" w:cs="Calibri"/>
                <w:color w:val="000000"/>
              </w:rPr>
            </w:pPr>
            <w:r>
              <w:rPr>
                <w:rFonts w:eastAsia="Times New Roman" w:cs="Calibri"/>
                <w:color w:val="000000"/>
              </w:rPr>
              <w:t>Partnership Capital</w:t>
            </w:r>
          </w:p>
        </w:tc>
        <w:tc>
          <w:tcPr>
            <w:tcW w:w="6930" w:type="dxa"/>
            <w:shd w:val="clear" w:color="auto" w:fill="auto"/>
            <w:vAlign w:val="center"/>
          </w:tcPr>
          <w:p w14:paraId="42AF1FC3" w14:textId="572DC04B" w:rsidR="00A84F30" w:rsidRPr="000A5158" w:rsidRDefault="00A84F30" w:rsidP="00281C68">
            <w:pPr>
              <w:spacing w:after="120" w:line="240" w:lineRule="auto"/>
              <w:rPr>
                <w:rFonts w:eastAsia="Times New Roman" w:cs="Calibri"/>
                <w:color w:val="000000"/>
                <w:sz w:val="22"/>
              </w:rPr>
            </w:pPr>
            <w:r>
              <w:rPr>
                <w:rFonts w:eastAsia="Times New Roman" w:cs="Calibri"/>
                <w:color w:val="000000"/>
                <w:sz w:val="22"/>
              </w:rPr>
              <w:t>The capital (assets minus liabilities) of a partnership</w:t>
            </w:r>
            <w:r w:rsidR="001E31C2">
              <w:rPr>
                <w:rFonts w:eastAsia="Times New Roman" w:cs="Calibri"/>
                <w:color w:val="000000"/>
                <w:sz w:val="22"/>
              </w:rPr>
              <w:t xml:space="preserve"> as determined under Subchapter K</w:t>
            </w:r>
            <w:r>
              <w:rPr>
                <w:rFonts w:eastAsia="Times New Roman" w:cs="Calibri"/>
                <w:color w:val="000000"/>
                <w:sz w:val="22"/>
              </w:rPr>
              <w:t xml:space="preserve">. </w:t>
            </w:r>
          </w:p>
        </w:tc>
      </w:tr>
      <w:tr w:rsidR="00907188" w:rsidRPr="000A5158" w14:paraId="05DD31B1" w14:textId="77777777" w:rsidTr="000A5158">
        <w:trPr>
          <w:trHeight w:val="288"/>
        </w:trPr>
        <w:tc>
          <w:tcPr>
            <w:tcW w:w="2790" w:type="dxa"/>
            <w:shd w:val="clear" w:color="auto" w:fill="auto"/>
            <w:noWrap/>
            <w:vAlign w:val="center"/>
            <w:hideMark/>
          </w:tcPr>
          <w:p w14:paraId="3D25DD0F" w14:textId="77777777" w:rsidR="00907188" w:rsidRPr="000A5158" w:rsidRDefault="00907188" w:rsidP="00907188">
            <w:pPr>
              <w:spacing w:after="120"/>
              <w:rPr>
                <w:rFonts w:eastAsia="Times New Roman" w:cs="Calibri"/>
                <w:color w:val="000000"/>
              </w:rPr>
            </w:pPr>
            <w:r w:rsidRPr="000A5158">
              <w:rPr>
                <w:rFonts w:eastAsia="Times New Roman" w:cs="Calibri"/>
                <w:color w:val="000000"/>
              </w:rPr>
              <w:t>Partnership Item</w:t>
            </w:r>
          </w:p>
        </w:tc>
        <w:tc>
          <w:tcPr>
            <w:tcW w:w="6930" w:type="dxa"/>
            <w:shd w:val="clear" w:color="auto" w:fill="auto"/>
            <w:vAlign w:val="center"/>
            <w:hideMark/>
          </w:tcPr>
          <w:p w14:paraId="709E5985" w14:textId="77777777" w:rsidR="00907188" w:rsidRPr="000A5158" w:rsidRDefault="00907188" w:rsidP="000A5158">
            <w:pPr>
              <w:spacing w:after="120" w:line="240" w:lineRule="auto"/>
              <w:rPr>
                <w:rFonts w:eastAsia="Times New Roman" w:cs="Calibri"/>
                <w:color w:val="000000"/>
                <w:sz w:val="22"/>
              </w:rPr>
            </w:pPr>
            <w:r w:rsidRPr="000A5158">
              <w:rPr>
                <w:rFonts w:eastAsia="Times New Roman" w:cs="Calibri"/>
                <w:color w:val="000000"/>
                <w:sz w:val="22"/>
              </w:rPr>
              <w:t>An item that results from the activity of a partnership.</w:t>
            </w:r>
          </w:p>
        </w:tc>
      </w:tr>
      <w:tr w:rsidR="00F60455" w:rsidRPr="000A5158" w14:paraId="64562BAB" w14:textId="77777777" w:rsidTr="000A5158">
        <w:trPr>
          <w:trHeight w:val="756"/>
        </w:trPr>
        <w:tc>
          <w:tcPr>
            <w:tcW w:w="2790" w:type="dxa"/>
            <w:shd w:val="clear" w:color="auto" w:fill="auto"/>
            <w:noWrap/>
            <w:vAlign w:val="center"/>
          </w:tcPr>
          <w:p w14:paraId="5C6EC89A" w14:textId="19232A2C" w:rsidR="00F60455" w:rsidRPr="000A5158" w:rsidRDefault="00F60455" w:rsidP="00907188">
            <w:pPr>
              <w:spacing w:after="120"/>
              <w:rPr>
                <w:rFonts w:eastAsia="Times New Roman" w:cs="Calibri"/>
                <w:color w:val="000000"/>
              </w:rPr>
            </w:pPr>
            <w:r>
              <w:rPr>
                <w:rFonts w:eastAsia="Times New Roman" w:cs="Calibri"/>
                <w:color w:val="000000"/>
              </w:rPr>
              <w:t>Passive Partner</w:t>
            </w:r>
          </w:p>
        </w:tc>
        <w:tc>
          <w:tcPr>
            <w:tcW w:w="6930" w:type="dxa"/>
            <w:shd w:val="clear" w:color="auto" w:fill="auto"/>
            <w:vAlign w:val="center"/>
          </w:tcPr>
          <w:p w14:paraId="2112ABD1" w14:textId="1CAB25F8" w:rsidR="00F60455" w:rsidRPr="000A5158" w:rsidRDefault="00F60455" w:rsidP="000A5158">
            <w:pPr>
              <w:spacing w:after="120" w:line="240" w:lineRule="auto"/>
              <w:rPr>
                <w:rFonts w:eastAsia="Times New Roman" w:cs="Calibri"/>
                <w:color w:val="000000"/>
                <w:sz w:val="22"/>
              </w:rPr>
            </w:pPr>
            <w:r>
              <w:rPr>
                <w:rFonts w:eastAsia="Times New Roman" w:cs="Calibri"/>
                <w:color w:val="000000"/>
                <w:sz w:val="22"/>
              </w:rPr>
              <w:t xml:space="preserve">A partner that </w:t>
            </w:r>
            <w:r w:rsidR="00D1181A">
              <w:rPr>
                <w:rFonts w:eastAsia="Times New Roman" w:cs="Calibri"/>
                <w:color w:val="000000"/>
                <w:sz w:val="22"/>
              </w:rPr>
              <w:t xml:space="preserve">is not an active partner. </w:t>
            </w:r>
          </w:p>
        </w:tc>
      </w:tr>
      <w:tr w:rsidR="00907188" w:rsidRPr="000A5158" w14:paraId="10324ED5" w14:textId="77777777" w:rsidTr="000A5158">
        <w:trPr>
          <w:trHeight w:val="756"/>
        </w:trPr>
        <w:tc>
          <w:tcPr>
            <w:tcW w:w="2790" w:type="dxa"/>
            <w:shd w:val="clear" w:color="auto" w:fill="auto"/>
            <w:noWrap/>
            <w:vAlign w:val="center"/>
            <w:hideMark/>
          </w:tcPr>
          <w:p w14:paraId="11C7F5D9" w14:textId="00FD4A08" w:rsidR="00907188" w:rsidRPr="000A5158" w:rsidRDefault="00907188" w:rsidP="00907188">
            <w:pPr>
              <w:spacing w:after="120"/>
              <w:rPr>
                <w:rFonts w:eastAsia="Times New Roman" w:cs="Calibri"/>
                <w:color w:val="000000"/>
              </w:rPr>
            </w:pPr>
            <w:r w:rsidRPr="000A5158">
              <w:rPr>
                <w:rFonts w:eastAsia="Times New Roman" w:cs="Calibri"/>
                <w:color w:val="000000"/>
              </w:rPr>
              <w:t xml:space="preserve">Pass-Through </w:t>
            </w:r>
            <w:r w:rsidR="001917EC">
              <w:rPr>
                <w:rFonts w:eastAsia="Times New Roman" w:cs="Calibri"/>
                <w:color w:val="000000"/>
              </w:rPr>
              <w:t xml:space="preserve">Tax </w:t>
            </w:r>
            <w:r w:rsidR="001917EC">
              <w:rPr>
                <w:rFonts w:eastAsia="Times New Roman" w:cs="Calibri"/>
                <w:color w:val="000000"/>
              </w:rPr>
              <w:br/>
              <w:t>System</w:t>
            </w:r>
          </w:p>
        </w:tc>
        <w:tc>
          <w:tcPr>
            <w:tcW w:w="6930" w:type="dxa"/>
            <w:shd w:val="clear" w:color="auto" w:fill="auto"/>
            <w:vAlign w:val="center"/>
            <w:hideMark/>
          </w:tcPr>
          <w:p w14:paraId="3F2F2F31" w14:textId="53B7DDA0" w:rsidR="00907188" w:rsidRPr="000A5158" w:rsidRDefault="00907188" w:rsidP="000A5158">
            <w:pPr>
              <w:spacing w:after="120" w:line="240" w:lineRule="auto"/>
              <w:rPr>
                <w:rFonts w:eastAsia="Times New Roman" w:cs="Calibri"/>
                <w:color w:val="000000"/>
                <w:sz w:val="22"/>
              </w:rPr>
            </w:pPr>
            <w:r w:rsidRPr="000A5158">
              <w:rPr>
                <w:rFonts w:eastAsia="Times New Roman" w:cs="Calibri"/>
                <w:color w:val="000000"/>
                <w:sz w:val="22"/>
              </w:rPr>
              <w:t>A system in which an owner’s share of items resulting from an entity’s activities pass through are treated as items recognized by that partner, retaining their character as determined at the entity</w:t>
            </w:r>
            <w:r w:rsidR="002933FE">
              <w:rPr>
                <w:rFonts w:eastAsia="Times New Roman" w:cs="Calibri"/>
                <w:color w:val="000000"/>
                <w:sz w:val="22"/>
              </w:rPr>
              <w:t xml:space="preserve"> </w:t>
            </w:r>
            <w:r w:rsidRPr="000A5158">
              <w:rPr>
                <w:rFonts w:eastAsia="Times New Roman" w:cs="Calibri"/>
                <w:color w:val="000000"/>
                <w:sz w:val="22"/>
              </w:rPr>
              <w:t>level.</w:t>
            </w:r>
            <w:r w:rsidR="00AA2547">
              <w:rPr>
                <w:rFonts w:eastAsia="Times New Roman" w:cs="Calibri"/>
                <w:color w:val="000000"/>
                <w:sz w:val="22"/>
              </w:rPr>
              <w:t xml:space="preserve"> (This is also sometimes referred to as the “conduit” approach.)</w:t>
            </w:r>
          </w:p>
        </w:tc>
      </w:tr>
      <w:tr w:rsidR="00907188" w:rsidRPr="000A5158" w14:paraId="707F4E74" w14:textId="77777777" w:rsidTr="000A5158">
        <w:trPr>
          <w:trHeight w:val="504"/>
        </w:trPr>
        <w:tc>
          <w:tcPr>
            <w:tcW w:w="2790" w:type="dxa"/>
            <w:shd w:val="clear" w:color="auto" w:fill="auto"/>
            <w:noWrap/>
            <w:vAlign w:val="center"/>
            <w:hideMark/>
          </w:tcPr>
          <w:p w14:paraId="750707A9" w14:textId="1F383F8E" w:rsidR="00907188" w:rsidRPr="000A5158" w:rsidRDefault="00907188" w:rsidP="00907188">
            <w:pPr>
              <w:spacing w:after="120"/>
              <w:rPr>
                <w:rFonts w:eastAsia="Times New Roman" w:cs="Calibri"/>
                <w:color w:val="000000"/>
              </w:rPr>
            </w:pPr>
            <w:r w:rsidRPr="000A5158">
              <w:rPr>
                <w:rFonts w:eastAsia="Times New Roman" w:cs="Calibri"/>
                <w:color w:val="000000"/>
              </w:rPr>
              <w:t>Rules of Assignment</w:t>
            </w:r>
          </w:p>
        </w:tc>
        <w:tc>
          <w:tcPr>
            <w:tcW w:w="6930" w:type="dxa"/>
            <w:shd w:val="clear" w:color="auto" w:fill="auto"/>
            <w:vAlign w:val="center"/>
            <w:hideMark/>
          </w:tcPr>
          <w:p w14:paraId="29BDC6C5" w14:textId="77777777" w:rsidR="00907188" w:rsidRPr="000A5158" w:rsidRDefault="00907188" w:rsidP="000A5158">
            <w:pPr>
              <w:spacing w:after="120" w:line="240" w:lineRule="auto"/>
              <w:rPr>
                <w:rFonts w:eastAsia="Times New Roman" w:cs="Calibri"/>
                <w:color w:val="000000"/>
                <w:sz w:val="22"/>
              </w:rPr>
            </w:pPr>
            <w:r w:rsidRPr="000A5158">
              <w:rPr>
                <w:rFonts w:eastAsia="Times New Roman" w:cs="Calibri"/>
                <w:color w:val="000000"/>
                <w:sz w:val="22"/>
              </w:rPr>
              <w:t>Rules for attributing specific items, rather than net income, to a particular state, in whole or in part, using specific rules, including the application of certain ratios.</w:t>
            </w:r>
          </w:p>
        </w:tc>
      </w:tr>
      <w:tr w:rsidR="00532542" w:rsidRPr="000A5158" w14:paraId="16DD3D40" w14:textId="77777777" w:rsidTr="000A5158">
        <w:trPr>
          <w:trHeight w:val="504"/>
        </w:trPr>
        <w:tc>
          <w:tcPr>
            <w:tcW w:w="2790" w:type="dxa"/>
            <w:shd w:val="clear" w:color="auto" w:fill="auto"/>
            <w:noWrap/>
            <w:vAlign w:val="center"/>
          </w:tcPr>
          <w:p w14:paraId="33CA769F" w14:textId="3B3BA70A" w:rsidR="00532542" w:rsidRPr="000A5158" w:rsidRDefault="00532542" w:rsidP="00907188">
            <w:pPr>
              <w:spacing w:after="120"/>
              <w:rPr>
                <w:rFonts w:eastAsia="Times New Roman" w:cs="Calibri"/>
                <w:color w:val="000000"/>
              </w:rPr>
            </w:pPr>
            <w:r>
              <w:rPr>
                <w:rFonts w:eastAsia="Times New Roman" w:cs="Calibri"/>
                <w:color w:val="000000"/>
              </w:rPr>
              <w:t xml:space="preserve">Tiered Partnerships </w:t>
            </w:r>
          </w:p>
        </w:tc>
        <w:tc>
          <w:tcPr>
            <w:tcW w:w="6930" w:type="dxa"/>
            <w:shd w:val="clear" w:color="auto" w:fill="auto"/>
            <w:vAlign w:val="center"/>
          </w:tcPr>
          <w:p w14:paraId="79358FDE" w14:textId="1107F994" w:rsidR="00532542" w:rsidRPr="000A5158" w:rsidRDefault="00532542" w:rsidP="000A5158">
            <w:pPr>
              <w:spacing w:after="120" w:line="240" w:lineRule="auto"/>
              <w:rPr>
                <w:rFonts w:eastAsia="Times New Roman" w:cs="Calibri"/>
                <w:color w:val="000000"/>
                <w:sz w:val="22"/>
              </w:rPr>
            </w:pPr>
            <w:r>
              <w:rPr>
                <w:rFonts w:eastAsia="Times New Roman" w:cs="Calibri"/>
                <w:color w:val="000000"/>
                <w:sz w:val="22"/>
              </w:rPr>
              <w:t>Partnerships that hold interest</w:t>
            </w:r>
            <w:r w:rsidR="008B1A07">
              <w:rPr>
                <w:rFonts w:eastAsia="Times New Roman" w:cs="Calibri"/>
                <w:color w:val="000000"/>
                <w:sz w:val="22"/>
              </w:rPr>
              <w:t>s</w:t>
            </w:r>
            <w:r>
              <w:rPr>
                <w:rFonts w:eastAsia="Times New Roman" w:cs="Calibri"/>
                <w:color w:val="000000"/>
                <w:sz w:val="22"/>
              </w:rPr>
              <w:t xml:space="preserve"> in other partnerships. </w:t>
            </w:r>
          </w:p>
        </w:tc>
      </w:tr>
      <w:tr w:rsidR="00D7088F" w:rsidRPr="000A5158" w14:paraId="5B2C38A2" w14:textId="77777777" w:rsidTr="000A5158">
        <w:trPr>
          <w:trHeight w:val="504"/>
        </w:trPr>
        <w:tc>
          <w:tcPr>
            <w:tcW w:w="2790" w:type="dxa"/>
            <w:shd w:val="clear" w:color="auto" w:fill="auto"/>
            <w:noWrap/>
            <w:vAlign w:val="center"/>
          </w:tcPr>
          <w:p w14:paraId="22B25EDD" w14:textId="40AF1820" w:rsidR="00D7088F" w:rsidRDefault="00D7088F" w:rsidP="00907188">
            <w:pPr>
              <w:spacing w:after="120"/>
              <w:rPr>
                <w:rFonts w:eastAsia="Times New Roman" w:cs="Calibri"/>
                <w:color w:val="000000"/>
              </w:rPr>
            </w:pPr>
            <w:r>
              <w:rPr>
                <w:rFonts w:eastAsia="Times New Roman" w:cs="Calibri"/>
                <w:color w:val="000000"/>
              </w:rPr>
              <w:t>Unitary</w:t>
            </w:r>
          </w:p>
        </w:tc>
        <w:tc>
          <w:tcPr>
            <w:tcW w:w="6930" w:type="dxa"/>
            <w:shd w:val="clear" w:color="auto" w:fill="auto"/>
            <w:vAlign w:val="center"/>
          </w:tcPr>
          <w:p w14:paraId="2FEE11C3" w14:textId="47E41C05" w:rsidR="00D7088F" w:rsidRDefault="00D7088F" w:rsidP="000A5158">
            <w:pPr>
              <w:spacing w:after="120" w:line="240" w:lineRule="auto"/>
              <w:rPr>
                <w:rFonts w:eastAsia="Times New Roman" w:cs="Calibri"/>
                <w:color w:val="000000"/>
                <w:sz w:val="22"/>
              </w:rPr>
            </w:pPr>
            <w:r>
              <w:rPr>
                <w:rFonts w:eastAsia="Times New Roman" w:cs="Calibri"/>
                <w:color w:val="000000"/>
                <w:sz w:val="22"/>
              </w:rPr>
              <w:t xml:space="preserve">A concept created by the U.S. Supreme Corut to generally describe the relationship of one business to another business, or an asset to that business, that is sufficient to allow the net income from the business or the asset to be apportioned by combining that income and related factors with the income and factors of the other business. </w:t>
            </w:r>
          </w:p>
        </w:tc>
      </w:tr>
      <w:tr w:rsidR="00532542" w:rsidRPr="000A5158" w14:paraId="6B21ECE0" w14:textId="77777777" w:rsidTr="000A5158">
        <w:trPr>
          <w:trHeight w:val="504"/>
        </w:trPr>
        <w:tc>
          <w:tcPr>
            <w:tcW w:w="2790" w:type="dxa"/>
            <w:shd w:val="clear" w:color="auto" w:fill="auto"/>
            <w:noWrap/>
            <w:vAlign w:val="center"/>
          </w:tcPr>
          <w:p w14:paraId="6B83417B" w14:textId="645CF7B5" w:rsidR="00532542" w:rsidRDefault="00532542" w:rsidP="00907188">
            <w:pPr>
              <w:spacing w:after="120"/>
              <w:rPr>
                <w:rFonts w:eastAsia="Times New Roman" w:cs="Calibri"/>
                <w:color w:val="000000"/>
              </w:rPr>
            </w:pPr>
            <w:r>
              <w:rPr>
                <w:rFonts w:eastAsia="Times New Roman" w:cs="Calibri"/>
                <w:color w:val="000000"/>
              </w:rPr>
              <w:t>Upper Tier Partnership</w:t>
            </w:r>
          </w:p>
        </w:tc>
        <w:tc>
          <w:tcPr>
            <w:tcW w:w="6930" w:type="dxa"/>
            <w:shd w:val="clear" w:color="auto" w:fill="auto"/>
            <w:vAlign w:val="center"/>
          </w:tcPr>
          <w:p w14:paraId="2573EB98" w14:textId="0B3F4D35" w:rsidR="00532542" w:rsidRDefault="00532542" w:rsidP="000A5158">
            <w:pPr>
              <w:spacing w:after="120" w:line="240" w:lineRule="auto"/>
              <w:rPr>
                <w:rFonts w:eastAsia="Times New Roman" w:cs="Calibri"/>
                <w:color w:val="000000"/>
                <w:sz w:val="22"/>
              </w:rPr>
            </w:pPr>
            <w:r>
              <w:rPr>
                <w:rFonts w:eastAsia="Times New Roman" w:cs="Calibri"/>
                <w:color w:val="000000"/>
                <w:sz w:val="22"/>
              </w:rPr>
              <w:t>A partnership that is a direct or indirect partner in another partnership.</w:t>
            </w:r>
          </w:p>
        </w:tc>
      </w:tr>
    </w:tbl>
    <w:p w14:paraId="38BA8F15" w14:textId="609C7EBE" w:rsidR="009E5FE8" w:rsidRDefault="009E5FE8" w:rsidP="00901123">
      <w:pPr>
        <w:ind w:right="576"/>
        <w:jc w:val="both"/>
      </w:pPr>
    </w:p>
    <w:sectPr w:rsidR="009E5FE8" w:rsidSect="00835058">
      <w:footerReference w:type="default" r:id="rId10"/>
      <w:pgSz w:w="12240" w:h="15840"/>
      <w:pgMar w:top="432" w:right="1152" w:bottom="432" w:left="1152"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12F07" w14:textId="77777777" w:rsidR="00460580" w:rsidRDefault="00460580" w:rsidP="00460580">
      <w:pPr>
        <w:spacing w:before="0" w:after="0"/>
      </w:pPr>
      <w:r>
        <w:separator/>
      </w:r>
    </w:p>
  </w:endnote>
  <w:endnote w:type="continuationSeparator" w:id="0">
    <w:p w14:paraId="761F7118" w14:textId="77777777" w:rsidR="00460580" w:rsidRDefault="00460580" w:rsidP="0046058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eelawadee">
    <w:panose1 w:val="020B0502040204020203"/>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3D11D" w14:textId="4C496120" w:rsidR="00835058" w:rsidRDefault="00835058">
    <w:pPr>
      <w:pStyle w:val="Footer"/>
    </w:pPr>
    <w:r>
      <w:t xml:space="preserve">General Framework – Discussion Draft – P.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D6F48" w14:textId="77777777" w:rsidR="00460580" w:rsidRDefault="00460580" w:rsidP="00460580">
      <w:pPr>
        <w:spacing w:before="0" w:after="0"/>
      </w:pPr>
      <w:r>
        <w:separator/>
      </w:r>
    </w:p>
  </w:footnote>
  <w:footnote w:type="continuationSeparator" w:id="0">
    <w:p w14:paraId="0A037B21" w14:textId="77777777" w:rsidR="00460580" w:rsidRDefault="00460580" w:rsidP="00460580">
      <w:pPr>
        <w:spacing w:before="0" w:after="0"/>
      </w:pPr>
      <w:r>
        <w:continuationSeparator/>
      </w:r>
    </w:p>
  </w:footnote>
  <w:footnote w:id="1">
    <w:p w14:paraId="33B92B33" w14:textId="13AD248A" w:rsidR="00674BD8" w:rsidRPr="002F28A6" w:rsidRDefault="00674BD8" w:rsidP="00F708D4">
      <w:pPr>
        <w:pStyle w:val="FootnoteText"/>
        <w:spacing w:after="0"/>
        <w:rPr>
          <w:sz w:val="18"/>
          <w:szCs w:val="18"/>
        </w:rPr>
      </w:pPr>
      <w:r w:rsidRPr="002F28A6">
        <w:rPr>
          <w:rStyle w:val="FootnoteReference"/>
          <w:sz w:val="18"/>
          <w:szCs w:val="18"/>
        </w:rPr>
        <w:footnoteRef/>
      </w:r>
      <w:r w:rsidRPr="002F28A6">
        <w:rPr>
          <w:sz w:val="18"/>
          <w:szCs w:val="18"/>
        </w:rPr>
        <w:t xml:space="preserve"> </w:t>
      </w:r>
      <w:r w:rsidR="009B5553" w:rsidRPr="002F28A6">
        <w:rPr>
          <w:sz w:val="18"/>
          <w:szCs w:val="18"/>
        </w:rPr>
        <w:t>All of this information is a</w:t>
      </w:r>
      <w:r w:rsidRPr="002F28A6">
        <w:rPr>
          <w:sz w:val="18"/>
          <w:szCs w:val="18"/>
        </w:rPr>
        <w:t xml:space="preserve">vailable on the project webpage – here: </w:t>
      </w:r>
      <w:hyperlink r:id="rId1" w:history="1">
        <w:r w:rsidRPr="002F28A6">
          <w:rPr>
            <w:rStyle w:val="Hyperlink"/>
            <w:sz w:val="18"/>
            <w:szCs w:val="18"/>
          </w:rPr>
          <w:t>https://www.mtc.gov/uniformity/project-on-state-taxation-of-partnerships/</w:t>
        </w:r>
      </w:hyperlink>
      <w:r w:rsidRPr="002F28A6">
        <w:rPr>
          <w:sz w:val="18"/>
          <w:szCs w:val="18"/>
        </w:rPr>
        <w:t xml:space="preserve">. </w:t>
      </w:r>
    </w:p>
  </w:footnote>
  <w:footnote w:id="2">
    <w:p w14:paraId="44B0E165" w14:textId="123543E1" w:rsidR="0092019F" w:rsidRDefault="0092019F">
      <w:pPr>
        <w:pStyle w:val="FootnoteText"/>
      </w:pPr>
      <w:r>
        <w:rPr>
          <w:rStyle w:val="FootnoteReference"/>
        </w:rPr>
        <w:footnoteRef/>
      </w:r>
      <w:r>
        <w:t xml:space="preserve"> See the MTC Factor Presence Nexus Standard, here: </w:t>
      </w:r>
      <w:hyperlink r:id="rId2" w:history="1">
        <w:r w:rsidR="00405F2D" w:rsidRPr="00A84730">
          <w:rPr>
            <w:rStyle w:val="Hyperlink"/>
          </w:rPr>
          <w:t>https://www.mtc.gov/wp-content/uploads/MTCImages&amp;Files/MTC/media/AUR/Factor-Presence.pdf</w:t>
        </w:r>
      </w:hyperlink>
      <w:r w:rsidR="00405F2D">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451A4"/>
    <w:multiLevelType w:val="hybridMultilevel"/>
    <w:tmpl w:val="74AEBA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C312C1"/>
    <w:multiLevelType w:val="hybridMultilevel"/>
    <w:tmpl w:val="73EA4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0D6A2F"/>
    <w:multiLevelType w:val="multilevel"/>
    <w:tmpl w:val="4350AF46"/>
    <w:styleLink w:val="Style1"/>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F6A2069"/>
    <w:multiLevelType w:val="hybridMultilevel"/>
    <w:tmpl w:val="1DD87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470284"/>
    <w:multiLevelType w:val="hybridMultilevel"/>
    <w:tmpl w:val="5E1832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C70FCA"/>
    <w:multiLevelType w:val="hybridMultilevel"/>
    <w:tmpl w:val="D85CE2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E27914"/>
    <w:multiLevelType w:val="hybridMultilevel"/>
    <w:tmpl w:val="4350AF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60100C"/>
    <w:multiLevelType w:val="multilevel"/>
    <w:tmpl w:val="4350AF46"/>
    <w:numStyleLink w:val="Style1"/>
  </w:abstractNum>
  <w:abstractNum w:abstractNumId="8" w15:restartNumberingAfterBreak="0">
    <w:nsid w:val="54004779"/>
    <w:multiLevelType w:val="hybridMultilevel"/>
    <w:tmpl w:val="0EA2B9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2A6185"/>
    <w:multiLevelType w:val="hybridMultilevel"/>
    <w:tmpl w:val="F61AC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EB1474"/>
    <w:multiLevelType w:val="hybridMultilevel"/>
    <w:tmpl w:val="D3922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CE66AE"/>
    <w:multiLevelType w:val="hybridMultilevel"/>
    <w:tmpl w:val="DE8C5E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6510037"/>
    <w:multiLevelType w:val="hybridMultilevel"/>
    <w:tmpl w:val="EBBE94EE"/>
    <w:lvl w:ilvl="0" w:tplc="9B082A5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6780663">
    <w:abstractNumId w:val="12"/>
  </w:num>
  <w:num w:numId="2" w16cid:durableId="1507549350">
    <w:abstractNumId w:val="8"/>
  </w:num>
  <w:num w:numId="3" w16cid:durableId="1554586110">
    <w:abstractNumId w:val="9"/>
  </w:num>
  <w:num w:numId="4" w16cid:durableId="265432174">
    <w:abstractNumId w:val="5"/>
  </w:num>
  <w:num w:numId="5" w16cid:durableId="644509445">
    <w:abstractNumId w:val="10"/>
  </w:num>
  <w:num w:numId="6" w16cid:durableId="895043412">
    <w:abstractNumId w:val="3"/>
  </w:num>
  <w:num w:numId="7" w16cid:durableId="1443762852">
    <w:abstractNumId w:val="11"/>
  </w:num>
  <w:num w:numId="8" w16cid:durableId="864753849">
    <w:abstractNumId w:val="4"/>
  </w:num>
  <w:num w:numId="9" w16cid:durableId="1197231519">
    <w:abstractNumId w:val="0"/>
  </w:num>
  <w:num w:numId="10" w16cid:durableId="489057030">
    <w:abstractNumId w:val="1"/>
  </w:num>
  <w:num w:numId="11" w16cid:durableId="1091119601">
    <w:abstractNumId w:val="6"/>
  </w:num>
  <w:num w:numId="12" w16cid:durableId="1585841357">
    <w:abstractNumId w:val="7"/>
  </w:num>
  <w:num w:numId="13" w16cid:durableId="13905719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autoHyphenation/>
  <w:hyphenationZone w:val="57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FE8"/>
    <w:rsid w:val="0000199F"/>
    <w:rsid w:val="0000725F"/>
    <w:rsid w:val="00017022"/>
    <w:rsid w:val="00022669"/>
    <w:rsid w:val="000234E4"/>
    <w:rsid w:val="00042483"/>
    <w:rsid w:val="00053CF7"/>
    <w:rsid w:val="00057758"/>
    <w:rsid w:val="0007124E"/>
    <w:rsid w:val="000800ED"/>
    <w:rsid w:val="0009380B"/>
    <w:rsid w:val="000A2E35"/>
    <w:rsid w:val="000A5158"/>
    <w:rsid w:val="000A609E"/>
    <w:rsid w:val="000B4E1A"/>
    <w:rsid w:val="00105EE8"/>
    <w:rsid w:val="001117BD"/>
    <w:rsid w:val="00112818"/>
    <w:rsid w:val="001234FE"/>
    <w:rsid w:val="00130DB2"/>
    <w:rsid w:val="00133ED6"/>
    <w:rsid w:val="001515EC"/>
    <w:rsid w:val="001679B9"/>
    <w:rsid w:val="00184778"/>
    <w:rsid w:val="00186087"/>
    <w:rsid w:val="001917EC"/>
    <w:rsid w:val="001A38C1"/>
    <w:rsid w:val="001B5DAF"/>
    <w:rsid w:val="001C0EC0"/>
    <w:rsid w:val="001D5F81"/>
    <w:rsid w:val="001E31C2"/>
    <w:rsid w:val="00202691"/>
    <w:rsid w:val="00210296"/>
    <w:rsid w:val="00215DF2"/>
    <w:rsid w:val="002367D0"/>
    <w:rsid w:val="00240F97"/>
    <w:rsid w:val="00246F78"/>
    <w:rsid w:val="00255AD3"/>
    <w:rsid w:val="0026476E"/>
    <w:rsid w:val="002663E5"/>
    <w:rsid w:val="00280DC7"/>
    <w:rsid w:val="002933FE"/>
    <w:rsid w:val="002B6625"/>
    <w:rsid w:val="002C5F3B"/>
    <w:rsid w:val="002E4759"/>
    <w:rsid w:val="002F28A6"/>
    <w:rsid w:val="002F371F"/>
    <w:rsid w:val="00325C81"/>
    <w:rsid w:val="00343892"/>
    <w:rsid w:val="00355342"/>
    <w:rsid w:val="00364CE3"/>
    <w:rsid w:val="00385D62"/>
    <w:rsid w:val="003A0661"/>
    <w:rsid w:val="003A4423"/>
    <w:rsid w:val="003A5DFC"/>
    <w:rsid w:val="003D2D07"/>
    <w:rsid w:val="003E5341"/>
    <w:rsid w:val="003E6ED1"/>
    <w:rsid w:val="003F26DF"/>
    <w:rsid w:val="003F4543"/>
    <w:rsid w:val="003F4986"/>
    <w:rsid w:val="00405CD1"/>
    <w:rsid w:val="00405F2D"/>
    <w:rsid w:val="004217FD"/>
    <w:rsid w:val="00441ADF"/>
    <w:rsid w:val="00441DB0"/>
    <w:rsid w:val="00442426"/>
    <w:rsid w:val="004460DD"/>
    <w:rsid w:val="00457EE3"/>
    <w:rsid w:val="00460580"/>
    <w:rsid w:val="00460E02"/>
    <w:rsid w:val="00471045"/>
    <w:rsid w:val="00482E3B"/>
    <w:rsid w:val="00496353"/>
    <w:rsid w:val="004A41DD"/>
    <w:rsid w:val="004B588A"/>
    <w:rsid w:val="004C0B80"/>
    <w:rsid w:val="004C6F5B"/>
    <w:rsid w:val="004C7C86"/>
    <w:rsid w:val="004D0A89"/>
    <w:rsid w:val="005110CF"/>
    <w:rsid w:val="00532542"/>
    <w:rsid w:val="00533131"/>
    <w:rsid w:val="00541E04"/>
    <w:rsid w:val="00592CC7"/>
    <w:rsid w:val="005F5821"/>
    <w:rsid w:val="00613FA1"/>
    <w:rsid w:val="006519AD"/>
    <w:rsid w:val="00652409"/>
    <w:rsid w:val="006610A6"/>
    <w:rsid w:val="00664CF5"/>
    <w:rsid w:val="006656F3"/>
    <w:rsid w:val="00674BD8"/>
    <w:rsid w:val="00693DB9"/>
    <w:rsid w:val="0069496C"/>
    <w:rsid w:val="006A179C"/>
    <w:rsid w:val="006C275A"/>
    <w:rsid w:val="006D18F3"/>
    <w:rsid w:val="006F7DC8"/>
    <w:rsid w:val="0071480C"/>
    <w:rsid w:val="007379C9"/>
    <w:rsid w:val="00741DE9"/>
    <w:rsid w:val="007433BF"/>
    <w:rsid w:val="00743629"/>
    <w:rsid w:val="00745AE1"/>
    <w:rsid w:val="00745BF3"/>
    <w:rsid w:val="00746A3F"/>
    <w:rsid w:val="00755E32"/>
    <w:rsid w:val="00767AD1"/>
    <w:rsid w:val="00770DF7"/>
    <w:rsid w:val="007802F7"/>
    <w:rsid w:val="00781230"/>
    <w:rsid w:val="007A6101"/>
    <w:rsid w:val="007A7530"/>
    <w:rsid w:val="007C07F3"/>
    <w:rsid w:val="007C1438"/>
    <w:rsid w:val="007F398B"/>
    <w:rsid w:val="00807C5B"/>
    <w:rsid w:val="00813475"/>
    <w:rsid w:val="00817C51"/>
    <w:rsid w:val="00831EB4"/>
    <w:rsid w:val="00835058"/>
    <w:rsid w:val="00840664"/>
    <w:rsid w:val="00842EFB"/>
    <w:rsid w:val="00847871"/>
    <w:rsid w:val="008704CD"/>
    <w:rsid w:val="00877756"/>
    <w:rsid w:val="0088790B"/>
    <w:rsid w:val="0089761B"/>
    <w:rsid w:val="008B1A07"/>
    <w:rsid w:val="008C3A10"/>
    <w:rsid w:val="008E3DE5"/>
    <w:rsid w:val="008E4F17"/>
    <w:rsid w:val="00901123"/>
    <w:rsid w:val="00907188"/>
    <w:rsid w:val="0092019F"/>
    <w:rsid w:val="00950771"/>
    <w:rsid w:val="009666A5"/>
    <w:rsid w:val="0096777A"/>
    <w:rsid w:val="00976F55"/>
    <w:rsid w:val="0098179D"/>
    <w:rsid w:val="009B5415"/>
    <w:rsid w:val="009B5553"/>
    <w:rsid w:val="009B722F"/>
    <w:rsid w:val="009C04E1"/>
    <w:rsid w:val="009C2D9F"/>
    <w:rsid w:val="009C79A4"/>
    <w:rsid w:val="009E4AB7"/>
    <w:rsid w:val="009E5FE8"/>
    <w:rsid w:val="009F4B4B"/>
    <w:rsid w:val="00A01592"/>
    <w:rsid w:val="00A07BF8"/>
    <w:rsid w:val="00A104D0"/>
    <w:rsid w:val="00A14342"/>
    <w:rsid w:val="00A2287F"/>
    <w:rsid w:val="00A22BA4"/>
    <w:rsid w:val="00A301D1"/>
    <w:rsid w:val="00A31FBE"/>
    <w:rsid w:val="00A84F30"/>
    <w:rsid w:val="00A9430F"/>
    <w:rsid w:val="00AA2547"/>
    <w:rsid w:val="00AC11C9"/>
    <w:rsid w:val="00AD2D62"/>
    <w:rsid w:val="00AE2638"/>
    <w:rsid w:val="00AE2F5B"/>
    <w:rsid w:val="00AF47A4"/>
    <w:rsid w:val="00B04309"/>
    <w:rsid w:val="00B20555"/>
    <w:rsid w:val="00B315C7"/>
    <w:rsid w:val="00B35B92"/>
    <w:rsid w:val="00B47879"/>
    <w:rsid w:val="00B60BB9"/>
    <w:rsid w:val="00B72833"/>
    <w:rsid w:val="00B93B4A"/>
    <w:rsid w:val="00BA4973"/>
    <w:rsid w:val="00BC0CB3"/>
    <w:rsid w:val="00BC2B00"/>
    <w:rsid w:val="00BC7813"/>
    <w:rsid w:val="00BD0B15"/>
    <w:rsid w:val="00C404E4"/>
    <w:rsid w:val="00C430C5"/>
    <w:rsid w:val="00C4322C"/>
    <w:rsid w:val="00C4326D"/>
    <w:rsid w:val="00C4594F"/>
    <w:rsid w:val="00C77DDC"/>
    <w:rsid w:val="00C84D09"/>
    <w:rsid w:val="00C90C24"/>
    <w:rsid w:val="00CB27BE"/>
    <w:rsid w:val="00CC090E"/>
    <w:rsid w:val="00CF02AA"/>
    <w:rsid w:val="00D02CCF"/>
    <w:rsid w:val="00D0613B"/>
    <w:rsid w:val="00D1181A"/>
    <w:rsid w:val="00D16C16"/>
    <w:rsid w:val="00D17AD5"/>
    <w:rsid w:val="00D25540"/>
    <w:rsid w:val="00D2733B"/>
    <w:rsid w:val="00D7088F"/>
    <w:rsid w:val="00DB78F9"/>
    <w:rsid w:val="00DC68EA"/>
    <w:rsid w:val="00DF2D27"/>
    <w:rsid w:val="00E01838"/>
    <w:rsid w:val="00E01B79"/>
    <w:rsid w:val="00E03A0A"/>
    <w:rsid w:val="00E31563"/>
    <w:rsid w:val="00E44F03"/>
    <w:rsid w:val="00E513C0"/>
    <w:rsid w:val="00E524B5"/>
    <w:rsid w:val="00E601F7"/>
    <w:rsid w:val="00E73D0B"/>
    <w:rsid w:val="00E82856"/>
    <w:rsid w:val="00E84D8F"/>
    <w:rsid w:val="00EA0977"/>
    <w:rsid w:val="00EA0FED"/>
    <w:rsid w:val="00EB41EA"/>
    <w:rsid w:val="00EC69DE"/>
    <w:rsid w:val="00EC7B3F"/>
    <w:rsid w:val="00ED0C46"/>
    <w:rsid w:val="00EE2BB0"/>
    <w:rsid w:val="00F14D92"/>
    <w:rsid w:val="00F41999"/>
    <w:rsid w:val="00F41F40"/>
    <w:rsid w:val="00F50432"/>
    <w:rsid w:val="00F555A9"/>
    <w:rsid w:val="00F60455"/>
    <w:rsid w:val="00F63085"/>
    <w:rsid w:val="00F708D4"/>
    <w:rsid w:val="00F73CCC"/>
    <w:rsid w:val="00F83235"/>
    <w:rsid w:val="00F86E11"/>
    <w:rsid w:val="00FB3DC9"/>
    <w:rsid w:val="00FC02FB"/>
    <w:rsid w:val="00FD7338"/>
    <w:rsid w:val="00FD7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9D0F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AD3"/>
    <w:pPr>
      <w:spacing w:before="120" w:after="240" w:line="264" w:lineRule="auto"/>
    </w:pPr>
    <w:rPr>
      <w:rFonts w:ascii="Cambria" w:hAnsi="Cambria"/>
      <w:sz w:val="24"/>
    </w:rPr>
  </w:style>
  <w:style w:type="paragraph" w:styleId="Heading1">
    <w:name w:val="heading 1"/>
    <w:basedOn w:val="Normal"/>
    <w:next w:val="Normal"/>
    <w:link w:val="Heading1Char"/>
    <w:uiPriority w:val="9"/>
    <w:qFormat/>
    <w:rsid w:val="00E524B5"/>
    <w:pPr>
      <w:keepNext/>
      <w:keepLines/>
      <w:spacing w:before="360" w:after="120"/>
      <w:outlineLvl w:val="0"/>
    </w:pPr>
    <w:rPr>
      <w:rFonts w:eastAsiaTheme="majorEastAsia" w:cstheme="majorBidi"/>
      <w:b/>
      <w:sz w:val="28"/>
      <w:szCs w:val="32"/>
      <w:u w:val="single"/>
    </w:rPr>
  </w:style>
  <w:style w:type="paragraph" w:styleId="Heading2">
    <w:name w:val="heading 2"/>
    <w:basedOn w:val="Normal"/>
    <w:next w:val="Normal"/>
    <w:link w:val="Heading2Char"/>
    <w:uiPriority w:val="9"/>
    <w:qFormat/>
    <w:rsid w:val="00E524B5"/>
    <w:pPr>
      <w:keepNext/>
      <w:keepLines/>
      <w:spacing w:before="360" w:after="120"/>
      <w:outlineLvl w:val="1"/>
    </w:pPr>
    <w:rPr>
      <w:rFonts w:eastAsiaTheme="majorEastAsia" w:cstheme="majorBidi"/>
      <w:b/>
      <w:sz w:val="26"/>
      <w:szCs w:val="26"/>
    </w:rPr>
  </w:style>
  <w:style w:type="paragraph" w:styleId="Heading3">
    <w:name w:val="heading 3"/>
    <w:basedOn w:val="Normal"/>
    <w:next w:val="Normal"/>
    <w:link w:val="Heading3Char"/>
    <w:uiPriority w:val="9"/>
    <w:qFormat/>
    <w:rsid w:val="00E524B5"/>
    <w:pPr>
      <w:keepNext/>
      <w:keepLines/>
      <w:spacing w:before="360" w:after="120"/>
      <w:outlineLvl w:val="2"/>
    </w:pPr>
    <w:rPr>
      <w:rFonts w:eastAsiaTheme="majorEastAsia" w:cstheme="majorBidi"/>
      <w:sz w:val="26"/>
      <w:szCs w:val="24"/>
      <w:u w:val="single"/>
    </w:rPr>
  </w:style>
  <w:style w:type="paragraph" w:styleId="Heading4">
    <w:name w:val="heading 4"/>
    <w:basedOn w:val="Normal"/>
    <w:next w:val="Normal"/>
    <w:link w:val="Heading4Char"/>
    <w:uiPriority w:val="9"/>
    <w:qFormat/>
    <w:rsid w:val="00745AE1"/>
    <w:pPr>
      <w:keepNext/>
      <w:keepLines/>
      <w:spacing w:after="120"/>
      <w:outlineLvl w:val="3"/>
    </w:pPr>
    <w:rPr>
      <w:rFonts w:eastAsiaTheme="majorEastAsia" w:cstheme="majorBidi"/>
      <w:i/>
      <w:iCs/>
    </w:rPr>
  </w:style>
  <w:style w:type="paragraph" w:styleId="Heading5">
    <w:name w:val="heading 5"/>
    <w:basedOn w:val="Normal"/>
    <w:next w:val="Normal"/>
    <w:link w:val="Heading5Char"/>
    <w:uiPriority w:val="9"/>
    <w:qFormat/>
    <w:rsid w:val="00E524B5"/>
    <w:pPr>
      <w:keepNext/>
      <w:keepLines/>
      <w:spacing w:after="0"/>
      <w:ind w:left="720"/>
      <w:outlineLvl w:val="4"/>
    </w:pPr>
    <w:rPr>
      <w:rFonts w:eastAsiaTheme="majorEastAsia" w:cstheme="majorBidi"/>
      <w:u w:val="single"/>
    </w:rPr>
  </w:style>
  <w:style w:type="paragraph" w:styleId="Heading6">
    <w:name w:val="heading 6"/>
    <w:basedOn w:val="Normal"/>
    <w:next w:val="Normal"/>
    <w:link w:val="Heading6Char"/>
    <w:uiPriority w:val="9"/>
    <w:rsid w:val="00745AE1"/>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rsid w:val="00745AE1"/>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rsid w:val="00745AE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rsid w:val="00745AE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524B5"/>
    <w:pPr>
      <w:spacing w:after="480"/>
      <w:contextualSpacing/>
      <w:jc w:val="center"/>
    </w:pPr>
    <w:rPr>
      <w:rFonts w:eastAsiaTheme="majorEastAsia" w:cstheme="majorBidi"/>
      <w:b/>
      <w:color w:val="404040" w:themeColor="text1" w:themeTint="BF"/>
      <w:spacing w:val="-10"/>
      <w:kern w:val="28"/>
      <w:sz w:val="36"/>
      <w:szCs w:val="56"/>
    </w:rPr>
  </w:style>
  <w:style w:type="character" w:customStyle="1" w:styleId="TitleChar">
    <w:name w:val="Title Char"/>
    <w:basedOn w:val="DefaultParagraphFont"/>
    <w:link w:val="Title"/>
    <w:uiPriority w:val="10"/>
    <w:rsid w:val="00E524B5"/>
    <w:rPr>
      <w:rFonts w:eastAsiaTheme="majorEastAsia" w:cstheme="majorBidi"/>
      <w:b/>
      <w:color w:val="404040" w:themeColor="text1" w:themeTint="BF"/>
      <w:spacing w:val="-10"/>
      <w:kern w:val="28"/>
      <w:sz w:val="36"/>
      <w:szCs w:val="56"/>
    </w:rPr>
  </w:style>
  <w:style w:type="character" w:customStyle="1" w:styleId="Heading1Char">
    <w:name w:val="Heading 1 Char"/>
    <w:basedOn w:val="DefaultParagraphFont"/>
    <w:link w:val="Heading1"/>
    <w:uiPriority w:val="9"/>
    <w:rsid w:val="00E524B5"/>
    <w:rPr>
      <w:rFonts w:eastAsiaTheme="majorEastAsia" w:cstheme="majorBidi"/>
      <w:b/>
      <w:sz w:val="28"/>
      <w:szCs w:val="32"/>
      <w:u w:val="single"/>
    </w:rPr>
  </w:style>
  <w:style w:type="character" w:customStyle="1" w:styleId="Heading2Char">
    <w:name w:val="Heading 2 Char"/>
    <w:basedOn w:val="DefaultParagraphFont"/>
    <w:link w:val="Heading2"/>
    <w:uiPriority w:val="9"/>
    <w:rsid w:val="00E524B5"/>
    <w:rPr>
      <w:rFonts w:eastAsiaTheme="majorEastAsia" w:cstheme="majorBidi"/>
      <w:b/>
      <w:sz w:val="26"/>
      <w:szCs w:val="26"/>
    </w:rPr>
  </w:style>
  <w:style w:type="character" w:customStyle="1" w:styleId="Heading3Char">
    <w:name w:val="Heading 3 Char"/>
    <w:basedOn w:val="DefaultParagraphFont"/>
    <w:link w:val="Heading3"/>
    <w:uiPriority w:val="9"/>
    <w:rsid w:val="00E524B5"/>
    <w:rPr>
      <w:rFonts w:eastAsiaTheme="majorEastAsia" w:cstheme="majorBidi"/>
      <w:sz w:val="26"/>
      <w:szCs w:val="24"/>
      <w:u w:val="single"/>
    </w:rPr>
  </w:style>
  <w:style w:type="character" w:customStyle="1" w:styleId="Heading4Char">
    <w:name w:val="Heading 4 Char"/>
    <w:basedOn w:val="DefaultParagraphFont"/>
    <w:link w:val="Heading4"/>
    <w:uiPriority w:val="9"/>
    <w:rsid w:val="00745AE1"/>
    <w:rPr>
      <w:rFonts w:eastAsiaTheme="majorEastAsia" w:cstheme="majorBidi"/>
      <w:i/>
      <w:iCs/>
      <w:sz w:val="24"/>
    </w:rPr>
  </w:style>
  <w:style w:type="character" w:customStyle="1" w:styleId="Heading5Char">
    <w:name w:val="Heading 5 Char"/>
    <w:basedOn w:val="DefaultParagraphFont"/>
    <w:link w:val="Heading5"/>
    <w:uiPriority w:val="9"/>
    <w:rsid w:val="00E524B5"/>
    <w:rPr>
      <w:rFonts w:eastAsiaTheme="majorEastAsia" w:cstheme="majorBidi"/>
      <w:sz w:val="24"/>
      <w:u w:val="single"/>
    </w:rPr>
  </w:style>
  <w:style w:type="character" w:customStyle="1" w:styleId="Heading6Char">
    <w:name w:val="Heading 6 Char"/>
    <w:basedOn w:val="DefaultParagraphFont"/>
    <w:link w:val="Heading6"/>
    <w:uiPriority w:val="9"/>
    <w:rsid w:val="00745AE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rsid w:val="00745AE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rsid w:val="00745AE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745AE1"/>
    <w:rPr>
      <w:rFonts w:asciiTheme="majorHAnsi" w:eastAsiaTheme="majorEastAsia" w:hAnsiTheme="majorHAnsi" w:cstheme="majorBidi"/>
      <w:i/>
      <w:iCs/>
      <w:color w:val="272727" w:themeColor="text1" w:themeTint="D8"/>
      <w:sz w:val="21"/>
      <w:szCs w:val="21"/>
    </w:rPr>
  </w:style>
  <w:style w:type="paragraph" w:customStyle="1" w:styleId="Bullet">
    <w:name w:val="Bullet"/>
    <w:basedOn w:val="Normal"/>
    <w:link w:val="BulletChar"/>
    <w:rsid w:val="00745AE1"/>
    <w:pPr>
      <w:numPr>
        <w:numId w:val="1"/>
      </w:numPr>
    </w:pPr>
  </w:style>
  <w:style w:type="character" w:customStyle="1" w:styleId="BulletChar">
    <w:name w:val="Bullet Char"/>
    <w:basedOn w:val="DefaultParagraphFont"/>
    <w:link w:val="Bullet"/>
    <w:rsid w:val="00745AE1"/>
  </w:style>
  <w:style w:type="paragraph" w:styleId="ListParagraph">
    <w:name w:val="List Paragraph"/>
    <w:basedOn w:val="Normal"/>
    <w:uiPriority w:val="34"/>
    <w:unhideWhenUsed/>
    <w:qFormat/>
    <w:rsid w:val="009E5FE8"/>
    <w:pPr>
      <w:ind w:left="720"/>
      <w:contextualSpacing/>
    </w:pPr>
  </w:style>
  <w:style w:type="paragraph" w:styleId="FootnoteText">
    <w:name w:val="footnote text"/>
    <w:basedOn w:val="Normal"/>
    <w:link w:val="FootnoteTextChar"/>
    <w:uiPriority w:val="99"/>
    <w:unhideWhenUsed/>
    <w:rsid w:val="000A5158"/>
    <w:pPr>
      <w:spacing w:before="0" w:after="60" w:line="240" w:lineRule="auto"/>
    </w:pPr>
    <w:rPr>
      <w:rFonts w:ascii="Calibri" w:hAnsi="Calibri"/>
      <w:sz w:val="20"/>
      <w:szCs w:val="20"/>
    </w:rPr>
  </w:style>
  <w:style w:type="character" w:customStyle="1" w:styleId="FootnoteTextChar">
    <w:name w:val="Footnote Text Char"/>
    <w:basedOn w:val="DefaultParagraphFont"/>
    <w:link w:val="FootnoteText"/>
    <w:uiPriority w:val="99"/>
    <w:rsid w:val="000A5158"/>
    <w:rPr>
      <w:rFonts w:ascii="Calibri" w:hAnsi="Calibri"/>
      <w:sz w:val="20"/>
      <w:szCs w:val="20"/>
    </w:rPr>
  </w:style>
  <w:style w:type="character" w:styleId="FootnoteReference">
    <w:name w:val="footnote reference"/>
    <w:basedOn w:val="DefaultParagraphFont"/>
    <w:uiPriority w:val="99"/>
    <w:semiHidden/>
    <w:unhideWhenUsed/>
    <w:rsid w:val="00460580"/>
    <w:rPr>
      <w:vertAlign w:val="superscript"/>
    </w:rPr>
  </w:style>
  <w:style w:type="character" w:styleId="Hyperlink">
    <w:name w:val="Hyperlink"/>
    <w:basedOn w:val="DefaultParagraphFont"/>
    <w:uiPriority w:val="99"/>
    <w:unhideWhenUsed/>
    <w:rsid w:val="004C0B80"/>
    <w:rPr>
      <w:color w:val="0000FF" w:themeColor="hyperlink"/>
      <w:u w:val="single"/>
    </w:rPr>
  </w:style>
  <w:style w:type="character" w:styleId="UnresolvedMention">
    <w:name w:val="Unresolved Mention"/>
    <w:basedOn w:val="DefaultParagraphFont"/>
    <w:uiPriority w:val="99"/>
    <w:semiHidden/>
    <w:unhideWhenUsed/>
    <w:rsid w:val="004C0B80"/>
    <w:rPr>
      <w:color w:val="605E5C"/>
      <w:shd w:val="clear" w:color="auto" w:fill="E1DFDD"/>
    </w:rPr>
  </w:style>
  <w:style w:type="table" w:styleId="TableGrid">
    <w:name w:val="Table Grid"/>
    <w:basedOn w:val="TableNormal"/>
    <w:uiPriority w:val="59"/>
    <w:rsid w:val="00D17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842EFB"/>
    <w:pPr>
      <w:numPr>
        <w:numId w:val="13"/>
      </w:numPr>
    </w:pPr>
  </w:style>
  <w:style w:type="paragraph" w:styleId="Header">
    <w:name w:val="header"/>
    <w:basedOn w:val="Normal"/>
    <w:link w:val="HeaderChar"/>
    <w:uiPriority w:val="99"/>
    <w:unhideWhenUsed/>
    <w:rsid w:val="0083505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35058"/>
    <w:rPr>
      <w:rFonts w:ascii="Cambria" w:hAnsi="Cambria"/>
      <w:sz w:val="24"/>
    </w:rPr>
  </w:style>
  <w:style w:type="paragraph" w:styleId="Footer">
    <w:name w:val="footer"/>
    <w:basedOn w:val="Normal"/>
    <w:link w:val="FooterChar"/>
    <w:uiPriority w:val="99"/>
    <w:unhideWhenUsed/>
    <w:rsid w:val="0083505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35058"/>
    <w:rPr>
      <w:rFonts w:ascii="Cambria" w:hAnsi="Cambr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152048">
      <w:bodyDiv w:val="1"/>
      <w:marLeft w:val="0"/>
      <w:marRight w:val="0"/>
      <w:marTop w:val="0"/>
      <w:marBottom w:val="0"/>
      <w:divBdr>
        <w:top w:val="none" w:sz="0" w:space="0" w:color="auto"/>
        <w:left w:val="none" w:sz="0" w:space="0" w:color="auto"/>
        <w:bottom w:val="none" w:sz="0" w:space="0" w:color="auto"/>
        <w:right w:val="none" w:sz="0" w:space="0" w:color="auto"/>
      </w:divBdr>
    </w:div>
    <w:div w:id="603460458">
      <w:bodyDiv w:val="1"/>
      <w:marLeft w:val="0"/>
      <w:marRight w:val="0"/>
      <w:marTop w:val="0"/>
      <w:marBottom w:val="0"/>
      <w:divBdr>
        <w:top w:val="none" w:sz="0" w:space="0" w:color="auto"/>
        <w:left w:val="none" w:sz="0" w:space="0" w:color="auto"/>
        <w:bottom w:val="none" w:sz="0" w:space="0" w:color="auto"/>
        <w:right w:val="none" w:sz="0" w:space="0" w:color="auto"/>
      </w:divBdr>
    </w:div>
    <w:div w:id="1484354215">
      <w:bodyDiv w:val="1"/>
      <w:marLeft w:val="0"/>
      <w:marRight w:val="0"/>
      <w:marTop w:val="0"/>
      <w:marBottom w:val="0"/>
      <w:divBdr>
        <w:top w:val="none" w:sz="0" w:space="0" w:color="auto"/>
        <w:left w:val="none" w:sz="0" w:space="0" w:color="auto"/>
        <w:bottom w:val="none" w:sz="0" w:space="0" w:color="auto"/>
        <w:right w:val="none" w:sz="0" w:space="0" w:color="auto"/>
      </w:divBdr>
    </w:div>
    <w:div w:id="1534615339">
      <w:bodyDiv w:val="1"/>
      <w:marLeft w:val="0"/>
      <w:marRight w:val="0"/>
      <w:marTop w:val="0"/>
      <w:marBottom w:val="0"/>
      <w:divBdr>
        <w:top w:val="none" w:sz="0" w:space="0" w:color="auto"/>
        <w:left w:val="none" w:sz="0" w:space="0" w:color="auto"/>
        <w:bottom w:val="none" w:sz="0" w:space="0" w:color="auto"/>
        <w:right w:val="none" w:sz="0" w:space="0" w:color="auto"/>
      </w:divBdr>
    </w:div>
    <w:div w:id="1830096085">
      <w:bodyDiv w:val="1"/>
      <w:marLeft w:val="0"/>
      <w:marRight w:val="0"/>
      <w:marTop w:val="0"/>
      <w:marBottom w:val="0"/>
      <w:divBdr>
        <w:top w:val="none" w:sz="0" w:space="0" w:color="auto"/>
        <w:left w:val="none" w:sz="0" w:space="0" w:color="auto"/>
        <w:bottom w:val="none" w:sz="0" w:space="0" w:color="auto"/>
        <w:right w:val="none" w:sz="0" w:space="0" w:color="auto"/>
      </w:divBdr>
    </w:div>
    <w:div w:id="206270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s>
</file>

<file path=word/_rels/footnotes.xml.rels><?xml version="1.0" encoding="UTF-8" standalone="yes"?>
<Relationships xmlns="http://schemas.openxmlformats.org/package/2006/relationships"><Relationship Id="rId2" Type="http://schemas.openxmlformats.org/officeDocument/2006/relationships/hyperlink" Target="https://www.mtc.gov/wp-content/uploads/MTCImages&amp;Files/MTC/media/AUR/Factor-Presence.pdf" TargetMode="External"/><Relationship Id="rId1" Type="http://schemas.openxmlformats.org/officeDocument/2006/relationships/hyperlink" Target="https://www.mtc.gov/uniformity/project-on-state-taxation-of-partner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A4D40-437C-424E-8D86-93AC45E18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2150</Words>
  <Characters>12261</Characters>
  <Application>Microsoft Office Word</Application>
  <DocSecurity>0</DocSecurity>
  <Lines>102</Lines>
  <Paragraphs>28</Paragraphs>
  <ScaleCrop>false</ScaleCrop>
  <Company/>
  <LinksUpToDate>false</LinksUpToDate>
  <CharactersWithSpaces>14383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2023-10-13T20:44:00Z</dcterms:created>
  <dcterms:modified xsi:type="dcterms:W3CDTF">2023-10-13T20:44:00Z</dcterms:modified>
</cp:coreProperties>
</file>