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AAA8" w14:textId="7B0D2B99" w:rsidR="00AA190A" w:rsidRDefault="00AA190A" w:rsidP="004843D2">
      <w:pPr>
        <w:rPr>
          <w:rFonts w:ascii="Georgia" w:hAnsi="Georgia"/>
          <w:b/>
          <w:bCs/>
          <w:color w:val="A80410"/>
          <w:sz w:val="56"/>
          <w:szCs w:val="180"/>
        </w:rPr>
      </w:pPr>
      <w:bookmarkStart w:id="0" w:name="_Hlk142738703"/>
    </w:p>
    <w:p w14:paraId="792CCA57" w14:textId="27F9531D" w:rsidR="00916C78" w:rsidRDefault="00916C78" w:rsidP="006A570E">
      <w:pPr>
        <w:spacing w:after="0"/>
        <w:jc w:val="left"/>
        <w:rPr>
          <w:i/>
          <w:iCs/>
          <w:sz w:val="22"/>
          <w:szCs w:val="20"/>
        </w:rPr>
      </w:pPr>
    </w:p>
    <w:p w14:paraId="3DADE5A7" w14:textId="24F8ACFE" w:rsidR="00916C78" w:rsidRDefault="00916C78" w:rsidP="00FF5FF5">
      <w:pPr>
        <w:pBdr>
          <w:bottom w:val="single" w:sz="24" w:space="1" w:color="591200" w:themeColor="accent6" w:themeShade="80"/>
        </w:pBdr>
        <w:shd w:val="clear" w:color="auto" w:fill="FFFFFF" w:themeFill="background1"/>
        <w:jc w:val="center"/>
        <w:rPr>
          <w:i/>
          <w:iCs/>
          <w:sz w:val="22"/>
          <w:szCs w:val="20"/>
        </w:rPr>
      </w:pPr>
    </w:p>
    <w:p w14:paraId="27607B0D" w14:textId="1BF75799" w:rsidR="00F31B02" w:rsidRDefault="00F31B02" w:rsidP="00FF5FF5">
      <w:pPr>
        <w:pBdr>
          <w:bottom w:val="single" w:sz="24" w:space="1" w:color="591200" w:themeColor="accent6" w:themeShade="80"/>
        </w:pBdr>
        <w:shd w:val="clear" w:color="auto" w:fill="FFFFFF" w:themeFill="background1"/>
        <w:jc w:val="center"/>
        <w:rPr>
          <w:i/>
          <w:iCs/>
          <w:sz w:val="22"/>
          <w:szCs w:val="20"/>
        </w:rPr>
      </w:pPr>
    </w:p>
    <w:p w14:paraId="4C23C895" w14:textId="4EB3983B" w:rsidR="0019545B" w:rsidRDefault="00DD2697" w:rsidP="00FF5FF5">
      <w:pPr>
        <w:pBdr>
          <w:bottom w:val="single" w:sz="24" w:space="1" w:color="591200" w:themeColor="accent6" w:themeShade="80"/>
        </w:pBdr>
        <w:shd w:val="clear" w:color="auto" w:fill="FFFFFF" w:themeFill="background1"/>
        <w:jc w:val="center"/>
        <w:rPr>
          <w:i/>
          <w:iCs/>
          <w:sz w:val="22"/>
          <w:szCs w:val="20"/>
        </w:rPr>
      </w:pPr>
      <w:r>
        <w:rPr>
          <w:noProof/>
        </w:rPr>
        <w:drawing>
          <wp:anchor distT="0" distB="0" distL="114300" distR="114300" simplePos="0" relativeHeight="251631104" behindDoc="0" locked="0" layoutInCell="1" allowOverlap="1" wp14:anchorId="2220A04F" wp14:editId="44BF21AD">
            <wp:simplePos x="0" y="0"/>
            <wp:positionH relativeFrom="column">
              <wp:posOffset>2043340</wp:posOffset>
            </wp:positionH>
            <wp:positionV relativeFrom="paragraph">
              <wp:posOffset>262618</wp:posOffset>
            </wp:positionV>
            <wp:extent cx="1373505" cy="730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1373505" cy="730250"/>
                    </a:xfrm>
                    <a:prstGeom prst="rect">
                      <a:avLst/>
                    </a:prstGeom>
                    <a:noFill/>
                    <a:effectLst/>
                  </pic:spPr>
                </pic:pic>
              </a:graphicData>
            </a:graphic>
            <wp14:sizeRelH relativeFrom="page">
              <wp14:pctWidth>0</wp14:pctWidth>
            </wp14:sizeRelH>
            <wp14:sizeRelV relativeFrom="page">
              <wp14:pctHeight>0</wp14:pctHeight>
            </wp14:sizeRelV>
          </wp:anchor>
        </w:drawing>
      </w:r>
    </w:p>
    <w:p w14:paraId="1B0575A8" w14:textId="1CC50DEA" w:rsidR="0019545B" w:rsidRDefault="0019545B" w:rsidP="00FF5FF5">
      <w:pPr>
        <w:pBdr>
          <w:bottom w:val="single" w:sz="24" w:space="1" w:color="591200" w:themeColor="accent6" w:themeShade="80"/>
        </w:pBdr>
        <w:shd w:val="clear" w:color="auto" w:fill="FFFFFF" w:themeFill="background1"/>
        <w:jc w:val="center"/>
        <w:rPr>
          <w:i/>
          <w:iCs/>
          <w:sz w:val="22"/>
          <w:szCs w:val="20"/>
        </w:rPr>
      </w:pPr>
    </w:p>
    <w:p w14:paraId="21426499" w14:textId="0B1A0B77" w:rsidR="0019545B" w:rsidRDefault="0019545B" w:rsidP="00FF5FF5">
      <w:pPr>
        <w:pBdr>
          <w:bottom w:val="single" w:sz="24" w:space="1" w:color="591200" w:themeColor="accent6" w:themeShade="80"/>
        </w:pBdr>
        <w:shd w:val="clear" w:color="auto" w:fill="FFFFFF" w:themeFill="background1"/>
        <w:jc w:val="center"/>
        <w:rPr>
          <w:i/>
          <w:iCs/>
          <w:sz w:val="22"/>
          <w:szCs w:val="20"/>
        </w:rPr>
      </w:pPr>
    </w:p>
    <w:p w14:paraId="62535E10" w14:textId="77777777" w:rsidR="009E5ED3" w:rsidRDefault="009E5ED3"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p>
    <w:p w14:paraId="627ABF8D" w14:textId="2DB908D0" w:rsidR="00FF5FF5" w:rsidRPr="00DD2697" w:rsidRDefault="00844079"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r w:rsidRPr="00DD2697">
        <w:rPr>
          <w:rFonts w:ascii="Californian FB" w:hAnsi="Californian FB"/>
          <w:b/>
          <w:bCs/>
          <w:color w:val="000000" w:themeColor="text1"/>
          <w:sz w:val="48"/>
          <w:szCs w:val="44"/>
        </w:rPr>
        <w:t xml:space="preserve">State </w:t>
      </w:r>
      <w:r w:rsidR="000A2267" w:rsidRPr="00DD2697">
        <w:rPr>
          <w:rFonts w:ascii="Californian FB" w:hAnsi="Californian FB"/>
          <w:b/>
          <w:bCs/>
          <w:color w:val="000000" w:themeColor="text1"/>
          <w:sz w:val="48"/>
          <w:szCs w:val="44"/>
        </w:rPr>
        <w:t>Tax Sourcing</w:t>
      </w:r>
      <w:r w:rsidRPr="00DD2697">
        <w:rPr>
          <w:rFonts w:ascii="Californian FB" w:hAnsi="Californian FB"/>
          <w:b/>
          <w:bCs/>
          <w:color w:val="000000" w:themeColor="text1"/>
          <w:sz w:val="48"/>
          <w:szCs w:val="44"/>
        </w:rPr>
        <w:t xml:space="preserve"> of </w:t>
      </w:r>
      <w:r w:rsidR="00D43666" w:rsidRPr="00DD2697">
        <w:rPr>
          <w:rFonts w:ascii="Californian FB" w:hAnsi="Californian FB"/>
          <w:b/>
          <w:bCs/>
          <w:color w:val="000000" w:themeColor="text1"/>
          <w:sz w:val="48"/>
          <w:szCs w:val="44"/>
        </w:rPr>
        <w:br/>
      </w:r>
      <w:r w:rsidR="000A2267" w:rsidRPr="00DD2697">
        <w:rPr>
          <w:rFonts w:ascii="Californian FB" w:hAnsi="Californian FB"/>
          <w:b/>
          <w:bCs/>
          <w:color w:val="000000" w:themeColor="text1"/>
          <w:sz w:val="48"/>
          <w:szCs w:val="44"/>
        </w:rPr>
        <w:t xml:space="preserve">Certain </w:t>
      </w:r>
      <w:r w:rsidR="001D6DFF" w:rsidRPr="00DD2697">
        <w:rPr>
          <w:rFonts w:ascii="Californian FB" w:hAnsi="Californian FB"/>
          <w:b/>
          <w:bCs/>
          <w:color w:val="000000" w:themeColor="text1"/>
          <w:sz w:val="48"/>
          <w:szCs w:val="44"/>
        </w:rPr>
        <w:t>Guaranteed Payments</w:t>
      </w:r>
      <w:r w:rsidR="006066C8" w:rsidRPr="00DD2697">
        <w:rPr>
          <w:rFonts w:ascii="Californian FB" w:hAnsi="Californian FB"/>
          <w:b/>
          <w:bCs/>
          <w:color w:val="000000" w:themeColor="text1"/>
          <w:sz w:val="48"/>
          <w:szCs w:val="44"/>
        </w:rPr>
        <w:br/>
      </w:r>
      <w:r w:rsidR="00FA7927" w:rsidRPr="00DD2697">
        <w:rPr>
          <w:rFonts w:ascii="Californian FB" w:hAnsi="Californian FB"/>
          <w:b/>
          <w:bCs/>
          <w:color w:val="000000" w:themeColor="text1"/>
          <w:sz w:val="48"/>
          <w:szCs w:val="44"/>
        </w:rPr>
        <w:t xml:space="preserve">Made to Individual Partners for </w:t>
      </w:r>
      <w:r w:rsidR="00C23413" w:rsidRPr="00DD2697">
        <w:rPr>
          <w:rFonts w:ascii="Californian FB" w:hAnsi="Californian FB"/>
          <w:b/>
          <w:bCs/>
          <w:color w:val="000000" w:themeColor="text1"/>
          <w:sz w:val="48"/>
          <w:szCs w:val="44"/>
        </w:rPr>
        <w:t>Services</w:t>
      </w:r>
      <w:r w:rsidR="00C23413" w:rsidRPr="00DD2697">
        <w:rPr>
          <w:rFonts w:ascii="Californian FB" w:hAnsi="Californian FB"/>
          <w:b/>
          <w:bCs/>
          <w:color w:val="000000" w:themeColor="text1"/>
          <w:sz w:val="44"/>
          <w:szCs w:val="40"/>
        </w:rPr>
        <w:t xml:space="preserve"> </w:t>
      </w:r>
    </w:p>
    <w:p w14:paraId="75A0CECD" w14:textId="5BA84C0F" w:rsidR="00FF5FF5" w:rsidRPr="00C93290" w:rsidRDefault="00C23413" w:rsidP="00C93290">
      <w:pPr>
        <w:pBdr>
          <w:bottom w:val="single" w:sz="24" w:space="1" w:color="591200" w:themeColor="accent6" w:themeShade="80"/>
        </w:pBdr>
        <w:shd w:val="clear" w:color="auto" w:fill="FFFFFF" w:themeFill="background1"/>
        <w:spacing w:after="120"/>
        <w:jc w:val="center"/>
        <w:rPr>
          <w:rFonts w:ascii="Californian FB" w:hAnsi="Californian FB"/>
          <w:b/>
          <w:bCs/>
          <w:color w:val="680000"/>
          <w:sz w:val="28"/>
          <w:szCs w:val="24"/>
        </w:rPr>
      </w:pPr>
      <w:r w:rsidRPr="00FA7927">
        <w:rPr>
          <w:rFonts w:ascii="Californian FB" w:hAnsi="Californian FB"/>
          <w:b/>
          <w:bCs/>
          <w:color w:val="000000" w:themeColor="text1"/>
          <w:sz w:val="36"/>
          <w:szCs w:val="32"/>
        </w:rPr>
        <w:br/>
      </w:r>
      <w:r w:rsidR="00FF5FF5" w:rsidRPr="00C93290">
        <w:rPr>
          <w:rFonts w:ascii="Californian FB" w:hAnsi="Californian FB"/>
          <w:b/>
          <w:bCs/>
          <w:color w:val="680000"/>
          <w:sz w:val="32"/>
          <w:szCs w:val="28"/>
        </w:rPr>
        <w:t>Multistate Tax Commission</w:t>
      </w:r>
    </w:p>
    <w:p w14:paraId="352A811D" w14:textId="4F26B88E" w:rsidR="00FF5FF5" w:rsidRPr="00C93290" w:rsidRDefault="00FF5FF5" w:rsidP="00C93290">
      <w:pPr>
        <w:pBdr>
          <w:bottom w:val="single" w:sz="24" w:space="1" w:color="591200" w:themeColor="accent6" w:themeShade="80"/>
        </w:pBdr>
        <w:shd w:val="clear" w:color="auto" w:fill="FFFFFF" w:themeFill="background1"/>
        <w:spacing w:after="120"/>
        <w:jc w:val="center"/>
        <w:rPr>
          <w:rFonts w:ascii="Californian FB" w:hAnsi="Californian FB"/>
          <w:b/>
          <w:bCs/>
          <w:color w:val="680000"/>
          <w:sz w:val="22"/>
          <w:szCs w:val="20"/>
        </w:rPr>
      </w:pPr>
      <w:r w:rsidRPr="00C93290">
        <w:rPr>
          <w:rFonts w:ascii="Californian FB" w:hAnsi="Californian FB"/>
          <w:b/>
          <w:bCs/>
          <w:color w:val="680000"/>
          <w:sz w:val="22"/>
          <w:szCs w:val="20"/>
        </w:rPr>
        <w:t xml:space="preserve">DRAFT – AUGUST </w:t>
      </w:r>
      <w:r w:rsidR="00540017">
        <w:rPr>
          <w:rFonts w:ascii="Californian FB" w:hAnsi="Californian FB"/>
          <w:b/>
          <w:bCs/>
          <w:color w:val="680000"/>
          <w:sz w:val="22"/>
          <w:szCs w:val="20"/>
        </w:rPr>
        <w:t>31</w:t>
      </w:r>
      <w:r w:rsidRPr="00C93290">
        <w:rPr>
          <w:rFonts w:ascii="Californian FB" w:hAnsi="Californian FB"/>
          <w:b/>
          <w:bCs/>
          <w:color w:val="680000"/>
          <w:sz w:val="22"/>
          <w:szCs w:val="20"/>
        </w:rPr>
        <w:t>, 2023</w:t>
      </w:r>
    </w:p>
    <w:p w14:paraId="3AA80C14" w14:textId="77777777" w:rsidR="00FF5FF5" w:rsidRPr="00C93290" w:rsidRDefault="00FF5FF5" w:rsidP="00C93290">
      <w:pPr>
        <w:pBdr>
          <w:bottom w:val="single" w:sz="24" w:space="1" w:color="591200" w:themeColor="accent6" w:themeShade="80"/>
        </w:pBdr>
        <w:shd w:val="clear" w:color="auto" w:fill="FFFFFF" w:themeFill="background1"/>
        <w:spacing w:after="120"/>
        <w:jc w:val="center"/>
        <w:rPr>
          <w:rFonts w:ascii="Californian FB" w:hAnsi="Californian FB"/>
          <w:b/>
          <w:bCs/>
          <w:color w:val="680000"/>
          <w:sz w:val="22"/>
          <w:szCs w:val="20"/>
        </w:rPr>
      </w:pPr>
      <w:r w:rsidRPr="00C93290">
        <w:rPr>
          <w:rFonts w:ascii="Californian FB" w:hAnsi="Californian FB"/>
          <w:b/>
          <w:bCs/>
          <w:color w:val="680000"/>
          <w:sz w:val="22"/>
          <w:szCs w:val="20"/>
        </w:rPr>
        <w:t>FOR DISCUSSION PURPOSES ONLY</w:t>
      </w:r>
    </w:p>
    <w:p w14:paraId="3BD9DF68" w14:textId="5BE42D3C" w:rsidR="00FF5FF5" w:rsidRDefault="00FF5FF5"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p>
    <w:p w14:paraId="01368B75" w14:textId="305C74B8" w:rsidR="0019545B" w:rsidRPr="00C00E8D" w:rsidRDefault="00C7789C"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r>
        <w:rPr>
          <w:rFonts w:ascii="Californian FB" w:hAnsi="Californian FB"/>
          <w:b/>
          <w:bCs/>
          <w:color w:val="000000" w:themeColor="text1"/>
          <w:sz w:val="44"/>
          <w:szCs w:val="40"/>
        </w:rPr>
        <w:pict w14:anchorId="65F68BCF">
          <v:rect id="_x0000_i1025" style="width:0;height:1.5pt" o:hralign="center" o:hrstd="t" o:hr="t" fillcolor="#a0a0a0" stroked="f"/>
        </w:pict>
      </w:r>
    </w:p>
    <w:p w14:paraId="41BA676E" w14:textId="0A30356A"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767DDC60" w14:textId="557C49E8"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1C2C2D03" w14:textId="65C79CDC"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35D99CC8" w14:textId="78607DF8"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28CD80B7" w14:textId="6ECFBC6D"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327C9A88" w14:textId="714133D6"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2BC52665" w14:textId="455EAFEE"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41B8EF1F" w14:textId="003D410C" w:rsidR="00E85560" w:rsidRPr="00435DBA" w:rsidRDefault="009B161D" w:rsidP="00435DBA">
      <w:pPr>
        <w:shd w:val="clear" w:color="auto" w:fill="FFFFFF" w:themeFill="background1"/>
        <w:ind w:left="-720" w:right="-720"/>
        <w:jc w:val="center"/>
        <w:rPr>
          <w:i/>
          <w:iCs/>
          <w:sz w:val="18"/>
          <w:szCs w:val="18"/>
        </w:rPr>
      </w:pPr>
      <w:r w:rsidRPr="00435DBA">
        <w:rPr>
          <w:i/>
          <w:iCs/>
          <w:sz w:val="18"/>
          <w:szCs w:val="18"/>
        </w:rPr>
        <w:t xml:space="preserve">This white paper is prepared by the staff of the Multistate Tax Commission </w:t>
      </w:r>
      <w:r w:rsidR="00120DCC" w:rsidRPr="00435DBA">
        <w:rPr>
          <w:i/>
          <w:iCs/>
          <w:sz w:val="18"/>
          <w:szCs w:val="18"/>
        </w:rPr>
        <w:t>(MTC)</w:t>
      </w:r>
      <w:r w:rsidR="00C93290" w:rsidRPr="00435DBA">
        <w:rPr>
          <w:i/>
          <w:iCs/>
          <w:sz w:val="18"/>
          <w:szCs w:val="18"/>
        </w:rPr>
        <w:t xml:space="preserve"> </w:t>
      </w:r>
      <w:r w:rsidRPr="00435DBA">
        <w:rPr>
          <w:i/>
          <w:iCs/>
          <w:sz w:val="18"/>
          <w:szCs w:val="18"/>
        </w:rPr>
        <w:t xml:space="preserve">as part of </w:t>
      </w:r>
      <w:r w:rsidR="00EE070D" w:rsidRPr="00435DBA">
        <w:rPr>
          <w:i/>
          <w:iCs/>
          <w:sz w:val="18"/>
          <w:szCs w:val="18"/>
        </w:rPr>
        <w:t>the MTC’s</w:t>
      </w:r>
      <w:r w:rsidR="00756309" w:rsidRPr="00435DBA">
        <w:rPr>
          <w:i/>
          <w:iCs/>
          <w:sz w:val="18"/>
          <w:szCs w:val="18"/>
        </w:rPr>
        <w:t xml:space="preserve"> </w:t>
      </w:r>
      <w:r w:rsidR="00E85560" w:rsidRPr="00435DBA">
        <w:rPr>
          <w:i/>
          <w:iCs/>
          <w:sz w:val="18"/>
          <w:szCs w:val="18"/>
        </w:rPr>
        <w:br/>
      </w:r>
      <w:r w:rsidRPr="00435DBA">
        <w:rPr>
          <w:i/>
          <w:iCs/>
          <w:sz w:val="18"/>
          <w:szCs w:val="18"/>
        </w:rPr>
        <w:t>uniformity project on state taxation of partnerships</w:t>
      </w:r>
      <w:r w:rsidR="00EE070D" w:rsidRPr="00435DBA">
        <w:rPr>
          <w:i/>
          <w:iCs/>
          <w:sz w:val="18"/>
          <w:szCs w:val="18"/>
        </w:rPr>
        <w:t>,</w:t>
      </w:r>
      <w:r w:rsidR="00C93290" w:rsidRPr="00435DBA">
        <w:rPr>
          <w:i/>
          <w:iCs/>
          <w:sz w:val="18"/>
          <w:szCs w:val="18"/>
        </w:rPr>
        <w:t xml:space="preserve"> published as of the date shown,</w:t>
      </w:r>
      <w:r w:rsidRPr="00435DBA">
        <w:rPr>
          <w:i/>
          <w:iCs/>
          <w:sz w:val="18"/>
          <w:szCs w:val="18"/>
        </w:rPr>
        <w:t xml:space="preserve"> and </w:t>
      </w:r>
      <w:r w:rsidR="00C93290" w:rsidRPr="00435DBA">
        <w:rPr>
          <w:i/>
          <w:iCs/>
          <w:sz w:val="18"/>
          <w:szCs w:val="18"/>
        </w:rPr>
        <w:t>may be</w:t>
      </w:r>
      <w:r w:rsidRPr="00435DBA">
        <w:rPr>
          <w:i/>
          <w:iCs/>
          <w:sz w:val="18"/>
          <w:szCs w:val="18"/>
        </w:rPr>
        <w:t xml:space="preserve"> subject to revision. </w:t>
      </w:r>
      <w:r w:rsidR="00EE070D" w:rsidRPr="00435DBA">
        <w:rPr>
          <w:i/>
          <w:iCs/>
          <w:sz w:val="18"/>
          <w:szCs w:val="18"/>
        </w:rPr>
        <w:br/>
        <w:t>This draft white paper is not intended to provide accounting or legal advice to taxpayers and cannot be cited for that purpose.</w:t>
      </w:r>
    </w:p>
    <w:p w14:paraId="0DC1296C" w14:textId="065CA434" w:rsidR="00822499" w:rsidRPr="006066C8" w:rsidRDefault="00EE070D" w:rsidP="006066C8">
      <w:pPr>
        <w:shd w:val="clear" w:color="auto" w:fill="FFFFFF" w:themeFill="background1"/>
        <w:ind w:left="-720" w:right="-720"/>
        <w:jc w:val="center"/>
        <w:rPr>
          <w:i/>
          <w:iCs/>
          <w:sz w:val="18"/>
          <w:szCs w:val="18"/>
        </w:rPr>
      </w:pPr>
      <w:r w:rsidRPr="00435DBA">
        <w:rPr>
          <w:i/>
          <w:iCs/>
          <w:sz w:val="18"/>
          <w:szCs w:val="18"/>
        </w:rPr>
        <w:t xml:space="preserve">Those with questions on the white paper </w:t>
      </w:r>
      <w:r w:rsidR="00AB4E9B" w:rsidRPr="00435DBA">
        <w:rPr>
          <w:i/>
          <w:iCs/>
          <w:sz w:val="18"/>
          <w:szCs w:val="18"/>
        </w:rPr>
        <w:t>may</w:t>
      </w:r>
      <w:r w:rsidRPr="00435DBA">
        <w:rPr>
          <w:i/>
          <w:iCs/>
          <w:sz w:val="18"/>
          <w:szCs w:val="18"/>
        </w:rPr>
        <w:t xml:space="preserve"> contact Helen Hecht, at </w:t>
      </w:r>
      <w:hyperlink r:id="rId10" w:history="1">
        <w:r w:rsidRPr="00435DBA">
          <w:rPr>
            <w:rStyle w:val="Hyperlink"/>
            <w:i/>
            <w:iCs/>
            <w:sz w:val="18"/>
            <w:szCs w:val="18"/>
          </w:rPr>
          <w:t>hhecht@mtc.gov</w:t>
        </w:r>
      </w:hyperlink>
      <w:r w:rsidRPr="00435DBA">
        <w:rPr>
          <w:i/>
          <w:iCs/>
          <w:sz w:val="18"/>
          <w:szCs w:val="18"/>
        </w:rPr>
        <w:t xml:space="preserve">.  </w:t>
      </w:r>
    </w:p>
    <w:p w14:paraId="13521AE0" w14:textId="2B14204E" w:rsidR="00464AC0" w:rsidRPr="00464AC0" w:rsidRDefault="00464AC0" w:rsidP="00464AC0">
      <w:pPr>
        <w:pStyle w:val="TOC1"/>
      </w:pPr>
      <w:bookmarkStart w:id="1" w:name="_Toc104209200"/>
      <w:r w:rsidRPr="00464AC0">
        <w:lastRenderedPageBreak/>
        <w:t>Contents</w:t>
      </w:r>
    </w:p>
    <w:p w14:paraId="04B83DEA" w14:textId="7FA4ED91" w:rsidR="000B5B16" w:rsidRDefault="0047413E">
      <w:pPr>
        <w:pStyle w:val="TOC1"/>
        <w:rPr>
          <w:rFonts w:asciiTheme="minorHAnsi" w:eastAsiaTheme="minorEastAsia" w:hAnsiTheme="minorHAnsi"/>
          <w:b w:val="0"/>
          <w:bCs w:val="0"/>
          <w:noProof/>
          <w:color w:val="auto"/>
          <w:kern w:val="2"/>
          <w:sz w:val="22"/>
          <w:szCs w:val="22"/>
          <w14:ligatures w14:val="standardContextual"/>
        </w:rPr>
      </w:pPr>
      <w:r>
        <w:fldChar w:fldCharType="begin"/>
      </w:r>
      <w:r>
        <w:instrText xml:space="preserve"> TOC \o "1-3" \h \z \u </w:instrText>
      </w:r>
      <w:r>
        <w:fldChar w:fldCharType="separate"/>
      </w:r>
      <w:hyperlink w:anchor="_Toc144634429" w:history="1">
        <w:r w:rsidR="000B5B16" w:rsidRPr="00176122">
          <w:rPr>
            <w:rStyle w:val="Hyperlink"/>
            <w:noProof/>
          </w:rPr>
          <w:t>Introduction</w:t>
        </w:r>
        <w:r w:rsidR="000B5B16">
          <w:rPr>
            <w:noProof/>
            <w:webHidden/>
          </w:rPr>
          <w:tab/>
        </w:r>
        <w:r w:rsidR="000B5B16">
          <w:rPr>
            <w:noProof/>
            <w:webHidden/>
          </w:rPr>
          <w:fldChar w:fldCharType="begin"/>
        </w:r>
        <w:r w:rsidR="000B5B16">
          <w:rPr>
            <w:noProof/>
            <w:webHidden/>
          </w:rPr>
          <w:instrText xml:space="preserve"> PAGEREF _Toc144634429 \h </w:instrText>
        </w:r>
        <w:r w:rsidR="000B5B16">
          <w:rPr>
            <w:noProof/>
            <w:webHidden/>
          </w:rPr>
        </w:r>
        <w:r w:rsidR="000B5B16">
          <w:rPr>
            <w:noProof/>
            <w:webHidden/>
          </w:rPr>
          <w:fldChar w:fldCharType="separate"/>
        </w:r>
        <w:r w:rsidR="00C7789C">
          <w:rPr>
            <w:noProof/>
            <w:webHidden/>
          </w:rPr>
          <w:t>5</w:t>
        </w:r>
        <w:r w:rsidR="000B5B16">
          <w:rPr>
            <w:noProof/>
            <w:webHidden/>
          </w:rPr>
          <w:fldChar w:fldCharType="end"/>
        </w:r>
      </w:hyperlink>
    </w:p>
    <w:p w14:paraId="2B2BFEA5" w14:textId="2F2BAC79" w:rsidR="000B5B16" w:rsidRDefault="00C7789C">
      <w:pPr>
        <w:pStyle w:val="TOC3"/>
        <w:rPr>
          <w:rFonts w:asciiTheme="minorHAnsi" w:eastAsiaTheme="minorEastAsia" w:hAnsiTheme="minorHAnsi"/>
          <w:noProof/>
          <w:kern w:val="2"/>
          <w:sz w:val="22"/>
          <w14:ligatures w14:val="standardContextual"/>
        </w:rPr>
      </w:pPr>
      <w:hyperlink w:anchor="_Toc144634430" w:history="1">
        <w:r w:rsidR="000B5B16" w:rsidRPr="00176122">
          <w:rPr>
            <w:rStyle w:val="Hyperlink"/>
            <w:noProof/>
          </w:rPr>
          <w:t>Scope of this White Paper</w:t>
        </w:r>
        <w:r w:rsidR="000B5B16">
          <w:rPr>
            <w:noProof/>
            <w:webHidden/>
          </w:rPr>
          <w:tab/>
        </w:r>
        <w:r w:rsidR="000B5B16">
          <w:rPr>
            <w:noProof/>
            <w:webHidden/>
          </w:rPr>
          <w:fldChar w:fldCharType="begin"/>
        </w:r>
        <w:r w:rsidR="000B5B16">
          <w:rPr>
            <w:noProof/>
            <w:webHidden/>
          </w:rPr>
          <w:instrText xml:space="preserve"> PAGEREF _Toc144634430 \h </w:instrText>
        </w:r>
        <w:r w:rsidR="000B5B16">
          <w:rPr>
            <w:noProof/>
            <w:webHidden/>
          </w:rPr>
        </w:r>
        <w:r w:rsidR="000B5B16">
          <w:rPr>
            <w:noProof/>
            <w:webHidden/>
          </w:rPr>
          <w:fldChar w:fldCharType="separate"/>
        </w:r>
        <w:r>
          <w:rPr>
            <w:noProof/>
            <w:webHidden/>
          </w:rPr>
          <w:t>5</w:t>
        </w:r>
        <w:r w:rsidR="000B5B16">
          <w:rPr>
            <w:noProof/>
            <w:webHidden/>
          </w:rPr>
          <w:fldChar w:fldCharType="end"/>
        </w:r>
      </w:hyperlink>
    </w:p>
    <w:p w14:paraId="51D4C21A" w14:textId="2845722F" w:rsidR="000B5B16" w:rsidRDefault="00C7789C">
      <w:pPr>
        <w:pStyle w:val="TOC3"/>
        <w:rPr>
          <w:rFonts w:asciiTheme="minorHAnsi" w:eastAsiaTheme="minorEastAsia" w:hAnsiTheme="minorHAnsi"/>
          <w:noProof/>
          <w:kern w:val="2"/>
          <w:sz w:val="22"/>
          <w14:ligatures w14:val="standardContextual"/>
        </w:rPr>
      </w:pPr>
      <w:hyperlink w:anchor="_Toc144634431" w:history="1">
        <w:r w:rsidR="000B5B16" w:rsidRPr="00176122">
          <w:rPr>
            <w:rStyle w:val="Hyperlink"/>
            <w:noProof/>
          </w:rPr>
          <w:t>MTC Partnership Work Group</w:t>
        </w:r>
        <w:r w:rsidR="000B5B16">
          <w:rPr>
            <w:noProof/>
            <w:webHidden/>
          </w:rPr>
          <w:tab/>
        </w:r>
        <w:r w:rsidR="000B5B16">
          <w:rPr>
            <w:noProof/>
            <w:webHidden/>
          </w:rPr>
          <w:fldChar w:fldCharType="begin"/>
        </w:r>
        <w:r w:rsidR="000B5B16">
          <w:rPr>
            <w:noProof/>
            <w:webHidden/>
          </w:rPr>
          <w:instrText xml:space="preserve"> PAGEREF _Toc144634431 \h </w:instrText>
        </w:r>
        <w:r w:rsidR="000B5B16">
          <w:rPr>
            <w:noProof/>
            <w:webHidden/>
          </w:rPr>
        </w:r>
        <w:r w:rsidR="000B5B16">
          <w:rPr>
            <w:noProof/>
            <w:webHidden/>
          </w:rPr>
          <w:fldChar w:fldCharType="separate"/>
        </w:r>
        <w:r>
          <w:rPr>
            <w:noProof/>
            <w:webHidden/>
          </w:rPr>
          <w:t>5</w:t>
        </w:r>
        <w:r w:rsidR="000B5B16">
          <w:rPr>
            <w:noProof/>
            <w:webHidden/>
          </w:rPr>
          <w:fldChar w:fldCharType="end"/>
        </w:r>
      </w:hyperlink>
    </w:p>
    <w:p w14:paraId="6A274831" w14:textId="51C7F42B" w:rsidR="000B5B16" w:rsidRDefault="00C7789C">
      <w:pPr>
        <w:pStyle w:val="TOC3"/>
        <w:rPr>
          <w:rFonts w:asciiTheme="minorHAnsi" w:eastAsiaTheme="minorEastAsia" w:hAnsiTheme="minorHAnsi"/>
          <w:noProof/>
          <w:kern w:val="2"/>
          <w:sz w:val="22"/>
          <w14:ligatures w14:val="standardContextual"/>
        </w:rPr>
      </w:pPr>
      <w:hyperlink w:anchor="_Toc144634432" w:history="1">
        <w:r w:rsidR="000B5B16" w:rsidRPr="00176122">
          <w:rPr>
            <w:rStyle w:val="Hyperlink"/>
            <w:noProof/>
          </w:rPr>
          <w:t>Reason for the White Paper</w:t>
        </w:r>
        <w:r w:rsidR="000B5B16">
          <w:rPr>
            <w:noProof/>
            <w:webHidden/>
          </w:rPr>
          <w:tab/>
        </w:r>
        <w:r w:rsidR="000B5B16">
          <w:rPr>
            <w:noProof/>
            <w:webHidden/>
          </w:rPr>
          <w:fldChar w:fldCharType="begin"/>
        </w:r>
        <w:r w:rsidR="000B5B16">
          <w:rPr>
            <w:noProof/>
            <w:webHidden/>
          </w:rPr>
          <w:instrText xml:space="preserve"> PAGEREF _Toc144634432 \h </w:instrText>
        </w:r>
        <w:r w:rsidR="000B5B16">
          <w:rPr>
            <w:noProof/>
            <w:webHidden/>
          </w:rPr>
        </w:r>
        <w:r w:rsidR="000B5B16">
          <w:rPr>
            <w:noProof/>
            <w:webHidden/>
          </w:rPr>
          <w:fldChar w:fldCharType="separate"/>
        </w:r>
        <w:r>
          <w:rPr>
            <w:noProof/>
            <w:webHidden/>
          </w:rPr>
          <w:t>5</w:t>
        </w:r>
        <w:r w:rsidR="000B5B16">
          <w:rPr>
            <w:noProof/>
            <w:webHidden/>
          </w:rPr>
          <w:fldChar w:fldCharType="end"/>
        </w:r>
      </w:hyperlink>
    </w:p>
    <w:p w14:paraId="00097D76" w14:textId="31B578E6" w:rsidR="000B5B16" w:rsidRDefault="00C7789C">
      <w:pPr>
        <w:pStyle w:val="TOC3"/>
        <w:rPr>
          <w:rFonts w:asciiTheme="minorHAnsi" w:eastAsiaTheme="minorEastAsia" w:hAnsiTheme="minorHAnsi"/>
          <w:noProof/>
          <w:kern w:val="2"/>
          <w:sz w:val="22"/>
          <w14:ligatures w14:val="standardContextual"/>
        </w:rPr>
      </w:pPr>
      <w:hyperlink w:anchor="_Toc144634433" w:history="1">
        <w:r w:rsidR="000B5B16" w:rsidRPr="00176122">
          <w:rPr>
            <w:rStyle w:val="Hyperlink"/>
            <w:noProof/>
          </w:rPr>
          <w:t>Approach Taken in the White Paper</w:t>
        </w:r>
        <w:r w:rsidR="000B5B16">
          <w:rPr>
            <w:noProof/>
            <w:webHidden/>
          </w:rPr>
          <w:tab/>
        </w:r>
        <w:r w:rsidR="000B5B16">
          <w:rPr>
            <w:noProof/>
            <w:webHidden/>
          </w:rPr>
          <w:fldChar w:fldCharType="begin"/>
        </w:r>
        <w:r w:rsidR="000B5B16">
          <w:rPr>
            <w:noProof/>
            <w:webHidden/>
          </w:rPr>
          <w:instrText xml:space="preserve"> PAGEREF _Toc144634433 \h </w:instrText>
        </w:r>
        <w:r w:rsidR="000B5B16">
          <w:rPr>
            <w:noProof/>
            <w:webHidden/>
          </w:rPr>
        </w:r>
        <w:r w:rsidR="000B5B16">
          <w:rPr>
            <w:noProof/>
            <w:webHidden/>
          </w:rPr>
          <w:fldChar w:fldCharType="separate"/>
        </w:r>
        <w:r>
          <w:rPr>
            <w:noProof/>
            <w:webHidden/>
          </w:rPr>
          <w:t>5</w:t>
        </w:r>
        <w:r w:rsidR="000B5B16">
          <w:rPr>
            <w:noProof/>
            <w:webHidden/>
          </w:rPr>
          <w:fldChar w:fldCharType="end"/>
        </w:r>
      </w:hyperlink>
    </w:p>
    <w:p w14:paraId="071EBC70" w14:textId="0996A2AE" w:rsidR="000B5B16" w:rsidRDefault="00C7789C">
      <w:pPr>
        <w:pStyle w:val="TOC3"/>
        <w:rPr>
          <w:rFonts w:asciiTheme="minorHAnsi" w:eastAsiaTheme="minorEastAsia" w:hAnsiTheme="minorHAnsi"/>
          <w:noProof/>
          <w:kern w:val="2"/>
          <w:sz w:val="22"/>
          <w14:ligatures w14:val="standardContextual"/>
        </w:rPr>
      </w:pPr>
      <w:hyperlink w:anchor="_Toc144634434" w:history="1">
        <w:r w:rsidR="000B5B16" w:rsidRPr="00176122">
          <w:rPr>
            <w:rStyle w:val="Hyperlink"/>
            <w:noProof/>
          </w:rPr>
          <w:t>Note on Complexity</w:t>
        </w:r>
        <w:r w:rsidR="000B5B16">
          <w:rPr>
            <w:noProof/>
            <w:webHidden/>
          </w:rPr>
          <w:tab/>
        </w:r>
        <w:r w:rsidR="000B5B16">
          <w:rPr>
            <w:noProof/>
            <w:webHidden/>
          </w:rPr>
          <w:fldChar w:fldCharType="begin"/>
        </w:r>
        <w:r w:rsidR="000B5B16">
          <w:rPr>
            <w:noProof/>
            <w:webHidden/>
          </w:rPr>
          <w:instrText xml:space="preserve"> PAGEREF _Toc144634434 \h </w:instrText>
        </w:r>
        <w:r w:rsidR="000B5B16">
          <w:rPr>
            <w:noProof/>
            <w:webHidden/>
          </w:rPr>
        </w:r>
        <w:r w:rsidR="000B5B16">
          <w:rPr>
            <w:noProof/>
            <w:webHidden/>
          </w:rPr>
          <w:fldChar w:fldCharType="separate"/>
        </w:r>
        <w:r>
          <w:rPr>
            <w:noProof/>
            <w:webHidden/>
          </w:rPr>
          <w:t>5</w:t>
        </w:r>
        <w:r w:rsidR="000B5B16">
          <w:rPr>
            <w:noProof/>
            <w:webHidden/>
          </w:rPr>
          <w:fldChar w:fldCharType="end"/>
        </w:r>
      </w:hyperlink>
    </w:p>
    <w:p w14:paraId="412FBA61" w14:textId="52E823F9" w:rsidR="000B5B16" w:rsidRDefault="00C7789C">
      <w:pPr>
        <w:pStyle w:val="TOC1"/>
        <w:rPr>
          <w:rFonts w:asciiTheme="minorHAnsi" w:eastAsiaTheme="minorEastAsia" w:hAnsiTheme="minorHAnsi"/>
          <w:b w:val="0"/>
          <w:bCs w:val="0"/>
          <w:noProof/>
          <w:color w:val="auto"/>
          <w:kern w:val="2"/>
          <w:sz w:val="22"/>
          <w:szCs w:val="22"/>
          <w14:ligatures w14:val="standardContextual"/>
        </w:rPr>
      </w:pPr>
      <w:hyperlink w:anchor="_Toc144634435" w:history="1">
        <w:r w:rsidR="000B5B16" w:rsidRPr="00176122">
          <w:rPr>
            <w:rStyle w:val="Hyperlink"/>
            <w:noProof/>
          </w:rPr>
          <w:t>Executive Summary</w:t>
        </w:r>
        <w:r w:rsidR="000B5B16">
          <w:rPr>
            <w:noProof/>
            <w:webHidden/>
          </w:rPr>
          <w:tab/>
        </w:r>
        <w:r w:rsidR="000B5B16">
          <w:rPr>
            <w:noProof/>
            <w:webHidden/>
          </w:rPr>
          <w:fldChar w:fldCharType="begin"/>
        </w:r>
        <w:r w:rsidR="000B5B16">
          <w:rPr>
            <w:noProof/>
            <w:webHidden/>
          </w:rPr>
          <w:instrText xml:space="preserve"> PAGEREF _Toc144634435 \h </w:instrText>
        </w:r>
        <w:r w:rsidR="000B5B16">
          <w:rPr>
            <w:noProof/>
            <w:webHidden/>
          </w:rPr>
        </w:r>
        <w:r w:rsidR="000B5B16">
          <w:rPr>
            <w:noProof/>
            <w:webHidden/>
          </w:rPr>
          <w:fldChar w:fldCharType="separate"/>
        </w:r>
        <w:r>
          <w:rPr>
            <w:noProof/>
            <w:webHidden/>
          </w:rPr>
          <w:t>6</w:t>
        </w:r>
        <w:r w:rsidR="000B5B16">
          <w:rPr>
            <w:noProof/>
            <w:webHidden/>
          </w:rPr>
          <w:fldChar w:fldCharType="end"/>
        </w:r>
      </w:hyperlink>
    </w:p>
    <w:p w14:paraId="5F0DEA61" w14:textId="070C6240" w:rsidR="000B5B16" w:rsidRDefault="00C7789C">
      <w:pPr>
        <w:pStyle w:val="TOC1"/>
        <w:rPr>
          <w:rFonts w:asciiTheme="minorHAnsi" w:eastAsiaTheme="minorEastAsia" w:hAnsiTheme="minorHAnsi"/>
          <w:b w:val="0"/>
          <w:bCs w:val="0"/>
          <w:noProof/>
          <w:color w:val="auto"/>
          <w:kern w:val="2"/>
          <w:sz w:val="22"/>
          <w:szCs w:val="22"/>
          <w14:ligatures w14:val="standardContextual"/>
        </w:rPr>
      </w:pPr>
      <w:hyperlink w:anchor="_Toc144634436" w:history="1">
        <w:r w:rsidR="000B5B16" w:rsidRPr="00176122">
          <w:rPr>
            <w:rStyle w:val="Hyperlink"/>
            <w:noProof/>
          </w:rPr>
          <w:t>Section I. Important Context</w:t>
        </w:r>
        <w:r w:rsidR="000B5B16">
          <w:rPr>
            <w:noProof/>
            <w:webHidden/>
          </w:rPr>
          <w:tab/>
        </w:r>
        <w:r w:rsidR="000B5B16">
          <w:rPr>
            <w:noProof/>
            <w:webHidden/>
          </w:rPr>
          <w:fldChar w:fldCharType="begin"/>
        </w:r>
        <w:r w:rsidR="000B5B16">
          <w:rPr>
            <w:noProof/>
            <w:webHidden/>
          </w:rPr>
          <w:instrText xml:space="preserve"> PAGEREF _Toc144634436 \h </w:instrText>
        </w:r>
        <w:r w:rsidR="000B5B16">
          <w:rPr>
            <w:noProof/>
            <w:webHidden/>
          </w:rPr>
        </w:r>
        <w:r w:rsidR="000B5B16">
          <w:rPr>
            <w:noProof/>
            <w:webHidden/>
          </w:rPr>
          <w:fldChar w:fldCharType="separate"/>
        </w:r>
        <w:r>
          <w:rPr>
            <w:noProof/>
            <w:webHidden/>
          </w:rPr>
          <w:t>7</w:t>
        </w:r>
        <w:r w:rsidR="000B5B16">
          <w:rPr>
            <w:noProof/>
            <w:webHidden/>
          </w:rPr>
          <w:fldChar w:fldCharType="end"/>
        </w:r>
      </w:hyperlink>
    </w:p>
    <w:p w14:paraId="33E57C62" w14:textId="0A67DB3B"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37" w:history="1">
        <w:r w:rsidR="000B5B16" w:rsidRPr="00176122">
          <w:rPr>
            <w:rStyle w:val="Hyperlink"/>
            <w:noProof/>
          </w:rPr>
          <w:t>I. A. Terms Used in this White Paper</w:t>
        </w:r>
        <w:r w:rsidR="000B5B16">
          <w:rPr>
            <w:noProof/>
            <w:webHidden/>
          </w:rPr>
          <w:tab/>
        </w:r>
        <w:r w:rsidR="000B5B16">
          <w:rPr>
            <w:noProof/>
            <w:webHidden/>
          </w:rPr>
          <w:fldChar w:fldCharType="begin"/>
        </w:r>
        <w:r w:rsidR="000B5B16">
          <w:rPr>
            <w:noProof/>
            <w:webHidden/>
          </w:rPr>
          <w:instrText xml:space="preserve"> PAGEREF _Toc144634437 \h </w:instrText>
        </w:r>
        <w:r w:rsidR="000B5B16">
          <w:rPr>
            <w:noProof/>
            <w:webHidden/>
          </w:rPr>
        </w:r>
        <w:r w:rsidR="000B5B16">
          <w:rPr>
            <w:noProof/>
            <w:webHidden/>
          </w:rPr>
          <w:fldChar w:fldCharType="separate"/>
        </w:r>
        <w:r>
          <w:rPr>
            <w:noProof/>
            <w:webHidden/>
          </w:rPr>
          <w:t>7</w:t>
        </w:r>
        <w:r w:rsidR="000B5B16">
          <w:rPr>
            <w:noProof/>
            <w:webHidden/>
          </w:rPr>
          <w:fldChar w:fldCharType="end"/>
        </w:r>
      </w:hyperlink>
    </w:p>
    <w:p w14:paraId="05E179B9" w14:textId="6328CC43"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38" w:history="1">
        <w:r w:rsidR="000B5B16" w:rsidRPr="00176122">
          <w:rPr>
            <w:rStyle w:val="Hyperlink"/>
            <w:noProof/>
          </w:rPr>
          <w:t>I. B. Summary of Partnership Accounting Rules – Book &amp; Tax</w:t>
        </w:r>
        <w:r w:rsidR="000B5B16">
          <w:rPr>
            <w:noProof/>
            <w:webHidden/>
          </w:rPr>
          <w:tab/>
        </w:r>
        <w:r w:rsidR="000B5B16">
          <w:rPr>
            <w:noProof/>
            <w:webHidden/>
          </w:rPr>
          <w:fldChar w:fldCharType="begin"/>
        </w:r>
        <w:r w:rsidR="000B5B16">
          <w:rPr>
            <w:noProof/>
            <w:webHidden/>
          </w:rPr>
          <w:instrText xml:space="preserve"> PAGEREF _Toc144634438 \h </w:instrText>
        </w:r>
        <w:r w:rsidR="000B5B16">
          <w:rPr>
            <w:noProof/>
            <w:webHidden/>
          </w:rPr>
        </w:r>
        <w:r w:rsidR="000B5B16">
          <w:rPr>
            <w:noProof/>
            <w:webHidden/>
          </w:rPr>
          <w:fldChar w:fldCharType="separate"/>
        </w:r>
        <w:r>
          <w:rPr>
            <w:noProof/>
            <w:webHidden/>
          </w:rPr>
          <w:t>8</w:t>
        </w:r>
        <w:r w:rsidR="000B5B16">
          <w:rPr>
            <w:noProof/>
            <w:webHidden/>
          </w:rPr>
          <w:fldChar w:fldCharType="end"/>
        </w:r>
      </w:hyperlink>
    </w:p>
    <w:p w14:paraId="36075193" w14:textId="096FED64"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39" w:history="1">
        <w:r w:rsidR="000B5B16" w:rsidRPr="00176122">
          <w:rPr>
            <w:rStyle w:val="Hyperlink"/>
            <w:noProof/>
          </w:rPr>
          <w:t>I. C. Federal Reporting of Guaranteed Payment Information</w:t>
        </w:r>
        <w:r w:rsidR="000B5B16">
          <w:rPr>
            <w:noProof/>
            <w:webHidden/>
          </w:rPr>
          <w:tab/>
        </w:r>
        <w:r w:rsidR="000B5B16">
          <w:rPr>
            <w:noProof/>
            <w:webHidden/>
          </w:rPr>
          <w:fldChar w:fldCharType="begin"/>
        </w:r>
        <w:r w:rsidR="000B5B16">
          <w:rPr>
            <w:noProof/>
            <w:webHidden/>
          </w:rPr>
          <w:instrText xml:space="preserve"> PAGEREF _Toc144634439 \h </w:instrText>
        </w:r>
        <w:r w:rsidR="000B5B16">
          <w:rPr>
            <w:noProof/>
            <w:webHidden/>
          </w:rPr>
        </w:r>
        <w:r w:rsidR="000B5B16">
          <w:rPr>
            <w:noProof/>
            <w:webHidden/>
          </w:rPr>
          <w:fldChar w:fldCharType="separate"/>
        </w:r>
        <w:r>
          <w:rPr>
            <w:noProof/>
            <w:webHidden/>
          </w:rPr>
          <w:t>9</w:t>
        </w:r>
        <w:r w:rsidR="000B5B16">
          <w:rPr>
            <w:noProof/>
            <w:webHidden/>
          </w:rPr>
          <w:fldChar w:fldCharType="end"/>
        </w:r>
      </w:hyperlink>
    </w:p>
    <w:p w14:paraId="51D1440D" w14:textId="6DAF7CC6" w:rsidR="000B5B16" w:rsidRDefault="00C7789C">
      <w:pPr>
        <w:pStyle w:val="TOC3"/>
        <w:rPr>
          <w:rFonts w:asciiTheme="minorHAnsi" w:eastAsiaTheme="minorEastAsia" w:hAnsiTheme="minorHAnsi"/>
          <w:noProof/>
          <w:kern w:val="2"/>
          <w:sz w:val="22"/>
          <w14:ligatures w14:val="standardContextual"/>
        </w:rPr>
      </w:pPr>
      <w:hyperlink w:anchor="_Toc144634440" w:history="1">
        <w:r w:rsidR="000B5B16" w:rsidRPr="00176122">
          <w:rPr>
            <w:rStyle w:val="Hyperlink"/>
            <w:noProof/>
          </w:rPr>
          <w:t>Reporting of Guaranteed Payments Starts with the Partnership Return</w:t>
        </w:r>
        <w:r w:rsidR="000B5B16">
          <w:rPr>
            <w:noProof/>
            <w:webHidden/>
          </w:rPr>
          <w:tab/>
        </w:r>
        <w:r w:rsidR="000B5B16">
          <w:rPr>
            <w:noProof/>
            <w:webHidden/>
          </w:rPr>
          <w:fldChar w:fldCharType="begin"/>
        </w:r>
        <w:r w:rsidR="000B5B16">
          <w:rPr>
            <w:noProof/>
            <w:webHidden/>
          </w:rPr>
          <w:instrText xml:space="preserve"> PAGEREF _Toc144634440 \h </w:instrText>
        </w:r>
        <w:r w:rsidR="000B5B16">
          <w:rPr>
            <w:noProof/>
            <w:webHidden/>
          </w:rPr>
        </w:r>
        <w:r w:rsidR="000B5B16">
          <w:rPr>
            <w:noProof/>
            <w:webHidden/>
          </w:rPr>
          <w:fldChar w:fldCharType="separate"/>
        </w:r>
        <w:r>
          <w:rPr>
            <w:noProof/>
            <w:webHidden/>
          </w:rPr>
          <w:t>9</w:t>
        </w:r>
        <w:r w:rsidR="000B5B16">
          <w:rPr>
            <w:noProof/>
            <w:webHidden/>
          </w:rPr>
          <w:fldChar w:fldCharType="end"/>
        </w:r>
      </w:hyperlink>
    </w:p>
    <w:p w14:paraId="642C83C8" w14:textId="7DBFC0EE" w:rsidR="000B5B16" w:rsidRDefault="00C7789C">
      <w:pPr>
        <w:pStyle w:val="TOC3"/>
        <w:rPr>
          <w:rFonts w:asciiTheme="minorHAnsi" w:eastAsiaTheme="minorEastAsia" w:hAnsiTheme="minorHAnsi"/>
          <w:noProof/>
          <w:kern w:val="2"/>
          <w:sz w:val="22"/>
          <w14:ligatures w14:val="standardContextual"/>
        </w:rPr>
      </w:pPr>
      <w:hyperlink w:anchor="_Toc144634441" w:history="1">
        <w:r w:rsidR="000B5B16" w:rsidRPr="00176122">
          <w:rPr>
            <w:rStyle w:val="Hyperlink"/>
            <w:noProof/>
          </w:rPr>
          <w:t>Items from the Partnership Return then Flow Through on Schedule K-1s to Partners</w:t>
        </w:r>
        <w:r w:rsidR="000B5B16">
          <w:rPr>
            <w:noProof/>
            <w:webHidden/>
          </w:rPr>
          <w:tab/>
        </w:r>
        <w:r w:rsidR="000B5B16">
          <w:rPr>
            <w:noProof/>
            <w:webHidden/>
          </w:rPr>
          <w:fldChar w:fldCharType="begin"/>
        </w:r>
        <w:r w:rsidR="000B5B16">
          <w:rPr>
            <w:noProof/>
            <w:webHidden/>
          </w:rPr>
          <w:instrText xml:space="preserve"> PAGEREF _Toc144634441 \h </w:instrText>
        </w:r>
        <w:r w:rsidR="000B5B16">
          <w:rPr>
            <w:noProof/>
            <w:webHidden/>
          </w:rPr>
        </w:r>
        <w:r w:rsidR="000B5B16">
          <w:rPr>
            <w:noProof/>
            <w:webHidden/>
          </w:rPr>
          <w:fldChar w:fldCharType="separate"/>
        </w:r>
        <w:r>
          <w:rPr>
            <w:noProof/>
            <w:webHidden/>
          </w:rPr>
          <w:t>10</w:t>
        </w:r>
        <w:r w:rsidR="000B5B16">
          <w:rPr>
            <w:noProof/>
            <w:webHidden/>
          </w:rPr>
          <w:fldChar w:fldCharType="end"/>
        </w:r>
      </w:hyperlink>
    </w:p>
    <w:p w14:paraId="1AC8806D" w14:textId="3F6C9231" w:rsidR="000B5B16" w:rsidRDefault="00C7789C">
      <w:pPr>
        <w:pStyle w:val="TOC3"/>
        <w:rPr>
          <w:rFonts w:asciiTheme="minorHAnsi" w:eastAsiaTheme="minorEastAsia" w:hAnsiTheme="minorHAnsi"/>
          <w:noProof/>
          <w:kern w:val="2"/>
          <w:sz w:val="22"/>
          <w14:ligatures w14:val="standardContextual"/>
        </w:rPr>
      </w:pPr>
      <w:hyperlink w:anchor="_Toc144634442" w:history="1">
        <w:r w:rsidR="000B5B16" w:rsidRPr="00176122">
          <w:rPr>
            <w:rStyle w:val="Hyperlink"/>
            <w:noProof/>
          </w:rPr>
          <w:t>The Partners Then Report Information from their Schedule K-1</w:t>
        </w:r>
        <w:r w:rsidR="000B5B16">
          <w:rPr>
            <w:noProof/>
            <w:webHidden/>
          </w:rPr>
          <w:tab/>
        </w:r>
        <w:r w:rsidR="000B5B16">
          <w:rPr>
            <w:noProof/>
            <w:webHidden/>
          </w:rPr>
          <w:fldChar w:fldCharType="begin"/>
        </w:r>
        <w:r w:rsidR="000B5B16">
          <w:rPr>
            <w:noProof/>
            <w:webHidden/>
          </w:rPr>
          <w:instrText xml:space="preserve"> PAGEREF _Toc144634442 \h </w:instrText>
        </w:r>
        <w:r w:rsidR="000B5B16">
          <w:rPr>
            <w:noProof/>
            <w:webHidden/>
          </w:rPr>
        </w:r>
        <w:r w:rsidR="000B5B16">
          <w:rPr>
            <w:noProof/>
            <w:webHidden/>
          </w:rPr>
          <w:fldChar w:fldCharType="separate"/>
        </w:r>
        <w:r>
          <w:rPr>
            <w:noProof/>
            <w:webHidden/>
          </w:rPr>
          <w:t>11</w:t>
        </w:r>
        <w:r w:rsidR="000B5B16">
          <w:rPr>
            <w:noProof/>
            <w:webHidden/>
          </w:rPr>
          <w:fldChar w:fldCharType="end"/>
        </w:r>
      </w:hyperlink>
    </w:p>
    <w:p w14:paraId="18F3973D" w14:textId="4F9C58D9" w:rsidR="000B5B16" w:rsidRDefault="00C7789C">
      <w:pPr>
        <w:pStyle w:val="TOC3"/>
        <w:rPr>
          <w:rFonts w:asciiTheme="minorHAnsi" w:eastAsiaTheme="minorEastAsia" w:hAnsiTheme="minorHAnsi"/>
          <w:noProof/>
          <w:kern w:val="2"/>
          <w:sz w:val="22"/>
          <w14:ligatures w14:val="standardContextual"/>
        </w:rPr>
      </w:pPr>
      <w:hyperlink w:anchor="_Toc144634443" w:history="1">
        <w:r w:rsidR="000B5B16" w:rsidRPr="00176122">
          <w:rPr>
            <w:rStyle w:val="Hyperlink"/>
            <w:noProof/>
          </w:rPr>
          <w:t>An Individual Partner may Exclude Guaranteed Payments For Services Performed Overseas</w:t>
        </w:r>
        <w:r w:rsidR="000B5B16">
          <w:rPr>
            <w:noProof/>
            <w:webHidden/>
          </w:rPr>
          <w:tab/>
        </w:r>
        <w:r w:rsidR="000B5B16">
          <w:rPr>
            <w:noProof/>
            <w:webHidden/>
          </w:rPr>
          <w:fldChar w:fldCharType="begin"/>
        </w:r>
        <w:r w:rsidR="000B5B16">
          <w:rPr>
            <w:noProof/>
            <w:webHidden/>
          </w:rPr>
          <w:instrText xml:space="preserve"> PAGEREF _Toc144634443 \h </w:instrText>
        </w:r>
        <w:r w:rsidR="000B5B16">
          <w:rPr>
            <w:noProof/>
            <w:webHidden/>
          </w:rPr>
        </w:r>
        <w:r w:rsidR="000B5B16">
          <w:rPr>
            <w:noProof/>
            <w:webHidden/>
          </w:rPr>
          <w:fldChar w:fldCharType="separate"/>
        </w:r>
        <w:r>
          <w:rPr>
            <w:noProof/>
            <w:webHidden/>
          </w:rPr>
          <w:t>12</w:t>
        </w:r>
        <w:r w:rsidR="000B5B16">
          <w:rPr>
            <w:noProof/>
            <w:webHidden/>
          </w:rPr>
          <w:fldChar w:fldCharType="end"/>
        </w:r>
      </w:hyperlink>
    </w:p>
    <w:p w14:paraId="53FDB721" w14:textId="4F8ADC6B" w:rsidR="000B5B16" w:rsidRDefault="00C7789C">
      <w:pPr>
        <w:pStyle w:val="TOC3"/>
        <w:rPr>
          <w:rFonts w:asciiTheme="minorHAnsi" w:eastAsiaTheme="minorEastAsia" w:hAnsiTheme="minorHAnsi"/>
          <w:noProof/>
          <w:kern w:val="2"/>
          <w:sz w:val="22"/>
          <w14:ligatures w14:val="standardContextual"/>
        </w:rPr>
      </w:pPr>
      <w:hyperlink w:anchor="_Toc144634444" w:history="1">
        <w:r w:rsidR="000B5B16" w:rsidRPr="00176122">
          <w:rPr>
            <w:rStyle w:val="Hyperlink"/>
            <w:noProof/>
          </w:rPr>
          <w:t>Amounts from Schedule 1 are then Reported on the Form 1040</w:t>
        </w:r>
        <w:r w:rsidR="000B5B16">
          <w:rPr>
            <w:noProof/>
            <w:webHidden/>
          </w:rPr>
          <w:tab/>
        </w:r>
        <w:r w:rsidR="000B5B16">
          <w:rPr>
            <w:noProof/>
            <w:webHidden/>
          </w:rPr>
          <w:fldChar w:fldCharType="begin"/>
        </w:r>
        <w:r w:rsidR="000B5B16">
          <w:rPr>
            <w:noProof/>
            <w:webHidden/>
          </w:rPr>
          <w:instrText xml:space="preserve"> PAGEREF _Toc144634444 \h </w:instrText>
        </w:r>
        <w:r w:rsidR="000B5B16">
          <w:rPr>
            <w:noProof/>
            <w:webHidden/>
          </w:rPr>
        </w:r>
        <w:r w:rsidR="000B5B16">
          <w:rPr>
            <w:noProof/>
            <w:webHidden/>
          </w:rPr>
          <w:fldChar w:fldCharType="separate"/>
        </w:r>
        <w:r>
          <w:rPr>
            <w:noProof/>
            <w:webHidden/>
          </w:rPr>
          <w:t>13</w:t>
        </w:r>
        <w:r w:rsidR="000B5B16">
          <w:rPr>
            <w:noProof/>
            <w:webHidden/>
          </w:rPr>
          <w:fldChar w:fldCharType="end"/>
        </w:r>
      </w:hyperlink>
    </w:p>
    <w:p w14:paraId="47676121" w14:textId="5E28A54F"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45" w:history="1">
        <w:r w:rsidR="000B5B16" w:rsidRPr="00176122">
          <w:rPr>
            <w:rStyle w:val="Hyperlink"/>
            <w:noProof/>
          </w:rPr>
          <w:t>I. D.  General State Sourcing Methods</w:t>
        </w:r>
        <w:r w:rsidR="000B5B16">
          <w:rPr>
            <w:noProof/>
            <w:webHidden/>
          </w:rPr>
          <w:tab/>
        </w:r>
        <w:r w:rsidR="000B5B16">
          <w:rPr>
            <w:noProof/>
            <w:webHidden/>
          </w:rPr>
          <w:fldChar w:fldCharType="begin"/>
        </w:r>
        <w:r w:rsidR="000B5B16">
          <w:rPr>
            <w:noProof/>
            <w:webHidden/>
          </w:rPr>
          <w:instrText xml:space="preserve"> PAGEREF _Toc144634445 \h </w:instrText>
        </w:r>
        <w:r w:rsidR="000B5B16">
          <w:rPr>
            <w:noProof/>
            <w:webHidden/>
          </w:rPr>
        </w:r>
        <w:r w:rsidR="000B5B16">
          <w:rPr>
            <w:noProof/>
            <w:webHidden/>
          </w:rPr>
          <w:fldChar w:fldCharType="separate"/>
        </w:r>
        <w:r>
          <w:rPr>
            <w:noProof/>
            <w:webHidden/>
          </w:rPr>
          <w:t>14</w:t>
        </w:r>
        <w:r w:rsidR="000B5B16">
          <w:rPr>
            <w:noProof/>
            <w:webHidden/>
          </w:rPr>
          <w:fldChar w:fldCharType="end"/>
        </w:r>
      </w:hyperlink>
    </w:p>
    <w:p w14:paraId="6405F74B" w14:textId="2A0D849F" w:rsidR="000B5B16" w:rsidRDefault="00C7789C">
      <w:pPr>
        <w:pStyle w:val="TOC3"/>
        <w:rPr>
          <w:rFonts w:asciiTheme="minorHAnsi" w:eastAsiaTheme="minorEastAsia" w:hAnsiTheme="minorHAnsi"/>
          <w:noProof/>
          <w:kern w:val="2"/>
          <w:sz w:val="22"/>
          <w14:ligatures w14:val="standardContextual"/>
        </w:rPr>
      </w:pPr>
      <w:hyperlink w:anchor="_Toc144634446" w:history="1">
        <w:r w:rsidR="000B5B16" w:rsidRPr="00176122">
          <w:rPr>
            <w:rStyle w:val="Hyperlink"/>
            <w:noProof/>
          </w:rPr>
          <w:t>Two General Sourcing Methods</w:t>
        </w:r>
        <w:r w:rsidR="000B5B16">
          <w:rPr>
            <w:noProof/>
            <w:webHidden/>
          </w:rPr>
          <w:tab/>
        </w:r>
        <w:r w:rsidR="000B5B16">
          <w:rPr>
            <w:noProof/>
            <w:webHidden/>
          </w:rPr>
          <w:fldChar w:fldCharType="begin"/>
        </w:r>
        <w:r w:rsidR="000B5B16">
          <w:rPr>
            <w:noProof/>
            <w:webHidden/>
          </w:rPr>
          <w:instrText xml:space="preserve"> PAGEREF _Toc144634446 \h </w:instrText>
        </w:r>
        <w:r w:rsidR="000B5B16">
          <w:rPr>
            <w:noProof/>
            <w:webHidden/>
          </w:rPr>
        </w:r>
        <w:r w:rsidR="000B5B16">
          <w:rPr>
            <w:noProof/>
            <w:webHidden/>
          </w:rPr>
          <w:fldChar w:fldCharType="separate"/>
        </w:r>
        <w:r>
          <w:rPr>
            <w:noProof/>
            <w:webHidden/>
          </w:rPr>
          <w:t>14</w:t>
        </w:r>
        <w:r w:rsidR="000B5B16">
          <w:rPr>
            <w:noProof/>
            <w:webHidden/>
          </w:rPr>
          <w:fldChar w:fldCharType="end"/>
        </w:r>
      </w:hyperlink>
    </w:p>
    <w:p w14:paraId="53ECDCF3" w14:textId="63A2C936" w:rsidR="000B5B16" w:rsidRDefault="00C7789C">
      <w:pPr>
        <w:pStyle w:val="TOC3"/>
        <w:rPr>
          <w:rFonts w:asciiTheme="minorHAnsi" w:eastAsiaTheme="minorEastAsia" w:hAnsiTheme="minorHAnsi"/>
          <w:noProof/>
          <w:kern w:val="2"/>
          <w:sz w:val="22"/>
          <w14:ligatures w14:val="standardContextual"/>
        </w:rPr>
      </w:pPr>
      <w:hyperlink w:anchor="_Toc144634447" w:history="1">
        <w:r w:rsidR="000B5B16" w:rsidRPr="00176122">
          <w:rPr>
            <w:rStyle w:val="Hyperlink"/>
            <w:noProof/>
          </w:rPr>
          <w:t>General Application to Resident and Nonresident Individuals</w:t>
        </w:r>
        <w:r w:rsidR="000B5B16">
          <w:rPr>
            <w:noProof/>
            <w:webHidden/>
          </w:rPr>
          <w:tab/>
        </w:r>
        <w:r w:rsidR="000B5B16">
          <w:rPr>
            <w:noProof/>
            <w:webHidden/>
          </w:rPr>
          <w:fldChar w:fldCharType="begin"/>
        </w:r>
        <w:r w:rsidR="000B5B16">
          <w:rPr>
            <w:noProof/>
            <w:webHidden/>
          </w:rPr>
          <w:instrText xml:space="preserve"> PAGEREF _Toc144634447 \h </w:instrText>
        </w:r>
        <w:r w:rsidR="000B5B16">
          <w:rPr>
            <w:noProof/>
            <w:webHidden/>
          </w:rPr>
        </w:r>
        <w:r w:rsidR="000B5B16">
          <w:rPr>
            <w:noProof/>
            <w:webHidden/>
          </w:rPr>
          <w:fldChar w:fldCharType="separate"/>
        </w:r>
        <w:r>
          <w:rPr>
            <w:noProof/>
            <w:webHidden/>
          </w:rPr>
          <w:t>14</w:t>
        </w:r>
        <w:r w:rsidR="000B5B16">
          <w:rPr>
            <w:noProof/>
            <w:webHidden/>
          </w:rPr>
          <w:fldChar w:fldCharType="end"/>
        </w:r>
      </w:hyperlink>
    </w:p>
    <w:p w14:paraId="40E534E9" w14:textId="7063B944" w:rsidR="000B5B16" w:rsidRDefault="00C7789C">
      <w:pPr>
        <w:pStyle w:val="TOC3"/>
        <w:rPr>
          <w:rFonts w:asciiTheme="minorHAnsi" w:eastAsiaTheme="minorEastAsia" w:hAnsiTheme="minorHAnsi"/>
          <w:noProof/>
          <w:kern w:val="2"/>
          <w:sz w:val="22"/>
          <w14:ligatures w14:val="standardContextual"/>
        </w:rPr>
      </w:pPr>
      <w:hyperlink w:anchor="_Toc144634448" w:history="1">
        <w:r w:rsidR="000B5B16" w:rsidRPr="00176122">
          <w:rPr>
            <w:rStyle w:val="Hyperlink"/>
            <w:noProof/>
          </w:rPr>
          <w:t>General Application to Partnership Related Income</w:t>
        </w:r>
        <w:r w:rsidR="000B5B16">
          <w:rPr>
            <w:noProof/>
            <w:webHidden/>
          </w:rPr>
          <w:tab/>
        </w:r>
        <w:r w:rsidR="000B5B16">
          <w:rPr>
            <w:noProof/>
            <w:webHidden/>
          </w:rPr>
          <w:fldChar w:fldCharType="begin"/>
        </w:r>
        <w:r w:rsidR="000B5B16">
          <w:rPr>
            <w:noProof/>
            <w:webHidden/>
          </w:rPr>
          <w:instrText xml:space="preserve"> PAGEREF _Toc144634448 \h </w:instrText>
        </w:r>
        <w:r w:rsidR="000B5B16">
          <w:rPr>
            <w:noProof/>
            <w:webHidden/>
          </w:rPr>
        </w:r>
        <w:r w:rsidR="000B5B16">
          <w:rPr>
            <w:noProof/>
            <w:webHidden/>
          </w:rPr>
          <w:fldChar w:fldCharType="separate"/>
        </w:r>
        <w:r>
          <w:rPr>
            <w:noProof/>
            <w:webHidden/>
          </w:rPr>
          <w:t>14</w:t>
        </w:r>
        <w:r w:rsidR="000B5B16">
          <w:rPr>
            <w:noProof/>
            <w:webHidden/>
          </w:rPr>
          <w:fldChar w:fldCharType="end"/>
        </w:r>
      </w:hyperlink>
    </w:p>
    <w:p w14:paraId="342BB84B" w14:textId="44AF344B"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49" w:history="1">
        <w:r w:rsidR="000B5B16" w:rsidRPr="00176122">
          <w:rPr>
            <w:rStyle w:val="Hyperlink"/>
            <w:noProof/>
          </w:rPr>
          <w:t>I. E. Aggregate and Entity Theories as Applied to Partnership Payments</w:t>
        </w:r>
        <w:r w:rsidR="000B5B16">
          <w:rPr>
            <w:noProof/>
            <w:webHidden/>
          </w:rPr>
          <w:tab/>
        </w:r>
        <w:r w:rsidR="000B5B16">
          <w:rPr>
            <w:noProof/>
            <w:webHidden/>
          </w:rPr>
          <w:fldChar w:fldCharType="begin"/>
        </w:r>
        <w:r w:rsidR="000B5B16">
          <w:rPr>
            <w:noProof/>
            <w:webHidden/>
          </w:rPr>
          <w:instrText xml:space="preserve"> PAGEREF _Toc144634449 \h </w:instrText>
        </w:r>
        <w:r w:rsidR="000B5B16">
          <w:rPr>
            <w:noProof/>
            <w:webHidden/>
          </w:rPr>
        </w:r>
        <w:r w:rsidR="000B5B16">
          <w:rPr>
            <w:noProof/>
            <w:webHidden/>
          </w:rPr>
          <w:fldChar w:fldCharType="separate"/>
        </w:r>
        <w:r>
          <w:rPr>
            <w:noProof/>
            <w:webHidden/>
          </w:rPr>
          <w:t>15</w:t>
        </w:r>
        <w:r w:rsidR="000B5B16">
          <w:rPr>
            <w:noProof/>
            <w:webHidden/>
          </w:rPr>
          <w:fldChar w:fldCharType="end"/>
        </w:r>
      </w:hyperlink>
    </w:p>
    <w:p w14:paraId="0C49F36F" w14:textId="17D83C0E" w:rsidR="000B5B16" w:rsidRDefault="00C7789C">
      <w:pPr>
        <w:pStyle w:val="TOC3"/>
        <w:rPr>
          <w:rFonts w:asciiTheme="minorHAnsi" w:eastAsiaTheme="minorEastAsia" w:hAnsiTheme="minorHAnsi"/>
          <w:noProof/>
          <w:kern w:val="2"/>
          <w:sz w:val="22"/>
          <w14:ligatures w14:val="standardContextual"/>
        </w:rPr>
      </w:pPr>
      <w:hyperlink w:anchor="_Toc144634450" w:history="1">
        <w:r w:rsidR="000B5B16" w:rsidRPr="00176122">
          <w:rPr>
            <w:rStyle w:val="Hyperlink"/>
            <w:noProof/>
          </w:rPr>
          <w:t>Partnership Payments</w:t>
        </w:r>
        <w:r w:rsidR="000B5B16">
          <w:rPr>
            <w:noProof/>
            <w:webHidden/>
          </w:rPr>
          <w:tab/>
        </w:r>
        <w:r w:rsidR="000B5B16">
          <w:rPr>
            <w:noProof/>
            <w:webHidden/>
          </w:rPr>
          <w:fldChar w:fldCharType="begin"/>
        </w:r>
        <w:r w:rsidR="000B5B16">
          <w:rPr>
            <w:noProof/>
            <w:webHidden/>
          </w:rPr>
          <w:instrText xml:space="preserve"> PAGEREF _Toc144634450 \h </w:instrText>
        </w:r>
        <w:r w:rsidR="000B5B16">
          <w:rPr>
            <w:noProof/>
            <w:webHidden/>
          </w:rPr>
        </w:r>
        <w:r w:rsidR="000B5B16">
          <w:rPr>
            <w:noProof/>
            <w:webHidden/>
          </w:rPr>
          <w:fldChar w:fldCharType="separate"/>
        </w:r>
        <w:r>
          <w:rPr>
            <w:noProof/>
            <w:webHidden/>
          </w:rPr>
          <w:t>15</w:t>
        </w:r>
        <w:r w:rsidR="000B5B16">
          <w:rPr>
            <w:noProof/>
            <w:webHidden/>
          </w:rPr>
          <w:fldChar w:fldCharType="end"/>
        </w:r>
      </w:hyperlink>
    </w:p>
    <w:p w14:paraId="0C0CA92B" w14:textId="474D0AE7" w:rsidR="000B5B16" w:rsidRDefault="00C7789C">
      <w:pPr>
        <w:pStyle w:val="TOC3"/>
        <w:rPr>
          <w:rFonts w:asciiTheme="minorHAnsi" w:eastAsiaTheme="minorEastAsia" w:hAnsiTheme="minorHAnsi"/>
          <w:noProof/>
          <w:kern w:val="2"/>
          <w:sz w:val="22"/>
          <w14:ligatures w14:val="standardContextual"/>
        </w:rPr>
      </w:pPr>
      <w:hyperlink w:anchor="_Toc144634451" w:history="1">
        <w:r w:rsidR="000B5B16" w:rsidRPr="00176122">
          <w:rPr>
            <w:rStyle w:val="Hyperlink"/>
            <w:noProof/>
          </w:rPr>
          <w:t>Aggregate and Entity Theories</w:t>
        </w:r>
        <w:r w:rsidR="000B5B16">
          <w:rPr>
            <w:noProof/>
            <w:webHidden/>
          </w:rPr>
          <w:tab/>
        </w:r>
        <w:r w:rsidR="000B5B16">
          <w:rPr>
            <w:noProof/>
            <w:webHidden/>
          </w:rPr>
          <w:fldChar w:fldCharType="begin"/>
        </w:r>
        <w:r w:rsidR="000B5B16">
          <w:rPr>
            <w:noProof/>
            <w:webHidden/>
          </w:rPr>
          <w:instrText xml:space="preserve"> PAGEREF _Toc144634451 \h </w:instrText>
        </w:r>
        <w:r w:rsidR="000B5B16">
          <w:rPr>
            <w:noProof/>
            <w:webHidden/>
          </w:rPr>
        </w:r>
        <w:r w:rsidR="000B5B16">
          <w:rPr>
            <w:noProof/>
            <w:webHidden/>
          </w:rPr>
          <w:fldChar w:fldCharType="separate"/>
        </w:r>
        <w:r>
          <w:rPr>
            <w:noProof/>
            <w:webHidden/>
          </w:rPr>
          <w:t>15</w:t>
        </w:r>
        <w:r w:rsidR="000B5B16">
          <w:rPr>
            <w:noProof/>
            <w:webHidden/>
          </w:rPr>
          <w:fldChar w:fldCharType="end"/>
        </w:r>
      </w:hyperlink>
    </w:p>
    <w:p w14:paraId="5CC280CE" w14:textId="56647681" w:rsidR="000B5B16" w:rsidRDefault="00C7789C">
      <w:pPr>
        <w:pStyle w:val="TOC3"/>
        <w:rPr>
          <w:rFonts w:asciiTheme="minorHAnsi" w:eastAsiaTheme="minorEastAsia" w:hAnsiTheme="minorHAnsi"/>
          <w:noProof/>
          <w:kern w:val="2"/>
          <w:sz w:val="22"/>
          <w14:ligatures w14:val="standardContextual"/>
        </w:rPr>
      </w:pPr>
      <w:hyperlink w:anchor="_Toc144634452" w:history="1">
        <w:r w:rsidR="000B5B16" w:rsidRPr="00176122">
          <w:rPr>
            <w:rStyle w:val="Hyperlink"/>
            <w:noProof/>
          </w:rPr>
          <w:t>Distributive Share/Distributions – Aggregate Theory</w:t>
        </w:r>
        <w:r w:rsidR="000B5B16">
          <w:rPr>
            <w:noProof/>
            <w:webHidden/>
          </w:rPr>
          <w:tab/>
        </w:r>
        <w:r w:rsidR="000B5B16">
          <w:rPr>
            <w:noProof/>
            <w:webHidden/>
          </w:rPr>
          <w:fldChar w:fldCharType="begin"/>
        </w:r>
        <w:r w:rsidR="000B5B16">
          <w:rPr>
            <w:noProof/>
            <w:webHidden/>
          </w:rPr>
          <w:instrText xml:space="preserve"> PAGEREF _Toc144634452 \h </w:instrText>
        </w:r>
        <w:r w:rsidR="000B5B16">
          <w:rPr>
            <w:noProof/>
            <w:webHidden/>
          </w:rPr>
        </w:r>
        <w:r w:rsidR="000B5B16">
          <w:rPr>
            <w:noProof/>
            <w:webHidden/>
          </w:rPr>
          <w:fldChar w:fldCharType="separate"/>
        </w:r>
        <w:r>
          <w:rPr>
            <w:noProof/>
            <w:webHidden/>
          </w:rPr>
          <w:t>16</w:t>
        </w:r>
        <w:r w:rsidR="000B5B16">
          <w:rPr>
            <w:noProof/>
            <w:webHidden/>
          </w:rPr>
          <w:fldChar w:fldCharType="end"/>
        </w:r>
      </w:hyperlink>
    </w:p>
    <w:p w14:paraId="2CD442CB" w14:textId="48D30E3B" w:rsidR="000B5B16" w:rsidRDefault="00C7789C">
      <w:pPr>
        <w:pStyle w:val="TOC3"/>
        <w:rPr>
          <w:rFonts w:asciiTheme="minorHAnsi" w:eastAsiaTheme="minorEastAsia" w:hAnsiTheme="minorHAnsi"/>
          <w:noProof/>
          <w:kern w:val="2"/>
          <w:sz w:val="22"/>
          <w14:ligatures w14:val="standardContextual"/>
        </w:rPr>
      </w:pPr>
      <w:hyperlink w:anchor="_Toc144634453" w:history="1">
        <w:r w:rsidR="000B5B16" w:rsidRPr="00176122">
          <w:rPr>
            <w:rStyle w:val="Hyperlink"/>
            <w:noProof/>
          </w:rPr>
          <w:t>Partner-Partnership Transactions – Entity Theory</w:t>
        </w:r>
        <w:r w:rsidR="000B5B16">
          <w:rPr>
            <w:noProof/>
            <w:webHidden/>
          </w:rPr>
          <w:tab/>
        </w:r>
        <w:r w:rsidR="000B5B16">
          <w:rPr>
            <w:noProof/>
            <w:webHidden/>
          </w:rPr>
          <w:fldChar w:fldCharType="begin"/>
        </w:r>
        <w:r w:rsidR="000B5B16">
          <w:rPr>
            <w:noProof/>
            <w:webHidden/>
          </w:rPr>
          <w:instrText xml:space="preserve"> PAGEREF _Toc144634453 \h </w:instrText>
        </w:r>
        <w:r w:rsidR="000B5B16">
          <w:rPr>
            <w:noProof/>
            <w:webHidden/>
          </w:rPr>
        </w:r>
        <w:r w:rsidR="000B5B16">
          <w:rPr>
            <w:noProof/>
            <w:webHidden/>
          </w:rPr>
          <w:fldChar w:fldCharType="separate"/>
        </w:r>
        <w:r>
          <w:rPr>
            <w:noProof/>
            <w:webHidden/>
          </w:rPr>
          <w:t>17</w:t>
        </w:r>
        <w:r w:rsidR="000B5B16">
          <w:rPr>
            <w:noProof/>
            <w:webHidden/>
          </w:rPr>
          <w:fldChar w:fldCharType="end"/>
        </w:r>
      </w:hyperlink>
    </w:p>
    <w:p w14:paraId="6613250F" w14:textId="1D61420D" w:rsidR="000B5B16" w:rsidRDefault="00C7789C">
      <w:pPr>
        <w:pStyle w:val="TOC3"/>
        <w:rPr>
          <w:rFonts w:asciiTheme="minorHAnsi" w:eastAsiaTheme="minorEastAsia" w:hAnsiTheme="minorHAnsi"/>
          <w:noProof/>
          <w:kern w:val="2"/>
          <w:sz w:val="22"/>
          <w14:ligatures w14:val="standardContextual"/>
        </w:rPr>
      </w:pPr>
      <w:hyperlink w:anchor="_Toc144634454" w:history="1">
        <w:r w:rsidR="000B5B16" w:rsidRPr="00176122">
          <w:rPr>
            <w:rStyle w:val="Hyperlink"/>
            <w:noProof/>
          </w:rPr>
          <w:t>Guaranteed Payments – Aggregate or Entity Theory?</w:t>
        </w:r>
        <w:r w:rsidR="000B5B16">
          <w:rPr>
            <w:noProof/>
            <w:webHidden/>
          </w:rPr>
          <w:tab/>
        </w:r>
        <w:r w:rsidR="000B5B16">
          <w:rPr>
            <w:noProof/>
            <w:webHidden/>
          </w:rPr>
          <w:fldChar w:fldCharType="begin"/>
        </w:r>
        <w:r w:rsidR="000B5B16">
          <w:rPr>
            <w:noProof/>
            <w:webHidden/>
          </w:rPr>
          <w:instrText xml:space="preserve"> PAGEREF _Toc144634454 \h </w:instrText>
        </w:r>
        <w:r w:rsidR="000B5B16">
          <w:rPr>
            <w:noProof/>
            <w:webHidden/>
          </w:rPr>
        </w:r>
        <w:r w:rsidR="000B5B16">
          <w:rPr>
            <w:noProof/>
            <w:webHidden/>
          </w:rPr>
          <w:fldChar w:fldCharType="separate"/>
        </w:r>
        <w:r>
          <w:rPr>
            <w:noProof/>
            <w:webHidden/>
          </w:rPr>
          <w:t>17</w:t>
        </w:r>
        <w:r w:rsidR="000B5B16">
          <w:rPr>
            <w:noProof/>
            <w:webHidden/>
          </w:rPr>
          <w:fldChar w:fldCharType="end"/>
        </w:r>
      </w:hyperlink>
    </w:p>
    <w:p w14:paraId="07819CF3" w14:textId="392D15AF" w:rsidR="000B5B16" w:rsidRDefault="00C7789C">
      <w:pPr>
        <w:pStyle w:val="TOC3"/>
        <w:rPr>
          <w:rFonts w:asciiTheme="minorHAnsi" w:eastAsiaTheme="minorEastAsia" w:hAnsiTheme="minorHAnsi"/>
          <w:noProof/>
          <w:kern w:val="2"/>
          <w:sz w:val="22"/>
          <w14:ligatures w14:val="standardContextual"/>
        </w:rPr>
      </w:pPr>
      <w:hyperlink w:anchor="_Toc144634455" w:history="1">
        <w:r w:rsidR="000B5B16" w:rsidRPr="00176122">
          <w:rPr>
            <w:rStyle w:val="Hyperlink"/>
            <w:noProof/>
          </w:rPr>
          <w:t>Congress’s Decision to Apply Entity Approach to Guaranteed Payments</w:t>
        </w:r>
        <w:r w:rsidR="000B5B16">
          <w:rPr>
            <w:noProof/>
            <w:webHidden/>
          </w:rPr>
          <w:tab/>
        </w:r>
        <w:r w:rsidR="000B5B16">
          <w:rPr>
            <w:noProof/>
            <w:webHidden/>
          </w:rPr>
          <w:fldChar w:fldCharType="begin"/>
        </w:r>
        <w:r w:rsidR="000B5B16">
          <w:rPr>
            <w:noProof/>
            <w:webHidden/>
          </w:rPr>
          <w:instrText xml:space="preserve"> PAGEREF _Toc144634455 \h </w:instrText>
        </w:r>
        <w:r w:rsidR="000B5B16">
          <w:rPr>
            <w:noProof/>
            <w:webHidden/>
          </w:rPr>
        </w:r>
        <w:r w:rsidR="000B5B16">
          <w:rPr>
            <w:noProof/>
            <w:webHidden/>
          </w:rPr>
          <w:fldChar w:fldCharType="separate"/>
        </w:r>
        <w:r>
          <w:rPr>
            <w:noProof/>
            <w:webHidden/>
          </w:rPr>
          <w:t>19</w:t>
        </w:r>
        <w:r w:rsidR="000B5B16">
          <w:rPr>
            <w:noProof/>
            <w:webHidden/>
          </w:rPr>
          <w:fldChar w:fldCharType="end"/>
        </w:r>
      </w:hyperlink>
    </w:p>
    <w:p w14:paraId="126ECA5B" w14:textId="1A7D7569"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56" w:history="1">
        <w:r w:rsidR="000B5B16" w:rsidRPr="00176122">
          <w:rPr>
            <w:rStyle w:val="Hyperlink"/>
            <w:noProof/>
          </w:rPr>
          <w:t>I. F. How Do Aggregate or Entity Approaches Affect State Sourcing?</w:t>
        </w:r>
        <w:r w:rsidR="000B5B16">
          <w:rPr>
            <w:noProof/>
            <w:webHidden/>
          </w:rPr>
          <w:tab/>
        </w:r>
        <w:r w:rsidR="000B5B16">
          <w:rPr>
            <w:noProof/>
            <w:webHidden/>
          </w:rPr>
          <w:fldChar w:fldCharType="begin"/>
        </w:r>
        <w:r w:rsidR="000B5B16">
          <w:rPr>
            <w:noProof/>
            <w:webHidden/>
          </w:rPr>
          <w:instrText xml:space="preserve"> PAGEREF _Toc144634456 \h </w:instrText>
        </w:r>
        <w:r w:rsidR="000B5B16">
          <w:rPr>
            <w:noProof/>
            <w:webHidden/>
          </w:rPr>
        </w:r>
        <w:r w:rsidR="000B5B16">
          <w:rPr>
            <w:noProof/>
            <w:webHidden/>
          </w:rPr>
          <w:fldChar w:fldCharType="separate"/>
        </w:r>
        <w:r>
          <w:rPr>
            <w:noProof/>
            <w:webHidden/>
          </w:rPr>
          <w:t>20</w:t>
        </w:r>
        <w:r w:rsidR="000B5B16">
          <w:rPr>
            <w:noProof/>
            <w:webHidden/>
          </w:rPr>
          <w:fldChar w:fldCharType="end"/>
        </w:r>
      </w:hyperlink>
    </w:p>
    <w:p w14:paraId="3F55C1C0" w14:textId="655BC3D8" w:rsidR="000B5B16" w:rsidRDefault="00C7789C">
      <w:pPr>
        <w:pStyle w:val="TOC3"/>
        <w:rPr>
          <w:rFonts w:asciiTheme="minorHAnsi" w:eastAsiaTheme="minorEastAsia" w:hAnsiTheme="minorHAnsi"/>
          <w:noProof/>
          <w:kern w:val="2"/>
          <w:sz w:val="22"/>
          <w14:ligatures w14:val="standardContextual"/>
        </w:rPr>
      </w:pPr>
      <w:hyperlink w:anchor="_Toc144634457" w:history="1">
        <w:r w:rsidR="000B5B16" w:rsidRPr="00176122">
          <w:rPr>
            <w:rStyle w:val="Hyperlink"/>
            <w:noProof/>
          </w:rPr>
          <w:t>Comparing the Sourcing of the Categories of Payments</w:t>
        </w:r>
        <w:r w:rsidR="000B5B16">
          <w:rPr>
            <w:noProof/>
            <w:webHidden/>
          </w:rPr>
          <w:tab/>
        </w:r>
        <w:r w:rsidR="000B5B16">
          <w:rPr>
            <w:noProof/>
            <w:webHidden/>
          </w:rPr>
          <w:fldChar w:fldCharType="begin"/>
        </w:r>
        <w:r w:rsidR="000B5B16">
          <w:rPr>
            <w:noProof/>
            <w:webHidden/>
          </w:rPr>
          <w:instrText xml:space="preserve"> PAGEREF _Toc144634457 \h </w:instrText>
        </w:r>
        <w:r w:rsidR="000B5B16">
          <w:rPr>
            <w:noProof/>
            <w:webHidden/>
          </w:rPr>
        </w:r>
        <w:r w:rsidR="000B5B16">
          <w:rPr>
            <w:noProof/>
            <w:webHidden/>
          </w:rPr>
          <w:fldChar w:fldCharType="separate"/>
        </w:r>
        <w:r>
          <w:rPr>
            <w:noProof/>
            <w:webHidden/>
          </w:rPr>
          <w:t>20</w:t>
        </w:r>
        <w:r w:rsidR="000B5B16">
          <w:rPr>
            <w:noProof/>
            <w:webHidden/>
          </w:rPr>
          <w:fldChar w:fldCharType="end"/>
        </w:r>
      </w:hyperlink>
    </w:p>
    <w:p w14:paraId="57F6C188" w14:textId="0406C249" w:rsidR="000B5B16" w:rsidRDefault="00C7789C">
      <w:pPr>
        <w:pStyle w:val="TOC3"/>
        <w:rPr>
          <w:rFonts w:asciiTheme="minorHAnsi" w:eastAsiaTheme="minorEastAsia" w:hAnsiTheme="minorHAnsi"/>
          <w:noProof/>
          <w:kern w:val="2"/>
          <w:sz w:val="22"/>
          <w14:ligatures w14:val="standardContextual"/>
        </w:rPr>
      </w:pPr>
      <w:hyperlink w:anchor="_Toc144634458" w:history="1">
        <w:r w:rsidR="000B5B16" w:rsidRPr="00176122">
          <w:rPr>
            <w:rStyle w:val="Hyperlink"/>
            <w:noProof/>
          </w:rPr>
          <w:t>Why Sourcing of Guaranteed Payments May Not Follow the Entity Approach</w:t>
        </w:r>
        <w:r w:rsidR="000B5B16">
          <w:rPr>
            <w:noProof/>
            <w:webHidden/>
          </w:rPr>
          <w:tab/>
        </w:r>
        <w:r w:rsidR="000B5B16">
          <w:rPr>
            <w:noProof/>
            <w:webHidden/>
          </w:rPr>
          <w:fldChar w:fldCharType="begin"/>
        </w:r>
        <w:r w:rsidR="000B5B16">
          <w:rPr>
            <w:noProof/>
            <w:webHidden/>
          </w:rPr>
          <w:instrText xml:space="preserve"> PAGEREF _Toc144634458 \h </w:instrText>
        </w:r>
        <w:r w:rsidR="000B5B16">
          <w:rPr>
            <w:noProof/>
            <w:webHidden/>
          </w:rPr>
        </w:r>
        <w:r w:rsidR="000B5B16">
          <w:rPr>
            <w:noProof/>
            <w:webHidden/>
          </w:rPr>
          <w:fldChar w:fldCharType="separate"/>
        </w:r>
        <w:r>
          <w:rPr>
            <w:noProof/>
            <w:webHidden/>
          </w:rPr>
          <w:t>20</w:t>
        </w:r>
        <w:r w:rsidR="000B5B16">
          <w:rPr>
            <w:noProof/>
            <w:webHidden/>
          </w:rPr>
          <w:fldChar w:fldCharType="end"/>
        </w:r>
      </w:hyperlink>
    </w:p>
    <w:p w14:paraId="306B75FE" w14:textId="5A5E077A"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59" w:history="1">
        <w:r w:rsidR="000B5B16" w:rsidRPr="00176122">
          <w:rPr>
            <w:rStyle w:val="Hyperlink"/>
            <w:noProof/>
          </w:rPr>
          <w:t>I. F. Other Considerations – Complexity and Possible Tax Avoidance</w:t>
        </w:r>
        <w:r w:rsidR="000B5B16">
          <w:rPr>
            <w:noProof/>
            <w:webHidden/>
          </w:rPr>
          <w:tab/>
        </w:r>
        <w:r w:rsidR="000B5B16">
          <w:rPr>
            <w:noProof/>
            <w:webHidden/>
          </w:rPr>
          <w:fldChar w:fldCharType="begin"/>
        </w:r>
        <w:r w:rsidR="000B5B16">
          <w:rPr>
            <w:noProof/>
            <w:webHidden/>
          </w:rPr>
          <w:instrText xml:space="preserve"> PAGEREF _Toc144634459 \h </w:instrText>
        </w:r>
        <w:r w:rsidR="000B5B16">
          <w:rPr>
            <w:noProof/>
            <w:webHidden/>
          </w:rPr>
        </w:r>
        <w:r w:rsidR="000B5B16">
          <w:rPr>
            <w:noProof/>
            <w:webHidden/>
          </w:rPr>
          <w:fldChar w:fldCharType="separate"/>
        </w:r>
        <w:r>
          <w:rPr>
            <w:noProof/>
            <w:webHidden/>
          </w:rPr>
          <w:t>21</w:t>
        </w:r>
        <w:r w:rsidR="000B5B16">
          <w:rPr>
            <w:noProof/>
            <w:webHidden/>
          </w:rPr>
          <w:fldChar w:fldCharType="end"/>
        </w:r>
      </w:hyperlink>
    </w:p>
    <w:p w14:paraId="259A6738" w14:textId="3129D8FE" w:rsidR="000B5B16" w:rsidRDefault="00C7789C">
      <w:pPr>
        <w:pStyle w:val="TOC3"/>
        <w:rPr>
          <w:rFonts w:asciiTheme="minorHAnsi" w:eastAsiaTheme="minorEastAsia" w:hAnsiTheme="minorHAnsi"/>
          <w:noProof/>
          <w:kern w:val="2"/>
          <w:sz w:val="22"/>
          <w14:ligatures w14:val="standardContextual"/>
        </w:rPr>
      </w:pPr>
      <w:hyperlink w:anchor="_Toc144634460" w:history="1">
        <w:r w:rsidR="000B5B16" w:rsidRPr="00176122">
          <w:rPr>
            <w:rStyle w:val="Hyperlink"/>
            <w:noProof/>
          </w:rPr>
          <w:t>Examples:</w:t>
        </w:r>
        <w:r w:rsidR="000B5B16">
          <w:rPr>
            <w:noProof/>
            <w:webHidden/>
          </w:rPr>
          <w:tab/>
        </w:r>
        <w:r w:rsidR="000B5B16">
          <w:rPr>
            <w:noProof/>
            <w:webHidden/>
          </w:rPr>
          <w:fldChar w:fldCharType="begin"/>
        </w:r>
        <w:r w:rsidR="000B5B16">
          <w:rPr>
            <w:noProof/>
            <w:webHidden/>
          </w:rPr>
          <w:instrText xml:space="preserve"> PAGEREF _Toc144634460 \h </w:instrText>
        </w:r>
        <w:r w:rsidR="000B5B16">
          <w:rPr>
            <w:noProof/>
            <w:webHidden/>
          </w:rPr>
        </w:r>
        <w:r w:rsidR="000B5B16">
          <w:rPr>
            <w:noProof/>
            <w:webHidden/>
          </w:rPr>
          <w:fldChar w:fldCharType="separate"/>
        </w:r>
        <w:r>
          <w:rPr>
            <w:noProof/>
            <w:webHidden/>
          </w:rPr>
          <w:t>21</w:t>
        </w:r>
        <w:r w:rsidR="000B5B16">
          <w:rPr>
            <w:noProof/>
            <w:webHidden/>
          </w:rPr>
          <w:fldChar w:fldCharType="end"/>
        </w:r>
      </w:hyperlink>
    </w:p>
    <w:p w14:paraId="2F768FEF" w14:textId="2FA4DAF8" w:rsidR="000B5B16" w:rsidRDefault="00C7789C">
      <w:pPr>
        <w:pStyle w:val="TOC3"/>
        <w:rPr>
          <w:rFonts w:asciiTheme="minorHAnsi" w:eastAsiaTheme="minorEastAsia" w:hAnsiTheme="minorHAnsi"/>
          <w:noProof/>
          <w:kern w:val="2"/>
          <w:sz w:val="22"/>
          <w14:ligatures w14:val="standardContextual"/>
        </w:rPr>
      </w:pPr>
      <w:hyperlink w:anchor="_Toc144634461" w:history="1">
        <w:r w:rsidR="000B5B16" w:rsidRPr="00176122">
          <w:rPr>
            <w:rStyle w:val="Hyperlink"/>
            <w:noProof/>
          </w:rPr>
          <w:t>Income Shifting - Examples</w:t>
        </w:r>
        <w:r w:rsidR="000B5B16">
          <w:rPr>
            <w:noProof/>
            <w:webHidden/>
          </w:rPr>
          <w:tab/>
        </w:r>
        <w:r w:rsidR="000B5B16">
          <w:rPr>
            <w:noProof/>
            <w:webHidden/>
          </w:rPr>
          <w:fldChar w:fldCharType="begin"/>
        </w:r>
        <w:r w:rsidR="000B5B16">
          <w:rPr>
            <w:noProof/>
            <w:webHidden/>
          </w:rPr>
          <w:instrText xml:space="preserve"> PAGEREF _Toc144634461 \h </w:instrText>
        </w:r>
        <w:r w:rsidR="000B5B16">
          <w:rPr>
            <w:noProof/>
            <w:webHidden/>
          </w:rPr>
        </w:r>
        <w:r w:rsidR="000B5B16">
          <w:rPr>
            <w:noProof/>
            <w:webHidden/>
          </w:rPr>
          <w:fldChar w:fldCharType="separate"/>
        </w:r>
        <w:r>
          <w:rPr>
            <w:noProof/>
            <w:webHidden/>
          </w:rPr>
          <w:t>22</w:t>
        </w:r>
        <w:r w:rsidR="000B5B16">
          <w:rPr>
            <w:noProof/>
            <w:webHidden/>
          </w:rPr>
          <w:fldChar w:fldCharType="end"/>
        </w:r>
      </w:hyperlink>
    </w:p>
    <w:p w14:paraId="727C8D53" w14:textId="2B93AA7B"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62" w:history="1">
        <w:r w:rsidR="000B5B16" w:rsidRPr="00176122">
          <w:rPr>
            <w:rStyle w:val="Hyperlink"/>
            <w:noProof/>
          </w:rPr>
          <w:t>I.G. Summary</w:t>
        </w:r>
        <w:r w:rsidR="000B5B16">
          <w:rPr>
            <w:noProof/>
            <w:webHidden/>
          </w:rPr>
          <w:tab/>
        </w:r>
        <w:r w:rsidR="000B5B16">
          <w:rPr>
            <w:noProof/>
            <w:webHidden/>
          </w:rPr>
          <w:fldChar w:fldCharType="begin"/>
        </w:r>
        <w:r w:rsidR="000B5B16">
          <w:rPr>
            <w:noProof/>
            <w:webHidden/>
          </w:rPr>
          <w:instrText xml:space="preserve"> PAGEREF _Toc144634462 \h </w:instrText>
        </w:r>
        <w:r w:rsidR="000B5B16">
          <w:rPr>
            <w:noProof/>
            <w:webHidden/>
          </w:rPr>
        </w:r>
        <w:r w:rsidR="000B5B16">
          <w:rPr>
            <w:noProof/>
            <w:webHidden/>
          </w:rPr>
          <w:fldChar w:fldCharType="separate"/>
        </w:r>
        <w:r>
          <w:rPr>
            <w:noProof/>
            <w:webHidden/>
          </w:rPr>
          <w:t>22</w:t>
        </w:r>
        <w:r w:rsidR="000B5B16">
          <w:rPr>
            <w:noProof/>
            <w:webHidden/>
          </w:rPr>
          <w:fldChar w:fldCharType="end"/>
        </w:r>
      </w:hyperlink>
    </w:p>
    <w:p w14:paraId="2F46B0A0" w14:textId="2A6A1652" w:rsidR="000B5B16" w:rsidRDefault="00C7789C">
      <w:pPr>
        <w:pStyle w:val="TOC1"/>
        <w:rPr>
          <w:rFonts w:asciiTheme="minorHAnsi" w:eastAsiaTheme="minorEastAsia" w:hAnsiTheme="minorHAnsi"/>
          <w:b w:val="0"/>
          <w:bCs w:val="0"/>
          <w:noProof/>
          <w:color w:val="auto"/>
          <w:kern w:val="2"/>
          <w:sz w:val="22"/>
          <w:szCs w:val="22"/>
          <w14:ligatures w14:val="standardContextual"/>
        </w:rPr>
      </w:pPr>
      <w:hyperlink w:anchor="_Toc144634463" w:history="1">
        <w:r w:rsidR="000B5B16" w:rsidRPr="00176122">
          <w:rPr>
            <w:rStyle w:val="Hyperlink"/>
            <w:noProof/>
          </w:rPr>
          <w:t>II: Specific Federal Rules for Guaranteed Payments</w:t>
        </w:r>
        <w:r w:rsidR="000B5B16">
          <w:rPr>
            <w:noProof/>
            <w:webHidden/>
          </w:rPr>
          <w:tab/>
        </w:r>
        <w:r w:rsidR="000B5B16">
          <w:rPr>
            <w:noProof/>
            <w:webHidden/>
          </w:rPr>
          <w:fldChar w:fldCharType="begin"/>
        </w:r>
        <w:r w:rsidR="000B5B16">
          <w:rPr>
            <w:noProof/>
            <w:webHidden/>
          </w:rPr>
          <w:instrText xml:space="preserve"> PAGEREF _Toc144634463 \h </w:instrText>
        </w:r>
        <w:r w:rsidR="000B5B16">
          <w:rPr>
            <w:noProof/>
            <w:webHidden/>
          </w:rPr>
        </w:r>
        <w:r w:rsidR="000B5B16">
          <w:rPr>
            <w:noProof/>
            <w:webHidden/>
          </w:rPr>
          <w:fldChar w:fldCharType="separate"/>
        </w:r>
        <w:r>
          <w:rPr>
            <w:noProof/>
            <w:webHidden/>
          </w:rPr>
          <w:t>23</w:t>
        </w:r>
        <w:r w:rsidR="000B5B16">
          <w:rPr>
            <w:noProof/>
            <w:webHidden/>
          </w:rPr>
          <w:fldChar w:fldCharType="end"/>
        </w:r>
      </w:hyperlink>
    </w:p>
    <w:p w14:paraId="45F2AD30" w14:textId="35A64A52"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64" w:history="1">
        <w:r w:rsidR="000B5B16" w:rsidRPr="00176122">
          <w:rPr>
            <w:rStyle w:val="Hyperlink"/>
            <w:noProof/>
          </w:rPr>
          <w:t>II. A. Subchapter K</w:t>
        </w:r>
        <w:r w:rsidR="000B5B16">
          <w:rPr>
            <w:noProof/>
            <w:webHidden/>
          </w:rPr>
          <w:tab/>
        </w:r>
        <w:r w:rsidR="000B5B16">
          <w:rPr>
            <w:noProof/>
            <w:webHidden/>
          </w:rPr>
          <w:fldChar w:fldCharType="begin"/>
        </w:r>
        <w:r w:rsidR="000B5B16">
          <w:rPr>
            <w:noProof/>
            <w:webHidden/>
          </w:rPr>
          <w:instrText xml:space="preserve"> PAGEREF _Toc144634464 \h </w:instrText>
        </w:r>
        <w:r w:rsidR="000B5B16">
          <w:rPr>
            <w:noProof/>
            <w:webHidden/>
          </w:rPr>
        </w:r>
        <w:r w:rsidR="000B5B16">
          <w:rPr>
            <w:noProof/>
            <w:webHidden/>
          </w:rPr>
          <w:fldChar w:fldCharType="separate"/>
        </w:r>
        <w:r>
          <w:rPr>
            <w:noProof/>
            <w:webHidden/>
          </w:rPr>
          <w:t>23</w:t>
        </w:r>
        <w:r w:rsidR="000B5B16">
          <w:rPr>
            <w:noProof/>
            <w:webHidden/>
          </w:rPr>
          <w:fldChar w:fldCharType="end"/>
        </w:r>
      </w:hyperlink>
    </w:p>
    <w:p w14:paraId="09EAD3B9" w14:textId="460FE12A" w:rsidR="000B5B16" w:rsidRDefault="00C7789C">
      <w:pPr>
        <w:pStyle w:val="TOC3"/>
        <w:rPr>
          <w:rFonts w:asciiTheme="minorHAnsi" w:eastAsiaTheme="minorEastAsia" w:hAnsiTheme="minorHAnsi"/>
          <w:noProof/>
          <w:kern w:val="2"/>
          <w:sz w:val="22"/>
          <w14:ligatures w14:val="standardContextual"/>
        </w:rPr>
      </w:pPr>
      <w:hyperlink w:anchor="_Toc144634465" w:history="1">
        <w:r w:rsidR="000B5B16" w:rsidRPr="00176122">
          <w:rPr>
            <w:rStyle w:val="Hyperlink"/>
            <w:noProof/>
          </w:rPr>
          <w:t>Relevant Provisions of Subchapter K</w:t>
        </w:r>
        <w:r w:rsidR="000B5B16">
          <w:rPr>
            <w:noProof/>
            <w:webHidden/>
          </w:rPr>
          <w:tab/>
        </w:r>
        <w:r w:rsidR="000B5B16">
          <w:rPr>
            <w:noProof/>
            <w:webHidden/>
          </w:rPr>
          <w:fldChar w:fldCharType="begin"/>
        </w:r>
        <w:r w:rsidR="000B5B16">
          <w:rPr>
            <w:noProof/>
            <w:webHidden/>
          </w:rPr>
          <w:instrText xml:space="preserve"> PAGEREF _Toc144634465 \h </w:instrText>
        </w:r>
        <w:r w:rsidR="000B5B16">
          <w:rPr>
            <w:noProof/>
            <w:webHidden/>
          </w:rPr>
        </w:r>
        <w:r w:rsidR="000B5B16">
          <w:rPr>
            <w:noProof/>
            <w:webHidden/>
          </w:rPr>
          <w:fldChar w:fldCharType="separate"/>
        </w:r>
        <w:r>
          <w:rPr>
            <w:noProof/>
            <w:webHidden/>
          </w:rPr>
          <w:t>23</w:t>
        </w:r>
        <w:r w:rsidR="000B5B16">
          <w:rPr>
            <w:noProof/>
            <w:webHidden/>
          </w:rPr>
          <w:fldChar w:fldCharType="end"/>
        </w:r>
      </w:hyperlink>
    </w:p>
    <w:p w14:paraId="10C9060D" w14:textId="629370B3" w:rsidR="000B5B16" w:rsidRDefault="00C7789C">
      <w:pPr>
        <w:pStyle w:val="TOC3"/>
        <w:rPr>
          <w:rFonts w:asciiTheme="minorHAnsi" w:eastAsiaTheme="minorEastAsia" w:hAnsiTheme="minorHAnsi"/>
          <w:noProof/>
          <w:kern w:val="2"/>
          <w:sz w:val="22"/>
          <w14:ligatures w14:val="standardContextual"/>
        </w:rPr>
      </w:pPr>
      <w:hyperlink w:anchor="_Toc144634466" w:history="1">
        <w:r w:rsidR="000B5B16" w:rsidRPr="00176122">
          <w:rPr>
            <w:rStyle w:val="Hyperlink"/>
            <w:noProof/>
          </w:rPr>
          <w:t>Application to Different Types of Payments</w:t>
        </w:r>
        <w:r w:rsidR="000B5B16">
          <w:rPr>
            <w:noProof/>
            <w:webHidden/>
          </w:rPr>
          <w:tab/>
        </w:r>
        <w:r w:rsidR="000B5B16">
          <w:rPr>
            <w:noProof/>
            <w:webHidden/>
          </w:rPr>
          <w:fldChar w:fldCharType="begin"/>
        </w:r>
        <w:r w:rsidR="000B5B16">
          <w:rPr>
            <w:noProof/>
            <w:webHidden/>
          </w:rPr>
          <w:instrText xml:space="preserve"> PAGEREF _Toc144634466 \h </w:instrText>
        </w:r>
        <w:r w:rsidR="000B5B16">
          <w:rPr>
            <w:noProof/>
            <w:webHidden/>
          </w:rPr>
        </w:r>
        <w:r w:rsidR="000B5B16">
          <w:rPr>
            <w:noProof/>
            <w:webHidden/>
          </w:rPr>
          <w:fldChar w:fldCharType="separate"/>
        </w:r>
        <w:r>
          <w:rPr>
            <w:noProof/>
            <w:webHidden/>
          </w:rPr>
          <w:t>24</w:t>
        </w:r>
        <w:r w:rsidR="000B5B16">
          <w:rPr>
            <w:noProof/>
            <w:webHidden/>
          </w:rPr>
          <w:fldChar w:fldCharType="end"/>
        </w:r>
      </w:hyperlink>
    </w:p>
    <w:p w14:paraId="0AF9C9C9" w14:textId="30EAC4C3" w:rsidR="000B5B16" w:rsidRDefault="00C7789C">
      <w:pPr>
        <w:pStyle w:val="TOC3"/>
        <w:rPr>
          <w:rFonts w:asciiTheme="minorHAnsi" w:eastAsiaTheme="minorEastAsia" w:hAnsiTheme="minorHAnsi"/>
          <w:noProof/>
          <w:kern w:val="2"/>
          <w:sz w:val="22"/>
          <w14:ligatures w14:val="standardContextual"/>
        </w:rPr>
      </w:pPr>
      <w:hyperlink w:anchor="_Toc144634467" w:history="1">
        <w:r w:rsidR="000B5B16" w:rsidRPr="00176122">
          <w:rPr>
            <w:rStyle w:val="Hyperlink"/>
            <w:noProof/>
          </w:rPr>
          <w:t>2015 Proposed Regulations</w:t>
        </w:r>
        <w:r w:rsidR="000B5B16">
          <w:rPr>
            <w:noProof/>
            <w:webHidden/>
          </w:rPr>
          <w:tab/>
        </w:r>
        <w:r w:rsidR="000B5B16">
          <w:rPr>
            <w:noProof/>
            <w:webHidden/>
          </w:rPr>
          <w:fldChar w:fldCharType="begin"/>
        </w:r>
        <w:r w:rsidR="000B5B16">
          <w:rPr>
            <w:noProof/>
            <w:webHidden/>
          </w:rPr>
          <w:instrText xml:space="preserve"> PAGEREF _Toc144634467 \h </w:instrText>
        </w:r>
        <w:r w:rsidR="000B5B16">
          <w:rPr>
            <w:noProof/>
            <w:webHidden/>
          </w:rPr>
        </w:r>
        <w:r w:rsidR="000B5B16">
          <w:rPr>
            <w:noProof/>
            <w:webHidden/>
          </w:rPr>
          <w:fldChar w:fldCharType="separate"/>
        </w:r>
        <w:r>
          <w:rPr>
            <w:noProof/>
            <w:webHidden/>
          </w:rPr>
          <w:t>25</w:t>
        </w:r>
        <w:r w:rsidR="000B5B16">
          <w:rPr>
            <w:noProof/>
            <w:webHidden/>
          </w:rPr>
          <w:fldChar w:fldCharType="end"/>
        </w:r>
      </w:hyperlink>
    </w:p>
    <w:p w14:paraId="2BBEEC2D" w14:textId="2E4E9C74"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68" w:history="1">
        <w:r w:rsidR="000B5B16" w:rsidRPr="00176122">
          <w:rPr>
            <w:rStyle w:val="Hyperlink"/>
            <w:noProof/>
          </w:rPr>
          <w:t>II. B. Substantive Tax Rules</w:t>
        </w:r>
        <w:r w:rsidR="000B5B16">
          <w:rPr>
            <w:noProof/>
            <w:webHidden/>
          </w:rPr>
          <w:tab/>
        </w:r>
        <w:r w:rsidR="000B5B16">
          <w:rPr>
            <w:noProof/>
            <w:webHidden/>
          </w:rPr>
          <w:fldChar w:fldCharType="begin"/>
        </w:r>
        <w:r w:rsidR="000B5B16">
          <w:rPr>
            <w:noProof/>
            <w:webHidden/>
          </w:rPr>
          <w:instrText xml:space="preserve"> PAGEREF _Toc144634468 \h </w:instrText>
        </w:r>
        <w:r w:rsidR="000B5B16">
          <w:rPr>
            <w:noProof/>
            <w:webHidden/>
          </w:rPr>
        </w:r>
        <w:r w:rsidR="000B5B16">
          <w:rPr>
            <w:noProof/>
            <w:webHidden/>
          </w:rPr>
          <w:fldChar w:fldCharType="separate"/>
        </w:r>
        <w:r>
          <w:rPr>
            <w:noProof/>
            <w:webHidden/>
          </w:rPr>
          <w:t>27</w:t>
        </w:r>
        <w:r w:rsidR="000B5B16">
          <w:rPr>
            <w:noProof/>
            <w:webHidden/>
          </w:rPr>
          <w:fldChar w:fldCharType="end"/>
        </w:r>
      </w:hyperlink>
    </w:p>
    <w:p w14:paraId="5677511D" w14:textId="3A785DFF"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69" w:history="1">
        <w:r w:rsidR="000B5B16" w:rsidRPr="00176122">
          <w:rPr>
            <w:rStyle w:val="Hyperlink"/>
            <w:noProof/>
          </w:rPr>
          <w:t>II. C. Federal Income Sourcing</w:t>
        </w:r>
        <w:r w:rsidR="000B5B16">
          <w:rPr>
            <w:noProof/>
            <w:webHidden/>
          </w:rPr>
          <w:tab/>
        </w:r>
        <w:r w:rsidR="000B5B16">
          <w:rPr>
            <w:noProof/>
            <w:webHidden/>
          </w:rPr>
          <w:fldChar w:fldCharType="begin"/>
        </w:r>
        <w:r w:rsidR="000B5B16">
          <w:rPr>
            <w:noProof/>
            <w:webHidden/>
          </w:rPr>
          <w:instrText xml:space="preserve"> PAGEREF _Toc144634469 \h </w:instrText>
        </w:r>
        <w:r w:rsidR="000B5B16">
          <w:rPr>
            <w:noProof/>
            <w:webHidden/>
          </w:rPr>
        </w:r>
        <w:r w:rsidR="000B5B16">
          <w:rPr>
            <w:noProof/>
            <w:webHidden/>
          </w:rPr>
          <w:fldChar w:fldCharType="separate"/>
        </w:r>
        <w:r>
          <w:rPr>
            <w:noProof/>
            <w:webHidden/>
          </w:rPr>
          <w:t>27</w:t>
        </w:r>
        <w:r w:rsidR="000B5B16">
          <w:rPr>
            <w:noProof/>
            <w:webHidden/>
          </w:rPr>
          <w:fldChar w:fldCharType="end"/>
        </w:r>
      </w:hyperlink>
    </w:p>
    <w:p w14:paraId="3A6FAC6A" w14:textId="35E8D504"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70" w:history="1">
        <w:r w:rsidR="000B5B16" w:rsidRPr="00176122">
          <w:rPr>
            <w:rStyle w:val="Hyperlink"/>
            <w:noProof/>
          </w:rPr>
          <w:t>II. D. Retirement Income</w:t>
        </w:r>
        <w:r w:rsidR="000B5B16">
          <w:rPr>
            <w:noProof/>
            <w:webHidden/>
          </w:rPr>
          <w:tab/>
        </w:r>
        <w:r w:rsidR="000B5B16">
          <w:rPr>
            <w:noProof/>
            <w:webHidden/>
          </w:rPr>
          <w:fldChar w:fldCharType="begin"/>
        </w:r>
        <w:r w:rsidR="000B5B16">
          <w:rPr>
            <w:noProof/>
            <w:webHidden/>
          </w:rPr>
          <w:instrText xml:space="preserve"> PAGEREF _Toc144634470 \h </w:instrText>
        </w:r>
        <w:r w:rsidR="000B5B16">
          <w:rPr>
            <w:noProof/>
            <w:webHidden/>
          </w:rPr>
        </w:r>
        <w:r w:rsidR="000B5B16">
          <w:rPr>
            <w:noProof/>
            <w:webHidden/>
          </w:rPr>
          <w:fldChar w:fldCharType="separate"/>
        </w:r>
        <w:r>
          <w:rPr>
            <w:noProof/>
            <w:webHidden/>
          </w:rPr>
          <w:t>28</w:t>
        </w:r>
        <w:r w:rsidR="000B5B16">
          <w:rPr>
            <w:noProof/>
            <w:webHidden/>
          </w:rPr>
          <w:fldChar w:fldCharType="end"/>
        </w:r>
      </w:hyperlink>
    </w:p>
    <w:p w14:paraId="6936210B" w14:textId="0FA4AF5F"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71" w:history="1">
        <w:r w:rsidR="000B5B16" w:rsidRPr="00176122">
          <w:rPr>
            <w:rStyle w:val="Hyperlink"/>
            <w:noProof/>
          </w:rPr>
          <w:t>II. F. Summary</w:t>
        </w:r>
        <w:r w:rsidR="000B5B16">
          <w:rPr>
            <w:noProof/>
            <w:webHidden/>
          </w:rPr>
          <w:tab/>
        </w:r>
        <w:r w:rsidR="000B5B16">
          <w:rPr>
            <w:noProof/>
            <w:webHidden/>
          </w:rPr>
          <w:fldChar w:fldCharType="begin"/>
        </w:r>
        <w:r w:rsidR="000B5B16">
          <w:rPr>
            <w:noProof/>
            <w:webHidden/>
          </w:rPr>
          <w:instrText xml:space="preserve"> PAGEREF _Toc144634471 \h </w:instrText>
        </w:r>
        <w:r w:rsidR="000B5B16">
          <w:rPr>
            <w:noProof/>
            <w:webHidden/>
          </w:rPr>
        </w:r>
        <w:r w:rsidR="000B5B16">
          <w:rPr>
            <w:noProof/>
            <w:webHidden/>
          </w:rPr>
          <w:fldChar w:fldCharType="separate"/>
        </w:r>
        <w:r>
          <w:rPr>
            <w:noProof/>
            <w:webHidden/>
          </w:rPr>
          <w:t>28</w:t>
        </w:r>
        <w:r w:rsidR="000B5B16">
          <w:rPr>
            <w:noProof/>
            <w:webHidden/>
          </w:rPr>
          <w:fldChar w:fldCharType="end"/>
        </w:r>
      </w:hyperlink>
    </w:p>
    <w:p w14:paraId="5C9E8839" w14:textId="65880C74" w:rsidR="000B5B16" w:rsidRDefault="00C7789C">
      <w:pPr>
        <w:pStyle w:val="TOC1"/>
        <w:rPr>
          <w:rFonts w:asciiTheme="minorHAnsi" w:eastAsiaTheme="minorEastAsia" w:hAnsiTheme="minorHAnsi"/>
          <w:b w:val="0"/>
          <w:bCs w:val="0"/>
          <w:noProof/>
          <w:color w:val="auto"/>
          <w:kern w:val="2"/>
          <w:sz w:val="22"/>
          <w:szCs w:val="22"/>
          <w14:ligatures w14:val="standardContextual"/>
        </w:rPr>
      </w:pPr>
      <w:hyperlink w:anchor="_Toc144634472" w:history="1">
        <w:r w:rsidR="000B5B16" w:rsidRPr="00176122">
          <w:rPr>
            <w:rStyle w:val="Hyperlink"/>
            <w:noProof/>
          </w:rPr>
          <w:t>III. Amounts and Types of Guaranteed Payments</w:t>
        </w:r>
        <w:r w:rsidR="000B5B16">
          <w:rPr>
            <w:noProof/>
            <w:webHidden/>
          </w:rPr>
          <w:tab/>
        </w:r>
        <w:r w:rsidR="000B5B16">
          <w:rPr>
            <w:noProof/>
            <w:webHidden/>
          </w:rPr>
          <w:fldChar w:fldCharType="begin"/>
        </w:r>
        <w:r w:rsidR="000B5B16">
          <w:rPr>
            <w:noProof/>
            <w:webHidden/>
          </w:rPr>
          <w:instrText xml:space="preserve"> PAGEREF _Toc144634472 \h </w:instrText>
        </w:r>
        <w:r w:rsidR="000B5B16">
          <w:rPr>
            <w:noProof/>
            <w:webHidden/>
          </w:rPr>
        </w:r>
        <w:r w:rsidR="000B5B16">
          <w:rPr>
            <w:noProof/>
            <w:webHidden/>
          </w:rPr>
          <w:fldChar w:fldCharType="separate"/>
        </w:r>
        <w:r>
          <w:rPr>
            <w:noProof/>
            <w:webHidden/>
          </w:rPr>
          <w:t>29</w:t>
        </w:r>
        <w:r w:rsidR="000B5B16">
          <w:rPr>
            <w:noProof/>
            <w:webHidden/>
          </w:rPr>
          <w:fldChar w:fldCharType="end"/>
        </w:r>
      </w:hyperlink>
    </w:p>
    <w:p w14:paraId="48DCDBC2" w14:textId="13601306" w:rsidR="000B5B16" w:rsidRDefault="00C7789C">
      <w:pPr>
        <w:pStyle w:val="TOC3"/>
        <w:tabs>
          <w:tab w:val="left" w:pos="3376"/>
        </w:tabs>
        <w:rPr>
          <w:rFonts w:asciiTheme="minorHAnsi" w:eastAsiaTheme="minorEastAsia" w:hAnsiTheme="minorHAnsi"/>
          <w:noProof/>
          <w:kern w:val="2"/>
          <w:sz w:val="22"/>
          <w14:ligatures w14:val="standardContextual"/>
        </w:rPr>
      </w:pPr>
      <w:hyperlink w:anchor="_Toc144634473" w:history="1">
        <w:r w:rsidR="000B5B16" w:rsidRPr="00176122">
          <w:rPr>
            <w:rStyle w:val="Hyperlink"/>
            <w:noProof/>
          </w:rPr>
          <w:t>Percentage of Total Net Income</w:t>
        </w:r>
        <w:r w:rsidR="000B5B16">
          <w:rPr>
            <w:rFonts w:asciiTheme="minorHAnsi" w:eastAsiaTheme="minorEastAsia" w:hAnsiTheme="minorHAnsi"/>
            <w:noProof/>
            <w:kern w:val="2"/>
            <w:sz w:val="22"/>
            <w14:ligatures w14:val="standardContextual"/>
          </w:rPr>
          <w:tab/>
        </w:r>
        <w:r w:rsidR="000B5B16" w:rsidRPr="00176122">
          <w:rPr>
            <w:rStyle w:val="Hyperlink"/>
            <w:noProof/>
          </w:rPr>
          <w:t xml:space="preserve">    (amounts here shown in thousands)</w:t>
        </w:r>
        <w:r w:rsidR="000B5B16">
          <w:rPr>
            <w:noProof/>
            <w:webHidden/>
          </w:rPr>
          <w:tab/>
        </w:r>
        <w:r w:rsidR="000B5B16">
          <w:rPr>
            <w:noProof/>
            <w:webHidden/>
          </w:rPr>
          <w:fldChar w:fldCharType="begin"/>
        </w:r>
        <w:r w:rsidR="000B5B16">
          <w:rPr>
            <w:noProof/>
            <w:webHidden/>
          </w:rPr>
          <w:instrText xml:space="preserve"> PAGEREF _Toc144634473 \h </w:instrText>
        </w:r>
        <w:r w:rsidR="000B5B16">
          <w:rPr>
            <w:noProof/>
            <w:webHidden/>
          </w:rPr>
        </w:r>
        <w:r w:rsidR="000B5B16">
          <w:rPr>
            <w:noProof/>
            <w:webHidden/>
          </w:rPr>
          <w:fldChar w:fldCharType="separate"/>
        </w:r>
        <w:r>
          <w:rPr>
            <w:noProof/>
            <w:webHidden/>
          </w:rPr>
          <w:t>29</w:t>
        </w:r>
        <w:r w:rsidR="000B5B16">
          <w:rPr>
            <w:noProof/>
            <w:webHidden/>
          </w:rPr>
          <w:fldChar w:fldCharType="end"/>
        </w:r>
      </w:hyperlink>
    </w:p>
    <w:p w14:paraId="5BE76E47" w14:textId="47CC217A" w:rsidR="000B5B16" w:rsidRDefault="00C7789C">
      <w:pPr>
        <w:pStyle w:val="TOC3"/>
        <w:rPr>
          <w:rFonts w:asciiTheme="minorHAnsi" w:eastAsiaTheme="minorEastAsia" w:hAnsiTheme="minorHAnsi"/>
          <w:noProof/>
          <w:kern w:val="2"/>
          <w:sz w:val="22"/>
          <w14:ligatures w14:val="standardContextual"/>
        </w:rPr>
      </w:pPr>
      <w:hyperlink w:anchor="_Toc144634474" w:history="1">
        <w:r w:rsidR="000B5B16" w:rsidRPr="00176122">
          <w:rPr>
            <w:rStyle w:val="Hyperlink"/>
            <w:noProof/>
          </w:rPr>
          <w:t>Rankings by Industry</w:t>
        </w:r>
        <w:r w:rsidR="000B5B16">
          <w:rPr>
            <w:noProof/>
            <w:webHidden/>
          </w:rPr>
          <w:tab/>
        </w:r>
        <w:r w:rsidR="000B5B16">
          <w:rPr>
            <w:noProof/>
            <w:webHidden/>
          </w:rPr>
          <w:fldChar w:fldCharType="begin"/>
        </w:r>
        <w:r w:rsidR="000B5B16">
          <w:rPr>
            <w:noProof/>
            <w:webHidden/>
          </w:rPr>
          <w:instrText xml:space="preserve"> PAGEREF _Toc144634474 \h </w:instrText>
        </w:r>
        <w:r w:rsidR="000B5B16">
          <w:rPr>
            <w:noProof/>
            <w:webHidden/>
          </w:rPr>
        </w:r>
        <w:r w:rsidR="000B5B16">
          <w:rPr>
            <w:noProof/>
            <w:webHidden/>
          </w:rPr>
          <w:fldChar w:fldCharType="separate"/>
        </w:r>
        <w:r>
          <w:rPr>
            <w:noProof/>
            <w:webHidden/>
          </w:rPr>
          <w:t>29</w:t>
        </w:r>
        <w:r w:rsidR="000B5B16">
          <w:rPr>
            <w:noProof/>
            <w:webHidden/>
          </w:rPr>
          <w:fldChar w:fldCharType="end"/>
        </w:r>
      </w:hyperlink>
    </w:p>
    <w:p w14:paraId="587E7A99" w14:textId="4567CCB5" w:rsidR="000B5B16" w:rsidRDefault="00C7789C">
      <w:pPr>
        <w:pStyle w:val="TOC3"/>
        <w:rPr>
          <w:rFonts w:asciiTheme="minorHAnsi" w:eastAsiaTheme="minorEastAsia" w:hAnsiTheme="minorHAnsi"/>
          <w:noProof/>
          <w:kern w:val="2"/>
          <w:sz w:val="22"/>
          <w14:ligatures w14:val="standardContextual"/>
        </w:rPr>
      </w:pPr>
      <w:hyperlink w:anchor="_Toc144634475" w:history="1">
        <w:r w:rsidR="000B5B16" w:rsidRPr="00176122">
          <w:rPr>
            <w:rStyle w:val="Hyperlink"/>
            <w:noProof/>
          </w:rPr>
          <w:t>Common Guaranteed Payments and Alternatives</w:t>
        </w:r>
        <w:r w:rsidR="000B5B16">
          <w:rPr>
            <w:noProof/>
            <w:webHidden/>
          </w:rPr>
          <w:tab/>
        </w:r>
        <w:r w:rsidR="000B5B16">
          <w:rPr>
            <w:noProof/>
            <w:webHidden/>
          </w:rPr>
          <w:fldChar w:fldCharType="begin"/>
        </w:r>
        <w:r w:rsidR="000B5B16">
          <w:rPr>
            <w:noProof/>
            <w:webHidden/>
          </w:rPr>
          <w:instrText xml:space="preserve"> PAGEREF _Toc144634475 \h </w:instrText>
        </w:r>
        <w:r w:rsidR="000B5B16">
          <w:rPr>
            <w:noProof/>
            <w:webHidden/>
          </w:rPr>
        </w:r>
        <w:r w:rsidR="000B5B16">
          <w:rPr>
            <w:noProof/>
            <w:webHidden/>
          </w:rPr>
          <w:fldChar w:fldCharType="separate"/>
        </w:r>
        <w:r>
          <w:rPr>
            <w:noProof/>
            <w:webHidden/>
          </w:rPr>
          <w:t>32</w:t>
        </w:r>
        <w:r w:rsidR="000B5B16">
          <w:rPr>
            <w:noProof/>
            <w:webHidden/>
          </w:rPr>
          <w:fldChar w:fldCharType="end"/>
        </w:r>
      </w:hyperlink>
    </w:p>
    <w:p w14:paraId="07323380" w14:textId="3B194122" w:rsidR="000B5B16" w:rsidRDefault="00C7789C">
      <w:pPr>
        <w:pStyle w:val="TOC1"/>
        <w:rPr>
          <w:rFonts w:asciiTheme="minorHAnsi" w:eastAsiaTheme="minorEastAsia" w:hAnsiTheme="minorHAnsi"/>
          <w:b w:val="0"/>
          <w:bCs w:val="0"/>
          <w:noProof/>
          <w:color w:val="auto"/>
          <w:kern w:val="2"/>
          <w:sz w:val="22"/>
          <w:szCs w:val="22"/>
          <w14:ligatures w14:val="standardContextual"/>
        </w:rPr>
      </w:pPr>
      <w:hyperlink w:anchor="_Toc144634476" w:history="1">
        <w:r w:rsidR="000B5B16" w:rsidRPr="00176122">
          <w:rPr>
            <w:rStyle w:val="Hyperlink"/>
            <w:noProof/>
          </w:rPr>
          <w:t>IV. State Sourcing  and Related Rules</w:t>
        </w:r>
        <w:r w:rsidR="000B5B16">
          <w:rPr>
            <w:noProof/>
            <w:webHidden/>
          </w:rPr>
          <w:tab/>
        </w:r>
        <w:r w:rsidR="000B5B16">
          <w:rPr>
            <w:noProof/>
            <w:webHidden/>
          </w:rPr>
          <w:fldChar w:fldCharType="begin"/>
        </w:r>
        <w:r w:rsidR="000B5B16">
          <w:rPr>
            <w:noProof/>
            <w:webHidden/>
          </w:rPr>
          <w:instrText xml:space="preserve"> PAGEREF _Toc144634476 \h </w:instrText>
        </w:r>
        <w:r w:rsidR="000B5B16">
          <w:rPr>
            <w:noProof/>
            <w:webHidden/>
          </w:rPr>
        </w:r>
        <w:r w:rsidR="000B5B16">
          <w:rPr>
            <w:noProof/>
            <w:webHidden/>
          </w:rPr>
          <w:fldChar w:fldCharType="separate"/>
        </w:r>
        <w:r>
          <w:rPr>
            <w:noProof/>
            <w:webHidden/>
          </w:rPr>
          <w:t>33</w:t>
        </w:r>
        <w:r w:rsidR="000B5B16">
          <w:rPr>
            <w:noProof/>
            <w:webHidden/>
          </w:rPr>
          <w:fldChar w:fldCharType="end"/>
        </w:r>
      </w:hyperlink>
    </w:p>
    <w:p w14:paraId="2BEE68E7" w14:textId="255BDC37"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77" w:history="1">
        <w:r w:rsidR="000B5B16" w:rsidRPr="00176122">
          <w:rPr>
            <w:rStyle w:val="Hyperlink"/>
            <w:noProof/>
          </w:rPr>
          <w:t>IV. A.  Summary of Guaranteed Payment Issues Addressed by States</w:t>
        </w:r>
        <w:r w:rsidR="000B5B16">
          <w:rPr>
            <w:noProof/>
            <w:webHidden/>
          </w:rPr>
          <w:tab/>
        </w:r>
        <w:r w:rsidR="000B5B16">
          <w:rPr>
            <w:noProof/>
            <w:webHidden/>
          </w:rPr>
          <w:fldChar w:fldCharType="begin"/>
        </w:r>
        <w:r w:rsidR="000B5B16">
          <w:rPr>
            <w:noProof/>
            <w:webHidden/>
          </w:rPr>
          <w:instrText xml:space="preserve"> PAGEREF _Toc144634477 \h </w:instrText>
        </w:r>
        <w:r w:rsidR="000B5B16">
          <w:rPr>
            <w:noProof/>
            <w:webHidden/>
          </w:rPr>
        </w:r>
        <w:r w:rsidR="000B5B16">
          <w:rPr>
            <w:noProof/>
            <w:webHidden/>
          </w:rPr>
          <w:fldChar w:fldCharType="separate"/>
        </w:r>
        <w:r>
          <w:rPr>
            <w:noProof/>
            <w:webHidden/>
          </w:rPr>
          <w:t>33</w:t>
        </w:r>
        <w:r w:rsidR="000B5B16">
          <w:rPr>
            <w:noProof/>
            <w:webHidden/>
          </w:rPr>
          <w:fldChar w:fldCharType="end"/>
        </w:r>
      </w:hyperlink>
    </w:p>
    <w:p w14:paraId="743B309E" w14:textId="5C7DEFF6"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478" w:history="1">
        <w:r w:rsidR="000B5B16" w:rsidRPr="00176122">
          <w:rPr>
            <w:rStyle w:val="Hyperlink"/>
            <w:rFonts w:asciiTheme="majorHAnsi" w:eastAsiaTheme="majorEastAsia" w:hAnsiTheme="majorHAnsi" w:cstheme="majorBidi"/>
            <w:b/>
            <w:noProof/>
          </w:rPr>
          <w:t>IV. B.  State Rules on Guaranteed Payments</w:t>
        </w:r>
        <w:r w:rsidR="000B5B16">
          <w:rPr>
            <w:noProof/>
            <w:webHidden/>
          </w:rPr>
          <w:tab/>
        </w:r>
        <w:r w:rsidR="000B5B16">
          <w:rPr>
            <w:noProof/>
            <w:webHidden/>
          </w:rPr>
          <w:fldChar w:fldCharType="begin"/>
        </w:r>
        <w:r w:rsidR="000B5B16">
          <w:rPr>
            <w:noProof/>
            <w:webHidden/>
          </w:rPr>
          <w:instrText xml:space="preserve"> PAGEREF _Toc144634478 \h </w:instrText>
        </w:r>
        <w:r w:rsidR="000B5B16">
          <w:rPr>
            <w:noProof/>
            <w:webHidden/>
          </w:rPr>
        </w:r>
        <w:r w:rsidR="000B5B16">
          <w:rPr>
            <w:noProof/>
            <w:webHidden/>
          </w:rPr>
          <w:fldChar w:fldCharType="separate"/>
        </w:r>
        <w:r>
          <w:rPr>
            <w:noProof/>
            <w:webHidden/>
          </w:rPr>
          <w:t>35</w:t>
        </w:r>
        <w:r w:rsidR="000B5B16">
          <w:rPr>
            <w:noProof/>
            <w:webHidden/>
          </w:rPr>
          <w:fldChar w:fldCharType="end"/>
        </w:r>
      </w:hyperlink>
    </w:p>
    <w:p w14:paraId="1DC52146" w14:textId="4937072E" w:rsidR="000B5B16" w:rsidRDefault="00C7789C">
      <w:pPr>
        <w:pStyle w:val="TOC3"/>
        <w:rPr>
          <w:rFonts w:asciiTheme="minorHAnsi" w:eastAsiaTheme="minorEastAsia" w:hAnsiTheme="minorHAnsi"/>
          <w:noProof/>
          <w:kern w:val="2"/>
          <w:sz w:val="22"/>
          <w14:ligatures w14:val="standardContextual"/>
        </w:rPr>
      </w:pPr>
      <w:hyperlink w:anchor="_Toc144634479" w:history="1">
        <w:r w:rsidR="000B5B16" w:rsidRPr="00176122">
          <w:rPr>
            <w:rStyle w:val="Hyperlink"/>
            <w:rFonts w:ascii="Californian FB" w:eastAsia="Times New Roman" w:hAnsi="Californian FB" w:cs="Times New Roman"/>
            <w:b/>
            <w:noProof/>
          </w:rPr>
          <w:t>Alabama</w:t>
        </w:r>
        <w:r w:rsidR="000B5B16">
          <w:rPr>
            <w:noProof/>
            <w:webHidden/>
          </w:rPr>
          <w:tab/>
        </w:r>
        <w:r w:rsidR="000B5B16">
          <w:rPr>
            <w:noProof/>
            <w:webHidden/>
          </w:rPr>
          <w:fldChar w:fldCharType="begin"/>
        </w:r>
        <w:r w:rsidR="000B5B16">
          <w:rPr>
            <w:noProof/>
            <w:webHidden/>
          </w:rPr>
          <w:instrText xml:space="preserve"> PAGEREF _Toc144634479 \h </w:instrText>
        </w:r>
        <w:r w:rsidR="000B5B16">
          <w:rPr>
            <w:noProof/>
            <w:webHidden/>
          </w:rPr>
        </w:r>
        <w:r w:rsidR="000B5B16">
          <w:rPr>
            <w:noProof/>
            <w:webHidden/>
          </w:rPr>
          <w:fldChar w:fldCharType="separate"/>
        </w:r>
        <w:r>
          <w:rPr>
            <w:noProof/>
            <w:webHidden/>
          </w:rPr>
          <w:t>35</w:t>
        </w:r>
        <w:r w:rsidR="000B5B16">
          <w:rPr>
            <w:noProof/>
            <w:webHidden/>
          </w:rPr>
          <w:fldChar w:fldCharType="end"/>
        </w:r>
      </w:hyperlink>
    </w:p>
    <w:p w14:paraId="2E9A4848" w14:textId="367F6546" w:rsidR="000B5B16" w:rsidRDefault="00C7789C">
      <w:pPr>
        <w:pStyle w:val="TOC3"/>
        <w:rPr>
          <w:rFonts w:asciiTheme="minorHAnsi" w:eastAsiaTheme="minorEastAsia" w:hAnsiTheme="minorHAnsi"/>
          <w:noProof/>
          <w:kern w:val="2"/>
          <w:sz w:val="22"/>
          <w14:ligatures w14:val="standardContextual"/>
        </w:rPr>
      </w:pPr>
      <w:hyperlink w:anchor="_Toc144634480" w:history="1">
        <w:r w:rsidR="000B5B16" w:rsidRPr="00176122">
          <w:rPr>
            <w:rStyle w:val="Hyperlink"/>
            <w:rFonts w:ascii="Californian FB" w:eastAsia="Times New Roman" w:hAnsi="Californian FB" w:cs="Times New Roman"/>
            <w:b/>
            <w:noProof/>
          </w:rPr>
          <w:t>California</w:t>
        </w:r>
        <w:r w:rsidR="000B5B16">
          <w:rPr>
            <w:noProof/>
            <w:webHidden/>
          </w:rPr>
          <w:tab/>
        </w:r>
        <w:r w:rsidR="000B5B16">
          <w:rPr>
            <w:noProof/>
            <w:webHidden/>
          </w:rPr>
          <w:fldChar w:fldCharType="begin"/>
        </w:r>
        <w:r w:rsidR="000B5B16">
          <w:rPr>
            <w:noProof/>
            <w:webHidden/>
          </w:rPr>
          <w:instrText xml:space="preserve"> PAGEREF _Toc144634480 \h </w:instrText>
        </w:r>
        <w:r w:rsidR="000B5B16">
          <w:rPr>
            <w:noProof/>
            <w:webHidden/>
          </w:rPr>
        </w:r>
        <w:r w:rsidR="000B5B16">
          <w:rPr>
            <w:noProof/>
            <w:webHidden/>
          </w:rPr>
          <w:fldChar w:fldCharType="separate"/>
        </w:r>
        <w:r>
          <w:rPr>
            <w:noProof/>
            <w:webHidden/>
          </w:rPr>
          <w:t>35</w:t>
        </w:r>
        <w:r w:rsidR="000B5B16">
          <w:rPr>
            <w:noProof/>
            <w:webHidden/>
          </w:rPr>
          <w:fldChar w:fldCharType="end"/>
        </w:r>
      </w:hyperlink>
    </w:p>
    <w:p w14:paraId="6FD3C16E" w14:textId="194FF08E" w:rsidR="000B5B16" w:rsidRDefault="00C7789C">
      <w:pPr>
        <w:pStyle w:val="TOC3"/>
        <w:rPr>
          <w:rFonts w:asciiTheme="minorHAnsi" w:eastAsiaTheme="minorEastAsia" w:hAnsiTheme="minorHAnsi"/>
          <w:noProof/>
          <w:kern w:val="2"/>
          <w:sz w:val="22"/>
          <w14:ligatures w14:val="standardContextual"/>
        </w:rPr>
      </w:pPr>
      <w:hyperlink w:anchor="_Toc144634481" w:history="1">
        <w:r w:rsidR="000B5B16" w:rsidRPr="00176122">
          <w:rPr>
            <w:rStyle w:val="Hyperlink"/>
            <w:rFonts w:ascii="Californian FB" w:eastAsia="Times New Roman" w:hAnsi="Californian FB" w:cs="Times New Roman"/>
            <w:b/>
            <w:noProof/>
          </w:rPr>
          <w:t>Colorado</w:t>
        </w:r>
        <w:r w:rsidR="000B5B16">
          <w:rPr>
            <w:noProof/>
            <w:webHidden/>
          </w:rPr>
          <w:tab/>
        </w:r>
        <w:r w:rsidR="000B5B16">
          <w:rPr>
            <w:noProof/>
            <w:webHidden/>
          </w:rPr>
          <w:fldChar w:fldCharType="begin"/>
        </w:r>
        <w:r w:rsidR="000B5B16">
          <w:rPr>
            <w:noProof/>
            <w:webHidden/>
          </w:rPr>
          <w:instrText xml:space="preserve"> PAGEREF _Toc144634481 \h </w:instrText>
        </w:r>
        <w:r w:rsidR="000B5B16">
          <w:rPr>
            <w:noProof/>
            <w:webHidden/>
          </w:rPr>
        </w:r>
        <w:r w:rsidR="000B5B16">
          <w:rPr>
            <w:noProof/>
            <w:webHidden/>
          </w:rPr>
          <w:fldChar w:fldCharType="separate"/>
        </w:r>
        <w:r>
          <w:rPr>
            <w:noProof/>
            <w:webHidden/>
          </w:rPr>
          <w:t>37</w:t>
        </w:r>
        <w:r w:rsidR="000B5B16">
          <w:rPr>
            <w:noProof/>
            <w:webHidden/>
          </w:rPr>
          <w:fldChar w:fldCharType="end"/>
        </w:r>
      </w:hyperlink>
    </w:p>
    <w:p w14:paraId="29B0798C" w14:textId="77FE3B10" w:rsidR="000B5B16" w:rsidRDefault="00C7789C">
      <w:pPr>
        <w:pStyle w:val="TOC3"/>
        <w:rPr>
          <w:rFonts w:asciiTheme="minorHAnsi" w:eastAsiaTheme="minorEastAsia" w:hAnsiTheme="minorHAnsi"/>
          <w:noProof/>
          <w:kern w:val="2"/>
          <w:sz w:val="22"/>
          <w14:ligatures w14:val="standardContextual"/>
        </w:rPr>
      </w:pPr>
      <w:hyperlink w:anchor="_Toc144634482" w:history="1">
        <w:r w:rsidR="000B5B16" w:rsidRPr="00176122">
          <w:rPr>
            <w:rStyle w:val="Hyperlink"/>
            <w:rFonts w:ascii="Californian FB" w:eastAsia="Times New Roman" w:hAnsi="Californian FB" w:cs="Times New Roman"/>
            <w:b/>
            <w:noProof/>
          </w:rPr>
          <w:t>Connecticut</w:t>
        </w:r>
        <w:r w:rsidR="000B5B16">
          <w:rPr>
            <w:noProof/>
            <w:webHidden/>
          </w:rPr>
          <w:tab/>
        </w:r>
        <w:r w:rsidR="000B5B16">
          <w:rPr>
            <w:noProof/>
            <w:webHidden/>
          </w:rPr>
          <w:fldChar w:fldCharType="begin"/>
        </w:r>
        <w:r w:rsidR="000B5B16">
          <w:rPr>
            <w:noProof/>
            <w:webHidden/>
          </w:rPr>
          <w:instrText xml:space="preserve"> PAGEREF _Toc144634482 \h </w:instrText>
        </w:r>
        <w:r w:rsidR="000B5B16">
          <w:rPr>
            <w:noProof/>
            <w:webHidden/>
          </w:rPr>
        </w:r>
        <w:r w:rsidR="000B5B16">
          <w:rPr>
            <w:noProof/>
            <w:webHidden/>
          </w:rPr>
          <w:fldChar w:fldCharType="separate"/>
        </w:r>
        <w:r>
          <w:rPr>
            <w:noProof/>
            <w:webHidden/>
          </w:rPr>
          <w:t>37</w:t>
        </w:r>
        <w:r w:rsidR="000B5B16">
          <w:rPr>
            <w:noProof/>
            <w:webHidden/>
          </w:rPr>
          <w:fldChar w:fldCharType="end"/>
        </w:r>
      </w:hyperlink>
    </w:p>
    <w:p w14:paraId="7233A894" w14:textId="2730FDFA" w:rsidR="000B5B16" w:rsidRDefault="00C7789C">
      <w:pPr>
        <w:pStyle w:val="TOC3"/>
        <w:rPr>
          <w:rFonts w:asciiTheme="minorHAnsi" w:eastAsiaTheme="minorEastAsia" w:hAnsiTheme="minorHAnsi"/>
          <w:noProof/>
          <w:kern w:val="2"/>
          <w:sz w:val="22"/>
          <w14:ligatures w14:val="standardContextual"/>
        </w:rPr>
      </w:pPr>
      <w:hyperlink w:anchor="_Toc144634483" w:history="1">
        <w:r w:rsidR="000B5B16" w:rsidRPr="00176122">
          <w:rPr>
            <w:rStyle w:val="Hyperlink"/>
            <w:rFonts w:ascii="Californian FB" w:eastAsia="Times New Roman" w:hAnsi="Californian FB" w:cs="Times New Roman"/>
            <w:b/>
            <w:noProof/>
          </w:rPr>
          <w:t>Georgia</w:t>
        </w:r>
        <w:r w:rsidR="000B5B16">
          <w:rPr>
            <w:noProof/>
            <w:webHidden/>
          </w:rPr>
          <w:tab/>
        </w:r>
        <w:r w:rsidR="000B5B16">
          <w:rPr>
            <w:noProof/>
            <w:webHidden/>
          </w:rPr>
          <w:fldChar w:fldCharType="begin"/>
        </w:r>
        <w:r w:rsidR="000B5B16">
          <w:rPr>
            <w:noProof/>
            <w:webHidden/>
          </w:rPr>
          <w:instrText xml:space="preserve"> PAGEREF _Toc144634483 \h </w:instrText>
        </w:r>
        <w:r w:rsidR="000B5B16">
          <w:rPr>
            <w:noProof/>
            <w:webHidden/>
          </w:rPr>
        </w:r>
        <w:r w:rsidR="000B5B16">
          <w:rPr>
            <w:noProof/>
            <w:webHidden/>
          </w:rPr>
          <w:fldChar w:fldCharType="separate"/>
        </w:r>
        <w:r>
          <w:rPr>
            <w:noProof/>
            <w:webHidden/>
          </w:rPr>
          <w:t>38</w:t>
        </w:r>
        <w:r w:rsidR="000B5B16">
          <w:rPr>
            <w:noProof/>
            <w:webHidden/>
          </w:rPr>
          <w:fldChar w:fldCharType="end"/>
        </w:r>
      </w:hyperlink>
    </w:p>
    <w:p w14:paraId="42D722DD" w14:textId="23D844BF" w:rsidR="000B5B16" w:rsidRDefault="00C7789C">
      <w:pPr>
        <w:pStyle w:val="TOC3"/>
        <w:rPr>
          <w:rFonts w:asciiTheme="minorHAnsi" w:eastAsiaTheme="minorEastAsia" w:hAnsiTheme="minorHAnsi"/>
          <w:noProof/>
          <w:kern w:val="2"/>
          <w:sz w:val="22"/>
          <w14:ligatures w14:val="standardContextual"/>
        </w:rPr>
      </w:pPr>
      <w:hyperlink w:anchor="_Toc144634484" w:history="1">
        <w:r w:rsidR="000B5B16" w:rsidRPr="00176122">
          <w:rPr>
            <w:rStyle w:val="Hyperlink"/>
            <w:rFonts w:ascii="Californian FB" w:eastAsia="Times New Roman" w:hAnsi="Californian FB" w:cs="Times New Roman"/>
            <w:b/>
            <w:noProof/>
          </w:rPr>
          <w:t>Idaho</w:t>
        </w:r>
        <w:r w:rsidR="000B5B16">
          <w:rPr>
            <w:noProof/>
            <w:webHidden/>
          </w:rPr>
          <w:tab/>
        </w:r>
        <w:r w:rsidR="000B5B16">
          <w:rPr>
            <w:noProof/>
            <w:webHidden/>
          </w:rPr>
          <w:fldChar w:fldCharType="begin"/>
        </w:r>
        <w:r w:rsidR="000B5B16">
          <w:rPr>
            <w:noProof/>
            <w:webHidden/>
          </w:rPr>
          <w:instrText xml:space="preserve"> PAGEREF _Toc144634484 \h </w:instrText>
        </w:r>
        <w:r w:rsidR="000B5B16">
          <w:rPr>
            <w:noProof/>
            <w:webHidden/>
          </w:rPr>
        </w:r>
        <w:r w:rsidR="000B5B16">
          <w:rPr>
            <w:noProof/>
            <w:webHidden/>
          </w:rPr>
          <w:fldChar w:fldCharType="separate"/>
        </w:r>
        <w:r>
          <w:rPr>
            <w:noProof/>
            <w:webHidden/>
          </w:rPr>
          <w:t>38</w:t>
        </w:r>
        <w:r w:rsidR="000B5B16">
          <w:rPr>
            <w:noProof/>
            <w:webHidden/>
          </w:rPr>
          <w:fldChar w:fldCharType="end"/>
        </w:r>
      </w:hyperlink>
    </w:p>
    <w:p w14:paraId="52613DBE" w14:textId="28E200FD" w:rsidR="000B5B16" w:rsidRDefault="00C7789C">
      <w:pPr>
        <w:pStyle w:val="TOC3"/>
        <w:rPr>
          <w:rFonts w:asciiTheme="minorHAnsi" w:eastAsiaTheme="minorEastAsia" w:hAnsiTheme="minorHAnsi"/>
          <w:noProof/>
          <w:kern w:val="2"/>
          <w:sz w:val="22"/>
          <w14:ligatures w14:val="standardContextual"/>
        </w:rPr>
      </w:pPr>
      <w:hyperlink w:anchor="_Toc144634485" w:history="1">
        <w:r w:rsidR="000B5B16" w:rsidRPr="00176122">
          <w:rPr>
            <w:rStyle w:val="Hyperlink"/>
            <w:rFonts w:ascii="Californian FB" w:eastAsia="Times New Roman" w:hAnsi="Californian FB" w:cs="Times New Roman"/>
            <w:b/>
            <w:noProof/>
          </w:rPr>
          <w:t>Illinois</w:t>
        </w:r>
        <w:r w:rsidR="000B5B16">
          <w:rPr>
            <w:noProof/>
            <w:webHidden/>
          </w:rPr>
          <w:tab/>
        </w:r>
        <w:r w:rsidR="000B5B16">
          <w:rPr>
            <w:noProof/>
            <w:webHidden/>
          </w:rPr>
          <w:fldChar w:fldCharType="begin"/>
        </w:r>
        <w:r w:rsidR="000B5B16">
          <w:rPr>
            <w:noProof/>
            <w:webHidden/>
          </w:rPr>
          <w:instrText xml:space="preserve"> PAGEREF _Toc144634485 \h </w:instrText>
        </w:r>
        <w:r w:rsidR="000B5B16">
          <w:rPr>
            <w:noProof/>
            <w:webHidden/>
          </w:rPr>
        </w:r>
        <w:r w:rsidR="000B5B16">
          <w:rPr>
            <w:noProof/>
            <w:webHidden/>
          </w:rPr>
          <w:fldChar w:fldCharType="separate"/>
        </w:r>
        <w:r>
          <w:rPr>
            <w:noProof/>
            <w:webHidden/>
          </w:rPr>
          <w:t>38</w:t>
        </w:r>
        <w:r w:rsidR="000B5B16">
          <w:rPr>
            <w:noProof/>
            <w:webHidden/>
          </w:rPr>
          <w:fldChar w:fldCharType="end"/>
        </w:r>
      </w:hyperlink>
    </w:p>
    <w:p w14:paraId="778A8A78" w14:textId="78913355" w:rsidR="000B5B16" w:rsidRDefault="00C7789C">
      <w:pPr>
        <w:pStyle w:val="TOC3"/>
        <w:rPr>
          <w:rFonts w:asciiTheme="minorHAnsi" w:eastAsiaTheme="minorEastAsia" w:hAnsiTheme="minorHAnsi"/>
          <w:noProof/>
          <w:kern w:val="2"/>
          <w:sz w:val="22"/>
          <w14:ligatures w14:val="standardContextual"/>
        </w:rPr>
      </w:pPr>
      <w:hyperlink w:anchor="_Toc144634486" w:history="1">
        <w:r w:rsidR="000B5B16" w:rsidRPr="00176122">
          <w:rPr>
            <w:rStyle w:val="Hyperlink"/>
            <w:rFonts w:ascii="Californian FB" w:eastAsia="Times New Roman" w:hAnsi="Californian FB" w:cs="Times New Roman"/>
            <w:b/>
            <w:noProof/>
          </w:rPr>
          <w:t>Kansas</w:t>
        </w:r>
        <w:r w:rsidR="000B5B16">
          <w:rPr>
            <w:noProof/>
            <w:webHidden/>
          </w:rPr>
          <w:tab/>
        </w:r>
        <w:r w:rsidR="000B5B16">
          <w:rPr>
            <w:noProof/>
            <w:webHidden/>
          </w:rPr>
          <w:fldChar w:fldCharType="begin"/>
        </w:r>
        <w:r w:rsidR="000B5B16">
          <w:rPr>
            <w:noProof/>
            <w:webHidden/>
          </w:rPr>
          <w:instrText xml:space="preserve"> PAGEREF _Toc144634486 \h </w:instrText>
        </w:r>
        <w:r w:rsidR="000B5B16">
          <w:rPr>
            <w:noProof/>
            <w:webHidden/>
          </w:rPr>
        </w:r>
        <w:r w:rsidR="000B5B16">
          <w:rPr>
            <w:noProof/>
            <w:webHidden/>
          </w:rPr>
          <w:fldChar w:fldCharType="separate"/>
        </w:r>
        <w:r>
          <w:rPr>
            <w:noProof/>
            <w:webHidden/>
          </w:rPr>
          <w:t>39</w:t>
        </w:r>
        <w:r w:rsidR="000B5B16">
          <w:rPr>
            <w:noProof/>
            <w:webHidden/>
          </w:rPr>
          <w:fldChar w:fldCharType="end"/>
        </w:r>
      </w:hyperlink>
    </w:p>
    <w:p w14:paraId="18EF25BE" w14:textId="2F873243" w:rsidR="000B5B16" w:rsidRDefault="00C7789C">
      <w:pPr>
        <w:pStyle w:val="TOC3"/>
        <w:rPr>
          <w:rFonts w:asciiTheme="minorHAnsi" w:eastAsiaTheme="minorEastAsia" w:hAnsiTheme="minorHAnsi"/>
          <w:noProof/>
          <w:kern w:val="2"/>
          <w:sz w:val="22"/>
          <w14:ligatures w14:val="standardContextual"/>
        </w:rPr>
      </w:pPr>
      <w:hyperlink w:anchor="_Toc144634487" w:history="1">
        <w:r w:rsidR="000B5B16" w:rsidRPr="00176122">
          <w:rPr>
            <w:rStyle w:val="Hyperlink"/>
            <w:rFonts w:ascii="Californian FB" w:eastAsia="Times New Roman" w:hAnsi="Californian FB" w:cs="Times New Roman"/>
            <w:b/>
            <w:noProof/>
          </w:rPr>
          <w:t>Maine</w:t>
        </w:r>
        <w:r w:rsidR="000B5B16">
          <w:rPr>
            <w:noProof/>
            <w:webHidden/>
          </w:rPr>
          <w:tab/>
        </w:r>
        <w:r w:rsidR="000B5B16">
          <w:rPr>
            <w:noProof/>
            <w:webHidden/>
          </w:rPr>
          <w:fldChar w:fldCharType="begin"/>
        </w:r>
        <w:r w:rsidR="000B5B16">
          <w:rPr>
            <w:noProof/>
            <w:webHidden/>
          </w:rPr>
          <w:instrText xml:space="preserve"> PAGEREF _Toc144634487 \h </w:instrText>
        </w:r>
        <w:r w:rsidR="000B5B16">
          <w:rPr>
            <w:noProof/>
            <w:webHidden/>
          </w:rPr>
        </w:r>
        <w:r w:rsidR="000B5B16">
          <w:rPr>
            <w:noProof/>
            <w:webHidden/>
          </w:rPr>
          <w:fldChar w:fldCharType="separate"/>
        </w:r>
        <w:r>
          <w:rPr>
            <w:noProof/>
            <w:webHidden/>
          </w:rPr>
          <w:t>39</w:t>
        </w:r>
        <w:r w:rsidR="000B5B16">
          <w:rPr>
            <w:noProof/>
            <w:webHidden/>
          </w:rPr>
          <w:fldChar w:fldCharType="end"/>
        </w:r>
      </w:hyperlink>
    </w:p>
    <w:p w14:paraId="29879F26" w14:textId="43253C3C" w:rsidR="000B5B16" w:rsidRDefault="00C7789C">
      <w:pPr>
        <w:pStyle w:val="TOC3"/>
        <w:rPr>
          <w:rFonts w:asciiTheme="minorHAnsi" w:eastAsiaTheme="minorEastAsia" w:hAnsiTheme="minorHAnsi"/>
          <w:noProof/>
          <w:kern w:val="2"/>
          <w:sz w:val="22"/>
          <w14:ligatures w14:val="standardContextual"/>
        </w:rPr>
      </w:pPr>
      <w:hyperlink w:anchor="_Toc144634488" w:history="1">
        <w:r w:rsidR="000B5B16" w:rsidRPr="00176122">
          <w:rPr>
            <w:rStyle w:val="Hyperlink"/>
            <w:rFonts w:ascii="Californian FB" w:eastAsia="Times New Roman" w:hAnsi="Californian FB" w:cs="Times New Roman"/>
            <w:b/>
            <w:noProof/>
          </w:rPr>
          <w:t>Maryland</w:t>
        </w:r>
        <w:r w:rsidR="000B5B16">
          <w:rPr>
            <w:noProof/>
            <w:webHidden/>
          </w:rPr>
          <w:tab/>
        </w:r>
        <w:r w:rsidR="000B5B16">
          <w:rPr>
            <w:noProof/>
            <w:webHidden/>
          </w:rPr>
          <w:fldChar w:fldCharType="begin"/>
        </w:r>
        <w:r w:rsidR="000B5B16">
          <w:rPr>
            <w:noProof/>
            <w:webHidden/>
          </w:rPr>
          <w:instrText xml:space="preserve"> PAGEREF _Toc144634488 \h </w:instrText>
        </w:r>
        <w:r w:rsidR="000B5B16">
          <w:rPr>
            <w:noProof/>
            <w:webHidden/>
          </w:rPr>
        </w:r>
        <w:r w:rsidR="000B5B16">
          <w:rPr>
            <w:noProof/>
            <w:webHidden/>
          </w:rPr>
          <w:fldChar w:fldCharType="separate"/>
        </w:r>
        <w:r>
          <w:rPr>
            <w:noProof/>
            <w:webHidden/>
          </w:rPr>
          <w:t>39</w:t>
        </w:r>
        <w:r w:rsidR="000B5B16">
          <w:rPr>
            <w:noProof/>
            <w:webHidden/>
          </w:rPr>
          <w:fldChar w:fldCharType="end"/>
        </w:r>
      </w:hyperlink>
    </w:p>
    <w:p w14:paraId="52F14653" w14:textId="27FF877A" w:rsidR="000B5B16" w:rsidRDefault="00C7789C">
      <w:pPr>
        <w:pStyle w:val="TOC3"/>
        <w:rPr>
          <w:rFonts w:asciiTheme="minorHAnsi" w:eastAsiaTheme="minorEastAsia" w:hAnsiTheme="minorHAnsi"/>
          <w:noProof/>
          <w:kern w:val="2"/>
          <w:sz w:val="22"/>
          <w14:ligatures w14:val="standardContextual"/>
        </w:rPr>
      </w:pPr>
      <w:hyperlink w:anchor="_Toc144634489" w:history="1">
        <w:r w:rsidR="000B5B16" w:rsidRPr="00176122">
          <w:rPr>
            <w:rStyle w:val="Hyperlink"/>
            <w:rFonts w:ascii="Californian FB" w:eastAsia="Times New Roman" w:hAnsi="Californian FB" w:cs="Times New Roman"/>
            <w:b/>
            <w:noProof/>
          </w:rPr>
          <w:t>Massachusetts</w:t>
        </w:r>
        <w:r w:rsidR="000B5B16">
          <w:rPr>
            <w:noProof/>
            <w:webHidden/>
          </w:rPr>
          <w:tab/>
        </w:r>
        <w:r w:rsidR="000B5B16">
          <w:rPr>
            <w:noProof/>
            <w:webHidden/>
          </w:rPr>
          <w:fldChar w:fldCharType="begin"/>
        </w:r>
        <w:r w:rsidR="000B5B16">
          <w:rPr>
            <w:noProof/>
            <w:webHidden/>
          </w:rPr>
          <w:instrText xml:space="preserve"> PAGEREF _Toc144634489 \h </w:instrText>
        </w:r>
        <w:r w:rsidR="000B5B16">
          <w:rPr>
            <w:noProof/>
            <w:webHidden/>
          </w:rPr>
        </w:r>
        <w:r w:rsidR="000B5B16">
          <w:rPr>
            <w:noProof/>
            <w:webHidden/>
          </w:rPr>
          <w:fldChar w:fldCharType="separate"/>
        </w:r>
        <w:r>
          <w:rPr>
            <w:noProof/>
            <w:webHidden/>
          </w:rPr>
          <w:t>39</w:t>
        </w:r>
        <w:r w:rsidR="000B5B16">
          <w:rPr>
            <w:noProof/>
            <w:webHidden/>
          </w:rPr>
          <w:fldChar w:fldCharType="end"/>
        </w:r>
      </w:hyperlink>
    </w:p>
    <w:p w14:paraId="0D23CFF9" w14:textId="596A2A35" w:rsidR="000B5B16" w:rsidRDefault="00C7789C">
      <w:pPr>
        <w:pStyle w:val="TOC3"/>
        <w:rPr>
          <w:rFonts w:asciiTheme="minorHAnsi" w:eastAsiaTheme="minorEastAsia" w:hAnsiTheme="minorHAnsi"/>
          <w:noProof/>
          <w:kern w:val="2"/>
          <w:sz w:val="22"/>
          <w14:ligatures w14:val="standardContextual"/>
        </w:rPr>
      </w:pPr>
      <w:hyperlink w:anchor="_Toc144634490" w:history="1">
        <w:r w:rsidR="000B5B16" w:rsidRPr="00176122">
          <w:rPr>
            <w:rStyle w:val="Hyperlink"/>
            <w:rFonts w:ascii="Californian FB" w:eastAsia="Times New Roman" w:hAnsi="Californian FB" w:cs="Times New Roman"/>
            <w:b/>
            <w:noProof/>
          </w:rPr>
          <w:t>Michigan</w:t>
        </w:r>
        <w:r w:rsidR="000B5B16">
          <w:rPr>
            <w:noProof/>
            <w:webHidden/>
          </w:rPr>
          <w:tab/>
        </w:r>
        <w:r w:rsidR="000B5B16">
          <w:rPr>
            <w:noProof/>
            <w:webHidden/>
          </w:rPr>
          <w:fldChar w:fldCharType="begin"/>
        </w:r>
        <w:r w:rsidR="000B5B16">
          <w:rPr>
            <w:noProof/>
            <w:webHidden/>
          </w:rPr>
          <w:instrText xml:space="preserve"> PAGEREF _Toc144634490 \h </w:instrText>
        </w:r>
        <w:r w:rsidR="000B5B16">
          <w:rPr>
            <w:noProof/>
            <w:webHidden/>
          </w:rPr>
        </w:r>
        <w:r w:rsidR="000B5B16">
          <w:rPr>
            <w:noProof/>
            <w:webHidden/>
          </w:rPr>
          <w:fldChar w:fldCharType="separate"/>
        </w:r>
        <w:r>
          <w:rPr>
            <w:noProof/>
            <w:webHidden/>
          </w:rPr>
          <w:t>40</w:t>
        </w:r>
        <w:r w:rsidR="000B5B16">
          <w:rPr>
            <w:noProof/>
            <w:webHidden/>
          </w:rPr>
          <w:fldChar w:fldCharType="end"/>
        </w:r>
      </w:hyperlink>
    </w:p>
    <w:p w14:paraId="31EE3390" w14:textId="73C99BA1" w:rsidR="000B5B16" w:rsidRDefault="00C7789C">
      <w:pPr>
        <w:pStyle w:val="TOC3"/>
        <w:rPr>
          <w:rFonts w:asciiTheme="minorHAnsi" w:eastAsiaTheme="minorEastAsia" w:hAnsiTheme="minorHAnsi"/>
          <w:noProof/>
          <w:kern w:val="2"/>
          <w:sz w:val="22"/>
          <w14:ligatures w14:val="standardContextual"/>
        </w:rPr>
      </w:pPr>
      <w:hyperlink w:anchor="_Toc144634491" w:history="1">
        <w:r w:rsidR="000B5B16" w:rsidRPr="00176122">
          <w:rPr>
            <w:rStyle w:val="Hyperlink"/>
            <w:rFonts w:ascii="Californian FB" w:eastAsia="Times New Roman" w:hAnsi="Californian FB" w:cs="Times New Roman"/>
            <w:b/>
            <w:noProof/>
          </w:rPr>
          <w:t>Minnesota</w:t>
        </w:r>
        <w:r w:rsidR="000B5B16">
          <w:rPr>
            <w:noProof/>
            <w:webHidden/>
          </w:rPr>
          <w:tab/>
        </w:r>
        <w:r w:rsidR="000B5B16">
          <w:rPr>
            <w:noProof/>
            <w:webHidden/>
          </w:rPr>
          <w:fldChar w:fldCharType="begin"/>
        </w:r>
        <w:r w:rsidR="000B5B16">
          <w:rPr>
            <w:noProof/>
            <w:webHidden/>
          </w:rPr>
          <w:instrText xml:space="preserve"> PAGEREF _Toc144634491 \h </w:instrText>
        </w:r>
        <w:r w:rsidR="000B5B16">
          <w:rPr>
            <w:noProof/>
            <w:webHidden/>
          </w:rPr>
        </w:r>
        <w:r w:rsidR="000B5B16">
          <w:rPr>
            <w:noProof/>
            <w:webHidden/>
          </w:rPr>
          <w:fldChar w:fldCharType="separate"/>
        </w:r>
        <w:r>
          <w:rPr>
            <w:noProof/>
            <w:webHidden/>
          </w:rPr>
          <w:t>40</w:t>
        </w:r>
        <w:r w:rsidR="000B5B16">
          <w:rPr>
            <w:noProof/>
            <w:webHidden/>
          </w:rPr>
          <w:fldChar w:fldCharType="end"/>
        </w:r>
      </w:hyperlink>
    </w:p>
    <w:p w14:paraId="1A3CE651" w14:textId="5D7D094F" w:rsidR="000B5B16" w:rsidRDefault="00C7789C">
      <w:pPr>
        <w:pStyle w:val="TOC3"/>
        <w:rPr>
          <w:rFonts w:asciiTheme="minorHAnsi" w:eastAsiaTheme="minorEastAsia" w:hAnsiTheme="minorHAnsi"/>
          <w:noProof/>
          <w:kern w:val="2"/>
          <w:sz w:val="22"/>
          <w14:ligatures w14:val="standardContextual"/>
        </w:rPr>
      </w:pPr>
      <w:hyperlink w:anchor="_Toc144634492" w:history="1">
        <w:r w:rsidR="000B5B16" w:rsidRPr="00176122">
          <w:rPr>
            <w:rStyle w:val="Hyperlink"/>
            <w:rFonts w:ascii="Californian FB" w:eastAsia="Times New Roman" w:hAnsi="Californian FB" w:cs="Times New Roman"/>
            <w:b/>
            <w:noProof/>
          </w:rPr>
          <w:t>Mississippi</w:t>
        </w:r>
        <w:r w:rsidR="000B5B16">
          <w:rPr>
            <w:noProof/>
            <w:webHidden/>
          </w:rPr>
          <w:tab/>
        </w:r>
        <w:r w:rsidR="000B5B16">
          <w:rPr>
            <w:noProof/>
            <w:webHidden/>
          </w:rPr>
          <w:fldChar w:fldCharType="begin"/>
        </w:r>
        <w:r w:rsidR="000B5B16">
          <w:rPr>
            <w:noProof/>
            <w:webHidden/>
          </w:rPr>
          <w:instrText xml:space="preserve"> PAGEREF _Toc144634492 \h </w:instrText>
        </w:r>
        <w:r w:rsidR="000B5B16">
          <w:rPr>
            <w:noProof/>
            <w:webHidden/>
          </w:rPr>
        </w:r>
        <w:r w:rsidR="000B5B16">
          <w:rPr>
            <w:noProof/>
            <w:webHidden/>
          </w:rPr>
          <w:fldChar w:fldCharType="separate"/>
        </w:r>
        <w:r>
          <w:rPr>
            <w:noProof/>
            <w:webHidden/>
          </w:rPr>
          <w:t>41</w:t>
        </w:r>
        <w:r w:rsidR="000B5B16">
          <w:rPr>
            <w:noProof/>
            <w:webHidden/>
          </w:rPr>
          <w:fldChar w:fldCharType="end"/>
        </w:r>
      </w:hyperlink>
    </w:p>
    <w:p w14:paraId="2D5C8473" w14:textId="0CCDCC81" w:rsidR="000B5B16" w:rsidRDefault="00C7789C">
      <w:pPr>
        <w:pStyle w:val="TOC3"/>
        <w:rPr>
          <w:rFonts w:asciiTheme="minorHAnsi" w:eastAsiaTheme="minorEastAsia" w:hAnsiTheme="minorHAnsi"/>
          <w:noProof/>
          <w:kern w:val="2"/>
          <w:sz w:val="22"/>
          <w14:ligatures w14:val="standardContextual"/>
        </w:rPr>
      </w:pPr>
      <w:hyperlink w:anchor="_Toc144634493" w:history="1">
        <w:r w:rsidR="000B5B16" w:rsidRPr="00176122">
          <w:rPr>
            <w:rStyle w:val="Hyperlink"/>
            <w:rFonts w:ascii="Californian FB" w:eastAsia="Times New Roman" w:hAnsi="Californian FB" w:cs="Times New Roman"/>
            <w:b/>
            <w:noProof/>
          </w:rPr>
          <w:t>Missouri</w:t>
        </w:r>
        <w:r w:rsidR="000B5B16">
          <w:rPr>
            <w:noProof/>
            <w:webHidden/>
          </w:rPr>
          <w:tab/>
        </w:r>
        <w:r w:rsidR="000B5B16">
          <w:rPr>
            <w:noProof/>
            <w:webHidden/>
          </w:rPr>
          <w:fldChar w:fldCharType="begin"/>
        </w:r>
        <w:r w:rsidR="000B5B16">
          <w:rPr>
            <w:noProof/>
            <w:webHidden/>
          </w:rPr>
          <w:instrText xml:space="preserve"> PAGEREF _Toc144634493 \h </w:instrText>
        </w:r>
        <w:r w:rsidR="000B5B16">
          <w:rPr>
            <w:noProof/>
            <w:webHidden/>
          </w:rPr>
        </w:r>
        <w:r w:rsidR="000B5B16">
          <w:rPr>
            <w:noProof/>
            <w:webHidden/>
          </w:rPr>
          <w:fldChar w:fldCharType="separate"/>
        </w:r>
        <w:r>
          <w:rPr>
            <w:noProof/>
            <w:webHidden/>
          </w:rPr>
          <w:t>41</w:t>
        </w:r>
        <w:r w:rsidR="000B5B16">
          <w:rPr>
            <w:noProof/>
            <w:webHidden/>
          </w:rPr>
          <w:fldChar w:fldCharType="end"/>
        </w:r>
      </w:hyperlink>
    </w:p>
    <w:p w14:paraId="5151ED25" w14:textId="68D30721" w:rsidR="000B5B16" w:rsidRDefault="00C7789C">
      <w:pPr>
        <w:pStyle w:val="TOC3"/>
        <w:rPr>
          <w:rFonts w:asciiTheme="minorHAnsi" w:eastAsiaTheme="minorEastAsia" w:hAnsiTheme="minorHAnsi"/>
          <w:noProof/>
          <w:kern w:val="2"/>
          <w:sz w:val="22"/>
          <w14:ligatures w14:val="standardContextual"/>
        </w:rPr>
      </w:pPr>
      <w:hyperlink w:anchor="_Toc144634494" w:history="1">
        <w:r w:rsidR="000B5B16" w:rsidRPr="00176122">
          <w:rPr>
            <w:rStyle w:val="Hyperlink"/>
            <w:rFonts w:ascii="Californian FB" w:eastAsia="Times New Roman" w:hAnsi="Californian FB" w:cs="Times New Roman"/>
            <w:b/>
            <w:noProof/>
          </w:rPr>
          <w:t>Montana</w:t>
        </w:r>
        <w:r w:rsidR="000B5B16">
          <w:rPr>
            <w:noProof/>
            <w:webHidden/>
          </w:rPr>
          <w:tab/>
        </w:r>
        <w:r w:rsidR="000B5B16">
          <w:rPr>
            <w:noProof/>
            <w:webHidden/>
          </w:rPr>
          <w:fldChar w:fldCharType="begin"/>
        </w:r>
        <w:r w:rsidR="000B5B16">
          <w:rPr>
            <w:noProof/>
            <w:webHidden/>
          </w:rPr>
          <w:instrText xml:space="preserve"> PAGEREF _Toc144634494 \h </w:instrText>
        </w:r>
        <w:r w:rsidR="000B5B16">
          <w:rPr>
            <w:noProof/>
            <w:webHidden/>
          </w:rPr>
        </w:r>
        <w:r w:rsidR="000B5B16">
          <w:rPr>
            <w:noProof/>
            <w:webHidden/>
          </w:rPr>
          <w:fldChar w:fldCharType="separate"/>
        </w:r>
        <w:r>
          <w:rPr>
            <w:noProof/>
            <w:webHidden/>
          </w:rPr>
          <w:t>41</w:t>
        </w:r>
        <w:r w:rsidR="000B5B16">
          <w:rPr>
            <w:noProof/>
            <w:webHidden/>
          </w:rPr>
          <w:fldChar w:fldCharType="end"/>
        </w:r>
      </w:hyperlink>
    </w:p>
    <w:p w14:paraId="4F037537" w14:textId="68E5A612" w:rsidR="000B5B16" w:rsidRDefault="00C7789C">
      <w:pPr>
        <w:pStyle w:val="TOC3"/>
        <w:rPr>
          <w:rFonts w:asciiTheme="minorHAnsi" w:eastAsiaTheme="minorEastAsia" w:hAnsiTheme="minorHAnsi"/>
          <w:noProof/>
          <w:kern w:val="2"/>
          <w:sz w:val="22"/>
          <w14:ligatures w14:val="standardContextual"/>
        </w:rPr>
      </w:pPr>
      <w:hyperlink w:anchor="_Toc144634495" w:history="1">
        <w:r w:rsidR="000B5B16" w:rsidRPr="00176122">
          <w:rPr>
            <w:rStyle w:val="Hyperlink"/>
            <w:rFonts w:ascii="Californian FB" w:eastAsia="Times New Roman" w:hAnsi="Californian FB" w:cs="Times New Roman"/>
            <w:b/>
            <w:noProof/>
          </w:rPr>
          <w:t>Nebraska</w:t>
        </w:r>
        <w:r w:rsidR="000B5B16">
          <w:rPr>
            <w:noProof/>
            <w:webHidden/>
          </w:rPr>
          <w:tab/>
        </w:r>
        <w:r w:rsidR="000B5B16">
          <w:rPr>
            <w:noProof/>
            <w:webHidden/>
          </w:rPr>
          <w:fldChar w:fldCharType="begin"/>
        </w:r>
        <w:r w:rsidR="000B5B16">
          <w:rPr>
            <w:noProof/>
            <w:webHidden/>
          </w:rPr>
          <w:instrText xml:space="preserve"> PAGEREF _Toc144634495 \h </w:instrText>
        </w:r>
        <w:r w:rsidR="000B5B16">
          <w:rPr>
            <w:noProof/>
            <w:webHidden/>
          </w:rPr>
        </w:r>
        <w:r w:rsidR="000B5B16">
          <w:rPr>
            <w:noProof/>
            <w:webHidden/>
          </w:rPr>
          <w:fldChar w:fldCharType="separate"/>
        </w:r>
        <w:r>
          <w:rPr>
            <w:noProof/>
            <w:webHidden/>
          </w:rPr>
          <w:t>42</w:t>
        </w:r>
        <w:r w:rsidR="000B5B16">
          <w:rPr>
            <w:noProof/>
            <w:webHidden/>
          </w:rPr>
          <w:fldChar w:fldCharType="end"/>
        </w:r>
      </w:hyperlink>
    </w:p>
    <w:p w14:paraId="52B4917A" w14:textId="05490BA9" w:rsidR="000B5B16" w:rsidRDefault="00C7789C">
      <w:pPr>
        <w:pStyle w:val="TOC3"/>
        <w:rPr>
          <w:rFonts w:asciiTheme="minorHAnsi" w:eastAsiaTheme="minorEastAsia" w:hAnsiTheme="minorHAnsi"/>
          <w:noProof/>
          <w:kern w:val="2"/>
          <w:sz w:val="22"/>
          <w14:ligatures w14:val="standardContextual"/>
        </w:rPr>
      </w:pPr>
      <w:hyperlink w:anchor="_Toc144634496" w:history="1">
        <w:r w:rsidR="000B5B16" w:rsidRPr="00176122">
          <w:rPr>
            <w:rStyle w:val="Hyperlink"/>
            <w:rFonts w:ascii="Californian FB" w:eastAsia="Times New Roman" w:hAnsi="Californian FB" w:cs="Times New Roman"/>
            <w:b/>
            <w:noProof/>
          </w:rPr>
          <w:t>New Jersey</w:t>
        </w:r>
        <w:r w:rsidR="000B5B16">
          <w:rPr>
            <w:noProof/>
            <w:webHidden/>
          </w:rPr>
          <w:tab/>
        </w:r>
        <w:r w:rsidR="000B5B16">
          <w:rPr>
            <w:noProof/>
            <w:webHidden/>
          </w:rPr>
          <w:fldChar w:fldCharType="begin"/>
        </w:r>
        <w:r w:rsidR="000B5B16">
          <w:rPr>
            <w:noProof/>
            <w:webHidden/>
          </w:rPr>
          <w:instrText xml:space="preserve"> PAGEREF _Toc144634496 \h </w:instrText>
        </w:r>
        <w:r w:rsidR="000B5B16">
          <w:rPr>
            <w:noProof/>
            <w:webHidden/>
          </w:rPr>
        </w:r>
        <w:r w:rsidR="000B5B16">
          <w:rPr>
            <w:noProof/>
            <w:webHidden/>
          </w:rPr>
          <w:fldChar w:fldCharType="separate"/>
        </w:r>
        <w:r>
          <w:rPr>
            <w:noProof/>
            <w:webHidden/>
          </w:rPr>
          <w:t>42</w:t>
        </w:r>
        <w:r w:rsidR="000B5B16">
          <w:rPr>
            <w:noProof/>
            <w:webHidden/>
          </w:rPr>
          <w:fldChar w:fldCharType="end"/>
        </w:r>
      </w:hyperlink>
    </w:p>
    <w:p w14:paraId="743DCEA2" w14:textId="657D8C21" w:rsidR="000B5B16" w:rsidRDefault="00C7789C">
      <w:pPr>
        <w:pStyle w:val="TOC3"/>
        <w:rPr>
          <w:rFonts w:asciiTheme="minorHAnsi" w:eastAsiaTheme="minorEastAsia" w:hAnsiTheme="minorHAnsi"/>
          <w:noProof/>
          <w:kern w:val="2"/>
          <w:sz w:val="22"/>
          <w14:ligatures w14:val="standardContextual"/>
        </w:rPr>
      </w:pPr>
      <w:hyperlink w:anchor="_Toc144634497" w:history="1">
        <w:r w:rsidR="000B5B16" w:rsidRPr="00176122">
          <w:rPr>
            <w:rStyle w:val="Hyperlink"/>
            <w:rFonts w:ascii="Californian FB" w:eastAsia="Times New Roman" w:hAnsi="Californian FB" w:cs="Times New Roman"/>
            <w:b/>
            <w:noProof/>
          </w:rPr>
          <w:t>New Mexico</w:t>
        </w:r>
        <w:r w:rsidR="000B5B16">
          <w:rPr>
            <w:noProof/>
            <w:webHidden/>
          </w:rPr>
          <w:tab/>
        </w:r>
        <w:r w:rsidR="000B5B16">
          <w:rPr>
            <w:noProof/>
            <w:webHidden/>
          </w:rPr>
          <w:fldChar w:fldCharType="begin"/>
        </w:r>
        <w:r w:rsidR="000B5B16">
          <w:rPr>
            <w:noProof/>
            <w:webHidden/>
          </w:rPr>
          <w:instrText xml:space="preserve"> PAGEREF _Toc144634497 \h </w:instrText>
        </w:r>
        <w:r w:rsidR="000B5B16">
          <w:rPr>
            <w:noProof/>
            <w:webHidden/>
          </w:rPr>
        </w:r>
        <w:r w:rsidR="000B5B16">
          <w:rPr>
            <w:noProof/>
            <w:webHidden/>
          </w:rPr>
          <w:fldChar w:fldCharType="separate"/>
        </w:r>
        <w:r>
          <w:rPr>
            <w:noProof/>
            <w:webHidden/>
          </w:rPr>
          <w:t>42</w:t>
        </w:r>
        <w:r w:rsidR="000B5B16">
          <w:rPr>
            <w:noProof/>
            <w:webHidden/>
          </w:rPr>
          <w:fldChar w:fldCharType="end"/>
        </w:r>
      </w:hyperlink>
    </w:p>
    <w:p w14:paraId="022D0A7A" w14:textId="6CB95363" w:rsidR="000B5B16" w:rsidRDefault="00C7789C">
      <w:pPr>
        <w:pStyle w:val="TOC3"/>
        <w:rPr>
          <w:rFonts w:asciiTheme="minorHAnsi" w:eastAsiaTheme="minorEastAsia" w:hAnsiTheme="minorHAnsi"/>
          <w:noProof/>
          <w:kern w:val="2"/>
          <w:sz w:val="22"/>
          <w14:ligatures w14:val="standardContextual"/>
        </w:rPr>
      </w:pPr>
      <w:hyperlink w:anchor="_Toc144634498" w:history="1">
        <w:r w:rsidR="000B5B16" w:rsidRPr="00176122">
          <w:rPr>
            <w:rStyle w:val="Hyperlink"/>
            <w:rFonts w:ascii="Californian FB" w:eastAsia="Times New Roman" w:hAnsi="Californian FB" w:cs="Times New Roman"/>
            <w:b/>
            <w:noProof/>
          </w:rPr>
          <w:t>New York</w:t>
        </w:r>
        <w:r w:rsidR="000B5B16">
          <w:rPr>
            <w:noProof/>
            <w:webHidden/>
          </w:rPr>
          <w:tab/>
        </w:r>
        <w:r w:rsidR="000B5B16">
          <w:rPr>
            <w:noProof/>
            <w:webHidden/>
          </w:rPr>
          <w:fldChar w:fldCharType="begin"/>
        </w:r>
        <w:r w:rsidR="000B5B16">
          <w:rPr>
            <w:noProof/>
            <w:webHidden/>
          </w:rPr>
          <w:instrText xml:space="preserve"> PAGEREF _Toc144634498 \h </w:instrText>
        </w:r>
        <w:r w:rsidR="000B5B16">
          <w:rPr>
            <w:noProof/>
            <w:webHidden/>
          </w:rPr>
        </w:r>
        <w:r w:rsidR="000B5B16">
          <w:rPr>
            <w:noProof/>
            <w:webHidden/>
          </w:rPr>
          <w:fldChar w:fldCharType="separate"/>
        </w:r>
        <w:r>
          <w:rPr>
            <w:noProof/>
            <w:webHidden/>
          </w:rPr>
          <w:t>43</w:t>
        </w:r>
        <w:r w:rsidR="000B5B16">
          <w:rPr>
            <w:noProof/>
            <w:webHidden/>
          </w:rPr>
          <w:fldChar w:fldCharType="end"/>
        </w:r>
      </w:hyperlink>
    </w:p>
    <w:p w14:paraId="14F793E9" w14:textId="300B4B68" w:rsidR="000B5B16" w:rsidRDefault="00C7789C">
      <w:pPr>
        <w:pStyle w:val="TOC3"/>
        <w:rPr>
          <w:rFonts w:asciiTheme="minorHAnsi" w:eastAsiaTheme="minorEastAsia" w:hAnsiTheme="minorHAnsi"/>
          <w:noProof/>
          <w:kern w:val="2"/>
          <w:sz w:val="22"/>
          <w14:ligatures w14:val="standardContextual"/>
        </w:rPr>
      </w:pPr>
      <w:hyperlink w:anchor="_Toc144634499" w:history="1">
        <w:r w:rsidR="000B5B16" w:rsidRPr="00176122">
          <w:rPr>
            <w:rStyle w:val="Hyperlink"/>
            <w:rFonts w:ascii="Californian FB" w:eastAsia="Times New Roman" w:hAnsi="Californian FB" w:cs="Times New Roman"/>
            <w:b/>
            <w:noProof/>
          </w:rPr>
          <w:t>North Carolina</w:t>
        </w:r>
        <w:r w:rsidR="000B5B16">
          <w:rPr>
            <w:noProof/>
            <w:webHidden/>
          </w:rPr>
          <w:tab/>
        </w:r>
        <w:r w:rsidR="000B5B16">
          <w:rPr>
            <w:noProof/>
            <w:webHidden/>
          </w:rPr>
          <w:fldChar w:fldCharType="begin"/>
        </w:r>
        <w:r w:rsidR="000B5B16">
          <w:rPr>
            <w:noProof/>
            <w:webHidden/>
          </w:rPr>
          <w:instrText xml:space="preserve"> PAGEREF _Toc144634499 \h </w:instrText>
        </w:r>
        <w:r w:rsidR="000B5B16">
          <w:rPr>
            <w:noProof/>
            <w:webHidden/>
          </w:rPr>
        </w:r>
        <w:r w:rsidR="000B5B16">
          <w:rPr>
            <w:noProof/>
            <w:webHidden/>
          </w:rPr>
          <w:fldChar w:fldCharType="separate"/>
        </w:r>
        <w:r>
          <w:rPr>
            <w:noProof/>
            <w:webHidden/>
          </w:rPr>
          <w:t>44</w:t>
        </w:r>
        <w:r w:rsidR="000B5B16">
          <w:rPr>
            <w:noProof/>
            <w:webHidden/>
          </w:rPr>
          <w:fldChar w:fldCharType="end"/>
        </w:r>
      </w:hyperlink>
    </w:p>
    <w:p w14:paraId="78F1FDDA" w14:textId="30E7FEAB" w:rsidR="000B5B16" w:rsidRDefault="00C7789C">
      <w:pPr>
        <w:pStyle w:val="TOC3"/>
        <w:rPr>
          <w:rFonts w:asciiTheme="minorHAnsi" w:eastAsiaTheme="minorEastAsia" w:hAnsiTheme="minorHAnsi"/>
          <w:noProof/>
          <w:kern w:val="2"/>
          <w:sz w:val="22"/>
          <w14:ligatures w14:val="standardContextual"/>
        </w:rPr>
      </w:pPr>
      <w:hyperlink w:anchor="_Toc144634500" w:history="1">
        <w:r w:rsidR="000B5B16" w:rsidRPr="00176122">
          <w:rPr>
            <w:rStyle w:val="Hyperlink"/>
            <w:rFonts w:ascii="Californian FB" w:eastAsia="Times New Roman" w:hAnsi="Californian FB" w:cs="Times New Roman"/>
            <w:b/>
            <w:noProof/>
          </w:rPr>
          <w:t>North Dakota</w:t>
        </w:r>
        <w:r w:rsidR="000B5B16">
          <w:rPr>
            <w:noProof/>
            <w:webHidden/>
          </w:rPr>
          <w:tab/>
        </w:r>
        <w:r w:rsidR="000B5B16">
          <w:rPr>
            <w:noProof/>
            <w:webHidden/>
          </w:rPr>
          <w:fldChar w:fldCharType="begin"/>
        </w:r>
        <w:r w:rsidR="000B5B16">
          <w:rPr>
            <w:noProof/>
            <w:webHidden/>
          </w:rPr>
          <w:instrText xml:space="preserve"> PAGEREF _Toc144634500 \h </w:instrText>
        </w:r>
        <w:r w:rsidR="000B5B16">
          <w:rPr>
            <w:noProof/>
            <w:webHidden/>
          </w:rPr>
        </w:r>
        <w:r w:rsidR="000B5B16">
          <w:rPr>
            <w:noProof/>
            <w:webHidden/>
          </w:rPr>
          <w:fldChar w:fldCharType="separate"/>
        </w:r>
        <w:r>
          <w:rPr>
            <w:noProof/>
            <w:webHidden/>
          </w:rPr>
          <w:t>45</w:t>
        </w:r>
        <w:r w:rsidR="000B5B16">
          <w:rPr>
            <w:noProof/>
            <w:webHidden/>
          </w:rPr>
          <w:fldChar w:fldCharType="end"/>
        </w:r>
      </w:hyperlink>
    </w:p>
    <w:p w14:paraId="76A48B7A" w14:textId="5AEE07A3" w:rsidR="000B5B16" w:rsidRDefault="00C7789C">
      <w:pPr>
        <w:pStyle w:val="TOC3"/>
        <w:rPr>
          <w:rFonts w:asciiTheme="minorHAnsi" w:eastAsiaTheme="minorEastAsia" w:hAnsiTheme="minorHAnsi"/>
          <w:noProof/>
          <w:kern w:val="2"/>
          <w:sz w:val="22"/>
          <w14:ligatures w14:val="standardContextual"/>
        </w:rPr>
      </w:pPr>
      <w:hyperlink w:anchor="_Toc144634501" w:history="1">
        <w:r w:rsidR="000B5B16" w:rsidRPr="00176122">
          <w:rPr>
            <w:rStyle w:val="Hyperlink"/>
            <w:rFonts w:ascii="Californian FB" w:eastAsia="Times New Roman" w:hAnsi="Californian FB" w:cs="Times New Roman"/>
            <w:b/>
            <w:noProof/>
          </w:rPr>
          <w:t>Ohio</w:t>
        </w:r>
        <w:r w:rsidR="000B5B16">
          <w:rPr>
            <w:noProof/>
            <w:webHidden/>
          </w:rPr>
          <w:tab/>
        </w:r>
        <w:r w:rsidR="000B5B16">
          <w:rPr>
            <w:noProof/>
            <w:webHidden/>
          </w:rPr>
          <w:fldChar w:fldCharType="begin"/>
        </w:r>
        <w:r w:rsidR="000B5B16">
          <w:rPr>
            <w:noProof/>
            <w:webHidden/>
          </w:rPr>
          <w:instrText xml:space="preserve"> PAGEREF _Toc144634501 \h </w:instrText>
        </w:r>
        <w:r w:rsidR="000B5B16">
          <w:rPr>
            <w:noProof/>
            <w:webHidden/>
          </w:rPr>
        </w:r>
        <w:r w:rsidR="000B5B16">
          <w:rPr>
            <w:noProof/>
            <w:webHidden/>
          </w:rPr>
          <w:fldChar w:fldCharType="separate"/>
        </w:r>
        <w:r>
          <w:rPr>
            <w:noProof/>
            <w:webHidden/>
          </w:rPr>
          <w:t>46</w:t>
        </w:r>
        <w:r w:rsidR="000B5B16">
          <w:rPr>
            <w:noProof/>
            <w:webHidden/>
          </w:rPr>
          <w:fldChar w:fldCharType="end"/>
        </w:r>
      </w:hyperlink>
    </w:p>
    <w:p w14:paraId="2187CE1E" w14:textId="58C7D98B" w:rsidR="000B5B16" w:rsidRDefault="00C7789C">
      <w:pPr>
        <w:pStyle w:val="TOC3"/>
        <w:rPr>
          <w:rFonts w:asciiTheme="minorHAnsi" w:eastAsiaTheme="minorEastAsia" w:hAnsiTheme="minorHAnsi"/>
          <w:noProof/>
          <w:kern w:val="2"/>
          <w:sz w:val="22"/>
          <w14:ligatures w14:val="standardContextual"/>
        </w:rPr>
      </w:pPr>
      <w:hyperlink w:anchor="_Toc144634502" w:history="1">
        <w:r w:rsidR="000B5B16" w:rsidRPr="00176122">
          <w:rPr>
            <w:rStyle w:val="Hyperlink"/>
            <w:rFonts w:ascii="Californian FB" w:eastAsia="Times New Roman" w:hAnsi="Californian FB" w:cs="Times New Roman"/>
            <w:b/>
            <w:noProof/>
          </w:rPr>
          <w:t>Oregon</w:t>
        </w:r>
        <w:r w:rsidR="000B5B16">
          <w:rPr>
            <w:noProof/>
            <w:webHidden/>
          </w:rPr>
          <w:tab/>
        </w:r>
        <w:r w:rsidR="000B5B16">
          <w:rPr>
            <w:noProof/>
            <w:webHidden/>
          </w:rPr>
          <w:fldChar w:fldCharType="begin"/>
        </w:r>
        <w:r w:rsidR="000B5B16">
          <w:rPr>
            <w:noProof/>
            <w:webHidden/>
          </w:rPr>
          <w:instrText xml:space="preserve"> PAGEREF _Toc144634502 \h </w:instrText>
        </w:r>
        <w:r w:rsidR="000B5B16">
          <w:rPr>
            <w:noProof/>
            <w:webHidden/>
          </w:rPr>
        </w:r>
        <w:r w:rsidR="000B5B16">
          <w:rPr>
            <w:noProof/>
            <w:webHidden/>
          </w:rPr>
          <w:fldChar w:fldCharType="separate"/>
        </w:r>
        <w:r>
          <w:rPr>
            <w:noProof/>
            <w:webHidden/>
          </w:rPr>
          <w:t>46</w:t>
        </w:r>
        <w:r w:rsidR="000B5B16">
          <w:rPr>
            <w:noProof/>
            <w:webHidden/>
          </w:rPr>
          <w:fldChar w:fldCharType="end"/>
        </w:r>
      </w:hyperlink>
    </w:p>
    <w:p w14:paraId="71FB260B" w14:textId="1D148E3F" w:rsidR="000B5B16" w:rsidRDefault="00C7789C">
      <w:pPr>
        <w:pStyle w:val="TOC3"/>
        <w:rPr>
          <w:rFonts w:asciiTheme="minorHAnsi" w:eastAsiaTheme="minorEastAsia" w:hAnsiTheme="minorHAnsi"/>
          <w:noProof/>
          <w:kern w:val="2"/>
          <w:sz w:val="22"/>
          <w14:ligatures w14:val="standardContextual"/>
        </w:rPr>
      </w:pPr>
      <w:hyperlink w:anchor="_Toc144634503" w:history="1">
        <w:r w:rsidR="000B5B16" w:rsidRPr="00176122">
          <w:rPr>
            <w:rStyle w:val="Hyperlink"/>
            <w:rFonts w:ascii="Californian FB" w:eastAsia="Times New Roman" w:hAnsi="Californian FB" w:cs="Times New Roman"/>
            <w:b/>
            <w:noProof/>
          </w:rPr>
          <w:t>Pennsylvania</w:t>
        </w:r>
        <w:r w:rsidR="000B5B16">
          <w:rPr>
            <w:noProof/>
            <w:webHidden/>
          </w:rPr>
          <w:tab/>
        </w:r>
        <w:r w:rsidR="000B5B16">
          <w:rPr>
            <w:noProof/>
            <w:webHidden/>
          </w:rPr>
          <w:fldChar w:fldCharType="begin"/>
        </w:r>
        <w:r w:rsidR="000B5B16">
          <w:rPr>
            <w:noProof/>
            <w:webHidden/>
          </w:rPr>
          <w:instrText xml:space="preserve"> PAGEREF _Toc144634503 \h </w:instrText>
        </w:r>
        <w:r w:rsidR="000B5B16">
          <w:rPr>
            <w:noProof/>
            <w:webHidden/>
          </w:rPr>
        </w:r>
        <w:r w:rsidR="000B5B16">
          <w:rPr>
            <w:noProof/>
            <w:webHidden/>
          </w:rPr>
          <w:fldChar w:fldCharType="separate"/>
        </w:r>
        <w:r>
          <w:rPr>
            <w:noProof/>
            <w:webHidden/>
          </w:rPr>
          <w:t>47</w:t>
        </w:r>
        <w:r w:rsidR="000B5B16">
          <w:rPr>
            <w:noProof/>
            <w:webHidden/>
          </w:rPr>
          <w:fldChar w:fldCharType="end"/>
        </w:r>
      </w:hyperlink>
    </w:p>
    <w:p w14:paraId="4AEF6955" w14:textId="2F0458A2" w:rsidR="000B5B16" w:rsidRDefault="00C7789C">
      <w:pPr>
        <w:pStyle w:val="TOC3"/>
        <w:rPr>
          <w:rFonts w:asciiTheme="minorHAnsi" w:eastAsiaTheme="minorEastAsia" w:hAnsiTheme="minorHAnsi"/>
          <w:noProof/>
          <w:kern w:val="2"/>
          <w:sz w:val="22"/>
          <w14:ligatures w14:val="standardContextual"/>
        </w:rPr>
      </w:pPr>
      <w:hyperlink w:anchor="_Toc144634504" w:history="1">
        <w:r w:rsidR="000B5B16" w:rsidRPr="00176122">
          <w:rPr>
            <w:rStyle w:val="Hyperlink"/>
            <w:rFonts w:ascii="Californian FB" w:eastAsia="Times New Roman" w:hAnsi="Californian FB" w:cs="Times New Roman"/>
            <w:b/>
            <w:noProof/>
          </w:rPr>
          <w:t>Rhode Island</w:t>
        </w:r>
        <w:r w:rsidR="000B5B16">
          <w:rPr>
            <w:noProof/>
            <w:webHidden/>
          </w:rPr>
          <w:tab/>
        </w:r>
        <w:r w:rsidR="000B5B16">
          <w:rPr>
            <w:noProof/>
            <w:webHidden/>
          </w:rPr>
          <w:fldChar w:fldCharType="begin"/>
        </w:r>
        <w:r w:rsidR="000B5B16">
          <w:rPr>
            <w:noProof/>
            <w:webHidden/>
          </w:rPr>
          <w:instrText xml:space="preserve"> PAGEREF _Toc144634504 \h </w:instrText>
        </w:r>
        <w:r w:rsidR="000B5B16">
          <w:rPr>
            <w:noProof/>
            <w:webHidden/>
          </w:rPr>
        </w:r>
        <w:r w:rsidR="000B5B16">
          <w:rPr>
            <w:noProof/>
            <w:webHidden/>
          </w:rPr>
          <w:fldChar w:fldCharType="separate"/>
        </w:r>
        <w:r>
          <w:rPr>
            <w:noProof/>
            <w:webHidden/>
          </w:rPr>
          <w:t>47</w:t>
        </w:r>
        <w:r w:rsidR="000B5B16">
          <w:rPr>
            <w:noProof/>
            <w:webHidden/>
          </w:rPr>
          <w:fldChar w:fldCharType="end"/>
        </w:r>
      </w:hyperlink>
    </w:p>
    <w:p w14:paraId="5DA8CD1A" w14:textId="3DA8FF4E" w:rsidR="000B5B16" w:rsidRDefault="00C7789C">
      <w:pPr>
        <w:pStyle w:val="TOC3"/>
        <w:rPr>
          <w:rFonts w:asciiTheme="minorHAnsi" w:eastAsiaTheme="minorEastAsia" w:hAnsiTheme="minorHAnsi"/>
          <w:noProof/>
          <w:kern w:val="2"/>
          <w:sz w:val="22"/>
          <w14:ligatures w14:val="standardContextual"/>
        </w:rPr>
      </w:pPr>
      <w:hyperlink w:anchor="_Toc144634505" w:history="1">
        <w:r w:rsidR="000B5B16" w:rsidRPr="00176122">
          <w:rPr>
            <w:rStyle w:val="Hyperlink"/>
            <w:rFonts w:ascii="Californian FB" w:eastAsia="Times New Roman" w:hAnsi="Californian FB" w:cs="Times New Roman"/>
            <w:b/>
            <w:noProof/>
          </w:rPr>
          <w:t>South Carolina</w:t>
        </w:r>
        <w:r w:rsidR="000B5B16">
          <w:rPr>
            <w:noProof/>
            <w:webHidden/>
          </w:rPr>
          <w:tab/>
        </w:r>
        <w:r w:rsidR="000B5B16">
          <w:rPr>
            <w:noProof/>
            <w:webHidden/>
          </w:rPr>
          <w:fldChar w:fldCharType="begin"/>
        </w:r>
        <w:r w:rsidR="000B5B16">
          <w:rPr>
            <w:noProof/>
            <w:webHidden/>
          </w:rPr>
          <w:instrText xml:space="preserve"> PAGEREF _Toc144634505 \h </w:instrText>
        </w:r>
        <w:r w:rsidR="000B5B16">
          <w:rPr>
            <w:noProof/>
            <w:webHidden/>
          </w:rPr>
        </w:r>
        <w:r w:rsidR="000B5B16">
          <w:rPr>
            <w:noProof/>
            <w:webHidden/>
          </w:rPr>
          <w:fldChar w:fldCharType="separate"/>
        </w:r>
        <w:r>
          <w:rPr>
            <w:noProof/>
            <w:webHidden/>
          </w:rPr>
          <w:t>48</w:t>
        </w:r>
        <w:r w:rsidR="000B5B16">
          <w:rPr>
            <w:noProof/>
            <w:webHidden/>
          </w:rPr>
          <w:fldChar w:fldCharType="end"/>
        </w:r>
      </w:hyperlink>
    </w:p>
    <w:p w14:paraId="2FD13583" w14:textId="082D54D9" w:rsidR="000B5B16" w:rsidRDefault="00C7789C">
      <w:pPr>
        <w:pStyle w:val="TOC3"/>
        <w:rPr>
          <w:rFonts w:asciiTheme="minorHAnsi" w:eastAsiaTheme="minorEastAsia" w:hAnsiTheme="minorHAnsi"/>
          <w:noProof/>
          <w:kern w:val="2"/>
          <w:sz w:val="22"/>
          <w14:ligatures w14:val="standardContextual"/>
        </w:rPr>
      </w:pPr>
      <w:hyperlink w:anchor="_Toc144634506" w:history="1">
        <w:r w:rsidR="000B5B16" w:rsidRPr="00176122">
          <w:rPr>
            <w:rStyle w:val="Hyperlink"/>
            <w:rFonts w:ascii="Californian FB" w:eastAsia="Times New Roman" w:hAnsi="Californian FB" w:cs="Times New Roman"/>
            <w:b/>
            <w:noProof/>
          </w:rPr>
          <w:t>Utah</w:t>
        </w:r>
        <w:r w:rsidR="000B5B16">
          <w:rPr>
            <w:noProof/>
            <w:webHidden/>
          </w:rPr>
          <w:tab/>
        </w:r>
        <w:r w:rsidR="000B5B16">
          <w:rPr>
            <w:noProof/>
            <w:webHidden/>
          </w:rPr>
          <w:fldChar w:fldCharType="begin"/>
        </w:r>
        <w:r w:rsidR="000B5B16">
          <w:rPr>
            <w:noProof/>
            <w:webHidden/>
          </w:rPr>
          <w:instrText xml:space="preserve"> PAGEREF _Toc144634506 \h </w:instrText>
        </w:r>
        <w:r w:rsidR="000B5B16">
          <w:rPr>
            <w:noProof/>
            <w:webHidden/>
          </w:rPr>
        </w:r>
        <w:r w:rsidR="000B5B16">
          <w:rPr>
            <w:noProof/>
            <w:webHidden/>
          </w:rPr>
          <w:fldChar w:fldCharType="separate"/>
        </w:r>
        <w:r>
          <w:rPr>
            <w:noProof/>
            <w:webHidden/>
          </w:rPr>
          <w:t>48</w:t>
        </w:r>
        <w:r w:rsidR="000B5B16">
          <w:rPr>
            <w:noProof/>
            <w:webHidden/>
          </w:rPr>
          <w:fldChar w:fldCharType="end"/>
        </w:r>
      </w:hyperlink>
    </w:p>
    <w:p w14:paraId="07FEBEFB" w14:textId="40C4251C" w:rsidR="000B5B16" w:rsidRDefault="00C7789C">
      <w:pPr>
        <w:pStyle w:val="TOC3"/>
        <w:rPr>
          <w:rFonts w:asciiTheme="minorHAnsi" w:eastAsiaTheme="minorEastAsia" w:hAnsiTheme="minorHAnsi"/>
          <w:noProof/>
          <w:kern w:val="2"/>
          <w:sz w:val="22"/>
          <w14:ligatures w14:val="standardContextual"/>
        </w:rPr>
      </w:pPr>
      <w:hyperlink w:anchor="_Toc144634507" w:history="1">
        <w:r w:rsidR="000B5B16" w:rsidRPr="00176122">
          <w:rPr>
            <w:rStyle w:val="Hyperlink"/>
            <w:rFonts w:ascii="Californian FB" w:eastAsia="Times New Roman" w:hAnsi="Californian FB" w:cs="Times New Roman"/>
            <w:b/>
            <w:noProof/>
          </w:rPr>
          <w:t>Vermont</w:t>
        </w:r>
        <w:r w:rsidR="000B5B16">
          <w:rPr>
            <w:noProof/>
            <w:webHidden/>
          </w:rPr>
          <w:tab/>
        </w:r>
        <w:r w:rsidR="000B5B16">
          <w:rPr>
            <w:noProof/>
            <w:webHidden/>
          </w:rPr>
          <w:fldChar w:fldCharType="begin"/>
        </w:r>
        <w:r w:rsidR="000B5B16">
          <w:rPr>
            <w:noProof/>
            <w:webHidden/>
          </w:rPr>
          <w:instrText xml:space="preserve"> PAGEREF _Toc144634507 \h </w:instrText>
        </w:r>
        <w:r w:rsidR="000B5B16">
          <w:rPr>
            <w:noProof/>
            <w:webHidden/>
          </w:rPr>
        </w:r>
        <w:r w:rsidR="000B5B16">
          <w:rPr>
            <w:noProof/>
            <w:webHidden/>
          </w:rPr>
          <w:fldChar w:fldCharType="separate"/>
        </w:r>
        <w:r>
          <w:rPr>
            <w:noProof/>
            <w:webHidden/>
          </w:rPr>
          <w:t>48</w:t>
        </w:r>
        <w:r w:rsidR="000B5B16">
          <w:rPr>
            <w:noProof/>
            <w:webHidden/>
          </w:rPr>
          <w:fldChar w:fldCharType="end"/>
        </w:r>
      </w:hyperlink>
    </w:p>
    <w:p w14:paraId="52F1553C" w14:textId="3E249912" w:rsidR="000B5B16" w:rsidRDefault="00C7789C">
      <w:pPr>
        <w:pStyle w:val="TOC3"/>
        <w:rPr>
          <w:rFonts w:asciiTheme="minorHAnsi" w:eastAsiaTheme="minorEastAsia" w:hAnsiTheme="minorHAnsi"/>
          <w:noProof/>
          <w:kern w:val="2"/>
          <w:sz w:val="22"/>
          <w14:ligatures w14:val="standardContextual"/>
        </w:rPr>
      </w:pPr>
      <w:hyperlink w:anchor="_Toc144634508" w:history="1">
        <w:r w:rsidR="000B5B16" w:rsidRPr="00176122">
          <w:rPr>
            <w:rStyle w:val="Hyperlink"/>
            <w:rFonts w:ascii="Californian FB" w:eastAsia="Times New Roman" w:hAnsi="Californian FB" w:cs="Times New Roman"/>
            <w:b/>
            <w:noProof/>
          </w:rPr>
          <w:t>Virginia</w:t>
        </w:r>
        <w:r w:rsidR="000B5B16">
          <w:rPr>
            <w:noProof/>
            <w:webHidden/>
          </w:rPr>
          <w:tab/>
        </w:r>
        <w:r w:rsidR="000B5B16">
          <w:rPr>
            <w:noProof/>
            <w:webHidden/>
          </w:rPr>
          <w:fldChar w:fldCharType="begin"/>
        </w:r>
        <w:r w:rsidR="000B5B16">
          <w:rPr>
            <w:noProof/>
            <w:webHidden/>
          </w:rPr>
          <w:instrText xml:space="preserve"> PAGEREF _Toc144634508 \h </w:instrText>
        </w:r>
        <w:r w:rsidR="000B5B16">
          <w:rPr>
            <w:noProof/>
            <w:webHidden/>
          </w:rPr>
        </w:r>
        <w:r w:rsidR="000B5B16">
          <w:rPr>
            <w:noProof/>
            <w:webHidden/>
          </w:rPr>
          <w:fldChar w:fldCharType="separate"/>
        </w:r>
        <w:r>
          <w:rPr>
            <w:noProof/>
            <w:webHidden/>
          </w:rPr>
          <w:t>49</w:t>
        </w:r>
        <w:r w:rsidR="000B5B16">
          <w:rPr>
            <w:noProof/>
            <w:webHidden/>
          </w:rPr>
          <w:fldChar w:fldCharType="end"/>
        </w:r>
      </w:hyperlink>
    </w:p>
    <w:p w14:paraId="0F5FC587" w14:textId="3415251A" w:rsidR="000B5B16" w:rsidRDefault="00C7789C">
      <w:pPr>
        <w:pStyle w:val="TOC3"/>
        <w:rPr>
          <w:rFonts w:asciiTheme="minorHAnsi" w:eastAsiaTheme="minorEastAsia" w:hAnsiTheme="minorHAnsi"/>
          <w:noProof/>
          <w:kern w:val="2"/>
          <w:sz w:val="22"/>
          <w14:ligatures w14:val="standardContextual"/>
        </w:rPr>
      </w:pPr>
      <w:hyperlink w:anchor="_Toc144634509" w:history="1">
        <w:r w:rsidR="000B5B16" w:rsidRPr="00176122">
          <w:rPr>
            <w:rStyle w:val="Hyperlink"/>
            <w:rFonts w:ascii="Californian FB" w:eastAsia="Times New Roman" w:hAnsi="Californian FB" w:cs="Times New Roman"/>
            <w:b/>
            <w:noProof/>
          </w:rPr>
          <w:t>West Virginia</w:t>
        </w:r>
        <w:r w:rsidR="000B5B16">
          <w:rPr>
            <w:noProof/>
            <w:webHidden/>
          </w:rPr>
          <w:tab/>
        </w:r>
        <w:r w:rsidR="000B5B16">
          <w:rPr>
            <w:noProof/>
            <w:webHidden/>
          </w:rPr>
          <w:fldChar w:fldCharType="begin"/>
        </w:r>
        <w:r w:rsidR="000B5B16">
          <w:rPr>
            <w:noProof/>
            <w:webHidden/>
          </w:rPr>
          <w:instrText xml:space="preserve"> PAGEREF _Toc144634509 \h </w:instrText>
        </w:r>
        <w:r w:rsidR="000B5B16">
          <w:rPr>
            <w:noProof/>
            <w:webHidden/>
          </w:rPr>
        </w:r>
        <w:r w:rsidR="000B5B16">
          <w:rPr>
            <w:noProof/>
            <w:webHidden/>
          </w:rPr>
          <w:fldChar w:fldCharType="separate"/>
        </w:r>
        <w:r>
          <w:rPr>
            <w:noProof/>
            <w:webHidden/>
          </w:rPr>
          <w:t>49</w:t>
        </w:r>
        <w:r w:rsidR="000B5B16">
          <w:rPr>
            <w:noProof/>
            <w:webHidden/>
          </w:rPr>
          <w:fldChar w:fldCharType="end"/>
        </w:r>
      </w:hyperlink>
    </w:p>
    <w:p w14:paraId="682980A4" w14:textId="0821B5D1" w:rsidR="000B5B16" w:rsidRDefault="00C7789C">
      <w:pPr>
        <w:pStyle w:val="TOC3"/>
        <w:rPr>
          <w:rFonts w:asciiTheme="minorHAnsi" w:eastAsiaTheme="minorEastAsia" w:hAnsiTheme="minorHAnsi"/>
          <w:noProof/>
          <w:kern w:val="2"/>
          <w:sz w:val="22"/>
          <w14:ligatures w14:val="standardContextual"/>
        </w:rPr>
      </w:pPr>
      <w:hyperlink w:anchor="_Toc144634510" w:history="1">
        <w:r w:rsidR="000B5B16" w:rsidRPr="00176122">
          <w:rPr>
            <w:rStyle w:val="Hyperlink"/>
            <w:rFonts w:ascii="Californian FB" w:eastAsia="Times New Roman" w:hAnsi="Californian FB" w:cs="Times New Roman"/>
            <w:b/>
            <w:noProof/>
          </w:rPr>
          <w:t>Wisconsin</w:t>
        </w:r>
        <w:r w:rsidR="000B5B16">
          <w:rPr>
            <w:noProof/>
            <w:webHidden/>
          </w:rPr>
          <w:tab/>
        </w:r>
        <w:r w:rsidR="000B5B16">
          <w:rPr>
            <w:noProof/>
            <w:webHidden/>
          </w:rPr>
          <w:fldChar w:fldCharType="begin"/>
        </w:r>
        <w:r w:rsidR="000B5B16">
          <w:rPr>
            <w:noProof/>
            <w:webHidden/>
          </w:rPr>
          <w:instrText xml:space="preserve"> PAGEREF _Toc144634510 \h </w:instrText>
        </w:r>
        <w:r w:rsidR="000B5B16">
          <w:rPr>
            <w:noProof/>
            <w:webHidden/>
          </w:rPr>
        </w:r>
        <w:r w:rsidR="000B5B16">
          <w:rPr>
            <w:noProof/>
            <w:webHidden/>
          </w:rPr>
          <w:fldChar w:fldCharType="separate"/>
        </w:r>
        <w:r>
          <w:rPr>
            <w:noProof/>
            <w:webHidden/>
          </w:rPr>
          <w:t>49</w:t>
        </w:r>
        <w:r w:rsidR="000B5B16">
          <w:rPr>
            <w:noProof/>
            <w:webHidden/>
          </w:rPr>
          <w:fldChar w:fldCharType="end"/>
        </w:r>
      </w:hyperlink>
    </w:p>
    <w:p w14:paraId="1B39010D" w14:textId="52EA6F59" w:rsidR="000B5B16" w:rsidRDefault="00C7789C">
      <w:pPr>
        <w:pStyle w:val="TOC1"/>
        <w:rPr>
          <w:rFonts w:asciiTheme="minorHAnsi" w:eastAsiaTheme="minorEastAsia" w:hAnsiTheme="minorHAnsi"/>
          <w:b w:val="0"/>
          <w:bCs w:val="0"/>
          <w:noProof/>
          <w:color w:val="auto"/>
          <w:kern w:val="2"/>
          <w:sz w:val="22"/>
          <w:szCs w:val="22"/>
          <w14:ligatures w14:val="standardContextual"/>
        </w:rPr>
      </w:pPr>
      <w:hyperlink w:anchor="_Toc144634511" w:history="1">
        <w:r w:rsidR="000B5B16" w:rsidRPr="00176122">
          <w:rPr>
            <w:rStyle w:val="Hyperlink"/>
            <w:noProof/>
          </w:rPr>
          <w:t>V. Findings – Considerations – Recommendations</w:t>
        </w:r>
        <w:r w:rsidR="000B5B16">
          <w:rPr>
            <w:noProof/>
            <w:webHidden/>
          </w:rPr>
          <w:tab/>
        </w:r>
        <w:r w:rsidR="000B5B16">
          <w:rPr>
            <w:noProof/>
            <w:webHidden/>
          </w:rPr>
          <w:fldChar w:fldCharType="begin"/>
        </w:r>
        <w:r w:rsidR="000B5B16">
          <w:rPr>
            <w:noProof/>
            <w:webHidden/>
          </w:rPr>
          <w:instrText xml:space="preserve"> PAGEREF _Toc144634511 \h </w:instrText>
        </w:r>
        <w:r w:rsidR="000B5B16">
          <w:rPr>
            <w:noProof/>
            <w:webHidden/>
          </w:rPr>
        </w:r>
        <w:r w:rsidR="000B5B16">
          <w:rPr>
            <w:noProof/>
            <w:webHidden/>
          </w:rPr>
          <w:fldChar w:fldCharType="separate"/>
        </w:r>
        <w:r>
          <w:rPr>
            <w:noProof/>
            <w:webHidden/>
          </w:rPr>
          <w:t>51</w:t>
        </w:r>
        <w:r w:rsidR="000B5B16">
          <w:rPr>
            <w:noProof/>
            <w:webHidden/>
          </w:rPr>
          <w:fldChar w:fldCharType="end"/>
        </w:r>
      </w:hyperlink>
    </w:p>
    <w:p w14:paraId="74EA11A8" w14:textId="56E5F335"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512" w:history="1">
        <w:r w:rsidR="000B5B16" w:rsidRPr="00176122">
          <w:rPr>
            <w:rStyle w:val="Hyperlink"/>
            <w:noProof/>
          </w:rPr>
          <w:t>V. A. Relevant Findings</w:t>
        </w:r>
        <w:r w:rsidR="000B5B16">
          <w:rPr>
            <w:noProof/>
            <w:webHidden/>
          </w:rPr>
          <w:tab/>
        </w:r>
        <w:r w:rsidR="000B5B16">
          <w:rPr>
            <w:noProof/>
            <w:webHidden/>
          </w:rPr>
          <w:fldChar w:fldCharType="begin"/>
        </w:r>
        <w:r w:rsidR="000B5B16">
          <w:rPr>
            <w:noProof/>
            <w:webHidden/>
          </w:rPr>
          <w:instrText xml:space="preserve"> PAGEREF _Toc144634512 \h </w:instrText>
        </w:r>
        <w:r w:rsidR="000B5B16">
          <w:rPr>
            <w:noProof/>
            <w:webHidden/>
          </w:rPr>
        </w:r>
        <w:r w:rsidR="000B5B16">
          <w:rPr>
            <w:noProof/>
            <w:webHidden/>
          </w:rPr>
          <w:fldChar w:fldCharType="separate"/>
        </w:r>
        <w:r>
          <w:rPr>
            <w:noProof/>
            <w:webHidden/>
          </w:rPr>
          <w:t>51</w:t>
        </w:r>
        <w:r w:rsidR="000B5B16">
          <w:rPr>
            <w:noProof/>
            <w:webHidden/>
          </w:rPr>
          <w:fldChar w:fldCharType="end"/>
        </w:r>
      </w:hyperlink>
    </w:p>
    <w:p w14:paraId="52B4543D" w14:textId="52A4C08C" w:rsidR="000B5B16" w:rsidRDefault="00C7789C">
      <w:pPr>
        <w:pStyle w:val="TOC3"/>
        <w:rPr>
          <w:rFonts w:asciiTheme="minorHAnsi" w:eastAsiaTheme="minorEastAsia" w:hAnsiTheme="minorHAnsi"/>
          <w:noProof/>
          <w:kern w:val="2"/>
          <w:sz w:val="22"/>
          <w14:ligatures w14:val="standardContextual"/>
        </w:rPr>
      </w:pPr>
      <w:hyperlink w:anchor="_Toc144634513" w:history="1">
        <w:r w:rsidR="000B5B16" w:rsidRPr="00176122">
          <w:rPr>
            <w:rStyle w:val="Hyperlink"/>
            <w:noProof/>
          </w:rPr>
          <w:t>Important Federal Tax and Related Rules:</w:t>
        </w:r>
        <w:r w:rsidR="000B5B16">
          <w:rPr>
            <w:noProof/>
            <w:webHidden/>
          </w:rPr>
          <w:tab/>
        </w:r>
        <w:r w:rsidR="000B5B16">
          <w:rPr>
            <w:noProof/>
            <w:webHidden/>
          </w:rPr>
          <w:fldChar w:fldCharType="begin"/>
        </w:r>
        <w:r w:rsidR="000B5B16">
          <w:rPr>
            <w:noProof/>
            <w:webHidden/>
          </w:rPr>
          <w:instrText xml:space="preserve"> PAGEREF _Toc144634513 \h </w:instrText>
        </w:r>
        <w:r w:rsidR="000B5B16">
          <w:rPr>
            <w:noProof/>
            <w:webHidden/>
          </w:rPr>
        </w:r>
        <w:r w:rsidR="000B5B16">
          <w:rPr>
            <w:noProof/>
            <w:webHidden/>
          </w:rPr>
          <w:fldChar w:fldCharType="separate"/>
        </w:r>
        <w:r>
          <w:rPr>
            <w:noProof/>
            <w:webHidden/>
          </w:rPr>
          <w:t>51</w:t>
        </w:r>
        <w:r w:rsidR="000B5B16">
          <w:rPr>
            <w:noProof/>
            <w:webHidden/>
          </w:rPr>
          <w:fldChar w:fldCharType="end"/>
        </w:r>
      </w:hyperlink>
    </w:p>
    <w:p w14:paraId="6B108BE3" w14:textId="4182E302" w:rsidR="000B5B16" w:rsidRDefault="00C7789C">
      <w:pPr>
        <w:pStyle w:val="TOC3"/>
        <w:rPr>
          <w:rFonts w:asciiTheme="minorHAnsi" w:eastAsiaTheme="minorEastAsia" w:hAnsiTheme="minorHAnsi"/>
          <w:noProof/>
          <w:kern w:val="2"/>
          <w:sz w:val="22"/>
          <w14:ligatures w14:val="standardContextual"/>
        </w:rPr>
      </w:pPr>
      <w:hyperlink w:anchor="_Toc144634514" w:history="1">
        <w:r w:rsidR="000B5B16" w:rsidRPr="00176122">
          <w:rPr>
            <w:rStyle w:val="Hyperlink"/>
            <w:noProof/>
          </w:rPr>
          <w:t>Types and Amounts of Guaranteed Payments</w:t>
        </w:r>
        <w:r w:rsidR="000B5B16">
          <w:rPr>
            <w:noProof/>
            <w:webHidden/>
          </w:rPr>
          <w:tab/>
        </w:r>
        <w:r w:rsidR="000B5B16">
          <w:rPr>
            <w:noProof/>
            <w:webHidden/>
          </w:rPr>
          <w:fldChar w:fldCharType="begin"/>
        </w:r>
        <w:r w:rsidR="000B5B16">
          <w:rPr>
            <w:noProof/>
            <w:webHidden/>
          </w:rPr>
          <w:instrText xml:space="preserve"> PAGEREF _Toc144634514 \h </w:instrText>
        </w:r>
        <w:r w:rsidR="000B5B16">
          <w:rPr>
            <w:noProof/>
            <w:webHidden/>
          </w:rPr>
        </w:r>
        <w:r w:rsidR="000B5B16">
          <w:rPr>
            <w:noProof/>
            <w:webHidden/>
          </w:rPr>
          <w:fldChar w:fldCharType="separate"/>
        </w:r>
        <w:r>
          <w:rPr>
            <w:noProof/>
            <w:webHidden/>
          </w:rPr>
          <w:t>52</w:t>
        </w:r>
        <w:r w:rsidR="000B5B16">
          <w:rPr>
            <w:noProof/>
            <w:webHidden/>
          </w:rPr>
          <w:fldChar w:fldCharType="end"/>
        </w:r>
      </w:hyperlink>
    </w:p>
    <w:p w14:paraId="74D37A99" w14:textId="5269C404" w:rsidR="000B5B16" w:rsidRDefault="00C7789C">
      <w:pPr>
        <w:pStyle w:val="TOC3"/>
        <w:rPr>
          <w:rFonts w:asciiTheme="minorHAnsi" w:eastAsiaTheme="minorEastAsia" w:hAnsiTheme="minorHAnsi"/>
          <w:noProof/>
          <w:kern w:val="2"/>
          <w:sz w:val="22"/>
          <w14:ligatures w14:val="standardContextual"/>
        </w:rPr>
      </w:pPr>
      <w:hyperlink w:anchor="_Toc144634515" w:history="1">
        <w:r w:rsidR="000B5B16" w:rsidRPr="00176122">
          <w:rPr>
            <w:rStyle w:val="Hyperlink"/>
            <w:noProof/>
          </w:rPr>
          <w:t>Current Sourcing Treatment by States that have Specifically Addressed the Issue</w:t>
        </w:r>
        <w:r w:rsidR="000B5B16">
          <w:rPr>
            <w:noProof/>
            <w:webHidden/>
          </w:rPr>
          <w:tab/>
        </w:r>
        <w:r w:rsidR="000B5B16">
          <w:rPr>
            <w:noProof/>
            <w:webHidden/>
          </w:rPr>
          <w:fldChar w:fldCharType="begin"/>
        </w:r>
        <w:r w:rsidR="000B5B16">
          <w:rPr>
            <w:noProof/>
            <w:webHidden/>
          </w:rPr>
          <w:instrText xml:space="preserve"> PAGEREF _Toc144634515 \h </w:instrText>
        </w:r>
        <w:r w:rsidR="000B5B16">
          <w:rPr>
            <w:noProof/>
            <w:webHidden/>
          </w:rPr>
        </w:r>
        <w:r w:rsidR="000B5B16">
          <w:rPr>
            <w:noProof/>
            <w:webHidden/>
          </w:rPr>
          <w:fldChar w:fldCharType="separate"/>
        </w:r>
        <w:r>
          <w:rPr>
            <w:noProof/>
            <w:webHidden/>
          </w:rPr>
          <w:t>52</w:t>
        </w:r>
        <w:r w:rsidR="000B5B16">
          <w:rPr>
            <w:noProof/>
            <w:webHidden/>
          </w:rPr>
          <w:fldChar w:fldCharType="end"/>
        </w:r>
      </w:hyperlink>
    </w:p>
    <w:p w14:paraId="70133897" w14:textId="7835929A"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516" w:history="1">
        <w:r w:rsidR="000B5B16" w:rsidRPr="00176122">
          <w:rPr>
            <w:rStyle w:val="Hyperlink"/>
            <w:noProof/>
          </w:rPr>
          <w:t>V. B. Considerations – Factors Favoring Each Sourcing Approach</w:t>
        </w:r>
        <w:r w:rsidR="000B5B16">
          <w:rPr>
            <w:noProof/>
            <w:webHidden/>
          </w:rPr>
          <w:tab/>
        </w:r>
        <w:r w:rsidR="000B5B16">
          <w:rPr>
            <w:noProof/>
            <w:webHidden/>
          </w:rPr>
          <w:fldChar w:fldCharType="begin"/>
        </w:r>
        <w:r w:rsidR="000B5B16">
          <w:rPr>
            <w:noProof/>
            <w:webHidden/>
          </w:rPr>
          <w:instrText xml:space="preserve"> PAGEREF _Toc144634516 \h </w:instrText>
        </w:r>
        <w:r w:rsidR="000B5B16">
          <w:rPr>
            <w:noProof/>
            <w:webHidden/>
          </w:rPr>
        </w:r>
        <w:r w:rsidR="000B5B16">
          <w:rPr>
            <w:noProof/>
            <w:webHidden/>
          </w:rPr>
          <w:fldChar w:fldCharType="separate"/>
        </w:r>
        <w:r>
          <w:rPr>
            <w:noProof/>
            <w:webHidden/>
          </w:rPr>
          <w:t>52</w:t>
        </w:r>
        <w:r w:rsidR="000B5B16">
          <w:rPr>
            <w:noProof/>
            <w:webHidden/>
          </w:rPr>
          <w:fldChar w:fldCharType="end"/>
        </w:r>
      </w:hyperlink>
    </w:p>
    <w:p w14:paraId="2C6EE02F" w14:textId="2B2855C8" w:rsidR="000B5B16" w:rsidRDefault="00C7789C">
      <w:pPr>
        <w:pStyle w:val="TOC3"/>
        <w:rPr>
          <w:rFonts w:asciiTheme="minorHAnsi" w:eastAsiaTheme="minorEastAsia" w:hAnsiTheme="minorHAnsi"/>
          <w:noProof/>
          <w:kern w:val="2"/>
          <w:sz w:val="22"/>
          <w14:ligatures w14:val="standardContextual"/>
        </w:rPr>
      </w:pPr>
      <w:hyperlink w:anchor="_Toc144634517" w:history="1">
        <w:r w:rsidR="000B5B16" w:rsidRPr="00176122">
          <w:rPr>
            <w:rStyle w:val="Hyperlink"/>
            <w:noProof/>
          </w:rPr>
          <w:t>Factors Favoring Sourcing as Distributive Share</w:t>
        </w:r>
        <w:r w:rsidR="000B5B16">
          <w:rPr>
            <w:noProof/>
            <w:webHidden/>
          </w:rPr>
          <w:tab/>
        </w:r>
        <w:r w:rsidR="000B5B16">
          <w:rPr>
            <w:noProof/>
            <w:webHidden/>
          </w:rPr>
          <w:fldChar w:fldCharType="begin"/>
        </w:r>
        <w:r w:rsidR="000B5B16">
          <w:rPr>
            <w:noProof/>
            <w:webHidden/>
          </w:rPr>
          <w:instrText xml:space="preserve"> PAGEREF _Toc144634517 \h </w:instrText>
        </w:r>
        <w:r w:rsidR="000B5B16">
          <w:rPr>
            <w:noProof/>
            <w:webHidden/>
          </w:rPr>
        </w:r>
        <w:r w:rsidR="000B5B16">
          <w:rPr>
            <w:noProof/>
            <w:webHidden/>
          </w:rPr>
          <w:fldChar w:fldCharType="separate"/>
        </w:r>
        <w:r>
          <w:rPr>
            <w:noProof/>
            <w:webHidden/>
          </w:rPr>
          <w:t>52</w:t>
        </w:r>
        <w:r w:rsidR="000B5B16">
          <w:rPr>
            <w:noProof/>
            <w:webHidden/>
          </w:rPr>
          <w:fldChar w:fldCharType="end"/>
        </w:r>
      </w:hyperlink>
    </w:p>
    <w:p w14:paraId="349B3122" w14:textId="68BEC6E2" w:rsidR="000B5B16" w:rsidRDefault="00C7789C">
      <w:pPr>
        <w:pStyle w:val="TOC3"/>
        <w:rPr>
          <w:rFonts w:asciiTheme="minorHAnsi" w:eastAsiaTheme="minorEastAsia" w:hAnsiTheme="minorHAnsi"/>
          <w:noProof/>
          <w:kern w:val="2"/>
          <w:sz w:val="22"/>
          <w14:ligatures w14:val="standardContextual"/>
        </w:rPr>
      </w:pPr>
      <w:hyperlink w:anchor="_Toc144634518" w:history="1">
        <w:r w:rsidR="000B5B16" w:rsidRPr="00176122">
          <w:rPr>
            <w:rStyle w:val="Hyperlink"/>
            <w:noProof/>
          </w:rPr>
          <w:t>Factors Favoring Sourcing as Compensation</w:t>
        </w:r>
        <w:r w:rsidR="000B5B16">
          <w:rPr>
            <w:noProof/>
            <w:webHidden/>
          </w:rPr>
          <w:tab/>
        </w:r>
        <w:r w:rsidR="000B5B16">
          <w:rPr>
            <w:noProof/>
            <w:webHidden/>
          </w:rPr>
          <w:fldChar w:fldCharType="begin"/>
        </w:r>
        <w:r w:rsidR="000B5B16">
          <w:rPr>
            <w:noProof/>
            <w:webHidden/>
          </w:rPr>
          <w:instrText xml:space="preserve"> PAGEREF _Toc144634518 \h </w:instrText>
        </w:r>
        <w:r w:rsidR="000B5B16">
          <w:rPr>
            <w:noProof/>
            <w:webHidden/>
          </w:rPr>
        </w:r>
        <w:r w:rsidR="000B5B16">
          <w:rPr>
            <w:noProof/>
            <w:webHidden/>
          </w:rPr>
          <w:fldChar w:fldCharType="separate"/>
        </w:r>
        <w:r>
          <w:rPr>
            <w:noProof/>
            <w:webHidden/>
          </w:rPr>
          <w:t>53</w:t>
        </w:r>
        <w:r w:rsidR="000B5B16">
          <w:rPr>
            <w:noProof/>
            <w:webHidden/>
          </w:rPr>
          <w:fldChar w:fldCharType="end"/>
        </w:r>
      </w:hyperlink>
    </w:p>
    <w:p w14:paraId="40B8B8D2" w14:textId="40413B8D" w:rsidR="000B5B16" w:rsidRDefault="00C7789C">
      <w:pPr>
        <w:pStyle w:val="TOC2"/>
        <w:tabs>
          <w:tab w:val="right" w:leader="dot" w:pos="8774"/>
        </w:tabs>
        <w:rPr>
          <w:rFonts w:asciiTheme="minorHAnsi" w:eastAsiaTheme="minorEastAsia" w:hAnsiTheme="minorHAnsi"/>
          <w:noProof/>
          <w:kern w:val="2"/>
          <w:sz w:val="22"/>
          <w14:ligatures w14:val="standardContextual"/>
        </w:rPr>
      </w:pPr>
      <w:hyperlink w:anchor="_Toc144634519" w:history="1">
        <w:r w:rsidR="000B5B16" w:rsidRPr="00176122">
          <w:rPr>
            <w:rStyle w:val="Hyperlink"/>
            <w:noProof/>
          </w:rPr>
          <w:t>V. C. Proposed Recommendations</w:t>
        </w:r>
        <w:r w:rsidR="000B5B16">
          <w:rPr>
            <w:noProof/>
            <w:webHidden/>
          </w:rPr>
          <w:tab/>
        </w:r>
        <w:r w:rsidR="000B5B16">
          <w:rPr>
            <w:noProof/>
            <w:webHidden/>
          </w:rPr>
          <w:fldChar w:fldCharType="begin"/>
        </w:r>
        <w:r w:rsidR="000B5B16">
          <w:rPr>
            <w:noProof/>
            <w:webHidden/>
          </w:rPr>
          <w:instrText xml:space="preserve"> PAGEREF _Toc144634519 \h </w:instrText>
        </w:r>
        <w:r w:rsidR="000B5B16">
          <w:rPr>
            <w:noProof/>
            <w:webHidden/>
          </w:rPr>
        </w:r>
        <w:r w:rsidR="000B5B16">
          <w:rPr>
            <w:noProof/>
            <w:webHidden/>
          </w:rPr>
          <w:fldChar w:fldCharType="separate"/>
        </w:r>
        <w:r>
          <w:rPr>
            <w:noProof/>
            <w:webHidden/>
          </w:rPr>
          <w:t>53</w:t>
        </w:r>
        <w:r w:rsidR="000B5B16">
          <w:rPr>
            <w:noProof/>
            <w:webHidden/>
          </w:rPr>
          <w:fldChar w:fldCharType="end"/>
        </w:r>
      </w:hyperlink>
    </w:p>
    <w:p w14:paraId="5EFE7F4B" w14:textId="09973778" w:rsidR="009646C5" w:rsidRDefault="0047413E">
      <w:pPr>
        <w:spacing w:line="276" w:lineRule="auto"/>
        <w:jc w:val="left"/>
      </w:pPr>
      <w:r>
        <w:fldChar w:fldCharType="end"/>
      </w:r>
    </w:p>
    <w:p w14:paraId="28DB96F8" w14:textId="5A93C985" w:rsidR="00474E65" w:rsidRDefault="00474E65">
      <w:pPr>
        <w:spacing w:line="276" w:lineRule="auto"/>
        <w:jc w:val="left"/>
      </w:pPr>
      <w:r>
        <w:br w:type="page"/>
      </w:r>
    </w:p>
    <w:p w14:paraId="6D25DB46" w14:textId="30C7382D" w:rsidR="00EE070D" w:rsidRDefault="00EE070D" w:rsidP="00B5459F">
      <w:pPr>
        <w:pStyle w:val="Heading1"/>
      </w:pPr>
      <w:bookmarkStart w:id="2" w:name="_Toc144634429"/>
      <w:r>
        <w:lastRenderedPageBreak/>
        <w:t>Introduction</w:t>
      </w:r>
      <w:bookmarkEnd w:id="2"/>
    </w:p>
    <w:p w14:paraId="23CD073B" w14:textId="7579709B" w:rsidR="00EE070D" w:rsidRPr="00EE070D" w:rsidRDefault="00EE070D" w:rsidP="00F915C5">
      <w:pPr>
        <w:pStyle w:val="Heading3"/>
        <w:spacing w:before="240"/>
      </w:pPr>
      <w:bookmarkStart w:id="3" w:name="_Toc144634430"/>
      <w:r w:rsidRPr="00EE070D">
        <w:t>Scope</w:t>
      </w:r>
      <w:r w:rsidR="0095484C">
        <w:t xml:space="preserve"> of this White Paper</w:t>
      </w:r>
      <w:bookmarkEnd w:id="3"/>
    </w:p>
    <w:p w14:paraId="0A9666B2" w14:textId="1C994861" w:rsidR="0050568D" w:rsidRDefault="00154135" w:rsidP="002C366A">
      <w:r>
        <w:t xml:space="preserve">Payments by partnerships to partners can be </w:t>
      </w:r>
      <w:r w:rsidR="002E285E">
        <w:t>categorized in various ways and may have very different tax effects</w:t>
      </w:r>
      <w:r w:rsidR="00A71355">
        <w:t xml:space="preserve"> </w:t>
      </w:r>
      <w:r w:rsidR="002478BE">
        <w:t>depending on a number of factors</w:t>
      </w:r>
      <w:r w:rsidR="002E285E">
        <w:t xml:space="preserve">. </w:t>
      </w:r>
      <w:r w:rsidR="0050568D">
        <w:t>As a result of initial research and discussion</w:t>
      </w:r>
      <w:r w:rsidR="002478BE">
        <w:t>,</w:t>
      </w:r>
      <w:r w:rsidR="0050568D">
        <w:t xml:space="preserve"> the scope of this white paper has been limited to the following </w:t>
      </w:r>
      <w:r w:rsidR="00BB02C1">
        <w:t>question</w:t>
      </w:r>
      <w:r w:rsidR="0050568D">
        <w:t>:</w:t>
      </w:r>
    </w:p>
    <w:p w14:paraId="464312E2" w14:textId="49034510" w:rsidR="0050568D" w:rsidRDefault="000F06F4" w:rsidP="006E64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76" w:lineRule="auto"/>
        <w:ind w:left="1440" w:right="1440"/>
        <w:jc w:val="left"/>
      </w:pPr>
      <w:r>
        <w:t>Should</w:t>
      </w:r>
      <w:r w:rsidR="00BB02C1">
        <w:t xml:space="preserve"> </w:t>
      </w:r>
      <w:r w:rsidR="00CB235A">
        <w:t xml:space="preserve">states source </w:t>
      </w:r>
      <w:r w:rsidR="00DB7C7C">
        <w:t xml:space="preserve">an individual partner’s </w:t>
      </w:r>
      <w:r w:rsidR="00FB3314">
        <w:t xml:space="preserve">guaranteed payments for services </w:t>
      </w:r>
      <w:r>
        <w:t>as distributive share or compensation</w:t>
      </w:r>
      <w:r w:rsidR="00BB02C1">
        <w:t>?</w:t>
      </w:r>
    </w:p>
    <w:p w14:paraId="0B9B17A3" w14:textId="3B793F3A" w:rsidR="00EE070D" w:rsidRPr="00EE070D" w:rsidRDefault="006F513A" w:rsidP="00C31D1A">
      <w:r>
        <w:t>The white paper do</w:t>
      </w:r>
      <w:r w:rsidR="002478BE">
        <w:t>es</w:t>
      </w:r>
      <w:r>
        <w:t xml:space="preserve"> not </w:t>
      </w:r>
      <w:r w:rsidR="006557B6">
        <w:t xml:space="preserve">address </w:t>
      </w:r>
      <w:r w:rsidR="00015D62">
        <w:t>guaranteed payments made for the use of capital</w:t>
      </w:r>
      <w:r w:rsidR="00BA1B12">
        <w:t xml:space="preserve">, guaranteed </w:t>
      </w:r>
      <w:r w:rsidR="00015D62">
        <w:t>payments made to</w:t>
      </w:r>
      <w:r w:rsidR="005E0362">
        <w:t xml:space="preserve"> partners that are corporations or pass-through entities,</w:t>
      </w:r>
      <w:r w:rsidR="00535149">
        <w:t xml:space="preserve"> </w:t>
      </w:r>
      <w:r w:rsidR="00717A7C">
        <w:t xml:space="preserve">payments to indirect partners, </w:t>
      </w:r>
      <w:r w:rsidR="005706AB">
        <w:t>or</w:t>
      </w:r>
      <w:r w:rsidR="00535149">
        <w:t xml:space="preserve"> </w:t>
      </w:r>
      <w:r w:rsidR="005706AB">
        <w:t>other</w:t>
      </w:r>
      <w:r w:rsidR="00535149">
        <w:t xml:space="preserve"> payments made</w:t>
      </w:r>
      <w:r w:rsidR="004D58EC">
        <w:t xml:space="preserve"> to</w:t>
      </w:r>
      <w:r w:rsidR="00535149">
        <w:t xml:space="preserve"> </w:t>
      </w:r>
      <w:r w:rsidR="00F33F7B">
        <w:t xml:space="preserve">partners </w:t>
      </w:r>
      <w:r w:rsidR="005706AB">
        <w:t xml:space="preserve">not </w:t>
      </w:r>
      <w:r w:rsidR="00F33F7B">
        <w:t>acting in the capacity of partners</w:t>
      </w:r>
      <w:r w:rsidR="00D530E5">
        <w:t>.</w:t>
      </w:r>
      <w:r w:rsidR="00015D62">
        <w:t xml:space="preserve"> </w:t>
      </w:r>
    </w:p>
    <w:p w14:paraId="3FF0494D" w14:textId="57DA8E62" w:rsidR="00EE070D" w:rsidRPr="00EE070D" w:rsidRDefault="00EE070D" w:rsidP="00F915C5">
      <w:pPr>
        <w:pStyle w:val="Heading3"/>
        <w:spacing w:before="240"/>
      </w:pPr>
      <w:bookmarkStart w:id="4" w:name="_Toc144634431"/>
      <w:r w:rsidRPr="00EE070D">
        <w:t>MTC Partnership Work Group</w:t>
      </w:r>
      <w:bookmarkEnd w:id="4"/>
    </w:p>
    <w:p w14:paraId="0038E5D2" w14:textId="77777777" w:rsidR="00EE070D" w:rsidRPr="00EE070D" w:rsidRDefault="00EE070D" w:rsidP="00C31D1A">
      <w:r w:rsidRPr="00EE070D">
        <w:t>This white paper was prepared by the staff of the Multistate Tax Commission with the advice and assistance of a work group of member states established by the MTC uniformity committee. The work group was created to study how states tax the multistate income of partnerships and to recommend how they might do so in a more effective, compatible, and uniform manner—consistent with established state tax policies and the shared principles for dividing multistate income.</w:t>
      </w:r>
    </w:p>
    <w:p w14:paraId="21D54A69" w14:textId="76952DD3" w:rsidR="00EE070D" w:rsidRPr="00EE070D" w:rsidRDefault="00EE070D" w:rsidP="00F915C5">
      <w:pPr>
        <w:pStyle w:val="Heading3"/>
        <w:spacing w:before="240"/>
      </w:pPr>
      <w:bookmarkStart w:id="5" w:name="_Toc144634432"/>
      <w:r w:rsidRPr="00EE070D">
        <w:t>Reason for the White Paper</w:t>
      </w:r>
      <w:bookmarkEnd w:id="5"/>
    </w:p>
    <w:p w14:paraId="0E945C91" w14:textId="4D671263" w:rsidR="00EE070D" w:rsidRPr="00EE070D" w:rsidRDefault="00EE070D" w:rsidP="002C366A">
      <w:r w:rsidRPr="00EE070D">
        <w:t xml:space="preserve">The workgroup </w:t>
      </w:r>
      <w:r w:rsidR="00AF5C60">
        <w:t>has</w:t>
      </w:r>
      <w:r w:rsidRPr="00EE070D">
        <w:t xml:space="preserve"> developed a comprehensive outline of issues </w:t>
      </w:r>
      <w:r w:rsidR="00DF269C">
        <w:t xml:space="preserve">that should </w:t>
      </w:r>
      <w:r w:rsidR="00AF5C60">
        <w:t xml:space="preserve">be addressed by </w:t>
      </w:r>
      <w:r w:rsidRPr="00EE070D">
        <w:t xml:space="preserve">states </w:t>
      </w:r>
      <w:r w:rsidR="00AF5C60">
        <w:t>that tax</w:t>
      </w:r>
      <w:r w:rsidRPr="00EE070D">
        <w:t xml:space="preserve"> partnership income.</w:t>
      </w:r>
      <w:r w:rsidRPr="00EE070D">
        <w:rPr>
          <w:vertAlign w:val="superscript"/>
        </w:rPr>
        <w:footnoteReference w:id="2"/>
      </w:r>
      <w:r w:rsidRPr="00EE070D">
        <w:t xml:space="preserve"> The outline showed that, for some issues, states</w:t>
      </w:r>
      <w:r w:rsidR="00493EC3">
        <w:t>’</w:t>
      </w:r>
      <w:r w:rsidRPr="00EE070D">
        <w:t xml:space="preserve"> rules were </w:t>
      </w:r>
      <w:r w:rsidR="00DF269C">
        <w:t xml:space="preserve">either </w:t>
      </w:r>
      <w:r w:rsidRPr="00EE070D">
        <w:t xml:space="preserve">lacking or inconsistent. One such issue involves the </w:t>
      </w:r>
      <w:r w:rsidR="00107AC0">
        <w:t xml:space="preserve">sourcing </w:t>
      </w:r>
      <w:r w:rsidRPr="00EE070D">
        <w:t xml:space="preserve">of </w:t>
      </w:r>
      <w:r w:rsidR="00985D7C">
        <w:t xml:space="preserve">guaranteed payments for services. </w:t>
      </w:r>
      <w:r w:rsidRPr="00EE070D">
        <w:t>The work</w:t>
      </w:r>
      <w:r w:rsidR="00CE599F">
        <w:t xml:space="preserve"> </w:t>
      </w:r>
      <w:r w:rsidRPr="00EE070D">
        <w:t xml:space="preserve">group decided to address </w:t>
      </w:r>
      <w:r w:rsidR="00CE599F">
        <w:t>this issue as</w:t>
      </w:r>
      <w:r w:rsidRPr="00EE070D">
        <w:t xml:space="preserve"> part of its review of state sourcing of partnership income</w:t>
      </w:r>
      <w:r w:rsidR="00836BA8">
        <w:t>, generally</w:t>
      </w:r>
      <w:r w:rsidRPr="00EE070D">
        <w:t xml:space="preserve">. </w:t>
      </w:r>
    </w:p>
    <w:p w14:paraId="6CAFCDF0" w14:textId="2C2A95A4" w:rsidR="00EE070D" w:rsidRPr="00EE070D" w:rsidRDefault="00EE070D" w:rsidP="003803F5">
      <w:pPr>
        <w:pStyle w:val="Heading3"/>
      </w:pPr>
      <w:bookmarkStart w:id="6" w:name="_Toc144634433"/>
      <w:r w:rsidRPr="00EE070D">
        <w:t>Approach Taken in the White Paper</w:t>
      </w:r>
      <w:bookmarkEnd w:id="6"/>
    </w:p>
    <w:p w14:paraId="2F7C50EC" w14:textId="3B2E0160" w:rsidR="00EE070D" w:rsidRPr="00EE070D" w:rsidRDefault="00EE070D" w:rsidP="002C366A">
      <w:r w:rsidRPr="00EE070D">
        <w:t>This white p</w:t>
      </w:r>
      <w:r w:rsidRPr="00C31D1A">
        <w:t>aper contains the following sections in addition to the findings and recommendations which are sum</w:t>
      </w:r>
      <w:r w:rsidRPr="00EE070D">
        <w:t xml:space="preserve">marized </w:t>
      </w:r>
      <w:r>
        <w:t xml:space="preserve">in the Executive Summary </w:t>
      </w:r>
      <w:r w:rsidRPr="00EE070D">
        <w:t>below and detailed in the final section</w:t>
      </w:r>
      <w:r>
        <w:t xml:space="preserve"> of the paper</w:t>
      </w:r>
      <w:r w:rsidRPr="00EE070D">
        <w:t xml:space="preserve">: </w:t>
      </w:r>
    </w:p>
    <w:p w14:paraId="256A7087" w14:textId="0EC5583A" w:rsidR="00A05E2C" w:rsidRDefault="00EC3FB7" w:rsidP="005F7F13">
      <w:pPr>
        <w:numPr>
          <w:ilvl w:val="0"/>
          <w:numId w:val="18"/>
        </w:numPr>
        <w:spacing w:after="0" w:line="276" w:lineRule="auto"/>
        <w:ind w:left="576" w:right="144" w:hanging="432"/>
        <w:jc w:val="left"/>
      </w:pPr>
      <w:r w:rsidRPr="00963385">
        <w:rPr>
          <w:u w:val="single"/>
        </w:rPr>
        <w:t>Important Context</w:t>
      </w:r>
      <w:r w:rsidR="00053B4B">
        <w:t xml:space="preserve"> </w:t>
      </w:r>
      <w:r w:rsidR="00A05E2C">
        <w:t>–</w:t>
      </w:r>
      <w:r w:rsidR="00053B4B">
        <w:t xml:space="preserve"> </w:t>
      </w:r>
      <w:r>
        <w:t xml:space="preserve">Provides </w:t>
      </w:r>
      <w:r w:rsidR="001E5890">
        <w:t xml:space="preserve">background </w:t>
      </w:r>
      <w:r w:rsidR="00AD7936">
        <w:t xml:space="preserve">on </w:t>
      </w:r>
      <w:r w:rsidR="00420CBF">
        <w:t xml:space="preserve">terms and concepts used in the </w:t>
      </w:r>
      <w:r w:rsidR="00AD7936">
        <w:t>partnership tax</w:t>
      </w:r>
      <w:r w:rsidR="00420CBF">
        <w:t xml:space="preserve"> system that are</w:t>
      </w:r>
      <w:r w:rsidR="00A05E2C">
        <w:t xml:space="preserve"> useful for understanding </w:t>
      </w:r>
      <w:r w:rsidR="001E5890">
        <w:t xml:space="preserve">the </w:t>
      </w:r>
      <w:r w:rsidR="00420CBF">
        <w:t>sourcing of guaranteed payments generally</w:t>
      </w:r>
      <w:r w:rsidR="00A05E2C">
        <w:t>;</w:t>
      </w:r>
    </w:p>
    <w:p w14:paraId="4F393464" w14:textId="42D0CF19" w:rsidR="00EE070D" w:rsidRPr="00EE070D" w:rsidRDefault="00C02C58" w:rsidP="005F7F13">
      <w:pPr>
        <w:numPr>
          <w:ilvl w:val="0"/>
          <w:numId w:val="18"/>
        </w:numPr>
        <w:spacing w:after="0" w:line="276" w:lineRule="auto"/>
        <w:ind w:left="576" w:right="144" w:hanging="432"/>
        <w:jc w:val="left"/>
      </w:pPr>
      <w:r w:rsidRPr="00963385">
        <w:rPr>
          <w:u w:val="single"/>
        </w:rPr>
        <w:t xml:space="preserve">Specific </w:t>
      </w:r>
      <w:r w:rsidR="00AE6BAF" w:rsidRPr="00963385">
        <w:rPr>
          <w:u w:val="single"/>
        </w:rPr>
        <w:t xml:space="preserve">Federal </w:t>
      </w:r>
      <w:r w:rsidRPr="00963385">
        <w:rPr>
          <w:u w:val="single"/>
        </w:rPr>
        <w:t>Rules</w:t>
      </w:r>
      <w:r>
        <w:t xml:space="preserve"> </w:t>
      </w:r>
      <w:r w:rsidR="00AE6BAF">
        <w:t xml:space="preserve">- </w:t>
      </w:r>
      <w:r w:rsidR="00EE070D" w:rsidRPr="00EE070D">
        <w:t xml:space="preserve"> </w:t>
      </w:r>
      <w:r w:rsidR="004D5B8E">
        <w:t>Summarizes</w:t>
      </w:r>
      <w:r w:rsidR="00115DFE">
        <w:t xml:space="preserve"> important federal rules to</w:t>
      </w:r>
      <w:r w:rsidR="00EE070D" w:rsidRPr="00EE070D">
        <w:t xml:space="preserve"> which states conform; </w:t>
      </w:r>
    </w:p>
    <w:p w14:paraId="609BC52E" w14:textId="180F2D7C" w:rsidR="00EE070D" w:rsidRPr="00EE070D" w:rsidRDefault="00115DFE" w:rsidP="005F7F13">
      <w:pPr>
        <w:numPr>
          <w:ilvl w:val="0"/>
          <w:numId w:val="18"/>
        </w:numPr>
        <w:spacing w:after="0" w:line="276" w:lineRule="auto"/>
        <w:ind w:left="576" w:right="144" w:hanging="432"/>
        <w:jc w:val="left"/>
      </w:pPr>
      <w:r w:rsidRPr="00963385">
        <w:rPr>
          <w:u w:val="single"/>
        </w:rPr>
        <w:t>Amounts and Types of Guaranteed Payments</w:t>
      </w:r>
      <w:r>
        <w:t xml:space="preserve"> </w:t>
      </w:r>
      <w:r w:rsidR="009E7843">
        <w:t>–</w:t>
      </w:r>
      <w:r>
        <w:t xml:space="preserve"> </w:t>
      </w:r>
      <w:r w:rsidR="004515F5">
        <w:t>S</w:t>
      </w:r>
      <w:r w:rsidR="009E7843">
        <w:t xml:space="preserve">ummarizes data on guaranteed payments and </w:t>
      </w:r>
      <w:r w:rsidR="004B3AB9">
        <w:t xml:space="preserve">provides </w:t>
      </w:r>
      <w:r w:rsidR="009E7843">
        <w:t>some examples of how they are used</w:t>
      </w:r>
      <w:r w:rsidR="00EE070D" w:rsidRPr="00EE070D">
        <w:t>;</w:t>
      </w:r>
      <w:r w:rsidR="00F915C5">
        <w:t xml:space="preserve"> and</w:t>
      </w:r>
    </w:p>
    <w:p w14:paraId="52E86248" w14:textId="4DAD3B41" w:rsidR="00EE070D" w:rsidRDefault="009E7843" w:rsidP="005F7F13">
      <w:pPr>
        <w:numPr>
          <w:ilvl w:val="0"/>
          <w:numId w:val="18"/>
        </w:numPr>
        <w:spacing w:line="276" w:lineRule="auto"/>
        <w:ind w:left="576" w:right="144" w:hanging="432"/>
        <w:jc w:val="left"/>
      </w:pPr>
      <w:r w:rsidRPr="00963385">
        <w:rPr>
          <w:u w:val="single"/>
        </w:rPr>
        <w:t>State Sourcing Rules</w:t>
      </w:r>
      <w:r>
        <w:t xml:space="preserve"> – </w:t>
      </w:r>
      <w:r w:rsidR="004515F5">
        <w:t>Provides a</w:t>
      </w:r>
      <w:r w:rsidR="00EE070D" w:rsidRPr="00EE070D">
        <w:t xml:space="preserve"> survey of the rules for sourcing guaranteed payments that have been adopted by the states. </w:t>
      </w:r>
    </w:p>
    <w:p w14:paraId="27D4E544" w14:textId="7C9C0C6C" w:rsidR="00EE070D" w:rsidRDefault="0017087C" w:rsidP="00F915C5">
      <w:pPr>
        <w:pStyle w:val="Heading3"/>
        <w:spacing w:before="240"/>
      </w:pPr>
      <w:bookmarkStart w:id="7" w:name="_Toc144634434"/>
      <w:r>
        <w:t>Note on Complexity</w:t>
      </w:r>
      <w:bookmarkEnd w:id="7"/>
    </w:p>
    <w:p w14:paraId="2FBDC833" w14:textId="5B4CD7B6" w:rsidR="00491369" w:rsidRDefault="00983208" w:rsidP="002C366A">
      <w:r>
        <w:t>E</w:t>
      </w:r>
      <w:r w:rsidR="0017087C">
        <w:t xml:space="preserve">conomic arrangements between partners can take many </w:t>
      </w:r>
      <w:r w:rsidR="00F2427C">
        <w:t xml:space="preserve">different </w:t>
      </w:r>
      <w:r w:rsidR="0017087C">
        <w:t>forms and can</w:t>
      </w:r>
      <w:r w:rsidR="00F2427C">
        <w:t xml:space="preserve"> often</w:t>
      </w:r>
      <w:r w:rsidR="0017087C">
        <w:t xml:space="preserve"> be </w:t>
      </w:r>
      <w:r>
        <w:t xml:space="preserve">exceptionally </w:t>
      </w:r>
      <w:r w:rsidR="0017087C">
        <w:t xml:space="preserve">complex in nature. </w:t>
      </w:r>
      <w:r>
        <w:t>G</w:t>
      </w:r>
      <w:r w:rsidR="0017087C">
        <w:t>uaranteed payments</w:t>
      </w:r>
      <w:r w:rsidR="00E43C04">
        <w:t xml:space="preserve"> </w:t>
      </w:r>
      <w:r w:rsidR="008D539B">
        <w:t xml:space="preserve">are often used </w:t>
      </w:r>
      <w:r w:rsidR="00E43C04">
        <w:t>in such arrangements</w:t>
      </w:r>
      <w:r w:rsidR="0017087C">
        <w:t xml:space="preserve">, and the basis for those payments, can vary greatly. </w:t>
      </w:r>
      <w:r w:rsidR="008D539B">
        <w:t>T</w:t>
      </w:r>
      <w:r w:rsidR="0017087C">
        <w:t xml:space="preserve">he treatment of guaranteed payments </w:t>
      </w:r>
      <w:r w:rsidR="00E43C04">
        <w:t xml:space="preserve">under </w:t>
      </w:r>
      <w:r w:rsidR="00F915C5">
        <w:t>Internal Revenue Code, Subchapter K</w:t>
      </w:r>
      <w:r w:rsidR="00E43C04">
        <w:t xml:space="preserve"> is, itself, somewhat complicated and varies depending on the purpose of the guaranteed payment. </w:t>
      </w:r>
    </w:p>
    <w:p w14:paraId="4827640A" w14:textId="4882FD20" w:rsidR="0017087C" w:rsidRPr="0017087C" w:rsidRDefault="00E43C04" w:rsidP="002C366A">
      <w:r>
        <w:t>Th</w:t>
      </w:r>
      <w:r w:rsidR="00AC33BA">
        <w:t>e purpose of this</w:t>
      </w:r>
      <w:r>
        <w:t xml:space="preserve"> white paper </w:t>
      </w:r>
      <w:r w:rsidR="00AC33BA">
        <w:t xml:space="preserve">is to identify and describe the </w:t>
      </w:r>
      <w:r w:rsidR="003D1A73">
        <w:t xml:space="preserve">aspects of guaranteed payments </w:t>
      </w:r>
      <w:r w:rsidR="00CD5FAB">
        <w:t xml:space="preserve">for services </w:t>
      </w:r>
      <w:r w:rsidR="003D1A73">
        <w:t>that may affect state sourcing of those payments</w:t>
      </w:r>
      <w:r w:rsidR="0033492A">
        <w:t>. It</w:t>
      </w:r>
      <w:r w:rsidR="00E17ADD">
        <w:t xml:space="preserve"> </w:t>
      </w:r>
      <w:r>
        <w:t>does not attempt to set out a comprehensive analysis of guaranteed payments</w:t>
      </w:r>
      <w:r w:rsidR="008B1E5A">
        <w:t xml:space="preserve"> or their treatment for tax purposes</w:t>
      </w:r>
      <w:r w:rsidR="00E17ADD">
        <w:t xml:space="preserve"> generally</w:t>
      </w:r>
      <w:r>
        <w:t>.</w:t>
      </w:r>
    </w:p>
    <w:p w14:paraId="1A2960B8" w14:textId="65C2DFB3" w:rsidR="00B5459F" w:rsidRDefault="00B5459F" w:rsidP="00B5459F">
      <w:pPr>
        <w:pStyle w:val="Heading1"/>
      </w:pPr>
      <w:bookmarkStart w:id="8" w:name="_Toc144634435"/>
      <w:r w:rsidRPr="00CD11CF">
        <w:lastRenderedPageBreak/>
        <w:t>Executive</w:t>
      </w:r>
      <w:r w:rsidRPr="0019545B">
        <w:t xml:space="preserve"> Summary</w:t>
      </w:r>
      <w:bookmarkEnd w:id="8"/>
    </w:p>
    <w:p w14:paraId="1FF23A0B" w14:textId="53C5D46D" w:rsidR="00CC3793" w:rsidRDefault="00F115EC" w:rsidP="00D32D8F">
      <w:pPr>
        <w:spacing w:after="120"/>
      </w:pPr>
      <w:r>
        <w:t>Only about half the</w:t>
      </w:r>
      <w:r w:rsidR="0089577D">
        <w:t xml:space="preserve"> states </w:t>
      </w:r>
      <w:r w:rsidR="00AB21CD">
        <w:t xml:space="preserve">have explicitly addressed the sourcing of guaranteed payments made to </w:t>
      </w:r>
      <w:r w:rsidR="0069191F">
        <w:t xml:space="preserve">partners </w:t>
      </w:r>
      <w:r w:rsidR="00AB21CD">
        <w:t>for services. The majority of th</w:t>
      </w:r>
      <w:r>
        <w:t>ose</w:t>
      </w:r>
      <w:r w:rsidR="00AB21CD">
        <w:t xml:space="preserve"> states would source these payments in the same way as distributive share. </w:t>
      </w:r>
      <w:r>
        <w:t>A minority</w:t>
      </w:r>
      <w:r w:rsidR="00AB21CD">
        <w:t xml:space="preserve"> would use an approach that looks to where the services are performed by the partner—which this white paper refers to as the “compensation” approach. </w:t>
      </w:r>
    </w:p>
    <w:p w14:paraId="23945A8B" w14:textId="10C64EE4" w:rsidR="00A10F86" w:rsidRDefault="00CC3793" w:rsidP="00D32D8F">
      <w:pPr>
        <w:spacing w:after="120"/>
      </w:pPr>
      <w:r>
        <w:t xml:space="preserve">Using different sourcing approaches may lead to duplicative taxation. Also, </w:t>
      </w:r>
      <w:r w:rsidR="0069191F">
        <w:t xml:space="preserve">state </w:t>
      </w:r>
      <w:r w:rsidR="00A10F86">
        <w:t xml:space="preserve">adoption of pass-through entity taxes requires consideration of whether guaranteed payments are included in the entity tax base and, if so, </w:t>
      </w:r>
      <w:r w:rsidR="00FE34C4">
        <w:t>whether their sourcing is consistent</w:t>
      </w:r>
      <w:r w:rsidR="00A10F86">
        <w:t xml:space="preserve">. </w:t>
      </w:r>
    </w:p>
    <w:p w14:paraId="6C4872CA" w14:textId="572CEF04" w:rsidR="00195BA8" w:rsidRDefault="00D32D8F" w:rsidP="00D32D8F">
      <w:pPr>
        <w:spacing w:after="120"/>
      </w:pPr>
      <w:r>
        <w:t xml:space="preserve">Guaranteed payments for services may be distinguished from other types of partnership income/payments in both economic terms </w:t>
      </w:r>
      <w:r w:rsidR="001C2AB3">
        <w:t>as well as</w:t>
      </w:r>
      <w:r>
        <w:t xml:space="preserve"> for </w:t>
      </w:r>
      <w:r w:rsidR="00B055FC">
        <w:t xml:space="preserve">federal and state </w:t>
      </w:r>
      <w:r>
        <w:t xml:space="preserve">tax purposes. But </w:t>
      </w:r>
      <w:r w:rsidR="00B055FC">
        <w:t>these differences do not clear</w:t>
      </w:r>
      <w:r w:rsidR="0089577D">
        <w:t xml:space="preserve">ly point to </w:t>
      </w:r>
      <w:r w:rsidR="00037C31">
        <w:t xml:space="preserve">one particular state sourcing method for these payments. </w:t>
      </w:r>
      <w:r w:rsidR="001C2AB3">
        <w:t xml:space="preserve">Nor does it appear that there is anything </w:t>
      </w:r>
      <w:r>
        <w:t>that prevents states from using either of the methods</w:t>
      </w:r>
      <w:r w:rsidR="00402AF9">
        <w:t xml:space="preserve"> in most cases</w:t>
      </w:r>
      <w:r>
        <w:t xml:space="preserve">. </w:t>
      </w:r>
      <w:r w:rsidR="001C2AB3">
        <w:t>Rather, d</w:t>
      </w:r>
      <w:r>
        <w:t xml:space="preserve">ifferent factors </w:t>
      </w:r>
      <w:r w:rsidR="003F2633">
        <w:t xml:space="preserve">(set out more fully in Section V.) </w:t>
      </w:r>
      <w:r>
        <w:t xml:space="preserve">may generally favor one method versus the other. </w:t>
      </w:r>
    </w:p>
    <w:p w14:paraId="35B7E4D4" w14:textId="00AF9DE1" w:rsidR="00D32D8F" w:rsidRDefault="00D32D8F" w:rsidP="00D32D8F">
      <w:pPr>
        <w:spacing w:after="120"/>
      </w:pPr>
      <w:r>
        <w:t>Nevertheless, this white paper can make the following recommendations:</w:t>
      </w:r>
    </w:p>
    <w:p w14:paraId="3061D350" w14:textId="77777777" w:rsidR="00122E68" w:rsidRPr="00122E68" w:rsidRDefault="00122E68" w:rsidP="00122E68">
      <w:pPr>
        <w:numPr>
          <w:ilvl w:val="0"/>
          <w:numId w:val="26"/>
        </w:numPr>
      </w:pPr>
      <w:r w:rsidRPr="00122E68">
        <w:t xml:space="preserve">States should explicitly address the sourcing of guaranteed payments in order to avoid uncertainty. </w:t>
      </w:r>
    </w:p>
    <w:p w14:paraId="33F46241" w14:textId="77777777" w:rsidR="00122E68" w:rsidRPr="00122E68" w:rsidRDefault="00122E68" w:rsidP="00122E68">
      <w:pPr>
        <w:numPr>
          <w:ilvl w:val="0"/>
          <w:numId w:val="26"/>
        </w:numPr>
      </w:pPr>
      <w:r w:rsidRPr="00122E68">
        <w:t xml:space="preserve">States should source guaranteed payments the same whether applying tax to the partner on a pass-through basis or on the entity. </w:t>
      </w:r>
    </w:p>
    <w:p w14:paraId="416A2850" w14:textId="77777777" w:rsidR="00122E68" w:rsidRPr="00122E68" w:rsidRDefault="00122E68" w:rsidP="00122E68">
      <w:pPr>
        <w:numPr>
          <w:ilvl w:val="0"/>
          <w:numId w:val="26"/>
        </w:numPr>
      </w:pPr>
      <w:r w:rsidRPr="00122E68">
        <w:t xml:space="preserve">States that provide guaranteed payments should be sourced as distributive share should also: </w:t>
      </w:r>
    </w:p>
    <w:p w14:paraId="20995098" w14:textId="77777777" w:rsidR="00122E68" w:rsidRPr="00122E68" w:rsidRDefault="00122E68" w:rsidP="00122E68">
      <w:pPr>
        <w:numPr>
          <w:ilvl w:val="1"/>
          <w:numId w:val="26"/>
        </w:numPr>
      </w:pPr>
      <w:r w:rsidRPr="00122E68">
        <w:t>Address whether this applies to individuals working in foreign jurisdictions who may source the payments as compensation for federal purposes—and provide necessary adjustments to the federal tax base.</w:t>
      </w:r>
    </w:p>
    <w:p w14:paraId="34B58E4B" w14:textId="77777777" w:rsidR="00122E68" w:rsidRPr="00122E68" w:rsidRDefault="00122E68" w:rsidP="00122E68">
      <w:pPr>
        <w:numPr>
          <w:ilvl w:val="1"/>
          <w:numId w:val="26"/>
        </w:numPr>
      </w:pPr>
      <w:r w:rsidRPr="00122E68">
        <w:t xml:space="preserve">Address whether they follow federal treatment in distinguishing guaranteed payments for services from partner-partnership transactions. </w:t>
      </w:r>
    </w:p>
    <w:p w14:paraId="34209A21" w14:textId="77777777" w:rsidR="00122E68" w:rsidRPr="00122E68" w:rsidRDefault="00122E68" w:rsidP="00122E68">
      <w:pPr>
        <w:numPr>
          <w:ilvl w:val="1"/>
          <w:numId w:val="26"/>
        </w:numPr>
      </w:pPr>
      <w:r w:rsidRPr="00122E68">
        <w:t xml:space="preserve">Specify that this sourcing treatment does not apply to payments made to retired partners that are required to be sourced to residence under 4 U.S.C. §114. </w:t>
      </w:r>
    </w:p>
    <w:p w14:paraId="61C5B762" w14:textId="77777777" w:rsidR="00122E68" w:rsidRPr="00122E68" w:rsidRDefault="00122E68" w:rsidP="00122E68">
      <w:pPr>
        <w:numPr>
          <w:ilvl w:val="0"/>
          <w:numId w:val="26"/>
        </w:numPr>
      </w:pPr>
      <w:r w:rsidRPr="00122E68">
        <w:t>States that source the payments as compensation should also:</w:t>
      </w:r>
    </w:p>
    <w:p w14:paraId="79190ACE" w14:textId="77777777" w:rsidR="00122E68" w:rsidRPr="00122E68" w:rsidRDefault="00122E68" w:rsidP="00122E68">
      <w:pPr>
        <w:numPr>
          <w:ilvl w:val="1"/>
          <w:numId w:val="26"/>
        </w:numPr>
      </w:pPr>
      <w:r w:rsidRPr="00122E68">
        <w:t xml:space="preserve">Impose appropriate limits to ensure that the payments are genuinely similar to compensation for services performed and to avoid income shifting. </w:t>
      </w:r>
    </w:p>
    <w:p w14:paraId="50C089BB" w14:textId="77777777" w:rsidR="00122E68" w:rsidRPr="00122E68" w:rsidRDefault="00122E68" w:rsidP="00122E68">
      <w:pPr>
        <w:numPr>
          <w:ilvl w:val="1"/>
          <w:numId w:val="26"/>
        </w:numPr>
      </w:pPr>
      <w:r w:rsidRPr="00122E68">
        <w:t>Address whether they will follow federal treatment in distinguishing guaranteed payments from distributive share/distributions.</w:t>
      </w:r>
    </w:p>
    <w:p w14:paraId="05709F62" w14:textId="77777777" w:rsidR="00122E68" w:rsidRPr="00122E68" w:rsidRDefault="00122E68" w:rsidP="00122E68">
      <w:pPr>
        <w:numPr>
          <w:ilvl w:val="1"/>
          <w:numId w:val="26"/>
        </w:numPr>
      </w:pPr>
      <w:r w:rsidRPr="00122E68">
        <w:t xml:space="preserve">Address whether they will follow federal treatment in distinguishing guaranteed payments for services from guaranteed payments for capital. </w:t>
      </w:r>
    </w:p>
    <w:p w14:paraId="4C9F1AEA" w14:textId="77777777" w:rsidR="00122E68" w:rsidRPr="00122E68" w:rsidRDefault="00122E68" w:rsidP="00122E68">
      <w:pPr>
        <w:numPr>
          <w:ilvl w:val="0"/>
          <w:numId w:val="26"/>
        </w:numPr>
      </w:pPr>
      <w:r w:rsidRPr="00122E68">
        <w:t>To mitigate the possibility of multiple taxation, consider provisions that might grant additional credits to residents who can show that they paid tax on more than 100% of their guaranteed payments based on different state sourcing rules.</w:t>
      </w:r>
    </w:p>
    <w:p w14:paraId="6AFDD5EF" w14:textId="4E11152A" w:rsidR="00B5459F" w:rsidRDefault="00B5459F" w:rsidP="00D530E5">
      <w:r>
        <w:t xml:space="preserve"> </w:t>
      </w:r>
    </w:p>
    <w:p w14:paraId="5871EB8F" w14:textId="420F03B0" w:rsidR="00B5459F" w:rsidRDefault="00B5459F">
      <w:pPr>
        <w:spacing w:line="276" w:lineRule="auto"/>
        <w:jc w:val="left"/>
        <w:rPr>
          <w:rFonts w:asciiTheme="majorHAnsi" w:eastAsiaTheme="majorEastAsia" w:hAnsiTheme="majorHAnsi" w:cstheme="majorBidi"/>
          <w:b/>
          <w:color w:val="851C00" w:themeColor="accent6" w:themeShade="BF"/>
          <w:sz w:val="26"/>
          <w:szCs w:val="26"/>
          <w:u w:val="single"/>
        </w:rPr>
      </w:pPr>
    </w:p>
    <w:p w14:paraId="4960ADFE" w14:textId="77777777" w:rsidR="00D530E5" w:rsidRDefault="00D530E5">
      <w:pPr>
        <w:spacing w:line="276" w:lineRule="auto"/>
        <w:jc w:val="left"/>
        <w:rPr>
          <w:rFonts w:asciiTheme="majorHAnsi" w:eastAsiaTheme="majorEastAsia" w:hAnsiTheme="majorHAnsi" w:cstheme="majorBidi"/>
          <w:b/>
          <w:smallCaps/>
          <w:color w:val="851C00" w:themeColor="accent6" w:themeShade="BF"/>
          <w:sz w:val="32"/>
          <w:szCs w:val="32"/>
        </w:rPr>
      </w:pPr>
      <w:r>
        <w:br w:type="page"/>
      </w:r>
    </w:p>
    <w:p w14:paraId="482DF49D" w14:textId="65E2D05F" w:rsidR="00B5459F" w:rsidRDefault="00F54CF3" w:rsidP="00B5459F">
      <w:pPr>
        <w:pStyle w:val="Heading1"/>
      </w:pPr>
      <w:bookmarkStart w:id="9" w:name="_Toc144634436"/>
      <w:r>
        <w:lastRenderedPageBreak/>
        <w:t xml:space="preserve">Section </w:t>
      </w:r>
      <w:r w:rsidR="00B5459F">
        <w:t xml:space="preserve">I. </w:t>
      </w:r>
      <w:r w:rsidR="00A94288">
        <w:t xml:space="preserve">Important </w:t>
      </w:r>
      <w:r w:rsidR="00A85E6E">
        <w:t>Context</w:t>
      </w:r>
      <w:bookmarkEnd w:id="9"/>
    </w:p>
    <w:p w14:paraId="42AD2D9B" w14:textId="3F309C68" w:rsidR="003D5D9B" w:rsidRPr="003D5D9B" w:rsidRDefault="003D5D9B" w:rsidP="003D5D9B">
      <w:pPr>
        <w:jc w:val="center"/>
        <w:rPr>
          <w:i/>
          <w:iCs/>
        </w:rPr>
      </w:pPr>
      <w:r>
        <w:rPr>
          <w:i/>
          <w:iCs/>
        </w:rPr>
        <w:t xml:space="preserve">This Section I provides background information </w:t>
      </w:r>
      <w:r w:rsidR="00F50FE2">
        <w:rPr>
          <w:i/>
          <w:iCs/>
        </w:rPr>
        <w:t>necessary to understand</w:t>
      </w:r>
      <w:r w:rsidR="008B2114">
        <w:rPr>
          <w:i/>
          <w:iCs/>
        </w:rPr>
        <w:t xml:space="preserve"> </w:t>
      </w:r>
      <w:r w:rsidR="0030450A">
        <w:rPr>
          <w:i/>
          <w:iCs/>
        </w:rPr>
        <w:t>the issues discussed.</w:t>
      </w:r>
    </w:p>
    <w:p w14:paraId="512B2AE2" w14:textId="2B7A1831" w:rsidR="00491330" w:rsidRDefault="00F54CF3" w:rsidP="00753372">
      <w:pPr>
        <w:pStyle w:val="Heading2"/>
      </w:pPr>
      <w:bookmarkStart w:id="10" w:name="_Toc144634437"/>
      <w:r>
        <w:t xml:space="preserve">I. </w:t>
      </w:r>
      <w:r w:rsidR="00B5459F">
        <w:t xml:space="preserve">A. </w:t>
      </w:r>
      <w:r w:rsidR="00491330">
        <w:t>Terms</w:t>
      </w:r>
      <w:r w:rsidR="00A3333C">
        <w:t xml:space="preserve"> Used in this White Paper</w:t>
      </w:r>
      <w:bookmarkEnd w:id="10"/>
    </w:p>
    <w:p w14:paraId="5755DA2F" w14:textId="3A585EC5" w:rsidR="00436972" w:rsidRDefault="00E51C1F" w:rsidP="00436972">
      <w:r>
        <w:t xml:space="preserve">As used in this white paper, </w:t>
      </w:r>
      <w:r w:rsidR="00451C52">
        <w:t>these</w:t>
      </w:r>
      <w:r>
        <w:t xml:space="preserve"> terms will have the </w:t>
      </w:r>
      <w:r w:rsidR="00451C52">
        <w:t xml:space="preserve">following </w:t>
      </w:r>
      <w:r>
        <w:t>meaning</w:t>
      </w:r>
      <w:r w:rsidR="00436972">
        <w:t>:</w:t>
      </w:r>
    </w:p>
    <w:p w14:paraId="73E2254F" w14:textId="1115AC64" w:rsidR="00EE0E9C" w:rsidRPr="00D947AA" w:rsidRDefault="00EE0E9C" w:rsidP="005E573B">
      <w:pPr>
        <w:spacing w:after="120"/>
        <w:ind w:left="432"/>
      </w:pPr>
      <w:r w:rsidRPr="00451C52">
        <w:rPr>
          <w:rStyle w:val="Heading4Char"/>
          <w:b/>
          <w:bCs/>
          <w:color w:val="auto"/>
          <w:u w:val="single"/>
        </w:rPr>
        <w:t>Substantive Tax Rules</w:t>
      </w:r>
      <w:r>
        <w:rPr>
          <w:rStyle w:val="Heading4Char"/>
          <w:bCs/>
          <w:color w:val="auto"/>
        </w:rPr>
        <w:t xml:space="preserve"> – refers to the tax rules outside of </w:t>
      </w:r>
      <w:r w:rsidR="00F915C5">
        <w:rPr>
          <w:rStyle w:val="Heading4Char"/>
          <w:bCs/>
          <w:color w:val="auto"/>
        </w:rPr>
        <w:t xml:space="preserve">IRC </w:t>
      </w:r>
      <w:r>
        <w:rPr>
          <w:rStyle w:val="Heading4Char"/>
          <w:bCs/>
          <w:color w:val="auto"/>
        </w:rPr>
        <w:t>Subchapter K which determine calculation of tax</w:t>
      </w:r>
      <w:r w:rsidR="00451C52">
        <w:rPr>
          <w:rStyle w:val="Heading4Char"/>
          <w:bCs/>
          <w:color w:val="auto"/>
        </w:rPr>
        <w:t xml:space="preserve">, for example: </w:t>
      </w:r>
      <w:r>
        <w:rPr>
          <w:rStyle w:val="Heading4Char"/>
          <w:bCs/>
          <w:color w:val="auto"/>
        </w:rPr>
        <w:t xml:space="preserve">whether income is taxable or exempt, whether expenses are deductible or capitalized and amortized, whether items are considered ordinary income (or loss) or capital gains (or losses), </w:t>
      </w:r>
      <w:r w:rsidR="00451C52">
        <w:rPr>
          <w:rStyle w:val="Heading4Char"/>
          <w:bCs/>
          <w:color w:val="auto"/>
        </w:rPr>
        <w:t xml:space="preserve">whether losses are subject to </w:t>
      </w:r>
      <w:r>
        <w:rPr>
          <w:rStyle w:val="Heading4Char"/>
          <w:bCs/>
          <w:color w:val="auto"/>
        </w:rPr>
        <w:t>limitation rules</w:t>
      </w:r>
      <w:r w:rsidR="00494E24">
        <w:rPr>
          <w:rStyle w:val="Heading4Char"/>
          <w:b/>
          <w:bCs/>
          <w:color w:val="auto"/>
        </w:rPr>
        <w:t>, etc.</w:t>
      </w:r>
    </w:p>
    <w:p w14:paraId="2DC95102" w14:textId="4668E987" w:rsidR="00EE0E9C" w:rsidRDefault="00EE0E9C" w:rsidP="005E573B">
      <w:pPr>
        <w:spacing w:after="120"/>
        <w:ind w:left="432"/>
        <w:rPr>
          <w:rStyle w:val="Heading4Char"/>
          <w:b/>
          <w:bCs/>
          <w:color w:val="auto"/>
        </w:rPr>
      </w:pPr>
      <w:r w:rsidRPr="00451C52">
        <w:rPr>
          <w:rStyle w:val="Heading4Char"/>
          <w:b/>
          <w:bCs/>
          <w:color w:val="auto"/>
          <w:u w:val="single"/>
        </w:rPr>
        <w:t>Sourcing or State Sourcing</w:t>
      </w:r>
      <w:r w:rsidRPr="00531B68">
        <w:rPr>
          <w:rStyle w:val="Heading4Char"/>
          <w:color w:val="auto"/>
        </w:rPr>
        <w:t xml:space="preserve"> – </w:t>
      </w:r>
      <w:r w:rsidR="00451C52">
        <w:rPr>
          <w:rStyle w:val="Heading4Char"/>
          <w:color w:val="auto"/>
        </w:rPr>
        <w:t xml:space="preserve">methods of </w:t>
      </w:r>
      <w:r w:rsidR="00451C52">
        <w:rPr>
          <w:rStyle w:val="Heading4Char"/>
          <w:bCs/>
          <w:color w:val="auto"/>
        </w:rPr>
        <w:t>assigning a part of</w:t>
      </w:r>
      <w:r w:rsidRPr="00753372">
        <w:rPr>
          <w:rStyle w:val="Heading4Char"/>
          <w:bCs/>
          <w:color w:val="auto"/>
        </w:rPr>
        <w:t xml:space="preserve"> multistate income or items </w:t>
      </w:r>
      <w:r w:rsidR="00451C52">
        <w:rPr>
          <w:rStyle w:val="Heading4Char"/>
          <w:bCs/>
          <w:color w:val="auto"/>
        </w:rPr>
        <w:t xml:space="preserve">to a state. </w:t>
      </w:r>
    </w:p>
    <w:p w14:paraId="764A681A" w14:textId="033619AE" w:rsidR="00AC5247" w:rsidRDefault="00AC5247" w:rsidP="005E573B">
      <w:pPr>
        <w:spacing w:after="120"/>
        <w:ind w:left="432"/>
      </w:pPr>
      <w:r w:rsidRPr="00451C52">
        <w:rPr>
          <w:rStyle w:val="Heading4Char"/>
          <w:b/>
          <w:bCs/>
          <w:color w:val="auto"/>
          <w:u w:val="single"/>
        </w:rPr>
        <w:t>Partnership</w:t>
      </w:r>
      <w:r>
        <w:t xml:space="preserve"> – any entity properly taxed under </w:t>
      </w:r>
      <w:r w:rsidR="000D1277">
        <w:t xml:space="preserve">IRC </w:t>
      </w:r>
      <w:r>
        <w:t>Subchapter K.</w:t>
      </w:r>
    </w:p>
    <w:p w14:paraId="2F8A2F29" w14:textId="4A274055" w:rsidR="00AC5247" w:rsidRDefault="00AC5247" w:rsidP="005E573B">
      <w:pPr>
        <w:spacing w:after="120"/>
        <w:ind w:left="432"/>
      </w:pPr>
      <w:r w:rsidRPr="00451C52">
        <w:rPr>
          <w:rStyle w:val="Heading4Char"/>
          <w:b/>
          <w:bCs/>
          <w:color w:val="auto"/>
          <w:u w:val="single"/>
        </w:rPr>
        <w:t>Partner</w:t>
      </w:r>
      <w:r>
        <w:t xml:space="preserve"> – any person (including </w:t>
      </w:r>
      <w:r w:rsidR="000D1277">
        <w:t xml:space="preserve">an </w:t>
      </w:r>
      <w:r>
        <w:t>individual, corporation, other partnership, trust, charitable organization, etc.) that hold</w:t>
      </w:r>
      <w:r w:rsidR="000D1277">
        <w:t>s</w:t>
      </w:r>
      <w:r>
        <w:t xml:space="preserve"> an interest in a partnership.</w:t>
      </w:r>
    </w:p>
    <w:p w14:paraId="14585206" w14:textId="3BC69047" w:rsidR="002B5BDD" w:rsidRDefault="00AC5247" w:rsidP="005E573B">
      <w:pPr>
        <w:spacing w:after="120"/>
        <w:ind w:left="432"/>
      </w:pPr>
      <w:r w:rsidRPr="00451C52">
        <w:rPr>
          <w:rStyle w:val="Heading4Char"/>
          <w:b/>
          <w:bCs/>
          <w:color w:val="auto"/>
          <w:u w:val="single"/>
        </w:rPr>
        <w:t>Pass-Through Entity</w:t>
      </w:r>
      <w:r>
        <w:t xml:space="preserve"> – any entity subject to federal tax on a pass-through basis including </w:t>
      </w:r>
      <w:r w:rsidR="000D1277">
        <w:t xml:space="preserve">a </w:t>
      </w:r>
      <w:r>
        <w:t xml:space="preserve">partnership </w:t>
      </w:r>
      <w:r w:rsidR="000D1277">
        <w:t>or</w:t>
      </w:r>
      <w:r>
        <w:t xml:space="preserve"> S corporation.</w:t>
      </w:r>
    </w:p>
    <w:p w14:paraId="4E1EA2DA" w14:textId="1F1D0CEA" w:rsidR="00EE0E9C" w:rsidRDefault="00EE0E9C" w:rsidP="005E573B">
      <w:pPr>
        <w:spacing w:after="120"/>
        <w:ind w:left="432"/>
        <w:rPr>
          <w:rStyle w:val="Heading4Char"/>
          <w:b/>
          <w:bCs/>
          <w:color w:val="auto"/>
        </w:rPr>
      </w:pPr>
      <w:r w:rsidRPr="00451C52">
        <w:rPr>
          <w:rStyle w:val="Heading4Char"/>
          <w:b/>
          <w:bCs/>
          <w:color w:val="auto"/>
          <w:u w:val="single"/>
        </w:rPr>
        <w:t>Partnership Item</w:t>
      </w:r>
      <w:r w:rsidR="00450949" w:rsidRPr="00451C52">
        <w:rPr>
          <w:rStyle w:val="Heading4Char"/>
          <w:b/>
          <w:bCs/>
          <w:color w:val="auto"/>
          <w:u w:val="single"/>
        </w:rPr>
        <w:t xml:space="preserve"> (Item)</w:t>
      </w:r>
      <w:r>
        <w:rPr>
          <w:rStyle w:val="Heading4Char"/>
          <w:color w:val="auto"/>
        </w:rPr>
        <w:t xml:space="preserve"> –</w:t>
      </w:r>
      <w:r w:rsidR="00451C52">
        <w:rPr>
          <w:rStyle w:val="Heading4Char"/>
          <w:bCs/>
          <w:color w:val="auto"/>
        </w:rPr>
        <w:t xml:space="preserve"> any item of </w:t>
      </w:r>
      <w:r>
        <w:rPr>
          <w:rStyle w:val="Heading4Char"/>
          <w:bCs/>
          <w:color w:val="auto"/>
        </w:rPr>
        <w:t>income, expense, gain, or loss that is separately recognized.</w:t>
      </w:r>
    </w:p>
    <w:p w14:paraId="581AF53A" w14:textId="105BDE1C" w:rsidR="00EE0E9C" w:rsidRPr="00EE0E9C" w:rsidRDefault="00EE0E9C" w:rsidP="005E573B">
      <w:pPr>
        <w:spacing w:after="120"/>
        <w:ind w:left="432"/>
      </w:pPr>
      <w:r w:rsidRPr="00451C52">
        <w:rPr>
          <w:rStyle w:val="Heading4Char"/>
          <w:b/>
          <w:bCs/>
          <w:color w:val="auto"/>
          <w:u w:val="single"/>
        </w:rPr>
        <w:t>Partnership Income</w:t>
      </w:r>
      <w:r>
        <w:rPr>
          <w:rStyle w:val="Heading4Char"/>
          <w:bCs/>
          <w:color w:val="auto"/>
        </w:rPr>
        <w:t xml:space="preserve"> – The calculation of income (or loss) of the partnership under Subchapter K and using the federal form 1065.</w:t>
      </w:r>
    </w:p>
    <w:p w14:paraId="12935297" w14:textId="31835895" w:rsidR="00855637" w:rsidRDefault="00855637" w:rsidP="005E573B">
      <w:pPr>
        <w:spacing w:after="120"/>
        <w:ind w:left="432"/>
      </w:pPr>
      <w:r w:rsidRPr="00451C52">
        <w:rPr>
          <w:rStyle w:val="Heading4Char"/>
          <w:b/>
          <w:color w:val="auto"/>
          <w:u w:val="single"/>
        </w:rPr>
        <w:t>Partner Capital Account</w:t>
      </w:r>
      <w:r w:rsidRPr="00855637">
        <w:rPr>
          <w:rStyle w:val="Heading4Char"/>
        </w:rPr>
        <w:t xml:space="preserve"> </w:t>
      </w:r>
      <w:r>
        <w:t xml:space="preserve">– the </w:t>
      </w:r>
      <w:r w:rsidR="00EE0E9C">
        <w:t xml:space="preserve">accounting concept that tracks the </w:t>
      </w:r>
      <w:r>
        <w:t>amount of a partner’s share of the partnership assets</w:t>
      </w:r>
      <w:r w:rsidR="00494E24">
        <w:t xml:space="preserve"> net of that partner’s share of liabilities</w:t>
      </w:r>
      <w:r>
        <w:t>.</w:t>
      </w:r>
    </w:p>
    <w:p w14:paraId="3C9401A6" w14:textId="3F09AABF" w:rsidR="00855637" w:rsidRPr="002B5BDD" w:rsidRDefault="00C62A7B" w:rsidP="005E573B">
      <w:pPr>
        <w:spacing w:after="120"/>
        <w:ind w:left="432"/>
      </w:pPr>
      <w:r w:rsidRPr="00451C52">
        <w:rPr>
          <w:rStyle w:val="Heading4Char"/>
          <w:b/>
          <w:color w:val="auto"/>
          <w:u w:val="single"/>
        </w:rPr>
        <w:t xml:space="preserve">Outside </w:t>
      </w:r>
      <w:r w:rsidR="00855637" w:rsidRPr="00451C52">
        <w:rPr>
          <w:rStyle w:val="Heading4Char"/>
          <w:b/>
          <w:color w:val="auto"/>
          <w:u w:val="single"/>
        </w:rPr>
        <w:t>Basis</w:t>
      </w:r>
      <w:r w:rsidR="00855637" w:rsidRPr="00855637">
        <w:rPr>
          <w:rStyle w:val="Heading4Char"/>
        </w:rPr>
        <w:t xml:space="preserve"> </w:t>
      </w:r>
      <w:r w:rsidR="00855637">
        <w:t xml:space="preserve">– </w:t>
      </w:r>
      <w:r w:rsidR="00E71752">
        <w:t>the tax basis of a partner’s interest in a partnershi</w:t>
      </w:r>
      <w:r w:rsidR="00494E24">
        <w:t>p which is affected by allocations of income, expense, gain, or loss as well as contributions and distributions</w:t>
      </w:r>
      <w:r w:rsidR="00E71752">
        <w:t xml:space="preserve">. </w:t>
      </w:r>
    </w:p>
    <w:p w14:paraId="5123B29B" w14:textId="71A3DF83" w:rsidR="00855637" w:rsidRDefault="00855637" w:rsidP="005E573B">
      <w:pPr>
        <w:spacing w:after="120"/>
        <w:ind w:left="432"/>
      </w:pPr>
      <w:r w:rsidRPr="00451C52">
        <w:rPr>
          <w:rStyle w:val="Heading4Char"/>
          <w:b/>
          <w:color w:val="auto"/>
          <w:u w:val="single"/>
        </w:rPr>
        <w:t>Allocation</w:t>
      </w:r>
      <w:r w:rsidRPr="00855637">
        <w:rPr>
          <w:rStyle w:val="Heading4Char"/>
        </w:rPr>
        <w:t xml:space="preserve"> </w:t>
      </w:r>
      <w:r>
        <w:t xml:space="preserve">– the dividing up of the economic or tax results of a partnership between the partners and assigning shares of income or items to partners. </w:t>
      </w:r>
    </w:p>
    <w:p w14:paraId="0EA4EFF1" w14:textId="3967EADA" w:rsidR="000169A8" w:rsidRDefault="000169A8" w:rsidP="005E573B">
      <w:pPr>
        <w:spacing w:after="120"/>
        <w:ind w:left="432"/>
      </w:pPr>
      <w:r w:rsidRPr="00451C52">
        <w:rPr>
          <w:rStyle w:val="Heading4Char"/>
          <w:b/>
          <w:bCs/>
          <w:color w:val="auto"/>
          <w:u w:val="single"/>
        </w:rPr>
        <w:t>Distributive Share</w:t>
      </w:r>
      <w:r>
        <w:t xml:space="preserve"> –</w:t>
      </w:r>
      <w:r w:rsidR="00531B68">
        <w:t xml:space="preserve"> </w:t>
      </w:r>
      <w:r>
        <w:t xml:space="preserve">the </w:t>
      </w:r>
      <w:r w:rsidR="00855637">
        <w:t>share of</w:t>
      </w:r>
      <w:r>
        <w:t xml:space="preserve"> partnership income (loss) or items of partnership income, expense, gain, or loss </w:t>
      </w:r>
      <w:r w:rsidR="00855637">
        <w:t xml:space="preserve">allocated to </w:t>
      </w:r>
      <w:r>
        <w:t>partners according to the rules of Subchapter K</w:t>
      </w:r>
      <w:r w:rsidR="00F62393">
        <w:t>, whether or not any</w:t>
      </w:r>
      <w:r w:rsidR="008444D0">
        <w:t xml:space="preserve"> distribution of cash or property </w:t>
      </w:r>
      <w:r w:rsidR="00F62393">
        <w:t xml:space="preserve">is made </w:t>
      </w:r>
      <w:r w:rsidR="008444D0">
        <w:t>to the partners.</w:t>
      </w:r>
    </w:p>
    <w:p w14:paraId="6659DAFA" w14:textId="5B66E1D9" w:rsidR="000169A8" w:rsidRDefault="000169A8" w:rsidP="005E573B">
      <w:pPr>
        <w:spacing w:after="120"/>
        <w:ind w:left="432"/>
      </w:pPr>
      <w:r w:rsidRPr="00F62393">
        <w:rPr>
          <w:rStyle w:val="Heading4Char"/>
          <w:b/>
          <w:color w:val="auto"/>
          <w:u w:val="single"/>
        </w:rPr>
        <w:t>Contributions</w:t>
      </w:r>
      <w:r>
        <w:t xml:space="preserve"> –</w:t>
      </w:r>
      <w:r w:rsidR="00531B68">
        <w:t xml:space="preserve"> </w:t>
      </w:r>
      <w:r>
        <w:t xml:space="preserve">money, property, or services transferred by a partner to a partnership which are properly treated as contributions to </w:t>
      </w:r>
      <w:r w:rsidR="008444D0">
        <w:t xml:space="preserve">the partner’s </w:t>
      </w:r>
      <w:r>
        <w:t>capital</w:t>
      </w:r>
      <w:r w:rsidR="008444D0">
        <w:t xml:space="preserve"> account</w:t>
      </w:r>
      <w:r>
        <w:t xml:space="preserve"> (in the case of services—with the recognition of ordinary income to the partner) and which increase the partner’s outside basis.</w:t>
      </w:r>
    </w:p>
    <w:p w14:paraId="28EA635E" w14:textId="14F33107" w:rsidR="000169A8" w:rsidRDefault="000169A8" w:rsidP="005E573B">
      <w:pPr>
        <w:spacing w:after="120"/>
        <w:ind w:left="432"/>
      </w:pPr>
      <w:r w:rsidRPr="00F62393">
        <w:rPr>
          <w:rStyle w:val="Heading4Char"/>
          <w:b/>
          <w:color w:val="auto"/>
          <w:u w:val="single"/>
        </w:rPr>
        <w:t>Distributions</w:t>
      </w:r>
      <w:r>
        <w:t xml:space="preserve"> –</w:t>
      </w:r>
      <w:r w:rsidR="00531B68">
        <w:t xml:space="preserve"> </w:t>
      </w:r>
      <w:r>
        <w:t xml:space="preserve">money or property transferred by the partnership to a partner properly treated as </w:t>
      </w:r>
      <w:r w:rsidR="008444D0">
        <w:t xml:space="preserve">reductions </w:t>
      </w:r>
      <w:r>
        <w:t xml:space="preserve">from </w:t>
      </w:r>
      <w:r w:rsidR="008444D0">
        <w:t xml:space="preserve">the partner’s </w:t>
      </w:r>
      <w:r>
        <w:t xml:space="preserve">capital </w:t>
      </w:r>
      <w:r w:rsidR="008444D0">
        <w:t xml:space="preserve">account </w:t>
      </w:r>
      <w:r>
        <w:t>and which decrease the partner’s outside basis.</w:t>
      </w:r>
    </w:p>
    <w:p w14:paraId="6A71C0B1" w14:textId="439A4FDF" w:rsidR="00436972" w:rsidRDefault="00436972" w:rsidP="005E573B">
      <w:pPr>
        <w:spacing w:after="120"/>
        <w:ind w:left="432"/>
      </w:pPr>
      <w:r w:rsidRPr="00F62393">
        <w:rPr>
          <w:rStyle w:val="Heading4Char"/>
          <w:b/>
          <w:color w:val="auto"/>
          <w:u w:val="single"/>
        </w:rPr>
        <w:t>Draws</w:t>
      </w:r>
      <w:r>
        <w:t xml:space="preserve"> –</w:t>
      </w:r>
      <w:r w:rsidR="00531B68">
        <w:t xml:space="preserve"> </w:t>
      </w:r>
      <w:r>
        <w:t xml:space="preserve">annual or other regular </w:t>
      </w:r>
      <w:r w:rsidR="000D1277">
        <w:t xml:space="preserve">periodic </w:t>
      </w:r>
      <w:r>
        <w:t>distributions</w:t>
      </w:r>
      <w:r w:rsidR="00494E24">
        <w:t xml:space="preserve"> of money or property to partners</w:t>
      </w:r>
      <w:r>
        <w:t>.</w:t>
      </w:r>
    </w:p>
    <w:p w14:paraId="7CFD0BDA" w14:textId="066C65FB" w:rsidR="005E6D67" w:rsidRPr="00BC4D70" w:rsidRDefault="005E6D67" w:rsidP="005E573B">
      <w:pPr>
        <w:spacing w:after="120"/>
        <w:ind w:left="432"/>
      </w:pPr>
      <w:r w:rsidRPr="00F62393">
        <w:rPr>
          <w:rStyle w:val="Heading4Char"/>
          <w:b/>
          <w:bCs/>
          <w:color w:val="auto"/>
          <w:u w:val="single"/>
        </w:rPr>
        <w:t>Distributive Share/Distributions</w:t>
      </w:r>
      <w:r w:rsidRPr="00BC4D70">
        <w:t xml:space="preserve"> </w:t>
      </w:r>
      <w:r w:rsidR="00BC4D70">
        <w:t xml:space="preserve">– distributive share </w:t>
      </w:r>
      <w:r w:rsidR="000D1277">
        <w:t>and</w:t>
      </w:r>
      <w:r w:rsidR="00BC4D70">
        <w:t xml:space="preserve"> distributions</w:t>
      </w:r>
      <w:r w:rsidR="000D1277">
        <w:t>, collectively</w:t>
      </w:r>
      <w:r w:rsidR="00BC4D70">
        <w:t>.</w:t>
      </w:r>
    </w:p>
    <w:p w14:paraId="67692FED" w14:textId="3B0C2CDD" w:rsidR="000169A8" w:rsidRDefault="000169A8" w:rsidP="005E573B">
      <w:pPr>
        <w:spacing w:after="120"/>
        <w:ind w:left="432"/>
      </w:pPr>
      <w:r w:rsidRPr="00F62393">
        <w:rPr>
          <w:rStyle w:val="Heading4Char"/>
          <w:b/>
          <w:bCs/>
          <w:color w:val="auto"/>
          <w:u w:val="single"/>
        </w:rPr>
        <w:t>Guaranteed Payments</w:t>
      </w:r>
      <w:r>
        <w:t xml:space="preserve"> –  </w:t>
      </w:r>
      <w:r w:rsidR="00F62393">
        <w:t xml:space="preserve">transfers of </w:t>
      </w:r>
      <w:r>
        <w:t xml:space="preserve">money or property </w:t>
      </w:r>
      <w:r w:rsidR="00451C52">
        <w:t>from</w:t>
      </w:r>
      <w:r>
        <w:t xml:space="preserve"> </w:t>
      </w:r>
      <w:r w:rsidR="00451C52">
        <w:t>a</w:t>
      </w:r>
      <w:r>
        <w:t xml:space="preserve"> partnership to a partner</w:t>
      </w:r>
      <w:r w:rsidR="008444D0">
        <w:t xml:space="preserve"> </w:t>
      </w:r>
      <w:r w:rsidR="00451C52">
        <w:t xml:space="preserve">acting </w:t>
      </w:r>
      <w:r w:rsidR="008444D0">
        <w:t xml:space="preserve">in the capacity </w:t>
      </w:r>
      <w:r w:rsidR="00451C52">
        <w:t>of</w:t>
      </w:r>
      <w:r w:rsidR="008444D0">
        <w:t xml:space="preserve"> a partner </w:t>
      </w:r>
      <w:r w:rsidR="00451C52">
        <w:t xml:space="preserve">either for services </w:t>
      </w:r>
      <w:r w:rsidR="008444D0">
        <w:t xml:space="preserve">or </w:t>
      </w:r>
      <w:r w:rsidR="00451C52">
        <w:t xml:space="preserve">for </w:t>
      </w:r>
      <w:r w:rsidR="008444D0">
        <w:t>the use of capital</w:t>
      </w:r>
      <w:r w:rsidR="00451C52">
        <w:t xml:space="preserve"> and</w:t>
      </w:r>
      <w:r w:rsidR="008444D0">
        <w:t xml:space="preserve"> </w:t>
      </w:r>
      <w:r w:rsidR="00491330">
        <w:t xml:space="preserve">which </w:t>
      </w:r>
      <w:r w:rsidR="008444D0">
        <w:t>are properly treated as such under Subchapter K</w:t>
      </w:r>
      <w:r w:rsidR="00FB26CA">
        <w:t>, rather than as distributions.</w:t>
      </w:r>
      <w:r w:rsidR="008444D0">
        <w:t xml:space="preserve"> </w:t>
      </w:r>
    </w:p>
    <w:p w14:paraId="08339EA3" w14:textId="77777777" w:rsidR="00EE0E9C" w:rsidRPr="00EE0E9C" w:rsidRDefault="00EE0E9C" w:rsidP="005E573B">
      <w:pPr>
        <w:spacing w:after="120"/>
        <w:ind w:left="432"/>
      </w:pPr>
      <w:r w:rsidRPr="00F62393">
        <w:rPr>
          <w:b/>
          <w:u w:val="single"/>
        </w:rPr>
        <w:t>Partner-Partnership Transactions</w:t>
      </w:r>
      <w:r w:rsidRPr="00451C52">
        <w:t xml:space="preserve"> </w:t>
      </w:r>
      <w:r w:rsidRPr="00EE0E9C">
        <w:t>– transfers of money, property, or services between partners and partnerships in an exchange that would properly be treated as a transaction between unrelated parties for tax purposes—rather than as a contribution/distribution or a guaranteed payment.</w:t>
      </w:r>
    </w:p>
    <w:p w14:paraId="4B22C5F3" w14:textId="0743E4BD" w:rsidR="00B214D3" w:rsidRDefault="00DB290A" w:rsidP="006D4F0F">
      <w:pPr>
        <w:spacing w:after="120"/>
      </w:pPr>
      <w:r>
        <w:t>O</w:t>
      </w:r>
      <w:r w:rsidR="00AC5247">
        <w:t xml:space="preserve">ther terms </w:t>
      </w:r>
      <w:r w:rsidR="00531B68">
        <w:t xml:space="preserve">used in this white paper </w:t>
      </w:r>
      <w:r w:rsidR="00AC5247">
        <w:t>will generally have meanings</w:t>
      </w:r>
      <w:r w:rsidR="00531B68">
        <w:t xml:space="preserve"> that are</w:t>
      </w:r>
      <w:r w:rsidR="00AC5247">
        <w:t xml:space="preserve"> consistent with their use, if any, under IRC Subchapter K or federal income tax rules. </w:t>
      </w:r>
    </w:p>
    <w:p w14:paraId="16459551" w14:textId="77777777" w:rsidR="005E573B" w:rsidRDefault="005E573B">
      <w:pPr>
        <w:spacing w:line="276" w:lineRule="auto"/>
        <w:jc w:val="left"/>
        <w:rPr>
          <w:rFonts w:asciiTheme="majorHAnsi" w:eastAsiaTheme="majorEastAsia" w:hAnsiTheme="majorHAnsi" w:cstheme="majorBidi"/>
          <w:b/>
          <w:color w:val="851C00" w:themeColor="accent6" w:themeShade="BF"/>
          <w:sz w:val="24"/>
          <w:szCs w:val="26"/>
          <w:u w:val="single"/>
        </w:rPr>
      </w:pPr>
      <w:r>
        <w:br w:type="page"/>
      </w:r>
    </w:p>
    <w:p w14:paraId="2ED3C00A" w14:textId="46231687" w:rsidR="00E51C1F" w:rsidRDefault="00F54CF3" w:rsidP="00753372">
      <w:pPr>
        <w:pStyle w:val="Heading2"/>
      </w:pPr>
      <w:bookmarkStart w:id="11" w:name="_Toc144634438"/>
      <w:r>
        <w:lastRenderedPageBreak/>
        <w:t xml:space="preserve">I. </w:t>
      </w:r>
      <w:r w:rsidR="00B5459F">
        <w:t xml:space="preserve">B. </w:t>
      </w:r>
      <w:r w:rsidR="00F6194C">
        <w:t xml:space="preserve">Summary of </w:t>
      </w:r>
      <w:r w:rsidR="00EF4361">
        <w:t xml:space="preserve">Partnership </w:t>
      </w:r>
      <w:r w:rsidR="00E96929">
        <w:t>Accounting</w:t>
      </w:r>
      <w:r w:rsidR="0084069A">
        <w:t xml:space="preserve"> </w:t>
      </w:r>
      <w:r w:rsidR="00A94288">
        <w:t xml:space="preserve">Rules </w:t>
      </w:r>
      <w:r w:rsidR="0084069A">
        <w:t>– Book &amp; Tax</w:t>
      </w:r>
      <w:bookmarkEnd w:id="11"/>
    </w:p>
    <w:p w14:paraId="11393FC1" w14:textId="2D894FC3" w:rsidR="003D7E47" w:rsidRDefault="00F62393" w:rsidP="003D7E47">
      <w:r>
        <w:t>P</w:t>
      </w:r>
      <w:r w:rsidR="00753372" w:rsidRPr="00753372">
        <w:t>artnerships</w:t>
      </w:r>
      <w:r>
        <w:t>, like all businesses,</w:t>
      </w:r>
      <w:r w:rsidR="00753372" w:rsidRPr="00753372">
        <w:t xml:space="preserve"> must keep records for both financial (“book”) and tax purposes. </w:t>
      </w:r>
      <w:r w:rsidR="00EF223C">
        <w:t xml:space="preserve">While </w:t>
      </w:r>
      <w:r w:rsidR="00344256">
        <w:t xml:space="preserve">these </w:t>
      </w:r>
      <w:r w:rsidR="00C268E2">
        <w:t xml:space="preserve">book and tax </w:t>
      </w:r>
      <w:r w:rsidR="00344256">
        <w:t>rules</w:t>
      </w:r>
      <w:r w:rsidR="00EF223C">
        <w:t xml:space="preserve"> may differ</w:t>
      </w:r>
      <w:r w:rsidR="00156825">
        <w:t xml:space="preserve"> somewhat</w:t>
      </w:r>
      <w:r w:rsidR="00EF223C">
        <w:t xml:space="preserve"> (e.g., </w:t>
      </w:r>
      <w:r w:rsidR="0084069A">
        <w:t>calculation</w:t>
      </w:r>
      <w:r w:rsidR="00EF223C">
        <w:t xml:space="preserve"> of depreciation expense), </w:t>
      </w:r>
      <w:r>
        <w:t>they attempt to fairly reflect</w:t>
      </w:r>
      <w:r w:rsidR="00753372" w:rsidRPr="00753372">
        <w:t xml:space="preserve"> the partnership’s activities</w:t>
      </w:r>
      <w:r w:rsidR="00EF223C">
        <w:t xml:space="preserve"> and the </w:t>
      </w:r>
      <w:r w:rsidR="00753372" w:rsidRPr="00753372">
        <w:t>partners</w:t>
      </w:r>
      <w:r w:rsidR="00450949">
        <w:t>’</w:t>
      </w:r>
      <w:r w:rsidR="00753372" w:rsidRPr="00753372">
        <w:t xml:space="preserve"> economic arrangement.</w:t>
      </w:r>
      <w:r w:rsidR="00156825">
        <w:t xml:space="preserve"> </w:t>
      </w:r>
      <w:r w:rsidR="003D7E47">
        <w:t xml:space="preserve">But the pass-through system </w:t>
      </w:r>
      <w:r w:rsidR="00C268E2">
        <w:t xml:space="preserve">used for tax purposes </w:t>
      </w:r>
      <w:r w:rsidR="003D7E47">
        <w:t xml:space="preserve">adds significant complexity. </w:t>
      </w:r>
    </w:p>
    <w:p w14:paraId="526D0B0B" w14:textId="35BC9932" w:rsidR="003D7E47" w:rsidRDefault="0082180E" w:rsidP="003D7E47">
      <w:r>
        <w:t>P</w:t>
      </w:r>
      <w:r w:rsidR="00F62393">
        <w:t>ass-through tax</w:t>
      </w:r>
      <w:r>
        <w:t>ation</w:t>
      </w:r>
      <w:r w:rsidR="00F62393">
        <w:t xml:space="preserve"> requires partners to recognize </w:t>
      </w:r>
      <w:r>
        <w:t xml:space="preserve">and pay tax on </w:t>
      </w:r>
      <w:r w:rsidR="00F62393">
        <w:t xml:space="preserve">their </w:t>
      </w:r>
      <w:r w:rsidR="00C278C8">
        <w:t xml:space="preserve">distributive </w:t>
      </w:r>
      <w:r w:rsidR="00F62393">
        <w:t xml:space="preserve">shares of </w:t>
      </w:r>
      <w:r w:rsidR="003D7E47" w:rsidRPr="003D7E47">
        <w:t>partnership income, expense, gain, and loss</w:t>
      </w:r>
      <w:r w:rsidR="00344256">
        <w:t>. This</w:t>
      </w:r>
      <w:r w:rsidR="003D7E47" w:rsidRPr="003D7E47">
        <w:t xml:space="preserve"> </w:t>
      </w:r>
      <w:r w:rsidR="00F62393">
        <w:t xml:space="preserve">means </w:t>
      </w:r>
      <w:r w:rsidR="003D7E47" w:rsidRPr="003D7E47">
        <w:t xml:space="preserve">partnerships must keep detailed </w:t>
      </w:r>
      <w:r w:rsidR="00F62393">
        <w:t xml:space="preserve">accounting </w:t>
      </w:r>
      <w:r w:rsidR="003D7E47" w:rsidRPr="003D7E47">
        <w:t xml:space="preserve">information, including partner-specific information, and provide </w:t>
      </w:r>
      <w:r>
        <w:t>it</w:t>
      </w:r>
      <w:r w:rsidR="003D7E47" w:rsidRPr="003D7E47">
        <w:t xml:space="preserve"> to partners annually. </w:t>
      </w:r>
      <w:r w:rsidR="00751772">
        <w:t xml:space="preserve">And when </w:t>
      </w:r>
      <w:r>
        <w:t xml:space="preserve">a </w:t>
      </w:r>
      <w:r w:rsidR="00F62393">
        <w:t xml:space="preserve">single </w:t>
      </w:r>
      <w:r w:rsidR="003D7E47" w:rsidRPr="003D7E47">
        <w:t xml:space="preserve">partnership </w:t>
      </w:r>
      <w:r w:rsidR="00751772">
        <w:t>is</w:t>
      </w:r>
      <w:r w:rsidR="00F62393">
        <w:t xml:space="preserve"> part of</w:t>
      </w:r>
      <w:r w:rsidR="003D7E47" w:rsidRPr="003D7E47">
        <w:t xml:space="preserve"> </w:t>
      </w:r>
      <w:r w:rsidR="00751772">
        <w:t xml:space="preserve">a </w:t>
      </w:r>
      <w:r w:rsidR="003D7E47" w:rsidRPr="003D7E47">
        <w:t>large, complex, tiered structure</w:t>
      </w:r>
      <w:r w:rsidR="00344256">
        <w:t>,</w:t>
      </w:r>
      <w:r w:rsidR="003D7E47" w:rsidRPr="003D7E47">
        <w:t xml:space="preserve"> </w:t>
      </w:r>
      <w:r w:rsidR="00751772">
        <w:t>neither its</w:t>
      </w:r>
      <w:r w:rsidR="003D7E47" w:rsidRPr="003D7E47">
        <w:t xml:space="preserve"> records </w:t>
      </w:r>
      <w:r w:rsidR="00C278C8">
        <w:t>n</w:t>
      </w:r>
      <w:r w:rsidR="00751772">
        <w:t>or the records of any of the partnerships will</w:t>
      </w:r>
      <w:r w:rsidR="003D7E47" w:rsidRPr="003D7E47">
        <w:t xml:space="preserve"> be sufficient to determine the ultimate tax effects on a</w:t>
      </w:r>
      <w:r w:rsidR="00F62393">
        <w:t xml:space="preserve">n </w:t>
      </w:r>
      <w:r w:rsidR="003D7E47" w:rsidRPr="003D7E47">
        <w:t xml:space="preserve">indirect taxpaying partner. </w:t>
      </w:r>
    </w:p>
    <w:p w14:paraId="3DC4B2F4" w14:textId="164CF857" w:rsidR="003D7E47" w:rsidRPr="003D7E47" w:rsidRDefault="00A23E31" w:rsidP="003D7E47">
      <w:r>
        <w:t xml:space="preserve">The following accounting rules are the basis for the </w:t>
      </w:r>
      <w:r w:rsidR="003D7E47">
        <w:t>pass-through system</w:t>
      </w:r>
      <w:r w:rsidR="00F62393">
        <w:t xml:space="preserve">: </w:t>
      </w:r>
    </w:p>
    <w:p w14:paraId="6225BDE3" w14:textId="7208C5F9" w:rsidR="00787F23" w:rsidRDefault="00B35A7D" w:rsidP="005F7F13">
      <w:pPr>
        <w:pStyle w:val="ListParagraph"/>
        <w:numPr>
          <w:ilvl w:val="0"/>
          <w:numId w:val="9"/>
        </w:numPr>
        <w:spacing w:after="120"/>
        <w:ind w:left="576" w:hanging="288"/>
        <w:contextualSpacing w:val="0"/>
      </w:pPr>
      <w:r>
        <w:rPr>
          <w:rFonts w:asciiTheme="majorHAnsi" w:hAnsiTheme="majorHAnsi" w:cstheme="majorBidi"/>
          <w:b/>
          <w:iCs/>
          <w:u w:val="single"/>
        </w:rPr>
        <w:t>Income is taxed on a pass-through basis.</w:t>
      </w:r>
      <w:r w:rsidR="00787F23">
        <w:t xml:space="preserve"> – </w:t>
      </w:r>
      <w:r w:rsidR="00C13C23">
        <w:t>R</w:t>
      </w:r>
      <w:r w:rsidR="009A2360">
        <w:t xml:space="preserve">ather than </w:t>
      </w:r>
      <w:r w:rsidR="00F62393">
        <w:t xml:space="preserve">having </w:t>
      </w:r>
      <w:r w:rsidR="009A2360">
        <w:t>the entity</w:t>
      </w:r>
      <w:r w:rsidR="009D56AE">
        <w:t xml:space="preserve"> </w:t>
      </w:r>
      <w:r>
        <w:t xml:space="preserve">pay tax </w:t>
      </w:r>
      <w:r w:rsidR="009D56AE">
        <w:t>on its income (loss)</w:t>
      </w:r>
      <w:r w:rsidR="009A2360">
        <w:t xml:space="preserve">, </w:t>
      </w:r>
      <w:r w:rsidR="00797D1F">
        <w:t>Subchapter K</w:t>
      </w:r>
      <w:r w:rsidR="0026010A">
        <w:t xml:space="preserve"> </w:t>
      </w:r>
      <w:r w:rsidR="00F62393">
        <w:t xml:space="preserve">exempts the entity and, instead, </w:t>
      </w:r>
      <w:r w:rsidR="0026010A">
        <w:t xml:space="preserve">imposes tax on </w:t>
      </w:r>
      <w:r w:rsidR="009D56AE">
        <w:t>direct or indirect taxpaying partner</w:t>
      </w:r>
      <w:r w:rsidR="00F62393">
        <w:t>s</w:t>
      </w:r>
      <w:r w:rsidR="009D56AE">
        <w:t xml:space="preserve"> </w:t>
      </w:r>
      <w:r w:rsidR="00797D1F">
        <w:t xml:space="preserve">on their </w:t>
      </w:r>
      <w:r w:rsidR="00342A67">
        <w:t>distributive share of</w:t>
      </w:r>
      <w:r w:rsidR="0084069A">
        <w:t xml:space="preserve"> the </w:t>
      </w:r>
      <w:r w:rsidR="00F62393">
        <w:t xml:space="preserve">partnership’s items </w:t>
      </w:r>
      <w:r w:rsidR="00342A67">
        <w:t xml:space="preserve">or its net </w:t>
      </w:r>
      <w:r w:rsidR="0084069A">
        <w:t>income (loss).</w:t>
      </w:r>
      <w:r w:rsidR="00797D1F">
        <w:t xml:space="preserve"> </w:t>
      </w:r>
    </w:p>
    <w:p w14:paraId="720AA29E" w14:textId="1ABB0696" w:rsidR="00572F51" w:rsidRPr="00572F51" w:rsidRDefault="00B35A7D" w:rsidP="005F7F13">
      <w:pPr>
        <w:pStyle w:val="ListParagraph"/>
        <w:numPr>
          <w:ilvl w:val="0"/>
          <w:numId w:val="9"/>
        </w:numPr>
        <w:spacing w:after="120"/>
        <w:ind w:left="576" w:hanging="288"/>
        <w:contextualSpacing w:val="0"/>
      </w:pPr>
      <w:r>
        <w:rPr>
          <w:rFonts w:asciiTheme="majorHAnsi" w:hAnsiTheme="majorHAnsi" w:cstheme="majorBidi"/>
          <w:b/>
          <w:iCs/>
          <w:u w:val="single"/>
        </w:rPr>
        <w:t>Income is taxed when earned, rather than when distributed.</w:t>
      </w:r>
      <w:r w:rsidR="00572F51">
        <w:rPr>
          <w:rFonts w:asciiTheme="majorHAnsi" w:hAnsiTheme="majorHAnsi" w:cstheme="majorBidi"/>
          <w:b/>
          <w:iCs/>
        </w:rPr>
        <w:t xml:space="preserve"> </w:t>
      </w:r>
      <w:r w:rsidR="00572F51">
        <w:rPr>
          <w:rFonts w:asciiTheme="majorHAnsi" w:hAnsiTheme="majorHAnsi" w:cstheme="majorBidi"/>
          <w:bCs/>
          <w:iCs/>
        </w:rPr>
        <w:t xml:space="preserve">– </w:t>
      </w:r>
      <w:r w:rsidR="00342A67">
        <w:rPr>
          <w:rFonts w:asciiTheme="majorHAnsi" w:hAnsiTheme="majorHAnsi" w:cstheme="majorBidi"/>
          <w:bCs/>
          <w:iCs/>
        </w:rPr>
        <w:t>P</w:t>
      </w:r>
      <w:r w:rsidR="0084069A">
        <w:rPr>
          <w:rFonts w:asciiTheme="majorHAnsi" w:hAnsiTheme="majorHAnsi" w:cstheme="majorBidi"/>
          <w:bCs/>
          <w:iCs/>
        </w:rPr>
        <w:t>artnership income</w:t>
      </w:r>
      <w:r w:rsidR="00342A67">
        <w:rPr>
          <w:rFonts w:asciiTheme="majorHAnsi" w:hAnsiTheme="majorHAnsi" w:cstheme="majorBidi"/>
          <w:bCs/>
          <w:iCs/>
        </w:rPr>
        <w:t>, unlike income of taxable corporations,</w:t>
      </w:r>
      <w:r w:rsidR="0084069A">
        <w:rPr>
          <w:rFonts w:asciiTheme="majorHAnsi" w:hAnsiTheme="majorHAnsi" w:cstheme="majorBidi"/>
          <w:bCs/>
          <w:iCs/>
        </w:rPr>
        <w:t xml:space="preserve"> is taxed </w:t>
      </w:r>
      <w:r w:rsidR="00342A67">
        <w:rPr>
          <w:rFonts w:asciiTheme="majorHAnsi" w:hAnsiTheme="majorHAnsi" w:cstheme="majorBidi"/>
          <w:bCs/>
          <w:iCs/>
        </w:rPr>
        <w:t xml:space="preserve">only </w:t>
      </w:r>
      <w:r w:rsidR="0084069A">
        <w:rPr>
          <w:rFonts w:asciiTheme="majorHAnsi" w:hAnsiTheme="majorHAnsi" w:cstheme="majorBidi"/>
          <w:bCs/>
          <w:iCs/>
        </w:rPr>
        <w:t>once, when earned</w:t>
      </w:r>
      <w:r w:rsidR="00342A67">
        <w:rPr>
          <w:rFonts w:asciiTheme="majorHAnsi" w:hAnsiTheme="majorHAnsi" w:cstheme="majorBidi"/>
          <w:bCs/>
          <w:iCs/>
        </w:rPr>
        <w:t>, whether or not partners receive</w:t>
      </w:r>
      <w:r>
        <w:rPr>
          <w:rFonts w:asciiTheme="majorHAnsi" w:hAnsiTheme="majorHAnsi" w:cstheme="majorBidi"/>
          <w:bCs/>
          <w:iCs/>
        </w:rPr>
        <w:t xml:space="preserve"> </w:t>
      </w:r>
      <w:r w:rsidR="0084069A">
        <w:rPr>
          <w:rFonts w:asciiTheme="majorHAnsi" w:hAnsiTheme="majorHAnsi" w:cstheme="majorBidi"/>
          <w:bCs/>
          <w:iCs/>
        </w:rPr>
        <w:t xml:space="preserve">actual </w:t>
      </w:r>
      <w:r>
        <w:rPr>
          <w:rFonts w:asciiTheme="majorHAnsi" w:hAnsiTheme="majorHAnsi" w:cstheme="majorBidi"/>
          <w:bCs/>
          <w:iCs/>
        </w:rPr>
        <w:t>distributions</w:t>
      </w:r>
      <w:r w:rsidR="00342A67">
        <w:rPr>
          <w:rFonts w:asciiTheme="majorHAnsi" w:hAnsiTheme="majorHAnsi" w:cstheme="majorBidi"/>
          <w:bCs/>
          <w:iCs/>
        </w:rPr>
        <w:t>. This</w:t>
      </w:r>
      <w:r>
        <w:rPr>
          <w:rFonts w:asciiTheme="majorHAnsi" w:hAnsiTheme="majorHAnsi" w:cstheme="majorBidi"/>
          <w:bCs/>
          <w:iCs/>
        </w:rPr>
        <w:t xml:space="preserve"> requires </w:t>
      </w:r>
      <w:r w:rsidR="00342A67">
        <w:rPr>
          <w:rFonts w:asciiTheme="majorHAnsi" w:hAnsiTheme="majorHAnsi" w:cstheme="majorBidi"/>
          <w:bCs/>
          <w:iCs/>
        </w:rPr>
        <w:t xml:space="preserve">a system for </w:t>
      </w:r>
      <w:r w:rsidR="0084069A">
        <w:rPr>
          <w:rFonts w:asciiTheme="majorHAnsi" w:hAnsiTheme="majorHAnsi" w:cstheme="majorBidi"/>
          <w:bCs/>
          <w:iCs/>
        </w:rPr>
        <w:t>track</w:t>
      </w:r>
      <w:r w:rsidR="00450949">
        <w:rPr>
          <w:rFonts w:asciiTheme="majorHAnsi" w:hAnsiTheme="majorHAnsi" w:cstheme="majorBidi"/>
          <w:bCs/>
          <w:iCs/>
        </w:rPr>
        <w:t xml:space="preserve">ing </w:t>
      </w:r>
      <w:r w:rsidR="00342A67">
        <w:rPr>
          <w:rFonts w:asciiTheme="majorHAnsi" w:hAnsiTheme="majorHAnsi" w:cstheme="majorBidi"/>
          <w:bCs/>
          <w:iCs/>
        </w:rPr>
        <w:t xml:space="preserve">partnership items reported </w:t>
      </w:r>
      <w:r w:rsidR="00572F51">
        <w:rPr>
          <w:rFonts w:asciiTheme="majorHAnsi" w:hAnsiTheme="majorHAnsi" w:cstheme="majorBidi"/>
          <w:bCs/>
          <w:iCs/>
        </w:rPr>
        <w:t xml:space="preserve">by the partners so that income is not taxed </w:t>
      </w:r>
      <w:r w:rsidR="0084069A">
        <w:rPr>
          <w:rFonts w:asciiTheme="majorHAnsi" w:hAnsiTheme="majorHAnsi" w:cstheme="majorBidi"/>
          <w:bCs/>
          <w:iCs/>
        </w:rPr>
        <w:t>again</w:t>
      </w:r>
      <w:r w:rsidR="00572F51">
        <w:rPr>
          <w:rFonts w:asciiTheme="majorHAnsi" w:hAnsiTheme="majorHAnsi" w:cstheme="majorBidi"/>
          <w:bCs/>
          <w:iCs/>
        </w:rPr>
        <w:t xml:space="preserve"> when distributed.</w:t>
      </w:r>
    </w:p>
    <w:p w14:paraId="5FC69D21" w14:textId="0C1A0AE1" w:rsidR="00450949" w:rsidRPr="00450949" w:rsidRDefault="00450949" w:rsidP="005F7F13">
      <w:pPr>
        <w:pStyle w:val="ListParagraph"/>
        <w:numPr>
          <w:ilvl w:val="0"/>
          <w:numId w:val="9"/>
        </w:numPr>
        <w:spacing w:after="120"/>
        <w:ind w:left="576" w:hanging="288"/>
        <w:contextualSpacing w:val="0"/>
      </w:pPr>
      <w:r>
        <w:rPr>
          <w:rFonts w:asciiTheme="majorHAnsi" w:hAnsiTheme="majorHAnsi" w:cstheme="majorBidi"/>
          <w:b/>
          <w:iCs/>
          <w:u w:val="single"/>
        </w:rPr>
        <w:t>Partnership i</w:t>
      </w:r>
      <w:r w:rsidR="00572F51">
        <w:rPr>
          <w:rFonts w:asciiTheme="majorHAnsi" w:hAnsiTheme="majorHAnsi" w:cstheme="majorBidi"/>
          <w:b/>
          <w:iCs/>
          <w:u w:val="single"/>
        </w:rPr>
        <w:t xml:space="preserve">tems </w:t>
      </w:r>
      <w:r w:rsidR="00B35A7D">
        <w:rPr>
          <w:rFonts w:asciiTheme="majorHAnsi" w:hAnsiTheme="majorHAnsi" w:cstheme="majorBidi"/>
          <w:b/>
          <w:iCs/>
          <w:u w:val="single"/>
        </w:rPr>
        <w:t>making up net income (loss) maintain their character.</w:t>
      </w:r>
      <w:r w:rsidR="00572F51">
        <w:rPr>
          <w:rFonts w:asciiTheme="majorHAnsi" w:hAnsiTheme="majorHAnsi" w:cstheme="majorBidi"/>
          <w:b/>
          <w:iCs/>
        </w:rPr>
        <w:t xml:space="preserve"> – </w:t>
      </w:r>
      <w:r w:rsidR="00572F51">
        <w:rPr>
          <w:rFonts w:asciiTheme="majorHAnsi" w:hAnsiTheme="majorHAnsi" w:cstheme="majorBidi"/>
          <w:bCs/>
          <w:iCs/>
        </w:rPr>
        <w:t xml:space="preserve">To </w:t>
      </w:r>
      <w:r w:rsidR="00342A67">
        <w:rPr>
          <w:rFonts w:asciiTheme="majorHAnsi" w:hAnsiTheme="majorHAnsi" w:cstheme="majorBidi"/>
          <w:bCs/>
          <w:iCs/>
        </w:rPr>
        <w:t>prevent taxpayers from using</w:t>
      </w:r>
      <w:r w:rsidR="00572F51">
        <w:rPr>
          <w:rFonts w:asciiTheme="majorHAnsi" w:hAnsiTheme="majorHAnsi" w:cstheme="majorBidi"/>
          <w:bCs/>
          <w:iCs/>
        </w:rPr>
        <w:t xml:space="preserve"> partnerships to alter the tax treatment of items of income, expense, gain, or loss, </w:t>
      </w:r>
      <w:r w:rsidR="00342A67">
        <w:rPr>
          <w:rFonts w:asciiTheme="majorHAnsi" w:hAnsiTheme="majorHAnsi" w:cstheme="majorBidi"/>
          <w:bCs/>
          <w:iCs/>
        </w:rPr>
        <w:t>the</w:t>
      </w:r>
      <w:r w:rsidR="00572F51">
        <w:rPr>
          <w:rFonts w:asciiTheme="majorHAnsi" w:hAnsiTheme="majorHAnsi" w:cstheme="majorBidi"/>
          <w:bCs/>
          <w:iCs/>
        </w:rPr>
        <w:t xml:space="preserve"> character of items must also be tracked as </w:t>
      </w:r>
      <w:r w:rsidR="00342A67">
        <w:rPr>
          <w:rFonts w:asciiTheme="majorHAnsi" w:hAnsiTheme="majorHAnsi" w:cstheme="majorBidi"/>
          <w:bCs/>
          <w:iCs/>
        </w:rPr>
        <w:t>they</w:t>
      </w:r>
      <w:r w:rsidR="00572F51">
        <w:rPr>
          <w:rFonts w:asciiTheme="majorHAnsi" w:hAnsiTheme="majorHAnsi" w:cstheme="majorBidi"/>
          <w:bCs/>
          <w:iCs/>
        </w:rPr>
        <w:t xml:space="preserve"> pass through to the </w:t>
      </w:r>
      <w:r w:rsidR="00C278C8">
        <w:rPr>
          <w:rFonts w:asciiTheme="majorHAnsi" w:hAnsiTheme="majorHAnsi" w:cstheme="majorBidi"/>
          <w:bCs/>
          <w:iCs/>
        </w:rPr>
        <w:t xml:space="preserve">taxpaying </w:t>
      </w:r>
      <w:r w:rsidR="00572F51">
        <w:rPr>
          <w:rFonts w:asciiTheme="majorHAnsi" w:hAnsiTheme="majorHAnsi" w:cstheme="majorBidi"/>
          <w:bCs/>
          <w:iCs/>
        </w:rPr>
        <w:t xml:space="preserve">partners. </w:t>
      </w:r>
    </w:p>
    <w:p w14:paraId="6D5CFEC6" w14:textId="0DE8F68B" w:rsidR="00450949" w:rsidRPr="00450949" w:rsidRDefault="00450949" w:rsidP="005F7F13">
      <w:pPr>
        <w:pStyle w:val="ListParagraph"/>
        <w:numPr>
          <w:ilvl w:val="0"/>
          <w:numId w:val="9"/>
        </w:numPr>
        <w:spacing w:after="120"/>
        <w:ind w:left="576" w:hanging="288"/>
        <w:contextualSpacing w:val="0"/>
      </w:pPr>
      <w:r w:rsidRPr="00450949">
        <w:rPr>
          <w:b/>
          <w:iCs/>
          <w:u w:val="single"/>
        </w:rPr>
        <w:t xml:space="preserve">Partners </w:t>
      </w:r>
      <w:r w:rsidR="00342A67">
        <w:rPr>
          <w:b/>
          <w:iCs/>
          <w:u w:val="single"/>
        </w:rPr>
        <w:t>do not have to</w:t>
      </w:r>
      <w:r w:rsidRPr="00450949">
        <w:rPr>
          <w:b/>
          <w:iCs/>
          <w:u w:val="single"/>
        </w:rPr>
        <w:t xml:space="preserve"> shar</w:t>
      </w:r>
      <w:r w:rsidR="00342A67">
        <w:rPr>
          <w:b/>
          <w:iCs/>
          <w:u w:val="single"/>
        </w:rPr>
        <w:t>e</w:t>
      </w:r>
      <w:r w:rsidRPr="00450949">
        <w:rPr>
          <w:b/>
          <w:iCs/>
          <w:u w:val="single"/>
        </w:rPr>
        <w:t xml:space="preserve"> </w:t>
      </w:r>
      <w:r>
        <w:rPr>
          <w:b/>
          <w:iCs/>
          <w:u w:val="single"/>
        </w:rPr>
        <w:t xml:space="preserve">income </w:t>
      </w:r>
      <w:r w:rsidRPr="00450949">
        <w:rPr>
          <w:b/>
          <w:iCs/>
          <w:u w:val="single"/>
        </w:rPr>
        <w:t>according to capital interests.</w:t>
      </w:r>
      <w:r w:rsidRPr="00450949">
        <w:t xml:space="preserve"> – Rather than </w:t>
      </w:r>
      <w:r w:rsidR="00C278C8">
        <w:t>allocating</w:t>
      </w:r>
      <w:r w:rsidR="00C278C8" w:rsidRPr="00450949">
        <w:t xml:space="preserve"> </w:t>
      </w:r>
      <w:r w:rsidRPr="00450949">
        <w:t>partnership income</w:t>
      </w:r>
      <w:r w:rsidR="00C278C8">
        <w:t xml:space="preserve"> or items</w:t>
      </w:r>
      <w:r w:rsidRPr="00450949">
        <w:t xml:space="preserve"> proportionally according to partners’ capital interests, partners may </w:t>
      </w:r>
      <w:r w:rsidR="00342A67">
        <w:t>allocate</w:t>
      </w:r>
      <w:r w:rsidRPr="00450949">
        <w:t xml:space="preserve"> </w:t>
      </w:r>
      <w:r>
        <w:t xml:space="preserve">income or </w:t>
      </w:r>
      <w:r w:rsidRPr="00450949">
        <w:t xml:space="preserve">items </w:t>
      </w:r>
      <w:r>
        <w:t>on some other basis</w:t>
      </w:r>
      <w:r w:rsidRPr="00450949">
        <w:t xml:space="preserve">, which </w:t>
      </w:r>
      <w:r>
        <w:t>will</w:t>
      </w:r>
      <w:r w:rsidRPr="00450949">
        <w:t xml:space="preserve"> change relative capital interests over time.</w:t>
      </w:r>
    </w:p>
    <w:p w14:paraId="2F5A877F" w14:textId="30436EF7" w:rsidR="002A24CD" w:rsidRDefault="00B35A7D" w:rsidP="005F7F13">
      <w:pPr>
        <w:pStyle w:val="ListParagraph"/>
        <w:numPr>
          <w:ilvl w:val="0"/>
          <w:numId w:val="9"/>
        </w:numPr>
        <w:spacing w:after="120"/>
        <w:ind w:left="576" w:hanging="288"/>
        <w:contextualSpacing w:val="0"/>
      </w:pPr>
      <w:r>
        <w:rPr>
          <w:rFonts w:asciiTheme="majorHAnsi" w:hAnsiTheme="majorHAnsi" w:cstheme="majorBidi"/>
          <w:b/>
          <w:iCs/>
          <w:u w:val="single"/>
        </w:rPr>
        <w:t xml:space="preserve">Partners </w:t>
      </w:r>
      <w:r w:rsidR="00342A67">
        <w:rPr>
          <w:rFonts w:asciiTheme="majorHAnsi" w:hAnsiTheme="majorHAnsi" w:cstheme="majorBidi"/>
          <w:b/>
          <w:iCs/>
          <w:u w:val="single"/>
        </w:rPr>
        <w:t>may allocate</w:t>
      </w:r>
      <w:r w:rsidRPr="00E1512E">
        <w:rPr>
          <w:rFonts w:asciiTheme="majorHAnsi" w:hAnsiTheme="majorHAnsi" w:cstheme="majorBidi"/>
          <w:b/>
          <w:iCs/>
          <w:u w:val="single"/>
        </w:rPr>
        <w:t xml:space="preserve"> </w:t>
      </w:r>
      <w:r>
        <w:rPr>
          <w:rFonts w:asciiTheme="majorHAnsi" w:hAnsiTheme="majorHAnsi" w:cstheme="majorBidi"/>
          <w:b/>
          <w:iCs/>
          <w:u w:val="single"/>
        </w:rPr>
        <w:t xml:space="preserve">separate </w:t>
      </w:r>
      <w:r w:rsidR="00450949">
        <w:rPr>
          <w:rFonts w:asciiTheme="majorHAnsi" w:hAnsiTheme="majorHAnsi" w:cstheme="majorBidi"/>
          <w:b/>
          <w:iCs/>
          <w:u w:val="single"/>
        </w:rPr>
        <w:t xml:space="preserve">partnership </w:t>
      </w:r>
      <w:r w:rsidRPr="00E1512E">
        <w:rPr>
          <w:rFonts w:asciiTheme="majorHAnsi" w:hAnsiTheme="majorHAnsi" w:cstheme="majorBidi"/>
          <w:b/>
          <w:iCs/>
          <w:u w:val="single"/>
        </w:rPr>
        <w:t>items</w:t>
      </w:r>
      <w:r w:rsidR="00450949">
        <w:rPr>
          <w:rFonts w:asciiTheme="majorHAnsi" w:hAnsiTheme="majorHAnsi" w:cstheme="majorBidi"/>
          <w:b/>
          <w:iCs/>
          <w:u w:val="single"/>
        </w:rPr>
        <w:t xml:space="preserve"> in different proportions</w:t>
      </w:r>
      <w:r>
        <w:rPr>
          <w:rFonts w:asciiTheme="majorHAnsi" w:hAnsiTheme="majorHAnsi" w:cstheme="majorBidi"/>
          <w:b/>
          <w:iCs/>
          <w:u w:val="single"/>
        </w:rPr>
        <w:t>.</w:t>
      </w:r>
      <w:r w:rsidR="00EF4361" w:rsidRPr="00EF4361">
        <w:t xml:space="preserve"> </w:t>
      </w:r>
      <w:r w:rsidR="00787F23">
        <w:t xml:space="preserve">– </w:t>
      </w:r>
      <w:r w:rsidR="00342A67">
        <w:t>I</w:t>
      </w:r>
      <w:r w:rsidR="00450949">
        <w:t xml:space="preserve">tems of income, expense, gain, or loss </w:t>
      </w:r>
      <w:r w:rsidR="00342A67">
        <w:t xml:space="preserve">do not have to be allocated in the same proportions. Instead, </w:t>
      </w:r>
      <w:r w:rsidR="002A24CD">
        <w:t xml:space="preserve">partners </w:t>
      </w:r>
      <w:r w:rsidR="00C70F17">
        <w:t>can</w:t>
      </w:r>
      <w:r w:rsidR="002A24CD">
        <w:t xml:space="preserve"> </w:t>
      </w:r>
      <w:r w:rsidR="009D61E3">
        <w:t xml:space="preserve">agree to </w:t>
      </w:r>
      <w:r w:rsidR="00342A67">
        <w:t>allocate different</w:t>
      </w:r>
      <w:r w:rsidR="002A24CD">
        <w:t xml:space="preserve"> partnership items in different </w:t>
      </w:r>
      <w:r w:rsidR="00342A67">
        <w:t>proportions</w:t>
      </w:r>
      <w:r w:rsidR="002A24CD">
        <w:t>.</w:t>
      </w:r>
    </w:p>
    <w:p w14:paraId="25D559D9" w14:textId="7A87E7B4" w:rsidR="00C70F17" w:rsidRDefault="003D7E47" w:rsidP="005F7F13">
      <w:pPr>
        <w:pStyle w:val="ListParagraph"/>
        <w:numPr>
          <w:ilvl w:val="0"/>
          <w:numId w:val="9"/>
        </w:numPr>
        <w:spacing w:after="120"/>
        <w:ind w:left="576" w:hanging="288"/>
        <w:contextualSpacing w:val="0"/>
      </w:pPr>
      <w:r>
        <w:rPr>
          <w:rFonts w:asciiTheme="majorHAnsi" w:hAnsiTheme="majorHAnsi" w:cstheme="majorBidi"/>
          <w:b/>
          <w:iCs/>
          <w:u w:val="single"/>
        </w:rPr>
        <w:t>D</w:t>
      </w:r>
      <w:r w:rsidR="00B35A7D" w:rsidRPr="00E1512E">
        <w:rPr>
          <w:rFonts w:asciiTheme="majorHAnsi" w:hAnsiTheme="majorHAnsi" w:cstheme="majorBidi"/>
          <w:b/>
          <w:iCs/>
          <w:u w:val="single"/>
        </w:rPr>
        <w:t xml:space="preserve">istributions </w:t>
      </w:r>
      <w:r w:rsidR="0084069A">
        <w:rPr>
          <w:rFonts w:asciiTheme="majorHAnsi" w:hAnsiTheme="majorHAnsi" w:cstheme="majorBidi"/>
          <w:b/>
          <w:iCs/>
          <w:u w:val="single"/>
        </w:rPr>
        <w:t>need</w:t>
      </w:r>
      <w:r w:rsidR="00B35A7D">
        <w:rPr>
          <w:rFonts w:asciiTheme="majorHAnsi" w:hAnsiTheme="majorHAnsi" w:cstheme="majorBidi"/>
          <w:b/>
          <w:iCs/>
          <w:u w:val="single"/>
        </w:rPr>
        <w:t xml:space="preserve"> not match </w:t>
      </w:r>
      <w:r w:rsidR="00B35A7D" w:rsidRPr="00E1512E">
        <w:rPr>
          <w:rFonts w:asciiTheme="majorHAnsi" w:hAnsiTheme="majorHAnsi" w:cstheme="majorBidi"/>
          <w:b/>
          <w:iCs/>
          <w:u w:val="single"/>
        </w:rPr>
        <w:t>income allocations</w:t>
      </w:r>
      <w:r w:rsidR="00EF223C">
        <w:rPr>
          <w:rFonts w:asciiTheme="majorHAnsi" w:hAnsiTheme="majorHAnsi" w:cstheme="majorBidi"/>
          <w:b/>
          <w:iCs/>
          <w:u w:val="single"/>
        </w:rPr>
        <w:t>.</w:t>
      </w:r>
      <w:r w:rsidR="00787F23" w:rsidRPr="0026010A">
        <w:t xml:space="preserve"> </w:t>
      </w:r>
      <w:r w:rsidR="00787F23">
        <w:t xml:space="preserve">– </w:t>
      </w:r>
      <w:r w:rsidR="00C70F17">
        <w:t xml:space="preserve">Distributions need not be made in the year partnership income or items are allocated to partners, </w:t>
      </w:r>
      <w:r w:rsidR="00342A67">
        <w:t xml:space="preserve">nor must any year’s distributions be made in the same proportion as allocations. </w:t>
      </w:r>
    </w:p>
    <w:p w14:paraId="382C6C26" w14:textId="1FB1BEE3" w:rsidR="007D0160" w:rsidRPr="007D0160" w:rsidRDefault="00342A67" w:rsidP="005F7F13">
      <w:pPr>
        <w:pStyle w:val="ListParagraph"/>
        <w:numPr>
          <w:ilvl w:val="0"/>
          <w:numId w:val="9"/>
        </w:numPr>
        <w:spacing w:after="120"/>
        <w:ind w:left="576" w:hanging="288"/>
        <w:contextualSpacing w:val="0"/>
      </w:pPr>
      <w:r w:rsidRPr="00342A67">
        <w:rPr>
          <w:b/>
          <w:iCs/>
          <w:u w:val="single"/>
        </w:rPr>
        <w:t>Partners may receive payments unrelated to income or “guaranteed payments.”</w:t>
      </w:r>
      <w:r w:rsidRPr="00342A67">
        <w:t xml:space="preserve"> – </w:t>
      </w:r>
      <w:r w:rsidR="007D0160">
        <w:t xml:space="preserve">In addition to receiving distributions from their capital accounts (that is, from contributions or allocated income), </w:t>
      </w:r>
      <w:r w:rsidRPr="00342A67">
        <w:t xml:space="preserve">partners may also receive “guaranteed payments” that are unrelated to the income earned and </w:t>
      </w:r>
      <w:r w:rsidR="007D0160">
        <w:t>allocated to the partner,</w:t>
      </w:r>
      <w:r w:rsidRPr="00342A67">
        <w:t xml:space="preserve"> </w:t>
      </w:r>
      <w:r w:rsidR="007D0160">
        <w:t xml:space="preserve">and </w:t>
      </w:r>
      <w:r w:rsidRPr="00342A67">
        <w:t>are effectively treated as an expense of the partnership.</w:t>
      </w:r>
    </w:p>
    <w:p w14:paraId="413A4473" w14:textId="54C58281" w:rsidR="007D0160" w:rsidRDefault="007D0160" w:rsidP="005F7F13">
      <w:pPr>
        <w:pStyle w:val="ListParagraph"/>
        <w:numPr>
          <w:ilvl w:val="0"/>
          <w:numId w:val="9"/>
        </w:numPr>
        <w:spacing w:after="120"/>
        <w:ind w:left="576" w:hanging="288"/>
        <w:contextualSpacing w:val="0"/>
      </w:pPr>
      <w:r w:rsidRPr="00E1512E">
        <w:rPr>
          <w:rFonts w:asciiTheme="majorHAnsi" w:hAnsiTheme="majorHAnsi" w:cstheme="majorBidi"/>
          <w:b/>
          <w:iCs/>
          <w:u w:val="single"/>
        </w:rPr>
        <w:t xml:space="preserve">Partners </w:t>
      </w:r>
      <w:r>
        <w:rPr>
          <w:rFonts w:asciiTheme="majorHAnsi" w:hAnsiTheme="majorHAnsi" w:cstheme="majorBidi"/>
          <w:b/>
          <w:iCs/>
          <w:u w:val="single"/>
        </w:rPr>
        <w:t xml:space="preserve">and their partnerships </w:t>
      </w:r>
      <w:r w:rsidRPr="00E1512E">
        <w:rPr>
          <w:rFonts w:asciiTheme="majorHAnsi" w:hAnsiTheme="majorHAnsi" w:cstheme="majorBidi"/>
          <w:b/>
          <w:iCs/>
          <w:u w:val="single"/>
        </w:rPr>
        <w:t xml:space="preserve">may engage in </w:t>
      </w:r>
      <w:r>
        <w:rPr>
          <w:rFonts w:asciiTheme="majorHAnsi" w:hAnsiTheme="majorHAnsi" w:cstheme="majorBidi"/>
          <w:b/>
          <w:iCs/>
          <w:u w:val="single"/>
        </w:rPr>
        <w:t xml:space="preserve">separate </w:t>
      </w:r>
      <w:r w:rsidRPr="00E1512E">
        <w:rPr>
          <w:rFonts w:asciiTheme="majorHAnsi" w:hAnsiTheme="majorHAnsi" w:cstheme="majorBidi"/>
          <w:b/>
          <w:iCs/>
          <w:u w:val="single"/>
        </w:rPr>
        <w:t>transactions</w:t>
      </w:r>
      <w:r>
        <w:rPr>
          <w:rFonts w:asciiTheme="majorHAnsi" w:hAnsiTheme="majorHAnsi" w:cstheme="majorBidi"/>
          <w:b/>
          <w:iCs/>
          <w:u w:val="single"/>
        </w:rPr>
        <w:t>.</w:t>
      </w:r>
      <w:r>
        <w:t xml:space="preserve"> – Partners may engage in transactions with each other or with the partnership as unrelated persons and receive payments which are treated differently than distributions or guaranteed payments.</w:t>
      </w:r>
    </w:p>
    <w:p w14:paraId="1BF1E82A" w14:textId="59747082" w:rsidR="00A846E4" w:rsidRPr="00A846E4" w:rsidRDefault="00A846E4" w:rsidP="005F7F13">
      <w:pPr>
        <w:pStyle w:val="ListParagraph"/>
        <w:numPr>
          <w:ilvl w:val="0"/>
          <w:numId w:val="9"/>
        </w:numPr>
        <w:spacing w:after="120"/>
        <w:ind w:left="576" w:hanging="288"/>
        <w:contextualSpacing w:val="0"/>
      </w:pPr>
      <w:r w:rsidRPr="00572F51">
        <w:rPr>
          <w:b/>
          <w:bCs/>
          <w:u w:val="single"/>
        </w:rPr>
        <w:t xml:space="preserve">There </w:t>
      </w:r>
      <w:r w:rsidR="00B35A7D">
        <w:rPr>
          <w:b/>
          <w:bCs/>
          <w:u w:val="single"/>
        </w:rPr>
        <w:t>are no</w:t>
      </w:r>
      <w:r w:rsidR="00B35A7D" w:rsidRPr="00572F51">
        <w:rPr>
          <w:b/>
          <w:bCs/>
          <w:u w:val="single"/>
        </w:rPr>
        <w:t xml:space="preserve"> limits on the number of partners</w:t>
      </w:r>
      <w:r w:rsidR="007D0160">
        <w:rPr>
          <w:b/>
          <w:bCs/>
          <w:u w:val="single"/>
        </w:rPr>
        <w:t xml:space="preserve"> a partnership may have</w:t>
      </w:r>
      <w:r w:rsidR="00EF223C">
        <w:rPr>
          <w:b/>
          <w:bCs/>
          <w:u w:val="single"/>
        </w:rPr>
        <w:t>.</w:t>
      </w:r>
      <w:r>
        <w:t xml:space="preserve"> – Unlike S corporations, </w:t>
      </w:r>
      <w:r w:rsidR="00572F51">
        <w:t>there are no limits on the number of partners that partnerships may have, so that some partnership</w:t>
      </w:r>
      <w:r w:rsidR="00CB3FF4">
        <w:t>s</w:t>
      </w:r>
      <w:r w:rsidR="00572F51">
        <w:t xml:space="preserve"> have thousands of partners.</w:t>
      </w:r>
    </w:p>
    <w:p w14:paraId="45DFBA1C" w14:textId="4CC8BBDB" w:rsidR="00787F23" w:rsidRDefault="007D0160" w:rsidP="005F7F13">
      <w:pPr>
        <w:pStyle w:val="ListParagraph"/>
        <w:numPr>
          <w:ilvl w:val="0"/>
          <w:numId w:val="9"/>
        </w:numPr>
        <w:spacing w:after="120"/>
        <w:ind w:left="576" w:hanging="288"/>
        <w:contextualSpacing w:val="0"/>
      </w:pPr>
      <w:r>
        <w:rPr>
          <w:rFonts w:asciiTheme="majorHAnsi" w:hAnsiTheme="majorHAnsi" w:cstheme="majorBidi"/>
          <w:b/>
          <w:iCs/>
          <w:u w:val="single"/>
        </w:rPr>
        <w:t>There are no limits on t</w:t>
      </w:r>
      <w:r w:rsidR="00797D1F" w:rsidRPr="00E1512E">
        <w:rPr>
          <w:rFonts w:asciiTheme="majorHAnsi" w:hAnsiTheme="majorHAnsi" w:cstheme="majorBidi"/>
          <w:b/>
          <w:iCs/>
          <w:u w:val="single"/>
        </w:rPr>
        <w:t xml:space="preserve">iered </w:t>
      </w:r>
      <w:r w:rsidR="00B35A7D" w:rsidRPr="00E1512E">
        <w:rPr>
          <w:rFonts w:asciiTheme="majorHAnsi" w:hAnsiTheme="majorHAnsi" w:cstheme="majorBidi"/>
          <w:b/>
          <w:iCs/>
          <w:u w:val="single"/>
        </w:rPr>
        <w:t>structures</w:t>
      </w:r>
      <w:r w:rsidR="00EF223C">
        <w:rPr>
          <w:rFonts w:asciiTheme="majorHAnsi" w:hAnsiTheme="majorHAnsi" w:cstheme="majorBidi"/>
          <w:b/>
          <w:iCs/>
          <w:u w:val="single"/>
        </w:rPr>
        <w:t>.</w:t>
      </w:r>
      <w:r w:rsidR="00797D1F">
        <w:t xml:space="preserve"> – </w:t>
      </w:r>
      <w:r w:rsidR="00787F23">
        <w:t>Partnerships can be structured in tiers</w:t>
      </w:r>
      <w:r w:rsidR="00753372">
        <w:t xml:space="preserve"> so</w:t>
      </w:r>
      <w:r w:rsidR="00787F23">
        <w:t xml:space="preserve"> that the ultimate taxpaying partners </w:t>
      </w:r>
      <w:r>
        <w:t>will</w:t>
      </w:r>
      <w:r w:rsidR="00787F23">
        <w:t xml:space="preserve"> receive shares of income</w:t>
      </w:r>
      <w:r>
        <w:t xml:space="preserve"> earned by lower tiers</w:t>
      </w:r>
      <w:r w:rsidR="00787F23">
        <w:t xml:space="preserve"> indirectly, </w:t>
      </w:r>
      <w:r w:rsidR="003D7E47">
        <w:t xml:space="preserve">as the distributive share of </w:t>
      </w:r>
      <w:r w:rsidR="00787F23">
        <w:t>other</w:t>
      </w:r>
      <w:r w:rsidR="003D7E47">
        <w:t>, higher tier</w:t>
      </w:r>
      <w:r w:rsidR="00787F23">
        <w:t xml:space="preserve"> pass-through entities.</w:t>
      </w:r>
    </w:p>
    <w:p w14:paraId="184B0628" w14:textId="365EA4AD" w:rsidR="00DB290A" w:rsidRDefault="00B35A7D" w:rsidP="005F7F13">
      <w:pPr>
        <w:pStyle w:val="ListParagraph"/>
        <w:numPr>
          <w:ilvl w:val="0"/>
          <w:numId w:val="9"/>
        </w:numPr>
        <w:spacing w:after="240"/>
        <w:ind w:left="576" w:hanging="288"/>
        <w:contextualSpacing w:val="0"/>
      </w:pPr>
      <w:r>
        <w:rPr>
          <w:rFonts w:asciiTheme="majorHAnsi" w:hAnsiTheme="majorHAnsi" w:cstheme="majorBidi"/>
          <w:b/>
          <w:iCs/>
          <w:u w:val="single"/>
        </w:rPr>
        <w:t>Partnership agreements may change over time</w:t>
      </w:r>
      <w:r w:rsidR="00EF223C">
        <w:rPr>
          <w:rFonts w:asciiTheme="majorHAnsi" w:hAnsiTheme="majorHAnsi" w:cstheme="majorBidi"/>
          <w:b/>
          <w:iCs/>
          <w:u w:val="single"/>
        </w:rPr>
        <w:t>.</w:t>
      </w:r>
      <w:r w:rsidR="00EF223C" w:rsidRPr="00EF223C">
        <w:rPr>
          <w:rFonts w:asciiTheme="majorHAnsi" w:hAnsiTheme="majorHAnsi" w:cstheme="majorBidi"/>
          <w:bCs/>
          <w:i/>
        </w:rPr>
        <w:t xml:space="preserve"> </w:t>
      </w:r>
      <w:r w:rsidR="00156825">
        <w:rPr>
          <w:rFonts w:asciiTheme="majorHAnsi" w:hAnsiTheme="majorHAnsi" w:cstheme="majorBidi"/>
          <w:bCs/>
          <w:i/>
        </w:rPr>
        <w:t>–</w:t>
      </w:r>
      <w:r w:rsidR="00EF223C" w:rsidRPr="00EF223C">
        <w:rPr>
          <w:rFonts w:asciiTheme="majorHAnsi" w:hAnsiTheme="majorHAnsi" w:cstheme="majorBidi"/>
          <w:bCs/>
          <w:i/>
        </w:rPr>
        <w:t xml:space="preserve"> </w:t>
      </w:r>
      <w:r w:rsidR="00156825">
        <w:rPr>
          <w:rFonts w:asciiTheme="majorHAnsi" w:hAnsiTheme="majorHAnsi" w:cstheme="majorBidi"/>
          <w:bCs/>
          <w:iCs/>
        </w:rPr>
        <w:t xml:space="preserve">Partners may change their economic arrangements over time as circumstances change or as partners join or leave the partnership. </w:t>
      </w:r>
    </w:p>
    <w:p w14:paraId="5EECC9F3" w14:textId="719F2CE3" w:rsidR="00E51C1F" w:rsidRDefault="00344256" w:rsidP="00797D1F">
      <w:r>
        <w:lastRenderedPageBreak/>
        <w:t>T</w:t>
      </w:r>
      <w:r w:rsidRPr="00344256">
        <w:t>his white paper</w:t>
      </w:r>
      <w:r>
        <w:t xml:space="preserve"> generally</w:t>
      </w:r>
      <w:r w:rsidRPr="00344256">
        <w:t xml:space="preserve"> assumes that the partnership arrangements will follow an accrual basis for both tax and book purposes.</w:t>
      </w:r>
    </w:p>
    <w:p w14:paraId="58F1DCFA" w14:textId="364AAFBD" w:rsidR="00E56D54" w:rsidRDefault="00F54CF3" w:rsidP="00E56D54">
      <w:pPr>
        <w:pStyle w:val="Heading2"/>
      </w:pPr>
      <w:bookmarkStart w:id="12" w:name="_Toc144634439"/>
      <w:r>
        <w:t xml:space="preserve">I. </w:t>
      </w:r>
      <w:r w:rsidR="00B5459F">
        <w:t xml:space="preserve">C. </w:t>
      </w:r>
      <w:r w:rsidR="00E56D54">
        <w:t>Federal Reporting of Guaranteed Payment</w:t>
      </w:r>
      <w:r w:rsidR="00F6194C">
        <w:t xml:space="preserve"> Information</w:t>
      </w:r>
      <w:bookmarkEnd w:id="12"/>
    </w:p>
    <w:p w14:paraId="14C04424" w14:textId="7594F293" w:rsidR="00E56D54" w:rsidRDefault="009A6D40" w:rsidP="00E56D54">
      <w:r>
        <w:t xml:space="preserve">As will be discussed </w:t>
      </w:r>
      <w:r w:rsidR="006A09A8">
        <w:t xml:space="preserve">further </w:t>
      </w:r>
      <w:r>
        <w:t>in this white paper</w:t>
      </w:r>
      <w:r w:rsidR="008F1DEF">
        <w:t xml:space="preserve">, </w:t>
      </w:r>
      <w:r>
        <w:t xml:space="preserve">the federal </w:t>
      </w:r>
      <w:r w:rsidR="00D63576">
        <w:t xml:space="preserve">tax </w:t>
      </w:r>
      <w:r>
        <w:t xml:space="preserve">treatment of guaranteed payments may </w:t>
      </w:r>
      <w:r w:rsidR="00593856">
        <w:t>have some bearing on</w:t>
      </w:r>
      <w:r>
        <w:t xml:space="preserve"> state sourcing of those payments</w:t>
      </w:r>
      <w:r w:rsidR="00EA6FDE">
        <w:t xml:space="preserve">. </w:t>
      </w:r>
      <w:r w:rsidR="008F1DEF">
        <w:t xml:space="preserve">In particular, to the extent states choose to </w:t>
      </w:r>
      <w:r w:rsidR="00593856">
        <w:t xml:space="preserve">source </w:t>
      </w:r>
      <w:r w:rsidR="00547EA3">
        <w:t>guaranteed</w:t>
      </w:r>
      <w:r w:rsidR="00593856">
        <w:t xml:space="preserve"> payments </w:t>
      </w:r>
      <w:r w:rsidR="00547EA3">
        <w:t xml:space="preserve">for services </w:t>
      </w:r>
      <w:r w:rsidR="00593856">
        <w:t xml:space="preserve">differently than </w:t>
      </w:r>
      <w:r w:rsidR="00EA6FDE">
        <w:t>distributive share income</w:t>
      </w:r>
      <w:r w:rsidR="00547EA3">
        <w:t>, they</w:t>
      </w:r>
      <w:r w:rsidR="00EA6FDE">
        <w:t xml:space="preserve"> </w:t>
      </w:r>
      <w:r w:rsidR="00225FF6">
        <w:t xml:space="preserve">will </w:t>
      </w:r>
      <w:r w:rsidR="00547EA3">
        <w:t xml:space="preserve">need to </w:t>
      </w:r>
      <w:r w:rsidR="00D63576">
        <w:t xml:space="preserve">be able to </w:t>
      </w:r>
      <w:r w:rsidR="00547EA3">
        <w:t>distinguish</w:t>
      </w:r>
      <w:r w:rsidR="00225FF6">
        <w:t xml:space="preserve"> the payments to which that treatment is </w:t>
      </w:r>
      <w:r w:rsidR="00547EA3">
        <w:t xml:space="preserve">properly </w:t>
      </w:r>
      <w:r w:rsidR="00225FF6">
        <w:t>applied</w:t>
      </w:r>
      <w:r>
        <w:t xml:space="preserve">. </w:t>
      </w:r>
      <w:r w:rsidR="006A09A8">
        <w:t>T</w:t>
      </w:r>
      <w:r>
        <w:t xml:space="preserve">his note </w:t>
      </w:r>
      <w:r w:rsidR="00637011">
        <w:t xml:space="preserve">summarizes how </w:t>
      </w:r>
      <w:r>
        <w:t>information on guaranteed payments is reported for federal tax purposes.</w:t>
      </w:r>
    </w:p>
    <w:p w14:paraId="05D2E7F9" w14:textId="77777777" w:rsidR="00225FF6" w:rsidRDefault="00225FF6" w:rsidP="00E56D54"/>
    <w:p w14:paraId="381A54C7" w14:textId="066BA0CB" w:rsidR="00225FF6" w:rsidRPr="00E56D54" w:rsidRDefault="006441A4" w:rsidP="001A70E4">
      <w:pPr>
        <w:pStyle w:val="Heading3"/>
        <w:ind w:left="-720"/>
        <w:jc w:val="left"/>
      </w:pPr>
      <w:bookmarkStart w:id="13" w:name="_Toc144634440"/>
      <w:r>
        <w:rPr>
          <w:noProof/>
        </w:rPr>
        <w:drawing>
          <wp:anchor distT="0" distB="0" distL="114300" distR="114300" simplePos="0" relativeHeight="251660800" behindDoc="0" locked="0" layoutInCell="1" allowOverlap="1" wp14:anchorId="20E1C387" wp14:editId="69EE5031">
            <wp:simplePos x="0" y="0"/>
            <wp:positionH relativeFrom="column">
              <wp:posOffset>-481965</wp:posOffset>
            </wp:positionH>
            <wp:positionV relativeFrom="paragraph">
              <wp:posOffset>337820</wp:posOffset>
            </wp:positionV>
            <wp:extent cx="6687820" cy="6264275"/>
            <wp:effectExtent l="57150" t="19050" r="55880" b="98425"/>
            <wp:wrapSquare wrapText="bothSides"/>
            <wp:docPr id="696132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7820" cy="6264275"/>
                    </a:xfrm>
                    <a:prstGeom prst="rect">
                      <a:avLst/>
                    </a:prstGeom>
                    <a:noFill/>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5FF6">
        <w:t>Reporting of Guaranteed Payments Starts with the Partnership Return</w:t>
      </w:r>
      <w:bookmarkEnd w:id="13"/>
    </w:p>
    <w:p w14:paraId="6DBAAF37" w14:textId="28920F8F" w:rsidR="00B041A0" w:rsidRDefault="00E56D54" w:rsidP="009F0C13">
      <w:r>
        <w:br w:type="page"/>
      </w:r>
    </w:p>
    <w:p w14:paraId="7CACDD41" w14:textId="77777777" w:rsidR="00225FF6" w:rsidRDefault="00225FF6" w:rsidP="009F0C13"/>
    <w:p w14:paraId="7E80E5D7" w14:textId="5B66050B" w:rsidR="009F0C13" w:rsidRDefault="001A70E4" w:rsidP="001A70E4">
      <w:pPr>
        <w:pStyle w:val="Heading3"/>
        <w:ind w:left="-720"/>
        <w:jc w:val="left"/>
      </w:pPr>
      <w:bookmarkStart w:id="14" w:name="_Toc144634441"/>
      <w:r w:rsidRPr="003962E5">
        <w:rPr>
          <w:noProof/>
        </w:rPr>
        <mc:AlternateContent>
          <mc:Choice Requires="wpg">
            <w:drawing>
              <wp:anchor distT="0" distB="0" distL="114300" distR="114300" simplePos="0" relativeHeight="251663872" behindDoc="0" locked="0" layoutInCell="1" allowOverlap="1" wp14:anchorId="5EC09911" wp14:editId="3EE81700">
                <wp:simplePos x="0" y="0"/>
                <wp:positionH relativeFrom="column">
                  <wp:posOffset>-451876</wp:posOffset>
                </wp:positionH>
                <wp:positionV relativeFrom="paragraph">
                  <wp:posOffset>344512</wp:posOffset>
                </wp:positionV>
                <wp:extent cx="6358060" cy="6992815"/>
                <wp:effectExtent l="38100" t="38100" r="24130" b="93980"/>
                <wp:wrapNone/>
                <wp:docPr id="15" name="Group 14">
                  <a:extLst xmlns:a="http://schemas.openxmlformats.org/drawingml/2006/main">
                    <a:ext uri="{FF2B5EF4-FFF2-40B4-BE49-F238E27FC236}">
                      <a16:creationId xmlns:a16="http://schemas.microsoft.com/office/drawing/2014/main" id="{AA13BF06-C3A7-9044-689A-7E062EE548EE}"/>
                    </a:ext>
                  </a:extLst>
                </wp:docPr>
                <wp:cNvGraphicFramePr/>
                <a:graphic xmlns:a="http://schemas.openxmlformats.org/drawingml/2006/main">
                  <a:graphicData uri="http://schemas.microsoft.com/office/word/2010/wordprocessingGroup">
                    <wpg:wgp>
                      <wpg:cNvGrpSpPr/>
                      <wpg:grpSpPr>
                        <a:xfrm>
                          <a:off x="0" y="0"/>
                          <a:ext cx="6358060" cy="6992815"/>
                          <a:chOff x="0" y="0"/>
                          <a:chExt cx="6188078" cy="6732665"/>
                        </a:xfrm>
                      </wpg:grpSpPr>
                      <pic:pic xmlns:pic="http://schemas.openxmlformats.org/drawingml/2006/picture">
                        <pic:nvPicPr>
                          <pic:cNvPr id="34617474" name="Picture 34617474" descr="Graphical user interface&#10;&#10;Description automatically generated">
                            <a:extLst>
                              <a:ext uri="{FF2B5EF4-FFF2-40B4-BE49-F238E27FC236}">
                                <a16:creationId xmlns:a16="http://schemas.microsoft.com/office/drawing/2014/main" id="{EAEC3258-BD01-FBFB-C867-7ABC8809F36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832350" cy="6732665"/>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s:wsp>
                        <wps:cNvPr id="1822940361" name="Text Box 2">
                          <a:extLst>
                            <a:ext uri="{FF2B5EF4-FFF2-40B4-BE49-F238E27FC236}">
                              <a16:creationId xmlns:a16="http://schemas.microsoft.com/office/drawing/2014/main" id="{6841D3FE-9F99-17C3-18CD-5459816B31EB}"/>
                            </a:ext>
                          </a:extLst>
                        </wps:cNvPr>
                        <wps:cNvSpPr txBox="1">
                          <a:spLocks noChangeArrowheads="1"/>
                        </wps:cNvSpPr>
                        <wps:spPr bwMode="auto">
                          <a:xfrm>
                            <a:off x="4911094" y="34452"/>
                            <a:ext cx="1276984" cy="1657349"/>
                          </a:xfrm>
                          <a:prstGeom prst="rect">
                            <a:avLst/>
                          </a:prstGeom>
                          <a:solidFill>
                            <a:srgbClr val="FFFFFF"/>
                          </a:solidFill>
                          <a:ln w="9525">
                            <a:solidFill>
                              <a:srgbClr val="000000"/>
                            </a:solidFill>
                            <a:miter lim="800000"/>
                            <a:headEnd/>
                            <a:tailEnd/>
                          </a:ln>
                        </wps:spPr>
                        <wps:txbx>
                          <w:txbxContent>
                            <w:p w14:paraId="06F1D3E5" w14:textId="77777777" w:rsidR="003962E5" w:rsidRDefault="003962E5" w:rsidP="003962E5">
                              <w:pPr>
                                <w:kinsoku w:val="0"/>
                                <w:overflowPunct w:val="0"/>
                                <w:textAlignment w:val="baseline"/>
                                <w:rPr>
                                  <w:rFonts w:eastAsia="Calibri" w:cs="Arial"/>
                                  <w:color w:val="000000" w:themeColor="text1"/>
                                  <w:kern w:val="24"/>
                                  <w:sz w:val="16"/>
                                  <w:szCs w:val="16"/>
                                </w:rPr>
                              </w:pPr>
                              <w:r>
                                <w:rPr>
                                  <w:rFonts w:eastAsia="Calibri" w:cs="Arial"/>
                                  <w:color w:val="000000" w:themeColor="text1"/>
                                  <w:kern w:val="24"/>
                                  <w:sz w:val="16"/>
                                  <w:szCs w:val="16"/>
                                </w:rPr>
                                <w:t xml:space="preserve">The federal Schedule K-1 now breaks out the guaranteed payments from the 1065 that are paid to each partner between those payments that are made for services and those that are made for capital. This may be the only place in the federal filing where this distinction is made. </w:t>
                              </w:r>
                            </w:p>
                          </w:txbxContent>
                        </wps:txbx>
                        <wps:bodyPr vert="horz" wrap="square" lIns="91440" tIns="45720" rIns="91440" bIns="45720" numCol="1" anchor="t" anchorCtr="0" compatLnSpc="1">
                          <a:prstTxWarp prst="textNoShape">
                            <a:avLst/>
                          </a:prstTxWarp>
                          <a:noAutofit/>
                        </wps:bodyPr>
                      </wps:wsp>
                      <wps:wsp>
                        <wps:cNvPr id="241479122" name="Straight Arrow Connector 241479122">
                          <a:extLst>
                            <a:ext uri="{FF2B5EF4-FFF2-40B4-BE49-F238E27FC236}">
                              <a16:creationId xmlns:a16="http://schemas.microsoft.com/office/drawing/2014/main" id="{04DAE149-069F-C9F9-3A9F-A40D8570F526}"/>
                            </a:ext>
                          </a:extLst>
                        </wps:cNvPr>
                        <wps:cNvCnPr>
                          <a:cxnSpLocks/>
                          <a:stCxn id="1822940361" idx="1"/>
                        </wps:cNvCnPr>
                        <wps:spPr>
                          <a:xfrm flipH="1">
                            <a:off x="3605820" y="819284"/>
                            <a:ext cx="1305724" cy="571689"/>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2401541" name="Straight Arrow Connector 1152401541">
                          <a:extLst>
                            <a:ext uri="{FF2B5EF4-FFF2-40B4-BE49-F238E27FC236}">
                              <a16:creationId xmlns:a16="http://schemas.microsoft.com/office/drawing/2014/main" id="{82E41CBB-06E1-E2BD-9A36-068434B9AFDF}"/>
                            </a:ext>
                          </a:extLst>
                        </wps:cNvPr>
                        <wps:cNvCnPr>
                          <a:cxnSpLocks/>
                          <a:stCxn id="1822940361" idx="1"/>
                        </wps:cNvCnPr>
                        <wps:spPr>
                          <a:xfrm flipH="1">
                            <a:off x="3587484" y="819284"/>
                            <a:ext cx="1324060" cy="378678"/>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C09911" id="Group 14" o:spid="_x0000_s1026" style="position:absolute;left:0;text-align:left;margin-left:-35.6pt;margin-top:27.15pt;width:500.65pt;height:550.6pt;z-index:251663872;mso-width-relative:margin;mso-height-relative:margin" coordsize="61880,6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17474" o:spid="_x0000_s1027" type="#_x0000_t75" alt="Graphical user interface&#10;&#10;Description automatically generated" style="position:absolute;width:48323;height:67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">
                  <v:imagedata r:id="rId13" o:title="Graphical user interface&#10;&#10;Description automatically generated"/>
                  <v:shadow on="t" color="black" opacity="26214f" origin="-.5,-.5" offset=".74836mm,.74836mm"/>
                </v:shape>
                <v:shapetype id="_x0000_t202" coordsize="21600,21600" o:spt="202" path="m,l,21600r21600,l21600,xe">
                  <v:stroke joinstyle="miter"/>
                  <v:path gradientshapeok="t" o:connecttype="rect"/>
                </v:shapetype>
                <v:shape id="Text Box 2" o:spid="_x0000_s1028" type="#_x0000_t202" style="position:absolute;left:49110;top:344;width:12770;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">
                  <v:textbox>
                    <w:txbxContent>
                      <w:p w14:paraId="06F1D3E5" w14:textId="77777777" w:rsidR="003962E5" w:rsidRDefault="003962E5" w:rsidP="003962E5">
                        <w:pPr>
                          <w:kinsoku w:val="0"/>
                          <w:overflowPunct w:val="0"/>
                          <w:textAlignment w:val="baseline"/>
                          <w:rPr>
                            <w:rFonts w:eastAsia="Calibri" w:cs="Arial"/>
                            <w:color w:val="000000" w:themeColor="text1"/>
                            <w:kern w:val="24"/>
                            <w:sz w:val="16"/>
                            <w:szCs w:val="16"/>
                          </w:rPr>
                        </w:pPr>
                        <w:r>
                          <w:rPr>
                            <w:rFonts w:eastAsia="Calibri" w:cs="Arial"/>
                            <w:color w:val="000000" w:themeColor="text1"/>
                            <w:kern w:val="24"/>
                            <w:sz w:val="16"/>
                            <w:szCs w:val="16"/>
                          </w:rPr>
                          <w:t xml:space="preserve">The federal Schedule K-1 now breaks out the guaranteed payments from the 1065 that are paid to each partner between those payments that are made for services and those that are made for capital. This may be the only place in the federal filing where this distinction is made. </w:t>
                        </w:r>
                      </w:p>
                    </w:txbxContent>
                  </v:textbox>
                </v:shape>
                <v:shapetype id="_x0000_t32" coordsize="21600,21600" o:spt="32" o:oned="t" path="m,l21600,21600e" filled="f">
                  <v:path arrowok="t" fillok="f" o:connecttype="none"/>
                  <o:lock v:ext="edit" shapetype="t"/>
                </v:shapetype>
                <v:shape id="Straight Arrow Connector 241479122" o:spid="_x0000_s1029" type="#_x0000_t32" style="position:absolute;left:36058;top:8192;width:13057;height:5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" strokecolor="#c00000" strokeweight="1.5pt">
                  <v:stroke endarrow="block"/>
                  <o:lock v:ext="edit" shapetype="f"/>
                </v:shape>
                <v:shape id="Straight Arrow Connector 1152401541" o:spid="_x0000_s1030" type="#_x0000_t32" style="position:absolute;left:35874;top:8192;width:13241;height:3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" strokecolor="#c00000" strokeweight="1.5pt">
                  <v:stroke endarrow="block"/>
                  <o:lock v:ext="edit" shapetype="f"/>
                </v:shape>
              </v:group>
            </w:pict>
          </mc:Fallback>
        </mc:AlternateContent>
      </w:r>
      <w:r w:rsidR="00225FF6">
        <w:t>Items from the Partnership Return then Flow Through on Schedule K-1s to Partners</w:t>
      </w:r>
      <w:bookmarkEnd w:id="14"/>
    </w:p>
    <w:p w14:paraId="036F4B53" w14:textId="1DA4EEB3" w:rsidR="009F0C13" w:rsidRDefault="009F0C13" w:rsidP="002E2C9D"/>
    <w:p w14:paraId="1EDF494D" w14:textId="1FCD72F6" w:rsidR="00F96FBE" w:rsidRDefault="00F96FBE">
      <w:pPr>
        <w:spacing w:line="276" w:lineRule="auto"/>
        <w:jc w:val="left"/>
        <w:rPr>
          <w:rFonts w:asciiTheme="majorHAnsi" w:eastAsiaTheme="majorEastAsia" w:hAnsiTheme="majorHAnsi" w:cstheme="majorBidi"/>
          <w:b/>
          <w:smallCaps/>
          <w:color w:val="851C00" w:themeColor="accent6" w:themeShade="BF"/>
          <w:sz w:val="36"/>
          <w:szCs w:val="32"/>
        </w:rPr>
      </w:pPr>
      <w:r>
        <w:rPr>
          <w:rFonts w:asciiTheme="majorHAnsi" w:eastAsiaTheme="majorEastAsia" w:hAnsiTheme="majorHAnsi" w:cstheme="majorBidi"/>
          <w:b/>
          <w:smallCaps/>
          <w:color w:val="851C00" w:themeColor="accent6" w:themeShade="BF"/>
          <w:sz w:val="36"/>
          <w:szCs w:val="32"/>
        </w:rPr>
        <w:br w:type="page"/>
      </w:r>
    </w:p>
    <w:p w14:paraId="67F309D8" w14:textId="5ED860D9" w:rsidR="00C62F0F" w:rsidRDefault="00570E99" w:rsidP="001A70E4">
      <w:pPr>
        <w:pStyle w:val="Heading3"/>
        <w:ind w:left="-720"/>
        <w:jc w:val="left"/>
      </w:pPr>
      <w:bookmarkStart w:id="15" w:name="_Toc144634442"/>
      <w:r>
        <w:rPr>
          <w:noProof/>
        </w:rPr>
        <w:lastRenderedPageBreak/>
        <w:drawing>
          <wp:anchor distT="0" distB="0" distL="114300" distR="114300" simplePos="0" relativeHeight="251666944" behindDoc="0" locked="0" layoutInCell="1" allowOverlap="1" wp14:anchorId="08F12652" wp14:editId="4C4D36E5">
            <wp:simplePos x="0" y="0"/>
            <wp:positionH relativeFrom="column">
              <wp:posOffset>-429260</wp:posOffset>
            </wp:positionH>
            <wp:positionV relativeFrom="paragraph">
              <wp:posOffset>352425</wp:posOffset>
            </wp:positionV>
            <wp:extent cx="6431915" cy="6717030"/>
            <wp:effectExtent l="38100" t="38100" r="102235" b="102870"/>
            <wp:wrapSquare wrapText="bothSides"/>
            <wp:docPr id="1069937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1915" cy="671703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5FF6">
        <w:t>The Partners Then Report Information from their Schedule K-1</w:t>
      </w:r>
      <w:bookmarkEnd w:id="15"/>
    </w:p>
    <w:p w14:paraId="2FD2FE76" w14:textId="77777777" w:rsidR="0001559E" w:rsidRDefault="0001559E">
      <w:pPr>
        <w:spacing w:line="276" w:lineRule="auto"/>
        <w:jc w:val="left"/>
        <w:rPr>
          <w:rFonts w:asciiTheme="majorHAnsi" w:eastAsiaTheme="majorEastAsia" w:hAnsiTheme="majorHAnsi" w:cstheme="majorBidi"/>
          <w:b/>
          <w:color w:val="851C00" w:themeColor="accent6" w:themeShade="BF"/>
          <w:sz w:val="22"/>
          <w:szCs w:val="24"/>
          <w:u w:val="single"/>
        </w:rPr>
      </w:pPr>
      <w:r>
        <w:br w:type="page"/>
      </w:r>
    </w:p>
    <w:p w14:paraId="14A28EAA" w14:textId="17D287F3" w:rsidR="009A6D40" w:rsidRDefault="001A70E4" w:rsidP="001A70E4">
      <w:pPr>
        <w:pStyle w:val="Heading3"/>
        <w:ind w:left="-720"/>
        <w:jc w:val="left"/>
      </w:pPr>
      <w:bookmarkStart w:id="16" w:name="_Toc144634443"/>
      <w:r>
        <w:rPr>
          <w:noProof/>
        </w:rPr>
        <w:lastRenderedPageBreak/>
        <w:drawing>
          <wp:anchor distT="0" distB="0" distL="114300" distR="114300" simplePos="0" relativeHeight="251670016" behindDoc="0" locked="0" layoutInCell="1" allowOverlap="1" wp14:anchorId="159E699D" wp14:editId="3B37C551">
            <wp:simplePos x="0" y="0"/>
            <wp:positionH relativeFrom="column">
              <wp:posOffset>-488119</wp:posOffset>
            </wp:positionH>
            <wp:positionV relativeFrom="paragraph">
              <wp:posOffset>336111</wp:posOffset>
            </wp:positionV>
            <wp:extent cx="6582410" cy="6453505"/>
            <wp:effectExtent l="38100" t="38100" r="104140" b="99695"/>
            <wp:wrapSquare wrapText="bothSides"/>
            <wp:docPr id="441669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2410" cy="645350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C02FA">
        <w:rPr>
          <w:noProof/>
        </w:rPr>
        <mc:AlternateContent>
          <mc:Choice Requires="aink">
            <w:drawing>
              <wp:anchor distT="0" distB="0" distL="114300" distR="114300" simplePos="0" relativeHeight="251651584" behindDoc="0" locked="0" layoutInCell="1" allowOverlap="1" wp14:anchorId="3893DC8F" wp14:editId="5144D56F">
                <wp:simplePos x="0" y="0"/>
                <wp:positionH relativeFrom="column">
                  <wp:posOffset>4885690</wp:posOffset>
                </wp:positionH>
                <wp:positionV relativeFrom="paragraph">
                  <wp:posOffset>2865755</wp:posOffset>
                </wp:positionV>
                <wp:extent cx="4445" cy="360"/>
                <wp:effectExtent l="57150" t="38100" r="52705" b="57150"/>
                <wp:wrapNone/>
                <wp:docPr id="402905226" name="Ink 23"/>
                <wp:cNvGraphicFramePr/>
                <a:graphic xmlns:a="http://schemas.openxmlformats.org/drawingml/2006/main">
                  <a:graphicData uri="http://schemas.microsoft.com/office/word/2010/wordprocessingInk">
                    <w14:contentPart bwMode="auto" r:id="rId16">
                      <w14:nvContentPartPr>
                        <w14:cNvContentPartPr/>
                      </w14:nvContentPartPr>
                      <w14:xfrm>
                        <a:off x="0" y="0"/>
                        <a:ext cx="4445" cy="360"/>
                      </w14:xfrm>
                    </w14:contentPart>
                  </a:graphicData>
                </a:graphic>
              </wp:anchor>
            </w:drawing>
          </mc:Choice>
          <mc:Fallback>
            <w:drawing>
              <wp:anchor distT="0" distB="0" distL="114300" distR="114300" simplePos="0" relativeHeight="251651584" behindDoc="0" locked="0" layoutInCell="1" allowOverlap="1" wp14:anchorId="3893DC8F" wp14:editId="5144D56F">
                <wp:simplePos x="0" y="0"/>
                <wp:positionH relativeFrom="column">
                  <wp:posOffset>4885690</wp:posOffset>
                </wp:positionH>
                <wp:positionV relativeFrom="paragraph">
                  <wp:posOffset>2865755</wp:posOffset>
                </wp:positionV>
                <wp:extent cx="4445" cy="360"/>
                <wp:effectExtent l="57150" t="38100" r="52705" b="57150"/>
                <wp:wrapNone/>
                <wp:docPr id="402905226" name="Ink 23"/>
                <wp:cNvGraphicFramePr/>
                <a:graphic xmlns:a="http://schemas.openxmlformats.org/drawingml/2006/main">
                  <a:graphicData uri="http://schemas.openxmlformats.org/drawingml/2006/picture">
                    <pic:pic xmlns:pic="http://schemas.openxmlformats.org/drawingml/2006/picture">
                      <pic:nvPicPr>
                        <pic:cNvPr id="402905226" name="Ink 23"/>
                        <pic:cNvPicPr/>
                      </pic:nvPicPr>
                      <pic:blipFill>
                        <a:blip r:embed="rId23"/>
                        <a:stretch>
                          <a:fillRect/>
                        </a:stretch>
                      </pic:blipFill>
                      <pic:spPr>
                        <a:xfrm>
                          <a:off x="0" y="0"/>
                          <a:ext cx="38295"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54656" behindDoc="0" locked="0" layoutInCell="1" allowOverlap="1" wp14:anchorId="4438F682" wp14:editId="58BCEFBF">
                <wp:simplePos x="0" y="0"/>
                <wp:positionH relativeFrom="column">
                  <wp:posOffset>5228590</wp:posOffset>
                </wp:positionH>
                <wp:positionV relativeFrom="paragraph">
                  <wp:posOffset>3094355</wp:posOffset>
                </wp:positionV>
                <wp:extent cx="28575" cy="52705"/>
                <wp:effectExtent l="57150" t="38100" r="47625" b="61595"/>
                <wp:wrapNone/>
                <wp:docPr id="849033145" name="Ink 24"/>
                <wp:cNvGraphicFramePr/>
                <a:graphic xmlns:a="http://schemas.openxmlformats.org/drawingml/2006/main">
                  <a:graphicData uri="http://schemas.microsoft.com/office/word/2010/wordprocessingInk">
                    <w14:contentPart bwMode="auto" r:id="rId24">
                      <w14:nvContentPartPr>
                        <w14:cNvContentPartPr/>
                      </w14:nvContentPartPr>
                      <w14:xfrm>
                        <a:off x="0" y="0"/>
                        <a:ext cx="28575" cy="52705"/>
                      </w14:xfrm>
                    </w14:contentPart>
                  </a:graphicData>
                </a:graphic>
              </wp:anchor>
            </w:drawing>
          </mc:Choice>
          <mc:Fallback>
            <w:drawing>
              <wp:anchor distT="0" distB="0" distL="114300" distR="114300" simplePos="0" relativeHeight="251654656" behindDoc="0" locked="0" layoutInCell="1" allowOverlap="1" wp14:anchorId="4438F682" wp14:editId="58BCEFBF">
                <wp:simplePos x="0" y="0"/>
                <wp:positionH relativeFrom="column">
                  <wp:posOffset>5228590</wp:posOffset>
                </wp:positionH>
                <wp:positionV relativeFrom="paragraph">
                  <wp:posOffset>3094355</wp:posOffset>
                </wp:positionV>
                <wp:extent cx="28575" cy="52705"/>
                <wp:effectExtent l="57150" t="38100" r="47625" b="61595"/>
                <wp:wrapNone/>
                <wp:docPr id="849033145" name="Ink 24"/>
                <wp:cNvGraphicFramePr/>
                <a:graphic xmlns:a="http://schemas.openxmlformats.org/drawingml/2006/main">
                  <a:graphicData uri="http://schemas.openxmlformats.org/drawingml/2006/picture">
                    <pic:pic xmlns:pic="http://schemas.openxmlformats.org/drawingml/2006/picture">
                      <pic:nvPicPr>
                        <pic:cNvPr id="849033145" name="Ink 24"/>
                        <pic:cNvPicPr/>
                      </pic:nvPicPr>
                      <pic:blipFill>
                        <a:blip r:embed="rId25"/>
                        <a:stretch>
                          <a:fillRect/>
                        </a:stretch>
                      </pic:blipFill>
                      <pic:spPr>
                        <a:xfrm>
                          <a:off x="0" y="0"/>
                          <a:ext cx="63500" cy="267469"/>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57728" behindDoc="0" locked="0" layoutInCell="1" allowOverlap="1" wp14:anchorId="1AFD81B7" wp14:editId="634645DB">
                <wp:simplePos x="0" y="0"/>
                <wp:positionH relativeFrom="column">
                  <wp:posOffset>5337810</wp:posOffset>
                </wp:positionH>
                <wp:positionV relativeFrom="paragraph">
                  <wp:posOffset>3299460</wp:posOffset>
                </wp:positionV>
                <wp:extent cx="360" cy="4445"/>
                <wp:effectExtent l="57150" t="38100" r="38100" b="71755"/>
                <wp:wrapNone/>
                <wp:docPr id="1606429969" name="Ink 25"/>
                <wp:cNvGraphicFramePr/>
                <a:graphic xmlns:a="http://schemas.openxmlformats.org/drawingml/2006/main">
                  <a:graphicData uri="http://schemas.microsoft.com/office/word/2010/wordprocessingInk">
                    <w14:contentPart bwMode="auto" r:id="rId26">
                      <w14:nvContentPartPr>
                        <w14:cNvContentPartPr/>
                      </w14:nvContentPartPr>
                      <w14:xfrm>
                        <a:off x="0" y="0"/>
                        <a:ext cx="360" cy="4445"/>
                      </w14:xfrm>
                    </w14:contentPart>
                  </a:graphicData>
                </a:graphic>
              </wp:anchor>
            </w:drawing>
          </mc:Choice>
          <mc:Fallback>
            <w:drawing>
              <wp:anchor distT="0" distB="0" distL="114300" distR="114300" simplePos="0" relativeHeight="251657728" behindDoc="0" locked="0" layoutInCell="1" allowOverlap="1" wp14:anchorId="1AFD81B7" wp14:editId="634645DB">
                <wp:simplePos x="0" y="0"/>
                <wp:positionH relativeFrom="column">
                  <wp:posOffset>5337810</wp:posOffset>
                </wp:positionH>
                <wp:positionV relativeFrom="paragraph">
                  <wp:posOffset>3299460</wp:posOffset>
                </wp:positionV>
                <wp:extent cx="360" cy="4445"/>
                <wp:effectExtent l="57150" t="38100" r="38100" b="71755"/>
                <wp:wrapNone/>
                <wp:docPr id="1606429969" name="Ink 25"/>
                <wp:cNvGraphicFramePr/>
                <a:graphic xmlns:a="http://schemas.openxmlformats.org/drawingml/2006/main">
                  <a:graphicData uri="http://schemas.openxmlformats.org/drawingml/2006/picture">
                    <pic:pic xmlns:pic="http://schemas.openxmlformats.org/drawingml/2006/picture">
                      <pic:nvPicPr>
                        <pic:cNvPr id="1606429969" name="Ink 25"/>
                        <pic:cNvPicPr/>
                      </pic:nvPicPr>
                      <pic:blipFill>
                        <a:blip r:embed="rId27"/>
                        <a:stretch>
                          <a:fillRect/>
                        </a:stretch>
                      </pic:blipFill>
                      <pic:spPr>
                        <a:xfrm>
                          <a:off x="0" y="0"/>
                          <a:ext cx="36000" cy="209257"/>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48512" behindDoc="0" locked="0" layoutInCell="1" allowOverlap="1" wp14:anchorId="1B0A01D0" wp14:editId="29DAFDBC">
                <wp:simplePos x="0" y="0"/>
                <wp:positionH relativeFrom="column">
                  <wp:posOffset>4981305</wp:posOffset>
                </wp:positionH>
                <wp:positionV relativeFrom="paragraph">
                  <wp:posOffset>2237568</wp:posOffset>
                </wp:positionV>
                <wp:extent cx="360" cy="360"/>
                <wp:effectExtent l="57150" t="38100" r="38100" b="57150"/>
                <wp:wrapNone/>
                <wp:docPr id="109947302" name="Ink 2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48512" behindDoc="0" locked="0" layoutInCell="1" allowOverlap="1" wp14:anchorId="1B0A01D0" wp14:editId="29DAFDBC">
                <wp:simplePos x="0" y="0"/>
                <wp:positionH relativeFrom="column">
                  <wp:posOffset>4981305</wp:posOffset>
                </wp:positionH>
                <wp:positionV relativeFrom="paragraph">
                  <wp:posOffset>2237568</wp:posOffset>
                </wp:positionV>
                <wp:extent cx="360" cy="360"/>
                <wp:effectExtent l="57150" t="38100" r="38100" b="57150"/>
                <wp:wrapNone/>
                <wp:docPr id="109947302" name="Ink 22"/>
                <wp:cNvGraphicFramePr/>
                <a:graphic xmlns:a="http://schemas.openxmlformats.org/drawingml/2006/main">
                  <a:graphicData uri="http://schemas.openxmlformats.org/drawingml/2006/picture">
                    <pic:pic xmlns:pic="http://schemas.openxmlformats.org/drawingml/2006/picture">
                      <pic:nvPicPr>
                        <pic:cNvPr id="109947302" name="Ink 22"/>
                        <pic:cNvPicPr/>
                      </pic:nvPicPr>
                      <pic:blipFill>
                        <a:blip r:embed="rId29"/>
                        <a:stretch>
                          <a:fillRect/>
                        </a:stretch>
                      </pic:blipFill>
                      <pic:spPr>
                        <a:xfrm>
                          <a:off x="0" y="0"/>
                          <a:ext cx="360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45440" behindDoc="0" locked="0" layoutInCell="1" allowOverlap="1" wp14:anchorId="08B11371" wp14:editId="4733D0B8">
                <wp:simplePos x="0" y="0"/>
                <wp:positionH relativeFrom="column">
                  <wp:posOffset>5379465</wp:posOffset>
                </wp:positionH>
                <wp:positionV relativeFrom="paragraph">
                  <wp:posOffset>3428088</wp:posOffset>
                </wp:positionV>
                <wp:extent cx="2160" cy="360"/>
                <wp:effectExtent l="57150" t="38100" r="36195" b="57150"/>
                <wp:wrapNone/>
                <wp:docPr id="1934023385" name="Ink 15"/>
                <wp:cNvGraphicFramePr/>
                <a:graphic xmlns:a="http://schemas.openxmlformats.org/drawingml/2006/main">
                  <a:graphicData uri="http://schemas.microsoft.com/office/word/2010/wordprocessingInk">
                    <w14:contentPart bwMode="auto" r:id="rId30">
                      <w14:nvContentPartPr>
                        <w14:cNvContentPartPr/>
                      </w14:nvContentPartPr>
                      <w14:xfrm>
                        <a:off x="0" y="0"/>
                        <a:ext cx="2160" cy="360"/>
                      </w14:xfrm>
                    </w14:contentPart>
                  </a:graphicData>
                </a:graphic>
              </wp:anchor>
            </w:drawing>
          </mc:Choice>
          <mc:Fallback>
            <w:drawing>
              <wp:anchor distT="0" distB="0" distL="114300" distR="114300" simplePos="0" relativeHeight="251645440" behindDoc="0" locked="0" layoutInCell="1" allowOverlap="1" wp14:anchorId="08B11371" wp14:editId="4733D0B8">
                <wp:simplePos x="0" y="0"/>
                <wp:positionH relativeFrom="column">
                  <wp:posOffset>5379465</wp:posOffset>
                </wp:positionH>
                <wp:positionV relativeFrom="paragraph">
                  <wp:posOffset>3428088</wp:posOffset>
                </wp:positionV>
                <wp:extent cx="2160" cy="360"/>
                <wp:effectExtent l="57150" t="38100" r="36195" b="57150"/>
                <wp:wrapNone/>
                <wp:docPr id="1934023385" name="Ink 15"/>
                <wp:cNvGraphicFramePr/>
                <a:graphic xmlns:a="http://schemas.openxmlformats.org/drawingml/2006/main">
                  <a:graphicData uri="http://schemas.openxmlformats.org/drawingml/2006/picture">
                    <pic:pic xmlns:pic="http://schemas.openxmlformats.org/drawingml/2006/picture">
                      <pic:nvPicPr>
                        <pic:cNvPr id="1934023385" name="Ink 15"/>
                        <pic:cNvPicPr/>
                      </pic:nvPicPr>
                      <pic:blipFill>
                        <a:blip r:embed="rId31"/>
                        <a:stretch>
                          <a:fillRect/>
                        </a:stretch>
                      </pic:blipFill>
                      <pic:spPr>
                        <a:xfrm>
                          <a:off x="0" y="0"/>
                          <a:ext cx="378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9296" behindDoc="0" locked="0" layoutInCell="1" allowOverlap="1" wp14:anchorId="5BDDDC27" wp14:editId="4E3A9426">
                <wp:simplePos x="0" y="0"/>
                <wp:positionH relativeFrom="column">
                  <wp:posOffset>5224145</wp:posOffset>
                </wp:positionH>
                <wp:positionV relativeFrom="paragraph">
                  <wp:posOffset>2379980</wp:posOffset>
                </wp:positionV>
                <wp:extent cx="360" cy="360"/>
                <wp:effectExtent l="57150" t="38100" r="38100" b="57150"/>
                <wp:wrapNone/>
                <wp:docPr id="71489166" name="Ink 1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39296" behindDoc="0" locked="0" layoutInCell="1" allowOverlap="1" wp14:anchorId="5BDDDC27" wp14:editId="4E3A9426">
                <wp:simplePos x="0" y="0"/>
                <wp:positionH relativeFrom="column">
                  <wp:posOffset>5224145</wp:posOffset>
                </wp:positionH>
                <wp:positionV relativeFrom="paragraph">
                  <wp:posOffset>2379980</wp:posOffset>
                </wp:positionV>
                <wp:extent cx="360" cy="360"/>
                <wp:effectExtent l="57150" t="38100" r="38100" b="57150"/>
                <wp:wrapNone/>
                <wp:docPr id="71489166" name="Ink 13"/>
                <wp:cNvGraphicFramePr/>
                <a:graphic xmlns:a="http://schemas.openxmlformats.org/drawingml/2006/main">
                  <a:graphicData uri="http://schemas.openxmlformats.org/drawingml/2006/picture">
                    <pic:pic xmlns:pic="http://schemas.openxmlformats.org/drawingml/2006/picture">
                      <pic:nvPicPr>
                        <pic:cNvPr id="71489166" name="Ink 13"/>
                        <pic:cNvPicPr/>
                      </pic:nvPicPr>
                      <pic:blipFill>
                        <a:blip r:embed="rId33"/>
                        <a:stretch>
                          <a:fillRect/>
                        </a:stretch>
                      </pic:blipFill>
                      <pic:spPr>
                        <a:xfrm>
                          <a:off x="0" y="0"/>
                          <a:ext cx="360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42368" behindDoc="0" locked="0" layoutInCell="1" allowOverlap="1" wp14:anchorId="350A54EB" wp14:editId="38524528">
                <wp:simplePos x="0" y="0"/>
                <wp:positionH relativeFrom="column">
                  <wp:posOffset>5043170</wp:posOffset>
                </wp:positionH>
                <wp:positionV relativeFrom="paragraph">
                  <wp:posOffset>2374900</wp:posOffset>
                </wp:positionV>
                <wp:extent cx="360" cy="360"/>
                <wp:effectExtent l="57150" t="38100" r="38100" b="57150"/>
                <wp:wrapNone/>
                <wp:docPr id="404766393" name="Ink 14"/>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drawing>
              <wp:anchor distT="0" distB="0" distL="114300" distR="114300" simplePos="0" relativeHeight="251642368" behindDoc="0" locked="0" layoutInCell="1" allowOverlap="1" wp14:anchorId="350A54EB" wp14:editId="38524528">
                <wp:simplePos x="0" y="0"/>
                <wp:positionH relativeFrom="column">
                  <wp:posOffset>5043170</wp:posOffset>
                </wp:positionH>
                <wp:positionV relativeFrom="paragraph">
                  <wp:posOffset>2374900</wp:posOffset>
                </wp:positionV>
                <wp:extent cx="360" cy="360"/>
                <wp:effectExtent l="57150" t="38100" r="38100" b="57150"/>
                <wp:wrapNone/>
                <wp:docPr id="404766393" name="Ink 14"/>
                <wp:cNvGraphicFramePr/>
                <a:graphic xmlns:a="http://schemas.openxmlformats.org/drawingml/2006/main">
                  <a:graphicData uri="http://schemas.openxmlformats.org/drawingml/2006/picture">
                    <pic:pic xmlns:pic="http://schemas.openxmlformats.org/drawingml/2006/picture">
                      <pic:nvPicPr>
                        <pic:cNvPr id="404766393" name="Ink 14"/>
                        <pic:cNvPicPr/>
                      </pic:nvPicPr>
                      <pic:blipFill>
                        <a:blip r:embed="rId33"/>
                        <a:stretch>
                          <a:fillRect/>
                        </a:stretch>
                      </pic:blipFill>
                      <pic:spPr>
                        <a:xfrm>
                          <a:off x="0" y="0"/>
                          <a:ext cx="360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4176" behindDoc="0" locked="0" layoutInCell="1" allowOverlap="1" wp14:anchorId="2DF50EB2" wp14:editId="737BB48C">
                <wp:simplePos x="0" y="0"/>
                <wp:positionH relativeFrom="column">
                  <wp:posOffset>5355705</wp:posOffset>
                </wp:positionH>
                <wp:positionV relativeFrom="paragraph">
                  <wp:posOffset>2537448</wp:posOffset>
                </wp:positionV>
                <wp:extent cx="2160" cy="6840"/>
                <wp:effectExtent l="57150" t="38100" r="36195" b="50800"/>
                <wp:wrapNone/>
                <wp:docPr id="2019080952" name="Ink 8"/>
                <wp:cNvGraphicFramePr/>
                <a:graphic xmlns:a="http://schemas.openxmlformats.org/drawingml/2006/main">
                  <a:graphicData uri="http://schemas.microsoft.com/office/word/2010/wordprocessingInk">
                    <w14:contentPart bwMode="auto" r:id="rId35">
                      <w14:nvContentPartPr>
                        <w14:cNvContentPartPr/>
                      </w14:nvContentPartPr>
                      <w14:xfrm>
                        <a:off x="0" y="0"/>
                        <a:ext cx="2160" cy="6840"/>
                      </w14:xfrm>
                    </w14:contentPart>
                  </a:graphicData>
                </a:graphic>
              </wp:anchor>
            </w:drawing>
          </mc:Choice>
          <mc:Fallback>
            <w:drawing>
              <wp:anchor distT="0" distB="0" distL="114300" distR="114300" simplePos="0" relativeHeight="251634176" behindDoc="0" locked="0" layoutInCell="1" allowOverlap="1" wp14:anchorId="2DF50EB2" wp14:editId="737BB48C">
                <wp:simplePos x="0" y="0"/>
                <wp:positionH relativeFrom="column">
                  <wp:posOffset>5355705</wp:posOffset>
                </wp:positionH>
                <wp:positionV relativeFrom="paragraph">
                  <wp:posOffset>2537448</wp:posOffset>
                </wp:positionV>
                <wp:extent cx="2160" cy="6840"/>
                <wp:effectExtent l="57150" t="38100" r="36195" b="50800"/>
                <wp:wrapNone/>
                <wp:docPr id="2019080952" name="Ink 8"/>
                <wp:cNvGraphicFramePr/>
                <a:graphic xmlns:a="http://schemas.openxmlformats.org/drawingml/2006/main">
                  <a:graphicData uri="http://schemas.openxmlformats.org/drawingml/2006/picture">
                    <pic:pic xmlns:pic="http://schemas.openxmlformats.org/drawingml/2006/picture">
                      <pic:nvPicPr>
                        <pic:cNvPr id="2019080952" name="Ink 8"/>
                        <pic:cNvPicPr/>
                      </pic:nvPicPr>
                      <pic:blipFill>
                        <a:blip r:embed="rId36"/>
                        <a:stretch>
                          <a:fillRect/>
                        </a:stretch>
                      </pic:blipFill>
                      <pic:spPr>
                        <a:xfrm>
                          <a:off x="0" y="0"/>
                          <a:ext cx="37800" cy="222480"/>
                        </a:xfrm>
                        <a:prstGeom prst="rect">
                          <a:avLst/>
                        </a:prstGeom>
                      </pic:spPr>
                    </pic:pic>
                  </a:graphicData>
                </a:graphic>
              </wp:anchor>
            </w:drawing>
          </mc:Fallback>
        </mc:AlternateContent>
      </w:r>
      <w:r w:rsidR="0004722A">
        <w:t>A</w:t>
      </w:r>
      <w:r w:rsidR="00C21510">
        <w:t>n Individual</w:t>
      </w:r>
      <w:r w:rsidR="0004722A">
        <w:t xml:space="preserve"> Partner may Exclude Guaranteed Payments For Services Performed Overseas</w:t>
      </w:r>
      <w:bookmarkEnd w:id="16"/>
    </w:p>
    <w:p w14:paraId="3DA34304" w14:textId="77777777" w:rsidR="0001559E" w:rsidRDefault="0001559E">
      <w:pPr>
        <w:spacing w:line="276" w:lineRule="auto"/>
        <w:jc w:val="left"/>
        <w:rPr>
          <w:rFonts w:asciiTheme="majorHAnsi" w:eastAsiaTheme="majorEastAsia" w:hAnsiTheme="majorHAnsi" w:cstheme="majorBidi"/>
          <w:b/>
          <w:color w:val="851C00" w:themeColor="accent6" w:themeShade="BF"/>
          <w:sz w:val="22"/>
          <w:szCs w:val="24"/>
          <w:u w:val="single"/>
        </w:rPr>
      </w:pPr>
      <w:r>
        <w:br w:type="page"/>
      </w:r>
    </w:p>
    <w:p w14:paraId="598F68F2" w14:textId="3121CBB3" w:rsidR="00A7382A" w:rsidRPr="00A7382A" w:rsidRDefault="00A7382A" w:rsidP="001A70E4">
      <w:pPr>
        <w:pStyle w:val="Heading3"/>
        <w:ind w:left="-720"/>
        <w:jc w:val="left"/>
      </w:pPr>
      <w:bookmarkStart w:id="17" w:name="_Toc144634444"/>
      <w:r>
        <w:rPr>
          <w:noProof/>
        </w:rPr>
        <w:lastRenderedPageBreak/>
        <w:drawing>
          <wp:anchor distT="0" distB="0" distL="114300" distR="114300" simplePos="0" relativeHeight="251673088" behindDoc="0" locked="0" layoutInCell="1" allowOverlap="1" wp14:anchorId="410FD3E8" wp14:editId="31043314">
            <wp:simplePos x="0" y="0"/>
            <wp:positionH relativeFrom="column">
              <wp:posOffset>-646675</wp:posOffset>
            </wp:positionH>
            <wp:positionV relativeFrom="paragraph">
              <wp:posOffset>268849</wp:posOffset>
            </wp:positionV>
            <wp:extent cx="6998970" cy="6694170"/>
            <wp:effectExtent l="38100" t="38100" r="87630" b="87630"/>
            <wp:wrapSquare wrapText="bothSides"/>
            <wp:docPr id="12492357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8970" cy="669417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722A">
        <w:t>Amounts from Schedule 1 are then Reported on the Form 1040</w:t>
      </w:r>
      <w:bookmarkEnd w:id="1"/>
      <w:bookmarkEnd w:id="17"/>
      <w:r>
        <w:br w:type="page"/>
      </w:r>
    </w:p>
    <w:p w14:paraId="20925926" w14:textId="7EF35EF9" w:rsidR="00CD11CF" w:rsidRDefault="00F54CF3" w:rsidP="00B5459F">
      <w:pPr>
        <w:pStyle w:val="Heading2"/>
      </w:pPr>
      <w:bookmarkStart w:id="18" w:name="_Toc144634445"/>
      <w:r>
        <w:lastRenderedPageBreak/>
        <w:t xml:space="preserve">I. </w:t>
      </w:r>
      <w:r w:rsidR="00B5459F">
        <w:t xml:space="preserve">D. </w:t>
      </w:r>
      <w:r w:rsidR="0022562E">
        <w:t xml:space="preserve"> </w:t>
      </w:r>
      <w:r w:rsidR="00A94288">
        <w:t xml:space="preserve">General </w:t>
      </w:r>
      <w:r w:rsidR="00B5459F">
        <w:t xml:space="preserve">State Sourcing </w:t>
      </w:r>
      <w:r w:rsidR="00D21B20">
        <w:t>Methods</w:t>
      </w:r>
      <w:bookmarkEnd w:id="18"/>
    </w:p>
    <w:p w14:paraId="1E2F94D7" w14:textId="2F1FF6B1" w:rsidR="00E11AE2" w:rsidRPr="00E11AE2" w:rsidRDefault="00AD017A" w:rsidP="004E4BCE">
      <w:pPr>
        <w:spacing w:after="160"/>
      </w:pPr>
      <w:r>
        <w:t>State</w:t>
      </w:r>
      <w:r w:rsidR="00CA562C">
        <w:t xml:space="preserve">s do not use the same approach as the federal </w:t>
      </w:r>
      <w:r w:rsidR="004C25CB">
        <w:t>government when sourcing domestic income</w:t>
      </w:r>
      <w:r>
        <w:t xml:space="preserve">. This section provides a general description of </w:t>
      </w:r>
      <w:r w:rsidR="004C25CB">
        <w:t>state</w:t>
      </w:r>
      <w:r>
        <w:t xml:space="preserve"> methods and their application.</w:t>
      </w:r>
    </w:p>
    <w:p w14:paraId="4A92CE34" w14:textId="672298AE" w:rsidR="00611BE5" w:rsidRDefault="00DC4CD8" w:rsidP="006346EF">
      <w:pPr>
        <w:pStyle w:val="Heading3"/>
        <w:spacing w:before="240"/>
      </w:pPr>
      <w:bookmarkStart w:id="19" w:name="_Toc144634446"/>
      <w:r>
        <w:t xml:space="preserve">Two </w:t>
      </w:r>
      <w:r w:rsidR="00D21B20">
        <w:t xml:space="preserve">General </w:t>
      </w:r>
      <w:r w:rsidR="0009107A">
        <w:t xml:space="preserve">Sourcing </w:t>
      </w:r>
      <w:r w:rsidR="00D21B20">
        <w:t>Methods</w:t>
      </w:r>
      <w:bookmarkEnd w:id="19"/>
      <w:r w:rsidR="00D21B20">
        <w:t xml:space="preserve"> </w:t>
      </w:r>
    </w:p>
    <w:p w14:paraId="7EF5F68F" w14:textId="61F8D6FB" w:rsidR="00BC742D" w:rsidRDefault="007E5B1D" w:rsidP="00BF4FC0">
      <w:pPr>
        <w:spacing w:after="80"/>
      </w:pPr>
      <w:r>
        <w:t>States</w:t>
      </w:r>
      <w:r w:rsidR="003D7ABF">
        <w:t xml:space="preserve"> </w:t>
      </w:r>
      <w:r w:rsidR="00BF4FC0">
        <w:t xml:space="preserve">generally </w:t>
      </w:r>
      <w:r w:rsidR="003D7ABF">
        <w:t xml:space="preserve">use two </w:t>
      </w:r>
      <w:r w:rsidR="00CB7F94">
        <w:t xml:space="preserve">sourcing </w:t>
      </w:r>
      <w:r w:rsidR="003D7ABF">
        <w:t>methods</w:t>
      </w:r>
      <w:r w:rsidR="00BC742D">
        <w:t xml:space="preserve"> applied to two different categories of income:</w:t>
      </w:r>
      <w:r w:rsidR="003D7ABF">
        <w:t xml:space="preserve"> </w:t>
      </w:r>
    </w:p>
    <w:p w14:paraId="10A44FFF" w14:textId="27F021C8" w:rsidR="00BC742D" w:rsidRPr="00BC742D" w:rsidRDefault="00BC742D" w:rsidP="005F7F13">
      <w:pPr>
        <w:pStyle w:val="ListParagraph"/>
        <w:numPr>
          <w:ilvl w:val="0"/>
          <w:numId w:val="12"/>
        </w:numPr>
        <w:spacing w:after="80"/>
        <w:ind w:left="576" w:hanging="288"/>
        <w:contextualSpacing w:val="0"/>
      </w:pPr>
      <w:r w:rsidRPr="00BF4FC0">
        <w:rPr>
          <w:u w:val="single"/>
        </w:rPr>
        <w:t>Formulary apportionment</w:t>
      </w:r>
      <w:r w:rsidR="006F6D21" w:rsidRPr="006F6D21">
        <w:t xml:space="preserve"> </w:t>
      </w:r>
      <w:r w:rsidR="006F6D21">
        <w:t>–</w:t>
      </w:r>
      <w:r w:rsidR="006F6D21" w:rsidRPr="006F6D21">
        <w:t xml:space="preserve"> </w:t>
      </w:r>
      <w:r w:rsidR="006F6D21">
        <w:t xml:space="preserve">Uses an </w:t>
      </w:r>
      <w:r>
        <w:t xml:space="preserve">in-state ratio, often based on amount of receipts derived from the state, </w:t>
      </w:r>
      <w:r w:rsidR="006F6D21">
        <w:t xml:space="preserve">to divide </w:t>
      </w:r>
      <w:r w:rsidR="00032473">
        <w:t>total net income from business activities</w:t>
      </w:r>
      <w:r w:rsidRPr="00BC742D">
        <w:t xml:space="preserve">. </w:t>
      </w:r>
    </w:p>
    <w:p w14:paraId="72E66C2F" w14:textId="3059C3EC" w:rsidR="00BC742D" w:rsidRDefault="00BC742D" w:rsidP="005F7F13">
      <w:pPr>
        <w:pStyle w:val="ListParagraph"/>
        <w:numPr>
          <w:ilvl w:val="0"/>
          <w:numId w:val="12"/>
        </w:numPr>
        <w:spacing w:after="80"/>
        <w:ind w:left="576" w:hanging="288"/>
        <w:contextualSpacing w:val="0"/>
      </w:pPr>
      <w:r w:rsidRPr="00BF4FC0">
        <w:rPr>
          <w:u w:val="single"/>
        </w:rPr>
        <w:t>S</w:t>
      </w:r>
      <w:r w:rsidR="003D7ABF" w:rsidRPr="00BF4FC0">
        <w:rPr>
          <w:u w:val="single"/>
        </w:rPr>
        <w:t>pecific rules of assignment</w:t>
      </w:r>
      <w:r w:rsidR="005E0FFA">
        <w:t xml:space="preserve"> </w:t>
      </w:r>
      <w:r w:rsidR="007E5B1D">
        <w:t>–</w:t>
      </w:r>
      <w:r w:rsidR="00032473">
        <w:t xml:space="preserve"> A</w:t>
      </w:r>
      <w:r w:rsidR="005E0FFA">
        <w:t>ssign items of income, expense, gain, or loss based on the nature of the item or activity (similar to federal rules used to source domestic income)</w:t>
      </w:r>
      <w:r w:rsidR="003D7ABF">
        <w:t xml:space="preserve">. </w:t>
      </w:r>
    </w:p>
    <w:p w14:paraId="748CF804" w14:textId="16DD4296" w:rsidR="00077A40" w:rsidRDefault="00CC3F41" w:rsidP="006346EF">
      <w:pPr>
        <w:pStyle w:val="Heading3"/>
        <w:spacing w:before="240"/>
      </w:pPr>
      <w:bookmarkStart w:id="20" w:name="_Toc144634447"/>
      <w:r>
        <w:t xml:space="preserve">General </w:t>
      </w:r>
      <w:r w:rsidR="00A73A5C">
        <w:t>Application to</w:t>
      </w:r>
      <w:r w:rsidR="00BC742D">
        <w:t xml:space="preserve"> </w:t>
      </w:r>
      <w:r w:rsidR="00077A40">
        <w:t>Resident and Nonresident Individuals</w:t>
      </w:r>
      <w:bookmarkEnd w:id="20"/>
      <w:r w:rsidR="0009107A">
        <w:t xml:space="preserve"> </w:t>
      </w:r>
    </w:p>
    <w:p w14:paraId="1CD66DAD" w14:textId="77777777" w:rsidR="004B5273" w:rsidRPr="004B5273" w:rsidRDefault="004B5273" w:rsidP="005F7F13">
      <w:pPr>
        <w:numPr>
          <w:ilvl w:val="0"/>
          <w:numId w:val="13"/>
        </w:numPr>
        <w:spacing w:after="40"/>
        <w:ind w:left="576" w:hanging="288"/>
        <w:rPr>
          <w:iCs/>
          <w:u w:val="single"/>
        </w:rPr>
      </w:pPr>
      <w:r w:rsidRPr="00BF4FC0">
        <w:rPr>
          <w:iCs/>
          <w:u w:val="single"/>
        </w:rPr>
        <w:t>Residents</w:t>
      </w:r>
      <w:r w:rsidRPr="004B5273">
        <w:rPr>
          <w:iCs/>
        </w:rPr>
        <w:t xml:space="preserve"> –</w:t>
      </w:r>
    </w:p>
    <w:p w14:paraId="693A4742" w14:textId="3C58A124" w:rsidR="004B5273" w:rsidRPr="004B5273" w:rsidRDefault="004B5273" w:rsidP="005F7F13">
      <w:pPr>
        <w:numPr>
          <w:ilvl w:val="1"/>
          <w:numId w:val="13"/>
        </w:numPr>
        <w:spacing w:after="60"/>
        <w:ind w:left="864" w:hanging="288"/>
        <w:rPr>
          <w:iCs/>
          <w:u w:val="single"/>
        </w:rPr>
      </w:pPr>
      <w:r w:rsidRPr="004B5273">
        <w:rPr>
          <w:iCs/>
        </w:rPr>
        <w:t xml:space="preserve">Tax </w:t>
      </w:r>
      <w:r w:rsidR="005E0FFA">
        <w:rPr>
          <w:iCs/>
        </w:rPr>
        <w:t>is</w:t>
      </w:r>
      <w:r w:rsidRPr="004B5273">
        <w:rPr>
          <w:iCs/>
        </w:rPr>
        <w:t xml:space="preserve"> imposed on 100% of the </w:t>
      </w:r>
      <w:r w:rsidR="005E0FFA">
        <w:rPr>
          <w:iCs/>
        </w:rPr>
        <w:t xml:space="preserve">individual’s </w:t>
      </w:r>
      <w:r w:rsidRPr="004B5273">
        <w:rPr>
          <w:iCs/>
        </w:rPr>
        <w:t>income.</w:t>
      </w:r>
    </w:p>
    <w:p w14:paraId="7BCC9EC4" w14:textId="1D691B05" w:rsidR="004B5273" w:rsidRPr="004B5273" w:rsidRDefault="004B5273" w:rsidP="005F7F13">
      <w:pPr>
        <w:numPr>
          <w:ilvl w:val="1"/>
          <w:numId w:val="13"/>
        </w:numPr>
        <w:spacing w:after="40"/>
        <w:ind w:left="864" w:hanging="288"/>
        <w:rPr>
          <w:iCs/>
          <w:u w:val="single"/>
        </w:rPr>
      </w:pPr>
      <w:r w:rsidRPr="004B5273">
        <w:rPr>
          <w:iCs/>
        </w:rPr>
        <w:t xml:space="preserve">A credit </w:t>
      </w:r>
      <w:r w:rsidR="005E0FFA">
        <w:rPr>
          <w:iCs/>
        </w:rPr>
        <w:t>is</w:t>
      </w:r>
      <w:r w:rsidRPr="004B5273">
        <w:rPr>
          <w:iCs/>
        </w:rPr>
        <w:t xml:space="preserve"> given for tax </w:t>
      </w:r>
      <w:r w:rsidR="005E0FFA">
        <w:rPr>
          <w:iCs/>
        </w:rPr>
        <w:t>paid to</w:t>
      </w:r>
      <w:r w:rsidRPr="004B5273">
        <w:rPr>
          <w:iCs/>
        </w:rPr>
        <w:t xml:space="preserve"> other states on the same income, but the credit is generally limited to:</w:t>
      </w:r>
    </w:p>
    <w:p w14:paraId="419D6C8E" w14:textId="77777777" w:rsidR="004B5273" w:rsidRDefault="004B5273" w:rsidP="005F7F13">
      <w:pPr>
        <w:numPr>
          <w:ilvl w:val="2"/>
          <w:numId w:val="13"/>
        </w:numPr>
        <w:spacing w:after="40"/>
        <w:ind w:left="1152" w:hanging="288"/>
        <w:rPr>
          <w:iCs/>
          <w:u w:val="single"/>
        </w:rPr>
      </w:pPr>
      <w:r w:rsidRPr="004B5273">
        <w:rPr>
          <w:iCs/>
        </w:rPr>
        <w:t>The rate of tax the resident state would have imposed, and</w:t>
      </w:r>
    </w:p>
    <w:p w14:paraId="411F30B9" w14:textId="221B28B3" w:rsidR="004B5273" w:rsidRPr="004B5273" w:rsidRDefault="004B5273" w:rsidP="005F7F13">
      <w:pPr>
        <w:numPr>
          <w:ilvl w:val="2"/>
          <w:numId w:val="13"/>
        </w:numPr>
        <w:spacing w:after="120"/>
        <w:ind w:left="1152" w:hanging="288"/>
        <w:rPr>
          <w:iCs/>
          <w:u w:val="single"/>
        </w:rPr>
      </w:pPr>
      <w:r w:rsidRPr="004B5273">
        <w:t>The base the resident state would have taxed</w:t>
      </w:r>
      <w:r w:rsidR="00575539">
        <w:t xml:space="preserve"> applying that state’s </w:t>
      </w:r>
      <w:r w:rsidR="00735ACA">
        <w:t xml:space="preserve">own </w:t>
      </w:r>
      <w:r w:rsidRPr="004B5273">
        <w:t>sourcing rules.</w:t>
      </w:r>
    </w:p>
    <w:p w14:paraId="1DCB33DC" w14:textId="00E0EACE" w:rsidR="00BC742D" w:rsidRPr="0075671B" w:rsidRDefault="0075671B" w:rsidP="005F7F13">
      <w:pPr>
        <w:pStyle w:val="ListParagraph"/>
        <w:numPr>
          <w:ilvl w:val="0"/>
          <w:numId w:val="13"/>
        </w:numPr>
        <w:spacing w:after="40"/>
        <w:ind w:left="576" w:hanging="288"/>
        <w:contextualSpacing w:val="0"/>
        <w:rPr>
          <w:iCs/>
          <w:u w:val="single"/>
        </w:rPr>
      </w:pPr>
      <w:r w:rsidRPr="00BF4FC0">
        <w:rPr>
          <w:iCs/>
          <w:u w:val="single"/>
        </w:rPr>
        <w:t>Nonresidents</w:t>
      </w:r>
      <w:r>
        <w:rPr>
          <w:iCs/>
        </w:rPr>
        <w:t xml:space="preserve"> –</w:t>
      </w:r>
    </w:p>
    <w:p w14:paraId="6E6B8A60" w14:textId="25CF6AF1" w:rsidR="00575539" w:rsidRPr="00575539" w:rsidRDefault="00575539" w:rsidP="005F7F13">
      <w:pPr>
        <w:pStyle w:val="ListParagraph"/>
        <w:numPr>
          <w:ilvl w:val="1"/>
          <w:numId w:val="13"/>
        </w:numPr>
        <w:spacing w:after="40"/>
        <w:ind w:left="864" w:hanging="288"/>
        <w:contextualSpacing w:val="0"/>
        <w:rPr>
          <w:iCs/>
          <w:u w:val="single"/>
        </w:rPr>
      </w:pPr>
      <w:r>
        <w:rPr>
          <w:iCs/>
        </w:rPr>
        <w:t>Tax is imposed only on state-sourced income.</w:t>
      </w:r>
    </w:p>
    <w:p w14:paraId="798FE2D8" w14:textId="6404FFDA" w:rsidR="0075671B" w:rsidRPr="0075671B" w:rsidRDefault="00575539" w:rsidP="005F7F13">
      <w:pPr>
        <w:pStyle w:val="ListParagraph"/>
        <w:numPr>
          <w:ilvl w:val="2"/>
          <w:numId w:val="13"/>
        </w:numPr>
        <w:spacing w:after="40"/>
        <w:ind w:left="1152" w:hanging="288"/>
        <w:contextualSpacing w:val="0"/>
        <w:rPr>
          <w:iCs/>
          <w:u w:val="single"/>
        </w:rPr>
      </w:pPr>
      <w:r>
        <w:rPr>
          <w:iCs/>
        </w:rPr>
        <w:t>Formulary apportionment applies to b</w:t>
      </w:r>
      <w:r w:rsidR="0075671B">
        <w:rPr>
          <w:iCs/>
        </w:rPr>
        <w:t>usiness income earned directly by the individual</w:t>
      </w:r>
      <w:r w:rsidR="00FD1FE1">
        <w:rPr>
          <w:iCs/>
        </w:rPr>
        <w:t xml:space="preserve"> (</w:t>
      </w:r>
      <w:r w:rsidR="00BF4FC0">
        <w:rPr>
          <w:iCs/>
        </w:rPr>
        <w:t>e.g.,</w:t>
      </w:r>
      <w:r w:rsidR="00FD1FE1">
        <w:rPr>
          <w:iCs/>
        </w:rPr>
        <w:t xml:space="preserve"> </w:t>
      </w:r>
      <w:r w:rsidR="00BF4FC0">
        <w:rPr>
          <w:iCs/>
        </w:rPr>
        <w:t xml:space="preserve">income of a </w:t>
      </w:r>
      <w:r w:rsidR="00FD1FE1">
        <w:rPr>
          <w:iCs/>
        </w:rPr>
        <w:t>sole proprietorship)</w:t>
      </w:r>
      <w:r w:rsidR="0075671B">
        <w:rPr>
          <w:iCs/>
        </w:rPr>
        <w:t>.</w:t>
      </w:r>
    </w:p>
    <w:p w14:paraId="08866F16" w14:textId="6DBFBC0D" w:rsidR="0075671B" w:rsidRPr="0075671B" w:rsidRDefault="00575539" w:rsidP="005F7F13">
      <w:pPr>
        <w:pStyle w:val="ListParagraph"/>
        <w:numPr>
          <w:ilvl w:val="2"/>
          <w:numId w:val="13"/>
        </w:numPr>
        <w:spacing w:after="40"/>
        <w:ind w:left="1152" w:hanging="288"/>
        <w:contextualSpacing w:val="0"/>
        <w:rPr>
          <w:iCs/>
          <w:u w:val="single"/>
        </w:rPr>
      </w:pPr>
      <w:r>
        <w:rPr>
          <w:iCs/>
        </w:rPr>
        <w:t>S</w:t>
      </w:r>
      <w:r w:rsidR="0075671B">
        <w:rPr>
          <w:iCs/>
        </w:rPr>
        <w:t xml:space="preserve">pecific rules of assignment </w:t>
      </w:r>
      <w:r>
        <w:rPr>
          <w:iCs/>
        </w:rPr>
        <w:t>apply</w:t>
      </w:r>
      <w:r w:rsidR="0075671B">
        <w:rPr>
          <w:iCs/>
        </w:rPr>
        <w:t xml:space="preserve"> to nonbusiness income including:</w:t>
      </w:r>
    </w:p>
    <w:p w14:paraId="4F42B791" w14:textId="35A3E5BD" w:rsidR="0075671B" w:rsidRPr="0075671B" w:rsidRDefault="0075671B" w:rsidP="005F7F13">
      <w:pPr>
        <w:pStyle w:val="ListParagraph"/>
        <w:numPr>
          <w:ilvl w:val="3"/>
          <w:numId w:val="13"/>
        </w:numPr>
        <w:spacing w:after="40"/>
        <w:ind w:left="1728" w:hanging="288"/>
        <w:contextualSpacing w:val="0"/>
        <w:rPr>
          <w:iCs/>
          <w:u w:val="single"/>
        </w:rPr>
      </w:pPr>
      <w:r>
        <w:rPr>
          <w:iCs/>
        </w:rPr>
        <w:t>Investment income</w:t>
      </w:r>
      <w:r w:rsidR="00BF4FC0">
        <w:rPr>
          <w:iCs/>
        </w:rPr>
        <w:t xml:space="preserve"> – which may be sourced to the location of the property or activity, if in the state, but may also be taxed </w:t>
      </w:r>
      <w:r w:rsidR="00045442">
        <w:rPr>
          <w:iCs/>
        </w:rPr>
        <w:t>when</w:t>
      </w:r>
      <w:r w:rsidR="00BF4FC0">
        <w:rPr>
          <w:iCs/>
        </w:rPr>
        <w:t xml:space="preserve"> the individual is resident in the state. </w:t>
      </w:r>
    </w:p>
    <w:p w14:paraId="327DF625" w14:textId="115161FF" w:rsidR="00FD1FE1" w:rsidRPr="00FD1FE1" w:rsidRDefault="0075671B" w:rsidP="005F7F13">
      <w:pPr>
        <w:pStyle w:val="ListParagraph"/>
        <w:numPr>
          <w:ilvl w:val="3"/>
          <w:numId w:val="13"/>
        </w:numPr>
        <w:spacing w:after="120"/>
        <w:ind w:left="1728" w:hanging="288"/>
        <w:contextualSpacing w:val="0"/>
      </w:pPr>
      <w:r w:rsidRPr="00BF4FC0">
        <w:rPr>
          <w:iCs/>
        </w:rPr>
        <w:t>Compensation</w:t>
      </w:r>
      <w:r w:rsidR="00605B79">
        <w:rPr>
          <w:iCs/>
        </w:rPr>
        <w:t xml:space="preserve"> – </w:t>
      </w:r>
      <w:r w:rsidR="00BF4FC0">
        <w:rPr>
          <w:iCs/>
        </w:rPr>
        <w:t xml:space="preserve">which </w:t>
      </w:r>
      <w:r w:rsidR="00BF4FC0">
        <w:t>has</w:t>
      </w:r>
      <w:r w:rsidR="004C7920">
        <w:t xml:space="preserve"> traditionally </w:t>
      </w:r>
      <w:r w:rsidR="00BF4FC0">
        <w:t xml:space="preserve">been sourced </w:t>
      </w:r>
      <w:r w:rsidR="00FD1FE1">
        <w:t>to the location of the performance of the services</w:t>
      </w:r>
      <w:r w:rsidR="00BF4FC0">
        <w:t xml:space="preserve">. </w:t>
      </w:r>
      <w:r w:rsidR="00FD1FE1">
        <w:t xml:space="preserve">There are, however, a handful of states that assign compensation to the location of the employer or the office of the employer to which the individual presumably reports. </w:t>
      </w:r>
    </w:p>
    <w:p w14:paraId="0E771F15" w14:textId="2AE9924B" w:rsidR="00F10EB3" w:rsidRDefault="00CC3F41" w:rsidP="006346EF">
      <w:pPr>
        <w:pStyle w:val="Heading3"/>
        <w:spacing w:before="240"/>
      </w:pPr>
      <w:bookmarkStart w:id="21" w:name="_Toc144634448"/>
      <w:r>
        <w:t xml:space="preserve">General </w:t>
      </w:r>
      <w:r w:rsidR="0009107A">
        <w:t xml:space="preserve">Application to </w:t>
      </w:r>
      <w:r w:rsidR="00F10EB3">
        <w:t>Partnership</w:t>
      </w:r>
      <w:r w:rsidR="004B5273">
        <w:t xml:space="preserve"> </w:t>
      </w:r>
      <w:r w:rsidR="009977A8">
        <w:t>Related Income</w:t>
      </w:r>
      <w:bookmarkEnd w:id="21"/>
      <w:r w:rsidR="00575539">
        <w:t xml:space="preserve"> </w:t>
      </w:r>
      <w:r w:rsidR="009977A8">
        <w:t xml:space="preserve"> </w:t>
      </w:r>
    </w:p>
    <w:p w14:paraId="427A32B1" w14:textId="5FAF17DD" w:rsidR="00B37137" w:rsidRPr="00B37137" w:rsidRDefault="00B37137" w:rsidP="00B37137">
      <w:r>
        <w:t xml:space="preserve">These sourcing methods </w:t>
      </w:r>
      <w:r w:rsidR="00A715BC">
        <w:t>are generally applied to partnership income as follows:</w:t>
      </w:r>
    </w:p>
    <w:p w14:paraId="1A1A43E9" w14:textId="06AD74FA" w:rsidR="009977A8" w:rsidRDefault="009977A8" w:rsidP="005F7F13">
      <w:pPr>
        <w:pStyle w:val="ListParagraph"/>
        <w:numPr>
          <w:ilvl w:val="0"/>
          <w:numId w:val="14"/>
        </w:numPr>
        <w:spacing w:after="120"/>
        <w:ind w:left="576" w:hanging="288"/>
        <w:contextualSpacing w:val="0"/>
      </w:pPr>
      <w:r w:rsidRPr="00CF4C6F">
        <w:rPr>
          <w:u w:val="single"/>
        </w:rPr>
        <w:t xml:space="preserve">Distributive share – </w:t>
      </w:r>
      <w:r w:rsidR="00BF4FC0" w:rsidRPr="00CF4C6F">
        <w:rPr>
          <w:u w:val="single"/>
        </w:rPr>
        <w:t>based on partnership activities</w:t>
      </w:r>
      <w:r w:rsidR="00BF4FC0">
        <w:t xml:space="preserve"> –</w:t>
      </w:r>
      <w:r w:rsidR="00CF4C6F">
        <w:t xml:space="preserve"> </w:t>
      </w:r>
      <w:r w:rsidR="00575539">
        <w:t xml:space="preserve">States generally </w:t>
      </w:r>
      <w:r w:rsidR="008F0136">
        <w:t xml:space="preserve">source distributive share by applying </w:t>
      </w:r>
      <w:r w:rsidR="00FE2F50" w:rsidRPr="00FE2F50">
        <w:t xml:space="preserve">formulary apportionment or </w:t>
      </w:r>
      <w:r w:rsidR="00F10EB3">
        <w:t xml:space="preserve">specific </w:t>
      </w:r>
      <w:r w:rsidR="00FE2F50" w:rsidRPr="00FE2F50">
        <w:t>rules of assignment</w:t>
      </w:r>
      <w:r w:rsidR="00575539">
        <w:t xml:space="preserve">, based on the activities of the partnership or the business in which it is a part. An exception is investment partnerships where the income is sourced as if the partners earned </w:t>
      </w:r>
      <w:r w:rsidR="008F0136">
        <w:t>that income</w:t>
      </w:r>
      <w:r w:rsidR="00575539">
        <w:t xml:space="preserve"> directly.</w:t>
      </w:r>
    </w:p>
    <w:p w14:paraId="6E1F76B5" w14:textId="2F6A6B46" w:rsidR="009977A8" w:rsidRDefault="00614512" w:rsidP="005F7F13">
      <w:pPr>
        <w:pStyle w:val="ListParagraph"/>
        <w:numPr>
          <w:ilvl w:val="0"/>
          <w:numId w:val="14"/>
        </w:numPr>
        <w:spacing w:after="120"/>
        <w:ind w:left="576" w:hanging="288"/>
        <w:contextualSpacing w:val="0"/>
      </w:pPr>
      <w:r w:rsidRPr="00CF4C6F">
        <w:rPr>
          <w:u w:val="single"/>
        </w:rPr>
        <w:t>Separate t</w:t>
      </w:r>
      <w:r w:rsidR="007E5B1D" w:rsidRPr="00CF4C6F">
        <w:rPr>
          <w:u w:val="single"/>
        </w:rPr>
        <w:t>ransactions between partners and partnerships</w:t>
      </w:r>
      <w:r w:rsidR="007E5B1D">
        <w:t xml:space="preserve"> </w:t>
      </w:r>
      <w:r w:rsidR="009977A8">
        <w:t xml:space="preserve">– </w:t>
      </w:r>
      <w:r w:rsidR="008705AD">
        <w:t xml:space="preserve">States generally source </w:t>
      </w:r>
      <w:r w:rsidR="00C330B1">
        <w:t xml:space="preserve">transactions </w:t>
      </w:r>
      <w:r w:rsidR="008705AD">
        <w:t xml:space="preserve">between partners and partnerships that are conducted </w:t>
      </w:r>
      <w:r w:rsidR="00C330B1">
        <w:t xml:space="preserve">as though they are </w:t>
      </w:r>
      <w:r w:rsidR="001242CE">
        <w:t xml:space="preserve">between </w:t>
      </w:r>
      <w:r w:rsidR="00C330B1">
        <w:t>unrelated parties</w:t>
      </w:r>
      <w:r w:rsidR="00575539">
        <w:t xml:space="preserve"> </w:t>
      </w:r>
      <w:r w:rsidR="000B021A">
        <w:t>(</w:t>
      </w:r>
      <w:r w:rsidR="00575539">
        <w:t xml:space="preserve">see </w:t>
      </w:r>
      <w:r w:rsidR="009977A8" w:rsidRPr="009977A8">
        <w:t>IRC §707(a)</w:t>
      </w:r>
      <w:r w:rsidR="000B021A">
        <w:t>)</w:t>
      </w:r>
      <w:r w:rsidR="00575539">
        <w:t xml:space="preserve">, </w:t>
      </w:r>
      <w:r w:rsidR="000B021A">
        <w:t>by treating each</w:t>
      </w:r>
      <w:r w:rsidR="00C330B1">
        <w:t xml:space="preserve"> as having its own separate items of income, expense, gain, or loss</w:t>
      </w:r>
      <w:r w:rsidR="003D3901">
        <w:t xml:space="preserve">, </w:t>
      </w:r>
      <w:r w:rsidR="000B021A">
        <w:t xml:space="preserve">that are then sourced by </w:t>
      </w:r>
      <w:r w:rsidR="003D3901">
        <w:t xml:space="preserve">applying the </w:t>
      </w:r>
      <w:r w:rsidR="000B021A">
        <w:t>state</w:t>
      </w:r>
      <w:r w:rsidR="001242CE">
        <w:t>’</w:t>
      </w:r>
      <w:r w:rsidR="000B021A">
        <w:t xml:space="preserve">s </w:t>
      </w:r>
      <w:r w:rsidR="003D3901">
        <w:t>general rules</w:t>
      </w:r>
      <w:r w:rsidR="00C330B1">
        <w:t xml:space="preserve">.  </w:t>
      </w:r>
    </w:p>
    <w:p w14:paraId="0E01B3A9" w14:textId="2E4EE1F8" w:rsidR="00A73A5C" w:rsidRDefault="004B5273" w:rsidP="005F7F13">
      <w:pPr>
        <w:pStyle w:val="ListParagraph"/>
        <w:numPr>
          <w:ilvl w:val="0"/>
          <w:numId w:val="14"/>
        </w:numPr>
        <w:spacing w:after="80"/>
        <w:ind w:left="576" w:hanging="288"/>
        <w:contextualSpacing w:val="0"/>
      </w:pPr>
      <w:r w:rsidRPr="00CF4C6F">
        <w:rPr>
          <w:u w:val="single"/>
        </w:rPr>
        <w:t xml:space="preserve">Guaranteed </w:t>
      </w:r>
      <w:r w:rsidR="00575539" w:rsidRPr="00CF4C6F">
        <w:rPr>
          <w:u w:val="single"/>
        </w:rPr>
        <w:t>p</w:t>
      </w:r>
      <w:r w:rsidRPr="00CF4C6F">
        <w:rPr>
          <w:u w:val="single"/>
        </w:rPr>
        <w:t>ayments</w:t>
      </w:r>
      <w:r w:rsidR="003D3901" w:rsidRPr="00CF4C6F">
        <w:rPr>
          <w:u w:val="single"/>
        </w:rPr>
        <w:t xml:space="preserve"> for services</w:t>
      </w:r>
      <w:r w:rsidR="009977A8">
        <w:t xml:space="preserve"> – </w:t>
      </w:r>
      <w:r w:rsidR="002026A7">
        <w:t>U</w:t>
      </w:r>
      <w:r w:rsidR="00575539">
        <w:t xml:space="preserve">nless states </w:t>
      </w:r>
      <w:r w:rsidR="007D0153">
        <w:t xml:space="preserve">specifically address the sourcing of these payments, </w:t>
      </w:r>
      <w:r w:rsidR="008F0099">
        <w:t xml:space="preserve">it </w:t>
      </w:r>
      <w:r w:rsidR="007D0153">
        <w:t>may be</w:t>
      </w:r>
      <w:r w:rsidR="009977A8">
        <w:t xml:space="preserve"> un</w:t>
      </w:r>
      <w:r w:rsidR="008F0099">
        <w:t xml:space="preserve">clear </w:t>
      </w:r>
      <w:r w:rsidR="002026A7">
        <w:t xml:space="preserve">whether states use </w:t>
      </w:r>
      <w:r w:rsidR="003A57D3">
        <w:t xml:space="preserve">the sourcing approach </w:t>
      </w:r>
      <w:r w:rsidR="001D5890">
        <w:t>used</w:t>
      </w:r>
      <w:r w:rsidR="003A57D3">
        <w:t xml:space="preserve"> for distributive share income or </w:t>
      </w:r>
      <w:r w:rsidR="001D5890">
        <w:t>the approach used</w:t>
      </w:r>
      <w:r w:rsidR="003A57D3">
        <w:t xml:space="preserve"> for partner-partnership transactions. </w:t>
      </w:r>
      <w:r w:rsidR="007D0153">
        <w:t>And, a</w:t>
      </w:r>
      <w:r w:rsidR="00FE2F50" w:rsidRPr="00FE2F50">
        <w:t xml:space="preserve">s will be discussed in Section III of this paper, states that have addressed </w:t>
      </w:r>
      <w:r w:rsidR="007D0153">
        <w:t xml:space="preserve">the </w:t>
      </w:r>
      <w:r w:rsidR="00FE2F50" w:rsidRPr="00FE2F50">
        <w:t xml:space="preserve">sourcing of guaranteed payments </w:t>
      </w:r>
      <w:r w:rsidR="00A57BD8">
        <w:t xml:space="preserve">for services </w:t>
      </w:r>
      <w:r w:rsidR="007D0153">
        <w:t>have adopted different rules</w:t>
      </w:r>
      <w:r w:rsidR="00FE2F50" w:rsidRPr="00FE2F50">
        <w:t xml:space="preserve">. </w:t>
      </w:r>
    </w:p>
    <w:p w14:paraId="1C5CB8D5" w14:textId="5298B9D2" w:rsidR="009142D5" w:rsidRDefault="00F54CF3" w:rsidP="00AB4E9B">
      <w:pPr>
        <w:pStyle w:val="Heading2"/>
      </w:pPr>
      <w:bookmarkStart w:id="22" w:name="_Toc144634449"/>
      <w:r>
        <w:lastRenderedPageBreak/>
        <w:t xml:space="preserve">I. </w:t>
      </w:r>
      <w:r w:rsidR="00B5459F">
        <w:t xml:space="preserve">E. </w:t>
      </w:r>
      <w:r w:rsidR="0093697B">
        <w:t>Aggregate and Entity Theories</w:t>
      </w:r>
      <w:r w:rsidR="00D54911">
        <w:t xml:space="preserve"> as Applied to Partnership Payments</w:t>
      </w:r>
      <w:bookmarkEnd w:id="22"/>
    </w:p>
    <w:p w14:paraId="13F766F9" w14:textId="33BECD44" w:rsidR="00406522" w:rsidRPr="00406522" w:rsidRDefault="00D45EAA" w:rsidP="00406522">
      <w:pPr>
        <w:spacing w:after="240"/>
      </w:pPr>
      <w:r>
        <w:t>The legal and tax treatment of partnerships h</w:t>
      </w:r>
      <w:r w:rsidR="00172E10">
        <w:t xml:space="preserve">as been based on two competing theories—aggregate and entity. </w:t>
      </w:r>
      <w:r w:rsidR="005306B0">
        <w:t>The treatment of p</w:t>
      </w:r>
      <w:r w:rsidR="00172E10">
        <w:t xml:space="preserve">ayments </w:t>
      </w:r>
      <w:r w:rsidR="00073898">
        <w:t xml:space="preserve">by partnerships to partners will </w:t>
      </w:r>
      <w:r w:rsidR="005306B0">
        <w:t>differ fundamentally depending on the theory applied.</w:t>
      </w:r>
      <w:r w:rsidR="00E26A8B">
        <w:t xml:space="preserve"> </w:t>
      </w:r>
      <w:r w:rsidR="00CE5F8C">
        <w:t xml:space="preserve">Subchapter K recognizes </w:t>
      </w:r>
      <w:r w:rsidR="007D0153">
        <w:t>three</w:t>
      </w:r>
      <w:r w:rsidR="00ED64E1">
        <w:t xml:space="preserve"> </w:t>
      </w:r>
      <w:r w:rsidR="00C41F44">
        <w:t xml:space="preserve">general </w:t>
      </w:r>
      <w:r w:rsidR="001E2D94">
        <w:t xml:space="preserve">categories of </w:t>
      </w:r>
      <w:r w:rsidR="007651B7">
        <w:t>partnership payments</w:t>
      </w:r>
      <w:r w:rsidR="00C754E8">
        <w:t xml:space="preserve">: </w:t>
      </w:r>
      <w:r w:rsidR="007D0153">
        <w:t>distributive share/distributions, partner-partnership transactions, and guaranteed payments.</w:t>
      </w:r>
      <w:r w:rsidR="00F32F04">
        <w:t xml:space="preserve"> </w:t>
      </w:r>
      <w:r w:rsidR="00CE5F8C">
        <w:t xml:space="preserve">This </w:t>
      </w:r>
      <w:r w:rsidR="00266690">
        <w:t>sub</w:t>
      </w:r>
      <w:r w:rsidR="00CE5F8C">
        <w:t xml:space="preserve">section </w:t>
      </w:r>
      <w:r w:rsidR="008340FD">
        <w:t xml:space="preserve">considers how </w:t>
      </w:r>
      <w:r w:rsidR="007828FD">
        <w:t xml:space="preserve">the </w:t>
      </w:r>
      <w:r w:rsidR="008340FD">
        <w:t>aggregate and entity</w:t>
      </w:r>
      <w:r w:rsidR="007828FD">
        <w:t xml:space="preserve"> theories have been </w:t>
      </w:r>
      <w:r w:rsidR="008340FD">
        <w:t>appl</w:t>
      </w:r>
      <w:r w:rsidR="007828FD">
        <w:t>ied</w:t>
      </w:r>
      <w:r w:rsidR="008340FD">
        <w:t xml:space="preserve"> to these categories.</w:t>
      </w:r>
      <w:r w:rsidR="00266690">
        <w:t xml:space="preserve"> The next </w:t>
      </w:r>
      <w:r w:rsidR="007828FD">
        <w:t xml:space="preserve">subsection </w:t>
      </w:r>
      <w:r w:rsidR="00266690">
        <w:t xml:space="preserve">considers whether </w:t>
      </w:r>
      <w:r w:rsidR="007828FD">
        <w:t xml:space="preserve">the </w:t>
      </w:r>
      <w:r w:rsidR="00266690">
        <w:t xml:space="preserve">aggregate or entity treatment of these payments may affect sourcing. </w:t>
      </w:r>
    </w:p>
    <w:p w14:paraId="3E7DEFF2" w14:textId="4F86633C" w:rsidR="00230A1F" w:rsidRDefault="00230A1F" w:rsidP="00EA75FE">
      <w:pPr>
        <w:pStyle w:val="Heading3"/>
      </w:pPr>
      <w:bookmarkStart w:id="23" w:name="_Toc144634450"/>
      <w:r>
        <w:t>Partnership Payments</w:t>
      </w:r>
      <w:bookmarkEnd w:id="23"/>
    </w:p>
    <w:p w14:paraId="6F6DDAEE" w14:textId="6781CFED" w:rsidR="00474E65" w:rsidRDefault="003B5AE7" w:rsidP="00E630A4">
      <w:r>
        <w:t>The categories of partnership payments generally recognized under Subchapter K are</w:t>
      </w:r>
      <w:r w:rsidR="00855637">
        <w:t>:</w:t>
      </w:r>
    </w:p>
    <w:p w14:paraId="57EC9982" w14:textId="58076FD6" w:rsidR="006C0777" w:rsidRDefault="009C6316" w:rsidP="00064992">
      <w:pPr>
        <w:pStyle w:val="Heading4"/>
        <w:ind w:left="720"/>
      </w:pPr>
      <w:r>
        <w:t xml:space="preserve">Regular </w:t>
      </w:r>
      <w:r w:rsidR="00BC4D70">
        <w:t>Distributive Share/Distributions</w:t>
      </w:r>
    </w:p>
    <w:p w14:paraId="1C88CFCD" w14:textId="435D458D" w:rsidR="006C0777" w:rsidRPr="006C0777" w:rsidRDefault="000D411D" w:rsidP="00064992">
      <w:pPr>
        <w:ind w:left="720"/>
      </w:pPr>
      <w:r>
        <w:t xml:space="preserve">Partners </w:t>
      </w:r>
      <w:r w:rsidR="00423D7B">
        <w:t>are allocated</w:t>
      </w:r>
      <w:r w:rsidR="00BC4D70">
        <w:t xml:space="preserve"> </w:t>
      </w:r>
      <w:r w:rsidR="00423D7B">
        <w:t>a</w:t>
      </w:r>
      <w:r w:rsidR="00384243">
        <w:t xml:space="preserve"> share of </w:t>
      </w:r>
      <w:r w:rsidR="007A37F5">
        <w:t xml:space="preserve">a partnership’s </w:t>
      </w:r>
      <w:r w:rsidR="00BC4D70">
        <w:t>income</w:t>
      </w:r>
      <w:r w:rsidR="00423D7B">
        <w:t>—called</w:t>
      </w:r>
      <w:r w:rsidR="00384243">
        <w:t xml:space="preserve"> “distributive share”</w:t>
      </w:r>
      <w:r w:rsidR="00423D7B">
        <w:t>—</w:t>
      </w:r>
      <w:r w:rsidR="00530FB7">
        <w:t>on which they pay tax</w:t>
      </w:r>
      <w:r w:rsidR="00607D91">
        <w:t>, regardless of whether they receive a distribution</w:t>
      </w:r>
      <w:r w:rsidR="00530FB7">
        <w:t xml:space="preserve">. </w:t>
      </w:r>
      <w:r w:rsidR="00607D91">
        <w:t xml:space="preserve">This distributive share </w:t>
      </w:r>
      <w:r w:rsidR="00A330F1">
        <w:t xml:space="preserve">of </w:t>
      </w:r>
      <w:r w:rsidR="008C0161">
        <w:t xml:space="preserve">partnership </w:t>
      </w:r>
      <w:r w:rsidR="00A330F1">
        <w:t xml:space="preserve">income </w:t>
      </w:r>
      <w:r w:rsidR="00607D91">
        <w:t xml:space="preserve">increases </w:t>
      </w:r>
      <w:r w:rsidR="00407E56">
        <w:t>a</w:t>
      </w:r>
      <w:r w:rsidR="00607D91">
        <w:t xml:space="preserve"> </w:t>
      </w:r>
      <w:r w:rsidR="00A72FB1">
        <w:t>partner</w:t>
      </w:r>
      <w:r w:rsidR="00607D91">
        <w:t>’</w:t>
      </w:r>
      <w:r w:rsidR="00407E56">
        <w:t>s</w:t>
      </w:r>
      <w:r w:rsidR="00A72FB1">
        <w:t xml:space="preserve"> </w:t>
      </w:r>
      <w:r w:rsidR="00861206">
        <w:t>basis in their partnership interest (“outside basis”)</w:t>
      </w:r>
      <w:r w:rsidR="009A6917">
        <w:t>. Then</w:t>
      </w:r>
      <w:r w:rsidR="00C343B9">
        <w:t>, any</w:t>
      </w:r>
      <w:r w:rsidR="00407E56">
        <w:t xml:space="preserve"> p</w:t>
      </w:r>
      <w:r w:rsidR="000F66E3">
        <w:t>ayments properly ch</w:t>
      </w:r>
      <w:r w:rsidR="00E92E13">
        <w:t>aracterized</w:t>
      </w:r>
      <w:r w:rsidR="000F66E3">
        <w:t xml:space="preserve"> as </w:t>
      </w:r>
      <w:r w:rsidR="00BC4D70">
        <w:t>distributions</w:t>
      </w:r>
      <w:r w:rsidR="00C343B9">
        <w:t xml:space="preserve"> will reduce </w:t>
      </w:r>
      <w:r w:rsidR="008C0161">
        <w:t>outside basis</w:t>
      </w:r>
      <w:r w:rsidR="00C343B9">
        <w:t xml:space="preserve"> and</w:t>
      </w:r>
      <w:r w:rsidR="00BC4D70">
        <w:t xml:space="preserve"> </w:t>
      </w:r>
      <w:r w:rsidR="00B24F5E">
        <w:t>are non-</w:t>
      </w:r>
      <w:r w:rsidR="00C343B9">
        <w:t>taxable</w:t>
      </w:r>
      <w:r w:rsidR="006538A9">
        <w:t xml:space="preserve"> to the extent of </w:t>
      </w:r>
      <w:r w:rsidR="00386D45">
        <w:t>that</w:t>
      </w:r>
      <w:r w:rsidR="006538A9">
        <w:t xml:space="preserve"> basis</w:t>
      </w:r>
      <w:r w:rsidR="00B24F5E">
        <w:t>.</w:t>
      </w:r>
      <w:r w:rsidR="008E11E2">
        <w:t xml:space="preserve"> </w:t>
      </w:r>
      <w:r w:rsidR="003A393F">
        <w:t>So partnership income is taxed only once.</w:t>
      </w:r>
      <w:r w:rsidR="00B24F5E">
        <w:t xml:space="preserve"> </w:t>
      </w:r>
    </w:p>
    <w:p w14:paraId="734A958F" w14:textId="28863770" w:rsidR="006C0777" w:rsidRDefault="00BA5DB4" w:rsidP="00064992">
      <w:pPr>
        <w:pStyle w:val="Heading4"/>
        <w:ind w:left="720"/>
      </w:pPr>
      <w:r>
        <w:t>Partner-Partnership Transactions</w:t>
      </w:r>
    </w:p>
    <w:p w14:paraId="58DD7959" w14:textId="19B6F6F5" w:rsidR="00474E65" w:rsidRDefault="00D0083B" w:rsidP="00064992">
      <w:pPr>
        <w:ind w:left="720"/>
      </w:pPr>
      <w:r>
        <w:t>P</w:t>
      </w:r>
      <w:r w:rsidR="008E5385">
        <w:t xml:space="preserve">artners and partnerships </w:t>
      </w:r>
      <w:r w:rsidR="00E31641">
        <w:t>can</w:t>
      </w:r>
      <w:r>
        <w:t xml:space="preserve"> </w:t>
      </w:r>
      <w:r w:rsidR="008E5385">
        <w:t>engage in transactions that are similar to those between unrelated persons</w:t>
      </w:r>
      <w:r>
        <w:t>. When they do, the c</w:t>
      </w:r>
      <w:r w:rsidR="00E71752">
        <w:t xml:space="preserve">haracter, value, timing, etc. are determined under the normal substantive tax rules, as if the partner was not a partner. </w:t>
      </w:r>
      <w:r w:rsidR="004C58C3">
        <w:t xml:space="preserve">For example, </w:t>
      </w:r>
      <w:r w:rsidR="00E71752">
        <w:t xml:space="preserve">if </w:t>
      </w:r>
      <w:r w:rsidR="001F645E">
        <w:t xml:space="preserve">a partner sells </w:t>
      </w:r>
      <w:r w:rsidR="00E71752">
        <w:t xml:space="preserve">property </w:t>
      </w:r>
      <w:r w:rsidR="001F645E">
        <w:t>to a partnership</w:t>
      </w:r>
      <w:r w:rsidR="00E71752">
        <w:t xml:space="preserve">, the </w:t>
      </w:r>
      <w:r w:rsidR="001F645E">
        <w:t>partnership</w:t>
      </w:r>
      <w:r w:rsidR="00E71752">
        <w:t xml:space="preserve"> will </w:t>
      </w:r>
      <w:r w:rsidR="001F645E">
        <w:t>have an</w:t>
      </w:r>
      <w:r w:rsidR="00E71752">
        <w:t xml:space="preserve"> expense or capitalized expenditure</w:t>
      </w:r>
      <w:r w:rsidR="001F645E">
        <w:t xml:space="preserve">, and the partner will have </w:t>
      </w:r>
      <w:r w:rsidR="00E71752">
        <w:t xml:space="preserve">income, gain, or loss. </w:t>
      </w:r>
    </w:p>
    <w:p w14:paraId="1E3D554E" w14:textId="3165A228" w:rsidR="00474E65" w:rsidRDefault="00474E65" w:rsidP="00064992">
      <w:pPr>
        <w:pStyle w:val="Heading4"/>
        <w:ind w:left="720"/>
      </w:pPr>
      <w:r>
        <w:t>G</w:t>
      </w:r>
      <w:r w:rsidR="007B3E25">
        <w:t xml:space="preserve">uaranteed </w:t>
      </w:r>
      <w:r w:rsidR="008E5385">
        <w:t>Payments Made to Partners Acting as Partners</w:t>
      </w:r>
    </w:p>
    <w:p w14:paraId="571011EF" w14:textId="61DCA379" w:rsidR="00FB5774" w:rsidRDefault="00BE5BCB" w:rsidP="00E00D6E">
      <w:pPr>
        <w:ind w:left="720"/>
      </w:pPr>
      <w:r>
        <w:t>Guaranteed payments are a</w:t>
      </w:r>
      <w:r w:rsidR="008E5385">
        <w:t xml:space="preserve"> third category of transfers recognized by Subchapter K</w:t>
      </w:r>
      <w:r>
        <w:t>,</w:t>
      </w:r>
      <w:r w:rsidR="008E5385">
        <w:t xml:space="preserve"> which are similar to transactions between unrelated persons but are made when the partner is </w:t>
      </w:r>
      <w:r w:rsidR="005A7770">
        <w:t>acting</w:t>
      </w:r>
      <w:r w:rsidR="008E5385">
        <w:t xml:space="preserve"> </w:t>
      </w:r>
      <w:r w:rsidR="003A393F">
        <w:t>in the capacity of</w:t>
      </w:r>
      <w:r w:rsidR="008E5385">
        <w:t xml:space="preserve"> a partner. These transfers are called “guaranteed payments” because they are not tied to or dependent upon the partnership</w:t>
      </w:r>
      <w:r w:rsidR="00064992">
        <w:t xml:space="preserve">’s income. </w:t>
      </w:r>
      <w:r w:rsidR="002F73D8">
        <w:t>Subchapter K recognizes</w:t>
      </w:r>
      <w:r w:rsidR="00064992">
        <w:t xml:space="preserve"> two types of guaranteed payments</w:t>
      </w:r>
      <w:r w:rsidR="00E00D6E">
        <w:t>—payments for services and payments for the use of capital.</w:t>
      </w:r>
    </w:p>
    <w:p w14:paraId="783AFAE1" w14:textId="769A4DF9" w:rsidR="00E630A4" w:rsidRDefault="007F3F2E" w:rsidP="00474E65">
      <w:r>
        <w:t>E</w:t>
      </w:r>
      <w:r w:rsidR="00FB5774" w:rsidRPr="00FB5774">
        <w:t xml:space="preserve">ach of these categories may be </w:t>
      </w:r>
      <w:r>
        <w:t xml:space="preserve">treated </w:t>
      </w:r>
      <w:r w:rsidR="00FB5774" w:rsidRPr="00FB5774">
        <w:t>different</w:t>
      </w:r>
      <w:r>
        <w:t>ly</w:t>
      </w:r>
      <w:r w:rsidR="00FB5774" w:rsidRPr="00FB5774">
        <w:t xml:space="preserve"> under both Subchapter K and </w:t>
      </w:r>
      <w:r>
        <w:t xml:space="preserve">the </w:t>
      </w:r>
      <w:r w:rsidR="00FB5774" w:rsidRPr="00FB5774">
        <w:t>federal substantive tax rules—so that similar circumstances may lead to a different tax result.</w:t>
      </w:r>
      <w:r w:rsidR="001C0F6A">
        <w:t xml:space="preserve"> </w:t>
      </w:r>
    </w:p>
    <w:p w14:paraId="05B4BB9B" w14:textId="47A8CFCA" w:rsidR="00CD11CF" w:rsidRDefault="00490FC0" w:rsidP="00DE3224">
      <w:pPr>
        <w:pStyle w:val="Heading3"/>
      </w:pPr>
      <w:bookmarkStart w:id="24" w:name="_Toc144634451"/>
      <w:r>
        <w:t xml:space="preserve">Aggregate </w:t>
      </w:r>
      <w:r w:rsidR="00CF521F">
        <w:t>and</w:t>
      </w:r>
      <w:r>
        <w:t xml:space="preserve"> Entity Theories</w:t>
      </w:r>
      <w:bookmarkEnd w:id="24"/>
    </w:p>
    <w:p w14:paraId="6E5F24AF" w14:textId="4C78D26E" w:rsidR="001E2D94" w:rsidRDefault="00D11FDD" w:rsidP="00AA6241">
      <w:r>
        <w:t>T</w:t>
      </w:r>
      <w:r w:rsidR="000B3AAC">
        <w:t>wo different theories of partnerships</w:t>
      </w:r>
      <w:r>
        <w:t xml:space="preserve"> </w:t>
      </w:r>
      <w:r w:rsidR="00A049B9">
        <w:t>infor</w:t>
      </w:r>
      <w:r w:rsidR="00D530E5">
        <w:t xml:space="preserve">m </w:t>
      </w:r>
      <w:r>
        <w:t xml:space="preserve">both state </w:t>
      </w:r>
      <w:r w:rsidR="00DE2EC2">
        <w:t>law and federal tax law governing partnerships</w:t>
      </w:r>
      <w:r w:rsidR="00276CA5">
        <w:t>:</w:t>
      </w:r>
    </w:p>
    <w:p w14:paraId="3E10A6D1" w14:textId="2FB9DCC9" w:rsidR="001E2D94" w:rsidRDefault="001E2D94" w:rsidP="005F7F13">
      <w:pPr>
        <w:pStyle w:val="ListParagraph"/>
        <w:numPr>
          <w:ilvl w:val="0"/>
          <w:numId w:val="10"/>
        </w:numPr>
        <w:spacing w:after="120"/>
        <w:contextualSpacing w:val="0"/>
      </w:pPr>
      <w:r w:rsidRPr="001E2D94">
        <w:rPr>
          <w:u w:val="single"/>
        </w:rPr>
        <w:t>Aggregate Theory</w:t>
      </w:r>
      <w:r>
        <w:t xml:space="preserve">: </w:t>
      </w:r>
      <w:r w:rsidR="008F46B9">
        <w:t>P</w:t>
      </w:r>
      <w:r w:rsidR="00AE234A">
        <w:t>artnerships are</w:t>
      </w:r>
      <w:r w:rsidR="00F20F9F">
        <w:t xml:space="preserve"> </w:t>
      </w:r>
      <w:r w:rsidR="004900D4">
        <w:t xml:space="preserve">nothing more than </w:t>
      </w:r>
      <w:r w:rsidR="00A34285">
        <w:t>collection</w:t>
      </w:r>
      <w:r w:rsidR="00AE234A">
        <w:t>s</w:t>
      </w:r>
      <w:r w:rsidR="00A34285">
        <w:t xml:space="preserve"> of persons</w:t>
      </w:r>
      <w:r w:rsidR="001F0C79">
        <w:t xml:space="preserve"> acting </w:t>
      </w:r>
      <w:r w:rsidR="00D947AA">
        <w:t>together</w:t>
      </w:r>
      <w:r w:rsidR="00A34285">
        <w:t xml:space="preserve">. </w:t>
      </w:r>
      <w:r w:rsidR="00D947AA">
        <w:t xml:space="preserve">The partnership is not considered separate from the partners. </w:t>
      </w:r>
      <w:r w:rsidR="00670213">
        <w:t xml:space="preserve">Instead, the partners are treated as if they acted </w:t>
      </w:r>
      <w:r w:rsidR="00E761A4">
        <w:t>directly.</w:t>
      </w:r>
    </w:p>
    <w:p w14:paraId="06398403" w14:textId="2E1738B3" w:rsidR="00F71B2C" w:rsidRDefault="001E2D94" w:rsidP="005F7F13">
      <w:pPr>
        <w:pStyle w:val="ListParagraph"/>
        <w:numPr>
          <w:ilvl w:val="0"/>
          <w:numId w:val="10"/>
        </w:numPr>
      </w:pPr>
      <w:r>
        <w:rPr>
          <w:u w:val="single"/>
        </w:rPr>
        <w:t xml:space="preserve">Entity </w:t>
      </w:r>
      <w:r w:rsidRPr="001E2D94">
        <w:rPr>
          <w:u w:val="single"/>
        </w:rPr>
        <w:t>Theory</w:t>
      </w:r>
      <w:r>
        <w:t xml:space="preserve">: </w:t>
      </w:r>
      <w:r w:rsidR="008F46B9">
        <w:t>P</w:t>
      </w:r>
      <w:r w:rsidR="00AE234A">
        <w:t xml:space="preserve">artnerships are </w:t>
      </w:r>
      <w:r w:rsidR="00A34285">
        <w:t>person</w:t>
      </w:r>
      <w:r w:rsidR="00AE234A">
        <w:t>s</w:t>
      </w:r>
      <w:r w:rsidR="0058786D">
        <w:t xml:space="preserve"> </w:t>
      </w:r>
      <w:r w:rsidR="005354E5">
        <w:t xml:space="preserve">separate from </w:t>
      </w:r>
      <w:r w:rsidR="0058786D">
        <w:t>the partners</w:t>
      </w:r>
      <w:r w:rsidR="00A34285">
        <w:t xml:space="preserve">. </w:t>
      </w:r>
      <w:r w:rsidR="00D947AA">
        <w:t xml:space="preserve">The partnership </w:t>
      </w:r>
      <w:r w:rsidR="000B3AAC">
        <w:t xml:space="preserve">can, therefore, engage in actions separate from the partners, </w:t>
      </w:r>
      <w:r w:rsidR="008F46B9">
        <w:t xml:space="preserve">and </w:t>
      </w:r>
      <w:r w:rsidR="000B3AAC">
        <w:t xml:space="preserve">even in some dealings with the partners.  </w:t>
      </w:r>
    </w:p>
    <w:p w14:paraId="293ADEBA" w14:textId="3A02874D" w:rsidR="004A5ABF" w:rsidRDefault="00C73892" w:rsidP="00AA6241">
      <w:r>
        <w:t xml:space="preserve">For example—assume </w:t>
      </w:r>
      <w:r w:rsidR="00027DA2">
        <w:t>two individuals form a partnership by contributing cash. The partnership uses th</w:t>
      </w:r>
      <w:r w:rsidR="002D1AB8">
        <w:t>is</w:t>
      </w:r>
      <w:r w:rsidR="00027DA2">
        <w:t xml:space="preserve"> cash to purchase property, which is later sold for a profit. Under the aggregate theory, the partners </w:t>
      </w:r>
      <w:r w:rsidR="007D0B6D">
        <w:t xml:space="preserve">would be seen as </w:t>
      </w:r>
      <w:r w:rsidR="00B00103">
        <w:t>having acquired the property together, using their separate funds, ow</w:t>
      </w:r>
      <w:r w:rsidR="00460F07">
        <w:t>n</w:t>
      </w:r>
      <w:r w:rsidR="00B00103">
        <w:t xml:space="preserve">ing the property jointly, and then selling their shares of the property </w:t>
      </w:r>
      <w:r w:rsidR="004A5ABF">
        <w:t xml:space="preserve">and recognizing </w:t>
      </w:r>
      <w:r w:rsidR="007D0B6D">
        <w:t>p</w:t>
      </w:r>
      <w:r w:rsidR="004A5ABF">
        <w:t>rofit</w:t>
      </w:r>
      <w:r w:rsidR="007D0B6D">
        <w:t xml:space="preserve"> directly from that sale</w:t>
      </w:r>
      <w:r w:rsidR="004A5ABF">
        <w:t xml:space="preserve">. Under the entity theory, </w:t>
      </w:r>
      <w:r w:rsidR="002D1AB8">
        <w:t>they</w:t>
      </w:r>
      <w:r w:rsidR="004A5ABF">
        <w:t xml:space="preserve"> would </w:t>
      </w:r>
      <w:r w:rsidR="002D1AB8">
        <w:t xml:space="preserve">be </w:t>
      </w:r>
      <w:r w:rsidR="00AF509E">
        <w:t>treated as having acquired an interest in the partnership</w:t>
      </w:r>
      <w:r w:rsidR="007F3739">
        <w:t xml:space="preserve"> rather than the property</w:t>
      </w:r>
      <w:r w:rsidR="006C5BF6">
        <w:t>, and the partnership would be seen as buying and selling property as a separate person</w:t>
      </w:r>
      <w:r w:rsidR="00307CF7">
        <w:t xml:space="preserve">. </w:t>
      </w:r>
      <w:r w:rsidR="001E65FE">
        <w:t>P</w:t>
      </w:r>
      <w:r w:rsidR="00307CF7">
        <w:t>rofit</w:t>
      </w:r>
      <w:r w:rsidR="001E65FE">
        <w:t xml:space="preserve"> would be divided</w:t>
      </w:r>
      <w:r w:rsidR="00307CF7">
        <w:t xml:space="preserve"> by the partners </w:t>
      </w:r>
      <w:r w:rsidR="001E65FE">
        <w:t xml:space="preserve">according to their </w:t>
      </w:r>
      <w:r w:rsidR="0062396A">
        <w:t xml:space="preserve">agreement. </w:t>
      </w:r>
    </w:p>
    <w:p w14:paraId="69144F66" w14:textId="02313F56" w:rsidR="002C699D" w:rsidRDefault="002C699D" w:rsidP="00AA6241">
      <w:r>
        <w:t>Application of these theories varies, and aspects of both may apply</w:t>
      </w:r>
      <w:r w:rsidR="00EF281D">
        <w:t>, depending on the circumstances.</w:t>
      </w:r>
    </w:p>
    <w:p w14:paraId="7E17462D" w14:textId="4CF7D530" w:rsidR="0058786D" w:rsidRDefault="001E6323" w:rsidP="007E3516">
      <w:pPr>
        <w:pStyle w:val="Heading3"/>
      </w:pPr>
      <w:bookmarkStart w:id="25" w:name="_Toc144634452"/>
      <w:r>
        <w:lastRenderedPageBreak/>
        <w:t>Distributive Share</w:t>
      </w:r>
      <w:r w:rsidR="0042660E">
        <w:t>/</w:t>
      </w:r>
      <w:r>
        <w:t>Distributions</w:t>
      </w:r>
      <w:r w:rsidR="00AD20F3">
        <w:t xml:space="preserve"> – Aggregate Theory</w:t>
      </w:r>
      <w:bookmarkEnd w:id="25"/>
    </w:p>
    <w:p w14:paraId="4454B5EC" w14:textId="1CDCFCF0" w:rsidR="00CF49AC" w:rsidRDefault="00DB4852" w:rsidP="00230A1F">
      <w:r>
        <w:t xml:space="preserve">Traditionally, </w:t>
      </w:r>
      <w:r w:rsidR="00471899">
        <w:t>the aggregate theory</w:t>
      </w:r>
      <w:r w:rsidR="00467683">
        <w:t xml:space="preserve"> </w:t>
      </w:r>
      <w:r w:rsidR="001F481A">
        <w:t xml:space="preserve">was the dominant theory of partnerships, </w:t>
      </w:r>
      <w:r>
        <w:t>so that</w:t>
      </w:r>
      <w:r w:rsidR="000B3AAC">
        <w:t xml:space="preserve"> </w:t>
      </w:r>
      <w:r>
        <w:t xml:space="preserve">partners were </w:t>
      </w:r>
      <w:r w:rsidR="001B1F6A">
        <w:t xml:space="preserve">often </w:t>
      </w:r>
      <w:r>
        <w:t>deemed to</w:t>
      </w:r>
      <w:r w:rsidR="000B3AAC">
        <w:t xml:space="preserve"> engage in </w:t>
      </w:r>
      <w:r w:rsidR="00471899">
        <w:t>the partnership’s</w:t>
      </w:r>
      <w:r>
        <w:t xml:space="preserve"> </w:t>
      </w:r>
      <w:r w:rsidR="000B3AAC">
        <w:t xml:space="preserve">activities collectively. </w:t>
      </w:r>
      <w:r w:rsidR="001F481A">
        <w:t>In</w:t>
      </w:r>
      <w:r>
        <w:t xml:space="preserve"> the late 20</w:t>
      </w:r>
      <w:r w:rsidRPr="00DB4852">
        <w:rPr>
          <w:vertAlign w:val="superscript"/>
        </w:rPr>
        <w:t>th</w:t>
      </w:r>
      <w:r>
        <w:t xml:space="preserve"> Century, </w:t>
      </w:r>
      <w:r w:rsidR="001F481A">
        <w:t xml:space="preserve">this began to change </w:t>
      </w:r>
      <w:r w:rsidR="00467683">
        <w:t xml:space="preserve">and </w:t>
      </w:r>
      <w:r w:rsidR="00EC0782">
        <w:t>state</w:t>
      </w:r>
      <w:r>
        <w:t xml:space="preserve"> law </w:t>
      </w:r>
      <w:r w:rsidR="00471899">
        <w:t>now treats</w:t>
      </w:r>
      <w:r>
        <w:t xml:space="preserve"> partnerships as entities for </w:t>
      </w:r>
      <w:r w:rsidR="00EC0782">
        <w:t>some</w:t>
      </w:r>
      <w:r w:rsidR="00A32D75">
        <w:t xml:space="preserve"> </w:t>
      </w:r>
      <w:r>
        <w:t>purposes</w:t>
      </w:r>
      <w:r w:rsidR="00677F07">
        <w:t>.</w:t>
      </w:r>
      <w:r>
        <w:rPr>
          <w:rStyle w:val="FootnoteReference"/>
        </w:rPr>
        <w:footnoteReference w:id="3"/>
      </w:r>
      <w:r w:rsidR="000119D1">
        <w:t xml:space="preserve"> </w:t>
      </w:r>
      <w:r>
        <w:t>But the aggregate theory</w:t>
      </w:r>
      <w:r w:rsidR="008309C9">
        <w:t>, which</w:t>
      </w:r>
      <w:r>
        <w:t xml:space="preserve"> still appl</w:t>
      </w:r>
      <w:r w:rsidR="00A813D7">
        <w:t>ies</w:t>
      </w:r>
      <w:r>
        <w:t xml:space="preserve"> to </w:t>
      </w:r>
      <w:r w:rsidR="00A32D75">
        <w:t xml:space="preserve">certain aspects of </w:t>
      </w:r>
      <w:r>
        <w:t>the general economic relationship between partners</w:t>
      </w:r>
      <w:r w:rsidR="008309C9">
        <w:t>,</w:t>
      </w:r>
      <w:r w:rsidR="00467683">
        <w:t xml:space="preserve"> </w:t>
      </w:r>
      <w:r w:rsidR="008309C9">
        <w:t>is</w:t>
      </w:r>
      <w:r w:rsidR="00467683">
        <w:t xml:space="preserve"> reflected in the </w:t>
      </w:r>
      <w:r>
        <w:t xml:space="preserve">pass-through system created by </w:t>
      </w:r>
      <w:r w:rsidR="00CF49AC">
        <w:t>Subchapter K</w:t>
      </w:r>
      <w:r w:rsidR="00A07FB5">
        <w:t xml:space="preserve"> for taxing partnership income generally</w:t>
      </w:r>
      <w:r w:rsidR="00467683">
        <w:t>.</w:t>
      </w:r>
      <w:r>
        <w:t xml:space="preserve"> </w:t>
      </w:r>
    </w:p>
    <w:p w14:paraId="6E95206F" w14:textId="31B4FA4B" w:rsidR="00F20F9F" w:rsidRDefault="00800ABE" w:rsidP="00DB4852">
      <w:pPr>
        <w:spacing w:after="120"/>
      </w:pPr>
      <w:r>
        <w:t>R</w:t>
      </w:r>
      <w:r w:rsidR="00CF521F">
        <w:t xml:space="preserve">ules that are employed to carry out this aggregate approach </w:t>
      </w:r>
      <w:r>
        <w:t>can be</w:t>
      </w:r>
      <w:r w:rsidR="00CF521F">
        <w:t xml:space="preserve"> summarized</w:t>
      </w:r>
      <w:r w:rsidR="00F77AE0">
        <w:t xml:space="preserve"> in very general terms</w:t>
      </w:r>
      <w:r w:rsidR="00CF521F">
        <w:t xml:space="preserve">: </w:t>
      </w:r>
    </w:p>
    <w:p w14:paraId="447BCF12" w14:textId="68B1D9F9" w:rsidR="00F01D2B" w:rsidRDefault="00F01D2B" w:rsidP="005F7F13">
      <w:pPr>
        <w:pStyle w:val="ListParagraph"/>
        <w:numPr>
          <w:ilvl w:val="0"/>
          <w:numId w:val="3"/>
        </w:numPr>
        <w:spacing w:after="100"/>
        <w:ind w:left="288" w:hanging="144"/>
        <w:contextualSpacing w:val="0"/>
      </w:pPr>
      <w:r w:rsidRPr="00CB3D23">
        <w:rPr>
          <w:u w:val="single"/>
        </w:rPr>
        <w:t>Transfers by Partners to Partnership—Nonrecognition</w:t>
      </w:r>
      <w:r>
        <w:t xml:space="preserve">: </w:t>
      </w:r>
    </w:p>
    <w:p w14:paraId="7E97B179" w14:textId="11D643D2" w:rsidR="00794104" w:rsidRDefault="00794104" w:rsidP="005F7F13">
      <w:pPr>
        <w:pStyle w:val="ListParagraph"/>
        <w:numPr>
          <w:ilvl w:val="1"/>
          <w:numId w:val="3"/>
        </w:numPr>
        <w:spacing w:after="100"/>
        <w:ind w:left="720" w:hanging="288"/>
        <w:contextualSpacing w:val="0"/>
      </w:pPr>
      <w:r>
        <w:t>M</w:t>
      </w:r>
      <w:r w:rsidR="0058786D">
        <w:t xml:space="preserve">oney, assets, or services </w:t>
      </w:r>
      <w:r>
        <w:t xml:space="preserve">transferred by </w:t>
      </w:r>
      <w:r w:rsidR="0002306C">
        <w:t>a partner to</w:t>
      </w:r>
      <w:r w:rsidR="0058786D">
        <w:t xml:space="preserve"> </w:t>
      </w:r>
      <w:r w:rsidR="00F01D2B">
        <w:t>the</w:t>
      </w:r>
      <w:r w:rsidR="0058786D">
        <w:t xml:space="preserve"> </w:t>
      </w:r>
      <w:r w:rsidR="0002306C">
        <w:t xml:space="preserve">partnership </w:t>
      </w:r>
      <w:r w:rsidR="004F31AE">
        <w:t>are</w:t>
      </w:r>
      <w:r w:rsidR="0058786D">
        <w:t xml:space="preserve"> </w:t>
      </w:r>
      <w:r>
        <w:t>contribution</w:t>
      </w:r>
      <w:r w:rsidR="004F31AE">
        <w:t>s</w:t>
      </w:r>
      <w:r>
        <w:t>;</w:t>
      </w:r>
    </w:p>
    <w:p w14:paraId="42C63004" w14:textId="1D2016E4" w:rsidR="0058786D" w:rsidRDefault="00794104" w:rsidP="005F7F13">
      <w:pPr>
        <w:pStyle w:val="ListParagraph"/>
        <w:numPr>
          <w:ilvl w:val="1"/>
          <w:numId w:val="3"/>
        </w:numPr>
        <w:spacing w:after="100"/>
        <w:ind w:left="720" w:hanging="288"/>
        <w:contextualSpacing w:val="0"/>
      </w:pPr>
      <w:r>
        <w:t xml:space="preserve">Contributions are generally </w:t>
      </w:r>
      <w:r w:rsidR="0058786D">
        <w:t>nonrecognition event</w:t>
      </w:r>
      <w:r>
        <w:t>s,</w:t>
      </w:r>
      <w:r w:rsidR="0058786D">
        <w:t xml:space="preserve"> except services exchanged for a capital interest</w:t>
      </w:r>
      <w:r w:rsidR="00DB3E8C">
        <w:t xml:space="preserve"> (IRC § 721)</w:t>
      </w:r>
      <w:r w:rsidR="0058786D">
        <w:t>;</w:t>
      </w:r>
      <w:r w:rsidR="00F01D2B">
        <w:t xml:space="preserve"> and</w:t>
      </w:r>
    </w:p>
    <w:p w14:paraId="7A93C023" w14:textId="1D78CBDD" w:rsidR="0002306C" w:rsidRDefault="00794104" w:rsidP="005F7F13">
      <w:pPr>
        <w:pStyle w:val="ListParagraph"/>
        <w:numPr>
          <w:ilvl w:val="1"/>
          <w:numId w:val="3"/>
        </w:numPr>
        <w:spacing w:after="100"/>
        <w:ind w:left="720" w:hanging="288"/>
        <w:contextualSpacing w:val="0"/>
      </w:pPr>
      <w:r>
        <w:t>Contributions</w:t>
      </w:r>
      <w:r w:rsidR="0002306C">
        <w:t xml:space="preserve"> increase </w:t>
      </w:r>
      <w:r>
        <w:t xml:space="preserve">a partner’s </w:t>
      </w:r>
      <w:r w:rsidR="009E5944">
        <w:t xml:space="preserve">capital account </w:t>
      </w:r>
      <w:r w:rsidR="008779BF">
        <w:t>and tax</w:t>
      </w:r>
      <w:r w:rsidR="009E5944">
        <w:t xml:space="preserve"> </w:t>
      </w:r>
      <w:r w:rsidR="0002306C">
        <w:t xml:space="preserve">basis </w:t>
      </w:r>
      <w:r w:rsidR="008779BF">
        <w:t xml:space="preserve">in her </w:t>
      </w:r>
      <w:r w:rsidR="0002306C">
        <w:t xml:space="preserve">partnership interest </w:t>
      </w:r>
      <w:r w:rsidR="00DB3E8C">
        <w:t xml:space="preserve">or </w:t>
      </w:r>
      <w:r w:rsidR="0002306C">
        <w:t>“outside basis”</w:t>
      </w:r>
      <w:r w:rsidR="00DB3E8C">
        <w:t xml:space="preserve"> (IRC § 722)</w:t>
      </w:r>
      <w:r w:rsidR="00F01D2B">
        <w:t>.</w:t>
      </w:r>
    </w:p>
    <w:p w14:paraId="36B3CEF0" w14:textId="5E4472F5" w:rsidR="00F01D2B" w:rsidRDefault="00210929" w:rsidP="005F7F13">
      <w:pPr>
        <w:pStyle w:val="ListParagraph"/>
        <w:numPr>
          <w:ilvl w:val="0"/>
          <w:numId w:val="3"/>
        </w:numPr>
        <w:spacing w:before="120" w:after="100"/>
        <w:ind w:left="288" w:hanging="144"/>
        <w:contextualSpacing w:val="0"/>
      </w:pPr>
      <w:r w:rsidRPr="00CB3D23">
        <w:rPr>
          <w:u w:val="single"/>
        </w:rPr>
        <w:t>Partners Report and Pay Tax on Shares of Partnership Items</w:t>
      </w:r>
      <w:r w:rsidR="00CB3D23">
        <w:rPr>
          <w:u w:val="single"/>
        </w:rPr>
        <w:t xml:space="preserve"> Each Year</w:t>
      </w:r>
      <w:r w:rsidR="00F01D2B">
        <w:t xml:space="preserve">: </w:t>
      </w:r>
    </w:p>
    <w:p w14:paraId="3D84A7A6" w14:textId="77777777" w:rsidR="008779BF" w:rsidRDefault="00DE37E7" w:rsidP="005F7F13">
      <w:pPr>
        <w:pStyle w:val="ListParagraph"/>
        <w:numPr>
          <w:ilvl w:val="1"/>
          <w:numId w:val="3"/>
        </w:numPr>
        <w:spacing w:after="100"/>
        <w:ind w:left="720" w:hanging="288"/>
        <w:contextualSpacing w:val="0"/>
      </w:pPr>
      <w:r>
        <w:t>The partners divide p</w:t>
      </w:r>
      <w:r w:rsidR="0002306C">
        <w:t xml:space="preserve">artnership items of income, expense, gain, </w:t>
      </w:r>
      <w:r>
        <w:t>and</w:t>
      </w:r>
      <w:r w:rsidR="0002306C">
        <w:t xml:space="preserve"> loss </w:t>
      </w:r>
      <w:r w:rsidR="00DB3E8C">
        <w:t>(IRC § 704);</w:t>
      </w:r>
      <w:r w:rsidR="00F01D2B">
        <w:t xml:space="preserve"> </w:t>
      </w:r>
    </w:p>
    <w:p w14:paraId="0B45EA88" w14:textId="77777777" w:rsidR="00A726DE" w:rsidRDefault="008779BF" w:rsidP="005F7F13">
      <w:pPr>
        <w:pStyle w:val="ListParagraph"/>
        <w:numPr>
          <w:ilvl w:val="1"/>
          <w:numId w:val="3"/>
        </w:numPr>
        <w:spacing w:after="100"/>
        <w:ind w:left="720" w:hanging="288"/>
        <w:contextualSpacing w:val="0"/>
      </w:pPr>
      <w:r>
        <w:t xml:space="preserve">The partners report their shares of these items on their own tax returns (IRC § 702); </w:t>
      </w:r>
    </w:p>
    <w:p w14:paraId="67C0C382" w14:textId="7BAFE864" w:rsidR="008779BF" w:rsidRDefault="00A726DE" w:rsidP="005F7F13">
      <w:pPr>
        <w:pStyle w:val="ListParagraph"/>
        <w:numPr>
          <w:ilvl w:val="1"/>
          <w:numId w:val="3"/>
        </w:numPr>
        <w:spacing w:after="100"/>
        <w:ind w:left="720" w:hanging="288"/>
        <w:contextualSpacing w:val="0"/>
      </w:pPr>
      <w:r>
        <w:t xml:space="preserve">The items retain their character under the substantive tax rules (IRC § 703), </w:t>
      </w:r>
      <w:r w:rsidR="008779BF">
        <w:t>and</w:t>
      </w:r>
      <w:r>
        <w:t>;</w:t>
      </w:r>
    </w:p>
    <w:p w14:paraId="33E79D4E" w14:textId="25206B4A" w:rsidR="0002306C" w:rsidRDefault="0002306C" w:rsidP="005F7F13">
      <w:pPr>
        <w:pStyle w:val="ListParagraph"/>
        <w:numPr>
          <w:ilvl w:val="1"/>
          <w:numId w:val="3"/>
        </w:numPr>
        <w:spacing w:after="100"/>
        <w:ind w:left="720" w:hanging="288"/>
        <w:contextualSpacing w:val="0"/>
      </w:pPr>
      <w:r>
        <w:t xml:space="preserve">These items also affect </w:t>
      </w:r>
      <w:r w:rsidR="009E5944">
        <w:t xml:space="preserve">capital accounts and </w:t>
      </w:r>
      <w:r>
        <w:t>outside basis</w:t>
      </w:r>
      <w:r w:rsidR="00DB3E8C">
        <w:t xml:space="preserve"> (IRC § 705)</w:t>
      </w:r>
      <w:r w:rsidR="00F01D2B">
        <w:t>.</w:t>
      </w:r>
    </w:p>
    <w:p w14:paraId="4B769D06" w14:textId="4C7E783A" w:rsidR="00F01D2B" w:rsidRDefault="0062767F" w:rsidP="005F7F13">
      <w:pPr>
        <w:pStyle w:val="ListParagraph"/>
        <w:numPr>
          <w:ilvl w:val="0"/>
          <w:numId w:val="3"/>
        </w:numPr>
        <w:spacing w:before="120" w:after="100"/>
        <w:ind w:left="288" w:hanging="144"/>
        <w:contextualSpacing w:val="0"/>
      </w:pPr>
      <w:r>
        <w:rPr>
          <w:u w:val="single"/>
        </w:rPr>
        <w:t>Payments</w:t>
      </w:r>
      <w:r w:rsidR="00F01D2B" w:rsidRPr="00CB3D23">
        <w:rPr>
          <w:u w:val="single"/>
        </w:rPr>
        <w:t xml:space="preserve"> by Partnership to Partners—Nonrecognition</w:t>
      </w:r>
      <w:r w:rsidR="00F01D2B">
        <w:t xml:space="preserve">: </w:t>
      </w:r>
    </w:p>
    <w:p w14:paraId="7A836959" w14:textId="02FB057D" w:rsidR="00794104" w:rsidRDefault="00794104" w:rsidP="005F7F13">
      <w:pPr>
        <w:pStyle w:val="ListParagraph"/>
        <w:numPr>
          <w:ilvl w:val="1"/>
          <w:numId w:val="3"/>
        </w:numPr>
        <w:spacing w:after="100"/>
        <w:ind w:left="720" w:hanging="288"/>
        <w:contextualSpacing w:val="0"/>
      </w:pPr>
      <w:r>
        <w:t>M</w:t>
      </w:r>
      <w:r w:rsidR="0002306C">
        <w:t xml:space="preserve">oney or assets </w:t>
      </w:r>
      <w:r>
        <w:t xml:space="preserve">transferred from </w:t>
      </w:r>
      <w:r w:rsidR="0002306C">
        <w:t xml:space="preserve">the partnership to </w:t>
      </w:r>
      <w:r>
        <w:t xml:space="preserve">a partner </w:t>
      </w:r>
      <w:r w:rsidR="004F31AE">
        <w:t>are</w:t>
      </w:r>
      <w:r>
        <w:t xml:space="preserve"> distribution</w:t>
      </w:r>
      <w:r w:rsidR="004F31AE">
        <w:t>s</w:t>
      </w:r>
      <w:r>
        <w:t>;</w:t>
      </w:r>
    </w:p>
    <w:p w14:paraId="6F567356" w14:textId="74448576" w:rsidR="00AD424C" w:rsidRDefault="00794104" w:rsidP="005F7F13">
      <w:pPr>
        <w:pStyle w:val="ListParagraph"/>
        <w:numPr>
          <w:ilvl w:val="1"/>
          <w:numId w:val="3"/>
        </w:numPr>
        <w:spacing w:after="100"/>
        <w:ind w:left="720" w:hanging="288"/>
        <w:contextualSpacing w:val="0"/>
      </w:pPr>
      <w:r>
        <w:t>Distributions are generally non-recognition events</w:t>
      </w:r>
      <w:r w:rsidR="00210929">
        <w:t xml:space="preserve">, unless they exceed basis (gains), or </w:t>
      </w:r>
      <w:r w:rsidR="00DB3E8C">
        <w:t xml:space="preserve">are liquidating distributions </w:t>
      </w:r>
      <w:r w:rsidR="00210929">
        <w:t xml:space="preserve">less than basis (losses), </w:t>
      </w:r>
      <w:r w:rsidR="00DB3E8C">
        <w:t xml:space="preserve">or </w:t>
      </w:r>
      <w:r w:rsidR="008779BF">
        <w:t xml:space="preserve">when </w:t>
      </w:r>
      <w:r w:rsidR="00DB3E8C">
        <w:t>other anti-abuse rules apply (</w:t>
      </w:r>
      <w:r w:rsidR="008779BF">
        <w:t xml:space="preserve">See </w:t>
      </w:r>
      <w:r w:rsidR="00DB3E8C">
        <w:t>IRC §§ 731</w:t>
      </w:r>
      <w:r w:rsidR="00210929">
        <w:t>, 741,</w:t>
      </w:r>
      <w:r w:rsidR="00DB3E8C">
        <w:t xml:space="preserve"> and 737)</w:t>
      </w:r>
      <w:r>
        <w:t xml:space="preserve">; </w:t>
      </w:r>
    </w:p>
    <w:p w14:paraId="1918D7EE" w14:textId="0D526A7D" w:rsidR="00794104" w:rsidRDefault="00210929" w:rsidP="005F7F13">
      <w:pPr>
        <w:pStyle w:val="ListParagraph"/>
        <w:numPr>
          <w:ilvl w:val="1"/>
          <w:numId w:val="3"/>
        </w:numPr>
        <w:spacing w:after="100"/>
        <w:ind w:left="720" w:hanging="288"/>
        <w:contextualSpacing w:val="0"/>
      </w:pPr>
      <w:r>
        <w:t xml:space="preserve">If gain or loss is realized on distributions, it is generally treated </w:t>
      </w:r>
      <w:r w:rsidR="00613FF9">
        <w:t>the same as the sale of a partnership interest</w:t>
      </w:r>
      <w:r w:rsidR="00AD424C">
        <w:t xml:space="preserve"> (IRC </w:t>
      </w:r>
      <w:r w:rsidR="00613FF9">
        <w:t xml:space="preserve">§ 731); </w:t>
      </w:r>
      <w:r w:rsidR="00794104">
        <w:t>and</w:t>
      </w:r>
    </w:p>
    <w:p w14:paraId="41883BDF" w14:textId="01674722" w:rsidR="00AA6241" w:rsidRDefault="00794104" w:rsidP="005F7F13">
      <w:pPr>
        <w:pStyle w:val="ListParagraph"/>
        <w:numPr>
          <w:ilvl w:val="1"/>
          <w:numId w:val="3"/>
        </w:numPr>
        <w:spacing w:after="100"/>
        <w:ind w:left="720" w:hanging="288"/>
        <w:contextualSpacing w:val="0"/>
      </w:pPr>
      <w:r>
        <w:t xml:space="preserve">Distributions decrease a partner’s </w:t>
      </w:r>
      <w:r w:rsidR="009E5944">
        <w:t xml:space="preserve">capital account and </w:t>
      </w:r>
      <w:r>
        <w:t>outside basis</w:t>
      </w:r>
      <w:r w:rsidR="00DB3E8C">
        <w:t xml:space="preserve"> (IRC § 733)</w:t>
      </w:r>
      <w:r>
        <w:t xml:space="preserve">. </w:t>
      </w:r>
    </w:p>
    <w:p w14:paraId="725534C2" w14:textId="77777777" w:rsidR="00F429A2" w:rsidRDefault="00F429A2" w:rsidP="005F7F13">
      <w:pPr>
        <w:pStyle w:val="ListParagraph"/>
        <w:numPr>
          <w:ilvl w:val="0"/>
          <w:numId w:val="3"/>
        </w:numPr>
        <w:spacing w:before="120" w:after="100"/>
        <w:ind w:left="288" w:hanging="144"/>
        <w:contextualSpacing w:val="0"/>
      </w:pPr>
      <w:r w:rsidRPr="00F429A2">
        <w:rPr>
          <w:u w:val="single"/>
        </w:rPr>
        <w:t>Reporting</w:t>
      </w:r>
      <w:r>
        <w:t>:</w:t>
      </w:r>
    </w:p>
    <w:p w14:paraId="012834B4" w14:textId="46B3F47A" w:rsidR="00F429A2" w:rsidRDefault="00F429A2" w:rsidP="005F7F13">
      <w:pPr>
        <w:pStyle w:val="ListParagraph"/>
        <w:numPr>
          <w:ilvl w:val="1"/>
          <w:numId w:val="3"/>
        </w:numPr>
        <w:spacing w:after="100"/>
        <w:ind w:left="720" w:hanging="288"/>
        <w:contextualSpacing w:val="0"/>
      </w:pPr>
      <w:r>
        <w:t>The partnership will report –</w:t>
      </w:r>
    </w:p>
    <w:p w14:paraId="2F948F2C" w14:textId="7CBD9D01" w:rsidR="00F429A2" w:rsidRDefault="00F429A2" w:rsidP="005F7F13">
      <w:pPr>
        <w:pStyle w:val="ListParagraph"/>
        <w:numPr>
          <w:ilvl w:val="2"/>
          <w:numId w:val="3"/>
        </w:numPr>
        <w:spacing w:after="100"/>
        <w:ind w:left="1224"/>
        <w:contextualSpacing w:val="0"/>
      </w:pPr>
      <w:r>
        <w:t>Partnership net income (loss) each year on the IRS Form 1065;</w:t>
      </w:r>
    </w:p>
    <w:p w14:paraId="31B5F97F" w14:textId="7502F79D" w:rsidR="00F429A2" w:rsidRDefault="00F429A2" w:rsidP="005F7F13">
      <w:pPr>
        <w:pStyle w:val="ListParagraph"/>
        <w:numPr>
          <w:ilvl w:val="2"/>
          <w:numId w:val="3"/>
        </w:numPr>
        <w:spacing w:after="100"/>
        <w:ind w:left="1224"/>
        <w:contextualSpacing w:val="0"/>
      </w:pPr>
      <w:r>
        <w:t>Partnership items allocated to partners on Schedule K;</w:t>
      </w:r>
    </w:p>
    <w:p w14:paraId="72636BB5" w14:textId="48E1445F" w:rsidR="00F429A2" w:rsidRDefault="00F429A2" w:rsidP="005F7F13">
      <w:pPr>
        <w:pStyle w:val="ListParagraph"/>
        <w:numPr>
          <w:ilvl w:val="2"/>
          <w:numId w:val="3"/>
        </w:numPr>
        <w:spacing w:after="100"/>
        <w:ind w:left="1224"/>
        <w:contextualSpacing w:val="0"/>
      </w:pPr>
      <w:r>
        <w:t>Book income and assets on Schedules L and M;</w:t>
      </w:r>
      <w:r w:rsidR="00F77AE0">
        <w:t xml:space="preserve"> and</w:t>
      </w:r>
    </w:p>
    <w:p w14:paraId="5BA265E3" w14:textId="752003CE" w:rsidR="00F429A2" w:rsidRDefault="00F77AE0" w:rsidP="005F7F13">
      <w:pPr>
        <w:pStyle w:val="ListParagraph"/>
        <w:numPr>
          <w:ilvl w:val="2"/>
          <w:numId w:val="3"/>
        </w:numPr>
        <w:spacing w:after="100"/>
        <w:ind w:left="1224"/>
        <w:contextualSpacing w:val="0"/>
      </w:pPr>
      <w:r>
        <w:t>Each partners distributive share and capital account balances on Schedule K-1.</w:t>
      </w:r>
    </w:p>
    <w:p w14:paraId="2063881F" w14:textId="650864D9" w:rsidR="00F77AE0" w:rsidRDefault="00F429A2" w:rsidP="005F7F13">
      <w:pPr>
        <w:pStyle w:val="ListParagraph"/>
        <w:numPr>
          <w:ilvl w:val="1"/>
          <w:numId w:val="3"/>
        </w:numPr>
        <w:spacing w:after="100"/>
        <w:ind w:left="720" w:hanging="288"/>
        <w:contextualSpacing w:val="0"/>
      </w:pPr>
      <w:r>
        <w:t>T</w:t>
      </w:r>
      <w:r w:rsidR="00F77AE0">
        <w:t>he partners will report –</w:t>
      </w:r>
    </w:p>
    <w:p w14:paraId="4E23C0D9" w14:textId="77777777" w:rsidR="00F77AE0" w:rsidRDefault="00F77AE0" w:rsidP="005F7F13">
      <w:pPr>
        <w:pStyle w:val="ListParagraph"/>
        <w:numPr>
          <w:ilvl w:val="2"/>
          <w:numId w:val="3"/>
        </w:numPr>
        <w:spacing w:after="100"/>
        <w:ind w:left="1224"/>
        <w:contextualSpacing w:val="0"/>
      </w:pPr>
      <w:r>
        <w:t>Distributive share income as reported to them on Schedule K-1; and</w:t>
      </w:r>
    </w:p>
    <w:p w14:paraId="41BD4D6A" w14:textId="2920DF37" w:rsidR="00F429A2" w:rsidRDefault="00F77AE0" w:rsidP="005F7F13">
      <w:pPr>
        <w:pStyle w:val="ListParagraph"/>
        <w:numPr>
          <w:ilvl w:val="2"/>
          <w:numId w:val="3"/>
        </w:numPr>
        <w:spacing w:after="20"/>
        <w:ind w:left="1224"/>
        <w:contextualSpacing w:val="0"/>
      </w:pPr>
      <w:r>
        <w:t xml:space="preserve">Gain/loss, if recognized, on distributions. </w:t>
      </w:r>
      <w:r w:rsidR="00F429A2">
        <w:t xml:space="preserve"> </w:t>
      </w:r>
    </w:p>
    <w:p w14:paraId="18CE9479" w14:textId="77777777" w:rsidR="00DF3B47" w:rsidRDefault="00DF3B47" w:rsidP="00DF3B47">
      <w:pPr>
        <w:spacing w:after="20"/>
      </w:pPr>
    </w:p>
    <w:p w14:paraId="6CF7A553" w14:textId="505D0E32" w:rsidR="00DF3B47" w:rsidRDefault="00DF3B47" w:rsidP="00DF3B47">
      <w:pPr>
        <w:spacing w:after="20"/>
      </w:pPr>
      <w:r>
        <w:t xml:space="preserve">In light of these general rules, </w:t>
      </w:r>
      <w:r w:rsidR="00935505">
        <w:t>federal tax treatment of distributive share/distributions most closely tracks th</w:t>
      </w:r>
      <w:r w:rsidR="0025419A">
        <w:t>e</w:t>
      </w:r>
      <w:r w:rsidR="00935505">
        <w:t xml:space="preserve"> aggregate </w:t>
      </w:r>
      <w:r w:rsidR="00C55D2D">
        <w:t>theory of partnerships</w:t>
      </w:r>
      <w:r w:rsidR="00935505">
        <w:t xml:space="preserve">. </w:t>
      </w:r>
      <w:r w:rsidR="00C55D2D">
        <w:t>Tax is not imposed on the entity</w:t>
      </w:r>
      <w:r w:rsidR="00787918">
        <w:t xml:space="preserve">. </w:t>
      </w:r>
      <w:r w:rsidR="00C55D2D">
        <w:t>Instead, partnership</w:t>
      </w:r>
      <w:r w:rsidR="00787918">
        <w:t xml:space="preserve"> items of income</w:t>
      </w:r>
      <w:r w:rsidR="00E7792D">
        <w:t>,</w:t>
      </w:r>
      <w:r w:rsidR="00787918">
        <w:t xml:space="preserve"> expense, gain, </w:t>
      </w:r>
      <w:r w:rsidR="00E7792D">
        <w:t xml:space="preserve">and loss are attributed to the partners according to their agreement and are taxed to the partners. </w:t>
      </w:r>
      <w:r w:rsidR="00C55D2D">
        <w:t>And d</w:t>
      </w:r>
      <w:r w:rsidR="00E7792D">
        <w:t>istributions are not taxed to the extent the</w:t>
      </w:r>
      <w:r w:rsidR="009362F1">
        <w:t xml:space="preserve">y represent a return of </w:t>
      </w:r>
      <w:r w:rsidR="00A07FB5">
        <w:t xml:space="preserve">either </w:t>
      </w:r>
      <w:r w:rsidR="009362F1">
        <w:t xml:space="preserve">contributions or </w:t>
      </w:r>
      <w:r w:rsidR="00A41450">
        <w:t>income that has already been reported for tax purposes.</w:t>
      </w:r>
    </w:p>
    <w:p w14:paraId="3938245B" w14:textId="48F3A390" w:rsidR="0058786D" w:rsidRDefault="00BA5DB4" w:rsidP="00261755">
      <w:pPr>
        <w:pStyle w:val="Heading3"/>
      </w:pPr>
      <w:bookmarkStart w:id="26" w:name="_Toc144634453"/>
      <w:r w:rsidRPr="00276A4D">
        <w:lastRenderedPageBreak/>
        <w:t>Partner-Partnership Transactions</w:t>
      </w:r>
      <w:r w:rsidR="00AD20F3">
        <w:t xml:space="preserve"> – Entity Theory</w:t>
      </w:r>
      <w:bookmarkEnd w:id="26"/>
    </w:p>
    <w:p w14:paraId="7D41019C" w14:textId="77777777" w:rsidR="00384255" w:rsidRDefault="00261755" w:rsidP="0049197B">
      <w:pPr>
        <w:spacing w:after="120"/>
      </w:pPr>
      <w:r>
        <w:t>Partnerships</w:t>
      </w:r>
      <w:r w:rsidR="005D2C3C">
        <w:t xml:space="preserve"> may </w:t>
      </w:r>
      <w:r>
        <w:t>sometimes</w:t>
      </w:r>
      <w:r w:rsidR="005D2C3C">
        <w:t xml:space="preserve"> act as separate entities</w:t>
      </w:r>
      <w:r>
        <w:t xml:space="preserve"> with respect to</w:t>
      </w:r>
      <w:r w:rsidR="005D2C3C">
        <w:t xml:space="preserve"> the partners. </w:t>
      </w:r>
      <w:r>
        <w:t>W</w:t>
      </w:r>
      <w:r w:rsidR="008C02BF">
        <w:t>hen</w:t>
      </w:r>
      <w:r w:rsidR="0093700B">
        <w:t xml:space="preserve"> </w:t>
      </w:r>
      <w:r w:rsidR="00ED11C0">
        <w:t>a</w:t>
      </w:r>
      <w:r w:rsidR="00384255">
        <w:t>ny</w:t>
      </w:r>
      <w:r w:rsidR="0093700B">
        <w:t xml:space="preserve"> transfer between </w:t>
      </w:r>
      <w:r w:rsidR="00ED11C0">
        <w:t>a</w:t>
      </w:r>
      <w:r w:rsidR="0093700B">
        <w:t xml:space="preserve"> partnership and </w:t>
      </w:r>
      <w:r w:rsidR="00ED11C0">
        <w:t>a</w:t>
      </w:r>
      <w:r w:rsidR="0093700B">
        <w:t xml:space="preserve"> partner </w:t>
      </w:r>
      <w:r w:rsidR="00ED11C0">
        <w:t>is</w:t>
      </w:r>
      <w:r w:rsidR="0093700B">
        <w:t xml:space="preserve">, in substance, </w:t>
      </w:r>
      <w:r w:rsidR="00ED11C0">
        <w:t xml:space="preserve">a </w:t>
      </w:r>
      <w:r w:rsidR="008C02BF">
        <w:t>transaction</w:t>
      </w:r>
      <w:r w:rsidR="0093700B">
        <w:t xml:space="preserve"> similar to </w:t>
      </w:r>
      <w:r w:rsidR="00ED11C0">
        <w:t xml:space="preserve">an </w:t>
      </w:r>
      <w:r w:rsidR="0093700B">
        <w:t>exchange between unrelated parties</w:t>
      </w:r>
      <w:r w:rsidR="008C02BF">
        <w:t>, Subchapter K applies the entity theory</w:t>
      </w:r>
      <w:r w:rsidR="0026741B">
        <w:t xml:space="preserve"> </w:t>
      </w:r>
      <w:r w:rsidR="000B1348">
        <w:t xml:space="preserve">so that </w:t>
      </w:r>
      <w:r w:rsidR="00FE7CBD">
        <w:t xml:space="preserve">both </w:t>
      </w:r>
      <w:r w:rsidR="000B1348">
        <w:t>t</w:t>
      </w:r>
      <w:r w:rsidR="0093700B">
        <w:t xml:space="preserve">he partner and partnership </w:t>
      </w:r>
      <w:r w:rsidR="00ED11C0">
        <w:t xml:space="preserve">separately </w:t>
      </w:r>
      <w:r w:rsidR="0093700B">
        <w:t xml:space="preserve">recognize </w:t>
      </w:r>
      <w:r w:rsidR="003C38A8">
        <w:t>an exchange</w:t>
      </w:r>
      <w:r w:rsidR="00FE7CBD">
        <w:t>.</w:t>
      </w:r>
      <w:r w:rsidR="0049197B">
        <w:t xml:space="preserve"> </w:t>
      </w:r>
    </w:p>
    <w:p w14:paraId="4B131AB2" w14:textId="6FC2C042" w:rsidR="0093700B" w:rsidRDefault="00FE7CBD" w:rsidP="0049197B">
      <w:pPr>
        <w:spacing w:after="120"/>
      </w:pPr>
      <w:r>
        <w:t>T</w:t>
      </w:r>
      <w:r w:rsidR="0093700B">
        <w:t xml:space="preserve">he following general rules would </w:t>
      </w:r>
      <w:r w:rsidR="007B2D76">
        <w:t xml:space="preserve">apply whenever a </w:t>
      </w:r>
      <w:r w:rsidR="009C1405">
        <w:t>“</w:t>
      </w:r>
      <w:r w:rsidR="009C1405" w:rsidRPr="009C1405">
        <w:t>partner engages in a transaction with a partnership other than in his capacity as a member of such partnership</w:t>
      </w:r>
      <w:r w:rsidR="009C1405">
        <w:t>”</w:t>
      </w:r>
      <w:r w:rsidR="00217866">
        <w:t xml:space="preserve"> (see IRC § 707(a))</w:t>
      </w:r>
      <w:r w:rsidR="0093700B">
        <w:t>:</w:t>
      </w:r>
    </w:p>
    <w:p w14:paraId="1E5E58F5" w14:textId="7D1BC28F" w:rsidR="00F01D2B" w:rsidRDefault="00036C63" w:rsidP="005F7F13">
      <w:pPr>
        <w:pStyle w:val="ListParagraph"/>
        <w:numPr>
          <w:ilvl w:val="0"/>
          <w:numId w:val="4"/>
        </w:numPr>
        <w:spacing w:after="100"/>
        <w:ind w:left="504"/>
        <w:contextualSpacing w:val="0"/>
      </w:pPr>
      <w:r w:rsidRPr="00036C63">
        <w:rPr>
          <w:u w:val="single"/>
        </w:rPr>
        <w:t>Transfers of Property or Services from Partner to Partnership - Recognition</w:t>
      </w:r>
      <w:r w:rsidR="00F01D2B">
        <w:t xml:space="preserve">: </w:t>
      </w:r>
    </w:p>
    <w:p w14:paraId="703975DC" w14:textId="328FBA8D" w:rsidR="00036C63" w:rsidRDefault="00036C63" w:rsidP="005F7F13">
      <w:pPr>
        <w:pStyle w:val="ListParagraph"/>
        <w:numPr>
          <w:ilvl w:val="1"/>
          <w:numId w:val="4"/>
        </w:numPr>
        <w:spacing w:after="100"/>
        <w:ind w:left="792"/>
        <w:contextualSpacing w:val="0"/>
      </w:pPr>
      <w:r>
        <w:t xml:space="preserve">The transfer will be treated as an exchange between separate persons (IRC § 707(a)); </w:t>
      </w:r>
    </w:p>
    <w:p w14:paraId="09D13336" w14:textId="60B923D9" w:rsidR="00036C63" w:rsidRDefault="0060535E" w:rsidP="005F7F13">
      <w:pPr>
        <w:pStyle w:val="ListParagraph"/>
        <w:numPr>
          <w:ilvl w:val="1"/>
          <w:numId w:val="4"/>
        </w:numPr>
        <w:spacing w:after="100"/>
        <w:ind w:left="792"/>
        <w:contextualSpacing w:val="0"/>
      </w:pPr>
      <w:r>
        <w:t>The t</w:t>
      </w:r>
      <w:r w:rsidR="00036C63">
        <w:t>ransferring partner will recognize a taxable event</w:t>
      </w:r>
      <w:r w:rsidR="003C38A8">
        <w:t xml:space="preserve"> </w:t>
      </w:r>
      <w:r w:rsidR="00036C63">
        <w:t>under federal substantive tax rules—as either income, gain, or loss;</w:t>
      </w:r>
    </w:p>
    <w:p w14:paraId="672C4E1B" w14:textId="5D006A98" w:rsidR="004D3DD1" w:rsidRDefault="00036C63" w:rsidP="005F7F13">
      <w:pPr>
        <w:pStyle w:val="ListParagraph"/>
        <w:numPr>
          <w:ilvl w:val="1"/>
          <w:numId w:val="4"/>
        </w:numPr>
        <w:spacing w:after="100"/>
        <w:ind w:left="792"/>
        <w:contextualSpacing w:val="0"/>
      </w:pPr>
      <w:r>
        <w:t>The transferring partner’s capital accounts and outside basis will not be directly affected</w:t>
      </w:r>
      <w:r w:rsidR="006763CA">
        <w:t xml:space="preserve"> by the payment. </w:t>
      </w:r>
    </w:p>
    <w:p w14:paraId="496EA935" w14:textId="6821A684" w:rsidR="00036C63" w:rsidRDefault="00036C63" w:rsidP="005F7F13">
      <w:pPr>
        <w:pStyle w:val="ListParagraph"/>
        <w:numPr>
          <w:ilvl w:val="0"/>
          <w:numId w:val="4"/>
        </w:numPr>
        <w:spacing w:after="100"/>
        <w:ind w:left="504"/>
        <w:contextualSpacing w:val="0"/>
      </w:pPr>
      <w:r w:rsidRPr="00036C63">
        <w:rPr>
          <w:u w:val="single"/>
        </w:rPr>
        <w:t>Transfers of Money or Property from Partnership to Partner – Recognition as Partnership Item</w:t>
      </w:r>
      <w:r>
        <w:t>:</w:t>
      </w:r>
    </w:p>
    <w:p w14:paraId="0E4FAFAD" w14:textId="7406211B" w:rsidR="0002306C" w:rsidRDefault="00B46E94" w:rsidP="005F7F13">
      <w:pPr>
        <w:pStyle w:val="ListParagraph"/>
        <w:numPr>
          <w:ilvl w:val="1"/>
          <w:numId w:val="4"/>
        </w:numPr>
        <w:spacing w:after="100"/>
        <w:ind w:left="792"/>
        <w:contextualSpacing w:val="0"/>
      </w:pPr>
      <w:r>
        <w:t>The transfer</w:t>
      </w:r>
      <w:r w:rsidR="0002306C">
        <w:t xml:space="preserve"> </w:t>
      </w:r>
      <w:r w:rsidR="00036C63">
        <w:t xml:space="preserve">is treated as </w:t>
      </w:r>
      <w:r>
        <w:t xml:space="preserve">an exchange </w:t>
      </w:r>
      <w:r w:rsidR="00210929">
        <w:t>between separate persons</w:t>
      </w:r>
      <w:r w:rsidR="004F31AE">
        <w:t xml:space="preserve"> (IRC § 707(a)</w:t>
      </w:r>
      <w:r w:rsidR="00F01D2B">
        <w:t>)</w:t>
      </w:r>
      <w:r w:rsidR="0002306C">
        <w:t>;</w:t>
      </w:r>
      <w:r w:rsidR="00036C63">
        <w:t xml:space="preserve"> </w:t>
      </w:r>
      <w:r w:rsidR="00F01D2B">
        <w:t xml:space="preserve"> </w:t>
      </w:r>
    </w:p>
    <w:p w14:paraId="7AE6112C" w14:textId="279820B2" w:rsidR="0002306C" w:rsidRDefault="006763CA" w:rsidP="005F7F13">
      <w:pPr>
        <w:pStyle w:val="ListParagraph"/>
        <w:numPr>
          <w:ilvl w:val="1"/>
          <w:numId w:val="4"/>
        </w:numPr>
        <w:spacing w:after="100"/>
        <w:ind w:left="792"/>
        <w:contextualSpacing w:val="0"/>
      </w:pPr>
      <w:r>
        <w:t>The p</w:t>
      </w:r>
      <w:r w:rsidR="00036C63">
        <w:t>artnership, as a separate person, will recognize a taxable event under federal substantive tax rules—either expense, gain, loss, or capitalized expenditure;</w:t>
      </w:r>
      <w:r w:rsidR="00B1003F">
        <w:t xml:space="preserve"> and</w:t>
      </w:r>
    </w:p>
    <w:p w14:paraId="137D18AB" w14:textId="51EF4E13" w:rsidR="00036C63" w:rsidRDefault="00036C63" w:rsidP="005F7F13">
      <w:pPr>
        <w:pStyle w:val="ListParagraph"/>
        <w:numPr>
          <w:ilvl w:val="1"/>
          <w:numId w:val="4"/>
        </w:numPr>
        <w:spacing w:after="100"/>
        <w:ind w:left="792"/>
        <w:contextualSpacing w:val="0"/>
      </w:pPr>
      <w:r>
        <w:t>The partnership item of expense, gain, or loss recognized for tax purposes will reduce partnership income</w:t>
      </w:r>
      <w:r w:rsidR="003C38A8">
        <w:t xml:space="preserve"> and </w:t>
      </w:r>
      <w:r>
        <w:t>allocations to the partners as distributive share</w:t>
      </w:r>
      <w:r w:rsidR="00ED11C0">
        <w:t xml:space="preserve"> (See IRC § 70</w:t>
      </w:r>
      <w:r w:rsidR="003C38A8">
        <w:t>3 and 704</w:t>
      </w:r>
      <w:r w:rsidR="00ED11C0">
        <w:t>)</w:t>
      </w:r>
      <w:r w:rsidR="00B1003F">
        <w:t>.</w:t>
      </w:r>
    </w:p>
    <w:p w14:paraId="4D7AF674" w14:textId="46DE0BA4" w:rsidR="00E00659" w:rsidRDefault="00E00659" w:rsidP="005F7F13">
      <w:pPr>
        <w:pStyle w:val="ListParagraph"/>
        <w:numPr>
          <w:ilvl w:val="1"/>
          <w:numId w:val="4"/>
        </w:numPr>
        <w:spacing w:after="100"/>
        <w:ind w:left="792"/>
        <w:contextualSpacing w:val="0"/>
      </w:pPr>
      <w:r>
        <w:t xml:space="preserve">The effect of this partnership expense on the allocation of distributive share to the partner engaged in the transaction is a complicated matter involving the </w:t>
      </w:r>
      <w:r w:rsidR="00260E79">
        <w:t>requirement that this allocation have substantial economic effect. (See IRC § 704(b) and related regulations.)</w:t>
      </w:r>
    </w:p>
    <w:p w14:paraId="47868983" w14:textId="6929DE39" w:rsidR="00F77AE0" w:rsidRDefault="00F77AE0" w:rsidP="005F7F13">
      <w:pPr>
        <w:pStyle w:val="ListParagraph"/>
        <w:numPr>
          <w:ilvl w:val="0"/>
          <w:numId w:val="4"/>
        </w:numPr>
        <w:spacing w:after="100"/>
        <w:ind w:left="504"/>
        <w:contextualSpacing w:val="0"/>
      </w:pPr>
      <w:r w:rsidRPr="00260E79">
        <w:rPr>
          <w:u w:val="single"/>
        </w:rPr>
        <w:t>Reporting</w:t>
      </w:r>
      <w:r>
        <w:t>:</w:t>
      </w:r>
    </w:p>
    <w:p w14:paraId="6A6E493A" w14:textId="6493133B" w:rsidR="00F77AE0" w:rsidRDefault="00F77AE0" w:rsidP="005F7F13">
      <w:pPr>
        <w:pStyle w:val="ListParagraph"/>
        <w:numPr>
          <w:ilvl w:val="1"/>
          <w:numId w:val="4"/>
        </w:numPr>
        <w:spacing w:after="100"/>
        <w:ind w:left="792"/>
        <w:contextualSpacing w:val="0"/>
      </w:pPr>
      <w:r>
        <w:t>The partnership will report expense, gain or loss on the IRS 1065 or capitalized expenditure</w:t>
      </w:r>
      <w:r w:rsidR="003C38A8">
        <w:t>s</w:t>
      </w:r>
      <w:r>
        <w:t xml:space="preserve"> as an asset on Schedule L;</w:t>
      </w:r>
    </w:p>
    <w:p w14:paraId="64FE98BF" w14:textId="7AA2DFC5" w:rsidR="003C38A8" w:rsidRDefault="00F77AE0" w:rsidP="005F7F13">
      <w:pPr>
        <w:pStyle w:val="ListParagraph"/>
        <w:numPr>
          <w:ilvl w:val="1"/>
          <w:numId w:val="4"/>
        </w:numPr>
        <w:spacing w:after="80"/>
        <w:ind w:left="792"/>
        <w:contextualSpacing w:val="0"/>
      </w:pPr>
      <w:r>
        <w:t>The transferring partner will report income, gain, or loss on the partners personal or business tax return, separate from any partnership income.</w:t>
      </w:r>
    </w:p>
    <w:p w14:paraId="5EDFA307" w14:textId="0F8110D2" w:rsidR="001F1812" w:rsidRDefault="00BA5DB4" w:rsidP="00230A1F">
      <w:pPr>
        <w:pStyle w:val="Heading3"/>
      </w:pPr>
      <w:bookmarkStart w:id="27" w:name="_Toc144634454"/>
      <w:r>
        <w:t xml:space="preserve">Guaranteed </w:t>
      </w:r>
      <w:r w:rsidR="001F1812">
        <w:t>Payments</w:t>
      </w:r>
      <w:r w:rsidR="00500209">
        <w:t xml:space="preserve"> </w:t>
      </w:r>
      <w:r w:rsidR="00BB29EF">
        <w:t>– Aggregate or Entity Theory?</w:t>
      </w:r>
      <w:bookmarkEnd w:id="27"/>
      <w:r w:rsidR="001F1812">
        <w:t xml:space="preserve"> </w:t>
      </w:r>
    </w:p>
    <w:p w14:paraId="441D44B6" w14:textId="75EAA715" w:rsidR="00BB29EF" w:rsidRDefault="00B1003F" w:rsidP="001F1812">
      <w:r>
        <w:t xml:space="preserve">It </w:t>
      </w:r>
      <w:r w:rsidR="004E22D5">
        <w:t>might</w:t>
      </w:r>
      <w:r w:rsidR="0054763C">
        <w:t xml:space="preserve"> seem that any </w:t>
      </w:r>
      <w:r w:rsidR="00F709F8">
        <w:t>partnership payments</w:t>
      </w:r>
      <w:r w:rsidR="0054763C">
        <w:t xml:space="preserve"> </w:t>
      </w:r>
      <w:r w:rsidR="00A726DE">
        <w:t xml:space="preserve">will necessarily </w:t>
      </w:r>
      <w:r w:rsidR="0054763C">
        <w:t xml:space="preserve">fall </w:t>
      </w:r>
      <w:r w:rsidR="00A726DE">
        <w:t>within</w:t>
      </w:r>
      <w:r w:rsidR="0054763C">
        <w:t xml:space="preserve"> </w:t>
      </w:r>
      <w:r w:rsidR="00A726DE">
        <w:t xml:space="preserve">either </w:t>
      </w:r>
      <w:r w:rsidR="0054763C">
        <w:t>the aggregate or entity approaches described above</w:t>
      </w:r>
      <w:r w:rsidR="00F24722">
        <w:t xml:space="preserve"> for distributive share/distributions or partner-partnership transactions</w:t>
      </w:r>
      <w:r>
        <w:t xml:space="preserve">. But </w:t>
      </w:r>
      <w:r w:rsidR="004E22D5">
        <w:t xml:space="preserve">partners </w:t>
      </w:r>
      <w:r w:rsidR="00CC11AA">
        <w:t xml:space="preserve">can also act in the capacity of a partner and receive payments </w:t>
      </w:r>
      <w:r w:rsidR="005D01B6">
        <w:t>“</w:t>
      </w:r>
      <w:r w:rsidR="00921D78">
        <w:t>without regard to the income of the partnership</w:t>
      </w:r>
      <w:r w:rsidR="00CC11AA">
        <w:t>,</w:t>
      </w:r>
      <w:r w:rsidR="005D01B6">
        <w:t>”</w:t>
      </w:r>
      <w:r w:rsidR="00465619">
        <w:t xml:space="preserve"> </w:t>
      </w:r>
      <w:r w:rsidR="00217866">
        <w:t xml:space="preserve">(IRC § 707(c)) </w:t>
      </w:r>
      <w:r w:rsidR="00465619">
        <w:t xml:space="preserve">meaning </w:t>
      </w:r>
      <w:r w:rsidR="00CC11AA">
        <w:t>the</w:t>
      </w:r>
      <w:r w:rsidR="006B4B94">
        <w:t xml:space="preserve"> payments</w:t>
      </w:r>
      <w:r w:rsidR="00465619">
        <w:t xml:space="preserve"> are n</w:t>
      </w:r>
      <w:r w:rsidR="001A56F3">
        <w:t>either</w:t>
      </w:r>
      <w:r w:rsidR="00465619">
        <w:t xml:space="preserve"> distributive share/distributions</w:t>
      </w:r>
      <w:r w:rsidR="00AC4EC0">
        <w:t xml:space="preserve"> nor partner-partner</w:t>
      </w:r>
      <w:r w:rsidR="00D07FE8">
        <w:t>ship</w:t>
      </w:r>
      <w:r w:rsidR="00AC4EC0">
        <w:t xml:space="preserve"> transactions</w:t>
      </w:r>
      <w:r w:rsidR="00CC11AA">
        <w:t xml:space="preserve">, </w:t>
      </w:r>
      <w:r w:rsidR="00C0012D">
        <w:t xml:space="preserve">at least as those </w:t>
      </w:r>
      <w:r w:rsidR="000F75B7">
        <w:t>categories are defined and treated under Subchapter K</w:t>
      </w:r>
      <w:r w:rsidR="005D01B6">
        <w:t xml:space="preserve">. </w:t>
      </w:r>
    </w:p>
    <w:p w14:paraId="2EA7491A" w14:textId="0A764AA6" w:rsidR="0054763C" w:rsidRDefault="007766B6" w:rsidP="001F1812">
      <w:r>
        <w:t>For example, p</w:t>
      </w:r>
      <w:r w:rsidR="005A6F5F">
        <w:t>artners are not considered employees of the partnership</w:t>
      </w:r>
      <w:r w:rsidR="00BC5C23">
        <w:t>, a</w:t>
      </w:r>
      <w:r w:rsidR="00BC5C23" w:rsidRPr="00BC5C23">
        <w:t>s discussed further in Section II below</w:t>
      </w:r>
      <w:r w:rsidR="005A6F5F">
        <w:t xml:space="preserve">. </w:t>
      </w:r>
      <w:r w:rsidR="003C34E4">
        <w:t>(</w:t>
      </w:r>
      <w:r w:rsidR="003C34E4" w:rsidRPr="003C34E4">
        <w:t>See. Rev. Rul. 69-184.</w:t>
      </w:r>
      <w:r w:rsidR="003C34E4">
        <w:t xml:space="preserve">) </w:t>
      </w:r>
      <w:r w:rsidR="005A6F5F">
        <w:t>But i</w:t>
      </w:r>
      <w:r w:rsidR="004E22D5">
        <w:t>t has always been common for partners in professional services firms to receive payments</w:t>
      </w:r>
      <w:r w:rsidR="005D2C3C">
        <w:t xml:space="preserve"> not dependent upon partnership income</w:t>
      </w:r>
      <w:r w:rsidR="004E22D5">
        <w:t xml:space="preserve"> for the</w:t>
      </w:r>
      <w:r w:rsidR="005D2C3C">
        <w:t xml:space="preserve"> professional</w:t>
      </w:r>
      <w:r w:rsidR="004E22D5">
        <w:t xml:space="preserve"> services they </w:t>
      </w:r>
      <w:r w:rsidR="00B1003F">
        <w:t>perform</w:t>
      </w:r>
      <w:r w:rsidR="004E22D5">
        <w:t xml:space="preserve">. </w:t>
      </w:r>
      <w:r w:rsidR="00BB29EF">
        <w:t xml:space="preserve">The ability </w:t>
      </w:r>
      <w:r w:rsidR="00B45A3A">
        <w:t>of partners to receive p</w:t>
      </w:r>
      <w:r w:rsidR="00BB29EF">
        <w:t xml:space="preserve">ayments not dependent upon income </w:t>
      </w:r>
      <w:r w:rsidR="004E22D5">
        <w:t>allows the partners who perform the business activities of the partnership to be compensated for those activities</w:t>
      </w:r>
      <w:r w:rsidR="00B45A3A">
        <w:t xml:space="preserve"> even if the partnership </w:t>
      </w:r>
      <w:r w:rsidR="001D4F9F">
        <w:t>reports a loss for the year</w:t>
      </w:r>
      <w:r w:rsidR="004E22D5">
        <w:t xml:space="preserve">. </w:t>
      </w:r>
      <w:r w:rsidR="00BB29EF">
        <w:t xml:space="preserve">But it raises questions about whether the aggregate or entity </w:t>
      </w:r>
      <w:r w:rsidR="00D2380F">
        <w:t>theory</w:t>
      </w:r>
      <w:r w:rsidR="00171E43">
        <w:t xml:space="preserve"> </w:t>
      </w:r>
      <w:r w:rsidR="00BB29EF">
        <w:t>should be applied.</w:t>
      </w:r>
    </w:p>
    <w:p w14:paraId="469C86AD" w14:textId="7622FD2E" w:rsidR="007632D8" w:rsidRDefault="007632D8" w:rsidP="001F1812">
      <w:r>
        <w:t xml:space="preserve">As will be discussed further in this white paper, </w:t>
      </w:r>
      <w:r w:rsidR="00F34306">
        <w:t xml:space="preserve">it is not always clear when a payment is made “without regard to the income of the partnership,” given that some </w:t>
      </w:r>
      <w:r w:rsidR="00087FAB">
        <w:t xml:space="preserve">types of guaranteed payments are tied closely to financial results other than </w:t>
      </w:r>
      <w:r w:rsidR="00D95322">
        <w:t>the amount of taxable net income</w:t>
      </w:r>
      <w:r w:rsidR="000F75B7">
        <w:t xml:space="preserve"> or </w:t>
      </w:r>
      <w:r w:rsidR="00490F4F">
        <w:t>may vary over time depending upon other circumstances</w:t>
      </w:r>
      <w:r w:rsidR="00D95322">
        <w:t xml:space="preserve">. </w:t>
      </w:r>
      <w:r w:rsidR="00490F4F">
        <w:t>But for those payments that are clearly guaranteed payments</w:t>
      </w:r>
      <w:r w:rsidR="005E7E2A">
        <w:t xml:space="preserve"> for services</w:t>
      </w:r>
      <w:r w:rsidR="00490F4F">
        <w:t>, the question is whether the entity or aggregate approach is more appropriate.</w:t>
      </w:r>
    </w:p>
    <w:p w14:paraId="6D0D1E67" w14:textId="3391FDD4" w:rsidR="003B2FB2" w:rsidRDefault="003B2FB2" w:rsidP="003B2FB2">
      <w:pPr>
        <w:pStyle w:val="Heading4"/>
      </w:pPr>
      <w:r w:rsidRPr="00822499">
        <w:lastRenderedPageBreak/>
        <w:t>Example – Comparing the Economic Result</w:t>
      </w:r>
      <w:r w:rsidR="00B13D9E">
        <w:t xml:space="preserve"> to Entity and Aggregate Tax Results</w:t>
      </w:r>
    </w:p>
    <w:p w14:paraId="62C8BE9E" w14:textId="52526F05" w:rsidR="00DF42C5" w:rsidRPr="00DF42C5" w:rsidRDefault="00DF42C5" w:rsidP="00DF42C5">
      <w:r w:rsidRPr="00DF42C5">
        <w:t xml:space="preserve">The simple example </w:t>
      </w:r>
      <w:r w:rsidR="00A06D31">
        <w:t xml:space="preserve">here </w:t>
      </w:r>
      <w:r w:rsidRPr="00DF42C5">
        <w:t>demonstrates how a typical guaranteed payment</w:t>
      </w:r>
      <w:r w:rsidR="006F1B6E">
        <w:t xml:space="preserve"> for services</w:t>
      </w:r>
      <w:r w:rsidRPr="00DF42C5">
        <w:t xml:space="preserve"> might be treated under </w:t>
      </w:r>
      <w:r w:rsidR="00A06D31">
        <w:t xml:space="preserve">either </w:t>
      </w:r>
      <w:r w:rsidRPr="00DF42C5">
        <w:t xml:space="preserve">the entity </w:t>
      </w:r>
      <w:r w:rsidR="00A06D31">
        <w:t>or</w:t>
      </w:r>
      <w:r w:rsidRPr="00DF42C5">
        <w:t xml:space="preserve"> </w:t>
      </w:r>
      <w:r w:rsidR="00A06D31">
        <w:t xml:space="preserve">the </w:t>
      </w:r>
      <w:r w:rsidRPr="00DF42C5">
        <w:t>aggregate approach.</w:t>
      </w:r>
    </w:p>
    <w:p w14:paraId="369D58D6" w14:textId="77777777" w:rsidR="002347DB" w:rsidRDefault="00AD424C" w:rsidP="00230A1F">
      <w:pPr>
        <w:spacing w:after="120"/>
        <w:ind w:left="360"/>
        <w:rPr>
          <w:b/>
          <w:bCs/>
          <w:u w:val="single"/>
        </w:rPr>
      </w:pPr>
      <w:r w:rsidRPr="00822499">
        <w:rPr>
          <w:b/>
          <w:bCs/>
          <w:u w:val="single"/>
        </w:rPr>
        <w:t xml:space="preserve">Simple </w:t>
      </w:r>
      <w:r w:rsidR="007C3ED2" w:rsidRPr="00822499">
        <w:rPr>
          <w:b/>
          <w:bCs/>
          <w:u w:val="single"/>
        </w:rPr>
        <w:t>E</w:t>
      </w:r>
      <w:r w:rsidR="00DA4DB2" w:rsidRPr="00822499">
        <w:rPr>
          <w:b/>
          <w:bCs/>
          <w:u w:val="single"/>
        </w:rPr>
        <w:t>xample</w:t>
      </w:r>
      <w:r w:rsidR="002347DB">
        <w:rPr>
          <w:b/>
          <w:bCs/>
          <w:u w:val="single"/>
        </w:rPr>
        <w:t>:</w:t>
      </w:r>
      <w:r w:rsidR="004617CD" w:rsidRPr="00822499">
        <w:rPr>
          <w:b/>
          <w:bCs/>
          <w:u w:val="single"/>
        </w:rPr>
        <w:t xml:space="preserve"> </w:t>
      </w:r>
    </w:p>
    <w:p w14:paraId="0C78F1EE" w14:textId="5A66D8F0" w:rsidR="00DA4DB2" w:rsidRDefault="004617CD" w:rsidP="00230A1F">
      <w:pPr>
        <w:spacing w:after="120"/>
        <w:ind w:left="360"/>
      </w:pPr>
      <w:r w:rsidRPr="002347DB">
        <w:rPr>
          <w:u w:val="single"/>
        </w:rPr>
        <w:t xml:space="preserve">Assume </w:t>
      </w:r>
      <w:r w:rsidR="00E43FD2" w:rsidRPr="002347DB">
        <w:rPr>
          <w:u w:val="single"/>
        </w:rPr>
        <w:t>T</w:t>
      </w:r>
      <w:r w:rsidRPr="002347DB">
        <w:rPr>
          <w:u w:val="single"/>
        </w:rPr>
        <w:t>hat</w:t>
      </w:r>
      <w:r w:rsidRPr="00822499">
        <w:t>:</w:t>
      </w:r>
      <w:r w:rsidR="008657C7">
        <w:t xml:space="preserve"> </w:t>
      </w:r>
    </w:p>
    <w:p w14:paraId="01ED92EF" w14:textId="77777777" w:rsidR="003D2AAD" w:rsidRDefault="00DA4DB2" w:rsidP="005F7F13">
      <w:pPr>
        <w:pStyle w:val="ListParagraph"/>
        <w:numPr>
          <w:ilvl w:val="0"/>
          <w:numId w:val="5"/>
        </w:numPr>
        <w:spacing w:after="40"/>
        <w:contextualSpacing w:val="0"/>
      </w:pPr>
      <w:r>
        <w:t>P</w:t>
      </w:r>
      <w:r w:rsidR="003A1E36">
        <w:t xml:space="preserve">artners </w:t>
      </w:r>
      <w:r>
        <w:t>X, Y, and Z</w:t>
      </w:r>
      <w:r w:rsidR="003A1E36">
        <w:t xml:space="preserve"> </w:t>
      </w:r>
      <w:r w:rsidR="003D2AAD">
        <w:t xml:space="preserve">agree as follows: </w:t>
      </w:r>
    </w:p>
    <w:p w14:paraId="65CB2F1A" w14:textId="1D19B55F" w:rsidR="00DA4DB2" w:rsidRDefault="003D2AAD" w:rsidP="005F7F13">
      <w:pPr>
        <w:pStyle w:val="ListParagraph"/>
        <w:numPr>
          <w:ilvl w:val="1"/>
          <w:numId w:val="5"/>
        </w:numPr>
        <w:spacing w:after="40"/>
        <w:contextualSpacing w:val="0"/>
      </w:pPr>
      <w:r>
        <w:t>E</w:t>
      </w:r>
      <w:r w:rsidR="00DA4DB2">
        <w:t>ach contribute</w:t>
      </w:r>
      <w:r w:rsidR="004617CD">
        <w:t>s</w:t>
      </w:r>
      <w:r w:rsidR="00DA4DB2">
        <w:t xml:space="preserve"> $1</w:t>
      </w:r>
      <w:r w:rsidR="00790181">
        <w:t>0</w:t>
      </w:r>
      <w:r w:rsidR="00DA4DB2">
        <w:t xml:space="preserve">,000 to </w:t>
      </w:r>
      <w:r>
        <w:t xml:space="preserve">form </w:t>
      </w:r>
      <w:r w:rsidR="00DA4DB2">
        <w:t>a partnership.</w:t>
      </w:r>
    </w:p>
    <w:p w14:paraId="05736D7E" w14:textId="53737E00" w:rsidR="00DA4DB2" w:rsidRDefault="00FA6B7B" w:rsidP="005F7F13">
      <w:pPr>
        <w:pStyle w:val="ListParagraph"/>
        <w:numPr>
          <w:ilvl w:val="1"/>
          <w:numId w:val="5"/>
        </w:numPr>
        <w:spacing w:after="40"/>
        <w:contextualSpacing w:val="0"/>
      </w:pPr>
      <w:r>
        <w:t>X, a</w:t>
      </w:r>
      <w:r w:rsidR="003A1E36">
        <w:t>s the manager</w:t>
      </w:r>
      <w:r>
        <w:t xml:space="preserve">, </w:t>
      </w:r>
      <w:r w:rsidR="003A1E36">
        <w:t>receive</w:t>
      </w:r>
      <w:r w:rsidR="004617CD">
        <w:t>s</w:t>
      </w:r>
      <w:r w:rsidR="003A1E36">
        <w:t xml:space="preserve"> $1</w:t>
      </w:r>
      <w:r w:rsidR="004C6089">
        <w:t>2</w:t>
      </w:r>
      <w:r w:rsidR="003A1E36">
        <w:t>,000 per year, regardless of partnership income</w:t>
      </w:r>
      <w:r w:rsidR="00DA4DB2">
        <w:t xml:space="preserve">. </w:t>
      </w:r>
    </w:p>
    <w:p w14:paraId="3B8D4734" w14:textId="48B8C5B5" w:rsidR="003D2AAD" w:rsidRDefault="003D2AAD" w:rsidP="005F7F13">
      <w:pPr>
        <w:pStyle w:val="ListParagraph"/>
        <w:numPr>
          <w:ilvl w:val="1"/>
          <w:numId w:val="5"/>
        </w:numPr>
        <w:spacing w:after="40"/>
        <w:contextualSpacing w:val="0"/>
      </w:pPr>
      <w:r>
        <w:t>T</w:t>
      </w:r>
      <w:r w:rsidR="00DA4DB2">
        <w:t>he</w:t>
      </w:r>
      <w:r w:rsidR="00FA6B7B">
        <w:t xml:space="preserve"> partners</w:t>
      </w:r>
      <w:r w:rsidR="00DA4DB2">
        <w:t xml:space="preserve"> </w:t>
      </w:r>
      <w:r w:rsidR="004617CD">
        <w:t xml:space="preserve">agree to </w:t>
      </w:r>
      <w:r w:rsidR="00DA4DB2">
        <w:t xml:space="preserve">split </w:t>
      </w:r>
      <w:r w:rsidR="003A1E36">
        <w:t xml:space="preserve">the </w:t>
      </w:r>
      <w:r w:rsidR="00DA4DB2">
        <w:t xml:space="preserve">remaining </w:t>
      </w:r>
      <w:r w:rsidR="003A1E36">
        <w:t>income</w:t>
      </w:r>
      <w:r w:rsidR="00DA4DB2">
        <w:t>, or resulting loss,</w:t>
      </w:r>
      <w:r w:rsidR="003A1E36">
        <w:t xml:space="preserve"> equally.</w:t>
      </w:r>
    </w:p>
    <w:p w14:paraId="1706DE6A" w14:textId="514DA858" w:rsidR="00E74E8E" w:rsidRDefault="008657C7" w:rsidP="005F7F13">
      <w:pPr>
        <w:pStyle w:val="ListParagraph"/>
        <w:numPr>
          <w:ilvl w:val="1"/>
          <w:numId w:val="5"/>
        </w:numPr>
        <w:spacing w:after="60"/>
        <w:contextualSpacing w:val="0"/>
      </w:pPr>
      <w:r>
        <w:t xml:space="preserve">The partners’ </w:t>
      </w:r>
      <w:r w:rsidR="004617CD">
        <w:t xml:space="preserve">will track </w:t>
      </w:r>
      <w:r>
        <w:t xml:space="preserve">capital accounts </w:t>
      </w:r>
      <w:r w:rsidR="004617CD">
        <w:t xml:space="preserve">according to </w:t>
      </w:r>
      <w:r>
        <w:t>this agreement and any liquidating distributions will be made pro rata according to those capital accounts</w:t>
      </w:r>
      <w:r w:rsidR="003D2AAD">
        <w:t>.</w:t>
      </w:r>
      <w:r w:rsidR="003A1E36">
        <w:t xml:space="preserve"> </w:t>
      </w:r>
    </w:p>
    <w:p w14:paraId="1249654B" w14:textId="2F5E0C94" w:rsidR="008657C7" w:rsidRDefault="00790181" w:rsidP="005F7F13">
      <w:pPr>
        <w:pStyle w:val="ListParagraph"/>
        <w:numPr>
          <w:ilvl w:val="0"/>
          <w:numId w:val="5"/>
        </w:numPr>
        <w:spacing w:after="40"/>
        <w:contextualSpacing w:val="0"/>
      </w:pPr>
      <w:r>
        <w:t>In Year 1, p</w:t>
      </w:r>
      <w:r w:rsidR="00DA4DB2">
        <w:t>artnership ha</w:t>
      </w:r>
      <w:r w:rsidR="004617CD">
        <w:t>s</w:t>
      </w:r>
      <w:r w:rsidR="008657C7">
        <w:t>:</w:t>
      </w:r>
      <w:r w:rsidR="003A1E36">
        <w:t xml:space="preserve"> </w:t>
      </w:r>
    </w:p>
    <w:p w14:paraId="5AC1DEE6" w14:textId="20AE56CF" w:rsidR="008657C7" w:rsidRDefault="00306F71" w:rsidP="005F7F13">
      <w:pPr>
        <w:pStyle w:val="ListParagraph"/>
        <w:numPr>
          <w:ilvl w:val="1"/>
          <w:numId w:val="5"/>
        </w:numPr>
        <w:spacing w:after="40"/>
        <w:contextualSpacing w:val="0"/>
      </w:pPr>
      <w:r>
        <w:t>$30,000 of gross receipts</w:t>
      </w:r>
    </w:p>
    <w:p w14:paraId="0A58025D" w14:textId="5B44FEB1" w:rsidR="008657C7" w:rsidRDefault="003A1E36" w:rsidP="005F7F13">
      <w:pPr>
        <w:pStyle w:val="ListParagraph"/>
        <w:numPr>
          <w:ilvl w:val="1"/>
          <w:numId w:val="5"/>
        </w:numPr>
        <w:spacing w:after="40"/>
        <w:contextualSpacing w:val="0"/>
      </w:pPr>
      <w:r>
        <w:t>$</w:t>
      </w:r>
      <w:r w:rsidR="004C6089">
        <w:t>9,000 of income</w:t>
      </w:r>
      <w:r w:rsidR="00DA4DB2">
        <w:t xml:space="preserve"> before subtracting the payment to X</w:t>
      </w:r>
    </w:p>
    <w:p w14:paraId="5FD384A3" w14:textId="6C993601" w:rsidR="00DA4DB2" w:rsidRDefault="00D57046" w:rsidP="005F7F13">
      <w:pPr>
        <w:pStyle w:val="ListParagraph"/>
        <w:numPr>
          <w:ilvl w:val="1"/>
          <w:numId w:val="5"/>
        </w:numPr>
        <w:spacing w:after="60"/>
        <w:contextualSpacing w:val="0"/>
      </w:pPr>
      <w:r>
        <w:t>$3,000 of loss after subtracting that payment</w:t>
      </w:r>
    </w:p>
    <w:p w14:paraId="77B15F3D" w14:textId="09F7A532" w:rsidR="003D2AAD" w:rsidRDefault="00C72828" w:rsidP="005F7F13">
      <w:pPr>
        <w:pStyle w:val="ListParagraph"/>
        <w:numPr>
          <w:ilvl w:val="0"/>
          <w:numId w:val="5"/>
        </w:numPr>
        <w:spacing w:after="240"/>
        <w:contextualSpacing w:val="0"/>
      </w:pPr>
      <w:r>
        <w:t>At the beginning of Year 2</w:t>
      </w:r>
      <w:r w:rsidR="003D2AAD">
        <w:t>, the partnership</w:t>
      </w:r>
      <w:r w:rsidR="008657C7">
        <w:t xml:space="preserve"> has cash and assets of $27,000</w:t>
      </w:r>
      <w:r w:rsidR="009E4BBE">
        <w:t>,</w:t>
      </w:r>
      <w:r w:rsidR="008657C7">
        <w:t xml:space="preserve"> which it liquidates</w:t>
      </w:r>
      <w:r w:rsidR="009E4BBE">
        <w:t>.</w:t>
      </w:r>
      <w:r w:rsidR="008657C7">
        <w:t xml:space="preserve"> </w:t>
      </w:r>
    </w:p>
    <w:p w14:paraId="5C6CE21B" w14:textId="597F554C" w:rsidR="008657C7" w:rsidRDefault="004617CD" w:rsidP="00E67AA9">
      <w:pPr>
        <w:spacing w:after="40"/>
        <w:ind w:left="792" w:hanging="360"/>
      </w:pPr>
      <w:r>
        <w:rPr>
          <w:u w:val="single"/>
        </w:rPr>
        <w:t xml:space="preserve">Economic </w:t>
      </w:r>
      <w:r w:rsidR="002347DB">
        <w:rPr>
          <w:u w:val="single"/>
        </w:rPr>
        <w:t>R</w:t>
      </w:r>
      <w:r>
        <w:rPr>
          <w:u w:val="single"/>
        </w:rPr>
        <w:t>esult</w:t>
      </w:r>
      <w:r w:rsidR="00660BE9">
        <w:rPr>
          <w:u w:val="single"/>
        </w:rPr>
        <w:t xml:space="preserve"> (tracking capital accounts)</w:t>
      </w:r>
      <w:r w:rsidR="008657C7">
        <w:t>:</w:t>
      </w:r>
      <w:r w:rsidR="003D2AAD">
        <w:t xml:space="preserve"> </w:t>
      </w:r>
    </w:p>
    <w:p w14:paraId="44D61E7C" w14:textId="05E97959" w:rsidR="008657C7" w:rsidRDefault="003D2AAD" w:rsidP="005F7F13">
      <w:pPr>
        <w:pStyle w:val="ListParagraph"/>
        <w:numPr>
          <w:ilvl w:val="0"/>
          <w:numId w:val="6"/>
        </w:numPr>
        <w:spacing w:after="40"/>
        <w:ind w:left="792"/>
        <w:contextualSpacing w:val="0"/>
      </w:pPr>
      <w:r>
        <w:t>X</w:t>
      </w:r>
      <w:r w:rsidR="008657C7">
        <w:t>, Y, and Z have beginning capital balances of $10,000</w:t>
      </w:r>
      <w:r w:rsidR="009E4BBE">
        <w:t>.</w:t>
      </w:r>
    </w:p>
    <w:p w14:paraId="2F13661B" w14:textId="75E6FC81" w:rsidR="008657C7" w:rsidRDefault="008657C7" w:rsidP="005F7F13">
      <w:pPr>
        <w:pStyle w:val="ListParagraph"/>
        <w:numPr>
          <w:ilvl w:val="0"/>
          <w:numId w:val="6"/>
        </w:numPr>
        <w:spacing w:after="40"/>
        <w:ind w:left="792"/>
        <w:contextualSpacing w:val="0"/>
      </w:pPr>
      <w:r>
        <w:t xml:space="preserve">X has </w:t>
      </w:r>
      <w:r w:rsidR="001157BC">
        <w:t>guaranteed payment income</w:t>
      </w:r>
      <w:r>
        <w:t xml:space="preserve"> of $12,000</w:t>
      </w:r>
      <w:r w:rsidR="004617CD">
        <w:t xml:space="preserve"> which does not affect X’s capital account</w:t>
      </w:r>
      <w:r w:rsidR="009E4BBE">
        <w:t>.</w:t>
      </w:r>
    </w:p>
    <w:p w14:paraId="5CFA8F04" w14:textId="31745BB5" w:rsidR="008657C7" w:rsidRDefault="00DC5117" w:rsidP="005F7F13">
      <w:pPr>
        <w:pStyle w:val="ListParagraph"/>
        <w:numPr>
          <w:ilvl w:val="0"/>
          <w:numId w:val="6"/>
        </w:numPr>
        <w:spacing w:after="40"/>
        <w:ind w:left="792"/>
        <w:contextualSpacing w:val="0"/>
      </w:pPr>
      <w:r>
        <w:t>A</w:t>
      </w:r>
      <w:r w:rsidR="00FF1F9F">
        <w:t xml:space="preserve">fter subtracting </w:t>
      </w:r>
      <w:r w:rsidR="0074497E">
        <w:t>the $12,000,</w:t>
      </w:r>
      <w:r w:rsidR="004617CD">
        <w:t xml:space="preserve"> </w:t>
      </w:r>
      <w:r>
        <w:t>t</w:t>
      </w:r>
      <w:r w:rsidRPr="00DC5117">
        <w:t xml:space="preserve">he partnership has a loss of $3,000 </w:t>
      </w:r>
      <w:r w:rsidR="004617CD">
        <w:t xml:space="preserve">which </w:t>
      </w:r>
      <w:r w:rsidR="0074497E">
        <w:t>X, Y, and Z split</w:t>
      </w:r>
      <w:r w:rsidR="009E4BBE">
        <w:t>.</w:t>
      </w:r>
      <w:r w:rsidR="008657C7">
        <w:t xml:space="preserve"> </w:t>
      </w:r>
    </w:p>
    <w:p w14:paraId="63E6BA68" w14:textId="10415A35" w:rsidR="008657C7" w:rsidRDefault="0074497E" w:rsidP="005F7F13">
      <w:pPr>
        <w:pStyle w:val="ListParagraph"/>
        <w:numPr>
          <w:ilvl w:val="0"/>
          <w:numId w:val="6"/>
        </w:numPr>
        <w:spacing w:after="40"/>
        <w:ind w:left="792"/>
        <w:contextualSpacing w:val="0"/>
      </w:pPr>
      <w:r>
        <w:t>Each partner subtracts the $1,000 loss from their</w:t>
      </w:r>
      <w:r w:rsidR="008657C7">
        <w:t xml:space="preserve"> capital balances</w:t>
      </w:r>
      <w:r>
        <w:t xml:space="preserve">, leaving </w:t>
      </w:r>
      <w:r w:rsidR="008657C7">
        <w:t xml:space="preserve"> $9,000</w:t>
      </w:r>
      <w:r w:rsidR="009E4BBE">
        <w:t>.</w:t>
      </w:r>
    </w:p>
    <w:p w14:paraId="37394BFB" w14:textId="3E176267" w:rsidR="00D57046" w:rsidRDefault="004617CD" w:rsidP="005F7F13">
      <w:pPr>
        <w:pStyle w:val="ListParagraph"/>
        <w:numPr>
          <w:ilvl w:val="0"/>
          <w:numId w:val="6"/>
        </w:numPr>
        <w:spacing w:after="240"/>
        <w:ind w:left="792" w:right="432"/>
        <w:contextualSpacing w:val="0"/>
      </w:pPr>
      <w:r>
        <w:t xml:space="preserve">The partners </w:t>
      </w:r>
      <w:r w:rsidR="0074497E">
        <w:t xml:space="preserve">share of </w:t>
      </w:r>
      <w:r>
        <w:t>liquidating distributions</w:t>
      </w:r>
      <w:r w:rsidR="0074497E">
        <w:t xml:space="preserve"> is</w:t>
      </w:r>
      <w:r>
        <w:t xml:space="preserve"> $9,000</w:t>
      </w:r>
      <w:r w:rsidR="0074497E">
        <w:t xml:space="preserve"> each</w:t>
      </w:r>
      <w:r w:rsidR="00693F30">
        <w:t>—equal to their capital accounts</w:t>
      </w:r>
      <w:r w:rsidR="00D57046">
        <w:t xml:space="preserve">. </w:t>
      </w:r>
    </w:p>
    <w:p w14:paraId="5B2581C8" w14:textId="3BF24001" w:rsidR="009E4BBE" w:rsidRDefault="004617CD" w:rsidP="00E67AA9">
      <w:pPr>
        <w:spacing w:after="40"/>
        <w:ind w:left="792" w:hanging="360"/>
      </w:pPr>
      <w:r>
        <w:rPr>
          <w:u w:val="single"/>
        </w:rPr>
        <w:t>T</w:t>
      </w:r>
      <w:r w:rsidR="009E4BBE" w:rsidRPr="009E4BBE">
        <w:rPr>
          <w:u w:val="single"/>
        </w:rPr>
        <w:t xml:space="preserve">ax </w:t>
      </w:r>
      <w:r w:rsidR="002347DB">
        <w:rPr>
          <w:u w:val="single"/>
        </w:rPr>
        <w:t>R</w:t>
      </w:r>
      <w:r w:rsidR="009E4BBE" w:rsidRPr="009E4BBE">
        <w:rPr>
          <w:u w:val="single"/>
        </w:rPr>
        <w:t xml:space="preserve">esult </w:t>
      </w:r>
      <w:r>
        <w:rPr>
          <w:u w:val="single"/>
        </w:rPr>
        <w:t xml:space="preserve">– </w:t>
      </w:r>
      <w:r w:rsidR="002347DB">
        <w:rPr>
          <w:u w:val="single"/>
        </w:rPr>
        <w:t>E</w:t>
      </w:r>
      <w:r w:rsidR="009E4BBE" w:rsidRPr="009E4BBE">
        <w:rPr>
          <w:u w:val="single"/>
        </w:rPr>
        <w:t xml:space="preserve">ntity </w:t>
      </w:r>
      <w:r w:rsidR="002347DB">
        <w:rPr>
          <w:u w:val="single"/>
        </w:rPr>
        <w:t>A</w:t>
      </w:r>
      <w:r w:rsidR="009E4BBE" w:rsidRPr="009E4BBE">
        <w:rPr>
          <w:u w:val="single"/>
        </w:rPr>
        <w:t>pproach</w:t>
      </w:r>
      <w:r w:rsidR="00660BE9">
        <w:rPr>
          <w:u w:val="single"/>
        </w:rPr>
        <w:t xml:space="preserve"> (tracking outside basis)</w:t>
      </w:r>
      <w:r w:rsidR="009E4BBE">
        <w:t xml:space="preserve">: </w:t>
      </w:r>
    </w:p>
    <w:p w14:paraId="4D511C54" w14:textId="61C85713" w:rsidR="009E4BBE" w:rsidRPr="009E4BBE" w:rsidRDefault="009E4BBE" w:rsidP="005F7F13">
      <w:pPr>
        <w:numPr>
          <w:ilvl w:val="0"/>
          <w:numId w:val="6"/>
        </w:numPr>
        <w:spacing w:after="40"/>
        <w:ind w:left="792"/>
      </w:pPr>
      <w:r w:rsidRPr="009E4BBE">
        <w:t xml:space="preserve">X, Y, and Z have beginning </w:t>
      </w:r>
      <w:r>
        <w:t>outside basis</w:t>
      </w:r>
      <w:r w:rsidRPr="009E4BBE">
        <w:t xml:space="preserve"> of $10,000.</w:t>
      </w:r>
    </w:p>
    <w:p w14:paraId="3BB8AAF7" w14:textId="5F755A98" w:rsidR="009E4BBE" w:rsidRDefault="009E4BBE" w:rsidP="005F7F13">
      <w:pPr>
        <w:numPr>
          <w:ilvl w:val="0"/>
          <w:numId w:val="6"/>
        </w:numPr>
        <w:spacing w:after="40"/>
        <w:ind w:left="792"/>
      </w:pPr>
      <w:r w:rsidRPr="009E4BBE">
        <w:t xml:space="preserve">X </w:t>
      </w:r>
      <w:r>
        <w:t xml:space="preserve">recognizes ordinary </w:t>
      </w:r>
      <w:r w:rsidRPr="009E4BBE">
        <w:t>income of $12,000</w:t>
      </w:r>
      <w:r>
        <w:t>, which does not affect X’s outside basis.</w:t>
      </w:r>
    </w:p>
    <w:p w14:paraId="0E883C3C" w14:textId="77835FF9" w:rsidR="009E4BBE" w:rsidRDefault="009D0A42" w:rsidP="005F7F13">
      <w:pPr>
        <w:numPr>
          <w:ilvl w:val="0"/>
          <w:numId w:val="6"/>
        </w:numPr>
        <w:spacing w:after="40"/>
        <w:ind w:left="792"/>
      </w:pPr>
      <w:r w:rsidRPr="009D0A42">
        <w:t>After subtracting the $12,000, the partnership has a loss of $3,000 which X, Y, and Z split.</w:t>
      </w:r>
    </w:p>
    <w:p w14:paraId="68F88C8E" w14:textId="77777777" w:rsidR="009E4BBE" w:rsidRDefault="009E4BBE" w:rsidP="005F7F13">
      <w:pPr>
        <w:numPr>
          <w:ilvl w:val="0"/>
          <w:numId w:val="6"/>
        </w:numPr>
        <w:spacing w:after="40"/>
        <w:ind w:left="792"/>
      </w:pPr>
      <w:r>
        <w:t>The $1,000 loss each partner recognizes reduces their outside basis to $9,000.</w:t>
      </w:r>
    </w:p>
    <w:p w14:paraId="7A8D60EE" w14:textId="102D3D7E" w:rsidR="00AD424C" w:rsidRDefault="0074497E" w:rsidP="005F7F13">
      <w:pPr>
        <w:numPr>
          <w:ilvl w:val="0"/>
          <w:numId w:val="6"/>
        </w:numPr>
        <w:spacing w:after="240"/>
        <w:ind w:left="792" w:right="432"/>
      </w:pPr>
      <w:r>
        <w:t>T</w:t>
      </w:r>
      <w:r w:rsidR="009E4BBE" w:rsidRPr="009E4BBE">
        <w:t>he partners</w:t>
      </w:r>
      <w:r>
        <w:t>’ liquidating distribution of</w:t>
      </w:r>
      <w:r w:rsidR="009E4BBE">
        <w:t xml:space="preserve"> $9,000 each</w:t>
      </w:r>
      <w:r>
        <w:t xml:space="preserve"> is equal to outside basis</w:t>
      </w:r>
      <w:r w:rsidR="009E4BBE">
        <w:t xml:space="preserve">—resulting in no gain or loss recognized by any of the partners. </w:t>
      </w:r>
    </w:p>
    <w:p w14:paraId="4227C865" w14:textId="5D78D212" w:rsidR="009E4BBE" w:rsidRDefault="0074497E" w:rsidP="00222893">
      <w:pPr>
        <w:spacing w:after="60"/>
        <w:ind w:left="792" w:right="432" w:hanging="360"/>
      </w:pPr>
      <w:r>
        <w:rPr>
          <w:u w:val="single"/>
        </w:rPr>
        <w:t>T</w:t>
      </w:r>
      <w:r w:rsidR="009E4BBE" w:rsidRPr="009E4BBE">
        <w:rPr>
          <w:u w:val="single"/>
        </w:rPr>
        <w:t xml:space="preserve">ax result </w:t>
      </w:r>
      <w:r>
        <w:rPr>
          <w:u w:val="single"/>
        </w:rPr>
        <w:t xml:space="preserve">– </w:t>
      </w:r>
      <w:r w:rsidR="002347DB">
        <w:rPr>
          <w:u w:val="single"/>
        </w:rPr>
        <w:t>A</w:t>
      </w:r>
      <w:r w:rsidR="009E4BBE" w:rsidRPr="009E4BBE">
        <w:rPr>
          <w:u w:val="single"/>
        </w:rPr>
        <w:t xml:space="preserve">ggregate </w:t>
      </w:r>
      <w:r w:rsidR="002347DB">
        <w:rPr>
          <w:u w:val="single"/>
        </w:rPr>
        <w:t>A</w:t>
      </w:r>
      <w:r w:rsidR="009E4BBE" w:rsidRPr="009E4BBE">
        <w:rPr>
          <w:u w:val="single"/>
        </w:rPr>
        <w:t>pproach</w:t>
      </w:r>
      <w:r w:rsidR="00F72A33">
        <w:rPr>
          <w:u w:val="single"/>
        </w:rPr>
        <w:t xml:space="preserve"> (tracking outside basis)</w:t>
      </w:r>
      <w:r w:rsidR="009E4BBE">
        <w:t xml:space="preserve">: </w:t>
      </w:r>
    </w:p>
    <w:p w14:paraId="7E7D9D2A" w14:textId="78A2BB79" w:rsidR="009E4BBE" w:rsidRPr="009E4BBE" w:rsidRDefault="009E4BBE" w:rsidP="005F7F13">
      <w:pPr>
        <w:numPr>
          <w:ilvl w:val="0"/>
          <w:numId w:val="7"/>
        </w:numPr>
        <w:spacing w:after="60"/>
        <w:ind w:left="792" w:right="432"/>
      </w:pPr>
      <w:r w:rsidRPr="009E4BBE">
        <w:t xml:space="preserve">X, Y, and Z </w:t>
      </w:r>
      <w:r w:rsidR="008E63C8">
        <w:t xml:space="preserve">would </w:t>
      </w:r>
      <w:r w:rsidRPr="009E4BBE">
        <w:t xml:space="preserve">have beginning </w:t>
      </w:r>
      <w:r>
        <w:t>outside basis</w:t>
      </w:r>
      <w:r w:rsidRPr="009E4BBE">
        <w:t xml:space="preserve"> of $10,000.</w:t>
      </w:r>
    </w:p>
    <w:p w14:paraId="66252799" w14:textId="1E7DB1D7" w:rsidR="009E4BBE" w:rsidRDefault="0074497E" w:rsidP="005F7F13">
      <w:pPr>
        <w:pStyle w:val="ListParagraph"/>
        <w:numPr>
          <w:ilvl w:val="0"/>
          <w:numId w:val="7"/>
        </w:numPr>
        <w:spacing w:after="60"/>
        <w:ind w:left="792" w:right="432"/>
        <w:contextualSpacing w:val="0"/>
      </w:pPr>
      <w:r>
        <w:t xml:space="preserve">Partnership </w:t>
      </w:r>
      <w:r w:rsidR="008E63C8">
        <w:t xml:space="preserve">would </w:t>
      </w:r>
      <w:r>
        <w:t>report</w:t>
      </w:r>
      <w:r w:rsidR="009E4BBE" w:rsidRPr="009E4BBE">
        <w:t xml:space="preserve"> $</w:t>
      </w:r>
      <w:r w:rsidR="009E4BBE">
        <w:t>9</w:t>
      </w:r>
      <w:r w:rsidR="009E4BBE" w:rsidRPr="009E4BBE">
        <w:t xml:space="preserve">,000 </w:t>
      </w:r>
      <w:r w:rsidR="009E4BBE">
        <w:t xml:space="preserve">in </w:t>
      </w:r>
      <w:r w:rsidR="009E4BBE" w:rsidRPr="009E4BBE">
        <w:t xml:space="preserve">partnership </w:t>
      </w:r>
      <w:r>
        <w:t xml:space="preserve">income </w:t>
      </w:r>
      <w:r w:rsidR="009E4BBE">
        <w:t>without</w:t>
      </w:r>
      <w:r w:rsidR="009E4BBE" w:rsidRPr="009E4BBE">
        <w:t xml:space="preserve"> deducting the $12,000.</w:t>
      </w:r>
    </w:p>
    <w:p w14:paraId="528DBBCE" w14:textId="547D2490" w:rsidR="0074497E" w:rsidRDefault="0074497E" w:rsidP="005F7F13">
      <w:pPr>
        <w:pStyle w:val="ListParagraph"/>
        <w:numPr>
          <w:ilvl w:val="0"/>
          <w:numId w:val="7"/>
        </w:numPr>
        <w:spacing w:after="60"/>
        <w:ind w:left="792" w:right="432"/>
        <w:contextualSpacing w:val="0"/>
      </w:pPr>
      <w:r>
        <w:t xml:space="preserve">X, Y, and Z </w:t>
      </w:r>
      <w:r w:rsidR="008E63C8">
        <w:t xml:space="preserve">would </w:t>
      </w:r>
      <w:r>
        <w:t>each report $3,000 of partnership income.</w:t>
      </w:r>
    </w:p>
    <w:p w14:paraId="69D6773E" w14:textId="386F53DB" w:rsidR="009E4BBE" w:rsidRDefault="00C72828" w:rsidP="005F7F13">
      <w:pPr>
        <w:pStyle w:val="ListParagraph"/>
        <w:numPr>
          <w:ilvl w:val="0"/>
          <w:numId w:val="7"/>
        </w:numPr>
        <w:spacing w:after="60"/>
        <w:ind w:left="792" w:right="432"/>
        <w:contextualSpacing w:val="0"/>
      </w:pPr>
      <w:r>
        <w:t xml:space="preserve">X, Y, and Z </w:t>
      </w:r>
      <w:r w:rsidR="008E63C8">
        <w:t xml:space="preserve">would </w:t>
      </w:r>
      <w:r>
        <w:t>have a</w:t>
      </w:r>
      <w:r w:rsidR="00E43FD2">
        <w:t>n</w:t>
      </w:r>
      <w:r>
        <w:t xml:space="preserve"> outside basis after income allocation of $13,000 each.</w:t>
      </w:r>
    </w:p>
    <w:p w14:paraId="47D9196F" w14:textId="0E727421" w:rsidR="00C72828" w:rsidRDefault="00C72828" w:rsidP="005F7F13">
      <w:pPr>
        <w:pStyle w:val="ListParagraph"/>
        <w:numPr>
          <w:ilvl w:val="0"/>
          <w:numId w:val="7"/>
        </w:numPr>
        <w:spacing w:after="40"/>
        <w:ind w:left="792" w:right="432"/>
        <w:contextualSpacing w:val="0"/>
      </w:pPr>
      <w:r>
        <w:t xml:space="preserve">The $12,000 payment to X </w:t>
      </w:r>
      <w:r w:rsidR="008E63C8">
        <w:t>would be</w:t>
      </w:r>
      <w:r>
        <w:t xml:space="preserve"> a distribution, reducing X’s outside basis to $1,000.</w:t>
      </w:r>
    </w:p>
    <w:p w14:paraId="4CE1041A" w14:textId="6640BE90" w:rsidR="0074497E" w:rsidRDefault="0074497E" w:rsidP="005F7F13">
      <w:pPr>
        <w:pStyle w:val="ListParagraph"/>
        <w:numPr>
          <w:ilvl w:val="0"/>
          <w:numId w:val="7"/>
        </w:numPr>
        <w:spacing w:after="40"/>
        <w:ind w:left="792" w:right="432"/>
        <w:contextualSpacing w:val="0"/>
      </w:pPr>
      <w:r>
        <w:t xml:space="preserve">The partner’s </w:t>
      </w:r>
      <w:r w:rsidR="008E63C8">
        <w:t xml:space="preserve">agreed upon </w:t>
      </w:r>
      <w:r>
        <w:t xml:space="preserve">liquidating distribution of $9,000 each </w:t>
      </w:r>
      <w:r w:rsidR="008E63C8">
        <w:t>would be</w:t>
      </w:r>
      <w:r>
        <w:t xml:space="preserve"> greater than X’s outside basis of $1,000—resulting in a capital gain of § 8,000. (See IRC § 731.)</w:t>
      </w:r>
    </w:p>
    <w:p w14:paraId="2701697C" w14:textId="07245C52" w:rsidR="00C72828" w:rsidRDefault="008E63C8" w:rsidP="005F7F13">
      <w:pPr>
        <w:pStyle w:val="ListParagraph"/>
        <w:numPr>
          <w:ilvl w:val="0"/>
          <w:numId w:val="7"/>
        </w:numPr>
        <w:spacing w:after="60"/>
        <w:ind w:left="792" w:right="432"/>
        <w:contextualSpacing w:val="0"/>
      </w:pPr>
      <w:r>
        <w:t>The agreed upon</w:t>
      </w:r>
      <w:r w:rsidR="0074497E">
        <w:t xml:space="preserve"> liquidating distribution of $9,000 </w:t>
      </w:r>
      <w:r w:rsidR="00F247AE">
        <w:t>would be less</w:t>
      </w:r>
      <w:r w:rsidR="0074497E">
        <w:t xml:space="preserve"> than</w:t>
      </w:r>
      <w:r w:rsidR="00C72828">
        <w:t xml:space="preserve"> </w:t>
      </w:r>
      <w:r w:rsidR="00790181">
        <w:t>Y and Z</w:t>
      </w:r>
      <w:r w:rsidR="0074497E">
        <w:t>’s</w:t>
      </w:r>
      <w:r w:rsidR="00790181">
        <w:t xml:space="preserve"> </w:t>
      </w:r>
      <w:r w:rsidR="00C72828">
        <w:t>outside basis of</w:t>
      </w:r>
      <w:r w:rsidR="00D57046">
        <w:t xml:space="preserve"> $13,000</w:t>
      </w:r>
      <w:r w:rsidR="0074497E">
        <w:t xml:space="preserve">—resulting in </w:t>
      </w:r>
      <w:r w:rsidR="00C44F6B">
        <w:t>capital losses</w:t>
      </w:r>
      <w:r w:rsidR="00E43FD2">
        <w:t xml:space="preserve"> of $4,000</w:t>
      </w:r>
      <w:r w:rsidR="00790181">
        <w:t>.</w:t>
      </w:r>
      <w:r w:rsidR="00C44F6B">
        <w:t xml:space="preserve"> (See IRC § 741). </w:t>
      </w:r>
    </w:p>
    <w:p w14:paraId="37D6D63C" w14:textId="77777777" w:rsidR="00426EB0" w:rsidRDefault="00E630A4" w:rsidP="00222893">
      <w:pPr>
        <w:spacing w:after="60"/>
      </w:pPr>
      <w:r>
        <w:t xml:space="preserve"> </w:t>
      </w:r>
    </w:p>
    <w:p w14:paraId="6A4FC119" w14:textId="49BB5A40" w:rsidR="00C0012D" w:rsidRDefault="00E43FD2" w:rsidP="00222893">
      <w:pPr>
        <w:spacing w:after="60"/>
      </w:pPr>
      <w:r>
        <w:t xml:space="preserve">See the comparison of these results in the table </w:t>
      </w:r>
      <w:r w:rsidR="00A26E6B">
        <w:t>below</w:t>
      </w:r>
      <w:r>
        <w:t>.</w:t>
      </w:r>
    </w:p>
    <w:p w14:paraId="4D72D491" w14:textId="77777777" w:rsidR="00212343" w:rsidRDefault="00212343">
      <w:pPr>
        <w:spacing w:line="276" w:lineRule="auto"/>
        <w:jc w:val="left"/>
      </w:pPr>
    </w:p>
    <w:p w14:paraId="5A3812EB" w14:textId="77777777" w:rsidR="00212343" w:rsidRDefault="00212343">
      <w:pPr>
        <w:spacing w:line="276" w:lineRule="auto"/>
        <w:jc w:val="left"/>
      </w:pPr>
    </w:p>
    <w:p w14:paraId="00EFF793" w14:textId="77777777" w:rsidR="00A85F73" w:rsidRDefault="00A85F73">
      <w:pPr>
        <w:spacing w:line="276" w:lineRule="auto"/>
        <w:jc w:val="left"/>
      </w:pPr>
    </w:p>
    <w:tbl>
      <w:tblPr>
        <w:tblW w:w="8910" w:type="dxa"/>
        <w:tblInd w:w="-90" w:type="dxa"/>
        <w:tblLook w:val="04A0" w:firstRow="1" w:lastRow="0" w:firstColumn="1" w:lastColumn="0" w:noHBand="0" w:noVBand="1"/>
      </w:tblPr>
      <w:tblGrid>
        <w:gridCol w:w="2160"/>
        <w:gridCol w:w="2880"/>
        <w:gridCol w:w="1260"/>
        <w:gridCol w:w="1350"/>
        <w:gridCol w:w="1260"/>
      </w:tblGrid>
      <w:tr w:rsidR="00CF2E3C" w:rsidRPr="00EE6BA0" w14:paraId="4FA0D708" w14:textId="77777777" w:rsidTr="00E11D18">
        <w:trPr>
          <w:trHeight w:val="612"/>
        </w:trPr>
        <w:tc>
          <w:tcPr>
            <w:tcW w:w="2160" w:type="dxa"/>
            <w:tcBorders>
              <w:top w:val="nil"/>
              <w:left w:val="nil"/>
              <w:bottom w:val="single" w:sz="4" w:space="0" w:color="auto"/>
              <w:right w:val="nil"/>
            </w:tcBorders>
            <w:shd w:val="clear" w:color="auto" w:fill="auto"/>
            <w:noWrap/>
            <w:vAlign w:val="bottom"/>
            <w:hideMark/>
          </w:tcPr>
          <w:p w14:paraId="5957C47F" w14:textId="77777777" w:rsidR="00EE6BA0" w:rsidRPr="00EE6BA0" w:rsidRDefault="00EE6BA0" w:rsidP="00EE6BA0">
            <w:pPr>
              <w:spacing w:after="0" w:line="240" w:lineRule="auto"/>
              <w:jc w:val="left"/>
              <w:rPr>
                <w:rFonts w:asciiTheme="majorHAnsi" w:eastAsia="Times New Roman" w:hAnsiTheme="majorHAnsi" w:cs="Times New Roman"/>
                <w:sz w:val="18"/>
                <w:szCs w:val="18"/>
              </w:rPr>
            </w:pPr>
          </w:p>
        </w:tc>
        <w:tc>
          <w:tcPr>
            <w:tcW w:w="2880" w:type="dxa"/>
            <w:tcBorders>
              <w:top w:val="nil"/>
              <w:left w:val="nil"/>
              <w:bottom w:val="single" w:sz="4" w:space="0" w:color="auto"/>
              <w:right w:val="nil"/>
            </w:tcBorders>
            <w:shd w:val="clear" w:color="auto" w:fill="auto"/>
            <w:noWrap/>
            <w:vAlign w:val="bottom"/>
            <w:hideMark/>
          </w:tcPr>
          <w:p w14:paraId="171A2D95" w14:textId="77777777" w:rsidR="00EE6BA0" w:rsidRPr="00EE6BA0" w:rsidRDefault="00EE6BA0" w:rsidP="00EE6BA0">
            <w:pPr>
              <w:spacing w:after="0" w:line="240" w:lineRule="auto"/>
              <w:jc w:val="left"/>
              <w:rPr>
                <w:rFonts w:asciiTheme="majorHAnsi" w:eastAsia="Times New Roman" w:hAnsiTheme="majorHAnsi" w:cs="Times New Roman"/>
                <w:sz w:val="18"/>
                <w:szCs w:val="18"/>
              </w:rPr>
            </w:pPr>
          </w:p>
        </w:tc>
        <w:tc>
          <w:tcPr>
            <w:tcW w:w="1260" w:type="dxa"/>
            <w:tcBorders>
              <w:top w:val="nil"/>
              <w:left w:val="nil"/>
              <w:bottom w:val="single" w:sz="4" w:space="0" w:color="auto"/>
              <w:right w:val="nil"/>
            </w:tcBorders>
            <w:shd w:val="clear" w:color="auto" w:fill="auto"/>
            <w:vAlign w:val="center"/>
            <w:hideMark/>
          </w:tcPr>
          <w:p w14:paraId="625360C1" w14:textId="54D73808" w:rsidR="00EE6BA0" w:rsidRPr="00EE6BA0" w:rsidRDefault="00EE6BA0" w:rsidP="00EE6BA0">
            <w:pPr>
              <w:spacing w:after="0" w:line="240" w:lineRule="auto"/>
              <w:jc w:val="center"/>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 xml:space="preserve">Economic </w:t>
            </w:r>
            <w:r w:rsidR="009A1A12">
              <w:rPr>
                <w:rFonts w:asciiTheme="majorHAnsi" w:eastAsia="Times New Roman" w:hAnsiTheme="majorHAnsi" w:cs="Calibri"/>
                <w:b/>
                <w:bCs/>
                <w:color w:val="000000"/>
                <w:sz w:val="18"/>
                <w:szCs w:val="18"/>
              </w:rPr>
              <w:br/>
            </w:r>
            <w:r w:rsidRPr="00EE6BA0">
              <w:rPr>
                <w:rFonts w:asciiTheme="majorHAnsi" w:eastAsia="Times New Roman" w:hAnsiTheme="majorHAnsi" w:cs="Calibri"/>
                <w:b/>
                <w:bCs/>
                <w:color w:val="000000"/>
                <w:sz w:val="18"/>
                <w:szCs w:val="18"/>
              </w:rPr>
              <w:t>Results</w:t>
            </w:r>
          </w:p>
        </w:tc>
        <w:tc>
          <w:tcPr>
            <w:tcW w:w="1350" w:type="dxa"/>
            <w:tcBorders>
              <w:top w:val="nil"/>
              <w:left w:val="nil"/>
              <w:bottom w:val="single" w:sz="4" w:space="0" w:color="auto"/>
              <w:right w:val="nil"/>
            </w:tcBorders>
            <w:shd w:val="clear" w:color="auto" w:fill="auto"/>
            <w:vAlign w:val="center"/>
            <w:hideMark/>
          </w:tcPr>
          <w:p w14:paraId="33B3ABB9" w14:textId="1F2E8B4C" w:rsidR="00EE6BA0" w:rsidRPr="00EE6BA0" w:rsidRDefault="00EE6BA0" w:rsidP="00EE6BA0">
            <w:pPr>
              <w:spacing w:after="0" w:line="240" w:lineRule="auto"/>
              <w:jc w:val="center"/>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 xml:space="preserve">Entity </w:t>
            </w:r>
            <w:r w:rsidR="000D237E" w:rsidRPr="009A1A12">
              <w:rPr>
                <w:rFonts w:asciiTheme="majorHAnsi" w:eastAsia="Times New Roman" w:hAnsiTheme="majorHAnsi" w:cs="Calibri"/>
                <w:b/>
                <w:bCs/>
                <w:color w:val="000000"/>
                <w:sz w:val="18"/>
                <w:szCs w:val="18"/>
              </w:rPr>
              <w:br/>
            </w:r>
            <w:r w:rsidRPr="00EE6BA0">
              <w:rPr>
                <w:rFonts w:asciiTheme="majorHAnsi" w:eastAsia="Times New Roman" w:hAnsiTheme="majorHAnsi" w:cs="Calibri"/>
                <w:b/>
                <w:bCs/>
                <w:color w:val="000000"/>
                <w:sz w:val="18"/>
                <w:szCs w:val="18"/>
              </w:rPr>
              <w:t>Approach</w:t>
            </w:r>
          </w:p>
        </w:tc>
        <w:tc>
          <w:tcPr>
            <w:tcW w:w="1260" w:type="dxa"/>
            <w:tcBorders>
              <w:top w:val="nil"/>
              <w:left w:val="single" w:sz="8" w:space="0" w:color="auto"/>
              <w:bottom w:val="single" w:sz="4" w:space="0" w:color="auto"/>
              <w:right w:val="nil"/>
            </w:tcBorders>
            <w:shd w:val="clear" w:color="000000" w:fill="F2F2F2"/>
            <w:vAlign w:val="center"/>
            <w:hideMark/>
          </w:tcPr>
          <w:p w14:paraId="0ECFA95C" w14:textId="5F8D7215" w:rsidR="00EE6BA0" w:rsidRPr="00EE6BA0" w:rsidRDefault="00EE6BA0" w:rsidP="00EE6BA0">
            <w:pPr>
              <w:spacing w:after="0" w:line="240" w:lineRule="auto"/>
              <w:jc w:val="center"/>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 xml:space="preserve">Aggregate </w:t>
            </w:r>
            <w:r w:rsidR="009A1A12">
              <w:rPr>
                <w:rFonts w:asciiTheme="majorHAnsi" w:eastAsia="Times New Roman" w:hAnsiTheme="majorHAnsi" w:cs="Calibri"/>
                <w:b/>
                <w:bCs/>
                <w:color w:val="000000"/>
                <w:sz w:val="18"/>
                <w:szCs w:val="18"/>
              </w:rPr>
              <w:br/>
            </w:r>
            <w:r w:rsidRPr="00EE6BA0">
              <w:rPr>
                <w:rFonts w:asciiTheme="majorHAnsi" w:eastAsia="Times New Roman" w:hAnsiTheme="majorHAnsi" w:cs="Calibri"/>
                <w:b/>
                <w:bCs/>
                <w:color w:val="000000"/>
                <w:sz w:val="18"/>
                <w:szCs w:val="18"/>
              </w:rPr>
              <w:t>Approach</w:t>
            </w:r>
          </w:p>
        </w:tc>
      </w:tr>
      <w:tr w:rsidR="00EE6BA0" w:rsidRPr="00EE6BA0" w14:paraId="2F25E7B1" w14:textId="77777777" w:rsidTr="00E11D18">
        <w:trPr>
          <w:trHeight w:val="300"/>
        </w:trPr>
        <w:tc>
          <w:tcPr>
            <w:tcW w:w="7650" w:type="dxa"/>
            <w:gridSpan w:val="4"/>
            <w:tcBorders>
              <w:top w:val="single" w:sz="4" w:space="0" w:color="auto"/>
              <w:left w:val="single" w:sz="4" w:space="0" w:color="auto"/>
              <w:bottom w:val="single" w:sz="8" w:space="0" w:color="auto"/>
              <w:right w:val="nil"/>
            </w:tcBorders>
            <w:shd w:val="clear" w:color="auto" w:fill="auto"/>
            <w:noWrap/>
            <w:vAlign w:val="bottom"/>
            <w:hideMark/>
          </w:tcPr>
          <w:p w14:paraId="39DC6254" w14:textId="77777777" w:rsidR="00484465" w:rsidRDefault="00484465" w:rsidP="00EE6BA0">
            <w:pPr>
              <w:spacing w:after="0" w:line="240" w:lineRule="auto"/>
              <w:jc w:val="left"/>
              <w:rPr>
                <w:rFonts w:asciiTheme="majorHAnsi" w:eastAsia="Times New Roman" w:hAnsiTheme="majorHAnsi" w:cs="Calibri"/>
                <w:b/>
                <w:bCs/>
                <w:color w:val="000000"/>
                <w:sz w:val="18"/>
                <w:szCs w:val="18"/>
              </w:rPr>
            </w:pPr>
          </w:p>
          <w:p w14:paraId="30B4307D" w14:textId="0BB50062" w:rsidR="00EE6BA0" w:rsidRDefault="00EE6BA0" w:rsidP="00EE6BA0">
            <w:pPr>
              <w:spacing w:after="0" w:line="240" w:lineRule="auto"/>
              <w:jc w:val="left"/>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Results for Partner X</w:t>
            </w:r>
          </w:p>
          <w:p w14:paraId="7A2FF8AB" w14:textId="77777777" w:rsidR="00484465" w:rsidRDefault="00484465" w:rsidP="00EE6BA0">
            <w:pPr>
              <w:spacing w:after="0" w:line="240" w:lineRule="auto"/>
              <w:jc w:val="left"/>
              <w:rPr>
                <w:rFonts w:asciiTheme="majorHAnsi" w:eastAsia="Times New Roman" w:hAnsiTheme="majorHAnsi" w:cs="Calibri"/>
                <w:b/>
                <w:bCs/>
                <w:color w:val="000000"/>
                <w:sz w:val="18"/>
                <w:szCs w:val="18"/>
              </w:rPr>
            </w:pPr>
          </w:p>
          <w:p w14:paraId="686638FA" w14:textId="77777777" w:rsidR="00484465" w:rsidRPr="00EE6BA0" w:rsidRDefault="00484465" w:rsidP="00EE6BA0">
            <w:pPr>
              <w:spacing w:after="0" w:line="240" w:lineRule="auto"/>
              <w:jc w:val="left"/>
              <w:rPr>
                <w:rFonts w:asciiTheme="majorHAnsi" w:eastAsia="Times New Roman" w:hAnsiTheme="majorHAnsi" w:cs="Calibri"/>
                <w:b/>
                <w:bCs/>
                <w:color w:val="000000"/>
                <w:sz w:val="18"/>
                <w:szCs w:val="18"/>
              </w:rPr>
            </w:pPr>
          </w:p>
        </w:tc>
        <w:tc>
          <w:tcPr>
            <w:tcW w:w="1260"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34A4BE51" w14:textId="77777777" w:rsidR="00EE6BA0" w:rsidRPr="00EE6BA0" w:rsidRDefault="00EE6BA0" w:rsidP="00EE6BA0">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r>
      <w:tr w:rsidR="00CF2E3C" w:rsidRPr="00EE6BA0" w14:paraId="1DB0610C"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C3648F7"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1</w:t>
            </w:r>
          </w:p>
        </w:tc>
        <w:tc>
          <w:tcPr>
            <w:tcW w:w="2880" w:type="dxa"/>
            <w:tcBorders>
              <w:top w:val="nil"/>
              <w:left w:val="nil"/>
              <w:bottom w:val="single" w:sz="4" w:space="0" w:color="auto"/>
              <w:right w:val="single" w:sz="4" w:space="0" w:color="auto"/>
            </w:tcBorders>
            <w:shd w:val="clear" w:color="auto" w:fill="auto"/>
            <w:noWrap/>
            <w:vAlign w:val="center"/>
            <w:hideMark/>
          </w:tcPr>
          <w:p w14:paraId="299A1981"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Ordinary Income</w:t>
            </w:r>
          </w:p>
        </w:tc>
        <w:tc>
          <w:tcPr>
            <w:tcW w:w="1260" w:type="dxa"/>
            <w:tcBorders>
              <w:top w:val="nil"/>
              <w:left w:val="nil"/>
              <w:bottom w:val="single" w:sz="4" w:space="0" w:color="auto"/>
              <w:right w:val="single" w:sz="4" w:space="0" w:color="auto"/>
            </w:tcBorders>
            <w:shd w:val="clear" w:color="auto" w:fill="auto"/>
            <w:noWrap/>
            <w:vAlign w:val="center"/>
            <w:hideMark/>
          </w:tcPr>
          <w:p w14:paraId="17D12150"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12,000 </w:t>
            </w:r>
          </w:p>
        </w:tc>
        <w:tc>
          <w:tcPr>
            <w:tcW w:w="1350" w:type="dxa"/>
            <w:tcBorders>
              <w:top w:val="nil"/>
              <w:left w:val="nil"/>
              <w:bottom w:val="single" w:sz="4" w:space="0" w:color="auto"/>
              <w:right w:val="nil"/>
            </w:tcBorders>
            <w:shd w:val="clear" w:color="auto" w:fill="auto"/>
            <w:noWrap/>
            <w:vAlign w:val="center"/>
            <w:hideMark/>
          </w:tcPr>
          <w:p w14:paraId="4CF7BD6C"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12,000 </w:t>
            </w:r>
          </w:p>
        </w:tc>
        <w:tc>
          <w:tcPr>
            <w:tcW w:w="1260" w:type="dxa"/>
            <w:tcBorders>
              <w:top w:val="nil"/>
              <w:left w:val="single" w:sz="8" w:space="0" w:color="auto"/>
              <w:bottom w:val="single" w:sz="4" w:space="0" w:color="auto"/>
              <w:right w:val="single" w:sz="4" w:space="0" w:color="auto"/>
            </w:tcBorders>
            <w:shd w:val="clear" w:color="000000" w:fill="F2F2F2"/>
            <w:noWrap/>
            <w:vAlign w:val="center"/>
            <w:hideMark/>
          </w:tcPr>
          <w:p w14:paraId="572ABD63"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r>
      <w:tr w:rsidR="00CF2E3C" w:rsidRPr="00EE6BA0" w14:paraId="09E13163"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287DA49"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c>
          <w:tcPr>
            <w:tcW w:w="2880" w:type="dxa"/>
            <w:tcBorders>
              <w:top w:val="nil"/>
              <w:left w:val="nil"/>
              <w:bottom w:val="single" w:sz="4" w:space="0" w:color="auto"/>
              <w:right w:val="single" w:sz="4" w:space="0" w:color="auto"/>
            </w:tcBorders>
            <w:shd w:val="clear" w:color="auto" w:fill="auto"/>
            <w:noWrap/>
            <w:vAlign w:val="center"/>
            <w:hideMark/>
          </w:tcPr>
          <w:p w14:paraId="00CDDC98"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Partnership Income (Loss)</w:t>
            </w:r>
          </w:p>
        </w:tc>
        <w:tc>
          <w:tcPr>
            <w:tcW w:w="1260" w:type="dxa"/>
            <w:tcBorders>
              <w:top w:val="nil"/>
              <w:left w:val="nil"/>
              <w:bottom w:val="single" w:sz="4" w:space="0" w:color="auto"/>
              <w:right w:val="single" w:sz="4" w:space="0" w:color="auto"/>
            </w:tcBorders>
            <w:shd w:val="clear" w:color="auto" w:fill="auto"/>
            <w:noWrap/>
            <w:vAlign w:val="center"/>
            <w:hideMark/>
          </w:tcPr>
          <w:p w14:paraId="74945DED"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(1,000)</w:t>
            </w:r>
          </w:p>
        </w:tc>
        <w:tc>
          <w:tcPr>
            <w:tcW w:w="1350" w:type="dxa"/>
            <w:tcBorders>
              <w:top w:val="nil"/>
              <w:left w:val="nil"/>
              <w:bottom w:val="single" w:sz="4" w:space="0" w:color="auto"/>
              <w:right w:val="nil"/>
            </w:tcBorders>
            <w:shd w:val="clear" w:color="auto" w:fill="auto"/>
            <w:noWrap/>
            <w:vAlign w:val="center"/>
            <w:hideMark/>
          </w:tcPr>
          <w:p w14:paraId="7AE43B77"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(1,000)</w:t>
            </w:r>
          </w:p>
        </w:tc>
        <w:tc>
          <w:tcPr>
            <w:tcW w:w="1260" w:type="dxa"/>
            <w:tcBorders>
              <w:top w:val="nil"/>
              <w:left w:val="single" w:sz="8" w:space="0" w:color="auto"/>
              <w:bottom w:val="single" w:sz="4" w:space="0" w:color="auto"/>
              <w:right w:val="single" w:sz="4" w:space="0" w:color="auto"/>
            </w:tcBorders>
            <w:shd w:val="clear" w:color="000000" w:fill="F2F2F2"/>
            <w:noWrap/>
            <w:vAlign w:val="center"/>
            <w:hideMark/>
          </w:tcPr>
          <w:p w14:paraId="20CA3F0A"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3,000 </w:t>
            </w:r>
          </w:p>
        </w:tc>
      </w:tr>
      <w:tr w:rsidR="00CF2E3C" w:rsidRPr="00EE6BA0" w14:paraId="52D22934"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F3052C5"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c>
          <w:tcPr>
            <w:tcW w:w="2880" w:type="dxa"/>
            <w:tcBorders>
              <w:top w:val="nil"/>
              <w:left w:val="nil"/>
              <w:bottom w:val="single" w:sz="4" w:space="0" w:color="auto"/>
              <w:right w:val="single" w:sz="4" w:space="0" w:color="auto"/>
            </w:tcBorders>
            <w:shd w:val="clear" w:color="auto" w:fill="auto"/>
            <w:noWrap/>
            <w:vAlign w:val="center"/>
            <w:hideMark/>
          </w:tcPr>
          <w:p w14:paraId="1BE42510"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Net Ordinary Income</w:t>
            </w:r>
          </w:p>
        </w:tc>
        <w:tc>
          <w:tcPr>
            <w:tcW w:w="1260" w:type="dxa"/>
            <w:tcBorders>
              <w:top w:val="single" w:sz="4" w:space="0" w:color="auto"/>
              <w:left w:val="nil"/>
              <w:bottom w:val="double" w:sz="4" w:space="0" w:color="auto"/>
              <w:right w:val="single" w:sz="4" w:space="0" w:color="auto"/>
            </w:tcBorders>
            <w:shd w:val="clear" w:color="auto" w:fill="auto"/>
            <w:noWrap/>
            <w:vAlign w:val="center"/>
            <w:hideMark/>
          </w:tcPr>
          <w:p w14:paraId="1A6E93F5"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11,000 </w:t>
            </w:r>
          </w:p>
        </w:tc>
        <w:tc>
          <w:tcPr>
            <w:tcW w:w="1350" w:type="dxa"/>
            <w:tcBorders>
              <w:top w:val="single" w:sz="4" w:space="0" w:color="auto"/>
              <w:left w:val="nil"/>
              <w:bottom w:val="double" w:sz="4" w:space="0" w:color="auto"/>
              <w:right w:val="nil"/>
            </w:tcBorders>
            <w:shd w:val="clear" w:color="auto" w:fill="auto"/>
            <w:noWrap/>
            <w:vAlign w:val="center"/>
            <w:hideMark/>
          </w:tcPr>
          <w:p w14:paraId="1F2ED9E0"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11,000 </w:t>
            </w:r>
          </w:p>
        </w:tc>
        <w:tc>
          <w:tcPr>
            <w:tcW w:w="1260" w:type="dxa"/>
            <w:tcBorders>
              <w:top w:val="single" w:sz="4" w:space="0" w:color="auto"/>
              <w:left w:val="single" w:sz="8" w:space="0" w:color="auto"/>
              <w:bottom w:val="double" w:sz="4" w:space="0" w:color="auto"/>
              <w:right w:val="single" w:sz="4" w:space="0" w:color="auto"/>
            </w:tcBorders>
            <w:shd w:val="clear" w:color="000000" w:fill="F2F2F2"/>
            <w:noWrap/>
            <w:vAlign w:val="center"/>
            <w:hideMark/>
          </w:tcPr>
          <w:p w14:paraId="63691EDE"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3,000 </w:t>
            </w:r>
          </w:p>
        </w:tc>
      </w:tr>
      <w:tr w:rsidR="00CF2E3C" w:rsidRPr="00EE6BA0" w14:paraId="6CA3D422"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38381B6"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2 (Liquidation)</w:t>
            </w:r>
          </w:p>
        </w:tc>
        <w:tc>
          <w:tcPr>
            <w:tcW w:w="2880" w:type="dxa"/>
            <w:tcBorders>
              <w:top w:val="nil"/>
              <w:left w:val="nil"/>
              <w:bottom w:val="single" w:sz="4" w:space="0" w:color="auto"/>
              <w:right w:val="single" w:sz="4" w:space="0" w:color="auto"/>
            </w:tcBorders>
            <w:shd w:val="clear" w:color="auto" w:fill="auto"/>
            <w:noWrap/>
            <w:vAlign w:val="center"/>
            <w:hideMark/>
          </w:tcPr>
          <w:p w14:paraId="47140A71" w14:textId="1BAD2B09" w:rsidR="00EE6BA0" w:rsidRPr="00EE6BA0" w:rsidRDefault="00E11D18" w:rsidP="005E71AB">
            <w:pPr>
              <w:spacing w:after="0" w:line="240" w:lineRule="auto"/>
              <w:jc w:val="left"/>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Total </w:t>
            </w:r>
            <w:r w:rsidR="00EE6BA0" w:rsidRPr="00EE6BA0">
              <w:rPr>
                <w:rFonts w:asciiTheme="majorHAnsi" w:eastAsia="Times New Roman" w:hAnsiTheme="majorHAnsi" w:cs="Calibri"/>
                <w:color w:val="000000"/>
                <w:sz w:val="18"/>
                <w:szCs w:val="18"/>
              </w:rPr>
              <w:t>Gain/Loss</w:t>
            </w:r>
          </w:p>
        </w:tc>
        <w:tc>
          <w:tcPr>
            <w:tcW w:w="1260" w:type="dxa"/>
            <w:tcBorders>
              <w:top w:val="double" w:sz="4" w:space="0" w:color="auto"/>
              <w:left w:val="nil"/>
              <w:bottom w:val="double" w:sz="4" w:space="0" w:color="auto"/>
              <w:right w:val="single" w:sz="4" w:space="0" w:color="auto"/>
            </w:tcBorders>
            <w:shd w:val="clear" w:color="auto" w:fill="auto"/>
            <w:noWrap/>
            <w:vAlign w:val="center"/>
            <w:hideMark/>
          </w:tcPr>
          <w:p w14:paraId="66E17D65"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350" w:type="dxa"/>
            <w:tcBorders>
              <w:top w:val="double" w:sz="4" w:space="0" w:color="auto"/>
              <w:left w:val="nil"/>
              <w:bottom w:val="double" w:sz="4" w:space="0" w:color="auto"/>
              <w:right w:val="nil"/>
            </w:tcBorders>
            <w:shd w:val="clear" w:color="auto" w:fill="auto"/>
            <w:noWrap/>
            <w:vAlign w:val="center"/>
            <w:hideMark/>
          </w:tcPr>
          <w:p w14:paraId="73947E8E"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260" w:type="dxa"/>
            <w:tcBorders>
              <w:top w:val="double" w:sz="4" w:space="0" w:color="auto"/>
              <w:left w:val="single" w:sz="8" w:space="0" w:color="auto"/>
              <w:bottom w:val="double" w:sz="4" w:space="0" w:color="auto"/>
              <w:right w:val="single" w:sz="4" w:space="0" w:color="auto"/>
            </w:tcBorders>
            <w:shd w:val="clear" w:color="000000" w:fill="F2F2F2"/>
            <w:noWrap/>
            <w:vAlign w:val="center"/>
            <w:hideMark/>
          </w:tcPr>
          <w:p w14:paraId="22C7F8E3"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8,000 </w:t>
            </w:r>
          </w:p>
        </w:tc>
      </w:tr>
      <w:tr w:rsidR="00EE6BA0" w:rsidRPr="00EE6BA0" w14:paraId="582EDE67" w14:textId="77777777" w:rsidTr="00E11D18">
        <w:trPr>
          <w:trHeight w:val="300"/>
        </w:trPr>
        <w:tc>
          <w:tcPr>
            <w:tcW w:w="7650" w:type="dxa"/>
            <w:gridSpan w:val="4"/>
            <w:tcBorders>
              <w:top w:val="single" w:sz="4" w:space="0" w:color="auto"/>
              <w:left w:val="single" w:sz="4" w:space="0" w:color="auto"/>
              <w:bottom w:val="single" w:sz="8" w:space="0" w:color="auto"/>
              <w:right w:val="nil"/>
            </w:tcBorders>
            <w:shd w:val="clear" w:color="auto" w:fill="auto"/>
            <w:noWrap/>
            <w:vAlign w:val="bottom"/>
            <w:hideMark/>
          </w:tcPr>
          <w:p w14:paraId="1355D47D" w14:textId="77777777" w:rsidR="00484465" w:rsidRDefault="00484465" w:rsidP="00EE6BA0">
            <w:pPr>
              <w:spacing w:after="0" w:line="240" w:lineRule="auto"/>
              <w:jc w:val="left"/>
              <w:rPr>
                <w:rFonts w:asciiTheme="majorHAnsi" w:eastAsia="Times New Roman" w:hAnsiTheme="majorHAnsi" w:cs="Calibri"/>
                <w:b/>
                <w:bCs/>
                <w:color w:val="000000"/>
                <w:sz w:val="18"/>
                <w:szCs w:val="18"/>
              </w:rPr>
            </w:pPr>
          </w:p>
          <w:p w14:paraId="59FA476F" w14:textId="77777777" w:rsidR="00EE6BA0" w:rsidRDefault="00EE6BA0" w:rsidP="00EE6BA0">
            <w:pPr>
              <w:spacing w:after="0" w:line="240" w:lineRule="auto"/>
              <w:jc w:val="left"/>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Results for Partners Y &amp; Z Combined</w:t>
            </w:r>
          </w:p>
          <w:p w14:paraId="640E1AFA" w14:textId="1D63A8F7" w:rsidR="00484465" w:rsidRPr="00EE6BA0" w:rsidRDefault="00484465" w:rsidP="00EE6BA0">
            <w:pPr>
              <w:spacing w:after="0" w:line="240" w:lineRule="auto"/>
              <w:jc w:val="left"/>
              <w:rPr>
                <w:rFonts w:asciiTheme="majorHAnsi" w:eastAsia="Times New Roman" w:hAnsiTheme="majorHAnsi" w:cs="Calibri"/>
                <w:b/>
                <w:bCs/>
                <w:color w:val="000000"/>
                <w:sz w:val="18"/>
                <w:szCs w:val="18"/>
              </w:rPr>
            </w:pPr>
          </w:p>
        </w:tc>
        <w:tc>
          <w:tcPr>
            <w:tcW w:w="1260" w:type="dxa"/>
            <w:tcBorders>
              <w:top w:val="nil"/>
              <w:left w:val="single" w:sz="8" w:space="0" w:color="auto"/>
              <w:bottom w:val="single" w:sz="8" w:space="0" w:color="auto"/>
              <w:right w:val="single" w:sz="4" w:space="0" w:color="auto"/>
            </w:tcBorders>
            <w:shd w:val="clear" w:color="000000" w:fill="F2F2F2"/>
            <w:noWrap/>
            <w:vAlign w:val="bottom"/>
            <w:hideMark/>
          </w:tcPr>
          <w:p w14:paraId="0C2DE821" w14:textId="77777777" w:rsidR="00EE6BA0" w:rsidRPr="00EE6BA0" w:rsidRDefault="00EE6BA0" w:rsidP="00EE6BA0">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r>
      <w:tr w:rsidR="00CF2E3C" w:rsidRPr="00EE6BA0" w14:paraId="78E6C98F"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916F9E6"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1</w:t>
            </w:r>
          </w:p>
        </w:tc>
        <w:tc>
          <w:tcPr>
            <w:tcW w:w="2880" w:type="dxa"/>
            <w:tcBorders>
              <w:top w:val="nil"/>
              <w:left w:val="nil"/>
              <w:bottom w:val="single" w:sz="4" w:space="0" w:color="auto"/>
              <w:right w:val="single" w:sz="4" w:space="0" w:color="auto"/>
            </w:tcBorders>
            <w:shd w:val="clear" w:color="auto" w:fill="auto"/>
            <w:noWrap/>
            <w:vAlign w:val="center"/>
            <w:hideMark/>
          </w:tcPr>
          <w:p w14:paraId="217DB649" w14:textId="0B64875E" w:rsidR="00EE6BA0" w:rsidRPr="00EE6BA0" w:rsidRDefault="00E11D18" w:rsidP="005E71AB">
            <w:pPr>
              <w:spacing w:after="0" w:line="240" w:lineRule="auto"/>
              <w:jc w:val="left"/>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Total </w:t>
            </w:r>
            <w:r w:rsidR="00EE6BA0" w:rsidRPr="00EE6BA0">
              <w:rPr>
                <w:rFonts w:asciiTheme="majorHAnsi" w:eastAsia="Times New Roman" w:hAnsiTheme="majorHAnsi" w:cs="Calibri"/>
                <w:color w:val="000000"/>
                <w:sz w:val="18"/>
                <w:szCs w:val="18"/>
              </w:rPr>
              <w:t>Partnership Income (Loss)</w:t>
            </w:r>
          </w:p>
        </w:tc>
        <w:tc>
          <w:tcPr>
            <w:tcW w:w="1260" w:type="dxa"/>
            <w:tcBorders>
              <w:top w:val="single" w:sz="4" w:space="0" w:color="auto"/>
              <w:left w:val="nil"/>
              <w:bottom w:val="double" w:sz="4" w:space="0" w:color="auto"/>
              <w:right w:val="single" w:sz="4" w:space="0" w:color="auto"/>
            </w:tcBorders>
            <w:shd w:val="clear" w:color="auto" w:fill="auto"/>
            <w:noWrap/>
            <w:vAlign w:val="center"/>
            <w:hideMark/>
          </w:tcPr>
          <w:p w14:paraId="6EC6DE2A"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(2,000)</w:t>
            </w:r>
          </w:p>
        </w:tc>
        <w:tc>
          <w:tcPr>
            <w:tcW w:w="1350" w:type="dxa"/>
            <w:tcBorders>
              <w:top w:val="single" w:sz="4" w:space="0" w:color="auto"/>
              <w:left w:val="nil"/>
              <w:bottom w:val="double" w:sz="4" w:space="0" w:color="auto"/>
              <w:right w:val="nil"/>
            </w:tcBorders>
            <w:shd w:val="clear" w:color="auto" w:fill="auto"/>
            <w:noWrap/>
            <w:vAlign w:val="center"/>
            <w:hideMark/>
          </w:tcPr>
          <w:p w14:paraId="5E45F4AE"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(2,000)</w:t>
            </w:r>
          </w:p>
        </w:tc>
        <w:tc>
          <w:tcPr>
            <w:tcW w:w="1260" w:type="dxa"/>
            <w:tcBorders>
              <w:top w:val="single" w:sz="4" w:space="0" w:color="auto"/>
              <w:left w:val="single" w:sz="8" w:space="0" w:color="auto"/>
              <w:bottom w:val="double" w:sz="4" w:space="0" w:color="auto"/>
              <w:right w:val="single" w:sz="4" w:space="0" w:color="auto"/>
            </w:tcBorders>
            <w:shd w:val="clear" w:color="000000" w:fill="F2F2F2"/>
            <w:noWrap/>
            <w:vAlign w:val="center"/>
            <w:hideMark/>
          </w:tcPr>
          <w:p w14:paraId="3CC8A821"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6,000 </w:t>
            </w:r>
          </w:p>
        </w:tc>
      </w:tr>
      <w:tr w:rsidR="00CF2E3C" w:rsidRPr="00EE6BA0" w14:paraId="2C23FA29"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8CF6F68"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2 (Liquidation)</w:t>
            </w:r>
          </w:p>
        </w:tc>
        <w:tc>
          <w:tcPr>
            <w:tcW w:w="2880" w:type="dxa"/>
            <w:tcBorders>
              <w:top w:val="nil"/>
              <w:left w:val="nil"/>
              <w:bottom w:val="single" w:sz="4" w:space="0" w:color="auto"/>
              <w:right w:val="single" w:sz="4" w:space="0" w:color="auto"/>
            </w:tcBorders>
            <w:shd w:val="clear" w:color="auto" w:fill="auto"/>
            <w:noWrap/>
            <w:vAlign w:val="center"/>
            <w:hideMark/>
          </w:tcPr>
          <w:p w14:paraId="58F1B761" w14:textId="2D5D9E25" w:rsidR="00EE6BA0" w:rsidRPr="00EE6BA0" w:rsidRDefault="00E11D18" w:rsidP="005E71AB">
            <w:pPr>
              <w:spacing w:after="0" w:line="240" w:lineRule="auto"/>
              <w:jc w:val="left"/>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Total </w:t>
            </w:r>
            <w:r w:rsidR="00EE6BA0" w:rsidRPr="00EE6BA0">
              <w:rPr>
                <w:rFonts w:asciiTheme="majorHAnsi" w:eastAsia="Times New Roman" w:hAnsiTheme="majorHAnsi" w:cs="Calibri"/>
                <w:color w:val="000000"/>
                <w:sz w:val="18"/>
                <w:szCs w:val="18"/>
              </w:rPr>
              <w:t>Gain/Loss</w:t>
            </w:r>
          </w:p>
        </w:tc>
        <w:tc>
          <w:tcPr>
            <w:tcW w:w="1260" w:type="dxa"/>
            <w:tcBorders>
              <w:top w:val="single" w:sz="4" w:space="0" w:color="auto"/>
              <w:left w:val="nil"/>
              <w:bottom w:val="double" w:sz="4" w:space="0" w:color="auto"/>
              <w:right w:val="single" w:sz="4" w:space="0" w:color="auto"/>
            </w:tcBorders>
            <w:shd w:val="clear" w:color="auto" w:fill="auto"/>
            <w:noWrap/>
            <w:vAlign w:val="center"/>
            <w:hideMark/>
          </w:tcPr>
          <w:p w14:paraId="4C14F2D5"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350" w:type="dxa"/>
            <w:tcBorders>
              <w:top w:val="single" w:sz="4" w:space="0" w:color="auto"/>
              <w:left w:val="nil"/>
              <w:bottom w:val="double" w:sz="4" w:space="0" w:color="auto"/>
              <w:right w:val="nil"/>
            </w:tcBorders>
            <w:shd w:val="clear" w:color="auto" w:fill="auto"/>
            <w:noWrap/>
            <w:vAlign w:val="center"/>
            <w:hideMark/>
          </w:tcPr>
          <w:p w14:paraId="5AB4B31D"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260" w:type="dxa"/>
            <w:tcBorders>
              <w:top w:val="single" w:sz="4" w:space="0" w:color="auto"/>
              <w:left w:val="single" w:sz="8" w:space="0" w:color="auto"/>
              <w:bottom w:val="double" w:sz="4" w:space="0" w:color="auto"/>
              <w:right w:val="single" w:sz="4" w:space="0" w:color="auto"/>
            </w:tcBorders>
            <w:shd w:val="clear" w:color="000000" w:fill="F2F2F2"/>
            <w:noWrap/>
            <w:vAlign w:val="center"/>
            <w:hideMark/>
          </w:tcPr>
          <w:p w14:paraId="6148424A"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(8,000)</w:t>
            </w:r>
          </w:p>
        </w:tc>
      </w:tr>
    </w:tbl>
    <w:p w14:paraId="2B665F07" w14:textId="4512959A" w:rsidR="00296708" w:rsidRPr="00296708" w:rsidRDefault="003E16A7" w:rsidP="004963AE">
      <w:pPr>
        <w:spacing w:before="240"/>
      </w:pPr>
      <w:r w:rsidRPr="003E16A7">
        <w:t xml:space="preserve">In this example, both entity and aggregate approaches will result in the same total </w:t>
      </w:r>
      <w:r w:rsidR="005D4708">
        <w:t xml:space="preserve">amount of recognized </w:t>
      </w:r>
      <w:r w:rsidRPr="003E16A7">
        <w:t xml:space="preserve">income/gain by the three partners—$9,000 over the two years. But under the entity approach, income will be ordinary income or loss and will be recognized </w:t>
      </w:r>
      <w:r w:rsidR="005D4708">
        <w:t>when received</w:t>
      </w:r>
      <w:r w:rsidRPr="003E16A7">
        <w:t xml:space="preserve">. </w:t>
      </w:r>
      <w:r w:rsidR="000B4A85">
        <w:t>U</w:t>
      </w:r>
      <w:r w:rsidRPr="003E16A7">
        <w:t xml:space="preserve">nder the aggregate approach, </w:t>
      </w:r>
      <w:r w:rsidR="000B4A85">
        <w:t>some income will be capital gain (loss), and deferred</w:t>
      </w:r>
      <w:r w:rsidR="00BD2AFB">
        <w:t xml:space="preserve"> until liquidation</w:t>
      </w:r>
      <w:r w:rsidRPr="003E16A7">
        <w:t xml:space="preserve">. </w:t>
      </w:r>
      <w:r w:rsidR="00BD2AFB">
        <w:t>These d</w:t>
      </w:r>
      <w:r w:rsidR="00296708" w:rsidRPr="00296708">
        <w:t>ifferences in the character are important because the federal substantive tax rules would treat the ordinary income and loss differently than the capital gains and losses</w:t>
      </w:r>
      <w:r w:rsidR="00BD2AFB">
        <w:t>—so the</w:t>
      </w:r>
      <w:r w:rsidR="00296708" w:rsidRPr="00296708">
        <w:t xml:space="preserve"> tax paid will vary.  </w:t>
      </w:r>
    </w:p>
    <w:p w14:paraId="6EA28FE4" w14:textId="5681BFD4" w:rsidR="003E16A7" w:rsidRPr="003E16A7" w:rsidRDefault="00954140" w:rsidP="003E16A7">
      <w:r>
        <w:t>And w</w:t>
      </w:r>
      <w:r w:rsidR="003E16A7" w:rsidRPr="003E16A7">
        <w:t xml:space="preserve">hat this very simple example indicates is that, when it comes to certain arrangements in which partners are paid for services performed on behalf of the partnership, the entity approach to taxation may be a better match for the actual economic result than the aggregate approach. </w:t>
      </w:r>
      <w:r w:rsidR="00A52E15">
        <w:t>This is also the approach</w:t>
      </w:r>
      <w:r w:rsidR="003E16A7">
        <w:t xml:space="preserve"> Subchapter K now takes</w:t>
      </w:r>
      <w:r w:rsidR="00A52E15">
        <w:t xml:space="preserve">, as </w:t>
      </w:r>
      <w:r w:rsidR="00A52E15" w:rsidRPr="00A52E15">
        <w:t>discussed</w:t>
      </w:r>
      <w:r w:rsidR="00A52E15">
        <w:t xml:space="preserve"> further</w:t>
      </w:r>
      <w:r w:rsidR="00A52E15" w:rsidRPr="00A52E15">
        <w:t xml:space="preserve"> in Section II below</w:t>
      </w:r>
      <w:r w:rsidR="003E16A7">
        <w:t xml:space="preserve">. </w:t>
      </w:r>
    </w:p>
    <w:p w14:paraId="450001A4" w14:textId="2CF7C6EC" w:rsidR="00B46C75" w:rsidRDefault="00D074F7" w:rsidP="00043443">
      <w:pPr>
        <w:pStyle w:val="Heading3"/>
      </w:pPr>
      <w:bookmarkStart w:id="28" w:name="_Toc144634455"/>
      <w:r>
        <w:t>Congress’s Decision to Apply Entity Approach to Guaranteed Payments</w:t>
      </w:r>
      <w:bookmarkEnd w:id="28"/>
    </w:p>
    <w:p w14:paraId="618ED2CC" w14:textId="585D8682" w:rsidR="00681757" w:rsidRPr="00681757" w:rsidRDefault="00110ED1" w:rsidP="00043443">
      <w:r>
        <w:t>As noted above, while t</w:t>
      </w:r>
      <w:r w:rsidR="00681757" w:rsidRPr="00681757">
        <w:t>he aggregate theory governed the early development of partnership law, including tax law</w:t>
      </w:r>
      <w:r>
        <w:t>, o</w:t>
      </w:r>
      <w:r w:rsidR="00681757" w:rsidRPr="00681757">
        <w:t xml:space="preserve">ver time </w:t>
      </w:r>
      <w:r w:rsidR="00BB702B">
        <w:t>this</w:t>
      </w:r>
      <w:r w:rsidR="00681757" w:rsidRPr="00681757">
        <w:t xml:space="preserve"> traditional view of partnerships </w:t>
      </w:r>
      <w:r w:rsidR="00BB702B">
        <w:t>has</w:t>
      </w:r>
      <w:r w:rsidR="00681757" w:rsidRPr="00681757">
        <w:t xml:space="preserve"> changed</w:t>
      </w:r>
      <w:r w:rsidR="00BB702B">
        <w:t xml:space="preserve"> in some ways</w:t>
      </w:r>
      <w:r w:rsidR="00681757" w:rsidRPr="00681757">
        <w:t xml:space="preserve">, </w:t>
      </w:r>
      <w:r w:rsidR="00BB702B">
        <w:t>although</w:t>
      </w:r>
      <w:r w:rsidR="00681757" w:rsidRPr="00681757">
        <w:t xml:space="preserve"> not</w:t>
      </w:r>
      <w:r w:rsidR="00BB702B">
        <w:t xml:space="preserve"> in others</w:t>
      </w:r>
      <w:r w:rsidR="00681757" w:rsidRPr="00681757">
        <w:t xml:space="preserve">. For example, it is still the case that partners </w:t>
      </w:r>
      <w:r w:rsidR="0016742C">
        <w:t xml:space="preserve">are not </w:t>
      </w:r>
      <w:r w:rsidR="00681757" w:rsidRPr="00681757">
        <w:t xml:space="preserve">considered employees of the partnership, so payments that are similar to compensation are not treated as </w:t>
      </w:r>
      <w:r>
        <w:t xml:space="preserve">employee </w:t>
      </w:r>
      <w:r w:rsidR="00681757" w:rsidRPr="00681757">
        <w:t xml:space="preserve">compensation.  </w:t>
      </w:r>
    </w:p>
    <w:p w14:paraId="0FA3E178" w14:textId="3F27403E" w:rsidR="00732DE9" w:rsidRDefault="00D949B0" w:rsidP="00043443">
      <w:r>
        <w:t>But the general</w:t>
      </w:r>
      <w:r w:rsidR="00513306">
        <w:t xml:space="preserve"> application of the aggregate theory to guaranteed payments was eventually recognized as </w:t>
      </w:r>
      <w:r w:rsidR="004D026C">
        <w:t xml:space="preserve">unworkable. </w:t>
      </w:r>
      <w:r w:rsidR="00FF18B7">
        <w:t>As one court noted, p</w:t>
      </w:r>
      <w:r w:rsidR="00681757" w:rsidRPr="00681757">
        <w:t xml:space="preserve">rior to </w:t>
      </w:r>
      <w:r w:rsidR="00586687">
        <w:t xml:space="preserve">1954 and </w:t>
      </w:r>
      <w:r w:rsidR="00681757" w:rsidRPr="00681757">
        <w:t>the enactment of IRC § 707</w:t>
      </w:r>
      <w:r w:rsidR="00586687">
        <w:t xml:space="preserve"> (the section which governs these payments today)</w:t>
      </w:r>
      <w:r w:rsidR="00681757" w:rsidRPr="00681757">
        <w:t>: “the tax treatments of partners and partnerships were confused and at times contradictory.” In that case</w:t>
      </w:r>
      <w:r w:rsidR="00FF18B7">
        <w:t xml:space="preserve">, </w:t>
      </w:r>
      <w:r w:rsidR="00681757" w:rsidRPr="00681757">
        <w:t>the question was whether a payment to a partner not covered by current year income should be considered as paid from that partner's capital, or from the capital of the other partners. If the former, then it would simply be a non-taxable distribution. If the latter, then it might be treated as a deduction by the other partners for ordinary and necessary business expenses</w:t>
      </w:r>
      <w:r w:rsidR="00C91830">
        <w:t xml:space="preserve"> they incurred</w:t>
      </w:r>
      <w:r w:rsidR="00681757" w:rsidRPr="00681757">
        <w:t xml:space="preserve">. </w:t>
      </w:r>
    </w:p>
    <w:p w14:paraId="3F39D6C4" w14:textId="46BACA83" w:rsidR="00681757" w:rsidRPr="00681757" w:rsidRDefault="00681757" w:rsidP="00043443">
      <w:r w:rsidRPr="00681757">
        <w:t xml:space="preserve">As the court </w:t>
      </w:r>
      <w:r w:rsidR="00217866">
        <w:t xml:space="preserve">also </w:t>
      </w:r>
      <w:r w:rsidRPr="00681757">
        <w:t xml:space="preserve">noted, Congress </w:t>
      </w:r>
      <w:r w:rsidR="00C91830">
        <w:t xml:space="preserve">ultimately </w:t>
      </w:r>
      <w:r w:rsidRPr="00681757">
        <w:t xml:space="preserve">decided that applying the aggregate approach </w:t>
      </w:r>
      <w:r w:rsidR="00E7282E">
        <w:t>to such payments</w:t>
      </w:r>
      <w:r w:rsidRPr="00681757">
        <w:t xml:space="preserve"> was "unrealistic and unnecessarily complicated" and thus adopted, in general, the entity approach for tax treatment of compensation to partners for services, at least as far as sections 61(a) and 162(a) were concerned.</w:t>
      </w:r>
      <w:r w:rsidRPr="00681757">
        <w:rPr>
          <w:vertAlign w:val="superscript"/>
        </w:rPr>
        <w:t xml:space="preserve"> </w:t>
      </w:r>
      <w:r w:rsidRPr="00681757">
        <w:rPr>
          <w:vertAlign w:val="superscript"/>
        </w:rPr>
        <w:footnoteReference w:id="4"/>
      </w:r>
      <w:r w:rsidRPr="00681757">
        <w:t xml:space="preserve"> </w:t>
      </w:r>
    </w:p>
    <w:p w14:paraId="2FCCAD5B" w14:textId="22A2EA10" w:rsidR="007A2D19" w:rsidRPr="007A2D19" w:rsidRDefault="007A2D19" w:rsidP="00E81992">
      <w:pPr>
        <w:pStyle w:val="Heading2"/>
      </w:pPr>
      <w:bookmarkStart w:id="29" w:name="_Toc144634456"/>
      <w:r w:rsidRPr="007A2D19">
        <w:lastRenderedPageBreak/>
        <w:t xml:space="preserve">I. </w:t>
      </w:r>
      <w:r w:rsidR="00636F84">
        <w:t>F</w:t>
      </w:r>
      <w:r w:rsidRPr="007A2D19">
        <w:t xml:space="preserve">. How </w:t>
      </w:r>
      <w:r w:rsidR="006747FB">
        <w:t xml:space="preserve">Do </w:t>
      </w:r>
      <w:r w:rsidR="003F2601">
        <w:t xml:space="preserve">Aggregate </w:t>
      </w:r>
      <w:r w:rsidR="006747FB">
        <w:t xml:space="preserve">or Entity </w:t>
      </w:r>
      <w:r w:rsidR="003F2601">
        <w:t>Approach</w:t>
      </w:r>
      <w:r w:rsidR="00812A24">
        <w:t>es</w:t>
      </w:r>
      <w:r w:rsidR="006747FB">
        <w:t xml:space="preserve"> Affect State Sourcing</w:t>
      </w:r>
      <w:r w:rsidR="00EF22F1">
        <w:t>?</w:t>
      </w:r>
      <w:bookmarkEnd w:id="29"/>
    </w:p>
    <w:p w14:paraId="5A234723" w14:textId="0A800804" w:rsidR="007A2D19" w:rsidRDefault="007A2D19" w:rsidP="00296708">
      <w:r w:rsidRPr="007A2D19">
        <w:t>State sourcing of guaranteed payments is discussed in detail in Section</w:t>
      </w:r>
      <w:r w:rsidR="00BB3602">
        <w:t xml:space="preserve"> IV</w:t>
      </w:r>
      <w:r w:rsidRPr="007A2D19">
        <w:t xml:space="preserve">. </w:t>
      </w:r>
      <w:r w:rsidR="00FB3AA6">
        <w:t xml:space="preserve">The question here is </w:t>
      </w:r>
      <w:r w:rsidR="00FD7143">
        <w:t xml:space="preserve">whether state sourcing </w:t>
      </w:r>
      <w:r w:rsidR="00CC323F">
        <w:t xml:space="preserve">of guaranteed payments </w:t>
      </w:r>
      <w:r w:rsidR="00FD7143">
        <w:t xml:space="preserve">is or should be affected by </w:t>
      </w:r>
      <w:r w:rsidR="009D3F6E">
        <w:t xml:space="preserve">whether the </w:t>
      </w:r>
      <w:r w:rsidR="00FB3AA6">
        <w:t xml:space="preserve">aggregate or entity approach </w:t>
      </w:r>
      <w:r w:rsidR="009D3F6E">
        <w:t xml:space="preserve">is </w:t>
      </w:r>
      <w:r w:rsidR="00270511">
        <w:t>applied to these payments under the federal pass-through system.</w:t>
      </w:r>
      <w:r w:rsidR="00890477">
        <w:t xml:space="preserve"> </w:t>
      </w:r>
      <w:r w:rsidR="00270511">
        <w:t xml:space="preserve"> </w:t>
      </w:r>
    </w:p>
    <w:p w14:paraId="32BB3BBA" w14:textId="3994CFF4" w:rsidR="00573E04" w:rsidRPr="007A2D19" w:rsidRDefault="00573E04" w:rsidP="00573E04">
      <w:pPr>
        <w:pStyle w:val="Heading3"/>
      </w:pPr>
      <w:bookmarkStart w:id="30" w:name="_Toc144634457"/>
      <w:r>
        <w:t>Comparing the Sourcing of the Categories of Payments</w:t>
      </w:r>
      <w:bookmarkEnd w:id="30"/>
    </w:p>
    <w:p w14:paraId="166CE3B5" w14:textId="6352D764" w:rsidR="007A2D19" w:rsidRPr="007A2D19" w:rsidRDefault="000C2E1D" w:rsidP="00564451">
      <w:pPr>
        <w:pStyle w:val="Heading4"/>
        <w:ind w:left="720"/>
      </w:pPr>
      <w:r>
        <w:rPr>
          <w:noProof/>
        </w:rPr>
        <w:drawing>
          <wp:anchor distT="0" distB="0" distL="114300" distR="114300" simplePos="0" relativeHeight="251676160" behindDoc="0" locked="0" layoutInCell="1" allowOverlap="1" wp14:anchorId="53D563EF" wp14:editId="00BBAB33">
            <wp:simplePos x="0" y="0"/>
            <wp:positionH relativeFrom="column">
              <wp:posOffset>-186461</wp:posOffset>
            </wp:positionH>
            <wp:positionV relativeFrom="paragraph">
              <wp:posOffset>207899</wp:posOffset>
            </wp:positionV>
            <wp:extent cx="505460" cy="505460"/>
            <wp:effectExtent l="0" t="0" r="8890" b="0"/>
            <wp:wrapSquare wrapText="bothSides"/>
            <wp:docPr id="18099350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5093" name="Graphic 1809935093" descr="Checkmark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05460" cy="505460"/>
                    </a:xfrm>
                    <a:prstGeom prst="rect">
                      <a:avLst/>
                    </a:prstGeom>
                  </pic:spPr>
                </pic:pic>
              </a:graphicData>
            </a:graphic>
            <wp14:sizeRelH relativeFrom="margin">
              <wp14:pctWidth>0</wp14:pctWidth>
            </wp14:sizeRelH>
            <wp14:sizeRelV relativeFrom="margin">
              <wp14:pctHeight>0</wp14:pctHeight>
            </wp14:sizeRelV>
          </wp:anchor>
        </w:drawing>
      </w:r>
      <w:r w:rsidR="007A2D19" w:rsidRPr="007A2D19">
        <w:t>Distributive Share</w:t>
      </w:r>
      <w:r w:rsidR="006073A9">
        <w:t>/Distributions</w:t>
      </w:r>
      <w:r w:rsidR="008E647D">
        <w:t xml:space="preserve"> – </w:t>
      </w:r>
      <w:r w:rsidR="00683904">
        <w:t xml:space="preserve">Sourced Using the </w:t>
      </w:r>
      <w:r w:rsidR="008E647D">
        <w:t>Aggregate Approach</w:t>
      </w:r>
      <w:r w:rsidR="007A2D19" w:rsidRPr="007A2D19">
        <w:t xml:space="preserve"> </w:t>
      </w:r>
      <w:r w:rsidR="00EF22F1">
        <w:t>– With One Exception</w:t>
      </w:r>
    </w:p>
    <w:p w14:paraId="4C2F719E" w14:textId="7C338F15" w:rsidR="001C1E34" w:rsidRDefault="00EE5DE8" w:rsidP="00564451">
      <w:pPr>
        <w:ind w:left="720"/>
      </w:pPr>
      <w:r>
        <w:t>As discussed above, the</w:t>
      </w:r>
      <w:r w:rsidR="009B041E">
        <w:t xml:space="preserve"> federal pass-through </w:t>
      </w:r>
      <w:r>
        <w:t xml:space="preserve">system applies the aggregate approach to </w:t>
      </w:r>
      <w:r w:rsidR="00C238CE">
        <w:t xml:space="preserve">the treatment of </w:t>
      </w:r>
      <w:r>
        <w:t xml:space="preserve">distributive share/distributions. Under this approach, </w:t>
      </w:r>
      <w:r w:rsidR="0066041A">
        <w:t xml:space="preserve">the timing, value, character, etc. of a partner’s share of partnership income is determined </w:t>
      </w:r>
      <w:r w:rsidR="00DC7885">
        <w:t xml:space="preserve">by the </w:t>
      </w:r>
      <w:r w:rsidR="00FB47DF">
        <w:t xml:space="preserve">partnership’s activities </w:t>
      </w:r>
      <w:r w:rsidR="00C238CE">
        <w:t xml:space="preserve">which are then </w:t>
      </w:r>
      <w:r w:rsidR="00DC7885">
        <w:t>attributed to the partner, as though the partner</w:t>
      </w:r>
      <w:r w:rsidR="007A2D19" w:rsidRPr="007A2D19">
        <w:t xml:space="preserve"> engaged </w:t>
      </w:r>
      <w:r w:rsidR="00DC7885">
        <w:t xml:space="preserve">in </w:t>
      </w:r>
      <w:r>
        <w:t xml:space="preserve">the partnership </w:t>
      </w:r>
      <w:r w:rsidR="007A2D19" w:rsidRPr="007A2D19">
        <w:t xml:space="preserve">activities directly. </w:t>
      </w:r>
      <w:r w:rsidR="006156A1">
        <w:t xml:space="preserve">This </w:t>
      </w:r>
      <w:r w:rsidR="00170E03">
        <w:t xml:space="preserve">is true despite the fact that </w:t>
      </w:r>
      <w:r w:rsidR="00A86692">
        <w:t>a</w:t>
      </w:r>
      <w:r w:rsidR="00170E03">
        <w:t xml:space="preserve"> partner’s active or passive role in the partnership</w:t>
      </w:r>
      <w:r w:rsidR="003F22AF">
        <w:t>’s</w:t>
      </w:r>
      <w:r w:rsidR="00170E03">
        <w:t xml:space="preserve"> activities may </w:t>
      </w:r>
      <w:r w:rsidR="003F22AF">
        <w:t xml:space="preserve">then </w:t>
      </w:r>
      <w:r w:rsidR="00170E03">
        <w:t xml:space="preserve">determine </w:t>
      </w:r>
      <w:r w:rsidR="001C1E34">
        <w:t xml:space="preserve">how certain </w:t>
      </w:r>
      <w:r w:rsidR="003F22AF">
        <w:t xml:space="preserve">partnership </w:t>
      </w:r>
      <w:r w:rsidR="001C1E34">
        <w:t xml:space="preserve">items are treated in computing that partner’s own tax. </w:t>
      </w:r>
    </w:p>
    <w:p w14:paraId="6A684FFF" w14:textId="263198FF" w:rsidR="007A2D19" w:rsidRPr="007A2D19" w:rsidRDefault="003915FF" w:rsidP="00564451">
      <w:pPr>
        <w:ind w:left="720"/>
      </w:pPr>
      <w:r>
        <w:t>States also</w:t>
      </w:r>
      <w:r w:rsidR="007A2D19" w:rsidRPr="007A2D19">
        <w:t xml:space="preserve"> source </w:t>
      </w:r>
      <w:r w:rsidR="009B041E">
        <w:t xml:space="preserve">a partner’s distributive share income </w:t>
      </w:r>
      <w:r w:rsidR="007A2D19" w:rsidRPr="007A2D19">
        <w:t>(loss)</w:t>
      </w:r>
      <w:r w:rsidR="00C80EB0">
        <w:t xml:space="preserve"> using an aggregate approach. The activities of </w:t>
      </w:r>
      <w:r w:rsidR="007A2D19" w:rsidRPr="007A2D19">
        <w:t>the partnership</w:t>
      </w:r>
      <w:r w:rsidR="009B041E">
        <w:t xml:space="preserve"> giving rise to the income</w:t>
      </w:r>
      <w:r w:rsidR="00E84C59">
        <w:t xml:space="preserve"> determine sourcing of that income </w:t>
      </w:r>
      <w:r w:rsidR="0007532E">
        <w:t xml:space="preserve">(e.g. through apportionment at the entity level). The source of the income is </w:t>
      </w:r>
      <w:r w:rsidR="00E84C59">
        <w:t xml:space="preserve">then attributed to the </w:t>
      </w:r>
      <w:r w:rsidR="00A726DD">
        <w:t xml:space="preserve">partner’s </w:t>
      </w:r>
      <w:r w:rsidR="00E84C59">
        <w:t>share</w:t>
      </w:r>
      <w:r w:rsidR="0007532E">
        <w:t xml:space="preserve"> of that </w:t>
      </w:r>
      <w:r w:rsidR="00AD036F">
        <w:t xml:space="preserve">same </w:t>
      </w:r>
      <w:r w:rsidR="0007532E">
        <w:t>income</w:t>
      </w:r>
      <w:r w:rsidR="00E84C59">
        <w:t xml:space="preserve">. </w:t>
      </w:r>
      <w:r w:rsidR="00A53CF5">
        <w:t>An</w:t>
      </w:r>
      <w:r w:rsidR="00080A52">
        <w:t xml:space="preserve"> exception to this general approach is </w:t>
      </w:r>
      <w:r w:rsidR="00AD036F">
        <w:t xml:space="preserve">sometimes </w:t>
      </w:r>
      <w:r w:rsidR="00080A52">
        <w:t>made</w:t>
      </w:r>
      <w:r w:rsidR="00022A83">
        <w:t xml:space="preserve"> for investment partnerships</w:t>
      </w:r>
      <w:r w:rsidR="00AD036F">
        <w:t xml:space="preserve"> where the activities of the </w:t>
      </w:r>
      <w:r w:rsidR="003C3D1F">
        <w:t>investment partnership</w:t>
      </w:r>
      <w:r w:rsidR="00AD036F">
        <w:t xml:space="preserve"> itself </w:t>
      </w:r>
      <w:r w:rsidR="007F75E3">
        <w:t xml:space="preserve">are ignored and the partner’s income is sourced </w:t>
      </w:r>
      <w:r w:rsidR="009C5BC9">
        <w:t xml:space="preserve">as if they held </w:t>
      </w:r>
      <w:r w:rsidR="007F75E3">
        <w:t>the</w:t>
      </w:r>
      <w:r w:rsidR="009C5BC9">
        <w:t xml:space="preserve"> same </w:t>
      </w:r>
      <w:r w:rsidR="007F75E3">
        <w:t xml:space="preserve">investment </w:t>
      </w:r>
      <w:r w:rsidR="009C5BC9">
        <w:t>assets directly.</w:t>
      </w:r>
    </w:p>
    <w:p w14:paraId="3ED1E126" w14:textId="5C4618DF" w:rsidR="007A2D19" w:rsidRPr="007A2D19" w:rsidRDefault="004E6DD5" w:rsidP="00564451">
      <w:pPr>
        <w:pStyle w:val="Heading4"/>
        <w:ind w:left="720"/>
      </w:pPr>
      <w:r>
        <w:rPr>
          <w:noProof/>
        </w:rPr>
        <w:drawing>
          <wp:anchor distT="0" distB="0" distL="114300" distR="114300" simplePos="0" relativeHeight="251679232" behindDoc="0" locked="0" layoutInCell="1" allowOverlap="1" wp14:anchorId="3FA4CDFA" wp14:editId="2B05E9B4">
            <wp:simplePos x="0" y="0"/>
            <wp:positionH relativeFrom="column">
              <wp:posOffset>-180975</wp:posOffset>
            </wp:positionH>
            <wp:positionV relativeFrom="paragraph">
              <wp:posOffset>177223</wp:posOffset>
            </wp:positionV>
            <wp:extent cx="505460" cy="505460"/>
            <wp:effectExtent l="0" t="0" r="8890" b="0"/>
            <wp:wrapSquare wrapText="bothSides"/>
            <wp:docPr id="212504733" name="Graphic 2125047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5093" name="Graphic 1809935093" descr="Checkmark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05460" cy="505460"/>
                    </a:xfrm>
                    <a:prstGeom prst="rect">
                      <a:avLst/>
                    </a:prstGeom>
                  </pic:spPr>
                </pic:pic>
              </a:graphicData>
            </a:graphic>
            <wp14:sizeRelH relativeFrom="margin">
              <wp14:pctWidth>0</wp14:pctWidth>
            </wp14:sizeRelH>
            <wp14:sizeRelV relativeFrom="margin">
              <wp14:pctHeight>0</wp14:pctHeight>
            </wp14:sizeRelV>
          </wp:anchor>
        </w:drawing>
      </w:r>
      <w:r w:rsidR="007A2D19" w:rsidRPr="007A2D19">
        <w:t>Partner-Partnership Transactions</w:t>
      </w:r>
      <w:r w:rsidR="008E647D">
        <w:t xml:space="preserve"> – </w:t>
      </w:r>
      <w:r w:rsidR="00340188">
        <w:t xml:space="preserve">Sourced Using the </w:t>
      </w:r>
      <w:r w:rsidR="008E647D">
        <w:t>Entity Approach</w:t>
      </w:r>
    </w:p>
    <w:p w14:paraId="10C3B618" w14:textId="2F876DC5" w:rsidR="00173C56" w:rsidRDefault="00CA0806" w:rsidP="00564451">
      <w:pPr>
        <w:ind w:left="720"/>
      </w:pPr>
      <w:r>
        <w:t>The federal pass-through system applies the entity</w:t>
      </w:r>
      <w:r w:rsidR="00B100BA">
        <w:t xml:space="preserve"> approach</w:t>
      </w:r>
      <w:r w:rsidR="009B041E">
        <w:t xml:space="preserve"> to partner-partnership transactions</w:t>
      </w:r>
      <w:r>
        <w:t xml:space="preserve"> so that the income of partners from such </w:t>
      </w:r>
      <w:r w:rsidR="009B041E">
        <w:t xml:space="preserve">transactions will be characterized as though </w:t>
      </w:r>
      <w:r>
        <w:t>the partner</w:t>
      </w:r>
      <w:r w:rsidR="00576C81">
        <w:t>s</w:t>
      </w:r>
      <w:r>
        <w:t xml:space="preserve"> </w:t>
      </w:r>
      <w:r w:rsidR="00576C81">
        <w:t>are</w:t>
      </w:r>
      <w:r>
        <w:t xml:space="preserve"> separate from the partnership. </w:t>
      </w:r>
      <w:r w:rsidR="00576C81">
        <w:t xml:space="preserve">The timing, value, character, etc. of any income from such transactions will be determined based on the separate activities of the partner, rather than the partnership. </w:t>
      </w:r>
    </w:p>
    <w:p w14:paraId="14B73DC8" w14:textId="46C405ED" w:rsidR="007A2D19" w:rsidRPr="007A2D19" w:rsidRDefault="00657F87" w:rsidP="00564451">
      <w:pPr>
        <w:ind w:left="720"/>
      </w:pPr>
      <w:r>
        <w:t>States also</w:t>
      </w:r>
      <w:r w:rsidR="009B041E">
        <w:t xml:space="preserve"> source a partner’s income (loss) from partner-partnership transactions based on the business or other activities </w:t>
      </w:r>
      <w:r>
        <w:t>conducted solely by the</w:t>
      </w:r>
      <w:r w:rsidR="009B041E">
        <w:t xml:space="preserve"> partner giving rise to that income—rather than the </w:t>
      </w:r>
      <w:r>
        <w:t xml:space="preserve">related </w:t>
      </w:r>
      <w:r w:rsidR="009B041E">
        <w:t>activities of the partnership.</w:t>
      </w:r>
      <w:r>
        <w:t xml:space="preserve"> </w:t>
      </w:r>
      <w:r w:rsidR="00496F13">
        <w:t xml:space="preserve">This does not mean, however, that </w:t>
      </w:r>
      <w:r w:rsidR="007409D0">
        <w:t xml:space="preserve">the payments or resulting income would necessarily be sourced to where </w:t>
      </w:r>
      <w:r w:rsidR="00D61BAD">
        <w:t xml:space="preserve">an individual </w:t>
      </w:r>
      <w:r w:rsidR="007409D0">
        <w:t xml:space="preserve"> partner performs the services—although this may be the result in some cases. </w:t>
      </w:r>
    </w:p>
    <w:p w14:paraId="54C9E65D" w14:textId="798AF9E7" w:rsidR="007A2D19" w:rsidRPr="007A2D19" w:rsidRDefault="004E6DD5" w:rsidP="00564451">
      <w:pPr>
        <w:pStyle w:val="Heading4"/>
        <w:ind w:left="720"/>
      </w:pPr>
      <w:r>
        <w:rPr>
          <w:noProof/>
        </w:rPr>
        <w:drawing>
          <wp:anchor distT="0" distB="0" distL="114300" distR="114300" simplePos="0" relativeHeight="251682304" behindDoc="0" locked="0" layoutInCell="1" allowOverlap="1" wp14:anchorId="780A21C5" wp14:editId="1CE3582A">
            <wp:simplePos x="0" y="0"/>
            <wp:positionH relativeFrom="column">
              <wp:posOffset>-231544</wp:posOffset>
            </wp:positionH>
            <wp:positionV relativeFrom="paragraph">
              <wp:posOffset>200256</wp:posOffset>
            </wp:positionV>
            <wp:extent cx="553720" cy="553720"/>
            <wp:effectExtent l="0" t="0" r="0" b="0"/>
            <wp:wrapSquare wrapText="bothSides"/>
            <wp:docPr id="681492532" name="Graphic 2"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92532" name="Graphic 681492532" descr="Question Mark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53720" cy="553720"/>
                    </a:xfrm>
                    <a:prstGeom prst="rect">
                      <a:avLst/>
                    </a:prstGeom>
                  </pic:spPr>
                </pic:pic>
              </a:graphicData>
            </a:graphic>
            <wp14:sizeRelH relativeFrom="margin">
              <wp14:pctWidth>0</wp14:pctWidth>
            </wp14:sizeRelH>
            <wp14:sizeRelV relativeFrom="margin">
              <wp14:pctHeight>0</wp14:pctHeight>
            </wp14:sizeRelV>
          </wp:anchor>
        </w:drawing>
      </w:r>
      <w:r w:rsidR="008E647D">
        <w:t xml:space="preserve">Sourcing of </w:t>
      </w:r>
      <w:r w:rsidR="007A2D19" w:rsidRPr="007A2D19">
        <w:t>Guaranteed Payments</w:t>
      </w:r>
      <w:r w:rsidR="006F1B6E">
        <w:t xml:space="preserve"> for Services</w:t>
      </w:r>
      <w:r w:rsidR="008E647D">
        <w:t xml:space="preserve"> </w:t>
      </w:r>
      <w:r w:rsidR="00DF3D77">
        <w:t>–</w:t>
      </w:r>
      <w:r w:rsidR="008E647D">
        <w:t xml:space="preserve"> </w:t>
      </w:r>
      <w:r w:rsidR="00DF3D77">
        <w:t>Sourcing Approach Varies</w:t>
      </w:r>
    </w:p>
    <w:p w14:paraId="093C7C50" w14:textId="5FECB52B" w:rsidR="00F4759C" w:rsidRDefault="005B7EC7" w:rsidP="00CB0B2A">
      <w:pPr>
        <w:ind w:left="720"/>
      </w:pPr>
      <w:r>
        <w:t>The</w:t>
      </w:r>
      <w:r w:rsidR="009B041E">
        <w:t xml:space="preserve"> federal pass-through system generally applies an entity approach to guaranteed payments (similar to the treatment of partner-partnership transactions), </w:t>
      </w:r>
      <w:r w:rsidR="00987F46">
        <w:t>with some limitations</w:t>
      </w:r>
      <w:r w:rsidR="00173C56">
        <w:t xml:space="preserve">. </w:t>
      </w:r>
      <w:r w:rsidR="00FF6CD4">
        <w:t>But a</w:t>
      </w:r>
      <w:r w:rsidR="00173C56">
        <w:t xml:space="preserve">s summarized in Section III, the majority of states that have addressed the sourcing of guaranteed payments </w:t>
      </w:r>
      <w:r w:rsidR="008461C3">
        <w:t xml:space="preserve">for services </w:t>
      </w:r>
      <w:r w:rsidR="00173C56">
        <w:t xml:space="preserve">specifically </w:t>
      </w:r>
      <w:r w:rsidR="00AD3A56">
        <w:t>source them in the same way as distributive share—using an aggregate approach.</w:t>
      </w:r>
      <w:r w:rsidR="00173C56">
        <w:t xml:space="preserve"> </w:t>
      </w:r>
      <w:r w:rsidR="00AD3A56">
        <w:t xml:space="preserve">A minority of states </w:t>
      </w:r>
      <w:r w:rsidR="008461C3">
        <w:t>source such payments as compensat</w:t>
      </w:r>
      <w:r w:rsidR="00FF6CD4">
        <w:t>ion</w:t>
      </w:r>
    </w:p>
    <w:p w14:paraId="56E558EE" w14:textId="1309265F" w:rsidR="00573E04" w:rsidRPr="00573E04" w:rsidRDefault="00573E04" w:rsidP="00573E04">
      <w:pPr>
        <w:pStyle w:val="Heading3"/>
      </w:pPr>
      <w:bookmarkStart w:id="31" w:name="_Toc144634458"/>
      <w:r>
        <w:t>Why Sourcing of Guaranteed Payments May Not Follow the Entity Approach</w:t>
      </w:r>
      <w:bookmarkEnd w:id="31"/>
    </w:p>
    <w:p w14:paraId="459FA73F" w14:textId="3F7BCDE6" w:rsidR="00F51A4A" w:rsidRDefault="00862E9F" w:rsidP="00296856">
      <w:pPr>
        <w:spacing w:before="240"/>
      </w:pPr>
      <w:r>
        <w:t xml:space="preserve">One reason why states may not follow the </w:t>
      </w:r>
      <w:r w:rsidR="0033200C">
        <w:t xml:space="preserve">entity </w:t>
      </w:r>
      <w:r>
        <w:t>approach</w:t>
      </w:r>
      <w:r w:rsidR="0033200C">
        <w:t xml:space="preserve"> </w:t>
      </w:r>
      <w:r>
        <w:t xml:space="preserve">when </w:t>
      </w:r>
      <w:r w:rsidR="00B07676">
        <w:t xml:space="preserve">sourcing guaranteed payments is that such payments are </w:t>
      </w:r>
      <w:r w:rsidR="00EE0F15">
        <w:t>a hybrid</w:t>
      </w:r>
      <w:r w:rsidR="00B07676">
        <w:t xml:space="preserve">. While they have some aspects of </w:t>
      </w:r>
      <w:r w:rsidR="003A16E2">
        <w:t xml:space="preserve">partner-partnership transactions, </w:t>
      </w:r>
      <w:r w:rsidR="00341148">
        <w:t>they also involve partners acting on behalf of the partnership—carrying out the partnership’s business</w:t>
      </w:r>
      <w:r w:rsidR="00EE0F15">
        <w:t xml:space="preserve"> from which the partnership derives income</w:t>
      </w:r>
      <w:r w:rsidR="00341148">
        <w:t xml:space="preserve">. </w:t>
      </w:r>
      <w:r w:rsidR="00D646C6">
        <w:t xml:space="preserve">But there are other reasons as well. One is that partnership agreements can be changed easily, assuming partners agree, and that if the economic result is the same, partners might choose </w:t>
      </w:r>
      <w:r w:rsidR="00C25A1C">
        <w:t>to</w:t>
      </w:r>
      <w:r w:rsidR="000B5B16">
        <w:t xml:space="preserve"> structure the agreement to</w:t>
      </w:r>
      <w:r w:rsidR="00C25A1C">
        <w:t xml:space="preserve"> include guaranteed payments in order to </w:t>
      </w:r>
      <w:r w:rsidR="00120A2A">
        <w:t xml:space="preserve">affect </w:t>
      </w:r>
      <w:r w:rsidR="00C25A1C">
        <w:t xml:space="preserve">the </w:t>
      </w:r>
      <w:r w:rsidR="00D646C6">
        <w:t>sourcing</w:t>
      </w:r>
      <w:r w:rsidR="00C25A1C">
        <w:t xml:space="preserve"> of </w:t>
      </w:r>
      <w:r w:rsidR="000B5B16">
        <w:t>their</w:t>
      </w:r>
      <w:r w:rsidR="00C25A1C">
        <w:t xml:space="preserve"> income</w:t>
      </w:r>
      <w:r w:rsidR="00D646C6">
        <w:t xml:space="preserve">. Also partnership </w:t>
      </w:r>
      <w:r w:rsidR="0075203E">
        <w:t xml:space="preserve">agreements and other circumstances can make </w:t>
      </w:r>
      <w:r w:rsidR="005F692D">
        <w:t>distinguishing guaranteed payments more difficult—adding complexity to the sourcing of that income, if treated differently.</w:t>
      </w:r>
    </w:p>
    <w:p w14:paraId="60976D47" w14:textId="45D18D6D" w:rsidR="007A2D19" w:rsidRPr="007A2D19" w:rsidRDefault="007A2D19" w:rsidP="00296856"/>
    <w:p w14:paraId="0B8BBF0D" w14:textId="36D31BF7" w:rsidR="00500209" w:rsidRDefault="00F54CF3" w:rsidP="00E81992">
      <w:pPr>
        <w:pStyle w:val="Heading2"/>
      </w:pPr>
      <w:bookmarkStart w:id="32" w:name="_Toc144634459"/>
      <w:r>
        <w:lastRenderedPageBreak/>
        <w:t xml:space="preserve">I. </w:t>
      </w:r>
      <w:r w:rsidR="00B5459F">
        <w:t xml:space="preserve">F. </w:t>
      </w:r>
      <w:r w:rsidR="00723D3A">
        <w:t xml:space="preserve">Other Considerations – Complexity </w:t>
      </w:r>
      <w:r w:rsidR="008C3441">
        <w:t xml:space="preserve">and </w:t>
      </w:r>
      <w:r w:rsidR="009F28CF">
        <w:t>Possible</w:t>
      </w:r>
      <w:r w:rsidR="00243EA4">
        <w:t xml:space="preserve"> Tax Avoidance</w:t>
      </w:r>
      <w:bookmarkEnd w:id="32"/>
    </w:p>
    <w:p w14:paraId="5411C0A9" w14:textId="34B44A48" w:rsidR="00023F13" w:rsidRDefault="006F331F" w:rsidP="007B1930">
      <w:pPr>
        <w:spacing w:before="240"/>
      </w:pPr>
      <w:r>
        <w:t xml:space="preserve">Section II </w:t>
      </w:r>
      <w:r w:rsidR="001B27D2">
        <w:t xml:space="preserve">below </w:t>
      </w:r>
      <w:r>
        <w:t xml:space="preserve">sets out the federal rules governing guaranteed payments, including </w:t>
      </w:r>
      <w:r w:rsidR="00206207">
        <w:t xml:space="preserve">specific </w:t>
      </w:r>
      <w:r>
        <w:t xml:space="preserve">rules </w:t>
      </w:r>
      <w:r w:rsidR="00206207">
        <w:t>distinguishing</w:t>
      </w:r>
      <w:r>
        <w:t xml:space="preserve"> guaranteed payments from </w:t>
      </w:r>
      <w:r w:rsidR="00137591">
        <w:t>distributive share/distribution</w:t>
      </w:r>
      <w:r>
        <w:t>s or</w:t>
      </w:r>
      <w:r w:rsidR="007F31B4">
        <w:t xml:space="preserve"> </w:t>
      </w:r>
      <w:r w:rsidR="00137591">
        <w:t>partner-partnership transaction</w:t>
      </w:r>
      <w:r>
        <w:t xml:space="preserve">s. </w:t>
      </w:r>
      <w:r w:rsidR="006C47B8">
        <w:t xml:space="preserve">In terms of context, what is </w:t>
      </w:r>
      <w:r w:rsidR="00E87E20">
        <w:t xml:space="preserve">important to note </w:t>
      </w:r>
      <w:r w:rsidR="006C47B8">
        <w:t xml:space="preserve">is </w:t>
      </w:r>
      <w:r w:rsidR="00E87E20">
        <w:t>that,</w:t>
      </w:r>
      <w:r>
        <w:t xml:space="preserve"> unlike the simple example above, </w:t>
      </w:r>
      <w:r w:rsidR="003D6245">
        <w:t xml:space="preserve">complex partnership arrangements and other circumstances </w:t>
      </w:r>
      <w:r w:rsidR="004420FF">
        <w:t xml:space="preserve">can </w:t>
      </w:r>
      <w:r w:rsidR="003D6245">
        <w:t xml:space="preserve">make </w:t>
      </w:r>
      <w:r w:rsidR="00580E3A">
        <w:t>determining</w:t>
      </w:r>
      <w:r w:rsidR="003D6245">
        <w:t xml:space="preserve"> what is a guaranteed payment </w:t>
      </w:r>
      <w:r w:rsidR="00E87E20">
        <w:t xml:space="preserve">much </w:t>
      </w:r>
      <w:r w:rsidR="003D6245">
        <w:t>more difficult</w:t>
      </w:r>
      <w:r w:rsidR="009D3C61">
        <w:t>—and can also create opportunities to alter the tax result without altering the economic result</w:t>
      </w:r>
      <w:r w:rsidR="00F72E5C">
        <w:t xml:space="preserve"> through income shifting</w:t>
      </w:r>
      <w:r w:rsidR="009D3C61">
        <w:t>.</w:t>
      </w:r>
    </w:p>
    <w:p w14:paraId="7B835A20" w14:textId="1574DBDE" w:rsidR="00F0042A" w:rsidRDefault="00F0042A" w:rsidP="00F0042A">
      <w:pPr>
        <w:pStyle w:val="Heading3"/>
      </w:pPr>
      <w:bookmarkStart w:id="33" w:name="_Toc144634460"/>
      <w:r>
        <w:t>Examples:</w:t>
      </w:r>
      <w:bookmarkEnd w:id="33"/>
    </w:p>
    <w:p w14:paraId="5CF89419" w14:textId="3CA43A65" w:rsidR="00485AF8" w:rsidRPr="00485AF8" w:rsidRDefault="008A5B62" w:rsidP="00485AF8">
      <w:r>
        <w:t xml:space="preserve">The following are common examples of differences that may complicate the determination of </w:t>
      </w:r>
      <w:r w:rsidR="00E50F12">
        <w:t>whether a payment is properly categorized as a distributive share/distribution, partner-partnership transaction, or guaranteed payment.</w:t>
      </w:r>
    </w:p>
    <w:p w14:paraId="498A44FA" w14:textId="30D1CD91" w:rsidR="007B1930" w:rsidRDefault="00A848E4" w:rsidP="005F7F13">
      <w:pPr>
        <w:pStyle w:val="ListParagraph"/>
        <w:numPr>
          <w:ilvl w:val="0"/>
          <w:numId w:val="19"/>
        </w:numPr>
        <w:spacing w:before="240"/>
        <w:rPr>
          <w:iCs/>
        </w:rPr>
      </w:pPr>
      <w:r>
        <w:rPr>
          <w:iCs/>
        </w:rPr>
        <w:t>P</w:t>
      </w:r>
      <w:r w:rsidR="007B1930" w:rsidRPr="00F0042A">
        <w:rPr>
          <w:iCs/>
        </w:rPr>
        <w:t xml:space="preserve">artners </w:t>
      </w:r>
      <w:r w:rsidR="00F0042A">
        <w:rPr>
          <w:iCs/>
        </w:rPr>
        <w:t xml:space="preserve">may </w:t>
      </w:r>
      <w:r w:rsidR="007B1930" w:rsidRPr="00F0042A">
        <w:rPr>
          <w:iCs/>
        </w:rPr>
        <w:t>agree that they will receive regular, periodic distributions, sometimes called “draws</w:t>
      </w:r>
      <w:r w:rsidR="0036456E">
        <w:rPr>
          <w:iCs/>
        </w:rPr>
        <w:t>,</w:t>
      </w:r>
      <w:r w:rsidR="007B1930" w:rsidRPr="00F0042A">
        <w:rPr>
          <w:iCs/>
        </w:rPr>
        <w:t>”</w:t>
      </w:r>
      <w:r w:rsidR="0036456E">
        <w:rPr>
          <w:iCs/>
        </w:rPr>
        <w:t xml:space="preserve"> for the purpose of returning capital or profits to those partners.</w:t>
      </w:r>
      <w:r w:rsidR="007B1930" w:rsidRPr="00F0042A">
        <w:rPr>
          <w:iCs/>
        </w:rPr>
        <w:t xml:space="preserve"> To the extent these distributions are made out of available capital, they would generally be treated as distributions, even in </w:t>
      </w:r>
      <w:r w:rsidR="0036456E">
        <w:rPr>
          <w:iCs/>
        </w:rPr>
        <w:t>a year</w:t>
      </w:r>
      <w:r w:rsidR="007B1930" w:rsidRPr="00F0042A">
        <w:rPr>
          <w:iCs/>
        </w:rPr>
        <w:t xml:space="preserve"> in which there is insufficient income to cover th</w:t>
      </w:r>
      <w:r w:rsidR="0036456E">
        <w:rPr>
          <w:iCs/>
        </w:rPr>
        <w:t xml:space="preserve">at year’s </w:t>
      </w:r>
      <w:r w:rsidR="007B1930" w:rsidRPr="00F0042A">
        <w:rPr>
          <w:iCs/>
        </w:rPr>
        <w:t>distribution.</w:t>
      </w:r>
      <w:r w:rsidR="00AF3502">
        <w:rPr>
          <w:iCs/>
        </w:rPr>
        <w:t xml:space="preserve"> So while they might appear to be guaranteed payments in those years, they are not.</w:t>
      </w:r>
      <w:r w:rsidR="007B1930" w:rsidRPr="00F0042A">
        <w:rPr>
          <w:iCs/>
        </w:rPr>
        <w:t xml:space="preserve"> </w:t>
      </w:r>
    </w:p>
    <w:p w14:paraId="5B9B807A" w14:textId="77777777" w:rsidR="00AF3502" w:rsidRPr="00F0042A" w:rsidRDefault="00AF3502" w:rsidP="00AF3502">
      <w:pPr>
        <w:pStyle w:val="ListParagraph"/>
        <w:spacing w:before="240"/>
        <w:rPr>
          <w:iCs/>
        </w:rPr>
      </w:pPr>
    </w:p>
    <w:p w14:paraId="11B74FB5" w14:textId="4769542E" w:rsidR="00230E43" w:rsidRPr="00230E43" w:rsidRDefault="00DC317B" w:rsidP="005F7F13">
      <w:pPr>
        <w:pStyle w:val="ListParagraph"/>
        <w:numPr>
          <w:ilvl w:val="0"/>
          <w:numId w:val="19"/>
        </w:numPr>
        <w:spacing w:before="240"/>
        <w:rPr>
          <w:iCs/>
        </w:rPr>
      </w:pPr>
      <w:r>
        <w:rPr>
          <w:iCs/>
        </w:rPr>
        <w:t xml:space="preserve">Special allocations can also sometimes appear to be guaranteed payments. The term “special allocation” refers to </w:t>
      </w:r>
      <w:r w:rsidR="00CC1C85">
        <w:rPr>
          <w:iCs/>
        </w:rPr>
        <w:t xml:space="preserve">an agreement by partners to divide partnership items of income, expense, gain, or loss other than by their respective interests in the partnership. </w:t>
      </w:r>
      <w:r w:rsidR="00204499">
        <w:rPr>
          <w:iCs/>
        </w:rPr>
        <w:t>So partners may agree that some income or some expense will be allocated in greater or lesser proportion.</w:t>
      </w:r>
      <w:r w:rsidR="00730907">
        <w:rPr>
          <w:iCs/>
        </w:rPr>
        <w:t xml:space="preserve"> This, in turn, could lead</w:t>
      </w:r>
      <w:r w:rsidR="007B1930" w:rsidRPr="00AF3502">
        <w:rPr>
          <w:iCs/>
        </w:rPr>
        <w:t xml:space="preserve"> certain partners </w:t>
      </w:r>
      <w:r w:rsidR="00730907">
        <w:rPr>
          <w:iCs/>
        </w:rPr>
        <w:t>to</w:t>
      </w:r>
      <w:r w:rsidR="004E2330">
        <w:rPr>
          <w:iCs/>
        </w:rPr>
        <w:t xml:space="preserve"> recognize and report distributive shares</w:t>
      </w:r>
      <w:r w:rsidR="007B1930" w:rsidRPr="00AF3502">
        <w:rPr>
          <w:iCs/>
        </w:rPr>
        <w:t xml:space="preserve"> </w:t>
      </w:r>
      <w:r w:rsidR="004E2330">
        <w:rPr>
          <w:iCs/>
        </w:rPr>
        <w:t xml:space="preserve">of </w:t>
      </w:r>
      <w:r w:rsidR="007B1930" w:rsidRPr="00AF3502">
        <w:rPr>
          <w:iCs/>
        </w:rPr>
        <w:t xml:space="preserve">income or gains in years when the partnership has an overall net loss. But that would not make these allocations of the items of income or gains guaranteed payments. </w:t>
      </w:r>
    </w:p>
    <w:p w14:paraId="5C6EF9BE" w14:textId="77777777" w:rsidR="0007087D" w:rsidRPr="0007087D" w:rsidRDefault="0007087D" w:rsidP="0007087D">
      <w:pPr>
        <w:pStyle w:val="ListParagraph"/>
        <w:rPr>
          <w:iCs/>
        </w:rPr>
      </w:pPr>
    </w:p>
    <w:p w14:paraId="65EDACF9" w14:textId="261C5A89" w:rsidR="00947987" w:rsidRDefault="0007087D" w:rsidP="005F7F13">
      <w:pPr>
        <w:pStyle w:val="ListParagraph"/>
        <w:numPr>
          <w:ilvl w:val="0"/>
          <w:numId w:val="19"/>
        </w:numPr>
        <w:spacing w:before="240"/>
        <w:rPr>
          <w:iCs/>
        </w:rPr>
      </w:pPr>
      <w:r>
        <w:rPr>
          <w:iCs/>
        </w:rPr>
        <w:t>P</w:t>
      </w:r>
      <w:r w:rsidR="007B1930" w:rsidRPr="0007087D">
        <w:rPr>
          <w:iCs/>
        </w:rPr>
        <w:t xml:space="preserve">artners may </w:t>
      </w:r>
      <w:r>
        <w:rPr>
          <w:iCs/>
        </w:rPr>
        <w:t xml:space="preserve">also </w:t>
      </w:r>
      <w:r w:rsidR="007B1930" w:rsidRPr="0007087D">
        <w:rPr>
          <w:iCs/>
        </w:rPr>
        <w:t xml:space="preserve">agree that a partner that has made a small capital contribution, but will perform services as the manager of the partnership, will receive a larger allocation of </w:t>
      </w:r>
      <w:r>
        <w:rPr>
          <w:iCs/>
        </w:rPr>
        <w:t>some or all of the partners</w:t>
      </w:r>
      <w:r w:rsidR="00247AB4">
        <w:rPr>
          <w:iCs/>
        </w:rPr>
        <w:t xml:space="preserve">hip’s items of </w:t>
      </w:r>
      <w:r w:rsidR="007B1930" w:rsidRPr="0007087D">
        <w:rPr>
          <w:iCs/>
        </w:rPr>
        <w:t>income</w:t>
      </w:r>
      <w:r w:rsidR="00247AB4">
        <w:rPr>
          <w:iCs/>
        </w:rPr>
        <w:t xml:space="preserve"> or gains</w:t>
      </w:r>
      <w:r w:rsidR="007B1930" w:rsidRPr="0007087D">
        <w:rPr>
          <w:iCs/>
        </w:rPr>
        <w:t xml:space="preserve">. In this case, that partner may eventually be able to take distributions from capital in excess of </w:t>
      </w:r>
      <w:r w:rsidR="00247AB4">
        <w:rPr>
          <w:iCs/>
        </w:rPr>
        <w:t xml:space="preserve">any net income the </w:t>
      </w:r>
      <w:r>
        <w:rPr>
          <w:iCs/>
        </w:rPr>
        <w:t>partnership earned</w:t>
      </w:r>
      <w:r w:rsidR="007B1930" w:rsidRPr="0007087D">
        <w:rPr>
          <w:iCs/>
        </w:rPr>
        <w:t>. But the fact that the partner is performing services as a partner</w:t>
      </w:r>
      <w:r w:rsidR="00C32571">
        <w:rPr>
          <w:iCs/>
        </w:rPr>
        <w:t xml:space="preserve"> and </w:t>
      </w:r>
      <w:r w:rsidR="007B1930" w:rsidRPr="0007087D">
        <w:rPr>
          <w:iCs/>
        </w:rPr>
        <w:t xml:space="preserve">receives a special allocation of partnership </w:t>
      </w:r>
      <w:r w:rsidR="00C32571">
        <w:rPr>
          <w:iCs/>
        </w:rPr>
        <w:t>items</w:t>
      </w:r>
      <w:r w:rsidR="007B1930" w:rsidRPr="0007087D">
        <w:rPr>
          <w:iCs/>
        </w:rPr>
        <w:t xml:space="preserve"> will not make the distributions </w:t>
      </w:r>
      <w:r w:rsidR="00C32571">
        <w:rPr>
          <w:iCs/>
        </w:rPr>
        <w:t xml:space="preserve">that partner receives </w:t>
      </w:r>
      <w:r w:rsidR="007B1930" w:rsidRPr="0007087D">
        <w:rPr>
          <w:iCs/>
        </w:rPr>
        <w:t>guaranteed payments.</w:t>
      </w:r>
    </w:p>
    <w:p w14:paraId="0E9B9B8B" w14:textId="77777777" w:rsidR="00230E43" w:rsidRPr="00230E43" w:rsidRDefault="00230E43" w:rsidP="00230E43">
      <w:pPr>
        <w:pStyle w:val="ListParagraph"/>
        <w:rPr>
          <w:iCs/>
        </w:rPr>
      </w:pPr>
    </w:p>
    <w:p w14:paraId="5F5302B4" w14:textId="7F67DE76" w:rsidR="00230E43" w:rsidRDefault="00230E43" w:rsidP="005F7F13">
      <w:pPr>
        <w:pStyle w:val="ListParagraph"/>
        <w:numPr>
          <w:ilvl w:val="0"/>
          <w:numId w:val="19"/>
        </w:numPr>
        <w:spacing w:before="240"/>
        <w:rPr>
          <w:iCs/>
        </w:rPr>
      </w:pPr>
      <w:r>
        <w:rPr>
          <w:iCs/>
        </w:rPr>
        <w:t xml:space="preserve">Partners may agree to </w:t>
      </w:r>
      <w:r w:rsidR="00A0682D">
        <w:rPr>
          <w:iCs/>
        </w:rPr>
        <w:t>preferential allocations or distributions</w:t>
      </w:r>
      <w:r w:rsidR="00A676EE">
        <w:rPr>
          <w:iCs/>
        </w:rPr>
        <w:t xml:space="preserve"> of all kinds</w:t>
      </w:r>
      <w:r w:rsidR="00A0682D">
        <w:rPr>
          <w:iCs/>
        </w:rPr>
        <w:t xml:space="preserve">. So, for example, partners may agree that a managing member will receive </w:t>
      </w:r>
      <w:r w:rsidR="008C27A4">
        <w:rPr>
          <w:iCs/>
        </w:rPr>
        <w:t xml:space="preserve">the first $10,000 of income before the remainder is allocated and may also agree that this amount will accrue over time if the income in any one year is insufficient—or may be required to be paid </w:t>
      </w:r>
      <w:r w:rsidR="008D6AA8">
        <w:rPr>
          <w:iCs/>
        </w:rPr>
        <w:t xml:space="preserve">by a certain time regardless of the income earned by the partnership during that period. </w:t>
      </w:r>
      <w:r w:rsidR="00A0682D">
        <w:rPr>
          <w:iCs/>
        </w:rPr>
        <w:t xml:space="preserve"> </w:t>
      </w:r>
    </w:p>
    <w:p w14:paraId="11CFD77C" w14:textId="77777777" w:rsidR="00947987" w:rsidRPr="00947987" w:rsidRDefault="00947987" w:rsidP="00947987">
      <w:pPr>
        <w:pStyle w:val="ListParagraph"/>
        <w:rPr>
          <w:iCs/>
        </w:rPr>
      </w:pPr>
    </w:p>
    <w:p w14:paraId="042C7E97" w14:textId="5D02F1EA" w:rsidR="007B1930" w:rsidRPr="00947987" w:rsidRDefault="004D339D" w:rsidP="005F7F13">
      <w:pPr>
        <w:pStyle w:val="ListParagraph"/>
        <w:numPr>
          <w:ilvl w:val="0"/>
          <w:numId w:val="19"/>
        </w:numPr>
        <w:spacing w:before="240"/>
        <w:rPr>
          <w:iCs/>
        </w:rPr>
      </w:pPr>
      <w:r>
        <w:rPr>
          <w:iCs/>
        </w:rPr>
        <w:t>It</w:t>
      </w:r>
      <w:r w:rsidR="00FE52DA" w:rsidRPr="00947987">
        <w:rPr>
          <w:iCs/>
        </w:rPr>
        <w:t xml:space="preserve"> may </w:t>
      </w:r>
      <w:r>
        <w:rPr>
          <w:iCs/>
        </w:rPr>
        <w:t xml:space="preserve">also </w:t>
      </w:r>
      <w:r w:rsidR="00FE52DA" w:rsidRPr="00947987">
        <w:rPr>
          <w:iCs/>
        </w:rPr>
        <w:t xml:space="preserve">be difficult to distinguish </w:t>
      </w:r>
      <w:r w:rsidR="004A3D3A" w:rsidRPr="00947987">
        <w:rPr>
          <w:iCs/>
        </w:rPr>
        <w:t>guaranteed payments from partner-partnership transactions</w:t>
      </w:r>
      <w:r w:rsidR="00B171D7">
        <w:rPr>
          <w:iCs/>
        </w:rPr>
        <w:t xml:space="preserve"> in some circumstances</w:t>
      </w:r>
      <w:r w:rsidR="004A3D3A" w:rsidRPr="00947987">
        <w:rPr>
          <w:iCs/>
        </w:rPr>
        <w:t>. For example, assume</w:t>
      </w:r>
      <w:r w:rsidR="007B1930" w:rsidRPr="00947987">
        <w:rPr>
          <w:iCs/>
        </w:rPr>
        <w:t xml:space="preserve"> a partnership operates a restaurant </w:t>
      </w:r>
      <w:r w:rsidR="004A3D3A" w:rsidRPr="00947987">
        <w:rPr>
          <w:iCs/>
        </w:rPr>
        <w:t xml:space="preserve">and </w:t>
      </w:r>
      <w:r w:rsidR="007B1930" w:rsidRPr="00947987">
        <w:rPr>
          <w:iCs/>
        </w:rPr>
        <w:t xml:space="preserve">has, as a </w:t>
      </w:r>
      <w:r w:rsidR="00B171D7">
        <w:rPr>
          <w:iCs/>
        </w:rPr>
        <w:t xml:space="preserve">general </w:t>
      </w:r>
      <w:r w:rsidR="007B1930" w:rsidRPr="00947987">
        <w:rPr>
          <w:iCs/>
        </w:rPr>
        <w:t xml:space="preserve">partner, a lawyer specializing in employment law. When the restaurant is sued by an ex-employee, that partner acts to defend the restaurant and receives a fee for the service. The fact that the service is performed on behalf of the partnership </w:t>
      </w:r>
      <w:r w:rsidR="00B171D7">
        <w:rPr>
          <w:iCs/>
        </w:rPr>
        <w:t>may</w:t>
      </w:r>
      <w:r w:rsidR="007B1930" w:rsidRPr="00947987">
        <w:rPr>
          <w:iCs/>
        </w:rPr>
        <w:t xml:space="preserve"> not </w:t>
      </w:r>
      <w:r w:rsidR="002572B0" w:rsidRPr="00947987">
        <w:rPr>
          <w:iCs/>
        </w:rPr>
        <w:t xml:space="preserve">mean the partner is acting in the capacity of a partner or </w:t>
      </w:r>
      <w:r w:rsidR="007B1930" w:rsidRPr="00947987">
        <w:rPr>
          <w:iCs/>
        </w:rPr>
        <w:t xml:space="preserve">make the payment a guaranteed payment.   </w:t>
      </w:r>
    </w:p>
    <w:p w14:paraId="649C5A5D" w14:textId="77777777" w:rsidR="00636F8A" w:rsidRDefault="00782201" w:rsidP="00800E54">
      <w:pPr>
        <w:spacing w:before="240" w:after="240"/>
        <w:jc w:val="left"/>
      </w:pPr>
      <w:bookmarkStart w:id="34" w:name="_Toc104209202"/>
      <w:r>
        <w:t>It is not unusual for there to be disagreement about how to characterize payments under these and other similar examples—or for federal rules to be lacking.</w:t>
      </w:r>
      <w:r w:rsidR="00B26F87">
        <w:t xml:space="preserve"> </w:t>
      </w:r>
      <w:r w:rsidR="00841983">
        <w:t>It is also not unusual for partnership agreements to specify that payments are to be made regardless of income when it is likely that the partnership will have sufficient income to cover those payments</w:t>
      </w:r>
      <w:r w:rsidR="00636F8A">
        <w:t xml:space="preserve">. </w:t>
      </w:r>
    </w:p>
    <w:p w14:paraId="19296FEA" w14:textId="5A7AF734" w:rsidR="00E54057" w:rsidRDefault="00636F8A" w:rsidP="00800E54">
      <w:pPr>
        <w:spacing w:before="240" w:after="240"/>
        <w:jc w:val="left"/>
      </w:pPr>
      <w:r>
        <w:t>In</w:t>
      </w:r>
      <w:r w:rsidR="00B26F87">
        <w:t xml:space="preserve"> turn, </w:t>
      </w:r>
      <w:r>
        <w:t xml:space="preserve">this complexity </w:t>
      </w:r>
      <w:r w:rsidR="00B26F87">
        <w:t>can make distinguishing guaranteed payments for purposes of sourcing more difficult.</w:t>
      </w:r>
      <w:r w:rsidR="00800E54">
        <w:t xml:space="preserve"> </w:t>
      </w:r>
    </w:p>
    <w:p w14:paraId="2FF8EB6F" w14:textId="6B71C32A" w:rsidR="006A30B9" w:rsidRPr="006A30B9" w:rsidRDefault="00F72E5C" w:rsidP="002C5417">
      <w:pPr>
        <w:pStyle w:val="Heading3"/>
      </w:pPr>
      <w:bookmarkStart w:id="35" w:name="_Toc144634461"/>
      <w:r>
        <w:lastRenderedPageBreak/>
        <w:t>Income Shifting</w:t>
      </w:r>
      <w:r w:rsidR="00F105FF">
        <w:t xml:space="preserve"> - Examples</w:t>
      </w:r>
      <w:bookmarkEnd w:id="35"/>
    </w:p>
    <w:p w14:paraId="72AAF99B" w14:textId="2C297A9C" w:rsidR="00B77366" w:rsidRDefault="008B2917" w:rsidP="00D5252B">
      <w:r>
        <w:t>Another</w:t>
      </w:r>
      <w:r w:rsidR="006A30B9" w:rsidRPr="006A30B9">
        <w:t xml:space="preserve"> important consideration is that, to the extent distributive share and guaranteed payments are sourced differently, it may be possible to alter the sourcing without substantially changing the</w:t>
      </w:r>
      <w:r w:rsidR="00691096">
        <w:t xml:space="preserve"> underlying</w:t>
      </w:r>
      <w:r w:rsidR="006A30B9" w:rsidRPr="006A30B9">
        <w:t xml:space="preserve"> economic </w:t>
      </w:r>
      <w:r w:rsidR="00D5252B">
        <w:t>arrangement</w:t>
      </w:r>
      <w:r w:rsidR="006A30B9" w:rsidRPr="006A30B9">
        <w:t>.</w:t>
      </w:r>
    </w:p>
    <w:p w14:paraId="144B51FE" w14:textId="7BBCF888" w:rsidR="00F105FF" w:rsidRPr="00B11826" w:rsidRDefault="00F105FF" w:rsidP="00F105FF">
      <w:pPr>
        <w:rPr>
          <w:b/>
          <w:bCs/>
          <w:u w:val="single"/>
        </w:rPr>
      </w:pPr>
      <w:r w:rsidRPr="00B11826">
        <w:rPr>
          <w:b/>
          <w:bCs/>
          <w:u w:val="single"/>
        </w:rPr>
        <w:t>Examples</w:t>
      </w:r>
    </w:p>
    <w:p w14:paraId="29043263" w14:textId="6722E8AC" w:rsidR="00F105FF" w:rsidRPr="006A30B9" w:rsidRDefault="00B11826" w:rsidP="00F105FF">
      <w:r>
        <w:t>A</w:t>
      </w:r>
      <w:r w:rsidR="00F105FF">
        <w:t xml:space="preserve">ssume </w:t>
      </w:r>
      <w:r w:rsidR="00F105FF" w:rsidRPr="006A30B9">
        <w:t>State 2 sources distributive share using the partnership’s receipts factor but sources guaranteed payments based on where the partner is located</w:t>
      </w:r>
      <w:r w:rsidR="00F105FF" w:rsidRPr="00F105FF">
        <w:t xml:space="preserve"> and performs services</w:t>
      </w:r>
      <w:r w:rsidR="00F105FF" w:rsidRPr="006A30B9">
        <w:t xml:space="preserve">.  </w:t>
      </w:r>
    </w:p>
    <w:p w14:paraId="3892D9D3" w14:textId="52F4CC33" w:rsidR="006C7541" w:rsidRPr="00E209C9" w:rsidRDefault="006C7541" w:rsidP="00B11826">
      <w:pPr>
        <w:spacing w:after="120"/>
        <w:ind w:left="360"/>
        <w:jc w:val="left"/>
        <w:rPr>
          <w:b/>
          <w:bCs/>
        </w:rPr>
      </w:pPr>
      <w:r w:rsidRPr="00E209C9">
        <w:rPr>
          <w:b/>
          <w:bCs/>
          <w:u w:val="single"/>
        </w:rPr>
        <w:t xml:space="preserve">Example </w:t>
      </w:r>
      <w:r>
        <w:rPr>
          <w:b/>
          <w:bCs/>
          <w:u w:val="single"/>
        </w:rPr>
        <w:t>1</w:t>
      </w:r>
      <w:r w:rsidRPr="00E209C9">
        <w:rPr>
          <w:b/>
          <w:bCs/>
        </w:rPr>
        <w:t>:</w:t>
      </w:r>
    </w:p>
    <w:p w14:paraId="74BB470B" w14:textId="77777777" w:rsidR="006C7541" w:rsidRDefault="006C7541" w:rsidP="005F7F13">
      <w:pPr>
        <w:numPr>
          <w:ilvl w:val="0"/>
          <w:numId w:val="8"/>
        </w:numPr>
        <w:spacing w:after="80"/>
        <w:jc w:val="left"/>
      </w:pPr>
      <w:r w:rsidRPr="00E209C9">
        <w:t xml:space="preserve">X and Y form a partnership to </w:t>
      </w:r>
      <w:r>
        <w:t>own and manage rental property, contributing an equal share of capital.</w:t>
      </w:r>
      <w:r w:rsidRPr="00E209C9">
        <w:t xml:space="preserve"> </w:t>
      </w:r>
    </w:p>
    <w:p w14:paraId="4FA17791" w14:textId="77777777" w:rsidR="006C7541" w:rsidRDefault="006C7541" w:rsidP="005F7F13">
      <w:pPr>
        <w:numPr>
          <w:ilvl w:val="0"/>
          <w:numId w:val="8"/>
        </w:numPr>
        <w:spacing w:after="80"/>
        <w:jc w:val="left"/>
      </w:pPr>
      <w:r w:rsidRPr="006A30B9">
        <w:t>X resides</w:t>
      </w:r>
      <w:r w:rsidRPr="00E209C9">
        <w:t xml:space="preserve"> and works</w:t>
      </w:r>
      <w:r w:rsidRPr="006A30B9">
        <w:t xml:space="preserve"> in State 1, which has no income tax. Y resides</w:t>
      </w:r>
      <w:r w:rsidRPr="00E209C9">
        <w:t xml:space="preserve"> and works</w:t>
      </w:r>
      <w:r w:rsidRPr="006A30B9">
        <w:t xml:space="preserve"> in State 2, which does have an income tax.</w:t>
      </w:r>
    </w:p>
    <w:p w14:paraId="0074D836" w14:textId="77777777" w:rsidR="006C7541" w:rsidRDefault="006C7541" w:rsidP="005F7F13">
      <w:pPr>
        <w:numPr>
          <w:ilvl w:val="0"/>
          <w:numId w:val="8"/>
        </w:numPr>
        <w:spacing w:after="80"/>
        <w:jc w:val="left"/>
      </w:pPr>
      <w:r>
        <w:t>The rental property is located in State 2 and is currently fully rented, making on average $100,000 per year.</w:t>
      </w:r>
    </w:p>
    <w:p w14:paraId="1D973DA0" w14:textId="20FD603B" w:rsidR="006C7541" w:rsidRPr="00E209C9" w:rsidRDefault="006C7541" w:rsidP="005F7F13">
      <w:pPr>
        <w:numPr>
          <w:ilvl w:val="0"/>
          <w:numId w:val="8"/>
        </w:numPr>
        <w:spacing w:after="80"/>
        <w:jc w:val="left"/>
      </w:pPr>
      <w:r>
        <w:t>X and Y agree that X will be paid a guaranteed payment of $30,000/year and will be allocated 2</w:t>
      </w:r>
      <w:r w:rsidR="00E56085">
        <w:t>8</w:t>
      </w:r>
      <w:r>
        <w:t xml:space="preserve">% of the </w:t>
      </w:r>
      <w:r w:rsidR="00E56085">
        <w:t xml:space="preserve">partnership’s net </w:t>
      </w:r>
      <w:r>
        <w:t xml:space="preserve">income after deducting that payment. </w:t>
      </w:r>
    </w:p>
    <w:p w14:paraId="19EFCE21" w14:textId="3F00F3C5" w:rsidR="006A30B9" w:rsidRPr="006A30B9" w:rsidRDefault="006A30B9" w:rsidP="00B11826">
      <w:pPr>
        <w:spacing w:after="120"/>
        <w:ind w:left="360"/>
        <w:jc w:val="left"/>
        <w:rPr>
          <w:b/>
          <w:bCs/>
        </w:rPr>
      </w:pPr>
      <w:r w:rsidRPr="006A30B9">
        <w:rPr>
          <w:b/>
          <w:bCs/>
          <w:u w:val="single"/>
        </w:rPr>
        <w:t>Example</w:t>
      </w:r>
      <w:r w:rsidR="00E209C9" w:rsidRPr="00E209C9">
        <w:rPr>
          <w:b/>
          <w:bCs/>
          <w:u w:val="single"/>
        </w:rPr>
        <w:t xml:space="preserve"> </w:t>
      </w:r>
      <w:r w:rsidR="00E56085">
        <w:rPr>
          <w:b/>
          <w:bCs/>
          <w:u w:val="single"/>
        </w:rPr>
        <w:t>2</w:t>
      </w:r>
      <w:r w:rsidRPr="006A30B9">
        <w:rPr>
          <w:b/>
          <w:bCs/>
        </w:rPr>
        <w:t>:</w:t>
      </w:r>
    </w:p>
    <w:p w14:paraId="1FC39AC9" w14:textId="77777777" w:rsidR="006A30B9" w:rsidRPr="006A30B9" w:rsidRDefault="006A30B9" w:rsidP="005F7F13">
      <w:pPr>
        <w:numPr>
          <w:ilvl w:val="0"/>
          <w:numId w:val="8"/>
        </w:numPr>
        <w:spacing w:after="80"/>
        <w:jc w:val="left"/>
      </w:pPr>
      <w:r w:rsidRPr="006A30B9">
        <w:t xml:space="preserve">X and Y form a partnership to provide consulting services. </w:t>
      </w:r>
    </w:p>
    <w:p w14:paraId="2E15DFD8" w14:textId="6BA748DB" w:rsidR="006A30B9" w:rsidRPr="006A30B9" w:rsidRDefault="006A30B9" w:rsidP="005F7F13">
      <w:pPr>
        <w:numPr>
          <w:ilvl w:val="0"/>
          <w:numId w:val="8"/>
        </w:numPr>
        <w:spacing w:after="80"/>
        <w:jc w:val="left"/>
      </w:pPr>
      <w:r w:rsidRPr="006A30B9">
        <w:t xml:space="preserve">X and Y have little in the way of expenses other than their time spent </w:t>
      </w:r>
      <w:r w:rsidR="00FC7DE0">
        <w:t xml:space="preserve">on client work </w:t>
      </w:r>
      <w:r w:rsidRPr="006A30B9">
        <w:t>and some incidental costs.</w:t>
      </w:r>
    </w:p>
    <w:p w14:paraId="18393E9B" w14:textId="688C4154" w:rsidR="006A30B9" w:rsidRPr="006A30B9" w:rsidRDefault="006A30B9" w:rsidP="005F7F13">
      <w:pPr>
        <w:numPr>
          <w:ilvl w:val="0"/>
          <w:numId w:val="8"/>
        </w:numPr>
        <w:spacing w:after="80"/>
        <w:jc w:val="left"/>
      </w:pPr>
      <w:r w:rsidRPr="006A30B9">
        <w:t>X resides</w:t>
      </w:r>
      <w:r w:rsidR="00155F98">
        <w:t xml:space="preserve"> and works</w:t>
      </w:r>
      <w:r w:rsidRPr="006A30B9">
        <w:t xml:space="preserve"> in State 1, which has no income tax. Y resides</w:t>
      </w:r>
      <w:r w:rsidR="00155F98">
        <w:t xml:space="preserve"> and works</w:t>
      </w:r>
      <w:r w:rsidRPr="006A30B9">
        <w:t xml:space="preserve"> in State 2, which does have an income tax.</w:t>
      </w:r>
    </w:p>
    <w:p w14:paraId="672391AE" w14:textId="77777777" w:rsidR="006A30B9" w:rsidRPr="006A30B9" w:rsidRDefault="006A30B9" w:rsidP="005F7F13">
      <w:pPr>
        <w:numPr>
          <w:ilvl w:val="0"/>
          <w:numId w:val="8"/>
        </w:numPr>
        <w:spacing w:after="80"/>
        <w:jc w:val="left"/>
      </w:pPr>
      <w:r w:rsidRPr="006A30B9">
        <w:t xml:space="preserve">Most of the partnership’s clients are in State 2. </w:t>
      </w:r>
    </w:p>
    <w:p w14:paraId="2CDBE511" w14:textId="76FBC152" w:rsidR="006A30B9" w:rsidRPr="006A30B9" w:rsidRDefault="006A30B9" w:rsidP="005F7F13">
      <w:pPr>
        <w:numPr>
          <w:ilvl w:val="0"/>
          <w:numId w:val="8"/>
        </w:numPr>
        <w:spacing w:after="80"/>
        <w:jc w:val="left"/>
      </w:pPr>
      <w:r w:rsidRPr="006A30B9">
        <w:t>For the first three years, partnershi</w:t>
      </w:r>
      <w:r w:rsidR="00C902DF">
        <w:t>p’s average</w:t>
      </w:r>
      <w:r w:rsidRPr="006A30B9">
        <w:t xml:space="preserve"> income </w:t>
      </w:r>
      <w:r w:rsidR="00F631B7">
        <w:t>is</w:t>
      </w:r>
      <w:r w:rsidR="006D4682">
        <w:t xml:space="preserve"> $</w:t>
      </w:r>
      <w:r w:rsidR="00C902DF">
        <w:t>2</w:t>
      </w:r>
      <w:r w:rsidR="006D4682">
        <w:t>00,000</w:t>
      </w:r>
      <w:r w:rsidRPr="006A30B9">
        <w:t>, and X and Y split that income 50/50.</w:t>
      </w:r>
    </w:p>
    <w:p w14:paraId="0AEF876F" w14:textId="67F55394" w:rsidR="006A30B9" w:rsidRPr="006A30B9" w:rsidRDefault="006D4682" w:rsidP="005F7F13">
      <w:pPr>
        <w:numPr>
          <w:ilvl w:val="0"/>
          <w:numId w:val="8"/>
        </w:numPr>
        <w:jc w:val="left"/>
      </w:pPr>
      <w:r>
        <w:t>In year four,</w:t>
      </w:r>
      <w:r w:rsidR="006A30B9" w:rsidRPr="006A30B9">
        <w:t xml:space="preserve"> X and Y agree that X will receive a </w:t>
      </w:r>
      <w:r w:rsidR="0045693F">
        <w:t xml:space="preserve">guaranteed </w:t>
      </w:r>
      <w:r w:rsidR="006A30B9" w:rsidRPr="006A30B9">
        <w:t>payment for services</w:t>
      </w:r>
      <w:r w:rsidR="00195E57">
        <w:t xml:space="preserve"> of $</w:t>
      </w:r>
      <w:r w:rsidR="00C902DF">
        <w:t>8</w:t>
      </w:r>
      <w:r w:rsidR="00195E57">
        <w:t>0,000,</w:t>
      </w:r>
      <w:r w:rsidR="006A30B9" w:rsidRPr="006A30B9">
        <w:t xml:space="preserve"> </w:t>
      </w:r>
      <w:r w:rsidR="00C902DF">
        <w:t>and will then receive</w:t>
      </w:r>
      <w:r w:rsidR="00337324">
        <w:t xml:space="preserve"> a 1</w:t>
      </w:r>
      <w:r w:rsidR="007F326C">
        <w:t>5</w:t>
      </w:r>
      <w:r w:rsidR="00337324">
        <w:t>% share of any net income</w:t>
      </w:r>
      <w:r w:rsidR="007640F8">
        <w:t xml:space="preserve"> after deducting that payment</w:t>
      </w:r>
      <w:r w:rsidR="00337324">
        <w:t xml:space="preserve">. </w:t>
      </w:r>
    </w:p>
    <w:p w14:paraId="222B6107" w14:textId="5223F793" w:rsidR="006A30B9" w:rsidRDefault="006A30B9" w:rsidP="006A30B9">
      <w:pPr>
        <w:jc w:val="left"/>
      </w:pPr>
      <w:r w:rsidRPr="006A30B9">
        <w:t>Assuming the payment</w:t>
      </w:r>
      <w:r w:rsidR="00E56085">
        <w:t>s</w:t>
      </w:r>
      <w:r w:rsidRPr="006A30B9">
        <w:t xml:space="preserve"> to X </w:t>
      </w:r>
      <w:r w:rsidR="00E56085">
        <w:t>are</w:t>
      </w:r>
      <w:r w:rsidRPr="006A30B9">
        <w:t xml:space="preserve"> guaranteed payment</w:t>
      </w:r>
      <w:r w:rsidR="00E56085">
        <w:t>s</w:t>
      </w:r>
      <w:r w:rsidRPr="006A30B9">
        <w:t xml:space="preserve">, the sourcing of </w:t>
      </w:r>
      <w:r w:rsidR="007640F8">
        <w:t>X’s</w:t>
      </w:r>
      <w:r w:rsidRPr="006A30B9">
        <w:t xml:space="preserve"> income will change even though the essential economic arrangement</w:t>
      </w:r>
      <w:r w:rsidR="00E56085">
        <w:t>s</w:t>
      </w:r>
      <w:r w:rsidRPr="006A30B9">
        <w:t xml:space="preserve"> </w:t>
      </w:r>
      <w:r w:rsidR="00E56085">
        <w:t>are</w:t>
      </w:r>
      <w:r w:rsidRPr="006A30B9">
        <w:t xml:space="preserve"> unchanged. </w:t>
      </w:r>
    </w:p>
    <w:p w14:paraId="79631662" w14:textId="02493487" w:rsidR="006A30B9" w:rsidRDefault="00AD7435" w:rsidP="00AD7435">
      <w:pPr>
        <w:pStyle w:val="Heading2"/>
      </w:pPr>
      <w:bookmarkStart w:id="36" w:name="_Toc144634462"/>
      <w:r>
        <w:t xml:space="preserve">I.G. </w:t>
      </w:r>
      <w:r w:rsidR="00117319">
        <w:t>Summary</w:t>
      </w:r>
      <w:bookmarkEnd w:id="36"/>
    </w:p>
    <w:p w14:paraId="4BD7E791" w14:textId="2D9E15C5" w:rsidR="00517467" w:rsidRDefault="008B2917" w:rsidP="00956D31">
      <w:r>
        <w:t xml:space="preserve">This Section I </w:t>
      </w:r>
      <w:r w:rsidR="00EA768B">
        <w:t>provides</w:t>
      </w:r>
      <w:r w:rsidR="008A196E">
        <w:t xml:space="preserve"> </w:t>
      </w:r>
      <w:r w:rsidR="002C3089">
        <w:t>general</w:t>
      </w:r>
      <w:r w:rsidR="008A196E">
        <w:t xml:space="preserve"> information on </w:t>
      </w:r>
      <w:r w:rsidR="00D24626">
        <w:t>the</w:t>
      </w:r>
      <w:r w:rsidR="008A196E">
        <w:t xml:space="preserve"> federal pass-through tax system</w:t>
      </w:r>
      <w:r w:rsidR="00D24626">
        <w:t xml:space="preserve"> and </w:t>
      </w:r>
      <w:r w:rsidR="00EA4029">
        <w:t>describe</w:t>
      </w:r>
      <w:r w:rsidR="00EA768B">
        <w:t>s</w:t>
      </w:r>
      <w:r w:rsidR="00EA4029">
        <w:t xml:space="preserve"> how</w:t>
      </w:r>
      <w:r w:rsidR="00903202">
        <w:t xml:space="preserve"> guaranteed payments for services </w:t>
      </w:r>
      <w:r w:rsidR="002C3089">
        <w:t>fit within that</w:t>
      </w:r>
      <w:r w:rsidR="00903202">
        <w:t xml:space="preserve"> context</w:t>
      </w:r>
      <w:r w:rsidR="00FA3883">
        <w:t>.</w:t>
      </w:r>
      <w:r w:rsidR="00263859">
        <w:t xml:space="preserve"> </w:t>
      </w:r>
      <w:r w:rsidR="00AA0861">
        <w:t xml:space="preserve">Guaranteed payments have been distinguished from distributive share/distributions and from partner-partnership transactions, both in theoretical terms and in how they are </w:t>
      </w:r>
      <w:r w:rsidR="005F765A">
        <w:t>treated under both the pass-through system an</w:t>
      </w:r>
      <w:r w:rsidR="00517467">
        <w:t xml:space="preserve">d federal substantive tax rules. </w:t>
      </w:r>
    </w:p>
    <w:p w14:paraId="4E8E13B2" w14:textId="70ECEBAF" w:rsidR="00C077C3" w:rsidRDefault="0046631C" w:rsidP="00956D31">
      <w:r>
        <w:t xml:space="preserve">In terms of the </w:t>
      </w:r>
      <w:r w:rsidR="00BE01DA">
        <w:t xml:space="preserve">aggregate and entity theories, guaranteed payments are treated more like partner-partnership transactions </w:t>
      </w:r>
      <w:r w:rsidR="000509AA">
        <w:t xml:space="preserve">(entity theory) rather than as distributive share/distributions (aggregate theory). </w:t>
      </w:r>
      <w:r w:rsidR="000E2B39">
        <w:t>A</w:t>
      </w:r>
      <w:r w:rsidR="00C70BAA">
        <w:t xml:space="preserve"> case</w:t>
      </w:r>
      <w:r w:rsidR="000E2B39">
        <w:t xml:space="preserve"> might therefore be</w:t>
      </w:r>
      <w:r w:rsidR="00C70BAA">
        <w:t xml:space="preserve"> made that guaranteed payments for services should be sourced in the same way as payments to compensate partners for the performance of service</w:t>
      </w:r>
      <w:r w:rsidR="00956D31">
        <w:t>s</w:t>
      </w:r>
      <w:r w:rsidR="00E36F0A">
        <w:t>—looking solely to the activities of the partner, rather than the activities of the partnership</w:t>
      </w:r>
      <w:r w:rsidR="00956D31">
        <w:t xml:space="preserve">. </w:t>
      </w:r>
    </w:p>
    <w:p w14:paraId="5FEBB7A9" w14:textId="73B731D5" w:rsidR="008B2917" w:rsidRDefault="000C5808" w:rsidP="00956D31">
      <w:pPr>
        <w:rPr>
          <w:rFonts w:asciiTheme="majorHAnsi" w:eastAsiaTheme="majorEastAsia" w:hAnsiTheme="majorHAnsi" w:cstheme="majorBidi"/>
          <w:b/>
          <w:smallCaps/>
          <w:color w:val="851C00" w:themeColor="accent6" w:themeShade="BF"/>
          <w:sz w:val="36"/>
          <w:szCs w:val="32"/>
        </w:rPr>
      </w:pPr>
      <w:r>
        <w:t>But t</w:t>
      </w:r>
      <w:r w:rsidR="00A57B60">
        <w:t xml:space="preserve">here are two other considerations that </w:t>
      </w:r>
      <w:r w:rsidR="000154DE">
        <w:t xml:space="preserve">may affect </w:t>
      </w:r>
      <w:r w:rsidR="000D5870">
        <w:t xml:space="preserve">the </w:t>
      </w:r>
      <w:r w:rsidR="000154DE">
        <w:t xml:space="preserve">sourcing. The first is the complexity </w:t>
      </w:r>
      <w:r w:rsidR="003B5548">
        <w:t xml:space="preserve">of some types of economic arrangements between partners and the difficulty in </w:t>
      </w:r>
      <w:r w:rsidR="00DC6BE9">
        <w:t>matching those arrangements</w:t>
      </w:r>
      <w:r w:rsidR="004E407F">
        <w:t xml:space="preserve"> to particular categories</w:t>
      </w:r>
      <w:r>
        <w:t xml:space="preserve"> of payments</w:t>
      </w:r>
      <w:r w:rsidR="004E407F">
        <w:t>, to the</w:t>
      </w:r>
      <w:r w:rsidR="00DC6BE9">
        <w:t xml:space="preserve"> extent this determines sourcing. The second is the </w:t>
      </w:r>
      <w:r w:rsidR="00B56455">
        <w:t xml:space="preserve">possibility that sourcing different types of partnership-related income differently might lead to </w:t>
      </w:r>
      <w:r w:rsidR="00951110">
        <w:t xml:space="preserve">taxpayers </w:t>
      </w:r>
      <w:r w:rsidR="006F74A5">
        <w:t xml:space="preserve">adopting </w:t>
      </w:r>
      <w:r w:rsidR="00951110">
        <w:t xml:space="preserve">structures or arrangements </w:t>
      </w:r>
      <w:r w:rsidR="004E407F">
        <w:t xml:space="preserve">in order to </w:t>
      </w:r>
      <w:r w:rsidR="001E7AFF">
        <w:t xml:space="preserve">shift </w:t>
      </w:r>
      <w:r w:rsidR="006F74A5">
        <w:t>income</w:t>
      </w:r>
      <w:r w:rsidR="001E7AFF">
        <w:t xml:space="preserve"> for tax purposes</w:t>
      </w:r>
      <w:r w:rsidR="006F74A5">
        <w:t xml:space="preserve">. </w:t>
      </w:r>
      <w:r w:rsidR="008B2917">
        <w:br w:type="page"/>
      </w:r>
    </w:p>
    <w:p w14:paraId="18F94501" w14:textId="6AFBFB7C" w:rsidR="0040186B" w:rsidRPr="0019545B" w:rsidRDefault="00B5459F" w:rsidP="00BE7B52">
      <w:pPr>
        <w:pStyle w:val="Heading1"/>
      </w:pPr>
      <w:bookmarkStart w:id="37" w:name="_Toc144634463"/>
      <w:r>
        <w:lastRenderedPageBreak/>
        <w:t>I</w:t>
      </w:r>
      <w:r w:rsidR="00464AC0">
        <w:t>I</w:t>
      </w:r>
      <w:r w:rsidR="0045272A">
        <w:t xml:space="preserve">: </w:t>
      </w:r>
      <w:bookmarkEnd w:id="34"/>
      <w:r w:rsidR="00F46A10">
        <w:t xml:space="preserve">Specific </w:t>
      </w:r>
      <w:r>
        <w:t xml:space="preserve">Federal Rules </w:t>
      </w:r>
      <w:r w:rsidR="00F46A10">
        <w:t>for</w:t>
      </w:r>
      <w:r w:rsidR="008C02BF">
        <w:t xml:space="preserve"> Guaranteed Payments</w:t>
      </w:r>
      <w:bookmarkEnd w:id="37"/>
    </w:p>
    <w:p w14:paraId="6285AD25" w14:textId="39CAFA6A" w:rsidR="00812A24" w:rsidRDefault="00F620CA" w:rsidP="00F54CF3">
      <w:pPr>
        <w:rPr>
          <w:i/>
          <w:iCs/>
          <w:color w:val="B43412" w:themeColor="accent1" w:themeShade="BF"/>
          <w:sz w:val="18"/>
          <w:szCs w:val="18"/>
        </w:rPr>
      </w:pPr>
      <w:r w:rsidRPr="00355DD8">
        <w:rPr>
          <w:i/>
          <w:iCs/>
          <w:sz w:val="16"/>
          <w:szCs w:val="16"/>
        </w:rPr>
        <w:t xml:space="preserve">Information in this section </w:t>
      </w:r>
      <w:r w:rsidR="0019545B">
        <w:rPr>
          <w:i/>
          <w:iCs/>
          <w:sz w:val="16"/>
          <w:szCs w:val="16"/>
        </w:rPr>
        <w:t>comes from</w:t>
      </w:r>
      <w:r w:rsidR="00355DD8">
        <w:rPr>
          <w:i/>
          <w:iCs/>
          <w:sz w:val="16"/>
          <w:szCs w:val="16"/>
        </w:rPr>
        <w:t xml:space="preserve"> </w:t>
      </w:r>
      <w:r w:rsidRPr="00355DD8">
        <w:rPr>
          <w:i/>
          <w:iCs/>
          <w:sz w:val="16"/>
          <w:szCs w:val="16"/>
        </w:rPr>
        <w:t>multiple sources</w:t>
      </w:r>
      <w:r w:rsidR="004547CC" w:rsidRPr="00355DD8">
        <w:rPr>
          <w:i/>
          <w:iCs/>
          <w:sz w:val="16"/>
          <w:szCs w:val="16"/>
        </w:rPr>
        <w:t>.</w:t>
      </w:r>
      <w:r w:rsidR="00A2527B">
        <w:rPr>
          <w:i/>
          <w:iCs/>
          <w:sz w:val="16"/>
          <w:szCs w:val="16"/>
        </w:rPr>
        <w:t xml:space="preserve"> In addition to sources cited, s</w:t>
      </w:r>
      <w:r w:rsidR="00BA5F36" w:rsidRPr="00355DD8">
        <w:rPr>
          <w:i/>
          <w:iCs/>
          <w:sz w:val="16"/>
          <w:szCs w:val="16"/>
        </w:rPr>
        <w:t>ee the</w:t>
      </w:r>
      <w:r w:rsidR="00355DD8">
        <w:rPr>
          <w:i/>
          <w:iCs/>
          <w:sz w:val="16"/>
          <w:szCs w:val="16"/>
        </w:rPr>
        <w:t xml:space="preserve"> </w:t>
      </w:r>
      <w:r w:rsidR="00120DCC">
        <w:rPr>
          <w:i/>
          <w:iCs/>
          <w:sz w:val="16"/>
          <w:szCs w:val="16"/>
        </w:rPr>
        <w:t>MTC</w:t>
      </w:r>
      <w:r w:rsidR="00BA5F36" w:rsidRPr="00355DD8">
        <w:rPr>
          <w:i/>
          <w:iCs/>
          <w:sz w:val="16"/>
          <w:szCs w:val="16"/>
        </w:rPr>
        <w:t>’s project page</w:t>
      </w:r>
      <w:r w:rsidR="00355DD8">
        <w:rPr>
          <w:i/>
          <w:iCs/>
          <w:sz w:val="16"/>
          <w:szCs w:val="16"/>
        </w:rPr>
        <w:t xml:space="preserve"> </w:t>
      </w:r>
      <w:r w:rsidR="00BA5F36" w:rsidRPr="00355DD8">
        <w:rPr>
          <w:i/>
          <w:iCs/>
          <w:sz w:val="16"/>
          <w:szCs w:val="16"/>
        </w:rPr>
        <w:t>on state taxation of partnerships</w:t>
      </w:r>
      <w:r w:rsidR="00A07E10">
        <w:rPr>
          <w:i/>
          <w:iCs/>
          <w:sz w:val="16"/>
          <w:szCs w:val="16"/>
        </w:rPr>
        <w:t>, here</w:t>
      </w:r>
      <w:r w:rsidR="00BA5F36" w:rsidRPr="00355DD8">
        <w:rPr>
          <w:i/>
          <w:iCs/>
          <w:sz w:val="16"/>
          <w:szCs w:val="16"/>
        </w:rPr>
        <w:t xml:space="preserve">: </w:t>
      </w:r>
      <w:r w:rsidR="00C9117B">
        <w:rPr>
          <w:i/>
          <w:iCs/>
          <w:sz w:val="16"/>
          <w:szCs w:val="16"/>
        </w:rPr>
        <w:t xml:space="preserve"> </w:t>
      </w:r>
      <w:hyperlink r:id="rId42" w:history="1">
        <w:r w:rsidR="005B6581">
          <w:rPr>
            <w:rStyle w:val="Hyperlink"/>
            <w:i/>
            <w:iCs/>
            <w:color w:val="B43412" w:themeColor="accent1" w:themeShade="BF"/>
            <w:sz w:val="16"/>
            <w:szCs w:val="16"/>
          </w:rPr>
          <w:t>https://www.mtc.gov/uniformity/project-on-state-taxation-of-partnerships/</w:t>
        </w:r>
      </w:hyperlink>
      <w:r w:rsidR="00F54CF3">
        <w:rPr>
          <w:i/>
          <w:iCs/>
          <w:color w:val="B43412" w:themeColor="accent1" w:themeShade="BF"/>
          <w:sz w:val="18"/>
          <w:szCs w:val="18"/>
        </w:rPr>
        <w:t xml:space="preserve"> </w:t>
      </w:r>
    </w:p>
    <w:p w14:paraId="3170E06E" w14:textId="6CB8E218" w:rsidR="00B101FF" w:rsidRDefault="00EC585E" w:rsidP="00170748">
      <w:r>
        <w:t xml:space="preserve">Section I provided general context for a discussion of guaranteed payments and concluded that </w:t>
      </w:r>
      <w:r w:rsidR="00524706">
        <w:t xml:space="preserve">while </w:t>
      </w:r>
      <w:r w:rsidR="00E0066C">
        <w:t xml:space="preserve">these </w:t>
      </w:r>
      <w:r w:rsidR="00524706">
        <w:t>payments may be distinguished</w:t>
      </w:r>
      <w:r w:rsidR="00017F7E">
        <w:t xml:space="preserve"> from </w:t>
      </w:r>
      <w:r w:rsidR="00F3665E">
        <w:t>two other categories</w:t>
      </w:r>
      <w:r w:rsidR="00017F7E">
        <w:t xml:space="preserve"> of </w:t>
      </w:r>
      <w:r w:rsidR="00CD1FA4">
        <w:t xml:space="preserve">partnership </w:t>
      </w:r>
      <w:r w:rsidR="00017F7E">
        <w:t>payments</w:t>
      </w:r>
      <w:r w:rsidR="00F3665E">
        <w:t xml:space="preserve">—distributive share/distributions and </w:t>
      </w:r>
      <w:r w:rsidR="00F24184">
        <w:t>partner-partnership transactions—</w:t>
      </w:r>
      <w:r w:rsidR="00017F7E">
        <w:t xml:space="preserve">doing so may be complicated by </w:t>
      </w:r>
      <w:r w:rsidR="0039028D">
        <w:t>sim</w:t>
      </w:r>
      <w:r w:rsidR="00F3665E">
        <w:t xml:space="preserve">ilarities between the </w:t>
      </w:r>
      <w:r w:rsidR="00F24184">
        <w:t xml:space="preserve">categories and </w:t>
      </w:r>
      <w:r w:rsidR="00017F7E">
        <w:t xml:space="preserve">the </w:t>
      </w:r>
      <w:r w:rsidR="00B101FF">
        <w:t xml:space="preserve">complexity of certain partnership arrangements. </w:t>
      </w:r>
      <w:r w:rsidR="00017F7E">
        <w:t xml:space="preserve"> </w:t>
      </w:r>
    </w:p>
    <w:p w14:paraId="1C7E2C1E" w14:textId="4F9E1DF2" w:rsidR="004108A3" w:rsidRDefault="0088461B" w:rsidP="00170748">
      <w:r>
        <w:t xml:space="preserve">This </w:t>
      </w:r>
      <w:r w:rsidR="00217866">
        <w:t xml:space="preserve">Section II </w:t>
      </w:r>
      <w:r w:rsidR="001B22E9">
        <w:t>sets out the</w:t>
      </w:r>
      <w:r w:rsidR="00B101FF">
        <w:t xml:space="preserve"> </w:t>
      </w:r>
      <w:r>
        <w:t xml:space="preserve">federal rules </w:t>
      </w:r>
      <w:r w:rsidR="001B22E9">
        <w:t>that apply to guaranteed payments, including:</w:t>
      </w:r>
      <w:r w:rsidR="00FB5D3D">
        <w:t xml:space="preserve"> </w:t>
      </w:r>
    </w:p>
    <w:p w14:paraId="18164FA8" w14:textId="283AF8DD" w:rsidR="00092BB5" w:rsidRDefault="0057106D" w:rsidP="005F7F13">
      <w:pPr>
        <w:pStyle w:val="ListParagraph"/>
        <w:numPr>
          <w:ilvl w:val="0"/>
          <w:numId w:val="20"/>
        </w:numPr>
      </w:pPr>
      <w:r>
        <w:t>Subchapter K</w:t>
      </w:r>
      <w:r w:rsidR="00C46BF7">
        <w:t>,</w:t>
      </w:r>
      <w:r w:rsidR="00092BB5">
        <w:t xml:space="preserve"> to which most states conform</w:t>
      </w:r>
      <w:r w:rsidR="00092BB5" w:rsidRPr="00092BB5">
        <w:t>,</w:t>
      </w:r>
      <w:r w:rsidR="00092BB5" w:rsidRPr="00092BB5">
        <w:rPr>
          <w:vertAlign w:val="superscript"/>
        </w:rPr>
        <w:footnoteReference w:id="5"/>
      </w:r>
    </w:p>
    <w:p w14:paraId="4530EB3B" w14:textId="3BBA71F6" w:rsidR="00092BB5" w:rsidRDefault="00C46BF7" w:rsidP="005F7F13">
      <w:pPr>
        <w:pStyle w:val="ListParagraph"/>
        <w:numPr>
          <w:ilvl w:val="0"/>
          <w:numId w:val="20"/>
        </w:numPr>
      </w:pPr>
      <w:r>
        <w:t>S</w:t>
      </w:r>
      <w:r w:rsidR="003E16A7">
        <w:t>ubstantive tax rules</w:t>
      </w:r>
      <w:r>
        <w:t>,</w:t>
      </w:r>
      <w:r w:rsidR="003E16A7">
        <w:t xml:space="preserve"> </w:t>
      </w:r>
      <w:r w:rsidR="00092BB5">
        <w:t xml:space="preserve">including IRC §199A and </w:t>
      </w:r>
      <w:r w:rsidR="00574E82">
        <w:t xml:space="preserve">self-employment tax rules, </w:t>
      </w:r>
    </w:p>
    <w:p w14:paraId="037B114C" w14:textId="21A45E88" w:rsidR="00092BB5" w:rsidRDefault="00C46BF7" w:rsidP="005F7F13">
      <w:pPr>
        <w:pStyle w:val="ListParagraph"/>
        <w:numPr>
          <w:ilvl w:val="0"/>
          <w:numId w:val="20"/>
        </w:numPr>
      </w:pPr>
      <w:r>
        <w:t xml:space="preserve">Federal rules for </w:t>
      </w:r>
      <w:r w:rsidR="00092BB5">
        <w:t>sourcing guaranteed payments for services,</w:t>
      </w:r>
      <w:r>
        <w:t xml:space="preserve"> and</w:t>
      </w:r>
    </w:p>
    <w:p w14:paraId="60959E56" w14:textId="0D04ABE4" w:rsidR="00170748" w:rsidRDefault="00C46BF7" w:rsidP="005F7F13">
      <w:pPr>
        <w:pStyle w:val="ListParagraph"/>
        <w:numPr>
          <w:ilvl w:val="0"/>
          <w:numId w:val="20"/>
        </w:numPr>
      </w:pPr>
      <w:r>
        <w:t>Federal</w:t>
      </w:r>
      <w:r w:rsidR="00A61F2E">
        <w:t xml:space="preserve"> rules for the</w:t>
      </w:r>
      <w:r w:rsidR="003830C0">
        <w:t xml:space="preserve"> state</w:t>
      </w:r>
      <w:r w:rsidR="0092280E">
        <w:t xml:space="preserve"> </w:t>
      </w:r>
      <w:r w:rsidR="003830C0">
        <w:t xml:space="preserve">sourcing of certain guaranteed payments made to retired partners. </w:t>
      </w:r>
      <w:r w:rsidR="00FB5D3D">
        <w:t xml:space="preserve"> </w:t>
      </w:r>
    </w:p>
    <w:p w14:paraId="4B1E3D91" w14:textId="1BF92B9E" w:rsidR="00FF64FE" w:rsidRDefault="00F54CF3" w:rsidP="00F54CF3">
      <w:pPr>
        <w:pStyle w:val="Heading2"/>
      </w:pPr>
      <w:bookmarkStart w:id="38" w:name="_Toc144634464"/>
      <w:r>
        <w:t>I</w:t>
      </w:r>
      <w:r w:rsidR="00464AC0">
        <w:t>I</w:t>
      </w:r>
      <w:r>
        <w:t xml:space="preserve">. </w:t>
      </w:r>
      <w:r w:rsidR="001B08EA">
        <w:t>A</w:t>
      </w:r>
      <w:r>
        <w:t xml:space="preserve">. </w:t>
      </w:r>
      <w:r w:rsidR="00361AA1">
        <w:t>Subchapter K</w:t>
      </w:r>
      <w:bookmarkEnd w:id="38"/>
    </w:p>
    <w:p w14:paraId="2A2760AA" w14:textId="779855EB" w:rsidR="00B60C4C" w:rsidRDefault="00B60C4C" w:rsidP="00B60C4C">
      <w:pPr>
        <w:pStyle w:val="Heading3"/>
      </w:pPr>
      <w:bookmarkStart w:id="39" w:name="_Toc144634465"/>
      <w:r>
        <w:t>Relevant Provisions of Subchapter K</w:t>
      </w:r>
      <w:bookmarkEnd w:id="39"/>
    </w:p>
    <w:p w14:paraId="7F2F89E9" w14:textId="402B9BEA" w:rsidR="009E65D1" w:rsidRPr="009E65D1" w:rsidRDefault="00901E01" w:rsidP="00552BD2">
      <w:r>
        <w:t>Any d</w:t>
      </w:r>
      <w:r w:rsidR="00D673D1">
        <w:t xml:space="preserve">iscussion of the federal tax rules for guaranteed payments begins with </w:t>
      </w:r>
      <w:r w:rsidR="000A5011" w:rsidRPr="000A5011">
        <w:t>IRC § 707</w:t>
      </w:r>
      <w:r w:rsidR="009E65D1">
        <w:t xml:space="preserve">. </w:t>
      </w:r>
      <w:r w:rsidR="009E65D1" w:rsidRPr="009E65D1">
        <w:t xml:space="preserve">Congress added </w:t>
      </w:r>
      <w:r w:rsidR="00D91CF6">
        <w:t>§</w:t>
      </w:r>
      <w:r w:rsidR="009E65D1" w:rsidRPr="009E65D1">
        <w:t xml:space="preserve"> 707 to the Internal Revenue Code of 1954</w:t>
      </w:r>
      <w:r w:rsidR="004D40AC">
        <w:t>, in part,</w:t>
      </w:r>
      <w:r w:rsidR="009E65D1" w:rsidRPr="009E65D1">
        <w:t xml:space="preserve"> to address transactions between partners and partnerships. </w:t>
      </w:r>
      <w:r w:rsidR="004D607A">
        <w:t>Section 707</w:t>
      </w:r>
      <w:r w:rsidR="00326525">
        <w:t xml:space="preserve"> </w:t>
      </w:r>
      <w:r w:rsidR="00BC5B43">
        <w:t>recognizes a difference between</w:t>
      </w:r>
      <w:r w:rsidR="00793647">
        <w:t xml:space="preserve"> payments to a partner “not acting in capacity as partner</w:t>
      </w:r>
      <w:r w:rsidR="004D607A">
        <w:t>,</w:t>
      </w:r>
      <w:r w:rsidR="00793647">
        <w:t>”</w:t>
      </w:r>
      <w:r w:rsidR="004D607A">
        <w:t xml:space="preserve"> § 707(a),</w:t>
      </w:r>
      <w:r w:rsidR="00793647">
        <w:t xml:space="preserve"> </w:t>
      </w:r>
      <w:r w:rsidR="00BC5B43">
        <w:t>versus</w:t>
      </w:r>
      <w:r w:rsidR="00793647">
        <w:t xml:space="preserve"> </w:t>
      </w:r>
      <w:r w:rsidR="00BC5B43">
        <w:t>“</w:t>
      </w:r>
      <w:r w:rsidR="00D91CF6">
        <w:t>guaranteed payments</w:t>
      </w:r>
      <w:r w:rsidR="00BC5B43">
        <w:t>”</w:t>
      </w:r>
      <w:r w:rsidR="00D91CF6">
        <w:t xml:space="preserve"> </w:t>
      </w:r>
      <w:r w:rsidR="002A7B69">
        <w:t>made “to a partner for services or the use of capital”</w:t>
      </w:r>
      <w:r w:rsidR="00577ADB">
        <w:t>—presumably in the capacity as partner</w:t>
      </w:r>
      <w:r w:rsidR="004D607A">
        <w:t xml:space="preserve">, </w:t>
      </w:r>
      <w:r w:rsidR="00812C0B">
        <w:t>§ 707(c)</w:t>
      </w:r>
      <w:r w:rsidR="00577ADB">
        <w:t xml:space="preserve">. </w:t>
      </w:r>
      <w:r w:rsidR="007A44A2">
        <w:t xml:space="preserve">In </w:t>
      </w:r>
      <w:r w:rsidR="008C262D">
        <w:t>1984, Congress made changes to § 707, including the disguised sale rules in subsection (a)</w:t>
      </w:r>
      <w:r w:rsidR="00E63276">
        <w:t>(2), which are discussed further below.</w:t>
      </w:r>
    </w:p>
    <w:p w14:paraId="5C1ECF03" w14:textId="3CCE1FC4" w:rsidR="002D1D6E" w:rsidRPr="00204367" w:rsidRDefault="002D1D6E" w:rsidP="00CF2332">
      <w:pPr>
        <w:spacing w:after="80"/>
        <w:ind w:firstLine="720"/>
        <w:rPr>
          <w:b/>
          <w:bCs/>
        </w:rPr>
      </w:pPr>
      <w:r w:rsidRPr="00204367">
        <w:rPr>
          <w:b/>
          <w:bCs/>
          <w:u w:val="single"/>
        </w:rPr>
        <w:t>IRC Section 707 (in relevant part)</w:t>
      </w:r>
      <w:r w:rsidRPr="00204367">
        <w:rPr>
          <w:b/>
          <w:bCs/>
        </w:rPr>
        <w:t>:</w:t>
      </w:r>
    </w:p>
    <w:p w14:paraId="2C1B2B2F" w14:textId="6E194FFF" w:rsidR="000A5011" w:rsidRPr="000A5011" w:rsidRDefault="000A5011" w:rsidP="00944885">
      <w:pPr>
        <w:spacing w:after="0" w:line="240" w:lineRule="auto"/>
        <w:ind w:right="720" w:firstLine="720"/>
      </w:pPr>
      <w:r>
        <w:t xml:space="preserve">(a) </w:t>
      </w:r>
      <w:r w:rsidRPr="000A5011">
        <w:t>Partner not acting in capacity as partner</w:t>
      </w:r>
    </w:p>
    <w:p w14:paraId="2954802B" w14:textId="1544E4DD" w:rsidR="000A5011" w:rsidRPr="000A5011" w:rsidRDefault="000A5011" w:rsidP="00944885">
      <w:pPr>
        <w:spacing w:after="0" w:line="240" w:lineRule="auto"/>
        <w:ind w:left="720" w:right="720" w:firstLine="720"/>
      </w:pPr>
      <w:r w:rsidRPr="000A5011">
        <w:t>(1)</w:t>
      </w:r>
      <w:r w:rsidRPr="00640D01">
        <w:t xml:space="preserve"> </w:t>
      </w:r>
      <w:r w:rsidRPr="000A5011">
        <w:t>In general</w:t>
      </w:r>
    </w:p>
    <w:p w14:paraId="29C5C026" w14:textId="4B2B7EF3" w:rsidR="000A5011" w:rsidRPr="000A5011" w:rsidRDefault="000A5011" w:rsidP="00944885">
      <w:pPr>
        <w:spacing w:after="0" w:line="240" w:lineRule="auto"/>
        <w:ind w:left="1440" w:right="720" w:firstLine="720"/>
      </w:pPr>
      <w:r w:rsidRPr="000A5011">
        <w:t>If a partner engages in a transaction with a partnership other than in his capacity as a member of such partnership, the transaction shall, except as otherwise provided in this section, be considered as occurring between the partnership and one who is not a partner.</w:t>
      </w:r>
    </w:p>
    <w:p w14:paraId="38D8F508" w14:textId="4CF65BF8" w:rsidR="000A5011" w:rsidRPr="000A5011" w:rsidRDefault="000A5011" w:rsidP="00944885">
      <w:pPr>
        <w:spacing w:after="0" w:line="240" w:lineRule="auto"/>
        <w:ind w:left="720" w:right="720" w:firstLine="720"/>
      </w:pPr>
      <w:r w:rsidRPr="000A5011">
        <w:t>(2)</w:t>
      </w:r>
      <w:r w:rsidRPr="00640D01">
        <w:t xml:space="preserve"> </w:t>
      </w:r>
      <w:r w:rsidRPr="000A5011">
        <w:t>Treatment of payments to partners for property or services</w:t>
      </w:r>
    </w:p>
    <w:p w14:paraId="763D1649" w14:textId="77777777" w:rsidR="000A5011" w:rsidRPr="000A5011" w:rsidRDefault="000A5011" w:rsidP="00944885">
      <w:pPr>
        <w:spacing w:after="0" w:line="240" w:lineRule="auto"/>
        <w:ind w:left="1440" w:right="720" w:firstLine="720"/>
      </w:pPr>
      <w:r w:rsidRPr="000A5011">
        <w:t>Under regulations prescribed by the Secretary—</w:t>
      </w:r>
    </w:p>
    <w:p w14:paraId="208CDB51" w14:textId="1A5337B0" w:rsidR="000A5011" w:rsidRPr="00640D01" w:rsidRDefault="000A5011" w:rsidP="00944885">
      <w:pPr>
        <w:spacing w:after="0" w:line="240" w:lineRule="auto"/>
        <w:ind w:left="1440" w:right="720" w:firstLine="720"/>
      </w:pPr>
      <w:r w:rsidRPr="00640D01">
        <w:t>(A) Treatment of certain services and transfers of property</w:t>
      </w:r>
    </w:p>
    <w:p w14:paraId="56C68260" w14:textId="77777777" w:rsidR="000A5011" w:rsidRPr="000A5011" w:rsidRDefault="000A5011" w:rsidP="00944885">
      <w:pPr>
        <w:spacing w:after="0" w:line="240" w:lineRule="auto"/>
        <w:ind w:left="2160" w:right="720" w:firstLine="720"/>
      </w:pPr>
      <w:r w:rsidRPr="000A5011">
        <w:t>If—</w:t>
      </w:r>
    </w:p>
    <w:p w14:paraId="4DD88D4A" w14:textId="77777777" w:rsidR="000A5011" w:rsidRPr="00640D01" w:rsidRDefault="000A5011" w:rsidP="00944885">
      <w:pPr>
        <w:spacing w:after="0" w:line="240" w:lineRule="auto"/>
        <w:ind w:left="2160" w:right="720" w:firstLine="720"/>
      </w:pPr>
      <w:r w:rsidRPr="000A5011">
        <w:t>(i)</w:t>
      </w:r>
      <w:r w:rsidRPr="00640D01">
        <w:t xml:space="preserve"> </w:t>
      </w:r>
      <w:r w:rsidRPr="000A5011">
        <w:t>a partner performs services for a partnership or transfers property to a partnership,</w:t>
      </w:r>
    </w:p>
    <w:p w14:paraId="17F3D833" w14:textId="77777777" w:rsidR="000A5011" w:rsidRPr="00640D01" w:rsidRDefault="000A5011" w:rsidP="00944885">
      <w:pPr>
        <w:spacing w:after="0" w:line="240" w:lineRule="auto"/>
        <w:ind w:left="2160" w:right="720" w:firstLine="720"/>
      </w:pPr>
      <w:r w:rsidRPr="000A5011">
        <w:t>(ii)</w:t>
      </w:r>
      <w:r w:rsidRPr="00640D01">
        <w:t xml:space="preserve"> </w:t>
      </w:r>
      <w:r w:rsidRPr="000A5011">
        <w:t>there is a related direct or indirect allocation and distribution to such partner, and</w:t>
      </w:r>
    </w:p>
    <w:p w14:paraId="3E55BE2A" w14:textId="4C05DCC9" w:rsidR="000A5011" w:rsidRPr="000A5011" w:rsidRDefault="000A5011" w:rsidP="00944885">
      <w:pPr>
        <w:spacing w:after="0" w:line="240" w:lineRule="auto"/>
        <w:ind w:left="2160" w:right="720" w:firstLine="720"/>
      </w:pPr>
      <w:r w:rsidRPr="000A5011">
        <w:t>(iii)</w:t>
      </w:r>
      <w:r w:rsidRPr="00640D01">
        <w:t xml:space="preserve"> </w:t>
      </w:r>
      <w:r w:rsidRPr="000A5011">
        <w:t>the performance of such services (or such transfer) and the allocation and distribution, when viewed together, are properly characterized as a transaction occurring between the partnership and a partner acting other than in his capacity as a member of the partnership,</w:t>
      </w:r>
    </w:p>
    <w:p w14:paraId="7A6D2181" w14:textId="77777777" w:rsidR="000A5011" w:rsidRPr="000A5011" w:rsidRDefault="000A5011" w:rsidP="00944885">
      <w:pPr>
        <w:spacing w:after="0" w:line="240" w:lineRule="auto"/>
        <w:ind w:left="1440" w:right="720"/>
      </w:pPr>
      <w:r w:rsidRPr="000A5011">
        <w:t>such allocation and distribution shall be treated as a transaction described in paragraph (1).</w:t>
      </w:r>
    </w:p>
    <w:p w14:paraId="265F28A8" w14:textId="7573317C" w:rsidR="000A5011" w:rsidRPr="000A5011" w:rsidRDefault="0044425F" w:rsidP="00944885">
      <w:pPr>
        <w:spacing w:after="0" w:line="240" w:lineRule="auto"/>
        <w:ind w:left="1440" w:right="720" w:firstLine="720"/>
      </w:pPr>
      <w:r>
        <w:t>. . .</w:t>
      </w:r>
    </w:p>
    <w:p w14:paraId="2BA77D1D" w14:textId="00086AE5" w:rsidR="000A5011" w:rsidRPr="000A5011" w:rsidRDefault="000A5011" w:rsidP="00944885">
      <w:pPr>
        <w:spacing w:after="0" w:line="240" w:lineRule="auto"/>
        <w:ind w:left="720" w:right="720"/>
      </w:pPr>
      <w:r w:rsidRPr="000A5011">
        <w:t>(b)</w:t>
      </w:r>
      <w:r w:rsidR="00DD4027" w:rsidRPr="00640D01">
        <w:t xml:space="preserve"> </w:t>
      </w:r>
      <w:r w:rsidRPr="000A5011">
        <w:t>Certain sales or exchanges of property with respect to controlled partnerships</w:t>
      </w:r>
    </w:p>
    <w:p w14:paraId="53779155" w14:textId="5DF9749C" w:rsidR="000A5011" w:rsidRPr="000A5011" w:rsidRDefault="000A5011" w:rsidP="00944885">
      <w:pPr>
        <w:spacing w:after="0" w:line="240" w:lineRule="auto"/>
        <w:ind w:left="720" w:right="720" w:firstLine="720"/>
      </w:pPr>
      <w:r w:rsidRPr="000A5011">
        <w:t>(1)</w:t>
      </w:r>
      <w:r w:rsidR="00DD4027" w:rsidRPr="00640D01">
        <w:t xml:space="preserve"> </w:t>
      </w:r>
      <w:r w:rsidRPr="000A5011">
        <w:t>Losses disallowed</w:t>
      </w:r>
    </w:p>
    <w:p w14:paraId="084D0CA2" w14:textId="69051C4E" w:rsidR="000A5011" w:rsidRPr="000A5011" w:rsidRDefault="00640D01" w:rsidP="00944885">
      <w:pPr>
        <w:spacing w:after="0"/>
        <w:ind w:left="1440" w:right="720"/>
      </w:pPr>
      <w:r>
        <w:t>. . .</w:t>
      </w:r>
    </w:p>
    <w:p w14:paraId="0EEA476B" w14:textId="07671C8A" w:rsidR="000A5011" w:rsidRPr="000A5011" w:rsidRDefault="000A5011" w:rsidP="00944885">
      <w:pPr>
        <w:spacing w:after="0" w:line="240" w:lineRule="auto"/>
        <w:ind w:left="720" w:right="720" w:firstLine="720"/>
      </w:pPr>
      <w:r w:rsidRPr="000A5011">
        <w:lastRenderedPageBreak/>
        <w:t>(2)</w:t>
      </w:r>
      <w:r w:rsidR="00DD4027" w:rsidRPr="00640D01">
        <w:t xml:space="preserve"> </w:t>
      </w:r>
      <w:r w:rsidRPr="000A5011">
        <w:t>Gains treated as ordinary income</w:t>
      </w:r>
    </w:p>
    <w:p w14:paraId="235C57B7" w14:textId="74D95DDF" w:rsidR="000A5011" w:rsidRPr="000A5011" w:rsidRDefault="00640D01" w:rsidP="00944885">
      <w:pPr>
        <w:spacing w:after="0" w:line="240" w:lineRule="auto"/>
        <w:ind w:left="1440" w:right="720"/>
      </w:pPr>
      <w:r>
        <w:t>. . .</w:t>
      </w:r>
    </w:p>
    <w:p w14:paraId="47450D3A" w14:textId="30BD0F9B" w:rsidR="000A5011" w:rsidRPr="000A5011" w:rsidRDefault="000A5011" w:rsidP="00944885">
      <w:pPr>
        <w:spacing w:after="0" w:line="240" w:lineRule="auto"/>
        <w:ind w:right="720" w:firstLine="720"/>
      </w:pPr>
      <w:r w:rsidRPr="000A5011">
        <w:t>(c) Guaranteed payments</w:t>
      </w:r>
    </w:p>
    <w:p w14:paraId="317157F0" w14:textId="3F193CDE" w:rsidR="000A5011" w:rsidRPr="00640D01" w:rsidRDefault="000A5011" w:rsidP="00944885">
      <w:pPr>
        <w:spacing w:after="0" w:line="240" w:lineRule="auto"/>
        <w:ind w:left="720" w:right="720"/>
      </w:pPr>
      <w:r w:rsidRPr="000A5011">
        <w:t>To the extent determined without regard to the income of the partnership, payments to a partner for services or the use of capital shall be considered as made to one who is not a member of the partnership, but only for the purposes of section 61(a) (relating to gross income) and, subject to section 263, for purposes of section 162(a) (relating to trade or business expenses).</w:t>
      </w:r>
    </w:p>
    <w:p w14:paraId="41788778" w14:textId="6A63C767" w:rsidR="001733CE" w:rsidRDefault="00BC5B43" w:rsidP="00B83275">
      <w:pPr>
        <w:spacing w:before="240" w:after="120"/>
      </w:pPr>
      <w:r>
        <w:t>Section 707(c)’s description of</w:t>
      </w:r>
      <w:r w:rsidR="009333E9">
        <w:t xml:space="preserve"> guaranteed payments also serves to distinguish them from </w:t>
      </w:r>
      <w:r w:rsidR="00954B6D">
        <w:t xml:space="preserve">regular </w:t>
      </w:r>
      <w:r w:rsidR="00640D01">
        <w:t>distributive share</w:t>
      </w:r>
      <w:r w:rsidR="00DD3AA6">
        <w:t>/distributions</w:t>
      </w:r>
      <w:r w:rsidR="009333E9">
        <w:t xml:space="preserve"> in that the payment will be a guaranteed payment “to the extent determined without regard to the income of the partnership</w:t>
      </w:r>
      <w:r w:rsidR="00392E65" w:rsidRPr="00392E65">
        <w:t>.</w:t>
      </w:r>
      <w:r w:rsidR="009333E9">
        <w:t>”</w:t>
      </w:r>
      <w:r w:rsidR="00392E65" w:rsidRPr="00392E65">
        <w:t xml:space="preserve"> </w:t>
      </w:r>
    </w:p>
    <w:p w14:paraId="685306FD" w14:textId="52F010C4" w:rsidR="00AD5450" w:rsidRDefault="009333E9" w:rsidP="00E02AD6">
      <w:pPr>
        <w:spacing w:before="240" w:after="240"/>
      </w:pPr>
      <w:r>
        <w:t xml:space="preserve">In contrast, </w:t>
      </w:r>
      <w:r w:rsidR="001733CE">
        <w:t>§ 704</w:t>
      </w:r>
      <w:r>
        <w:t>, which governs distributive share provides</w:t>
      </w:r>
      <w:r w:rsidR="00F60C02">
        <w:t>.</w:t>
      </w:r>
    </w:p>
    <w:p w14:paraId="76A9BFDD" w14:textId="71F48071" w:rsidR="00F60C02" w:rsidRPr="00F60C02" w:rsidRDefault="00F60C02" w:rsidP="00BC748E">
      <w:pPr>
        <w:spacing w:after="40"/>
        <w:ind w:right="720" w:firstLine="720"/>
        <w:rPr>
          <w:b/>
          <w:bCs/>
        </w:rPr>
      </w:pPr>
      <w:r w:rsidRPr="00F60C02">
        <w:rPr>
          <w:b/>
          <w:bCs/>
          <w:u w:val="single"/>
        </w:rPr>
        <w:t>IRC Section 70</w:t>
      </w:r>
      <w:r w:rsidRPr="00204367">
        <w:rPr>
          <w:b/>
          <w:bCs/>
          <w:u w:val="single"/>
        </w:rPr>
        <w:t>4</w:t>
      </w:r>
      <w:r w:rsidRPr="00F60C02">
        <w:rPr>
          <w:b/>
          <w:bCs/>
          <w:u w:val="single"/>
        </w:rPr>
        <w:t xml:space="preserve"> (in relevant part)</w:t>
      </w:r>
      <w:r w:rsidRPr="00F60C02">
        <w:rPr>
          <w:b/>
          <w:bCs/>
        </w:rPr>
        <w:t>:</w:t>
      </w:r>
    </w:p>
    <w:p w14:paraId="5CE190B7" w14:textId="5A2D8C84" w:rsidR="00AD5450" w:rsidRDefault="00AD5450" w:rsidP="00944885">
      <w:pPr>
        <w:spacing w:after="0" w:line="240" w:lineRule="auto"/>
        <w:ind w:right="720" w:firstLine="720"/>
      </w:pPr>
      <w:r>
        <w:t>(a) Effect of partnership agreement</w:t>
      </w:r>
    </w:p>
    <w:p w14:paraId="5479A109" w14:textId="77777777" w:rsidR="00AD5450" w:rsidRDefault="00AD5450" w:rsidP="00944885">
      <w:pPr>
        <w:spacing w:after="0" w:line="240" w:lineRule="auto"/>
        <w:ind w:left="720" w:right="720" w:firstLine="720"/>
      </w:pPr>
      <w:r>
        <w:t>A partner’s distributive share of income, gain, loss, deduction, or credit shall, except as otherwise provided in this chapter, be determined by the partnership agreement.</w:t>
      </w:r>
    </w:p>
    <w:p w14:paraId="47C9439F" w14:textId="5DD30F80" w:rsidR="00AD5450" w:rsidRDefault="00AD5450" w:rsidP="00944885">
      <w:pPr>
        <w:spacing w:after="0" w:line="240" w:lineRule="auto"/>
        <w:ind w:right="720" w:firstLine="720"/>
      </w:pPr>
      <w:r>
        <w:t>(b) Determination of distributive share</w:t>
      </w:r>
    </w:p>
    <w:p w14:paraId="0F340833" w14:textId="77777777" w:rsidR="00AD5450" w:rsidRDefault="00AD5450" w:rsidP="00944885">
      <w:pPr>
        <w:spacing w:after="0" w:line="240" w:lineRule="auto"/>
        <w:ind w:left="720" w:right="720" w:firstLine="720"/>
      </w:pPr>
      <w:r>
        <w:t>A partner’s distributive share of income, gain, loss, deduction, or credit (or item thereof) shall be determined in accordance with the partner’s interest in the partnership (determined by taking into account all facts and circumstances), if—</w:t>
      </w:r>
    </w:p>
    <w:p w14:paraId="5A2B5369" w14:textId="05068622" w:rsidR="00AD5450" w:rsidRDefault="00AD5450" w:rsidP="00944885">
      <w:pPr>
        <w:spacing w:after="0" w:line="240" w:lineRule="auto"/>
        <w:ind w:left="1440" w:right="720" w:firstLine="720"/>
      </w:pPr>
      <w:r>
        <w:t>(1) the partnership agreement does not provide as to the partner’s distributive share of income, gain, loss, deduction, or credit (or item thereof), or</w:t>
      </w:r>
    </w:p>
    <w:p w14:paraId="29E63BB3" w14:textId="665477A7" w:rsidR="006573E9" w:rsidRDefault="00AD5450" w:rsidP="00944885">
      <w:pPr>
        <w:spacing w:after="0" w:line="240" w:lineRule="auto"/>
        <w:ind w:left="1440" w:right="720" w:firstLine="720"/>
      </w:pPr>
      <w:r>
        <w:t>(2) the allocation to a partner under the agreement of income, gain, loss, deduction, or credit (or item thereof) does not have substantial economic effect.</w:t>
      </w:r>
    </w:p>
    <w:p w14:paraId="78606916" w14:textId="35F5D5FC" w:rsidR="001733CE" w:rsidRDefault="00F60C02" w:rsidP="00B83275">
      <w:pPr>
        <w:spacing w:before="240" w:after="120"/>
      </w:pPr>
      <w:r>
        <w:t>Under IRC § 704</w:t>
      </w:r>
      <w:r w:rsidR="00206FD3">
        <w:t xml:space="preserve">, partners may agree to so-called “special allocations” where partnership income, or particular items of partnership income, expense, gain, or loss are </w:t>
      </w:r>
      <w:r w:rsidR="004061FF">
        <w:t xml:space="preserve">divided </w:t>
      </w:r>
      <w:r w:rsidR="00C82D8B">
        <w:t>as agreed to, rather than according to partners’ int</w:t>
      </w:r>
      <w:r w:rsidR="009C7EAA">
        <w:t>erest in the partnership, provided they have substantial economic effect</w:t>
      </w:r>
      <w:r w:rsidR="004061FF">
        <w:t xml:space="preserve">. So, for example, the partners may agree that certain items of income are allocated to one partner whereas other items are allocated to another. </w:t>
      </w:r>
    </w:p>
    <w:p w14:paraId="69DC6BCA" w14:textId="2B530DA7" w:rsidR="00B60C4C" w:rsidRDefault="004424D1" w:rsidP="00BB7014">
      <w:pPr>
        <w:pStyle w:val="Heading3"/>
      </w:pPr>
      <w:bookmarkStart w:id="40" w:name="_Toc144634466"/>
      <w:r>
        <w:t xml:space="preserve">Application to </w:t>
      </w:r>
      <w:r w:rsidR="00050111">
        <w:t>Different Types of Payments</w:t>
      </w:r>
      <w:bookmarkEnd w:id="40"/>
      <w:r w:rsidR="00552B07">
        <w:t xml:space="preserve"> </w:t>
      </w:r>
    </w:p>
    <w:p w14:paraId="7F7AFC9E" w14:textId="44846B40" w:rsidR="002C0D54" w:rsidRDefault="002C0D54" w:rsidP="00093EC5">
      <w:r>
        <w:t xml:space="preserve">While </w:t>
      </w:r>
      <w:r w:rsidR="002E103B">
        <w:t xml:space="preserve">the 1954 </w:t>
      </w:r>
      <w:r w:rsidR="00202845">
        <w:t xml:space="preserve">changes to </w:t>
      </w:r>
      <w:r>
        <w:t>Subchapter K</w:t>
      </w:r>
      <w:r w:rsidR="00202845">
        <w:t xml:space="preserve"> </w:t>
      </w:r>
      <w:r>
        <w:t>recognized the category of guaranteed payments</w:t>
      </w:r>
      <w:r w:rsidR="008546FC">
        <w:t xml:space="preserve"> as separate from </w:t>
      </w:r>
      <w:r w:rsidR="006C6B23">
        <w:t>the two other primary categories of partnership allocations/payments—</w:t>
      </w:r>
      <w:r w:rsidR="00CF398A">
        <w:t xml:space="preserve">that is, </w:t>
      </w:r>
      <w:r w:rsidR="008546FC">
        <w:t>partner-partnership transactions</w:t>
      </w:r>
      <w:r w:rsidR="00B90F08">
        <w:t xml:space="preserve"> and </w:t>
      </w:r>
      <w:r w:rsidR="00B90F08" w:rsidRPr="00B90F08">
        <w:t>distributive share of partnership income, expense, gain, or loss</w:t>
      </w:r>
      <w:r w:rsidR="006C6B23">
        <w:t>—</w:t>
      </w:r>
      <w:r w:rsidR="00CF398A">
        <w:t xml:space="preserve">the </w:t>
      </w:r>
      <w:r w:rsidR="00EB5153">
        <w:t xml:space="preserve">exact </w:t>
      </w:r>
      <w:r w:rsidR="00CF398A">
        <w:t xml:space="preserve">lines </w:t>
      </w:r>
      <w:r w:rsidR="004A0101">
        <w:t>separating</w:t>
      </w:r>
      <w:r w:rsidR="00CF398A">
        <w:t xml:space="preserve"> these </w:t>
      </w:r>
      <w:r w:rsidR="00EB5153">
        <w:t xml:space="preserve">three </w:t>
      </w:r>
      <w:r w:rsidR="00CF398A">
        <w:t xml:space="preserve">categories are </w:t>
      </w:r>
      <w:r w:rsidR="00EB5153">
        <w:t>un</w:t>
      </w:r>
      <w:r w:rsidR="00CF398A">
        <w:t xml:space="preserve">clear. </w:t>
      </w:r>
      <w:r w:rsidR="006E48BD">
        <w:t xml:space="preserve">The two provisions of IRC § 707 that </w:t>
      </w:r>
      <w:r w:rsidR="004C0164">
        <w:t>are often at issue are</w:t>
      </w:r>
      <w:r w:rsidR="000D13D1">
        <w:t>: (1)</w:t>
      </w:r>
      <w:r w:rsidR="004C0164">
        <w:t xml:space="preserve"> whether the partner is acting “in the capacity” of a partner—</w:t>
      </w:r>
      <w:r w:rsidR="00E705D9">
        <w:t>which distinguishes</w:t>
      </w:r>
      <w:r w:rsidR="004C0164">
        <w:t xml:space="preserve"> guaranteed payments from partner-partnership transactions, and</w:t>
      </w:r>
      <w:r w:rsidR="000D13D1">
        <w:t xml:space="preserve"> (2) the </w:t>
      </w:r>
      <w:r w:rsidR="00C96A18">
        <w:t>extent</w:t>
      </w:r>
      <w:r w:rsidR="004C0164">
        <w:t xml:space="preserve"> </w:t>
      </w:r>
      <w:r w:rsidR="00A832BC">
        <w:t xml:space="preserve">to </w:t>
      </w:r>
      <w:r w:rsidR="000D13D1">
        <w:t xml:space="preserve">which </w:t>
      </w:r>
      <w:r w:rsidR="00C96A18">
        <w:t xml:space="preserve">the payment is “determined </w:t>
      </w:r>
      <w:r w:rsidR="00E705D9">
        <w:t>without regard to the income of the partnership”</w:t>
      </w:r>
      <w:r w:rsidR="008C6986">
        <w:t>—which distinguishes guaranteed payments from distributive share</w:t>
      </w:r>
      <w:r w:rsidR="00966955">
        <w:t>, and special allocations in particular</w:t>
      </w:r>
      <w:r w:rsidR="008C6986">
        <w:t>.</w:t>
      </w:r>
      <w:r w:rsidR="008957DF">
        <w:rPr>
          <w:rStyle w:val="FootnoteReference"/>
        </w:rPr>
        <w:footnoteReference w:id="6"/>
      </w:r>
      <w:r w:rsidR="008C6986">
        <w:t xml:space="preserve"> </w:t>
      </w:r>
    </w:p>
    <w:p w14:paraId="44374F97" w14:textId="77777777" w:rsidR="0092280E" w:rsidRDefault="008009CC" w:rsidP="00093EC5">
      <w:r>
        <w:t xml:space="preserve">One example of the difficulty </w:t>
      </w:r>
      <w:r w:rsidR="009D4ACE">
        <w:t>involves</w:t>
      </w:r>
      <w:r>
        <w:t xml:space="preserve"> payments based on gross rather than net income. </w:t>
      </w:r>
      <w:r w:rsidR="00603645">
        <w:t>I</w:t>
      </w:r>
      <w:r w:rsidR="00386156">
        <w:t>n</w:t>
      </w:r>
      <w:r w:rsidR="004263C9">
        <w:t xml:space="preserve"> 1975 in</w:t>
      </w:r>
      <w:r w:rsidR="00386156">
        <w:t xml:space="preserve"> </w:t>
      </w:r>
      <w:r w:rsidR="00386156">
        <w:rPr>
          <w:i/>
          <w:iCs/>
        </w:rPr>
        <w:t>Pratt v. Commissioner</w:t>
      </w:r>
      <w:r w:rsidR="003C3DD3">
        <w:t>,</w:t>
      </w:r>
      <w:r w:rsidR="00D46078">
        <w:rPr>
          <w:rStyle w:val="FootnoteReference"/>
        </w:rPr>
        <w:footnoteReference w:id="7"/>
      </w:r>
      <w:r w:rsidR="003C3DD3">
        <w:t xml:space="preserve"> the Tax Court </w:t>
      </w:r>
      <w:r w:rsidR="00067B8A">
        <w:t xml:space="preserve">ruled </w:t>
      </w:r>
      <w:r w:rsidR="0007645E">
        <w:t xml:space="preserve">that such payments were not covered by either </w:t>
      </w:r>
      <w:r w:rsidR="00120F46">
        <w:t>§ 707(a) or § 707(c). The case involved</w:t>
      </w:r>
      <w:r w:rsidR="00CC56BD">
        <w:t xml:space="preserve"> two limited partnerships</w:t>
      </w:r>
      <w:r w:rsidR="009E644A">
        <w:t xml:space="preserve"> that </w:t>
      </w:r>
      <w:r w:rsidR="00750157">
        <w:t>were formed to</w:t>
      </w:r>
      <w:r w:rsidR="00132531">
        <w:t xml:space="preserve"> </w:t>
      </w:r>
      <w:r w:rsidR="00792045">
        <w:t xml:space="preserve">purchase, develop, and operate two shopping centers. </w:t>
      </w:r>
      <w:r w:rsidR="002763D8">
        <w:t>T</w:t>
      </w:r>
      <w:r w:rsidR="007C0095">
        <w:t xml:space="preserve">he </w:t>
      </w:r>
      <w:r w:rsidR="00792045">
        <w:t xml:space="preserve">general partners </w:t>
      </w:r>
      <w:r w:rsidR="006F4FE5">
        <w:t xml:space="preserve">in the partnerships </w:t>
      </w:r>
      <w:r w:rsidR="002763D8">
        <w:t xml:space="preserve">agreed to </w:t>
      </w:r>
      <w:r w:rsidR="004B26DF">
        <w:t>receive</w:t>
      </w:r>
      <w:r w:rsidR="00792045">
        <w:t xml:space="preserve"> </w:t>
      </w:r>
      <w:r w:rsidR="00D2667E">
        <w:t xml:space="preserve">a fixed percentage of </w:t>
      </w:r>
      <w:r w:rsidR="006F4FE5">
        <w:t xml:space="preserve">gross </w:t>
      </w:r>
      <w:r w:rsidR="00D2667E">
        <w:t xml:space="preserve">rentals </w:t>
      </w:r>
      <w:r w:rsidR="005861CC">
        <w:t xml:space="preserve">in exchange for performing managerial services. </w:t>
      </w:r>
    </w:p>
    <w:p w14:paraId="384517E6" w14:textId="76AE2B11" w:rsidR="00386156" w:rsidRDefault="005861CC" w:rsidP="00093EC5">
      <w:r>
        <w:lastRenderedPageBreak/>
        <w:t xml:space="preserve">The </w:t>
      </w:r>
      <w:r w:rsidR="004B26DF">
        <w:t>Tax</w:t>
      </w:r>
      <w:r w:rsidR="0092280E">
        <w:t xml:space="preserve"> </w:t>
      </w:r>
      <w:r w:rsidR="004B26DF">
        <w:t>Court</w:t>
      </w:r>
      <w:r w:rsidR="002D4AD6">
        <w:t xml:space="preserve"> found that these payments were not guaranteed payments under </w:t>
      </w:r>
      <w:r w:rsidR="00DA4E43">
        <w:t>§</w:t>
      </w:r>
      <w:r w:rsidR="002D4AD6">
        <w:t xml:space="preserve"> 707(c) because they were not determined without regard to partnership income. </w:t>
      </w:r>
      <w:r w:rsidR="00120F46">
        <w:t>The court</w:t>
      </w:r>
      <w:r w:rsidR="002D4AD6">
        <w:t xml:space="preserve"> also found that </w:t>
      </w:r>
      <w:r w:rsidR="00DA4E43">
        <w:t>§</w:t>
      </w:r>
      <w:r w:rsidR="009D7F2D">
        <w:t xml:space="preserve"> 707(a) was not applicable because </w:t>
      </w:r>
      <w:r w:rsidR="000D12E5">
        <w:t>the managers</w:t>
      </w:r>
      <w:r w:rsidR="00200FC9">
        <w:t xml:space="preserve"> </w:t>
      </w:r>
      <w:r w:rsidR="00C071A7">
        <w:t>“</w:t>
      </w:r>
      <w:r w:rsidR="00200FC9">
        <w:t>receiv</w:t>
      </w:r>
      <w:r w:rsidR="00C071A7">
        <w:t>[</w:t>
      </w:r>
      <w:r w:rsidR="00200FC9">
        <w:t>ed</w:t>
      </w:r>
      <w:r w:rsidR="00C071A7">
        <w:t>]</w:t>
      </w:r>
      <w:r w:rsidR="00200FC9">
        <w:t xml:space="preserve"> the management fees for performing services within the normal scope of their duties as general partners</w:t>
      </w:r>
      <w:r w:rsidR="00C071A7">
        <w:t xml:space="preserve"> pursuant to the partnership agreement.”</w:t>
      </w:r>
      <w:r w:rsidR="00C071A7">
        <w:rPr>
          <w:rStyle w:val="FootnoteReference"/>
        </w:rPr>
        <w:footnoteReference w:id="8"/>
      </w:r>
      <w:r w:rsidR="00750157">
        <w:t xml:space="preserve"> </w:t>
      </w:r>
    </w:p>
    <w:p w14:paraId="45E594AF" w14:textId="26F84A06" w:rsidR="00F84053" w:rsidRPr="00CC56BD" w:rsidRDefault="00EB67CF" w:rsidP="00F362E1">
      <w:r w:rsidRPr="00EB67CF">
        <w:t xml:space="preserve">In response to the decision in </w:t>
      </w:r>
      <w:r w:rsidRPr="00EB67CF">
        <w:rPr>
          <w:i/>
          <w:iCs/>
        </w:rPr>
        <w:t>Pratt</w:t>
      </w:r>
      <w:r w:rsidRPr="00EB67CF">
        <w:t xml:space="preserve">, the IRS issued Rev. Rul. 81–300, 1981–2 C.B. 143 and Rev. Rul. 81–301, 1981–2 C.B. 144 to clarify the treatment of transactions under </w:t>
      </w:r>
      <w:r w:rsidR="00DA4E43">
        <w:t>§§</w:t>
      </w:r>
      <w:r w:rsidRPr="00EB67CF">
        <w:t xml:space="preserve"> 707(a) and 707(c).</w:t>
      </w:r>
      <w:r>
        <w:rPr>
          <w:rStyle w:val="FootnoteReference"/>
        </w:rPr>
        <w:footnoteReference w:id="9"/>
      </w:r>
      <w:r w:rsidR="00A93105">
        <w:t xml:space="preserve"> </w:t>
      </w:r>
      <w:r w:rsidR="003C6534">
        <w:t xml:space="preserve">Similar to the facts in </w:t>
      </w:r>
      <w:r w:rsidR="003C6534" w:rsidRPr="00323128">
        <w:rPr>
          <w:i/>
          <w:iCs/>
        </w:rPr>
        <w:t>Pratt</w:t>
      </w:r>
      <w:r w:rsidR="00323128">
        <w:t xml:space="preserve">, </w:t>
      </w:r>
      <w:r w:rsidR="00483611" w:rsidRPr="003C6534">
        <w:t>Rev</w:t>
      </w:r>
      <w:r w:rsidR="00483611">
        <w:t>. Rul. 81-300</w:t>
      </w:r>
      <w:r w:rsidR="00323128">
        <w:t xml:space="preserve"> </w:t>
      </w:r>
      <w:r w:rsidR="00B528FF">
        <w:t>addresse</w:t>
      </w:r>
      <w:r w:rsidR="001D03C0">
        <w:t>d</w:t>
      </w:r>
      <w:r w:rsidR="00B528FF">
        <w:t xml:space="preserve"> </w:t>
      </w:r>
      <w:r w:rsidR="003D6932">
        <w:t xml:space="preserve">whether a fee </w:t>
      </w:r>
      <w:r w:rsidR="00B324D6">
        <w:t xml:space="preserve">paid to partners in exchange for </w:t>
      </w:r>
      <w:r w:rsidR="008F0BE6">
        <w:t xml:space="preserve">managerial services </w:t>
      </w:r>
      <w:r w:rsidR="00B324D6">
        <w:t xml:space="preserve">would be treated as a guaranteed payment </w:t>
      </w:r>
      <w:r w:rsidR="008F0BE6">
        <w:t xml:space="preserve">when the fee is </w:t>
      </w:r>
      <w:r w:rsidR="00B324D6">
        <w:t>based on a percentage of gross income</w:t>
      </w:r>
      <w:r w:rsidR="008F0BE6">
        <w:t>.</w:t>
      </w:r>
      <w:r w:rsidR="00CB386A">
        <w:t xml:space="preserve"> But in</w:t>
      </w:r>
      <w:r w:rsidR="006458E6">
        <w:t xml:space="preserve"> holding that the management fees </w:t>
      </w:r>
      <w:r w:rsidR="00CB386A">
        <w:t xml:space="preserve">in this case were </w:t>
      </w:r>
      <w:r w:rsidR="006458E6">
        <w:t xml:space="preserve">guaranteed payments under </w:t>
      </w:r>
      <w:r w:rsidR="00DA4E43">
        <w:t xml:space="preserve">§ </w:t>
      </w:r>
      <w:r w:rsidR="006458E6">
        <w:t xml:space="preserve">707(c), the </w:t>
      </w:r>
      <w:r w:rsidR="00BB4F9C">
        <w:t>IRS</w:t>
      </w:r>
      <w:r w:rsidR="005B44CD">
        <w:t xml:space="preserve"> found</w:t>
      </w:r>
      <w:r w:rsidR="00A2019A">
        <w:t>:</w:t>
      </w:r>
      <w:r w:rsidR="005B44CD">
        <w:t xml:space="preserve"> “</w:t>
      </w:r>
      <w:r w:rsidR="00A2019A">
        <w:t xml:space="preserve"> . . . </w:t>
      </w:r>
      <w:r w:rsidR="005B44CD">
        <w:t>t</w:t>
      </w:r>
      <w:r w:rsidR="005B44CD" w:rsidRPr="005B44CD">
        <w:t xml:space="preserve">he term </w:t>
      </w:r>
      <w:r w:rsidR="005B44CD">
        <w:t>‘</w:t>
      </w:r>
      <w:r w:rsidR="005B44CD" w:rsidRPr="005B44CD">
        <w:t>guaranteed payment</w:t>
      </w:r>
      <w:r w:rsidR="005B44CD">
        <w:t>’</w:t>
      </w:r>
      <w:r w:rsidR="005B44CD" w:rsidRPr="005B44CD">
        <w:t xml:space="preserve"> should not be limited to fixed amounts. </w:t>
      </w:r>
      <w:r w:rsidR="005F4E67">
        <w:t xml:space="preserve">Instead, a </w:t>
      </w:r>
      <w:r w:rsidR="005B44CD" w:rsidRPr="005B44CD">
        <w:t>payment for services determined by reference to an item of gross income will be a guaranteed payment if, on the basis of all of the facts and circumstances, the payment is compensation rather than a share of partnership profits.</w:t>
      </w:r>
      <w:r w:rsidR="005B44CD">
        <w:t>”</w:t>
      </w:r>
      <w:r w:rsidR="005B44CD">
        <w:rPr>
          <w:rStyle w:val="FootnoteReference"/>
        </w:rPr>
        <w:footnoteReference w:id="10"/>
      </w:r>
    </w:p>
    <w:p w14:paraId="6BC649A8" w14:textId="187D2AC7" w:rsidR="00093EC5" w:rsidRDefault="00D03A1E" w:rsidP="00F362E1">
      <w:r>
        <w:t xml:space="preserve">In </w:t>
      </w:r>
      <w:r w:rsidR="00751844">
        <w:t>Rev. Rul. 81-301</w:t>
      </w:r>
      <w:r w:rsidR="00DF398A">
        <w:t xml:space="preserve"> </w:t>
      </w:r>
      <w:r>
        <w:t>the partnership ha</w:t>
      </w:r>
      <w:r w:rsidR="00952CFC">
        <w:t>d</w:t>
      </w:r>
      <w:r>
        <w:t xml:space="preserve"> two classes of general partner</w:t>
      </w:r>
      <w:r w:rsidR="00D8330F">
        <w:t xml:space="preserve">: (1) </w:t>
      </w:r>
      <w:r w:rsidR="005C78EE">
        <w:t>director general partners</w:t>
      </w:r>
      <w:r w:rsidR="00FD53AB">
        <w:t xml:space="preserve"> and (2) </w:t>
      </w:r>
      <w:r w:rsidR="00A264D6">
        <w:t xml:space="preserve">one </w:t>
      </w:r>
      <w:r w:rsidR="00FD53AB">
        <w:t xml:space="preserve">adviser general partner. The </w:t>
      </w:r>
      <w:r w:rsidR="00E00AC5">
        <w:t>director partner</w:t>
      </w:r>
      <w:r w:rsidR="004F103D">
        <w:t>s</w:t>
      </w:r>
      <w:r w:rsidR="00E00AC5">
        <w:t xml:space="preserve"> </w:t>
      </w:r>
      <w:r w:rsidR="007416C6">
        <w:t>had</w:t>
      </w:r>
      <w:r w:rsidR="00E00AC5">
        <w:t xml:space="preserve"> complete and exclusive control over the </w:t>
      </w:r>
      <w:r w:rsidR="00A53C83">
        <w:t>management, conduct, and operation</w:t>
      </w:r>
      <w:r w:rsidR="007B17E0">
        <w:t xml:space="preserve"> of the partnership’s activities. </w:t>
      </w:r>
      <w:r w:rsidR="00CC2A6E">
        <w:t xml:space="preserve">Subject to the </w:t>
      </w:r>
      <w:r w:rsidR="0012159A">
        <w:t xml:space="preserve">supervision of the directors, the adviser </w:t>
      </w:r>
      <w:r w:rsidR="005F4E67">
        <w:t>was</w:t>
      </w:r>
      <w:r w:rsidR="0012159A">
        <w:t xml:space="preserve"> </w:t>
      </w:r>
      <w:r w:rsidR="00B0745D">
        <w:t>o</w:t>
      </w:r>
      <w:r w:rsidR="002E0097">
        <w:t xml:space="preserve">nly authorized to manage the partnership’s investments. </w:t>
      </w:r>
      <w:r w:rsidR="006859C0">
        <w:t>In exchange for those services, t</w:t>
      </w:r>
      <w:r w:rsidR="00535C60">
        <w:t xml:space="preserve">he </w:t>
      </w:r>
      <w:r w:rsidR="00DD4331">
        <w:t>partners agreed</w:t>
      </w:r>
      <w:r w:rsidR="00535C60">
        <w:t xml:space="preserve"> that </w:t>
      </w:r>
      <w:r w:rsidR="00663536">
        <w:t xml:space="preserve">the adviser partner </w:t>
      </w:r>
      <w:r w:rsidR="00DD4331">
        <w:t xml:space="preserve">would </w:t>
      </w:r>
      <w:r w:rsidR="00663536">
        <w:t>receive an allocation of 10</w:t>
      </w:r>
      <w:r w:rsidR="00853D48">
        <w:t>%</w:t>
      </w:r>
      <w:r w:rsidR="00663536">
        <w:t xml:space="preserve"> of the partnership’s daily gross income. </w:t>
      </w:r>
      <w:r w:rsidR="006859C0">
        <w:t xml:space="preserve">The adviser </w:t>
      </w:r>
      <w:r w:rsidR="002859C6">
        <w:t xml:space="preserve">partner </w:t>
      </w:r>
      <w:r w:rsidR="0029208D">
        <w:t xml:space="preserve">also </w:t>
      </w:r>
      <w:r w:rsidR="00B826F6">
        <w:t>provide</w:t>
      </w:r>
      <w:r w:rsidR="00D82730">
        <w:t>d</w:t>
      </w:r>
      <w:r w:rsidR="00B826F6">
        <w:t xml:space="preserve"> similar services to others as part of its regular trade or business</w:t>
      </w:r>
      <w:r w:rsidR="00152761">
        <w:t>. I</w:t>
      </w:r>
      <w:r w:rsidR="00B826F6">
        <w:t xml:space="preserve">ts management of the partnership’s </w:t>
      </w:r>
      <w:r w:rsidR="00FC35C2">
        <w:t xml:space="preserve">investment activities </w:t>
      </w:r>
      <w:r w:rsidR="00D82730">
        <w:t>was</w:t>
      </w:r>
      <w:r w:rsidR="00FC35C2">
        <w:t xml:space="preserve"> supervised by the directors</w:t>
      </w:r>
      <w:r w:rsidR="00D82730">
        <w:t xml:space="preserve"> who could also relieve the </w:t>
      </w:r>
      <w:r w:rsidR="00CB3C18">
        <w:t xml:space="preserve">adviser </w:t>
      </w:r>
      <w:r w:rsidR="00D82730">
        <w:t>of its</w:t>
      </w:r>
      <w:r w:rsidR="00CB3C18">
        <w:t xml:space="preserve"> duties</w:t>
      </w:r>
      <w:r w:rsidR="00EE588C">
        <w:t xml:space="preserve"> and right to compensation</w:t>
      </w:r>
      <w:r w:rsidR="002859C6">
        <w:t xml:space="preserve">. </w:t>
      </w:r>
      <w:r w:rsidR="00D82730">
        <w:t>T</w:t>
      </w:r>
      <w:r w:rsidR="002859C6">
        <w:t xml:space="preserve">he ruling held that </w:t>
      </w:r>
      <w:r w:rsidR="00214FB5">
        <w:t xml:space="preserve">the </w:t>
      </w:r>
      <w:r w:rsidR="00430CE3">
        <w:t xml:space="preserve">adviser partner’s allocation </w:t>
      </w:r>
      <w:r w:rsidR="00DD4331">
        <w:t>was</w:t>
      </w:r>
      <w:r w:rsidR="00430CE3">
        <w:t xml:space="preserve"> properly treated as </w:t>
      </w:r>
      <w:r w:rsidR="00EE1A7E">
        <w:t xml:space="preserve">paid to the adviser </w:t>
      </w:r>
      <w:r w:rsidR="00146D6A">
        <w:t xml:space="preserve">in its capacity other than as a partner under </w:t>
      </w:r>
      <w:r w:rsidR="00816053">
        <w:t>§</w:t>
      </w:r>
      <w:r w:rsidR="00146D6A">
        <w:t xml:space="preserve"> 707(a).</w:t>
      </w:r>
      <w:r w:rsidR="00283498">
        <w:rPr>
          <w:rStyle w:val="FootnoteReference"/>
        </w:rPr>
        <w:footnoteReference w:id="11"/>
      </w:r>
    </w:p>
    <w:p w14:paraId="06BE5E88" w14:textId="4B8F500D" w:rsidR="00952048" w:rsidRPr="00952048" w:rsidRDefault="00C7219C" w:rsidP="00993C4C">
      <w:r>
        <w:t xml:space="preserve">In 1984, Congress amended §707(a) </w:t>
      </w:r>
      <w:r w:rsidR="00CA1CE3">
        <w:t xml:space="preserve">to provide for the treatment of “disguised sales” </w:t>
      </w:r>
      <w:r>
        <w:t>and</w:t>
      </w:r>
      <w:r w:rsidR="008A0103">
        <w:t xml:space="preserve"> </w:t>
      </w:r>
      <w:r w:rsidR="00AE0761">
        <w:t xml:space="preserve">some legislative history has been cited as indicating </w:t>
      </w:r>
      <w:r w:rsidR="0045532D">
        <w:t xml:space="preserve">that the type of payments described in </w:t>
      </w:r>
      <w:r>
        <w:t xml:space="preserve">Rev. Rul. 81-300 </w:t>
      </w:r>
      <w:r w:rsidR="00AE0761">
        <w:t>should have been held to be</w:t>
      </w:r>
      <w:r w:rsidR="0045532D">
        <w:t xml:space="preserve"> </w:t>
      </w:r>
      <w:r>
        <w:t>§707(a) payments</w:t>
      </w:r>
      <w:r w:rsidR="0045532D">
        <w:t xml:space="preserve"> to partners </w:t>
      </w:r>
      <w:r w:rsidR="008A0103">
        <w:t>not acting</w:t>
      </w:r>
      <w:r w:rsidR="0045532D">
        <w:t xml:space="preserve"> in the capacity of partners</w:t>
      </w:r>
      <w:r w:rsidR="00BD6457">
        <w:t>,</w:t>
      </w:r>
      <w:r w:rsidR="00AE0761">
        <w:t xml:space="preserve"> rather than guaranteed payments as </w:t>
      </w:r>
      <w:r w:rsidR="00D11646">
        <w:t>the IRS concluded in its revenue rulings</w:t>
      </w:r>
      <w:r w:rsidR="0045532D">
        <w:t>.</w:t>
      </w:r>
      <w:r>
        <w:t xml:space="preserve"> </w:t>
      </w:r>
      <w:r w:rsidR="00BD6457">
        <w:t xml:space="preserve">In part this may have been due </w:t>
      </w:r>
      <w:r w:rsidR="000043CC">
        <w:t>to the view that</w:t>
      </w:r>
      <w:r w:rsidR="00BD6457" w:rsidRPr="00BD6457">
        <w:t xml:space="preserve"> </w:t>
      </w:r>
      <w:r w:rsidR="000043CC">
        <w:t>guaranteeing a payment can</w:t>
      </w:r>
      <w:r w:rsidR="00BD6457" w:rsidRPr="00BD6457">
        <w:t xml:space="preserve"> reduce a partner’s risk in a way that is </w:t>
      </w:r>
      <w:r w:rsidR="000043CC">
        <w:t xml:space="preserve">entirely </w:t>
      </w:r>
      <w:r w:rsidR="00BD6457" w:rsidRPr="00BD6457">
        <w:t xml:space="preserve">incompatible with the role of being a partner. </w:t>
      </w:r>
      <w:r w:rsidR="00952048" w:rsidRPr="00952048">
        <w:t xml:space="preserve">In 2015, the IRS issued proposed regulations </w:t>
      </w:r>
      <w:r w:rsidR="00656574">
        <w:t xml:space="preserve">that appear </w:t>
      </w:r>
      <w:r w:rsidR="00352080">
        <w:t xml:space="preserve">consistent with this </w:t>
      </w:r>
      <w:r w:rsidR="00D11646">
        <w:t xml:space="preserve">narrower </w:t>
      </w:r>
      <w:r w:rsidR="00352080">
        <w:t>view</w:t>
      </w:r>
      <w:r w:rsidR="00D11646">
        <w:t xml:space="preserve"> of guaranteed payments</w:t>
      </w:r>
      <w:r w:rsidR="00352080">
        <w:t>, but has not finalized those regulations</w:t>
      </w:r>
      <w:r w:rsidR="00AE5DCE">
        <w:t>.</w:t>
      </w:r>
      <w:r w:rsidR="00E845DE">
        <w:rPr>
          <w:rStyle w:val="FootnoteReference"/>
        </w:rPr>
        <w:footnoteReference w:id="12"/>
      </w:r>
      <w:r w:rsidR="00352080">
        <w:t xml:space="preserve"> </w:t>
      </w:r>
      <w:r w:rsidR="00AE5DCE">
        <w:t>(See below.)</w:t>
      </w:r>
    </w:p>
    <w:p w14:paraId="57309B9A" w14:textId="6A2ACCE9" w:rsidR="00BC7069" w:rsidRDefault="00C62FF8" w:rsidP="00F362E1">
      <w:r>
        <w:t>Meanwhile, t</w:t>
      </w:r>
      <w:r w:rsidR="008B32B5">
        <w:t xml:space="preserve">he complexity of </w:t>
      </w:r>
      <w:r w:rsidR="006D2D69">
        <w:t xml:space="preserve">the </w:t>
      </w:r>
      <w:r w:rsidR="008B32B5">
        <w:t xml:space="preserve">questions </w:t>
      </w:r>
      <w:r w:rsidR="006D2D69">
        <w:t>concerning when something is a</w:t>
      </w:r>
      <w:r w:rsidR="008B32B5">
        <w:t xml:space="preserve"> guaranteed payment </w:t>
      </w:r>
      <w:r w:rsidR="00BF0558">
        <w:t xml:space="preserve">versus </w:t>
      </w:r>
      <w:r w:rsidR="006D2D69">
        <w:t xml:space="preserve">a </w:t>
      </w:r>
      <w:r w:rsidR="00966955">
        <w:t xml:space="preserve">special allocation </w:t>
      </w:r>
      <w:r w:rsidR="008F6579">
        <w:t xml:space="preserve">of partnership items of income, expense, gain, or loss </w:t>
      </w:r>
      <w:r w:rsidR="008B32B5">
        <w:t xml:space="preserve">have grown in recent years. </w:t>
      </w:r>
      <w:r w:rsidR="00BE3707">
        <w:t xml:space="preserve">In part, this is due to complex </w:t>
      </w:r>
      <w:r w:rsidR="006846E3">
        <w:t>financial arrangement</w:t>
      </w:r>
      <w:r w:rsidR="008F6579">
        <w:t>s</w:t>
      </w:r>
      <w:r w:rsidR="006846E3">
        <w:t xml:space="preserve"> designed</w:t>
      </w:r>
      <w:r w:rsidR="00BE3707">
        <w:t xml:space="preserve"> to reimburse partners for capital contributions or to provide them with a guaranteed return</w:t>
      </w:r>
      <w:r w:rsidR="00831E33">
        <w:t xml:space="preserve"> on those contributions</w:t>
      </w:r>
      <w:r w:rsidR="00BE3707">
        <w:t xml:space="preserve">—which </w:t>
      </w:r>
      <w:r w:rsidR="00A20822">
        <w:t xml:space="preserve">are outside </w:t>
      </w:r>
      <w:r w:rsidR="00BE3707">
        <w:t xml:space="preserve">the scope of this white paper. </w:t>
      </w:r>
      <w:r w:rsidR="00E72FE3">
        <w:t>See also Section III which describes other attempts to provide alternatives to guaranteed payments.</w:t>
      </w:r>
    </w:p>
    <w:p w14:paraId="664B7CEB" w14:textId="08583875" w:rsidR="004434BA" w:rsidRDefault="00A741AE" w:rsidP="00A741AE">
      <w:pPr>
        <w:pStyle w:val="Heading3"/>
      </w:pPr>
      <w:bookmarkStart w:id="41" w:name="_Toc144634467"/>
      <w:r>
        <w:t>2015 Proposed Regulations</w:t>
      </w:r>
      <w:bookmarkEnd w:id="41"/>
    </w:p>
    <w:p w14:paraId="21D645B4" w14:textId="77777777" w:rsidR="0020493C" w:rsidRDefault="00A741AE" w:rsidP="00A741AE">
      <w:r>
        <w:t xml:space="preserve">As noted above, the IRS has issued proposed regulations, not yet finalized, </w:t>
      </w:r>
      <w:r w:rsidR="00CD06F0">
        <w:t xml:space="preserve">that respond to </w:t>
      </w:r>
      <w:r w:rsidR="00F24623">
        <w:t xml:space="preserve">Congress’s indication </w:t>
      </w:r>
      <w:r w:rsidR="00497ED2">
        <w:t xml:space="preserve">in 1984 </w:t>
      </w:r>
      <w:r w:rsidR="00F24623">
        <w:t xml:space="preserve">that </w:t>
      </w:r>
      <w:r w:rsidR="007D74CB">
        <w:t xml:space="preserve">it intended to draw a different line between </w:t>
      </w:r>
      <w:r w:rsidR="00F73E3B">
        <w:t>the three categories of partnership payments—</w:t>
      </w:r>
      <w:r w:rsidR="007D74CB">
        <w:t>distributive share</w:t>
      </w:r>
      <w:r w:rsidR="00733AF3">
        <w:t>/distributions</w:t>
      </w:r>
      <w:r w:rsidR="00F73E3B">
        <w:t xml:space="preserve">, </w:t>
      </w:r>
      <w:r w:rsidR="004B72CF">
        <w:t xml:space="preserve">partner-partnership transactions, and guaranteed payments to partners acting in the capacity of a partner. </w:t>
      </w:r>
      <w:r w:rsidR="00733AF3">
        <w:t xml:space="preserve"> </w:t>
      </w:r>
    </w:p>
    <w:p w14:paraId="39FDF348" w14:textId="6CEBAED9" w:rsidR="00254E24" w:rsidRDefault="00254E24" w:rsidP="00A741AE">
      <w:r>
        <w:lastRenderedPageBreak/>
        <w:t>According to supplemental information in the introduction to these proposed regulations</w:t>
      </w:r>
      <w:r w:rsidR="0020493C">
        <w:t xml:space="preserve"> (excerpted below)</w:t>
      </w:r>
      <w:r w:rsidR="00364B39">
        <w:t>,</w:t>
      </w:r>
      <w:r w:rsidR="0031354C">
        <w:t xml:space="preserve"> the line between the different </w:t>
      </w:r>
      <w:r w:rsidR="000739A3">
        <w:t xml:space="preserve">distributive share/distributions and payments </w:t>
      </w:r>
      <w:r w:rsidR="00250059">
        <w:t>covered by § 707</w:t>
      </w:r>
      <w:r w:rsidR="0031354C">
        <w:t xml:space="preserve"> is </w:t>
      </w:r>
      <w:r w:rsidR="00364B39">
        <w:t>determined based on all the facts and circumstances—including entrepreneurial risk</w:t>
      </w:r>
      <w:r>
        <w:t xml:space="preserve">: </w:t>
      </w:r>
    </w:p>
    <w:p w14:paraId="6DE9507A" w14:textId="616F548B" w:rsidR="00497ED2" w:rsidRPr="00497ED2" w:rsidRDefault="00254E24" w:rsidP="00106051">
      <w:pPr>
        <w:ind w:left="720" w:right="720"/>
      </w:pPr>
      <w:r>
        <w:t>“</w:t>
      </w:r>
      <w:r w:rsidR="00497ED2" w:rsidRPr="00497ED2">
        <w:t>Congress's emphasis on entrepreneurial risk requires changes to existing regulations under section 707(c). Specifically, Example 2 of § 1.707-1(c) provides that if a partner is entitled to an allocation of the greater of 30 percent of partnership income or a minimum guaranteed amount, and the income allocation exceeds the minimum guaranteed amount, then the entire income allocation is treated as a distributive share under section 704(b). Example 2 also provides that if the income allocation is less than the guaranteed amount, then the partner is treated as receiving a distributive share to the extent of the income allocation and a guaranteed payment to the extent that the minimum guaranteed payment exceeds the income allocation. The treatment of the arrangements in Example 2 is inconsistent with the concept that an allocation must be subject to significant entrepreneurial risk to be treated as a distributive share under section 704(b). Accordingly, the proposed regulations modify Example 2 to provide that the entire minimum amount is treated as a guaranteed payment under section 707(c) regardless of the amount of the income allocation. Rev. Rul. 66-95, 1966-1 C.B. 169, and Rev. Rul. 69-180, 1969-1 C.B. 183, are also inconsistent with these proposed regulations. The Treasury Department and the IRS intend to obsolete Rev. Rul. 66-95 and revise Rev. Rul. 69-180, when these regulations are published in final form.</w:t>
      </w:r>
    </w:p>
    <w:p w14:paraId="2AC14D23" w14:textId="10EED2B1" w:rsidR="00497ED2" w:rsidRPr="00497ED2" w:rsidRDefault="00D943AA" w:rsidP="00106051">
      <w:pPr>
        <w:ind w:left="720" w:right="720"/>
      </w:pPr>
      <w:r>
        <w:t>“</w:t>
      </w:r>
      <w:r w:rsidR="00497ED2" w:rsidRPr="00497ED2">
        <w:t>B. Secondary Factors</w:t>
      </w:r>
    </w:p>
    <w:p w14:paraId="54B8F215" w14:textId="34756689" w:rsidR="00497ED2" w:rsidRPr="00497ED2" w:rsidRDefault="00D943AA" w:rsidP="00106051">
      <w:pPr>
        <w:ind w:left="720" w:right="720"/>
      </w:pPr>
      <w:r>
        <w:t>“</w:t>
      </w:r>
      <w:r w:rsidR="00497ED2" w:rsidRPr="00497ED2">
        <w:t>Section 1.707-2(c)(2) through (6) describes additional factors of secondary importance in determining whether or not an arrangement that gives the appearance of significant entrepreneurial risk constitutes a payment for services. The weight given to each of the other factors depends on the particular case, and the absence of a particular factor is not necessarily determinative of whether an arrangement is treated as a payment for services. Four of these factors, described by Congress in the legislative history to section 707(a)(2)(A), are (i) that the service provider holds, or is expected to hold, a transitory partnership interest or a partnership interest for only a short duration, (ii) that the service provider receives an allocation and distribution in a time frame comparable to the time frame that a non-partner service provider would typically receive payment, (iii) that the service provider became a partner primarily to obtain tax benefits which would not have been available if the services were rendered to the partnership in a third party capacity, and (iv) that the value of the service provider's interest in general and continuing partnership profits is small in relation to the allocation and distribution.</w:t>
      </w:r>
      <w:r>
        <w:t>”</w:t>
      </w:r>
    </w:p>
    <w:p w14:paraId="562BFC93" w14:textId="3D3B3D58" w:rsidR="00497ED2" w:rsidRPr="00497ED2" w:rsidRDefault="000235BE" w:rsidP="00106051">
      <w:pPr>
        <w:ind w:left="720" w:right="720"/>
      </w:pPr>
      <w:r>
        <w:t>“</w:t>
      </w:r>
      <w:r w:rsidR="00497ED2" w:rsidRPr="00497ED2">
        <w:t xml:space="preserve">To these four factors, the proposed regulations add a fifth factor. The fifth factor is present if the arrangement provides for different allocations or distributions with respect to different services received, where the services are provided either by a single person or by persons that are related under sections 707(b) or 267(b), and the terms of the differing allocations or distributions are subject to levels of entrepreneurial risk that vary significantly. For example, assume that a partnership receives services from both its general partner and from a management company that is related to the general partner under section 707(b). Both the general partner and the management company receive a share in future partnership net profits in exchange for their services. The general partner is entitled to an allocation of 20 percent of net profits and undertakes an enforceable obligation to repay any amounts distributed pursuant to its interest (reduced by reasonable allowance for tax payments made on the general partner's allocable shares of partnership income and gain) that exceed 20 percent of the overall net amount of partnership profits computed over the partnership's life and it is reasonable to anticipate that the general partner can and will comply fully with this obligation. The proposed regulations refer to this type of obligation and similar obligations, as a “clawback obligation.” In contrast, the management company is entitled to a preferred amount of net income that, once paid, is not subject to a clawback obligation. Because </w:t>
      </w:r>
      <w:r w:rsidR="00497ED2" w:rsidRPr="00497ED2">
        <w:lastRenderedPageBreak/>
        <w:t>the general partner and the management company are service providers that are related parties under section 707(b), and because the terms of the allocations and distributions to the management company create a significantly lower level of economic risk than the terms for the general partner, the management company's arrangement might properly be treated as a disguised payment for services (depending on all other facts and circumstances, including amount of entrepreneurial risk).</w:t>
      </w:r>
      <w:r>
        <w:t>”</w:t>
      </w:r>
      <w:r w:rsidR="001F18DB">
        <w:rPr>
          <w:rStyle w:val="FootnoteReference"/>
        </w:rPr>
        <w:footnoteReference w:id="13"/>
      </w:r>
    </w:p>
    <w:p w14:paraId="4E671091" w14:textId="76C1078C" w:rsidR="00AC12BD" w:rsidRDefault="00C07A4E" w:rsidP="00AC12BD">
      <w:pPr>
        <w:pStyle w:val="Heading2"/>
      </w:pPr>
      <w:bookmarkStart w:id="42" w:name="_Toc144634468"/>
      <w:r>
        <w:t xml:space="preserve">II. B. </w:t>
      </w:r>
      <w:r w:rsidR="0029703A" w:rsidRPr="0029703A">
        <w:t xml:space="preserve">Substantive </w:t>
      </w:r>
      <w:r w:rsidR="0029703A">
        <w:t>T</w:t>
      </w:r>
      <w:r w:rsidR="0029703A" w:rsidRPr="0029703A">
        <w:t xml:space="preserve">ax </w:t>
      </w:r>
      <w:r w:rsidR="0029703A">
        <w:t>R</w:t>
      </w:r>
      <w:r w:rsidR="0029703A" w:rsidRPr="0029703A">
        <w:t>ules</w:t>
      </w:r>
      <w:bookmarkEnd w:id="42"/>
    </w:p>
    <w:p w14:paraId="263EC32A" w14:textId="1F76FFD8" w:rsidR="00AC12BD" w:rsidRPr="00AC12BD" w:rsidRDefault="00AC12BD" w:rsidP="00AC12BD">
      <w:r>
        <w:t xml:space="preserve">Under federal substantive tax rules, guaranteed payments often receive less favorable treatment. In particular, the following </w:t>
      </w:r>
      <w:r w:rsidR="00470B97">
        <w:t>rules apply</w:t>
      </w:r>
      <w:r w:rsidR="00B11704">
        <w:t xml:space="preserve"> to guaranteed payments, much in the same way they would apply to partner-partnership transactions</w:t>
      </w:r>
      <w:r w:rsidR="00470B97">
        <w:t>:</w:t>
      </w:r>
    </w:p>
    <w:p w14:paraId="48103041" w14:textId="0B86D35B" w:rsidR="005275ED" w:rsidRDefault="005275ED" w:rsidP="008463D7">
      <w:pPr>
        <w:pStyle w:val="Heading4"/>
      </w:pPr>
      <w:r>
        <w:t>Ordinary income</w:t>
      </w:r>
    </w:p>
    <w:p w14:paraId="2D1F2903" w14:textId="25191EFB" w:rsidR="006A2898" w:rsidRPr="006A2898" w:rsidRDefault="006A2898" w:rsidP="00552BD2">
      <w:r>
        <w:t xml:space="preserve">Guaranteed payments are </w:t>
      </w:r>
      <w:r w:rsidR="00D773E6">
        <w:t xml:space="preserve">treated as </w:t>
      </w:r>
      <w:r w:rsidR="0008344D">
        <w:t xml:space="preserve">income under IRC </w:t>
      </w:r>
      <w:r w:rsidR="000A3B30">
        <w:t>§</w:t>
      </w:r>
      <w:r w:rsidR="0008344D" w:rsidRPr="0008344D">
        <w:t xml:space="preserve"> 61(a)</w:t>
      </w:r>
      <w:r w:rsidR="00683700">
        <w:t>. See § 707(c). Section 61(a), in turn, lists items included in “gross” or, what is considered, “ordinary” income</w:t>
      </w:r>
      <w:r w:rsidR="00D644A8">
        <w:t xml:space="preserve">, as opposed to capital gains. </w:t>
      </w:r>
    </w:p>
    <w:p w14:paraId="040398FC" w14:textId="71768B8A" w:rsidR="00E53A23" w:rsidRDefault="005A3795" w:rsidP="008463D7">
      <w:pPr>
        <w:pStyle w:val="Heading4"/>
      </w:pPr>
      <w:r>
        <w:t>IRC §199A Quali</w:t>
      </w:r>
      <w:r w:rsidR="00C71E57">
        <w:t>fied Business Income Deduction</w:t>
      </w:r>
    </w:p>
    <w:p w14:paraId="7EBA1161" w14:textId="3FF10199" w:rsidR="00C71E57" w:rsidRDefault="00470B97" w:rsidP="00552BD2">
      <w:r>
        <w:t>G</w:t>
      </w:r>
      <w:r w:rsidR="00C8500C">
        <w:t xml:space="preserve">uaranteed payments </w:t>
      </w:r>
      <w:r w:rsidR="00391FAF">
        <w:t xml:space="preserve">for services </w:t>
      </w:r>
      <w:r w:rsidR="00C8500C">
        <w:t>are not included in “</w:t>
      </w:r>
      <w:r w:rsidR="008C37F0">
        <w:t>qualified business income</w:t>
      </w:r>
      <w:r w:rsidR="00C8500C">
        <w:t xml:space="preserve">” for purposes of the </w:t>
      </w:r>
      <w:r w:rsidR="00510E78">
        <w:t xml:space="preserve">so-called </w:t>
      </w:r>
      <w:r w:rsidR="00845536">
        <w:t>“</w:t>
      </w:r>
      <w:r w:rsidR="00510E78">
        <w:t xml:space="preserve">qualified </w:t>
      </w:r>
      <w:r w:rsidR="00845536">
        <w:t xml:space="preserve">business income” </w:t>
      </w:r>
      <w:r w:rsidR="00C8500C">
        <w:t>deduction provided</w:t>
      </w:r>
      <w:r w:rsidR="008C37F0">
        <w:t xml:space="preserve"> </w:t>
      </w:r>
      <w:r w:rsidR="007575C1">
        <w:t xml:space="preserve">under </w:t>
      </w:r>
      <w:r w:rsidR="00C8500C">
        <w:t xml:space="preserve">IRC § </w:t>
      </w:r>
      <w:r w:rsidR="007575C1">
        <w:t>199A</w:t>
      </w:r>
      <w:r w:rsidR="00C8500C">
        <w:t>.</w:t>
      </w:r>
      <w:r w:rsidR="00C72941">
        <w:rPr>
          <w:rStyle w:val="FootnoteReference"/>
        </w:rPr>
        <w:footnoteReference w:id="14"/>
      </w:r>
      <w:r w:rsidR="00F12B2B">
        <w:t xml:space="preserve"> Conversely, </w:t>
      </w:r>
      <w:r w:rsidR="007E5083">
        <w:t>distributive share income is expressly included</w:t>
      </w:r>
      <w:r w:rsidR="006A4890">
        <w:t xml:space="preserve"> as qualified business income</w:t>
      </w:r>
      <w:r w:rsidR="007575C1">
        <w:t xml:space="preserve"> under that section</w:t>
      </w:r>
      <w:r w:rsidR="006A4890">
        <w:t>.</w:t>
      </w:r>
      <w:r w:rsidR="006A4890">
        <w:rPr>
          <w:rStyle w:val="FootnoteReference"/>
        </w:rPr>
        <w:footnoteReference w:id="15"/>
      </w:r>
    </w:p>
    <w:p w14:paraId="325A2430" w14:textId="738D9B26" w:rsidR="00391FAF" w:rsidRPr="007B7B5A" w:rsidRDefault="001B3046" w:rsidP="008463D7">
      <w:pPr>
        <w:pStyle w:val="Heading4"/>
      </w:pPr>
      <w:r>
        <w:t>Self-Employment Tax</w:t>
      </w:r>
    </w:p>
    <w:p w14:paraId="7CAB6473" w14:textId="535F2FD8" w:rsidR="004F17F8" w:rsidRDefault="006974C3" w:rsidP="00552BD2">
      <w:r>
        <w:t>Partners may be subject to</w:t>
      </w:r>
      <w:r w:rsidR="004F17F8">
        <w:t xml:space="preserve"> </w:t>
      </w:r>
      <w:r>
        <w:t xml:space="preserve">federal </w:t>
      </w:r>
      <w:r w:rsidR="004F17F8">
        <w:t>self-employment tax</w:t>
      </w:r>
      <w:r>
        <w:t xml:space="preserve"> on their partnership-related income</w:t>
      </w:r>
      <w:r w:rsidR="004F17F8">
        <w:t xml:space="preserve">. </w:t>
      </w:r>
      <w:r w:rsidR="00CA297B">
        <w:t xml:space="preserve">General partners are </w:t>
      </w:r>
      <w:r w:rsidR="00880FA4">
        <w:t xml:space="preserve">subject to the tax on both distributive share and guaranteed payments. </w:t>
      </w:r>
      <w:r w:rsidR="004F17F8">
        <w:t xml:space="preserve">A limited partner </w:t>
      </w:r>
      <w:r w:rsidR="00CE5D55">
        <w:t>can exclude</w:t>
      </w:r>
      <w:r w:rsidR="004F17F8">
        <w:t xml:space="preserve"> distributive share </w:t>
      </w:r>
      <w:r w:rsidR="00CE5D55">
        <w:t>income</w:t>
      </w:r>
      <w:r w:rsidR="00880FA4">
        <w:t>,</w:t>
      </w:r>
      <w:r w:rsidR="00CE5D55">
        <w:t xml:space="preserve"> but not </w:t>
      </w:r>
      <w:r w:rsidR="004F17F8">
        <w:t>guaranteed payments for services.</w:t>
      </w:r>
      <w:r w:rsidR="00CE5D55">
        <w:t xml:space="preserve"> </w:t>
      </w:r>
      <w:r w:rsidR="004F17F8">
        <w:t xml:space="preserve"> See</w:t>
      </w:r>
      <w:r w:rsidR="00CE5D55">
        <w:t xml:space="preserve"> IRC</w:t>
      </w:r>
      <w:r w:rsidR="004F17F8">
        <w:t xml:space="preserve"> §1402(a)(13). The IRS </w:t>
      </w:r>
      <w:r w:rsidR="00055A7F">
        <w:t xml:space="preserve">has </w:t>
      </w:r>
      <w:r w:rsidR="004F17F8">
        <w:t xml:space="preserve">published proposed regulations that </w:t>
      </w:r>
      <w:r w:rsidR="00055A7F">
        <w:t>interpret the term “</w:t>
      </w:r>
      <w:r w:rsidR="004F17F8">
        <w:t>limited partners</w:t>
      </w:r>
      <w:r w:rsidR="00055A7F">
        <w:t xml:space="preserve">” to include </w:t>
      </w:r>
      <w:r w:rsidR="00CA297B">
        <w:t>members of an LLC, but these regulations have not been finalized</w:t>
      </w:r>
      <w:r w:rsidR="009755F3">
        <w:t xml:space="preserve"> and the issue is subject to ongoing litigation.</w:t>
      </w:r>
      <w:r w:rsidR="00CA297B">
        <w:t xml:space="preserve"> </w:t>
      </w:r>
    </w:p>
    <w:p w14:paraId="61975D78" w14:textId="21191C06" w:rsidR="0005558C" w:rsidRPr="0005558C" w:rsidRDefault="00FC5BD7" w:rsidP="00FC5BD7">
      <w:pPr>
        <w:pStyle w:val="Heading2"/>
      </w:pPr>
      <w:bookmarkStart w:id="43" w:name="_Toc144634469"/>
      <w:r>
        <w:t xml:space="preserve">II. C. </w:t>
      </w:r>
      <w:r w:rsidR="0005558C" w:rsidRPr="0005558C">
        <w:t>Federal Income Sourcing</w:t>
      </w:r>
      <w:bookmarkEnd w:id="43"/>
    </w:p>
    <w:p w14:paraId="33EBFDE0" w14:textId="43237C3E" w:rsidR="0005558C" w:rsidRDefault="00FF0C83" w:rsidP="0005558C">
      <w:pPr>
        <w:rPr>
          <w:iCs/>
        </w:rPr>
      </w:pPr>
      <w:r>
        <w:rPr>
          <w:iCs/>
        </w:rPr>
        <w:t>Earned income from c</w:t>
      </w:r>
      <w:r w:rsidR="0005558C" w:rsidRPr="0005558C">
        <w:rPr>
          <w:iCs/>
        </w:rPr>
        <w:t>ompensation for labor or personal services performed outside the U</w:t>
      </w:r>
      <w:r>
        <w:rPr>
          <w:iCs/>
        </w:rPr>
        <w:t>.S.</w:t>
      </w:r>
      <w:r w:rsidR="0005558C" w:rsidRPr="0005558C">
        <w:rPr>
          <w:iCs/>
        </w:rPr>
        <w:t xml:space="preserve"> is treated as foreign source income for federal purposes.</w:t>
      </w:r>
      <w:r w:rsidR="00F06BBD">
        <w:rPr>
          <w:iCs/>
        </w:rPr>
        <w:t xml:space="preserve"> See IRC § </w:t>
      </w:r>
      <w:r w:rsidR="00265DF3">
        <w:rPr>
          <w:iCs/>
        </w:rPr>
        <w:t>911</w:t>
      </w:r>
      <w:r w:rsidR="00F06BBD">
        <w:rPr>
          <w:iCs/>
        </w:rPr>
        <w:t xml:space="preserve">. </w:t>
      </w:r>
      <w:r w:rsidR="0005558C" w:rsidRPr="0005558C">
        <w:rPr>
          <w:iCs/>
        </w:rPr>
        <w:t xml:space="preserve">In </w:t>
      </w:r>
      <w:r w:rsidR="0005558C" w:rsidRPr="0005558C">
        <w:rPr>
          <w:i/>
          <w:iCs/>
        </w:rPr>
        <w:t>Miller v. Commissioner</w:t>
      </w:r>
      <w:r w:rsidR="0005558C" w:rsidRPr="0005558C">
        <w:rPr>
          <w:iCs/>
        </w:rPr>
        <w:t xml:space="preserve">, 52 T.C. 752 (1969), the Tax Court </w:t>
      </w:r>
      <w:r w:rsidR="005569E4">
        <w:rPr>
          <w:iCs/>
        </w:rPr>
        <w:t>ruled that this treatment applied to guaranteed payments for services.</w:t>
      </w:r>
      <w:r w:rsidR="0005558C" w:rsidRPr="0005558C">
        <w:rPr>
          <w:iCs/>
          <w:vertAlign w:val="superscript"/>
        </w:rPr>
        <w:footnoteReference w:id="16"/>
      </w:r>
      <w:r w:rsidR="0005558C" w:rsidRPr="0005558C">
        <w:rPr>
          <w:iCs/>
        </w:rPr>
        <w:t xml:space="preserve"> Since </w:t>
      </w:r>
      <w:r w:rsidR="0005558C" w:rsidRPr="0005558C">
        <w:rPr>
          <w:i/>
          <w:iCs/>
        </w:rPr>
        <w:t>Miller</w:t>
      </w:r>
      <w:r w:rsidR="0005558C" w:rsidRPr="0005558C">
        <w:rPr>
          <w:iCs/>
        </w:rPr>
        <w:t>, the IRS has formulated administrative rules for when it will consider the foreign earned income exclusion of IRC § 911 applicable to guaranteed payments and when the limits of 911(b)(2)(D), which caps the amount at $80,000 adjusted for inflation</w:t>
      </w:r>
      <w:r w:rsidR="002974BD">
        <w:rPr>
          <w:iCs/>
        </w:rPr>
        <w:t xml:space="preserve"> (now $112,000)</w:t>
      </w:r>
      <w:r w:rsidR="0005558C" w:rsidRPr="0005558C">
        <w:rPr>
          <w:iCs/>
        </w:rPr>
        <w:t>, will be computed and applied. The rules also provide that the individual must have a tax home in a foreign country, must meet either the bona fide residence or physical presence test, and must make a valid election.</w:t>
      </w:r>
      <w:r w:rsidR="0005558C" w:rsidRPr="0005558C">
        <w:rPr>
          <w:iCs/>
          <w:vertAlign w:val="superscript"/>
        </w:rPr>
        <w:footnoteReference w:id="17"/>
      </w:r>
    </w:p>
    <w:p w14:paraId="389498EA" w14:textId="24D2E3C5" w:rsidR="00AD4B0C" w:rsidRPr="00812A24" w:rsidRDefault="00AD4B0C" w:rsidP="0005558C">
      <w:pPr>
        <w:rPr>
          <w:iCs/>
        </w:rPr>
      </w:pPr>
      <w:r>
        <w:rPr>
          <w:iCs/>
        </w:rPr>
        <w:t>As described in Section I.</w:t>
      </w:r>
      <w:r w:rsidR="00582E7B">
        <w:rPr>
          <w:iCs/>
        </w:rPr>
        <w:t xml:space="preserve">C. above, this exclusion of </w:t>
      </w:r>
      <w:r w:rsidR="00616359">
        <w:rPr>
          <w:iCs/>
        </w:rPr>
        <w:t xml:space="preserve">certain guaranteed payments for services earned while working overseas effectively excludes this amount from </w:t>
      </w:r>
      <w:r w:rsidR="0038664F">
        <w:rPr>
          <w:iCs/>
        </w:rPr>
        <w:t>federal adjusted gross income</w:t>
      </w:r>
      <w:r w:rsidR="00F33DEC">
        <w:rPr>
          <w:iCs/>
        </w:rPr>
        <w:t xml:space="preserve"> (AGI)</w:t>
      </w:r>
      <w:r w:rsidR="0038664F">
        <w:rPr>
          <w:iCs/>
        </w:rPr>
        <w:t xml:space="preserve">, to which the majority of states conform or </w:t>
      </w:r>
      <w:r w:rsidR="00562318">
        <w:rPr>
          <w:iCs/>
        </w:rPr>
        <w:t>with which they begin</w:t>
      </w:r>
      <w:r w:rsidR="0038664F">
        <w:rPr>
          <w:iCs/>
        </w:rPr>
        <w:t xml:space="preserve"> their computation of state taxable net income. </w:t>
      </w:r>
      <w:r w:rsidR="00A5544E">
        <w:rPr>
          <w:iCs/>
        </w:rPr>
        <w:t>Therefore, if states choose to source these guaranteed payments not as compensation</w:t>
      </w:r>
      <w:r w:rsidR="00F33DEC">
        <w:rPr>
          <w:iCs/>
        </w:rPr>
        <w:t xml:space="preserve">, but based on the aggregate approach used for distributive share/distributions, they would need to make an adjustment to federal AGI to include the amounts. </w:t>
      </w:r>
    </w:p>
    <w:p w14:paraId="72465A7E" w14:textId="0862E181" w:rsidR="006B5567" w:rsidRPr="006B5567" w:rsidRDefault="00FC5BD7" w:rsidP="00FC5BD7">
      <w:pPr>
        <w:pStyle w:val="Heading2"/>
      </w:pPr>
      <w:bookmarkStart w:id="44" w:name="_Toc144634470"/>
      <w:r>
        <w:lastRenderedPageBreak/>
        <w:t xml:space="preserve">II. D. </w:t>
      </w:r>
      <w:r w:rsidR="006B5567" w:rsidRPr="006B5567">
        <w:t>Retirement Income</w:t>
      </w:r>
      <w:bookmarkEnd w:id="44"/>
    </w:p>
    <w:p w14:paraId="100A83F2" w14:textId="77777777" w:rsidR="006B5567" w:rsidRPr="006B5567" w:rsidRDefault="006B5567" w:rsidP="00552BD2">
      <w:r w:rsidRPr="006B5567">
        <w:t>Under 4 U.S.C. § 114, no state may impose an income tax on the retirement income of a nonresident individual. Retirement income includes certain payments made to a retired partner in recognition of prior service. So, under some circumstances, states could be preempted from taxing guaranteed payments to retired nonresident partners. Section 114(b)(1)(I) provides that this rule applies if such income—</w:t>
      </w:r>
    </w:p>
    <w:p w14:paraId="764AE1DE" w14:textId="3CADA78D" w:rsidR="003D10DA" w:rsidRPr="00944885" w:rsidRDefault="00944885" w:rsidP="00944885">
      <w:pPr>
        <w:spacing w:line="276" w:lineRule="auto"/>
        <w:ind w:left="720" w:right="720" w:firstLine="720"/>
        <w:jc w:val="left"/>
        <w:rPr>
          <w:b/>
          <w:bCs/>
          <w:u w:val="single"/>
        </w:rPr>
      </w:pPr>
      <w:r w:rsidRPr="006B5567">
        <w:rPr>
          <w:b/>
          <w:bCs/>
          <w:u w:val="single"/>
        </w:rPr>
        <w:t>4 U.S.C. § 114</w:t>
      </w:r>
      <w:r w:rsidRPr="00944885">
        <w:rPr>
          <w:b/>
          <w:bCs/>
          <w:u w:val="single"/>
        </w:rPr>
        <w:t>(b)(1)(I)</w:t>
      </w:r>
    </w:p>
    <w:p w14:paraId="7E748B3D" w14:textId="28523F15" w:rsidR="006B5567" w:rsidRPr="006B5567" w:rsidRDefault="006B5567" w:rsidP="00944885">
      <w:pPr>
        <w:spacing w:after="0"/>
        <w:ind w:left="720" w:right="720" w:firstLine="720"/>
        <w:jc w:val="left"/>
      </w:pPr>
      <w:r w:rsidRPr="006B5567">
        <w:t>(i) is part of a series of substantially equal periodic payments (not less frequently than annually which may include income described in subparagraphs (A) through (H)) made for—</w:t>
      </w:r>
    </w:p>
    <w:p w14:paraId="580EA96E" w14:textId="54BB0556" w:rsidR="006B5567" w:rsidRPr="006B5567" w:rsidRDefault="006B5567" w:rsidP="00944885">
      <w:pPr>
        <w:spacing w:after="0"/>
        <w:ind w:left="1440" w:right="720" w:firstLine="720"/>
        <w:jc w:val="left"/>
      </w:pPr>
      <w:r w:rsidRPr="006B5567">
        <w:t>(I)</w:t>
      </w:r>
      <w:r w:rsidR="001D09FA">
        <w:t xml:space="preserve"> </w:t>
      </w:r>
      <w:r w:rsidRPr="006B5567">
        <w:t>the life or life expectancy of the recipient (or the joint lives or joint life expectancies of the recipient and the designated beneficiary of the recipient), or</w:t>
      </w:r>
    </w:p>
    <w:p w14:paraId="4586CDFB" w14:textId="25C89EDE" w:rsidR="006B5567" w:rsidRPr="006B5567" w:rsidRDefault="006B5567" w:rsidP="00944885">
      <w:pPr>
        <w:spacing w:after="0"/>
        <w:ind w:left="1440" w:right="720" w:firstLine="720"/>
        <w:jc w:val="left"/>
      </w:pPr>
      <w:r w:rsidRPr="006B5567">
        <w:t>(II)</w:t>
      </w:r>
      <w:r w:rsidR="001D09FA">
        <w:t xml:space="preserve"> </w:t>
      </w:r>
      <w:r w:rsidRPr="006B5567">
        <w:t>a period of not less than 10 years, or</w:t>
      </w:r>
    </w:p>
    <w:p w14:paraId="5F98FB09" w14:textId="667BE526" w:rsidR="006B5567" w:rsidRDefault="006B5567" w:rsidP="00944885">
      <w:pPr>
        <w:spacing w:after="0"/>
        <w:ind w:left="720" w:right="720" w:firstLine="720"/>
        <w:jc w:val="left"/>
      </w:pPr>
      <w:r w:rsidRPr="006B5567">
        <w:t>(ii)</w:t>
      </w:r>
      <w:r w:rsidR="00EF2630">
        <w:t xml:space="preserve"> </w:t>
      </w:r>
      <w:r w:rsidRPr="006B5567">
        <w:t>is a payment received after termination of employment and under a plan, program, or arrangement (to which such employment relates) maintained solely for the purpose of providing retirement benefits for employees in excess of the limitations imposed by 1 or more of sections 401(a)(17), 401(k), 401(m), 402(g), 403(b), 408(k), or 415 of such Code or any other limitation on contributions or benefits in such Code on plans to which any of such sections apply.</w:t>
      </w:r>
    </w:p>
    <w:p w14:paraId="192EC5EF" w14:textId="77777777" w:rsidR="00944885" w:rsidRPr="006B5567" w:rsidRDefault="00944885" w:rsidP="00944885">
      <w:pPr>
        <w:spacing w:after="0"/>
        <w:ind w:left="720" w:firstLine="720"/>
        <w:jc w:val="left"/>
      </w:pPr>
    </w:p>
    <w:p w14:paraId="0AE374D8" w14:textId="0744E15A" w:rsidR="006B5567" w:rsidRPr="006B5567" w:rsidRDefault="006B5567" w:rsidP="00552BD2">
      <w:r w:rsidRPr="006B5567">
        <w:t>The fact that payments may be adjusted from time to time pursuant to such plan, program, or arrangement to limit total disbursements under a predetermined formula, or to provide cost of living or similar adjustments, will not cause the periodic payments provided under such plan, program, or arrangement to fail the “substantially equal periodic payments test.”</w:t>
      </w:r>
    </w:p>
    <w:p w14:paraId="01B7EA38" w14:textId="4CFF5A94" w:rsidR="006B5567" w:rsidRDefault="00A378D4" w:rsidP="00A378D4">
      <w:pPr>
        <w:pStyle w:val="Heading2"/>
      </w:pPr>
      <w:bookmarkStart w:id="45" w:name="_Toc144634471"/>
      <w:r>
        <w:t>II. F. Summary</w:t>
      </w:r>
      <w:bookmarkEnd w:id="45"/>
    </w:p>
    <w:p w14:paraId="4B1372C1" w14:textId="29EE5FF9" w:rsidR="00A378D4" w:rsidRDefault="006153DF" w:rsidP="00A378D4">
      <w:r>
        <w:t xml:space="preserve">The take-aways from the federal tax </w:t>
      </w:r>
      <w:r w:rsidR="00D55CA4">
        <w:t>treatment of guaranteed payments can be summarized as follows:</w:t>
      </w:r>
    </w:p>
    <w:p w14:paraId="32A90A08" w14:textId="4D9995A8" w:rsidR="00D55CA4" w:rsidRDefault="00D55CA4" w:rsidP="005F7F13">
      <w:pPr>
        <w:pStyle w:val="ListParagraph"/>
        <w:numPr>
          <w:ilvl w:val="0"/>
          <w:numId w:val="21"/>
        </w:numPr>
        <w:spacing w:after="120"/>
        <w:contextualSpacing w:val="0"/>
      </w:pPr>
      <w:r>
        <w:t xml:space="preserve">Distinguishing </w:t>
      </w:r>
      <w:r w:rsidR="009F0F62">
        <w:t xml:space="preserve">guaranteed payments from </w:t>
      </w:r>
      <w:r w:rsidR="00C7146C">
        <w:t xml:space="preserve">both </w:t>
      </w:r>
      <w:r w:rsidR="009F0F62">
        <w:t xml:space="preserve">distributive share/distributions and </w:t>
      </w:r>
      <w:r w:rsidR="00337E97">
        <w:t xml:space="preserve">from </w:t>
      </w:r>
      <w:r w:rsidR="009F0F62">
        <w:t>partner-partnership transactions can be complicated and the lines have changed over time.</w:t>
      </w:r>
    </w:p>
    <w:p w14:paraId="48EDCAFE" w14:textId="77777777" w:rsidR="002E5FBD" w:rsidRDefault="00427B91" w:rsidP="005F7F13">
      <w:pPr>
        <w:pStyle w:val="ListParagraph"/>
        <w:numPr>
          <w:ilvl w:val="0"/>
          <w:numId w:val="21"/>
        </w:numPr>
        <w:spacing w:after="120"/>
        <w:contextualSpacing w:val="0"/>
      </w:pPr>
      <w:r>
        <w:t xml:space="preserve">The line between guaranteed payments for services and guaranteed payments for the use of capital is also somewhat unclear. </w:t>
      </w:r>
    </w:p>
    <w:p w14:paraId="1DF9A28B" w14:textId="0AE5C682" w:rsidR="00562318" w:rsidRDefault="00562318" w:rsidP="005F7F13">
      <w:pPr>
        <w:pStyle w:val="ListParagraph"/>
        <w:numPr>
          <w:ilvl w:val="0"/>
          <w:numId w:val="21"/>
        </w:numPr>
        <w:spacing w:after="120"/>
        <w:contextualSpacing w:val="0"/>
      </w:pPr>
      <w:r>
        <w:t>Guaranteed payments may receive tax treatment that is</w:t>
      </w:r>
      <w:r w:rsidR="009E6AF6">
        <w:t xml:space="preserve"> similar to partnership-partner transactions and somewhat</w:t>
      </w:r>
      <w:r>
        <w:t xml:space="preserve"> less favorable than distributive share/distributions, depending on the circumstances.</w:t>
      </w:r>
    </w:p>
    <w:p w14:paraId="40247D60" w14:textId="23D3792C" w:rsidR="009F0F62" w:rsidRDefault="00562318" w:rsidP="005F7F13">
      <w:pPr>
        <w:pStyle w:val="ListParagraph"/>
        <w:numPr>
          <w:ilvl w:val="0"/>
          <w:numId w:val="21"/>
        </w:numPr>
        <w:spacing w:after="120"/>
        <w:contextualSpacing w:val="0"/>
      </w:pPr>
      <w:r>
        <w:t>Guaranteed payments for services performed overseas may be excluded from federal adjusted gross income, to which most states conform or with which they begin their tax calculation.</w:t>
      </w:r>
      <w:r w:rsidR="00552BD2">
        <w:t xml:space="preserve"> </w:t>
      </w:r>
    </w:p>
    <w:p w14:paraId="2D69AE08" w14:textId="5FF2D8B2" w:rsidR="005F7B48" w:rsidRPr="00A378D4" w:rsidRDefault="005F7B48" w:rsidP="005F7F13">
      <w:pPr>
        <w:pStyle w:val="ListParagraph"/>
        <w:numPr>
          <w:ilvl w:val="0"/>
          <w:numId w:val="21"/>
        </w:numPr>
        <w:spacing w:after="120"/>
        <w:contextualSpacing w:val="0"/>
      </w:pPr>
      <w:r>
        <w:t xml:space="preserve">Guaranteed payments paid as retirement compensation to </w:t>
      </w:r>
      <w:r w:rsidR="0058270F">
        <w:t xml:space="preserve">retired partners </w:t>
      </w:r>
      <w:r w:rsidR="0092280E">
        <w:t xml:space="preserve">and subject to the rule of 4 U.S.C. § 114 </w:t>
      </w:r>
      <w:r w:rsidR="0058270F">
        <w:t xml:space="preserve">cannot be taxed </w:t>
      </w:r>
      <w:r w:rsidR="0042018F">
        <w:t xml:space="preserve">except by the state of the partner’s residence. </w:t>
      </w:r>
    </w:p>
    <w:p w14:paraId="65B026A7" w14:textId="77777777" w:rsidR="00A378D4" w:rsidRDefault="00A378D4">
      <w:pPr>
        <w:spacing w:line="276" w:lineRule="auto"/>
        <w:jc w:val="left"/>
        <w:rPr>
          <w:rFonts w:asciiTheme="majorHAnsi" w:eastAsiaTheme="majorEastAsia" w:hAnsiTheme="majorHAnsi" w:cstheme="majorBidi"/>
          <w:b/>
          <w:smallCaps/>
          <w:color w:val="851C00" w:themeColor="accent6" w:themeShade="BF"/>
          <w:sz w:val="36"/>
          <w:szCs w:val="32"/>
        </w:rPr>
      </w:pPr>
      <w:r>
        <w:br w:type="page"/>
      </w:r>
    </w:p>
    <w:p w14:paraId="781E72C7" w14:textId="19978AAF" w:rsidR="000E5625" w:rsidRDefault="00464AC0" w:rsidP="00190948">
      <w:pPr>
        <w:pStyle w:val="Heading1"/>
      </w:pPr>
      <w:bookmarkStart w:id="46" w:name="_Toc144634472"/>
      <w:r>
        <w:lastRenderedPageBreak/>
        <w:t>III</w:t>
      </w:r>
      <w:r w:rsidR="00190948">
        <w:t xml:space="preserve">. </w:t>
      </w:r>
      <w:r w:rsidR="00DE675E">
        <w:t xml:space="preserve">Amounts </w:t>
      </w:r>
      <w:r w:rsidR="00115DFE">
        <w:t xml:space="preserve">and Types </w:t>
      </w:r>
      <w:r w:rsidR="00DE675E">
        <w:t>of Guaranteed Payments</w:t>
      </w:r>
      <w:bookmarkEnd w:id="46"/>
    </w:p>
    <w:p w14:paraId="558E3D4C" w14:textId="352A53A6" w:rsidR="003B4C7D" w:rsidRDefault="008C5E1B" w:rsidP="00611DD0">
      <w:r>
        <w:t>IRS Partnership Statistics</w:t>
      </w:r>
      <w:r w:rsidR="00B24426">
        <w:t xml:space="preserve"> of Information (SOI)</w:t>
      </w:r>
      <w:r>
        <w:t xml:space="preserve">, available here: </w:t>
      </w:r>
      <w:hyperlink r:id="rId43" w:history="1">
        <w:r w:rsidRPr="00B91528">
          <w:rPr>
            <w:rStyle w:val="Hyperlink"/>
          </w:rPr>
          <w:t>https://www.irs.gov/statistics/soi-tax-stats-partnership-statistics</w:t>
        </w:r>
      </w:hyperlink>
      <w:r>
        <w:t>, provide information on</w:t>
      </w:r>
      <w:r w:rsidR="009871C4">
        <w:t xml:space="preserve"> partnership income and</w:t>
      </w:r>
      <w:r>
        <w:t xml:space="preserve"> guaranteed payments</w:t>
      </w:r>
      <w:r w:rsidR="008761F0">
        <w:t>.</w:t>
      </w:r>
      <w:r>
        <w:t xml:space="preserve"> </w:t>
      </w:r>
      <w:r w:rsidR="008761F0">
        <w:t>In 2020, t</w:t>
      </w:r>
      <w:r w:rsidR="003B4C7D">
        <w:t>hese statistic</w:t>
      </w:r>
      <w:r w:rsidR="00E84D26">
        <w:t>s</w:t>
      </w:r>
      <w:r w:rsidR="003B4C7D">
        <w:t xml:space="preserve"> show that</w:t>
      </w:r>
      <w:r w:rsidR="00CF7896">
        <w:t xml:space="preserve"> total guaranteed payments were $74 </w:t>
      </w:r>
      <w:r w:rsidR="00F1297D">
        <w:t>b</w:t>
      </w:r>
      <w:r w:rsidR="00CF7896">
        <w:t>illion.</w:t>
      </w:r>
      <w:r w:rsidR="003B4C7D">
        <w:t xml:space="preserve"> </w:t>
      </w:r>
      <w:r w:rsidR="001A02A7">
        <w:t xml:space="preserve">In prior years, the amounts of guaranteed payments for services and the use of capital were not </w:t>
      </w:r>
      <w:r w:rsidR="00551E66">
        <w:t>broken out separately in partnership returns.</w:t>
      </w:r>
    </w:p>
    <w:p w14:paraId="5B93C533" w14:textId="1A595E64" w:rsidR="004E2DE3" w:rsidRDefault="00F85EA6" w:rsidP="00AA0BD8">
      <w:pPr>
        <w:pStyle w:val="Heading3"/>
        <w:jc w:val="center"/>
      </w:pPr>
      <w:bookmarkStart w:id="47" w:name="_Toc144634473"/>
      <w:r w:rsidRPr="00736FE8">
        <w:rPr>
          <w:noProof/>
        </w:rPr>
        <w:drawing>
          <wp:anchor distT="0" distB="0" distL="114300" distR="114300" simplePos="0" relativeHeight="251684352" behindDoc="1" locked="0" layoutInCell="1" allowOverlap="1" wp14:anchorId="12C9D47A" wp14:editId="02A2E10B">
            <wp:simplePos x="0" y="0"/>
            <wp:positionH relativeFrom="margin">
              <wp:posOffset>2842260</wp:posOffset>
            </wp:positionH>
            <wp:positionV relativeFrom="paragraph">
              <wp:posOffset>251021</wp:posOffset>
            </wp:positionV>
            <wp:extent cx="3008630" cy="7162165"/>
            <wp:effectExtent l="0" t="0" r="1270" b="635"/>
            <wp:wrapTight wrapText="bothSides">
              <wp:wrapPolygon edited="0">
                <wp:start x="0" y="0"/>
                <wp:lineTo x="0" y="21544"/>
                <wp:lineTo x="21472" y="21544"/>
                <wp:lineTo x="21472" y="20510"/>
                <wp:lineTo x="18874" y="20223"/>
                <wp:lineTo x="21472" y="20223"/>
                <wp:lineTo x="21472" y="19534"/>
                <wp:lineTo x="15455" y="19304"/>
                <wp:lineTo x="21472" y="19304"/>
                <wp:lineTo x="21472" y="16546"/>
                <wp:lineTo x="19421" y="16546"/>
                <wp:lineTo x="21472" y="16259"/>
                <wp:lineTo x="21472" y="15110"/>
                <wp:lineTo x="20789" y="14995"/>
                <wp:lineTo x="15455" y="14708"/>
                <wp:lineTo x="21472" y="14708"/>
                <wp:lineTo x="21472" y="14018"/>
                <wp:lineTo x="15455" y="13788"/>
                <wp:lineTo x="21472" y="13731"/>
                <wp:lineTo x="21472" y="11088"/>
                <wp:lineTo x="15455" y="11031"/>
                <wp:lineTo x="21472" y="10801"/>
                <wp:lineTo x="21472" y="10112"/>
                <wp:lineTo x="15865" y="10112"/>
                <wp:lineTo x="21472" y="9824"/>
                <wp:lineTo x="21472" y="6779"/>
                <wp:lineTo x="21199" y="6664"/>
                <wp:lineTo x="19011" y="6435"/>
                <wp:lineTo x="21472" y="6435"/>
                <wp:lineTo x="21472" y="5745"/>
                <wp:lineTo x="15455" y="5515"/>
                <wp:lineTo x="21472" y="5515"/>
                <wp:lineTo x="21472" y="2815"/>
                <wp:lineTo x="15455" y="2758"/>
                <wp:lineTo x="19968" y="2298"/>
                <wp:lineTo x="19968" y="2068"/>
                <wp:lineTo x="15455" y="1838"/>
                <wp:lineTo x="19831" y="1838"/>
                <wp:lineTo x="21472" y="1609"/>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8630" cy="716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DE3">
        <w:t>Percentage of Total Net Income</w:t>
      </w:r>
      <w:r w:rsidR="004E4D4E">
        <w:tab/>
      </w:r>
      <w:r w:rsidR="00AA0BD8">
        <w:tab/>
      </w:r>
      <w:r w:rsidR="004E4D4E">
        <w:tab/>
        <w:t xml:space="preserve"> </w:t>
      </w:r>
      <w:r w:rsidR="004E4D4E">
        <w:tab/>
      </w:r>
      <w:r w:rsidR="004E4D4E" w:rsidRPr="00AA0BD8">
        <w:rPr>
          <w:sz w:val="18"/>
          <w:szCs w:val="20"/>
        </w:rPr>
        <w:t>(amounts here shown in thousands)</w:t>
      </w:r>
      <w:bookmarkEnd w:id="47"/>
    </w:p>
    <w:p w14:paraId="1ED12359" w14:textId="2A774AB9" w:rsidR="004E2DE3" w:rsidRPr="00CF7896" w:rsidRDefault="00BE7B52" w:rsidP="004E2DE3">
      <w:r w:rsidRPr="00BE7B52">
        <w:t xml:space="preserve">For 2020, total </w:t>
      </w:r>
      <w:r w:rsidR="004E2DE3" w:rsidRPr="004E2DE3">
        <w:t>partnership net income</w:t>
      </w:r>
      <w:r w:rsidRPr="00BE7B52">
        <w:t>,</w:t>
      </w:r>
      <w:r w:rsidR="004E2DE3" w:rsidRPr="004E2DE3">
        <w:t xml:space="preserve"> including both business and portfolio income, </w:t>
      </w:r>
      <w:r w:rsidR="007561B0">
        <w:t xml:space="preserve">and </w:t>
      </w:r>
      <w:r w:rsidRPr="00BE7B52">
        <w:t>adding back</w:t>
      </w:r>
      <w:r w:rsidR="004E2DE3" w:rsidRPr="004E2DE3">
        <w:t xml:space="preserve"> </w:t>
      </w:r>
      <w:r w:rsidRPr="00BE7B52">
        <w:t xml:space="preserve">the </w:t>
      </w:r>
      <w:r w:rsidR="004E2DE3" w:rsidRPr="004E2DE3">
        <w:t xml:space="preserve">guaranteed payments, </w:t>
      </w:r>
      <w:r w:rsidRPr="00BE7B52">
        <w:t>equals</w:t>
      </w:r>
      <w:r w:rsidR="004E2DE3" w:rsidRPr="004E2DE3">
        <w:t xml:space="preserve"> $834 </w:t>
      </w:r>
      <w:r w:rsidR="00F1297D">
        <w:t>b</w:t>
      </w:r>
      <w:r w:rsidR="004E2DE3" w:rsidRPr="004E2DE3">
        <w:t>illion.</w:t>
      </w:r>
      <w:r w:rsidRPr="00BE7B52">
        <w:t xml:space="preserve"> </w:t>
      </w:r>
      <w:r>
        <w:t>Guaranteed payments, as a</w:t>
      </w:r>
      <w:r w:rsidR="004E2DE3" w:rsidRPr="004E2DE3">
        <w:t xml:space="preserve"> percentage of this $834 </w:t>
      </w:r>
      <w:r w:rsidR="00F1297D">
        <w:t>b</w:t>
      </w:r>
      <w:r w:rsidR="004E2DE3" w:rsidRPr="004E2DE3">
        <w:t>illion</w:t>
      </w:r>
      <w:r w:rsidR="00FE640C">
        <w:t xml:space="preserve"> </w:t>
      </w:r>
      <w:r w:rsidR="004E2DE3" w:rsidRPr="004E2DE3">
        <w:t>of partnership net income</w:t>
      </w:r>
      <w:r>
        <w:t xml:space="preserve">, </w:t>
      </w:r>
      <w:r w:rsidR="004E2DE3" w:rsidRPr="004E2DE3">
        <w:t>is 9%.</w:t>
      </w:r>
    </w:p>
    <w:p w14:paraId="46F38AA2" w14:textId="3AEA21C6" w:rsidR="00CF7896" w:rsidRPr="00CF7896" w:rsidRDefault="00CF7896" w:rsidP="00CF7896">
      <w:pPr>
        <w:pStyle w:val="Heading3"/>
      </w:pPr>
      <w:bookmarkStart w:id="48" w:name="_Toc144634474"/>
      <w:r w:rsidRPr="00CF7896">
        <w:t>Rankings by Industry</w:t>
      </w:r>
      <w:bookmarkEnd w:id="48"/>
    </w:p>
    <w:p w14:paraId="5552B272" w14:textId="22517438" w:rsidR="00CF7896" w:rsidRDefault="004E2DE3" w:rsidP="00CF7896">
      <w:r>
        <w:t>The</w:t>
      </w:r>
      <w:r w:rsidR="00CF7896">
        <w:t xml:space="preserve"> simple ranking in terms of total amounts, shown here, indicates that industries with the highest guaranteed payments are: </w:t>
      </w:r>
    </w:p>
    <w:p w14:paraId="7FA23D3E" w14:textId="5BC2484D" w:rsidR="00CF7896" w:rsidRDefault="00CF7896" w:rsidP="005F7F13">
      <w:pPr>
        <w:pStyle w:val="ListParagraph"/>
        <w:numPr>
          <w:ilvl w:val="0"/>
          <w:numId w:val="11"/>
        </w:numPr>
        <w:spacing w:after="120"/>
        <w:contextualSpacing w:val="0"/>
      </w:pPr>
      <w:r>
        <w:t xml:space="preserve">professional, scientific, and technical services </w:t>
      </w:r>
    </w:p>
    <w:p w14:paraId="401BCA2A" w14:textId="63851B7C" w:rsidR="00CF7896" w:rsidRDefault="00CF7896" w:rsidP="005F7F13">
      <w:pPr>
        <w:pStyle w:val="ListParagraph"/>
        <w:numPr>
          <w:ilvl w:val="0"/>
          <w:numId w:val="11"/>
        </w:numPr>
        <w:spacing w:after="120"/>
        <w:contextualSpacing w:val="0"/>
      </w:pPr>
      <w:r>
        <w:t xml:space="preserve">finance and insurance, and </w:t>
      </w:r>
    </w:p>
    <w:p w14:paraId="341A06AC" w14:textId="7EFBAD64" w:rsidR="00CF7896" w:rsidRDefault="00CF7896" w:rsidP="005F7F13">
      <w:pPr>
        <w:pStyle w:val="ListParagraph"/>
        <w:numPr>
          <w:ilvl w:val="0"/>
          <w:numId w:val="11"/>
        </w:numPr>
      </w:pPr>
      <w:r>
        <w:t>health care and social assi</w:t>
      </w:r>
      <w:r w:rsidR="004E2DE3">
        <w:t>s</w:t>
      </w:r>
      <w:r>
        <w:t>t</w:t>
      </w:r>
      <w:r w:rsidR="004E2DE3">
        <w:t>a</w:t>
      </w:r>
      <w:r>
        <w:t xml:space="preserve">nce. </w:t>
      </w:r>
    </w:p>
    <w:p w14:paraId="44E897D7" w14:textId="352C8AA6" w:rsidR="009F265B" w:rsidRDefault="00CF7896" w:rsidP="00736FE8">
      <w:r>
        <w:t xml:space="preserve">But </w:t>
      </w:r>
      <w:r w:rsidRPr="009F265B">
        <w:t>ranking industr</w:t>
      </w:r>
      <w:r w:rsidR="00BE7B52">
        <w:t>ies</w:t>
      </w:r>
      <w:r w:rsidRPr="009F265B">
        <w:t xml:space="preserve"> </w:t>
      </w:r>
      <w:r>
        <w:t xml:space="preserve">by amount does not necessarily indicate prevalence </w:t>
      </w:r>
      <w:r w:rsidR="00BE7B52">
        <w:t xml:space="preserve">of guaranteed payments </w:t>
      </w:r>
      <w:r w:rsidR="004E2DE3">
        <w:t xml:space="preserve">in that industry because </w:t>
      </w:r>
      <w:r w:rsidR="00BE7B52">
        <w:t xml:space="preserve">industries also vary by </w:t>
      </w:r>
      <w:r w:rsidR="004E2DE3">
        <w:t xml:space="preserve">size. </w:t>
      </w:r>
      <w:r w:rsidR="009F265B">
        <w:t>R</w:t>
      </w:r>
      <w:r w:rsidR="00736FE8">
        <w:t>ankings relative to the size of the industry are difficult</w:t>
      </w:r>
      <w:r w:rsidR="004E2DE3">
        <w:t>, however,</w:t>
      </w:r>
      <w:r w:rsidR="00736FE8">
        <w:t xml:space="preserve"> because </w:t>
      </w:r>
      <w:r w:rsidR="005959C0">
        <w:t xml:space="preserve">some </w:t>
      </w:r>
      <w:r w:rsidR="00736FE8">
        <w:t>industries</w:t>
      </w:r>
      <w:r w:rsidR="005959C0">
        <w:t xml:space="preserve"> </w:t>
      </w:r>
      <w:r w:rsidR="00246E24">
        <w:t>report a</w:t>
      </w:r>
      <w:r w:rsidR="005959C0">
        <w:t xml:space="preserve"> net loss</w:t>
      </w:r>
      <w:r w:rsidR="00BE7B52">
        <w:t xml:space="preserve"> or pay out guaranteed payments in excess of the </w:t>
      </w:r>
      <w:r w:rsidR="00246E24">
        <w:t xml:space="preserve">total </w:t>
      </w:r>
      <w:r w:rsidR="00BE7B52">
        <w:t xml:space="preserve">net income. </w:t>
      </w:r>
    </w:p>
    <w:p w14:paraId="192626F1" w14:textId="0F80CA7D" w:rsidR="009F265B" w:rsidRDefault="005959C0" w:rsidP="00736FE8">
      <w:r>
        <w:t xml:space="preserve">So the tables </w:t>
      </w:r>
      <w:r w:rsidR="004E2DE3">
        <w:t>on the following pages</w:t>
      </w:r>
      <w:r w:rsidR="00736FE8">
        <w:t xml:space="preserve"> </w:t>
      </w:r>
      <w:r>
        <w:t xml:space="preserve">provide two </w:t>
      </w:r>
      <w:r w:rsidR="00736FE8">
        <w:t xml:space="preserve">different </w:t>
      </w:r>
      <w:r>
        <w:t xml:space="preserve">rankings. The first is based on </w:t>
      </w:r>
      <w:r w:rsidR="005D791A">
        <w:t>guaranteed payments</w:t>
      </w:r>
      <w:r w:rsidR="009871C4">
        <w:t xml:space="preserve"> as a percentage of gross </w:t>
      </w:r>
      <w:r>
        <w:t xml:space="preserve">partnership </w:t>
      </w:r>
      <w:r w:rsidR="009871C4">
        <w:t>business income.</w:t>
      </w:r>
      <w:r w:rsidR="00736FE8">
        <w:t xml:space="preserve"> </w:t>
      </w:r>
      <w:r w:rsidR="00736FE8" w:rsidRPr="00736FE8">
        <w:t>The second is based on total partnership net income after adding back guaranteed payments</w:t>
      </w:r>
      <w:r w:rsidR="004E2DE3">
        <w:t>—showing those industries where the industry has a net loss separately</w:t>
      </w:r>
      <w:r w:rsidR="00736FE8" w:rsidRPr="00736FE8">
        <w:t xml:space="preserve">.  </w:t>
      </w:r>
    </w:p>
    <w:p w14:paraId="4C5D534E" w14:textId="77777777" w:rsidR="00BE209E" w:rsidRDefault="00BE209E" w:rsidP="009871C4"/>
    <w:p w14:paraId="5F7A035B" w14:textId="77777777" w:rsidR="00BE209E" w:rsidRDefault="00BE209E" w:rsidP="009871C4"/>
    <w:p w14:paraId="2BAC7F8C" w14:textId="77777777" w:rsidR="00BE209E" w:rsidRDefault="00BE209E" w:rsidP="009871C4"/>
    <w:p w14:paraId="5C1D393F" w14:textId="77777777" w:rsidR="00BE209E" w:rsidRDefault="00BE209E" w:rsidP="009871C4"/>
    <w:p w14:paraId="32D07FDE" w14:textId="77777777" w:rsidR="00BE209E" w:rsidRDefault="00BE209E" w:rsidP="009871C4"/>
    <w:p w14:paraId="64D16C5A" w14:textId="77777777" w:rsidR="00BE209E" w:rsidRDefault="00BE209E" w:rsidP="009871C4"/>
    <w:p w14:paraId="7CD764E0" w14:textId="5D166610" w:rsidR="002B0EBD" w:rsidRDefault="00736FE8" w:rsidP="008843EB">
      <w:pPr>
        <w:spacing w:after="360"/>
      </w:pPr>
      <w:r>
        <w:lastRenderedPageBreak/>
        <w:t xml:space="preserve">The rankings relative to gross </w:t>
      </w:r>
      <w:r w:rsidR="00060EB5">
        <w:t xml:space="preserve">business </w:t>
      </w:r>
      <w:r>
        <w:t xml:space="preserve">income, below, indicate, again, that professional, finance, and healthcare industry categories rank the highest. </w:t>
      </w:r>
      <w:r w:rsidR="00060EB5">
        <w:t xml:space="preserve">Here, </w:t>
      </w:r>
      <w:r w:rsidR="00A32988">
        <w:t xml:space="preserve">for all industries, </w:t>
      </w:r>
      <w:r w:rsidR="00060EB5">
        <w:t>guaranteed payments vary from less than 1% to almost 4% of gross business income.</w:t>
      </w:r>
    </w:p>
    <w:p w14:paraId="3809F0E2" w14:textId="5DEEE671" w:rsidR="00611DD0" w:rsidRDefault="003B4C7D" w:rsidP="00736FE8">
      <w:r w:rsidRPr="003B4C7D">
        <w:rPr>
          <w:noProof/>
        </w:rPr>
        <w:drawing>
          <wp:inline distT="0" distB="0" distL="0" distR="0" wp14:anchorId="33712409" wp14:editId="31AB9193">
            <wp:extent cx="5667375" cy="63949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640" cy="6501304"/>
                    </a:xfrm>
                    <a:prstGeom prst="rect">
                      <a:avLst/>
                    </a:prstGeom>
                    <a:noFill/>
                    <a:ln>
                      <a:noFill/>
                    </a:ln>
                  </pic:spPr>
                </pic:pic>
              </a:graphicData>
            </a:graphic>
          </wp:inline>
        </w:drawing>
      </w:r>
    </w:p>
    <w:p w14:paraId="6FCBDB76" w14:textId="15C87825" w:rsidR="008C5E1B" w:rsidRDefault="00AE34F6" w:rsidP="00611DD0">
      <w:r>
        <w:t xml:space="preserve">It is likely no surprise that </w:t>
      </w:r>
      <w:r w:rsidR="0082584C">
        <w:t xml:space="preserve">partnerships in the </w:t>
      </w:r>
      <w:r>
        <w:t>professional</w:t>
      </w:r>
      <w:r w:rsidR="00D02BB9">
        <w:t>,</w:t>
      </w:r>
      <w:r w:rsidR="0082584C">
        <w:t xml:space="preserve"> financial</w:t>
      </w:r>
      <w:r w:rsidR="00D02BB9">
        <w:t>, and healthcare</w:t>
      </w:r>
      <w:r w:rsidR="0082584C">
        <w:t xml:space="preserve"> industry sectors rank highest in terms of total guaranteed payments and the percentage of guaranteed payments to </w:t>
      </w:r>
      <w:r w:rsidR="00CA153C">
        <w:t>gross</w:t>
      </w:r>
      <w:r w:rsidR="00D02BB9">
        <w:t xml:space="preserve"> income</w:t>
      </w:r>
      <w:r w:rsidR="00B24426">
        <w:t xml:space="preserve">, </w:t>
      </w:r>
      <w:r w:rsidR="00B24426" w:rsidRPr="00B24426">
        <w:t>since these sectors include professional firms whose partners often participate in their businesses,</w:t>
      </w:r>
      <w:r w:rsidR="00D02BB9">
        <w:t xml:space="preserve">. </w:t>
      </w:r>
      <w:r w:rsidR="003E13BA">
        <w:t xml:space="preserve">Still, the range in terms of percentages is not </w:t>
      </w:r>
      <w:r w:rsidR="003B4748">
        <w:t>extraordinary</w:t>
      </w:r>
      <w:r w:rsidR="000D57A1">
        <w:t>—between .11% and 3.91%, with 1.13% as the average.</w:t>
      </w:r>
    </w:p>
    <w:p w14:paraId="2A2034E1" w14:textId="77777777" w:rsidR="004E2DE3" w:rsidRDefault="004E2DE3">
      <w:pPr>
        <w:spacing w:line="276" w:lineRule="auto"/>
        <w:jc w:val="left"/>
      </w:pPr>
      <w:r>
        <w:br w:type="page"/>
      </w:r>
    </w:p>
    <w:p w14:paraId="1FC82044" w14:textId="77777777" w:rsidR="00A337BF" w:rsidRDefault="00031185" w:rsidP="00611DD0">
      <w:r>
        <w:lastRenderedPageBreak/>
        <w:t>Industry rankings</w:t>
      </w:r>
      <w:r w:rsidR="00736FE8" w:rsidRPr="00736FE8">
        <w:t xml:space="preserve"> </w:t>
      </w:r>
      <w:r w:rsidR="00EF204E">
        <w:t xml:space="preserve">of guaranteed payments </w:t>
      </w:r>
      <w:r w:rsidR="00736FE8" w:rsidRPr="00736FE8">
        <w:t xml:space="preserve">relative to </w:t>
      </w:r>
      <w:r w:rsidR="00060EB5">
        <w:t>total partnership net income (loss)</w:t>
      </w:r>
      <w:r w:rsidR="00736FE8" w:rsidRPr="00736FE8">
        <w:t xml:space="preserve">, </w:t>
      </w:r>
      <w:r w:rsidR="00060EB5">
        <w:t xml:space="preserve">tell a slightly different story. </w:t>
      </w:r>
      <w:r w:rsidR="005C576A">
        <w:t xml:space="preserve">This ranking is complicated because industries can show a loss or net income in excess of guaranteed payments, and </w:t>
      </w:r>
      <w:r w:rsidR="00A337BF">
        <w:t>for industries fall into this category</w:t>
      </w:r>
      <w:r w:rsidR="00E63DB8" w:rsidRPr="00E63DB8">
        <w:t>—accommodations and food services, arts and entertainment, transportation, and utilities</w:t>
      </w:r>
      <w:r w:rsidR="00060EB5">
        <w:t>.</w:t>
      </w:r>
      <w:r w:rsidR="000A37C8">
        <w:t xml:space="preserve"> It appears this </w:t>
      </w:r>
      <w:r w:rsidR="00A337BF">
        <w:t>may be</w:t>
      </w:r>
      <w:r w:rsidR="000A37C8">
        <w:t xml:space="preserve"> due to lower profit margins in those industries.</w:t>
      </w:r>
      <w:r w:rsidR="00060EB5">
        <w:t xml:space="preserve"> </w:t>
      </w:r>
    </w:p>
    <w:p w14:paraId="2A2FA284" w14:textId="0E5FEF35" w:rsidR="00736FE8" w:rsidRDefault="00AF5F07" w:rsidP="00611DD0">
      <w:r>
        <w:t>For the remaining industries, t</w:t>
      </w:r>
      <w:r w:rsidR="00060EB5">
        <w:t xml:space="preserve">he percentage of guaranteed payments </w:t>
      </w:r>
      <w:r>
        <w:t xml:space="preserve">relative to this net income amount </w:t>
      </w:r>
      <w:r w:rsidR="00060EB5">
        <w:t xml:space="preserve">varies widely—from 1.7% to almost 50%. </w:t>
      </w:r>
      <w:r w:rsidR="00CF722D">
        <w:t>T</w:t>
      </w:r>
      <w:r w:rsidR="00060EB5">
        <w:t>he highest ranking industry</w:t>
      </w:r>
      <w:r w:rsidR="00BE7B52">
        <w:t xml:space="preserve">, </w:t>
      </w:r>
      <w:r w:rsidR="00060EB5">
        <w:t>after removing the four noted</w:t>
      </w:r>
      <w:r w:rsidR="00BE7B52">
        <w:t>,</w:t>
      </w:r>
      <w:r w:rsidR="00060EB5">
        <w:t xml:space="preserve"> </w:t>
      </w:r>
      <w:r w:rsidR="00CF7896">
        <w:t xml:space="preserve">is </w:t>
      </w:r>
      <w:r w:rsidR="00060EB5">
        <w:t xml:space="preserve">educational and other services – at 49.53%. The next, agricultural, is less than half that – at 23.15%. </w:t>
      </w:r>
      <w:r w:rsidR="00BE7B52">
        <w:t>And, u</w:t>
      </w:r>
      <w:r w:rsidR="00060EB5">
        <w:t>sing this ranking, the finance industry</w:t>
      </w:r>
      <w:r w:rsidR="00BE7B52">
        <w:t>, which is the largest industry by net income,</w:t>
      </w:r>
      <w:r w:rsidR="00060EB5">
        <w:t xml:space="preserve"> ranks second from last</w:t>
      </w:r>
      <w:r w:rsidR="00BE7B52">
        <w:t xml:space="preserve"> in terms of </w:t>
      </w:r>
      <w:r w:rsidR="00105258">
        <w:t xml:space="preserve">the percentage of </w:t>
      </w:r>
      <w:r w:rsidR="00BE7B52">
        <w:t>guaranteed payments</w:t>
      </w:r>
      <w:r w:rsidR="00060EB5">
        <w:t xml:space="preserve">. </w:t>
      </w:r>
    </w:p>
    <w:p w14:paraId="25C03D1E" w14:textId="3539DD95" w:rsidR="008C5E1B" w:rsidRDefault="00AF5F07" w:rsidP="00611DD0">
      <w:r w:rsidRPr="00AF5F07">
        <w:rPr>
          <w:noProof/>
        </w:rPr>
        <w:drawing>
          <wp:inline distT="0" distB="0" distL="0" distR="0" wp14:anchorId="0FBCF1CC" wp14:editId="63C5BA4B">
            <wp:extent cx="5776331" cy="643010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5679" cy="6440514"/>
                    </a:xfrm>
                    <a:prstGeom prst="rect">
                      <a:avLst/>
                    </a:prstGeom>
                    <a:noFill/>
                    <a:ln>
                      <a:noFill/>
                    </a:ln>
                  </pic:spPr>
                </pic:pic>
              </a:graphicData>
            </a:graphic>
          </wp:inline>
        </w:drawing>
      </w:r>
    </w:p>
    <w:p w14:paraId="36C85291" w14:textId="769D6525" w:rsidR="000B4244" w:rsidRDefault="000B4244">
      <w:pPr>
        <w:spacing w:line="276" w:lineRule="auto"/>
        <w:jc w:val="left"/>
      </w:pPr>
      <w:r>
        <w:br w:type="page"/>
      </w:r>
    </w:p>
    <w:p w14:paraId="0B737211" w14:textId="1F108090" w:rsidR="0066468E" w:rsidRDefault="007B75F8" w:rsidP="0066468E">
      <w:pPr>
        <w:pStyle w:val="Heading3"/>
      </w:pPr>
      <w:bookmarkStart w:id="49" w:name="_Toc144634475"/>
      <w:r>
        <w:lastRenderedPageBreak/>
        <w:t>Common</w:t>
      </w:r>
      <w:r w:rsidR="0066468E">
        <w:t xml:space="preserve"> Guaranteed Payments</w:t>
      </w:r>
      <w:r>
        <w:t xml:space="preserve"> and Alternatives</w:t>
      </w:r>
      <w:bookmarkEnd w:id="49"/>
    </w:p>
    <w:p w14:paraId="45DE1D1C" w14:textId="03F7CE0D" w:rsidR="00C31C05" w:rsidRDefault="0066468E" w:rsidP="0066468E">
      <w:r>
        <w:t xml:space="preserve">Review of different sources of information on partnerships indicates that </w:t>
      </w:r>
      <w:r w:rsidR="00D31F40">
        <w:t>the common type of guaranteed payment is a fairly straight-forward agreement to pay partners a set amount annually</w:t>
      </w:r>
      <w:r w:rsidR="00754875">
        <w:t xml:space="preserve">, regardless of partnership income, with or without some fairly simple limitations. </w:t>
      </w:r>
      <w:r w:rsidR="00C31C05">
        <w:t xml:space="preserve">These </w:t>
      </w:r>
      <w:r w:rsidR="001E48BA">
        <w:t xml:space="preserve">more common types of guaranteed payments would clearly meet the test under </w:t>
      </w:r>
      <w:r w:rsidR="0009473C">
        <w:t>existing standards—including the IRS proposed regulations discussed in Section II</w:t>
      </w:r>
      <w:r w:rsidR="00BC3425">
        <w:t xml:space="preserve"> a</w:t>
      </w:r>
      <w:r w:rsidR="0009473C">
        <w:t xml:space="preserve">bove. </w:t>
      </w:r>
    </w:p>
    <w:p w14:paraId="637E2060" w14:textId="783B8D58" w:rsidR="00A547EC" w:rsidRDefault="00725F97" w:rsidP="000B4244">
      <w:r>
        <w:t>A</w:t>
      </w:r>
      <w:r w:rsidR="00BC3425">
        <w:t>lso, a</w:t>
      </w:r>
      <w:r>
        <w:t xml:space="preserve">s noted in Section II above, </w:t>
      </w:r>
      <w:r w:rsidR="00C308AA">
        <w:t>guaranteed payments are sometimes treated less favorably from a tax standpoint—they are</w:t>
      </w:r>
      <w:r w:rsidR="005407D2">
        <w:t xml:space="preserve"> always ordinary income, they are</w:t>
      </w:r>
      <w:r w:rsidR="00C308AA">
        <w:t xml:space="preserve"> not included in the qualified income deduction under IRC § 199A, </w:t>
      </w:r>
      <w:r w:rsidR="005407D2">
        <w:t xml:space="preserve">and </w:t>
      </w:r>
      <w:r w:rsidR="00C308AA">
        <w:t xml:space="preserve">they are </w:t>
      </w:r>
      <w:r w:rsidR="005407D2">
        <w:t>subject to self-employment taxes in many cases.</w:t>
      </w:r>
      <w:r w:rsidR="007F4316">
        <w:t xml:space="preserve"> Therefore, it is also common for partnerships to seek</w:t>
      </w:r>
      <w:r w:rsidR="00F422A6">
        <w:t xml:space="preserve"> alternatives to guaranteed payments that may be treated more favorably</w:t>
      </w:r>
      <w:r w:rsidR="001871C7">
        <w:t xml:space="preserve">. </w:t>
      </w:r>
      <w:r w:rsidR="006A2786">
        <w:t>For example, the partnership may provide the use of property or other administrative support. The partnership may also provide non-taxable reimbursement of the partners</w:t>
      </w:r>
      <w:r w:rsidR="00F06EE2">
        <w:t>’</w:t>
      </w:r>
      <w:r w:rsidR="006A2786">
        <w:t xml:space="preserve"> costs in some circumstances. </w:t>
      </w:r>
    </w:p>
    <w:p w14:paraId="7ED255CE" w14:textId="14514382" w:rsidR="00F66DE7" w:rsidRDefault="00587539" w:rsidP="000B4244">
      <w:r>
        <w:t xml:space="preserve">But in cases where the </w:t>
      </w:r>
      <w:r w:rsidR="00090A5F">
        <w:t xml:space="preserve">partnership’s income is </w:t>
      </w:r>
      <w:r>
        <w:t xml:space="preserve">primarily </w:t>
      </w:r>
      <w:r w:rsidR="00090A5F">
        <w:t>from capital gains,</w:t>
      </w:r>
      <w:r w:rsidR="00F422A6">
        <w:t xml:space="preserve"> </w:t>
      </w:r>
      <w:r w:rsidR="000B3EDC">
        <w:t xml:space="preserve">the partnership </w:t>
      </w:r>
      <w:r>
        <w:t xml:space="preserve">will </w:t>
      </w:r>
      <w:r w:rsidR="00A547EC">
        <w:t xml:space="preserve">seek </w:t>
      </w:r>
      <w:r w:rsidR="00357F60">
        <w:t xml:space="preserve">alternatives that allow partners to apply this </w:t>
      </w:r>
      <w:r>
        <w:t xml:space="preserve">beneficial tax rate for amounts received, </w:t>
      </w:r>
      <w:r w:rsidR="00AE4BA8">
        <w:t xml:space="preserve">while still providing partners who do services for the partnership with an additional compensation for their efforts. </w:t>
      </w:r>
    </w:p>
    <w:p w14:paraId="3C8414CC" w14:textId="0C67E1D5" w:rsidR="000B4244" w:rsidRPr="000B4244" w:rsidRDefault="00C936B0" w:rsidP="000B4244">
      <w:r>
        <w:t>Partnerships</w:t>
      </w:r>
      <w:r w:rsidR="005C7497">
        <w:t xml:space="preserve"> may grant “profits interests” to partners, allowing them to share in partnership income without </w:t>
      </w:r>
      <w:r w:rsidR="005518AA">
        <w:t xml:space="preserve">providing capital contributions. Some arrangements also provide </w:t>
      </w:r>
      <w:r w:rsidR="00AC6234">
        <w:t xml:space="preserve">partners performing management services with the ability to waive some or all of </w:t>
      </w:r>
      <w:r>
        <w:t>a</w:t>
      </w:r>
      <w:r w:rsidR="00AC6234">
        <w:t xml:space="preserve"> guaranteed payment for an additional amount of allocated income</w:t>
      </w:r>
      <w:r w:rsidR="000B4244" w:rsidRPr="000B4244">
        <w:t>.</w:t>
      </w:r>
      <w:r w:rsidR="001E2801">
        <w:t xml:space="preserve"> These and other arrangements may also affect the tax results for other partners. </w:t>
      </w:r>
      <w:r w:rsidR="007A7526">
        <w:t>And there</w:t>
      </w:r>
      <w:r w:rsidR="00045C75">
        <w:t xml:space="preserve"> </w:t>
      </w:r>
      <w:r w:rsidR="00783849">
        <w:t xml:space="preserve">is </w:t>
      </w:r>
      <w:r w:rsidR="00045C75">
        <w:t xml:space="preserve">some uncertainty about how some of these alternatives are treated for tax purposes. </w:t>
      </w:r>
      <w:r w:rsidR="003E6273">
        <w:t xml:space="preserve">One question is whether any fee waived is still constructively received. </w:t>
      </w:r>
      <w:r w:rsidR="00CA6A20">
        <w:t xml:space="preserve">If so, this may convert that waived fee in lieu of an additional profits interest into a taxable exchange subject to </w:t>
      </w:r>
      <w:r w:rsidR="000B4244" w:rsidRPr="000B4244">
        <w:t>§707(a).</w:t>
      </w:r>
    </w:p>
    <w:p w14:paraId="53969D67" w14:textId="440E9D29" w:rsidR="000B4244" w:rsidRPr="000B4244" w:rsidRDefault="00C22F0C" w:rsidP="000B4244">
      <w:r>
        <w:t xml:space="preserve">Another alternative is to provide partners who perform management services with a priority </w:t>
      </w:r>
      <w:r w:rsidR="002E657F">
        <w:t>allocation—a special allocation entitling them to the first income from particular sources</w:t>
      </w:r>
      <w:r w:rsidR="002C4B6B">
        <w:t xml:space="preserve"> before the remainder is divided</w:t>
      </w:r>
      <w:r w:rsidR="002E657F">
        <w:t xml:space="preserve">. </w:t>
      </w:r>
      <w:r w:rsidR="00DC6E4F">
        <w:t xml:space="preserve">For partners that have made a capital contribution, this can take the place of a guaranteed payment for the use of capital. </w:t>
      </w:r>
      <w:r w:rsidR="00D16BFB">
        <w:t xml:space="preserve">These priority allocations can also be made during periods when the partnership has or expects certain profits. </w:t>
      </w:r>
      <w:r w:rsidR="00CB2006">
        <w:t xml:space="preserve">However, special allocations during periods when the partnership has net losses may be subject to re-characterization as guaranteed payments or payments subject to §707(a). </w:t>
      </w:r>
      <w:r w:rsidR="000B4244" w:rsidRPr="000B4244">
        <w:t xml:space="preserve">See Rev. Rul. 81-300, </w:t>
      </w:r>
      <w:r w:rsidR="00F80742">
        <w:t>superseded by</w:t>
      </w:r>
      <w:r w:rsidR="000B4244" w:rsidRPr="000B4244">
        <w:t xml:space="preserve"> REG-115452-14, 80 Fed. Reg. 43,652 (July 23, 2015)</w:t>
      </w:r>
      <w:r w:rsidR="003513EF">
        <w:t xml:space="preserve">, and </w:t>
      </w:r>
      <w:r w:rsidR="000B4244" w:rsidRPr="000B4244">
        <w:t>Rev. Proc. 93-27</w:t>
      </w:r>
      <w:r w:rsidR="003513EF">
        <w:t>.</w:t>
      </w:r>
      <w:r w:rsidR="008F1B53">
        <w:t xml:space="preserve"> (Discussed in Section II above.)</w:t>
      </w:r>
      <w:r w:rsidR="00B2115F">
        <w:t xml:space="preserve"> </w:t>
      </w:r>
      <w:r w:rsidR="00785CBA">
        <w:t xml:space="preserve"> </w:t>
      </w:r>
    </w:p>
    <w:p w14:paraId="26870E10" w14:textId="77777777" w:rsidR="000B4244" w:rsidRDefault="000B4244">
      <w:pPr>
        <w:spacing w:line="276" w:lineRule="auto"/>
        <w:jc w:val="left"/>
        <w:rPr>
          <w:rFonts w:asciiTheme="majorHAnsi" w:eastAsiaTheme="majorEastAsia" w:hAnsiTheme="majorHAnsi" w:cstheme="majorBidi"/>
          <w:b/>
          <w:smallCaps/>
          <w:color w:val="851C00" w:themeColor="accent6" w:themeShade="BF"/>
          <w:sz w:val="36"/>
          <w:szCs w:val="32"/>
        </w:rPr>
      </w:pPr>
      <w:bookmarkStart w:id="50" w:name="_Toc104209207"/>
      <w:r>
        <w:br w:type="page"/>
      </w:r>
    </w:p>
    <w:p w14:paraId="3A8D5F49" w14:textId="4AE7D017" w:rsidR="00D41BCB" w:rsidRPr="00D41BCB" w:rsidRDefault="00464AC0" w:rsidP="005937D6">
      <w:pPr>
        <w:pStyle w:val="Heading1"/>
      </w:pPr>
      <w:bookmarkStart w:id="51" w:name="_Toc144634476"/>
      <w:r>
        <w:lastRenderedPageBreak/>
        <w:t>IV</w:t>
      </w:r>
      <w:r w:rsidR="00446D41">
        <w:t xml:space="preserve">. </w:t>
      </w:r>
      <w:r w:rsidR="0004314D">
        <w:t xml:space="preserve">State </w:t>
      </w:r>
      <w:r w:rsidR="0056105E">
        <w:t xml:space="preserve">Sourcing </w:t>
      </w:r>
      <w:r w:rsidR="008A4C1F">
        <w:t xml:space="preserve"> and Related </w:t>
      </w:r>
      <w:r w:rsidR="00D41BCB" w:rsidRPr="00D41BCB">
        <w:t>Rules</w:t>
      </w:r>
      <w:bookmarkEnd w:id="50"/>
      <w:bookmarkEnd w:id="51"/>
    </w:p>
    <w:p w14:paraId="6315C918" w14:textId="1586008C" w:rsidR="00F91D7A" w:rsidRPr="00C46145" w:rsidRDefault="006B6DA4" w:rsidP="00C46145">
      <w:pPr>
        <w:jc w:val="center"/>
        <w:rPr>
          <w:rFonts w:eastAsia="Calibri" w:cs="Times New Roman"/>
          <w:i/>
          <w:iCs/>
          <w:sz w:val="18"/>
          <w:szCs w:val="20"/>
        </w:rPr>
      </w:pPr>
      <w:r w:rsidRPr="00C46145">
        <w:rPr>
          <w:rFonts w:eastAsia="Calibri" w:cs="Times New Roman"/>
          <w:i/>
          <w:iCs/>
          <w:sz w:val="18"/>
          <w:szCs w:val="20"/>
        </w:rPr>
        <w:t xml:space="preserve">Information in this section comes from </w:t>
      </w:r>
      <w:r w:rsidR="00CC23AE" w:rsidRPr="00C46145">
        <w:rPr>
          <w:rFonts w:eastAsia="Calibri" w:cs="Times New Roman"/>
          <w:i/>
          <w:iCs/>
          <w:sz w:val="18"/>
          <w:szCs w:val="20"/>
        </w:rPr>
        <w:t xml:space="preserve">state statutes, regulations, cases, </w:t>
      </w:r>
      <w:r w:rsidR="007E272D" w:rsidRPr="00C46145">
        <w:rPr>
          <w:rFonts w:eastAsia="Calibri" w:cs="Times New Roman"/>
          <w:i/>
          <w:iCs/>
          <w:sz w:val="18"/>
          <w:szCs w:val="20"/>
        </w:rPr>
        <w:t xml:space="preserve">form instructions, </w:t>
      </w:r>
      <w:r w:rsidR="00CC23AE" w:rsidRPr="00C46145">
        <w:rPr>
          <w:rFonts w:eastAsia="Calibri" w:cs="Times New Roman"/>
          <w:i/>
          <w:iCs/>
          <w:sz w:val="18"/>
          <w:szCs w:val="20"/>
        </w:rPr>
        <w:t>and guidance</w:t>
      </w:r>
      <w:r w:rsidR="00B24426">
        <w:rPr>
          <w:rFonts w:eastAsia="Calibri" w:cs="Times New Roman"/>
          <w:i/>
          <w:iCs/>
          <w:sz w:val="18"/>
          <w:szCs w:val="20"/>
        </w:rPr>
        <w:t xml:space="preserve"> as if the date of this draft. </w:t>
      </w:r>
      <w:r w:rsidR="00F91D7A" w:rsidRPr="00C46145">
        <w:rPr>
          <w:rFonts w:eastAsia="Calibri" w:cs="Times New Roman"/>
          <w:i/>
          <w:iCs/>
          <w:sz w:val="18"/>
          <w:szCs w:val="20"/>
        </w:rPr>
        <w:t xml:space="preserve">This </w:t>
      </w:r>
      <w:r w:rsidR="00C46145">
        <w:rPr>
          <w:rFonts w:eastAsia="Calibri" w:cs="Times New Roman"/>
          <w:i/>
          <w:iCs/>
          <w:sz w:val="18"/>
          <w:szCs w:val="20"/>
        </w:rPr>
        <w:t>information should not be</w:t>
      </w:r>
      <w:r w:rsidR="00F91D7A" w:rsidRPr="00C46145">
        <w:rPr>
          <w:rFonts w:eastAsia="Calibri" w:cs="Times New Roman"/>
          <w:i/>
          <w:iCs/>
          <w:sz w:val="18"/>
          <w:szCs w:val="20"/>
        </w:rPr>
        <w:t xml:space="preserve"> relied on as tax advice. For specific questions, </w:t>
      </w:r>
      <w:r w:rsidR="005A51A9">
        <w:rPr>
          <w:rFonts w:eastAsia="Calibri" w:cs="Times New Roman"/>
          <w:i/>
          <w:iCs/>
          <w:sz w:val="18"/>
          <w:szCs w:val="20"/>
        </w:rPr>
        <w:t xml:space="preserve">taxpayers should </w:t>
      </w:r>
      <w:r w:rsidR="00F91D7A" w:rsidRPr="00C46145">
        <w:rPr>
          <w:rFonts w:eastAsia="Calibri" w:cs="Times New Roman"/>
          <w:i/>
          <w:iCs/>
          <w:sz w:val="18"/>
          <w:szCs w:val="20"/>
        </w:rPr>
        <w:t xml:space="preserve">contact </w:t>
      </w:r>
      <w:r w:rsidR="005A51A9">
        <w:rPr>
          <w:rFonts w:eastAsia="Calibri" w:cs="Times New Roman"/>
          <w:i/>
          <w:iCs/>
          <w:sz w:val="18"/>
          <w:szCs w:val="20"/>
        </w:rPr>
        <w:br/>
      </w:r>
      <w:r w:rsidR="00F91D7A" w:rsidRPr="00C46145">
        <w:rPr>
          <w:rFonts w:eastAsia="Calibri" w:cs="Times New Roman"/>
          <w:i/>
          <w:iCs/>
          <w:sz w:val="18"/>
          <w:szCs w:val="20"/>
        </w:rPr>
        <w:t xml:space="preserve">the applicable state department of revenue </w:t>
      </w:r>
      <w:r w:rsidR="007F6056" w:rsidRPr="00C46145">
        <w:rPr>
          <w:rFonts w:eastAsia="Calibri" w:cs="Times New Roman"/>
          <w:i/>
          <w:iCs/>
          <w:sz w:val="18"/>
          <w:szCs w:val="20"/>
        </w:rPr>
        <w:t xml:space="preserve">or </w:t>
      </w:r>
      <w:r w:rsidR="005A51A9">
        <w:rPr>
          <w:rFonts w:eastAsia="Calibri" w:cs="Times New Roman"/>
          <w:i/>
          <w:iCs/>
          <w:sz w:val="18"/>
          <w:szCs w:val="20"/>
        </w:rPr>
        <w:t>their</w:t>
      </w:r>
      <w:r w:rsidR="007F6056" w:rsidRPr="00C46145">
        <w:rPr>
          <w:rFonts w:eastAsia="Calibri" w:cs="Times New Roman"/>
          <w:i/>
          <w:iCs/>
          <w:sz w:val="18"/>
          <w:szCs w:val="20"/>
        </w:rPr>
        <w:t xml:space="preserve"> </w:t>
      </w:r>
      <w:r w:rsidR="00F91D7A" w:rsidRPr="00C46145">
        <w:rPr>
          <w:rFonts w:eastAsia="Calibri" w:cs="Times New Roman"/>
          <w:i/>
          <w:iCs/>
          <w:sz w:val="18"/>
          <w:szCs w:val="20"/>
        </w:rPr>
        <w:t>tax advisor.</w:t>
      </w:r>
    </w:p>
    <w:p w14:paraId="78244FD6" w14:textId="23220B76" w:rsidR="00A471A0" w:rsidRPr="00A471A0" w:rsidRDefault="00A471A0" w:rsidP="00A471A0">
      <w:pPr>
        <w:rPr>
          <w:rFonts w:eastAsia="Calibri" w:cs="Times New Roman"/>
        </w:rPr>
      </w:pPr>
      <w:r w:rsidRPr="00A471A0">
        <w:rPr>
          <w:rFonts w:eastAsia="Calibri" w:cs="Times New Roman"/>
        </w:rPr>
        <w:t xml:space="preserve">Since the federal partnership rules do not address the </w:t>
      </w:r>
      <w:r w:rsidR="00A964C4">
        <w:rPr>
          <w:rFonts w:eastAsia="Calibri" w:cs="Times New Roman"/>
        </w:rPr>
        <w:t xml:space="preserve">state </w:t>
      </w:r>
      <w:r w:rsidRPr="00A471A0">
        <w:rPr>
          <w:rFonts w:eastAsia="Calibri" w:cs="Times New Roman"/>
        </w:rPr>
        <w:t xml:space="preserve">sourcing of guaranteed payments, </w:t>
      </w:r>
      <w:r w:rsidR="003A19B6">
        <w:rPr>
          <w:rFonts w:eastAsia="Calibri" w:cs="Times New Roman"/>
        </w:rPr>
        <w:t xml:space="preserve">and since it is not entirely clear which </w:t>
      </w:r>
      <w:r w:rsidR="00C33CE9">
        <w:rPr>
          <w:rFonts w:eastAsia="Calibri" w:cs="Times New Roman"/>
        </w:rPr>
        <w:t xml:space="preserve">of two general </w:t>
      </w:r>
      <w:r w:rsidR="003A19B6">
        <w:rPr>
          <w:rFonts w:eastAsia="Calibri" w:cs="Times New Roman"/>
        </w:rPr>
        <w:t>method</w:t>
      </w:r>
      <w:r w:rsidR="00C33CE9">
        <w:rPr>
          <w:rFonts w:eastAsia="Calibri" w:cs="Times New Roman"/>
        </w:rPr>
        <w:t>s</w:t>
      </w:r>
      <w:r w:rsidR="003A19B6">
        <w:rPr>
          <w:rFonts w:eastAsia="Calibri" w:cs="Times New Roman"/>
        </w:rPr>
        <w:t xml:space="preserve"> of sourcing </w:t>
      </w:r>
      <w:r w:rsidR="00C33CE9">
        <w:rPr>
          <w:rFonts w:eastAsia="Calibri" w:cs="Times New Roman"/>
        </w:rPr>
        <w:t>would be</w:t>
      </w:r>
      <w:r w:rsidR="003A19B6">
        <w:rPr>
          <w:rFonts w:eastAsia="Calibri" w:cs="Times New Roman"/>
        </w:rPr>
        <w:t xml:space="preserve"> most compatible with federal rules, </w:t>
      </w:r>
      <w:r w:rsidRPr="00A471A0">
        <w:rPr>
          <w:rFonts w:eastAsia="Calibri" w:cs="Times New Roman"/>
        </w:rPr>
        <w:t xml:space="preserve">state specific rules provide </w:t>
      </w:r>
      <w:r w:rsidR="00C33CE9">
        <w:rPr>
          <w:rFonts w:eastAsia="Calibri" w:cs="Times New Roman"/>
        </w:rPr>
        <w:t xml:space="preserve">necessary </w:t>
      </w:r>
      <w:r w:rsidRPr="00A471A0">
        <w:rPr>
          <w:rFonts w:eastAsia="Calibri" w:cs="Times New Roman"/>
        </w:rPr>
        <w:t>clarity. This section summarizes the rules in states that have addressed the sourcing of guaranteed payments</w:t>
      </w:r>
      <w:r w:rsidR="00F70E36">
        <w:rPr>
          <w:rFonts w:eastAsia="Calibri" w:cs="Times New Roman"/>
        </w:rPr>
        <w:t xml:space="preserve"> specifically</w:t>
      </w:r>
      <w:r w:rsidR="00634302">
        <w:rPr>
          <w:rFonts w:eastAsia="Calibri" w:cs="Times New Roman"/>
        </w:rPr>
        <w:t xml:space="preserve">. </w:t>
      </w:r>
      <w:r w:rsidR="00F70E36">
        <w:rPr>
          <w:rFonts w:eastAsia="Calibri" w:cs="Times New Roman"/>
        </w:rPr>
        <w:t>But r</w:t>
      </w:r>
      <w:r w:rsidR="005E3DC5">
        <w:rPr>
          <w:rFonts w:eastAsia="Calibri" w:cs="Times New Roman"/>
        </w:rPr>
        <w:t>oughly h</w:t>
      </w:r>
      <w:r w:rsidRPr="00A471A0">
        <w:rPr>
          <w:rFonts w:eastAsia="Calibri" w:cs="Times New Roman"/>
        </w:rPr>
        <w:t xml:space="preserve">alf the states have not yet explicitly addressed the sourcing of guaranteed payments. </w:t>
      </w:r>
    </w:p>
    <w:p w14:paraId="6BDF3354" w14:textId="0191E445" w:rsidR="00036D40" w:rsidRPr="00036D40" w:rsidRDefault="00036D40" w:rsidP="005D7A61">
      <w:pPr>
        <w:pStyle w:val="Heading2"/>
      </w:pPr>
      <w:bookmarkStart w:id="52" w:name="_Toc144634477"/>
      <w:bookmarkStart w:id="53" w:name="_Hlk132086685"/>
      <w:r w:rsidRPr="00036D40">
        <w:t>I</w:t>
      </w:r>
      <w:r w:rsidR="00464AC0">
        <w:t>V</w:t>
      </w:r>
      <w:r w:rsidRPr="00036D40">
        <w:t>. A.  Summary of Guaranteed Payment Issues Addressed by States</w:t>
      </w:r>
      <w:bookmarkEnd w:id="52"/>
      <w:r w:rsidRPr="00036D40">
        <w:t xml:space="preserve"> </w:t>
      </w:r>
    </w:p>
    <w:bookmarkEnd w:id="53"/>
    <w:p w14:paraId="0A2216A6" w14:textId="3232C6A3" w:rsidR="00A471A0" w:rsidRDefault="00A3152F" w:rsidP="00A471A0">
      <w:pPr>
        <w:rPr>
          <w:rFonts w:eastAsia="Calibri" w:cs="Times New Roman"/>
        </w:rPr>
      </w:pPr>
      <w:r>
        <w:rPr>
          <w:rFonts w:eastAsia="Calibri" w:cs="Times New Roman"/>
        </w:rPr>
        <w:t>S</w:t>
      </w:r>
      <w:r w:rsidR="00C02EAF" w:rsidRPr="00C02EAF">
        <w:rPr>
          <w:rFonts w:eastAsia="Calibri" w:cs="Times New Roman"/>
        </w:rPr>
        <w:t xml:space="preserve">tate </w:t>
      </w:r>
      <w:r>
        <w:rPr>
          <w:rFonts w:eastAsia="Calibri" w:cs="Times New Roman"/>
        </w:rPr>
        <w:t>guaranteed payment rules</w:t>
      </w:r>
      <w:r w:rsidR="00C02EAF" w:rsidRPr="00C02EAF">
        <w:rPr>
          <w:rFonts w:eastAsia="Calibri" w:cs="Times New Roman"/>
        </w:rPr>
        <w:t xml:space="preserve"> take varying approaches. This subsection I</w:t>
      </w:r>
      <w:r w:rsidR="00757A33">
        <w:rPr>
          <w:rFonts w:eastAsia="Calibri" w:cs="Times New Roman"/>
        </w:rPr>
        <w:t>V</w:t>
      </w:r>
      <w:r w:rsidR="00C02EAF" w:rsidRPr="00C02EAF">
        <w:rPr>
          <w:rFonts w:eastAsia="Calibri" w:cs="Times New Roman"/>
        </w:rPr>
        <w:t xml:space="preserve">. A. summarizes the issues states can address in </w:t>
      </w:r>
      <w:r w:rsidR="00B25BF7">
        <w:rPr>
          <w:rFonts w:eastAsia="Calibri" w:cs="Times New Roman"/>
        </w:rPr>
        <w:t xml:space="preserve">their </w:t>
      </w:r>
      <w:r w:rsidR="00C02EAF" w:rsidRPr="00C02EAF">
        <w:rPr>
          <w:rFonts w:eastAsia="Calibri" w:cs="Times New Roman"/>
        </w:rPr>
        <w:t>guaranteed payments rules and analyzes the current status of state rules on these issues. The specific state provisions are set forth in Section I</w:t>
      </w:r>
      <w:r w:rsidR="00F978A5">
        <w:rPr>
          <w:rFonts w:eastAsia="Calibri" w:cs="Times New Roman"/>
        </w:rPr>
        <w:t>V</w:t>
      </w:r>
      <w:r w:rsidR="00C02EAF" w:rsidRPr="00C02EAF">
        <w:rPr>
          <w:rFonts w:eastAsia="Calibri" w:cs="Times New Roman"/>
        </w:rPr>
        <w:t>. B. below.</w:t>
      </w:r>
    </w:p>
    <w:p w14:paraId="512047DF" w14:textId="71ECBB18" w:rsidR="005773A1" w:rsidRPr="005773A1" w:rsidRDefault="005773A1" w:rsidP="005E0F6E">
      <w:pPr>
        <w:pStyle w:val="Heading4"/>
        <w:pBdr>
          <w:bottom w:val="single" w:sz="4" w:space="1" w:color="auto"/>
        </w:pBdr>
        <w:ind w:left="720"/>
      </w:pPr>
      <w:r w:rsidRPr="005773A1">
        <w:t xml:space="preserve">Are </w:t>
      </w:r>
      <w:r w:rsidR="002E0B91">
        <w:t>g</w:t>
      </w:r>
      <w:r w:rsidRPr="005773A1">
        <w:t xml:space="preserve">uaranteed </w:t>
      </w:r>
      <w:r w:rsidR="002E0B91">
        <w:t>p</w:t>
      </w:r>
      <w:r w:rsidRPr="005773A1">
        <w:t xml:space="preserve">ayments for </w:t>
      </w:r>
      <w:r w:rsidR="002E0B91">
        <w:t>s</w:t>
      </w:r>
      <w:r w:rsidRPr="005773A1">
        <w:t xml:space="preserve">ervices </w:t>
      </w:r>
      <w:r w:rsidR="002E0B91">
        <w:t>g</w:t>
      </w:r>
      <w:r w:rsidRPr="005773A1">
        <w:t xml:space="preserve">enerally </w:t>
      </w:r>
      <w:r w:rsidR="002E0B91">
        <w:t>s</w:t>
      </w:r>
      <w:r w:rsidRPr="005773A1">
        <w:t xml:space="preserve">ourced the </w:t>
      </w:r>
      <w:r w:rsidR="002E0B91">
        <w:t>s</w:t>
      </w:r>
      <w:r w:rsidRPr="005773A1">
        <w:t xml:space="preserve">ame as </w:t>
      </w:r>
      <w:r w:rsidR="002E0B91">
        <w:t>d</w:t>
      </w:r>
      <w:r w:rsidRPr="005773A1">
        <w:t xml:space="preserve">istributive </w:t>
      </w:r>
      <w:r w:rsidR="002E0B91">
        <w:t>s</w:t>
      </w:r>
      <w:r w:rsidRPr="005773A1">
        <w:t>hare?</w:t>
      </w:r>
    </w:p>
    <w:p w14:paraId="0063FF7F" w14:textId="6126AA1F" w:rsidR="00CA31DD" w:rsidRDefault="005773A1" w:rsidP="000C5BDA">
      <w:pPr>
        <w:spacing w:before="240" w:after="240"/>
        <w:ind w:left="720"/>
        <w:rPr>
          <w:rFonts w:eastAsia="Calibri" w:cs="Times New Roman"/>
        </w:rPr>
      </w:pPr>
      <w:r w:rsidRPr="005773A1">
        <w:rPr>
          <w:rFonts w:eastAsia="Calibri" w:cs="Times New Roman"/>
        </w:rPr>
        <w:t xml:space="preserve">Twenty-one (21) states have rules indicating that guaranteed payments </w:t>
      </w:r>
      <w:r w:rsidR="00C80270">
        <w:rPr>
          <w:rFonts w:eastAsia="Calibri" w:cs="Times New Roman"/>
        </w:rPr>
        <w:t>paid to</w:t>
      </w:r>
      <w:r w:rsidRPr="005773A1">
        <w:rPr>
          <w:rFonts w:eastAsia="Calibri" w:cs="Times New Roman"/>
        </w:rPr>
        <w:t xml:space="preserve"> individual</w:t>
      </w:r>
      <w:r w:rsidR="00C80270">
        <w:rPr>
          <w:rFonts w:eastAsia="Calibri" w:cs="Times New Roman"/>
        </w:rPr>
        <w:t>s for</w:t>
      </w:r>
      <w:r w:rsidRPr="005773A1">
        <w:rPr>
          <w:rFonts w:eastAsia="Calibri" w:cs="Times New Roman"/>
        </w:rPr>
        <w:t xml:space="preserve"> services are</w:t>
      </w:r>
      <w:r w:rsidR="00AA4A1A">
        <w:rPr>
          <w:rFonts w:eastAsia="Calibri" w:cs="Times New Roman"/>
        </w:rPr>
        <w:t xml:space="preserve"> generally</w:t>
      </w:r>
      <w:r w:rsidRPr="005773A1">
        <w:rPr>
          <w:rFonts w:eastAsia="Calibri" w:cs="Times New Roman"/>
        </w:rPr>
        <w:t xml:space="preserve"> sourced the same as distributive share (Alabama, California, Georgia, Illinois, Maine, Maryland, Massachusetts, Minnesota, Mississippi, Missouri, Nebraska, New Jersey, New York, North Carolina, Ohio, Oregon, Pennsylvania, Rhode Island, Utah, Vermont, and West Virginia).</w:t>
      </w:r>
    </w:p>
    <w:p w14:paraId="317456E7" w14:textId="2A9CC892" w:rsidR="00FE4C13" w:rsidRPr="00FE4C13" w:rsidRDefault="002E0B91" w:rsidP="005E0F6E">
      <w:pPr>
        <w:pStyle w:val="Heading4"/>
        <w:pBdr>
          <w:bottom w:val="single" w:sz="4" w:space="1" w:color="auto"/>
        </w:pBdr>
        <w:ind w:left="720"/>
      </w:pPr>
      <w:r w:rsidRPr="00FE4C13">
        <w:t>If guaranteed payments for services are not sourced the same as distributive share, how are they sourced?</w:t>
      </w:r>
    </w:p>
    <w:p w14:paraId="5736ACEA" w14:textId="34862103" w:rsidR="00FE4C13" w:rsidRDefault="00FE4C13" w:rsidP="000C5BDA">
      <w:pPr>
        <w:spacing w:before="240" w:after="240"/>
        <w:ind w:left="720"/>
        <w:rPr>
          <w:rFonts w:eastAsia="Calibri" w:cs="Times New Roman"/>
        </w:rPr>
      </w:pPr>
      <w:r w:rsidRPr="00FE4C13">
        <w:rPr>
          <w:rFonts w:eastAsia="Calibri" w:cs="Times New Roman"/>
        </w:rPr>
        <w:t>Six (6) states source guaranteed payments for services where the individual services are performed (Colorado, Michigan, Montana, New Mexico, South Carolina, and Virginia). Two (2) states use a hybrid approach for the sourcing of guaranteed payments for services</w:t>
      </w:r>
      <w:r w:rsidR="006136DF">
        <w:rPr>
          <w:rFonts w:eastAsia="Calibri" w:cs="Times New Roman"/>
        </w:rPr>
        <w:t xml:space="preserve"> </w:t>
      </w:r>
      <w:r w:rsidR="006136DF" w:rsidRPr="00FE4C13">
        <w:rPr>
          <w:rFonts w:eastAsia="Calibri" w:cs="Times New Roman"/>
        </w:rPr>
        <w:t>(Idaho and North Dakota)</w:t>
      </w:r>
      <w:r w:rsidRPr="00FE4C13">
        <w:rPr>
          <w:rFonts w:eastAsia="Calibri" w:cs="Times New Roman"/>
        </w:rPr>
        <w:t xml:space="preserve">. Idaho sources the first $250,000 of a guaranteed payment to an individual partner as compensation for services, and any amount in excess of that is sourced like distributive share based upon the Idaho apportionment factor </w:t>
      </w:r>
      <w:r w:rsidR="00F11718">
        <w:rPr>
          <w:rFonts w:eastAsia="Calibri" w:cs="Times New Roman"/>
        </w:rPr>
        <w:t>for</w:t>
      </w:r>
      <w:r w:rsidRPr="00FE4C13">
        <w:rPr>
          <w:rFonts w:eastAsia="Calibri" w:cs="Times New Roman"/>
        </w:rPr>
        <w:t xml:space="preserve"> the partnership. The $250,000 amount is indexed annually for inflation. North Dakota sources guaranteed payments for services as distributive share, except for professional service partnerships w</w:t>
      </w:r>
      <w:r w:rsidR="000A331F">
        <w:rPr>
          <w:rFonts w:eastAsia="Calibri" w:cs="Times New Roman"/>
        </w:rPr>
        <w:t xml:space="preserve">here guaranteed payments are </w:t>
      </w:r>
      <w:r w:rsidRPr="00FE4C13">
        <w:rPr>
          <w:rFonts w:eastAsia="Calibri" w:cs="Times New Roman"/>
        </w:rPr>
        <w:t>source</w:t>
      </w:r>
      <w:r w:rsidR="00600614">
        <w:rPr>
          <w:rFonts w:eastAsia="Calibri" w:cs="Times New Roman"/>
        </w:rPr>
        <w:t>d</w:t>
      </w:r>
      <w:r w:rsidRPr="00FE4C13">
        <w:rPr>
          <w:rFonts w:eastAsia="Calibri" w:cs="Times New Roman"/>
        </w:rPr>
        <w:t xml:space="preserve"> </w:t>
      </w:r>
      <w:r w:rsidR="008F0DE7">
        <w:rPr>
          <w:rFonts w:eastAsia="Calibri" w:cs="Times New Roman"/>
        </w:rPr>
        <w:t xml:space="preserve">as compensation </w:t>
      </w:r>
      <w:r w:rsidR="00C450E4">
        <w:rPr>
          <w:rFonts w:eastAsia="Calibri" w:cs="Times New Roman"/>
        </w:rPr>
        <w:t>in an amount</w:t>
      </w:r>
      <w:r w:rsidRPr="00FE4C13">
        <w:rPr>
          <w:rFonts w:eastAsia="Calibri" w:cs="Times New Roman"/>
        </w:rPr>
        <w:t xml:space="preserve"> attributable to a reasonable salary</w:t>
      </w:r>
      <w:r w:rsidR="008F0DE7">
        <w:rPr>
          <w:rFonts w:eastAsia="Calibri" w:cs="Times New Roman"/>
        </w:rPr>
        <w:t>.</w:t>
      </w:r>
    </w:p>
    <w:p w14:paraId="7051F4E6" w14:textId="0227FD2D" w:rsidR="0015055E" w:rsidRPr="00FE4C13" w:rsidRDefault="0015055E" w:rsidP="000C5BDA">
      <w:pPr>
        <w:spacing w:before="240" w:after="240"/>
        <w:ind w:left="720"/>
        <w:rPr>
          <w:rFonts w:eastAsia="Calibri" w:cs="Times New Roman"/>
        </w:rPr>
      </w:pPr>
      <w:r w:rsidRPr="0015055E">
        <w:rPr>
          <w:rFonts w:eastAsia="Calibri" w:cs="Times New Roman"/>
        </w:rPr>
        <w:t>Note that while this white paper does not address the sourcing of guaranteed payments for the use of capital, it appears that</w:t>
      </w:r>
      <w:r w:rsidR="0092280E">
        <w:rPr>
          <w:rFonts w:eastAsia="Calibri" w:cs="Times New Roman"/>
        </w:rPr>
        <w:t>, to the extent states have addressed their sourcing,</w:t>
      </w:r>
      <w:r w:rsidRPr="0015055E">
        <w:rPr>
          <w:rFonts w:eastAsia="Calibri" w:cs="Times New Roman"/>
        </w:rPr>
        <w:t xml:space="preserve"> </w:t>
      </w:r>
      <w:r w:rsidRPr="000F64E5">
        <w:rPr>
          <w:rFonts w:eastAsia="Calibri" w:cs="Times New Roman"/>
        </w:rPr>
        <w:t xml:space="preserve">Michigan and Pennsylvania </w:t>
      </w:r>
      <w:r w:rsidR="0092280E">
        <w:rPr>
          <w:rFonts w:eastAsia="Calibri" w:cs="Times New Roman"/>
        </w:rPr>
        <w:t xml:space="preserve">them </w:t>
      </w:r>
      <w:r w:rsidRPr="000F64E5">
        <w:rPr>
          <w:rFonts w:eastAsia="Calibri" w:cs="Times New Roman"/>
        </w:rPr>
        <w:t>based on domicile</w:t>
      </w:r>
      <w:r w:rsidR="0092280E">
        <w:rPr>
          <w:rFonts w:eastAsia="Calibri" w:cs="Times New Roman"/>
        </w:rPr>
        <w:t xml:space="preserve">, Colorado </w:t>
      </w:r>
      <w:r w:rsidRPr="000F64E5">
        <w:rPr>
          <w:rFonts w:eastAsia="Calibri" w:cs="Times New Roman"/>
        </w:rPr>
        <w:t>allocate</w:t>
      </w:r>
      <w:r w:rsidR="0092280E">
        <w:rPr>
          <w:rFonts w:eastAsia="Calibri" w:cs="Times New Roman"/>
        </w:rPr>
        <w:t>s</w:t>
      </w:r>
      <w:r w:rsidRPr="000F64E5">
        <w:rPr>
          <w:rFonts w:eastAsia="Calibri" w:cs="Times New Roman"/>
        </w:rPr>
        <w:t xml:space="preserve"> or apportion</w:t>
      </w:r>
      <w:r w:rsidR="0092280E">
        <w:rPr>
          <w:rFonts w:eastAsia="Calibri" w:cs="Times New Roman"/>
        </w:rPr>
        <w:t>s</w:t>
      </w:r>
      <w:r w:rsidRPr="000F64E5">
        <w:rPr>
          <w:rFonts w:eastAsia="Calibri" w:cs="Times New Roman"/>
        </w:rPr>
        <w:t xml:space="preserve"> </w:t>
      </w:r>
      <w:r w:rsidR="0092280E">
        <w:rPr>
          <w:rFonts w:eastAsia="Calibri" w:cs="Times New Roman"/>
        </w:rPr>
        <w:t xml:space="preserve">them </w:t>
      </w:r>
      <w:r w:rsidRPr="000F64E5">
        <w:rPr>
          <w:rFonts w:eastAsia="Calibri" w:cs="Times New Roman"/>
        </w:rPr>
        <w:t>based on the income-generating activity</w:t>
      </w:r>
      <w:r w:rsidR="0092280E">
        <w:rPr>
          <w:rFonts w:eastAsia="Calibri" w:cs="Times New Roman"/>
        </w:rPr>
        <w:t>, and twenty states generally source these payments the same as distributive share.</w:t>
      </w:r>
      <w:r w:rsidR="0092280E">
        <w:rPr>
          <w:rStyle w:val="FootnoteReference"/>
          <w:rFonts w:eastAsia="Calibri" w:cs="Times New Roman"/>
        </w:rPr>
        <w:footnoteReference w:id="18"/>
      </w:r>
      <w:r w:rsidR="0092280E">
        <w:rPr>
          <w:rFonts w:eastAsia="Calibri" w:cs="Times New Roman"/>
        </w:rPr>
        <w:t xml:space="preserve"> </w:t>
      </w:r>
    </w:p>
    <w:p w14:paraId="67947468" w14:textId="3205C6FE" w:rsidR="00FE4C13" w:rsidRPr="00FE4C13" w:rsidRDefault="002E0B91" w:rsidP="005E0F6E">
      <w:pPr>
        <w:pStyle w:val="Heading4"/>
        <w:pBdr>
          <w:bottom w:val="single" w:sz="4" w:space="1" w:color="auto"/>
        </w:pBdr>
        <w:ind w:left="720"/>
      </w:pPr>
      <w:r>
        <w:t>A</w:t>
      </w:r>
      <w:r w:rsidRPr="00FE4C13">
        <w:t>re there any rules limiting the sourcing for guaranteed payments for services?</w:t>
      </w:r>
    </w:p>
    <w:p w14:paraId="4542AD19" w14:textId="13830725" w:rsidR="00FE4C13" w:rsidRPr="00FE4C13" w:rsidRDefault="00647FC0" w:rsidP="000C5BDA">
      <w:pPr>
        <w:spacing w:before="240" w:after="240"/>
        <w:ind w:left="720"/>
        <w:rPr>
          <w:rFonts w:eastAsia="Calibri" w:cs="Times New Roman"/>
        </w:rPr>
      </w:pPr>
      <w:r>
        <w:rPr>
          <w:rFonts w:eastAsia="Calibri" w:cs="Times New Roman"/>
        </w:rPr>
        <w:t xml:space="preserve">As noted in Section II above, </w:t>
      </w:r>
      <w:r w:rsidRPr="00FE4C13">
        <w:rPr>
          <w:rFonts w:eastAsia="Calibri" w:cs="Times New Roman"/>
        </w:rPr>
        <w:t>4 U.S.C. § 114 provides that “[n]o State may impose an income tax on any retirement income of an individual who is not a resident or domiciliary of such State.”</w:t>
      </w:r>
      <w:r>
        <w:rPr>
          <w:rFonts w:eastAsia="Calibri" w:cs="Times New Roman"/>
        </w:rPr>
        <w:t xml:space="preserve"> This applies to guaranteed payments made to retired partners. </w:t>
      </w:r>
      <w:r w:rsidR="00FE4C13" w:rsidRPr="00FE4C13">
        <w:rPr>
          <w:rFonts w:eastAsia="Calibri" w:cs="Times New Roman"/>
        </w:rPr>
        <w:t xml:space="preserve">Four (4) states have specific sourcing rules </w:t>
      </w:r>
      <w:r>
        <w:rPr>
          <w:rFonts w:eastAsia="Calibri" w:cs="Times New Roman"/>
        </w:rPr>
        <w:t xml:space="preserve">addressing </w:t>
      </w:r>
      <w:r w:rsidR="00FE4C13" w:rsidRPr="00FE4C13">
        <w:rPr>
          <w:rFonts w:eastAsia="Calibri" w:cs="Times New Roman"/>
        </w:rPr>
        <w:t xml:space="preserve">guaranteed payments </w:t>
      </w:r>
      <w:r w:rsidR="00355EBE">
        <w:rPr>
          <w:rFonts w:eastAsia="Calibri" w:cs="Times New Roman"/>
        </w:rPr>
        <w:t>made to</w:t>
      </w:r>
      <w:r w:rsidR="00FE4C13" w:rsidRPr="00FE4C13">
        <w:rPr>
          <w:rFonts w:eastAsia="Calibri" w:cs="Times New Roman"/>
        </w:rPr>
        <w:t xml:space="preserve"> retired partners (Idaho, Montana, New Jersey, and Pennsylvania). </w:t>
      </w:r>
    </w:p>
    <w:p w14:paraId="29F76077" w14:textId="0F7D283E" w:rsidR="00FE4C13" w:rsidRPr="00FE4C13" w:rsidRDefault="002E0B91" w:rsidP="005E0F6E">
      <w:pPr>
        <w:pStyle w:val="Heading4"/>
        <w:pBdr>
          <w:bottom w:val="single" w:sz="4" w:space="1" w:color="auto"/>
        </w:pBdr>
        <w:ind w:left="720"/>
      </w:pPr>
      <w:r>
        <w:lastRenderedPageBreak/>
        <w:t>A</w:t>
      </w:r>
      <w:r w:rsidRPr="00FE4C13">
        <w:t>re guaranteed payments for services included in the payroll factor?</w:t>
      </w:r>
    </w:p>
    <w:p w14:paraId="123C7A8B" w14:textId="10B173C1" w:rsidR="00FE4C13" w:rsidRPr="00FE4C13" w:rsidRDefault="00B24426" w:rsidP="000C5BDA">
      <w:pPr>
        <w:spacing w:before="240" w:after="240"/>
        <w:ind w:left="720"/>
        <w:rPr>
          <w:rFonts w:eastAsia="Calibri" w:cs="Times New Roman"/>
        </w:rPr>
      </w:pPr>
      <w:r>
        <w:rPr>
          <w:rFonts w:eastAsia="Calibri" w:cs="Times New Roman"/>
        </w:rPr>
        <w:t>Traditionally, states apportioned business income using a formula that included sales, property, and payroll factors—that is—ratios of in-state sales, property, and payroll to the totals both in and outside of the state. Today, most</w:t>
      </w:r>
      <w:r w:rsidR="00FE4C13" w:rsidRPr="00FE4C13">
        <w:rPr>
          <w:rFonts w:eastAsia="Calibri" w:cs="Times New Roman"/>
        </w:rPr>
        <w:t xml:space="preserve"> states either do not have a payroll factor or do not have a provision specifically addressing how guaranteed payments for services should be treated for purposes of the payroll factor. However, </w:t>
      </w:r>
      <w:r w:rsidR="00F703F2">
        <w:rPr>
          <w:rFonts w:eastAsia="Calibri" w:cs="Times New Roman"/>
        </w:rPr>
        <w:t xml:space="preserve">for periods when they used a payroll factor, </w:t>
      </w:r>
      <w:r w:rsidR="00FE4C13" w:rsidRPr="00FE4C13">
        <w:rPr>
          <w:rFonts w:eastAsia="Calibri" w:cs="Times New Roman"/>
        </w:rPr>
        <w:t xml:space="preserve">California </w:t>
      </w:r>
      <w:r w:rsidR="00F703F2">
        <w:rPr>
          <w:rFonts w:eastAsia="Calibri" w:cs="Times New Roman"/>
        </w:rPr>
        <w:t>applies a</w:t>
      </w:r>
      <w:r w:rsidR="00FE4C13" w:rsidRPr="00FE4C13">
        <w:rPr>
          <w:rFonts w:eastAsia="Calibri" w:cs="Times New Roman"/>
        </w:rPr>
        <w:t xml:space="preserve"> special payroll factor rule for guaranteed payments </w:t>
      </w:r>
      <w:r w:rsidR="00C24D9E">
        <w:rPr>
          <w:rFonts w:eastAsia="Calibri" w:cs="Times New Roman"/>
        </w:rPr>
        <w:t xml:space="preserve">made </w:t>
      </w:r>
      <w:r w:rsidR="00FE4C13" w:rsidRPr="00FE4C13">
        <w:rPr>
          <w:rFonts w:eastAsia="Calibri" w:cs="Times New Roman"/>
        </w:rPr>
        <w:t xml:space="preserve">to a partner who renders professional services to a partnership engaged in the practice of a profession. Oregon also has a rule including certain guaranteed payments representing compensation </w:t>
      </w:r>
      <w:r w:rsidR="0032144B">
        <w:rPr>
          <w:rFonts w:eastAsia="Calibri" w:cs="Times New Roman"/>
        </w:rPr>
        <w:t xml:space="preserve">for </w:t>
      </w:r>
      <w:r w:rsidR="00FE4C13" w:rsidRPr="00FE4C13">
        <w:rPr>
          <w:rFonts w:eastAsia="Calibri" w:cs="Times New Roman"/>
        </w:rPr>
        <w:t xml:space="preserve">services for payroll factor purposes. </w:t>
      </w:r>
    </w:p>
    <w:p w14:paraId="03959F79" w14:textId="6EDA2EE7" w:rsidR="002D1208" w:rsidRPr="002D1208" w:rsidRDefault="00EB2201" w:rsidP="002D1208">
      <w:pPr>
        <w:keepNext/>
        <w:keepLines/>
        <w:pBdr>
          <w:bottom w:val="single" w:sz="4" w:space="1" w:color="auto"/>
        </w:pBdr>
        <w:spacing w:before="160" w:after="80"/>
        <w:ind w:left="720"/>
        <w:outlineLvl w:val="3"/>
        <w:rPr>
          <w:rFonts w:asciiTheme="majorHAnsi" w:eastAsiaTheme="majorEastAsia" w:hAnsiTheme="majorHAnsi" w:cstheme="majorBidi"/>
          <w:iCs/>
          <w:color w:val="851C00" w:themeColor="accent6" w:themeShade="BF"/>
        </w:rPr>
      </w:pPr>
      <w:r>
        <w:rPr>
          <w:rFonts w:asciiTheme="majorHAnsi" w:eastAsiaTheme="majorEastAsia" w:hAnsiTheme="majorHAnsi" w:cstheme="majorBidi"/>
          <w:iCs/>
          <w:color w:val="851C00" w:themeColor="accent6" w:themeShade="BF"/>
        </w:rPr>
        <w:t>If</w:t>
      </w:r>
      <w:r w:rsidR="002D1208" w:rsidRPr="002D1208">
        <w:rPr>
          <w:rFonts w:asciiTheme="majorHAnsi" w:eastAsiaTheme="majorEastAsia" w:hAnsiTheme="majorHAnsi" w:cstheme="majorBidi"/>
          <w:iCs/>
          <w:color w:val="851C00" w:themeColor="accent6" w:themeShade="BF"/>
        </w:rPr>
        <w:t xml:space="preserve"> guaranteed payments </w:t>
      </w:r>
      <w:r>
        <w:rPr>
          <w:rFonts w:asciiTheme="majorHAnsi" w:eastAsiaTheme="majorEastAsia" w:hAnsiTheme="majorHAnsi" w:cstheme="majorBidi"/>
          <w:iCs/>
          <w:color w:val="851C00" w:themeColor="accent6" w:themeShade="BF"/>
        </w:rPr>
        <w:t xml:space="preserve">are included in </w:t>
      </w:r>
      <w:r w:rsidR="002D1208" w:rsidRPr="002D1208">
        <w:rPr>
          <w:rFonts w:asciiTheme="majorHAnsi" w:eastAsiaTheme="majorEastAsia" w:hAnsiTheme="majorHAnsi" w:cstheme="majorBidi"/>
          <w:iCs/>
          <w:color w:val="851C00" w:themeColor="accent6" w:themeShade="BF"/>
        </w:rPr>
        <w:t>pass-through entity tax</w:t>
      </w:r>
      <w:r>
        <w:rPr>
          <w:rFonts w:asciiTheme="majorHAnsi" w:eastAsiaTheme="majorEastAsia" w:hAnsiTheme="majorHAnsi" w:cstheme="majorBidi"/>
          <w:iCs/>
          <w:color w:val="851C00" w:themeColor="accent6" w:themeShade="BF"/>
        </w:rPr>
        <w:t>es</w:t>
      </w:r>
      <w:r w:rsidR="002D1208" w:rsidRPr="002D1208">
        <w:rPr>
          <w:rFonts w:asciiTheme="majorHAnsi" w:eastAsiaTheme="majorEastAsia" w:hAnsiTheme="majorHAnsi" w:cstheme="majorBidi"/>
          <w:iCs/>
          <w:color w:val="851C00" w:themeColor="accent6" w:themeShade="BF"/>
        </w:rPr>
        <w:t xml:space="preserve"> </w:t>
      </w:r>
      <w:r>
        <w:rPr>
          <w:rFonts w:asciiTheme="majorHAnsi" w:eastAsiaTheme="majorEastAsia" w:hAnsiTheme="majorHAnsi" w:cstheme="majorBidi"/>
          <w:iCs/>
          <w:color w:val="851C00" w:themeColor="accent6" w:themeShade="BF"/>
        </w:rPr>
        <w:t>are they sourced in the same manner as if reported by partners</w:t>
      </w:r>
      <w:r w:rsidR="002D1208" w:rsidRPr="002D1208">
        <w:rPr>
          <w:rFonts w:asciiTheme="majorHAnsi" w:eastAsiaTheme="majorEastAsia" w:hAnsiTheme="majorHAnsi" w:cstheme="majorBidi"/>
          <w:iCs/>
          <w:color w:val="851C00" w:themeColor="accent6" w:themeShade="BF"/>
        </w:rPr>
        <w:t xml:space="preserve">? </w:t>
      </w:r>
    </w:p>
    <w:p w14:paraId="1E138BB3" w14:textId="6D7C81A6" w:rsidR="002D1208" w:rsidRPr="002D1208" w:rsidRDefault="00352D1C" w:rsidP="002D1208">
      <w:pPr>
        <w:spacing w:before="240"/>
        <w:ind w:left="720"/>
        <w:rPr>
          <w:rFonts w:eastAsia="Calibri" w:cs="Times New Roman"/>
        </w:rPr>
      </w:pPr>
      <w:r>
        <w:rPr>
          <w:rFonts w:eastAsia="Calibri" w:cs="Times New Roman"/>
        </w:rPr>
        <w:t xml:space="preserve">As of August 2023, </w:t>
      </w:r>
      <w:r w:rsidR="002D1208" w:rsidRPr="002D1208">
        <w:rPr>
          <w:rFonts w:eastAsia="Calibri" w:cs="Times New Roman"/>
        </w:rPr>
        <w:t xml:space="preserve">sixteen (16) states </w:t>
      </w:r>
      <w:r w:rsidR="00DA1F5F">
        <w:rPr>
          <w:rFonts w:eastAsia="Calibri" w:cs="Times New Roman"/>
        </w:rPr>
        <w:t xml:space="preserve">that have enacted pass-through entity taxes </w:t>
      </w:r>
      <w:r w:rsidR="002D1208" w:rsidRPr="002D1208">
        <w:rPr>
          <w:rFonts w:eastAsia="Calibri" w:cs="Times New Roman"/>
        </w:rPr>
        <w:t>have addressed whether guaranteed payments are included or excluded from the entity</w:t>
      </w:r>
      <w:r w:rsidR="00DA1F5F">
        <w:rPr>
          <w:rFonts w:eastAsia="Calibri" w:cs="Times New Roman"/>
        </w:rPr>
        <w:t>’s</w:t>
      </w:r>
      <w:r w:rsidR="002D1208" w:rsidRPr="002D1208">
        <w:rPr>
          <w:rFonts w:eastAsia="Calibri" w:cs="Times New Roman"/>
        </w:rPr>
        <w:t xml:space="preserve"> tax base (Alabama, California, Connecticut, Kansas, Maryland, Massachusetts, Michigan, New Jersey, New Mexico, New York, North Carolina, Oregon, Rhode Island, South Carolina, Virginia, and Wisconsin). </w:t>
      </w:r>
      <w:r w:rsidR="008973F8">
        <w:rPr>
          <w:rFonts w:eastAsia="Calibri" w:cs="Times New Roman"/>
        </w:rPr>
        <w:t>O</w:t>
      </w:r>
      <w:r w:rsidR="002D1208" w:rsidRPr="002D1208">
        <w:rPr>
          <w:rFonts w:eastAsia="Calibri" w:cs="Times New Roman"/>
        </w:rPr>
        <w:t xml:space="preserve">ther states with pass-through entity taxes do not address guaranteed payments. </w:t>
      </w:r>
    </w:p>
    <w:p w14:paraId="6EE301FB" w14:textId="77777777" w:rsidR="002D1208" w:rsidRPr="002D1208" w:rsidRDefault="002D1208" w:rsidP="002D1208">
      <w:pPr>
        <w:ind w:left="720"/>
        <w:rPr>
          <w:rFonts w:eastAsia="Calibri" w:cs="Times New Roman"/>
        </w:rPr>
      </w:pPr>
      <w:r w:rsidRPr="002D1208">
        <w:rPr>
          <w:rFonts w:eastAsia="Calibri" w:cs="Times New Roman"/>
        </w:rPr>
        <w:t xml:space="preserve">If the pass-through entity tax base is apportioned and the guaranteed payment is included in the base, presumably  guaranteed payments would be sourced the same as distributive share. For instance, Alabama has a pass-through entity tax rule stating that taxable income includes guaranteed payments and that taxable income is apportioned. </w:t>
      </w:r>
    </w:p>
    <w:p w14:paraId="15CFDD9E" w14:textId="6AADC280" w:rsidR="002D1208" w:rsidRPr="002D1208" w:rsidRDefault="002D1208" w:rsidP="002D1208">
      <w:pPr>
        <w:ind w:left="720"/>
        <w:rPr>
          <w:rFonts w:eastAsia="Calibri" w:cs="Times New Roman"/>
        </w:rPr>
      </w:pPr>
      <w:r w:rsidRPr="002D1208">
        <w:rPr>
          <w:rFonts w:eastAsia="Calibri" w:cs="Times New Roman"/>
        </w:rPr>
        <w:t xml:space="preserve">The treatment of guaranteed payments for pass-through entity tax purposes is important to consider for ensuring consistency in sourcing. </w:t>
      </w:r>
      <w:r w:rsidR="00635715">
        <w:rPr>
          <w:rFonts w:eastAsia="Calibri" w:cs="Times New Roman"/>
        </w:rPr>
        <w:t>If</w:t>
      </w:r>
      <w:r w:rsidRPr="002D1208">
        <w:rPr>
          <w:rFonts w:eastAsia="Calibri" w:cs="Times New Roman"/>
        </w:rPr>
        <w:t xml:space="preserve"> a state taxes guaranteed payments like compensation for personal income tax purposes but as distributive share for pass-through entity tax purposes, the pass-through entity tax election could become, in effect, a sourcing election.</w:t>
      </w:r>
      <w:r w:rsidR="0001290A">
        <w:rPr>
          <w:rFonts w:eastAsia="Calibri" w:cs="Times New Roman"/>
        </w:rPr>
        <w:t xml:space="preserve"> But also, states typically give residents some kind of offset for their share of PTE tax agains</w:t>
      </w:r>
      <w:r w:rsidR="0065381C">
        <w:rPr>
          <w:rFonts w:eastAsia="Calibri" w:cs="Times New Roman"/>
        </w:rPr>
        <w:t>t</w:t>
      </w:r>
      <w:r w:rsidR="0001290A">
        <w:rPr>
          <w:rFonts w:eastAsia="Calibri" w:cs="Times New Roman"/>
        </w:rPr>
        <w:t xml:space="preserve"> the tax that would be paid by the partners individually, so the sourcing under both the entity-level tax and under the pass-through </w:t>
      </w:r>
      <w:r w:rsidR="0065381C">
        <w:rPr>
          <w:rFonts w:eastAsia="Calibri" w:cs="Times New Roman"/>
        </w:rPr>
        <w:t>tax, applied to the partners, should be the same.</w:t>
      </w:r>
    </w:p>
    <w:p w14:paraId="3535DAA6" w14:textId="0927B86D" w:rsidR="00FE4C13" w:rsidRPr="00FE4C13" w:rsidRDefault="002E0B91" w:rsidP="005E0F6E">
      <w:pPr>
        <w:pStyle w:val="Heading4"/>
        <w:pBdr>
          <w:bottom w:val="single" w:sz="4" w:space="1" w:color="auto"/>
        </w:pBdr>
        <w:ind w:left="720"/>
      </w:pPr>
      <w:r>
        <w:t>I</w:t>
      </w:r>
      <w:r w:rsidRPr="00FE4C13">
        <w:t>f guaranteed payments for services are sourced as compensation either generally or for p</w:t>
      </w:r>
      <w:r>
        <w:t xml:space="preserve">ass-through entity tax </w:t>
      </w:r>
      <w:r w:rsidRPr="00FE4C13">
        <w:t xml:space="preserve">purposes—does the state also give a credit to residents for tax paid to another state on a portion of the guaranteed payment </w:t>
      </w:r>
      <w:r>
        <w:t>s</w:t>
      </w:r>
      <w:r w:rsidRPr="00FE4C13">
        <w:t>ourced to that state?</w:t>
      </w:r>
    </w:p>
    <w:p w14:paraId="6E11D5F6" w14:textId="7F5C4C74" w:rsidR="00FE4C13" w:rsidRDefault="00FE4C13" w:rsidP="000C5BDA">
      <w:pPr>
        <w:spacing w:before="240" w:after="240"/>
        <w:ind w:left="720"/>
        <w:rPr>
          <w:rFonts w:eastAsia="Calibri" w:cs="Times New Roman"/>
        </w:rPr>
      </w:pPr>
      <w:r w:rsidRPr="00FE4C13">
        <w:rPr>
          <w:rFonts w:eastAsia="Calibri" w:cs="Times New Roman"/>
        </w:rPr>
        <w:t xml:space="preserve">There is not a clear answer to this question. Clear statutory language about the treatment of guaranteed payments in resident credit provisions would reduce this uncertainty. Although most states have resident credits and approximately 28 states may allow the resident credit for </w:t>
      </w:r>
      <w:r w:rsidR="000E7878">
        <w:rPr>
          <w:rFonts w:eastAsia="Calibri" w:cs="Times New Roman"/>
        </w:rPr>
        <w:t>pass-through entity</w:t>
      </w:r>
      <w:r w:rsidRPr="00FE4C13">
        <w:rPr>
          <w:rFonts w:eastAsia="Calibri" w:cs="Times New Roman"/>
        </w:rPr>
        <w:t xml:space="preserve"> taxes paid by the entity in another state</w:t>
      </w:r>
      <w:r w:rsidR="00E25708">
        <w:rPr>
          <w:rFonts w:eastAsia="Calibri" w:cs="Times New Roman"/>
        </w:rPr>
        <w:t>—</w:t>
      </w:r>
      <w:r w:rsidRPr="00FE4C13">
        <w:rPr>
          <w:rFonts w:eastAsia="Calibri" w:cs="Times New Roman"/>
        </w:rPr>
        <w:t>when the credit requirements are otherwise met</w:t>
      </w:r>
      <w:r w:rsidR="009F7C0E">
        <w:rPr>
          <w:rFonts w:eastAsia="Calibri" w:cs="Times New Roman"/>
        </w:rPr>
        <w:t>—</w:t>
      </w:r>
      <w:r w:rsidRPr="00FE4C13">
        <w:rPr>
          <w:rFonts w:eastAsia="Calibri" w:cs="Times New Roman"/>
        </w:rPr>
        <w:t xml:space="preserve">these states do not </w:t>
      </w:r>
      <w:r w:rsidR="00C20B11">
        <w:rPr>
          <w:rFonts w:eastAsia="Calibri" w:cs="Times New Roman"/>
        </w:rPr>
        <w:t xml:space="preserve">generally have language about guaranteed payments </w:t>
      </w:r>
      <w:r w:rsidRPr="00FE4C13">
        <w:rPr>
          <w:rFonts w:eastAsia="Calibri" w:cs="Times New Roman"/>
        </w:rPr>
        <w:t>in their resident credit rules. An exception</w:t>
      </w:r>
      <w:r w:rsidR="00CA31DD">
        <w:rPr>
          <w:rFonts w:eastAsia="Calibri" w:cs="Times New Roman"/>
        </w:rPr>
        <w:t xml:space="preserve"> </w:t>
      </w:r>
      <w:r w:rsidRPr="00FE4C13">
        <w:rPr>
          <w:rFonts w:eastAsia="Calibri" w:cs="Times New Roman"/>
        </w:rPr>
        <w:t xml:space="preserve">is Michigan which </w:t>
      </w:r>
      <w:r w:rsidR="001E260A">
        <w:rPr>
          <w:rFonts w:eastAsia="Calibri" w:cs="Times New Roman"/>
        </w:rPr>
        <w:t xml:space="preserve">has language </w:t>
      </w:r>
      <w:r w:rsidRPr="00FE4C13">
        <w:rPr>
          <w:rFonts w:eastAsia="Calibri" w:cs="Times New Roman"/>
        </w:rPr>
        <w:t>allow</w:t>
      </w:r>
      <w:r w:rsidR="001E260A">
        <w:rPr>
          <w:rFonts w:eastAsia="Calibri" w:cs="Times New Roman"/>
        </w:rPr>
        <w:t>ing</w:t>
      </w:r>
      <w:r w:rsidRPr="00FE4C13">
        <w:rPr>
          <w:rFonts w:eastAsia="Calibri" w:cs="Times New Roman"/>
        </w:rPr>
        <w:t xml:space="preserve"> the resident credit for certain guaranteed payments if the credit requirements are otherwise met. See Michigan Revenue Administrative Bulletin No. 1988-31. However, Michigan does not have a rule allowing the resident credit in the </w:t>
      </w:r>
      <w:r w:rsidR="00165E73">
        <w:rPr>
          <w:rFonts w:eastAsia="Calibri" w:cs="Times New Roman"/>
        </w:rPr>
        <w:t>pass-through entity tax</w:t>
      </w:r>
      <w:r w:rsidRPr="00FE4C13">
        <w:rPr>
          <w:rFonts w:eastAsia="Calibri" w:cs="Times New Roman"/>
        </w:rPr>
        <w:t xml:space="preserve"> context. </w:t>
      </w:r>
    </w:p>
    <w:p w14:paraId="285B3CE6" w14:textId="058D5368" w:rsidR="00A270A6" w:rsidRPr="00FE4C13" w:rsidRDefault="00A270A6" w:rsidP="00A270A6">
      <w:pPr>
        <w:spacing w:before="240" w:after="240"/>
        <w:rPr>
          <w:rFonts w:eastAsia="Calibri" w:cs="Times New Roman"/>
        </w:rPr>
      </w:pPr>
      <w:r>
        <w:rPr>
          <w:rFonts w:eastAsia="Calibri" w:cs="Times New Roman"/>
        </w:rPr>
        <w:t xml:space="preserve">In addition to these questions, note that however </w:t>
      </w:r>
      <w:r w:rsidR="00A97D21">
        <w:rPr>
          <w:rFonts w:eastAsia="Calibri" w:cs="Times New Roman"/>
        </w:rPr>
        <w:t xml:space="preserve">guaranteed payments are sourced, many states also require that partnerships withhold tax for nonresident partners or may allow partnerships to file and pay tax on behalf of those partners in the form of a composite return. </w:t>
      </w:r>
      <w:r w:rsidR="00624A16">
        <w:rPr>
          <w:rFonts w:eastAsia="Calibri" w:cs="Times New Roman"/>
        </w:rPr>
        <w:t>Presumably,</w:t>
      </w:r>
      <w:r w:rsidR="00F15BD6">
        <w:rPr>
          <w:rFonts w:eastAsia="Calibri" w:cs="Times New Roman"/>
        </w:rPr>
        <w:t xml:space="preserve"> the state will need to use the same method for sourcing income and computing the tax as part of these entity-level reports as for the reporting by the partners. </w:t>
      </w:r>
      <w:r w:rsidR="00624A16">
        <w:rPr>
          <w:rFonts w:eastAsia="Calibri" w:cs="Times New Roman"/>
        </w:rPr>
        <w:t xml:space="preserve"> </w:t>
      </w:r>
    </w:p>
    <w:p w14:paraId="6C238A74" w14:textId="77777777" w:rsidR="00380325" w:rsidRDefault="00380325" w:rsidP="00A471A0">
      <w:pPr>
        <w:rPr>
          <w:rFonts w:eastAsia="Calibri" w:cs="Times New Roman"/>
        </w:rPr>
      </w:pPr>
    </w:p>
    <w:p w14:paraId="0AB017A8" w14:textId="77777777" w:rsidR="00005FE9" w:rsidRDefault="00005FE9">
      <w:pPr>
        <w:spacing w:line="276" w:lineRule="auto"/>
        <w:jc w:val="left"/>
        <w:rPr>
          <w:rFonts w:asciiTheme="majorHAnsi" w:eastAsiaTheme="majorEastAsia" w:hAnsiTheme="majorHAnsi" w:cstheme="majorBidi"/>
          <w:b/>
          <w:color w:val="851C00" w:themeColor="accent6" w:themeShade="BF"/>
          <w:sz w:val="26"/>
          <w:szCs w:val="26"/>
          <w:u w:val="single"/>
        </w:rPr>
      </w:pPr>
      <w:r>
        <w:rPr>
          <w:rFonts w:asciiTheme="majorHAnsi" w:eastAsiaTheme="majorEastAsia" w:hAnsiTheme="majorHAnsi" w:cstheme="majorBidi"/>
          <w:b/>
          <w:color w:val="851C00" w:themeColor="accent6" w:themeShade="BF"/>
          <w:sz w:val="26"/>
          <w:szCs w:val="26"/>
          <w:u w:val="single"/>
        </w:rPr>
        <w:br w:type="page"/>
      </w:r>
    </w:p>
    <w:p w14:paraId="1F124407" w14:textId="2ED05DED" w:rsidR="001B2D6E" w:rsidRPr="001B2D6E" w:rsidRDefault="00464AC0" w:rsidP="001B2D6E">
      <w:pPr>
        <w:keepNext/>
        <w:keepLines/>
        <w:spacing w:before="240" w:after="160"/>
        <w:jc w:val="center"/>
        <w:outlineLvl w:val="1"/>
        <w:rPr>
          <w:rFonts w:asciiTheme="majorHAnsi" w:eastAsiaTheme="majorEastAsia" w:hAnsiTheme="majorHAnsi" w:cstheme="majorBidi"/>
          <w:b/>
          <w:color w:val="851C00" w:themeColor="accent6" w:themeShade="BF"/>
          <w:sz w:val="26"/>
          <w:szCs w:val="26"/>
          <w:u w:val="single"/>
        </w:rPr>
      </w:pPr>
      <w:bookmarkStart w:id="54" w:name="_Toc144634478"/>
      <w:r>
        <w:rPr>
          <w:rFonts w:asciiTheme="majorHAnsi" w:eastAsiaTheme="majorEastAsia" w:hAnsiTheme="majorHAnsi" w:cstheme="majorBidi"/>
          <w:b/>
          <w:color w:val="851C00" w:themeColor="accent6" w:themeShade="BF"/>
          <w:sz w:val="26"/>
          <w:szCs w:val="26"/>
          <w:u w:val="single"/>
        </w:rPr>
        <w:lastRenderedPageBreak/>
        <w:t>IV</w:t>
      </w:r>
      <w:r w:rsidR="001B2D6E" w:rsidRPr="001B2D6E">
        <w:rPr>
          <w:rFonts w:asciiTheme="majorHAnsi" w:eastAsiaTheme="majorEastAsia" w:hAnsiTheme="majorHAnsi" w:cstheme="majorBidi"/>
          <w:b/>
          <w:color w:val="851C00" w:themeColor="accent6" w:themeShade="BF"/>
          <w:sz w:val="26"/>
          <w:szCs w:val="26"/>
          <w:u w:val="single"/>
        </w:rPr>
        <w:t xml:space="preserve">. </w:t>
      </w:r>
      <w:r w:rsidR="001B2D6E">
        <w:rPr>
          <w:rFonts w:asciiTheme="majorHAnsi" w:eastAsiaTheme="majorEastAsia" w:hAnsiTheme="majorHAnsi" w:cstheme="majorBidi"/>
          <w:b/>
          <w:color w:val="851C00" w:themeColor="accent6" w:themeShade="BF"/>
          <w:sz w:val="26"/>
          <w:szCs w:val="26"/>
          <w:u w:val="single"/>
        </w:rPr>
        <w:t>B</w:t>
      </w:r>
      <w:r w:rsidR="001B2D6E" w:rsidRPr="001B2D6E">
        <w:rPr>
          <w:rFonts w:asciiTheme="majorHAnsi" w:eastAsiaTheme="majorEastAsia" w:hAnsiTheme="majorHAnsi" w:cstheme="majorBidi"/>
          <w:b/>
          <w:color w:val="851C00" w:themeColor="accent6" w:themeShade="BF"/>
          <w:sz w:val="26"/>
          <w:szCs w:val="26"/>
          <w:u w:val="single"/>
        </w:rPr>
        <w:t>.  S</w:t>
      </w:r>
      <w:r w:rsidR="008879FE">
        <w:rPr>
          <w:rFonts w:asciiTheme="majorHAnsi" w:eastAsiaTheme="majorEastAsia" w:hAnsiTheme="majorHAnsi" w:cstheme="majorBidi"/>
          <w:b/>
          <w:color w:val="851C00" w:themeColor="accent6" w:themeShade="BF"/>
          <w:sz w:val="26"/>
          <w:szCs w:val="26"/>
          <w:u w:val="single"/>
        </w:rPr>
        <w:t>tate Rules on Guaranteed Payments</w:t>
      </w:r>
      <w:bookmarkEnd w:id="54"/>
    </w:p>
    <w:p w14:paraId="4EC19783" w14:textId="30B63099" w:rsidR="001C1DA0" w:rsidRPr="00FE26E0" w:rsidRDefault="00E841AD" w:rsidP="00FE26E0">
      <w:pPr>
        <w:rPr>
          <w:rFonts w:eastAsia="Calibri" w:cs="Times New Roman"/>
        </w:rPr>
      </w:pPr>
      <w:r w:rsidRPr="00E841AD">
        <w:rPr>
          <w:rFonts w:eastAsia="Calibri" w:cs="Times New Roman"/>
        </w:rPr>
        <w:t>This subsection I</w:t>
      </w:r>
      <w:r w:rsidR="00AF3BD8">
        <w:rPr>
          <w:rFonts w:eastAsia="Calibri" w:cs="Times New Roman"/>
        </w:rPr>
        <w:t>V</w:t>
      </w:r>
      <w:r w:rsidRPr="00E841AD">
        <w:rPr>
          <w:rFonts w:eastAsia="Calibri" w:cs="Times New Roman"/>
        </w:rPr>
        <w:t>. B. sets forth the detailed rules in states that have explicitly addressed the sourcing of guaranteed payments in statutes, regulations, cases, form instructions, or guidance.</w:t>
      </w:r>
    </w:p>
    <w:p w14:paraId="47223CB2" w14:textId="407E77AA" w:rsidR="0047413E" w:rsidRPr="008A3EC2" w:rsidRDefault="0047413E" w:rsidP="001C1DA0">
      <w:pPr>
        <w:keepNext/>
        <w:keepLines/>
        <w:spacing w:before="240" w:after="120"/>
        <w:outlineLvl w:val="2"/>
        <w:rPr>
          <w:rFonts w:ascii="Californian FB" w:eastAsia="Times New Roman" w:hAnsi="Californian FB" w:cs="Times New Roman"/>
          <w:b/>
          <w:color w:val="851C00"/>
          <w:sz w:val="24"/>
          <w:szCs w:val="24"/>
          <w:u w:val="single"/>
        </w:rPr>
      </w:pPr>
      <w:bookmarkStart w:id="55" w:name="_Toc144634479"/>
      <w:r w:rsidRPr="008A3EC2">
        <w:rPr>
          <w:rFonts w:ascii="Californian FB" w:eastAsia="Times New Roman" w:hAnsi="Californian FB" w:cs="Times New Roman"/>
          <w:b/>
          <w:color w:val="851C00"/>
          <w:sz w:val="24"/>
          <w:szCs w:val="24"/>
          <w:u w:val="single"/>
        </w:rPr>
        <w:t>Alabama</w:t>
      </w:r>
      <w:bookmarkEnd w:id="55"/>
    </w:p>
    <w:p w14:paraId="077F5A86" w14:textId="77777777" w:rsidR="0047413E" w:rsidRPr="008A3EC2" w:rsidRDefault="0047413E" w:rsidP="00DA31D7">
      <w:pPr>
        <w:ind w:left="720"/>
        <w:rPr>
          <w:rFonts w:eastAsia="Calibri" w:cs="Times New Roman"/>
        </w:rPr>
      </w:pPr>
      <w:r w:rsidRPr="008A3EC2">
        <w:rPr>
          <w:rFonts w:eastAsia="Calibri" w:cs="Times New Roman"/>
          <w:i/>
          <w:iCs/>
        </w:rPr>
        <w:t>Tanner &amp; Guin v. Alabama Dep’t of Revenue</w:t>
      </w:r>
      <w:r w:rsidRPr="008A3EC2">
        <w:rPr>
          <w:rFonts w:eastAsia="Calibri" w:cs="Times New Roman"/>
        </w:rPr>
        <w:t xml:space="preserve"> (Ala. Tax Tribunal May 4, 2015)</w:t>
      </w:r>
    </w:p>
    <w:p w14:paraId="6362D375" w14:textId="29D8D9AD" w:rsidR="0047413E" w:rsidRPr="008A3EC2" w:rsidRDefault="0047413E" w:rsidP="00CB3FF4">
      <w:pPr>
        <w:ind w:left="1440"/>
        <w:rPr>
          <w:rFonts w:eastAsia="Calibri" w:cs="Times New Roman"/>
        </w:rPr>
      </w:pPr>
      <w:r w:rsidRPr="008A3EC2">
        <w:rPr>
          <w:rFonts w:eastAsia="Calibri" w:cs="Times New Roman"/>
        </w:rPr>
        <w:t>Guaranteed payments paid to Mississippi attorneys were a part of the distributive share for purposes of composite returns.</w:t>
      </w:r>
    </w:p>
    <w:p w14:paraId="615725D0" w14:textId="77777777" w:rsidR="0047413E" w:rsidRPr="008A3EC2" w:rsidRDefault="0047413E" w:rsidP="00DA31D7">
      <w:pPr>
        <w:ind w:left="720"/>
        <w:rPr>
          <w:rFonts w:eastAsia="Calibri" w:cs="Times New Roman"/>
        </w:rPr>
      </w:pPr>
      <w:r w:rsidRPr="008A3EC2">
        <w:rPr>
          <w:rFonts w:eastAsia="Calibri" w:cs="Times New Roman"/>
        </w:rPr>
        <w:t>Frequently Asked Questions on the Alabama Pass-through Entity Tax (June 30, 2022)</w:t>
      </w:r>
    </w:p>
    <w:p w14:paraId="6752957F" w14:textId="77777777" w:rsidR="0047413E" w:rsidRPr="008A3EC2" w:rsidRDefault="0047413E" w:rsidP="00CB3FF4">
      <w:pPr>
        <w:ind w:left="1440"/>
        <w:rPr>
          <w:rFonts w:eastAsia="Calibri" w:cs="Times New Roman"/>
        </w:rPr>
      </w:pPr>
      <w:r w:rsidRPr="008A3EC2">
        <w:rPr>
          <w:rFonts w:eastAsia="Calibri" w:cs="Times New Roman"/>
        </w:rPr>
        <w:t>Taxable income includes guaranteed payments . . . Taxable income shall be apportioned in accordance with the provisions of Chapter 27 of Title 40, Code of Alabama 1975.</w:t>
      </w:r>
    </w:p>
    <w:p w14:paraId="663E096B" w14:textId="77777777" w:rsidR="0047413E" w:rsidRPr="008A3EC2" w:rsidRDefault="0047413E" w:rsidP="0047413E">
      <w:pPr>
        <w:pBdr>
          <w:bottom w:val="single" w:sz="4" w:space="0" w:color="auto"/>
        </w:pBdr>
        <w:rPr>
          <w:rFonts w:eastAsia="Calibri" w:cs="Times New Roman"/>
        </w:rPr>
      </w:pPr>
    </w:p>
    <w:p w14:paraId="74FC375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56" w:name="_Toc144634480"/>
      <w:r w:rsidRPr="008A3EC2">
        <w:rPr>
          <w:rFonts w:ascii="Californian FB" w:eastAsia="Times New Roman" w:hAnsi="Californian FB" w:cs="Times New Roman"/>
          <w:b/>
          <w:color w:val="851C00"/>
          <w:sz w:val="24"/>
          <w:szCs w:val="24"/>
          <w:u w:val="single"/>
        </w:rPr>
        <w:t>California</w:t>
      </w:r>
      <w:bookmarkEnd w:id="56"/>
    </w:p>
    <w:p w14:paraId="0AE507C3" w14:textId="77777777" w:rsidR="0047413E" w:rsidRPr="008A3EC2" w:rsidRDefault="0047413E" w:rsidP="00DA31D7">
      <w:pPr>
        <w:ind w:left="720"/>
        <w:contextualSpacing/>
        <w:rPr>
          <w:rFonts w:eastAsia="Calibri" w:cs="Times New Roman"/>
        </w:rPr>
      </w:pPr>
      <w:r w:rsidRPr="008A3EC2">
        <w:rPr>
          <w:rFonts w:eastAsia="Calibri" w:cs="Times New Roman"/>
        </w:rPr>
        <w:t xml:space="preserve">Cal. Rev. &amp; Tax. Code § 17854  </w:t>
      </w:r>
    </w:p>
    <w:p w14:paraId="0F678C00" w14:textId="77777777" w:rsidR="0047413E" w:rsidRPr="008A3EC2" w:rsidRDefault="0047413E" w:rsidP="00DA31D7">
      <w:pPr>
        <w:ind w:left="720"/>
        <w:contextualSpacing/>
        <w:rPr>
          <w:rFonts w:eastAsia="Calibri" w:cs="Times New Roman"/>
        </w:rPr>
      </w:pPr>
    </w:p>
    <w:p w14:paraId="12728C68" w14:textId="77777777" w:rsidR="0047413E" w:rsidRPr="008A3EC2" w:rsidRDefault="0047413E" w:rsidP="00DA31D7">
      <w:pPr>
        <w:ind w:left="1440"/>
        <w:contextualSpacing/>
        <w:rPr>
          <w:rFonts w:eastAsia="Calibri" w:cs="Times New Roman"/>
        </w:rPr>
      </w:pPr>
      <w:r w:rsidRPr="008A3EC2">
        <w:rPr>
          <w:rFonts w:eastAsia="Calibri" w:cs="Times New Roman"/>
        </w:rPr>
        <w:t>For purposes of computing “taxable income of a nonresident or part-year resident” under paragraph (1) of subdivision (i) of Section 17041, in the case of a nonresident partner, guaranteed payments, as defined by Section 707(c) of the Internal Revenue Code, shall be included in that computation as gross income from sources within this state in the same manner as if those payments were a distributive share of that partnership.</w:t>
      </w:r>
    </w:p>
    <w:p w14:paraId="2A735026" w14:textId="77777777" w:rsidR="0047413E" w:rsidRPr="008A3EC2" w:rsidRDefault="0047413E" w:rsidP="00DA31D7">
      <w:pPr>
        <w:ind w:left="720"/>
        <w:contextualSpacing/>
        <w:rPr>
          <w:rFonts w:eastAsia="Calibri" w:cs="Times New Roman"/>
          <w:color w:val="808080"/>
        </w:rPr>
      </w:pPr>
    </w:p>
    <w:p w14:paraId="24D680AC" w14:textId="77777777" w:rsidR="0047413E" w:rsidRPr="008A3EC2" w:rsidRDefault="0047413E" w:rsidP="00DA31D7">
      <w:pPr>
        <w:ind w:left="720"/>
        <w:contextualSpacing/>
        <w:rPr>
          <w:rFonts w:eastAsia="Calibri" w:cs="Times New Roman"/>
        </w:rPr>
      </w:pPr>
      <w:r w:rsidRPr="008A3EC2">
        <w:rPr>
          <w:rFonts w:eastAsia="Calibri" w:cs="Times New Roman"/>
        </w:rPr>
        <w:t>Cal. Code Regs. tit. 18, § 17951-4</w:t>
      </w:r>
    </w:p>
    <w:p w14:paraId="5413092B" w14:textId="77777777" w:rsidR="0047413E" w:rsidRPr="008A3EC2" w:rsidRDefault="0047413E" w:rsidP="00DA31D7">
      <w:pPr>
        <w:ind w:left="720"/>
        <w:contextualSpacing/>
        <w:rPr>
          <w:rFonts w:eastAsia="Calibri" w:cs="Times New Roman"/>
        </w:rPr>
      </w:pPr>
    </w:p>
    <w:p w14:paraId="7953A9C8" w14:textId="77777777" w:rsidR="0047413E" w:rsidRPr="008A3EC2" w:rsidRDefault="0047413E" w:rsidP="00DA31D7">
      <w:pPr>
        <w:ind w:left="1440"/>
        <w:rPr>
          <w:rFonts w:eastAsia="Calibri" w:cs="Times New Roman"/>
        </w:rPr>
      </w:pPr>
      <w:r w:rsidRPr="008A3EC2">
        <w:rPr>
          <w:rFonts w:eastAsia="Calibri" w:cs="Times New Roman"/>
        </w:rPr>
        <w:t>(g) For taxable years beginning on or after January 1, 2013, all business income is subject to the single sales factor apportionment formula pursuant to Section 25128.7, Revenue and Taxation Code, unless subdivision (b) of Section 25128, Revenue and Taxation Code, applies. If a sole proprietorship or partnership described in subsections (c) or (d) is engaged in the practice of a profession within the meaning of subsection (h), below, the payroll factor, where applicable, of the applicable apportionment formula shall include 60% of the net income of a sole proprietorship or 60% of the distributive share of partnership income of each partner rendering professional personal services to the partnership. For purposes of the payroll factor the net income of a sole proprietorship and a partner's distributive share of partnership income shall consist only of income properly classifiable as business income. The amount so determined is deemed to be compensation paid to an employee for purposes of the payroll factor only. If a partner does not render professional services to the partnership, no part of such partner's distributive share of partnership income shall be taken into account in the payroll factor. The amount deemed to be compensation paid to an employee shall be included in the denominator of the payroll factor and in the California numerator of the payroll factor if the principal location of such partner is in this state.</w:t>
      </w:r>
    </w:p>
    <w:p w14:paraId="19A564D4" w14:textId="46271B35" w:rsidR="0047413E" w:rsidRPr="008A3EC2" w:rsidRDefault="0047413E" w:rsidP="00DA31D7">
      <w:pPr>
        <w:ind w:left="1440"/>
        <w:rPr>
          <w:rFonts w:eastAsia="Calibri" w:cs="Times New Roman"/>
        </w:rPr>
      </w:pPr>
      <w:r w:rsidRPr="008A3EC2">
        <w:rPr>
          <w:rFonts w:eastAsia="Calibri" w:cs="Times New Roman"/>
        </w:rPr>
        <w:t xml:space="preserve">Guaranteed payments to a partner who renders professional services to a partnership engaged in the practice of a profession (within the meaning of subsection (h) below) shall be treated as part of the partner's distributive share of partnership income and has a source in this state in the same manner as a distributive share properly classified as business income and shall be apportioned under subsection (d), as modified under subsection (g). In computing the payroll factor of a partner who renders professional services to such a partnership and receives a guaranteed payment, 60 percent of the sum of the partner's distributive share of partnership income properly classified as business income, and the partner's guaranteed payment, shall be deemed to be compensation paid to an employee. The amount deemed to be compensation shall be </w:t>
      </w:r>
      <w:r w:rsidRPr="008A3EC2">
        <w:rPr>
          <w:rFonts w:eastAsia="Calibri" w:cs="Times New Roman"/>
        </w:rPr>
        <w:lastRenderedPageBreak/>
        <w:t>included in the denominator of the payroll factor and in the California numerator of the payroll factor if the principal location of such partner is in this state . . .</w:t>
      </w:r>
    </w:p>
    <w:p w14:paraId="7919E690" w14:textId="77777777" w:rsidR="0047413E" w:rsidRPr="008A3EC2" w:rsidRDefault="0047413E" w:rsidP="00DA31D7">
      <w:pPr>
        <w:ind w:left="1440"/>
        <w:rPr>
          <w:rFonts w:eastAsia="Calibri" w:cs="Times New Roman"/>
        </w:rPr>
      </w:pPr>
      <w:r w:rsidRPr="008A3EC2">
        <w:rPr>
          <w:rFonts w:eastAsia="Calibri" w:cs="Times New Roman"/>
        </w:rPr>
        <w:t>(h) The practice of law, accounting, medicine or the performance of personal services in scientific and engineering discipline and the practice of any other profession in which capital is not a material income producing factor and in which more than 80% of business gross income for the taxable year is derived from personal services actually rendered by the individual or partners shall be deemed a profession for purposes of subsection (g), above.</w:t>
      </w:r>
    </w:p>
    <w:p w14:paraId="71AF2270" w14:textId="77777777" w:rsidR="0047413E" w:rsidRPr="008A3EC2" w:rsidRDefault="0047413E" w:rsidP="00DA31D7">
      <w:pPr>
        <w:ind w:left="1440"/>
        <w:rPr>
          <w:rFonts w:eastAsia="Calibri" w:cs="Times New Roman"/>
        </w:rPr>
      </w:pPr>
      <w:r w:rsidRPr="008A3EC2">
        <w:rPr>
          <w:rFonts w:eastAsia="Calibri" w:cs="Times New Roman"/>
        </w:rPr>
        <w:t>(i) Rules and Definitions. To give effect to the foregoing, the following rules and definitions will be applied:</w:t>
      </w:r>
    </w:p>
    <w:p w14:paraId="66C913E7" w14:textId="77777777" w:rsidR="0047413E" w:rsidRPr="008A3EC2" w:rsidRDefault="0047413E" w:rsidP="00DA31D7">
      <w:pPr>
        <w:ind w:left="1440" w:firstLine="720"/>
        <w:rPr>
          <w:rFonts w:eastAsia="Calibri" w:cs="Times New Roman"/>
        </w:rPr>
      </w:pPr>
      <w:r w:rsidRPr="008A3EC2">
        <w:rPr>
          <w:rFonts w:eastAsia="Calibri" w:cs="Times New Roman"/>
        </w:rPr>
        <w:t>(1) Other Professions Defined. For purposes of this regulation, the term "other profession" includes any occupation or vocation in which a professed knowledge of some department of science or learning, gained by a prolonged course of specialized instruction and study, is used by its practical application to the affairs of others, either advising, guiding or teaching them, and in serving their interests or welfare in the practice of an art or science founded on it. The word "profession" implies attainments in professional knowledge as distinguished from mere skill and the application of knowledge to uses for others as a vocation. The performing of services dealing with the conduct of business itself, including the promotion of sales or services of such business and consulting services, does not constitute the practice of a profession even though the services involve the application of a specialized knowledge.</w:t>
      </w:r>
    </w:p>
    <w:p w14:paraId="4B0D7071" w14:textId="77777777" w:rsidR="0047413E" w:rsidRPr="008A3EC2" w:rsidRDefault="0047413E" w:rsidP="00DA31D7">
      <w:pPr>
        <w:ind w:left="1440" w:firstLine="720"/>
        <w:rPr>
          <w:rFonts w:eastAsia="Calibri" w:cs="Times New Roman"/>
        </w:rPr>
      </w:pPr>
      <w:r w:rsidRPr="008A3EC2">
        <w:rPr>
          <w:rFonts w:eastAsia="Calibri" w:cs="Times New Roman"/>
        </w:rPr>
        <w:t>(2) Capital as a Material Income Producing Factor. Whether capital is a material income producing factor in the production of the income of a profession (other than law, medicine, dentistry or architecture) is to be determined by the use to which the capital is put. Ordinarily, the use of capital in a professional activity or occupation will not be considered as a material income producing factor if it is used only to defray current operating expenses such as paying salaries of assistants, rent, traveling and other incidental expenses or for investment in furniture, machines, tools and equipment essential to the carrying on of the professional activity. Capital is a material income producing factor if a substantial portion of the gross income from the occupation is attributable to the employment of capital in the business. This is ordinarily the case where substantial inventory or substantial investment in plant, machinery or other equipment is required.</w:t>
      </w:r>
    </w:p>
    <w:p w14:paraId="5D9F6BA0" w14:textId="77777777" w:rsidR="0047413E" w:rsidRPr="008A3EC2" w:rsidRDefault="0047413E" w:rsidP="00DA31D7">
      <w:pPr>
        <w:ind w:left="1440" w:firstLine="720"/>
        <w:rPr>
          <w:rFonts w:eastAsia="Calibri" w:cs="Times New Roman"/>
        </w:rPr>
      </w:pPr>
      <w:r w:rsidRPr="008A3EC2">
        <w:rPr>
          <w:rFonts w:eastAsia="Calibri" w:cs="Times New Roman"/>
        </w:rPr>
        <w:t xml:space="preserve">(3) Gross Income Derived From Personal Services of an Individual or Partner. For purposes of determining whether more than 80% of the unincorporated business gross income is derived from personal services actually rendered by an individual or partner, gross income from the professional practice will be deemed derived from the personal services rendered by an individual or partner if such income is personal service income as distinguished from income attributable to the sale of property or to the use of capital and such income represents fees or charges for professional services personally rendered by the individual or partner or professional fees or charges for services which are attributable to the professional activities of the individual or partner. In cases where an individual or partner employs assistants to perform part of the professional work, fees or charges relating to the services of the assistants will be attributed to the individual or partner provided the individual or partner (A) gives personal attention to the work of the business, (B) consults with clients or patients, (C) devises the work program, outlines work methods and guides and directs the work procedure of the employees in the activity, and (D) supervises the formulation of advice, conclusions and reports to clients or patients as the person responsible for the services performed by the business or establishment; or provided that some combination of the foregoing and/or other activities shows that the services of the employees are merely incidental to the practice of the profession by the individual or partner. Where the profession is carried on by a sole proprietorship or partnership, income or </w:t>
      </w:r>
      <w:r w:rsidRPr="008A3EC2">
        <w:rPr>
          <w:rFonts w:eastAsia="Calibri" w:cs="Times New Roman"/>
        </w:rPr>
        <w:lastRenderedPageBreak/>
        <w:t>fees relating to work performed by employees will be attributable to an individual or partner only if, in addition to the conditions enumerated above with respect to individuals or partners, it is shown that the clients or patients are advised by an individual or partner and look to an individual or partner as being responsible for the services performed.</w:t>
      </w:r>
    </w:p>
    <w:p w14:paraId="47F0CB64" w14:textId="77777777" w:rsidR="0047413E" w:rsidRPr="008A3EC2" w:rsidRDefault="0047413E" w:rsidP="00DA31D7">
      <w:pPr>
        <w:ind w:left="1440"/>
        <w:rPr>
          <w:rFonts w:eastAsia="Calibri" w:cs="Times New Roman"/>
        </w:rPr>
      </w:pPr>
      <w:r w:rsidRPr="008A3EC2">
        <w:rPr>
          <w:rFonts w:eastAsia="Calibri" w:cs="Times New Roman"/>
        </w:rPr>
        <w:t>For example, where an accounting partnership employs assistants to do much of the detail work of making surveys, studies, audits, or other work ordinarily and customarily performed as an incident to the practice of the profession involved, income from professional charges based on services of the assistants will be deemed to be income derived from the services of the partners if a partner accepts the engagement or employment, supervises and directs the work, confers with clients, and prepares and edits or completes and approves the reports. Where the nature and character of the service rendered by the assistants is such that the services are rendered without any substantial control by a partner, such services will not be considered attributable to the partner for the purposes of this subsection.</w:t>
      </w:r>
    </w:p>
    <w:p w14:paraId="4CE5442A" w14:textId="77777777" w:rsidR="0047413E" w:rsidRPr="008A3EC2" w:rsidRDefault="0047413E" w:rsidP="00DA31D7">
      <w:pPr>
        <w:ind w:left="720"/>
        <w:rPr>
          <w:rFonts w:eastAsia="Calibri" w:cs="Times New Roman"/>
        </w:rPr>
      </w:pPr>
      <w:r w:rsidRPr="008A3EC2">
        <w:rPr>
          <w:rFonts w:eastAsia="Calibri" w:cs="Times New Roman"/>
        </w:rPr>
        <w:t>Cal. Rev. &amp; Tax. Code § 19900(a)</w:t>
      </w:r>
    </w:p>
    <w:p w14:paraId="1274D49B" w14:textId="15AA7F3D" w:rsidR="0047413E" w:rsidRPr="008A3EC2" w:rsidRDefault="0047413E" w:rsidP="00DA31D7">
      <w:pPr>
        <w:ind w:left="1440"/>
        <w:rPr>
          <w:rFonts w:eastAsia="Calibri" w:cs="Times New Roman"/>
        </w:rPr>
      </w:pPr>
      <w:r w:rsidRPr="008A3EC2">
        <w:rPr>
          <w:rFonts w:eastAsia="Calibri" w:cs="Times New Roman"/>
        </w:rPr>
        <w:t>(1)</w:t>
      </w:r>
      <w:r w:rsidR="00DA31D7">
        <w:rPr>
          <w:rFonts w:eastAsia="Calibri" w:cs="Times New Roman"/>
        </w:rPr>
        <w:t xml:space="preserve"> </w:t>
      </w:r>
      <w:r w:rsidRPr="008A3EC2">
        <w:rPr>
          <w:rFonts w:eastAsia="Calibri" w:cs="Times New Roman"/>
        </w:rPr>
        <w:t>For taxable years beginning on or after January 1, 2021, and before January 1, 2026, a qualified entity doing business in this state, as defined in Section 23101, and that is required to file a return under Section 18633, 18633.5, or subdivision (a) of Section 18601, may elect to annually pay an elective tax according to or measured by its qualified net income, defined in paragraph (2), computed at the rate of 9.3 percent for the taxable year for which the election is made.</w:t>
      </w:r>
    </w:p>
    <w:p w14:paraId="270CED84" w14:textId="58E2B0BB" w:rsidR="0047413E" w:rsidRPr="008A3EC2" w:rsidRDefault="0047413E" w:rsidP="00DA31D7">
      <w:pPr>
        <w:ind w:left="1440"/>
        <w:rPr>
          <w:rFonts w:eastAsia="Calibri" w:cs="Times New Roman"/>
        </w:rPr>
      </w:pPr>
      <w:r w:rsidRPr="008A3EC2">
        <w:rPr>
          <w:rFonts w:eastAsia="Calibri" w:cs="Times New Roman"/>
        </w:rPr>
        <w:t>(2)</w:t>
      </w:r>
      <w:r w:rsidR="00DA31D7">
        <w:rPr>
          <w:rFonts w:eastAsia="Calibri" w:cs="Times New Roman"/>
        </w:rPr>
        <w:t xml:space="preserve"> </w:t>
      </w:r>
      <w:r w:rsidRPr="008A3EC2">
        <w:rPr>
          <w:rFonts w:eastAsia="Calibri" w:cs="Times New Roman"/>
        </w:rPr>
        <w:t>For purposes of this section, the "qualified net income" of a qualified entity means the sum of the pro rata share or distributive share of income, and any guaranteed payments, as described by Section 707(c) of the Internal Revenue Code, relating to guaranteed payments, subject to tax under Part 10 (commencing with Section 17001) for the taxable year of each qualified taxpayer, as defined in Section 17052.10.</w:t>
      </w:r>
    </w:p>
    <w:p w14:paraId="3600A510" w14:textId="77777777" w:rsidR="0047413E" w:rsidRPr="008A3EC2" w:rsidRDefault="0047413E" w:rsidP="0047413E">
      <w:pPr>
        <w:pBdr>
          <w:bottom w:val="single" w:sz="4" w:space="1" w:color="auto"/>
        </w:pBdr>
        <w:rPr>
          <w:rFonts w:eastAsia="Calibri" w:cs="Times New Roman"/>
        </w:rPr>
      </w:pPr>
    </w:p>
    <w:p w14:paraId="51C934EC"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57" w:name="_Toc104209233"/>
      <w:bookmarkStart w:id="58" w:name="_Toc144634481"/>
      <w:r w:rsidRPr="008A3EC2">
        <w:rPr>
          <w:rFonts w:ascii="Californian FB" w:eastAsia="Times New Roman" w:hAnsi="Californian FB" w:cs="Times New Roman"/>
          <w:b/>
          <w:color w:val="851C00"/>
          <w:sz w:val="24"/>
          <w:szCs w:val="24"/>
          <w:u w:val="single"/>
        </w:rPr>
        <w:t>C</w:t>
      </w:r>
      <w:bookmarkEnd w:id="57"/>
      <w:r w:rsidRPr="008A3EC2">
        <w:rPr>
          <w:rFonts w:ascii="Californian FB" w:eastAsia="Times New Roman" w:hAnsi="Californian FB" w:cs="Times New Roman"/>
          <w:b/>
          <w:color w:val="851C00"/>
          <w:sz w:val="24"/>
          <w:szCs w:val="24"/>
          <w:u w:val="single"/>
        </w:rPr>
        <w:t>olorado</w:t>
      </w:r>
      <w:bookmarkEnd w:id="58"/>
    </w:p>
    <w:p w14:paraId="2F0020F8" w14:textId="77777777" w:rsidR="0047413E" w:rsidRPr="008A3EC2" w:rsidRDefault="0047413E" w:rsidP="00DA31D7">
      <w:pPr>
        <w:ind w:left="720"/>
        <w:contextualSpacing/>
        <w:rPr>
          <w:rFonts w:eastAsia="Calibri" w:cs="Times New Roman"/>
        </w:rPr>
      </w:pPr>
      <w:r w:rsidRPr="008A3EC2">
        <w:rPr>
          <w:rFonts w:eastAsia="Calibri" w:cs="Times New Roman"/>
        </w:rPr>
        <w:t>Colo. Code Regs. § 39-22-109(3)(b)(xii)</w:t>
      </w:r>
    </w:p>
    <w:p w14:paraId="32FD9EC4" w14:textId="77777777" w:rsidR="0047413E" w:rsidRPr="008A3EC2" w:rsidRDefault="0047413E" w:rsidP="0047413E">
      <w:pPr>
        <w:contextualSpacing/>
        <w:rPr>
          <w:rFonts w:eastAsia="Calibri" w:cs="Times New Roman"/>
        </w:rPr>
      </w:pPr>
    </w:p>
    <w:p w14:paraId="46C0826B" w14:textId="77777777" w:rsidR="0047413E" w:rsidRPr="008A3EC2" w:rsidRDefault="0047413E" w:rsidP="00DA31D7">
      <w:pPr>
        <w:ind w:left="1440"/>
        <w:contextualSpacing/>
        <w:rPr>
          <w:rFonts w:eastAsia="Calibri" w:cs="Times New Roman"/>
        </w:rPr>
      </w:pPr>
      <w:r w:rsidRPr="008A3EC2">
        <w:rPr>
          <w:rFonts w:eastAsia="Calibri" w:cs="Times New Roman"/>
        </w:rPr>
        <w:t>Guaranteed payments typically are in lieu of wage income and the source of such income is determined in accordance with the rules for sourcing wage income (see paragraph (4)(b)(i), above). If the guaranteed payment is not in lieu of wage income, then the guaranteed payment is allocated or apportioned based on the income-generating activity (e.g., a guaranteed payment based on partnership income from the sale of real property located in Colorado is allocated pro rata to the Nonresident partner).</w:t>
      </w:r>
    </w:p>
    <w:p w14:paraId="6B9F8946" w14:textId="77777777" w:rsidR="0047413E" w:rsidRPr="008A3EC2" w:rsidRDefault="0047413E" w:rsidP="0047413E">
      <w:pPr>
        <w:contextualSpacing/>
        <w:rPr>
          <w:rFonts w:eastAsia="Calibri" w:cs="Times New Roman"/>
        </w:rPr>
      </w:pPr>
    </w:p>
    <w:p w14:paraId="6262415B" w14:textId="77777777" w:rsidR="0047413E" w:rsidRPr="008A3EC2" w:rsidRDefault="0047413E" w:rsidP="00DA31D7">
      <w:pPr>
        <w:ind w:left="720"/>
        <w:contextualSpacing/>
        <w:rPr>
          <w:rFonts w:eastAsia="Calibri" w:cs="Times New Roman"/>
        </w:rPr>
      </w:pPr>
      <w:r w:rsidRPr="008A3EC2">
        <w:rPr>
          <w:rFonts w:eastAsia="Calibri" w:cs="Times New Roman"/>
        </w:rPr>
        <w:t>Colo. GIL-20-001 (2/28/2020)</w:t>
      </w:r>
    </w:p>
    <w:p w14:paraId="6E7234DF" w14:textId="77777777" w:rsidR="0047413E" w:rsidRPr="008A3EC2" w:rsidRDefault="0047413E" w:rsidP="0047413E">
      <w:pPr>
        <w:contextualSpacing/>
        <w:rPr>
          <w:rFonts w:eastAsia="Calibri" w:cs="Times New Roman"/>
        </w:rPr>
      </w:pPr>
    </w:p>
    <w:p w14:paraId="2E632FAC" w14:textId="77777777" w:rsidR="0047413E" w:rsidRPr="008A3EC2" w:rsidRDefault="0047413E" w:rsidP="00DA31D7">
      <w:pPr>
        <w:ind w:left="1440"/>
        <w:contextualSpacing/>
        <w:rPr>
          <w:rFonts w:eastAsia="Calibri" w:cs="Times New Roman"/>
        </w:rPr>
      </w:pPr>
      <w:r w:rsidRPr="008A3EC2">
        <w:rPr>
          <w:rFonts w:eastAsia="Calibri" w:cs="Times New Roman"/>
        </w:rPr>
        <w:t>Rule 39-22-109(3)(b)(xii) states that the source of a guaranteed payment for services is determined in accordance with the rules for sourcing wage income. Wage income is Colorado source income if it is paid for work performed in Colorado . . . guaranteed payments are not considered part of the partner’s distributive share.</w:t>
      </w:r>
    </w:p>
    <w:p w14:paraId="2E289940" w14:textId="77777777" w:rsidR="0047413E" w:rsidRPr="008A3EC2" w:rsidRDefault="0047413E" w:rsidP="0047413E">
      <w:pPr>
        <w:contextualSpacing/>
        <w:rPr>
          <w:rFonts w:eastAsia="Calibri" w:cs="Times New Roman"/>
        </w:rPr>
      </w:pPr>
    </w:p>
    <w:p w14:paraId="668BF5D4" w14:textId="77777777" w:rsidR="0047413E" w:rsidRPr="008A3EC2" w:rsidRDefault="0047413E" w:rsidP="0047413E">
      <w:pPr>
        <w:keepNext/>
        <w:keepLines/>
        <w:pBdr>
          <w:bottom w:val="single" w:sz="4" w:space="1" w:color="auto"/>
        </w:pBdr>
        <w:spacing w:before="240" w:after="120"/>
        <w:outlineLvl w:val="2"/>
        <w:rPr>
          <w:rFonts w:eastAsia="Calibri" w:cs="Times New Roman"/>
        </w:rPr>
      </w:pPr>
    </w:p>
    <w:p w14:paraId="2262AE18"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59" w:name="_Toc144634482"/>
      <w:r w:rsidRPr="008A3EC2">
        <w:rPr>
          <w:rFonts w:ascii="Californian FB" w:eastAsia="Times New Roman" w:hAnsi="Californian FB" w:cs="Times New Roman"/>
          <w:b/>
          <w:color w:val="851C00"/>
          <w:sz w:val="24"/>
          <w:szCs w:val="24"/>
          <w:u w:val="single"/>
        </w:rPr>
        <w:t>Connecticut</w:t>
      </w:r>
      <w:bookmarkEnd w:id="59"/>
    </w:p>
    <w:p w14:paraId="3EBD8DA9" w14:textId="77777777" w:rsidR="0047413E" w:rsidRPr="008A3EC2" w:rsidRDefault="0047413E" w:rsidP="00DA31D7">
      <w:pPr>
        <w:ind w:left="720"/>
        <w:contextualSpacing/>
        <w:rPr>
          <w:rFonts w:eastAsia="Calibri" w:cs="Times New Roman"/>
        </w:rPr>
      </w:pPr>
      <w:r w:rsidRPr="008A3EC2">
        <w:rPr>
          <w:rFonts w:eastAsia="Calibri" w:cs="Times New Roman"/>
        </w:rPr>
        <w:t>Conn. Gen. Stat. § 12-699</w:t>
      </w:r>
    </w:p>
    <w:p w14:paraId="08F0560D" w14:textId="77777777" w:rsidR="0047413E" w:rsidRPr="008A3EC2" w:rsidRDefault="0047413E" w:rsidP="0047413E">
      <w:pPr>
        <w:contextualSpacing/>
        <w:rPr>
          <w:rFonts w:eastAsia="Calibri" w:cs="Times New Roman"/>
        </w:rPr>
      </w:pPr>
    </w:p>
    <w:p w14:paraId="0721F968" w14:textId="77777777" w:rsidR="0047413E" w:rsidRPr="008A3EC2" w:rsidRDefault="0047413E" w:rsidP="00DA31D7">
      <w:pPr>
        <w:ind w:left="1440"/>
        <w:rPr>
          <w:rFonts w:eastAsia="Calibri" w:cs="Times New Roman"/>
        </w:rPr>
      </w:pPr>
      <w:r w:rsidRPr="008A3EC2">
        <w:rPr>
          <w:rFonts w:eastAsia="Calibri" w:cs="Times New Roman"/>
        </w:rPr>
        <w:lastRenderedPageBreak/>
        <w:t>For taxable years beginning on or after January 1, 2019, guaranteed payments are included in the calculation of the Standard Base and the Alternative Base for the PTE Tax.</w:t>
      </w:r>
    </w:p>
    <w:p w14:paraId="3D69C59A" w14:textId="77777777" w:rsidR="0047413E" w:rsidRPr="008A3EC2" w:rsidRDefault="0047413E" w:rsidP="0047413E">
      <w:pPr>
        <w:pBdr>
          <w:bottom w:val="single" w:sz="4" w:space="0" w:color="auto"/>
        </w:pBdr>
        <w:rPr>
          <w:rFonts w:eastAsia="Calibri" w:cs="Times New Roman"/>
        </w:rPr>
      </w:pPr>
    </w:p>
    <w:p w14:paraId="1DCE6EFA"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0" w:name="_Toc144634483"/>
      <w:r w:rsidRPr="008A3EC2">
        <w:rPr>
          <w:rFonts w:ascii="Californian FB" w:eastAsia="Times New Roman" w:hAnsi="Californian FB" w:cs="Times New Roman"/>
          <w:b/>
          <w:color w:val="851C00"/>
          <w:sz w:val="24"/>
          <w:szCs w:val="24"/>
          <w:u w:val="single"/>
        </w:rPr>
        <w:t>Georgia</w:t>
      </w:r>
      <w:bookmarkEnd w:id="60"/>
    </w:p>
    <w:p w14:paraId="138431FB" w14:textId="77777777" w:rsidR="0047413E" w:rsidRPr="008A3EC2" w:rsidRDefault="0047413E" w:rsidP="00DA31D7">
      <w:pPr>
        <w:ind w:left="720"/>
        <w:contextualSpacing/>
        <w:rPr>
          <w:rFonts w:eastAsia="Calibri" w:cs="Times New Roman"/>
        </w:rPr>
      </w:pPr>
      <w:r w:rsidRPr="008A3EC2">
        <w:rPr>
          <w:rFonts w:eastAsia="Calibri" w:cs="Times New Roman"/>
        </w:rPr>
        <w:t>Ga. Comp. R. &amp; Regs. 560-7-3-.08(4)</w:t>
      </w:r>
    </w:p>
    <w:p w14:paraId="517E36C2" w14:textId="77777777" w:rsidR="0047413E" w:rsidRPr="008A3EC2" w:rsidRDefault="0047413E" w:rsidP="00DA31D7">
      <w:pPr>
        <w:contextualSpacing/>
        <w:rPr>
          <w:rFonts w:eastAsia="Calibri" w:cs="Times New Roman"/>
        </w:rPr>
      </w:pPr>
    </w:p>
    <w:p w14:paraId="7207A2BD" w14:textId="77777777" w:rsidR="0047413E" w:rsidRPr="008A3EC2" w:rsidRDefault="0047413E" w:rsidP="00DA31D7">
      <w:pPr>
        <w:ind w:left="1440"/>
        <w:contextualSpacing/>
        <w:rPr>
          <w:rFonts w:eastAsia="Calibri" w:cs="Times New Roman"/>
        </w:rPr>
      </w:pPr>
      <w:r w:rsidRPr="008A3EC2">
        <w:rPr>
          <w:rFonts w:eastAsia="Calibri" w:cs="Times New Roman"/>
        </w:rPr>
        <w:t>Payments made to a partner for services rendered or for interest on capital contributions are not deductible in computing the net income of the partnership, such payments being held to represent a division of partner profits.</w:t>
      </w:r>
    </w:p>
    <w:p w14:paraId="29FB2CF0" w14:textId="77777777" w:rsidR="0047413E" w:rsidRPr="008A3EC2" w:rsidRDefault="0047413E" w:rsidP="0047413E">
      <w:pPr>
        <w:pBdr>
          <w:bottom w:val="single" w:sz="4" w:space="1" w:color="auto"/>
        </w:pBdr>
        <w:rPr>
          <w:rFonts w:eastAsia="Calibri" w:cs="Times New Roman"/>
        </w:rPr>
      </w:pPr>
    </w:p>
    <w:p w14:paraId="23F7CBD4"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1" w:name="_Toc144634484"/>
      <w:r w:rsidRPr="008A3EC2">
        <w:rPr>
          <w:rFonts w:ascii="Californian FB" w:eastAsia="Times New Roman" w:hAnsi="Californian FB" w:cs="Times New Roman"/>
          <w:b/>
          <w:color w:val="851C00"/>
          <w:sz w:val="24"/>
          <w:szCs w:val="24"/>
          <w:u w:val="single"/>
        </w:rPr>
        <w:t>Idaho</w:t>
      </w:r>
      <w:bookmarkEnd w:id="61"/>
    </w:p>
    <w:p w14:paraId="74535948" w14:textId="77777777" w:rsidR="0047413E" w:rsidRPr="008A3EC2" w:rsidRDefault="0047413E" w:rsidP="00DA31D7">
      <w:pPr>
        <w:ind w:left="720"/>
        <w:contextualSpacing/>
        <w:rPr>
          <w:rFonts w:eastAsia="Calibri" w:cs="Times New Roman"/>
        </w:rPr>
      </w:pPr>
      <w:r w:rsidRPr="008A3EC2">
        <w:rPr>
          <w:rFonts w:eastAsia="Calibri" w:cs="Times New Roman"/>
        </w:rPr>
        <w:t>Idaho Code § 63-3026A(3)(a)</w:t>
      </w:r>
    </w:p>
    <w:p w14:paraId="3C95141F" w14:textId="77777777" w:rsidR="0047413E" w:rsidRPr="008A3EC2" w:rsidRDefault="0047413E" w:rsidP="0047413E">
      <w:pPr>
        <w:contextualSpacing/>
        <w:rPr>
          <w:rFonts w:eastAsia="Calibri" w:cs="Times New Roman"/>
        </w:rPr>
      </w:pPr>
    </w:p>
    <w:p w14:paraId="3E31B191" w14:textId="77777777" w:rsidR="0047413E" w:rsidRPr="008A3EC2" w:rsidRDefault="0047413E" w:rsidP="00DA31D7">
      <w:pPr>
        <w:ind w:left="1440"/>
        <w:contextualSpacing/>
        <w:rPr>
          <w:rFonts w:eastAsia="Calibri" w:cs="Times New Roman"/>
        </w:rPr>
      </w:pPr>
      <w:r w:rsidRPr="008A3EC2">
        <w:rPr>
          <w:rFonts w:eastAsia="Calibri" w:cs="Times New Roman"/>
        </w:rPr>
        <w:t>Income shall be considered derived from or relating to sources within Idaho when such income is attributable to or resulting from:</w:t>
      </w:r>
    </w:p>
    <w:p w14:paraId="1375EC62" w14:textId="77777777" w:rsidR="0047413E" w:rsidRPr="008A3EC2" w:rsidRDefault="0047413E" w:rsidP="00DA31D7">
      <w:pPr>
        <w:ind w:left="1440"/>
        <w:contextualSpacing/>
        <w:rPr>
          <w:rFonts w:eastAsia="Calibri" w:cs="Times New Roman"/>
        </w:rPr>
      </w:pPr>
    </w:p>
    <w:p w14:paraId="2DFA23E0" w14:textId="77777777" w:rsidR="0047413E" w:rsidRPr="008A3EC2" w:rsidRDefault="0047413E" w:rsidP="00DA31D7">
      <w:pPr>
        <w:ind w:left="1440"/>
        <w:rPr>
          <w:rFonts w:eastAsia="Calibri" w:cs="Times New Roman"/>
        </w:rPr>
      </w:pPr>
      <w:r w:rsidRPr="008A3EC2">
        <w:rPr>
          <w:rFonts w:eastAsia="Calibri" w:cs="Times New Roman"/>
        </w:rPr>
        <w:t>(i) Any business, trade, profession or occupation conducted or carried on in this state, including the distributive share of partnership income and deductions, and the pro rata share of S corporation income and deductions. Partnership income, including guaranteed payments pursuant to section 707 of the Internal Revenue Code, is sourced to Idaho based upon the Idaho apportionment factor of the partnership; excluding:</w:t>
      </w:r>
    </w:p>
    <w:p w14:paraId="703F0BA8" w14:textId="77777777" w:rsidR="0047413E" w:rsidRPr="008A3EC2" w:rsidRDefault="0047413E" w:rsidP="00DA31D7">
      <w:pPr>
        <w:ind w:left="2160"/>
        <w:rPr>
          <w:rFonts w:eastAsia="Calibri" w:cs="Times New Roman"/>
        </w:rPr>
      </w:pPr>
      <w:r w:rsidRPr="008A3EC2">
        <w:rPr>
          <w:rFonts w:eastAsia="Calibri" w:cs="Times New Roman"/>
        </w:rPr>
        <w:t>1. Guaranteed payment to a retired partner per 4 U.S.C. section 114(b)(1)(I) that is sourced to the recipient's state of domicile;</w:t>
      </w:r>
    </w:p>
    <w:p w14:paraId="3DAF3094" w14:textId="77777777" w:rsidR="0047413E" w:rsidRPr="008A3EC2" w:rsidRDefault="0047413E" w:rsidP="00DA31D7">
      <w:pPr>
        <w:ind w:left="2160"/>
        <w:rPr>
          <w:rFonts w:eastAsia="Calibri" w:cs="Times New Roman"/>
        </w:rPr>
      </w:pPr>
      <w:r w:rsidRPr="008A3EC2">
        <w:rPr>
          <w:rFonts w:eastAsia="Calibri" w:cs="Times New Roman"/>
        </w:rPr>
        <w:t>2. Guaranteed payment to an individual partner up to two hundred fifty thousand dollars ($250,000) in any calendar year is sourced as compensation for services. The amount of the guaranteed payment in excess of two hundred fifty thousand dollars ($250,000) is sourced to Idaho based upon the partnership's Idaho apportionment factor. The two hundred fifty thousand dollar ($250,000) amount will be adjusted annually by multiplying the amount by the percentage (the consumer price index for the calendar year immediately preceding the calendar year to which the adjusted amount will apply divided by the consumer price index for calendar year 2013) as defined in section 63-3024, Idaho Code; . . .</w:t>
      </w:r>
    </w:p>
    <w:p w14:paraId="04E7840C" w14:textId="77777777" w:rsidR="0047413E" w:rsidRPr="008A3EC2" w:rsidRDefault="0047413E" w:rsidP="0047413E">
      <w:pPr>
        <w:pBdr>
          <w:bottom w:val="single" w:sz="4" w:space="1" w:color="auto"/>
        </w:pBdr>
        <w:rPr>
          <w:rFonts w:eastAsia="Calibri" w:cs="Times New Roman"/>
        </w:rPr>
      </w:pPr>
    </w:p>
    <w:p w14:paraId="40C17183"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2" w:name="_Toc104209237"/>
      <w:bookmarkStart w:id="63" w:name="_Toc144634485"/>
      <w:r w:rsidRPr="008A3EC2">
        <w:rPr>
          <w:rFonts w:ascii="Californian FB" w:eastAsia="Times New Roman" w:hAnsi="Californian FB" w:cs="Times New Roman"/>
          <w:b/>
          <w:color w:val="851C00"/>
          <w:sz w:val="24"/>
          <w:szCs w:val="24"/>
          <w:u w:val="single"/>
        </w:rPr>
        <w:t>I</w:t>
      </w:r>
      <w:bookmarkEnd w:id="62"/>
      <w:r w:rsidRPr="008A3EC2">
        <w:rPr>
          <w:rFonts w:ascii="Californian FB" w:eastAsia="Times New Roman" w:hAnsi="Californian FB" w:cs="Times New Roman"/>
          <w:b/>
          <w:color w:val="851C00"/>
          <w:sz w:val="24"/>
          <w:szCs w:val="24"/>
          <w:u w:val="single"/>
        </w:rPr>
        <w:t>llinois</w:t>
      </w:r>
      <w:bookmarkEnd w:id="63"/>
    </w:p>
    <w:p w14:paraId="582C8E6C" w14:textId="77777777" w:rsidR="0047413E" w:rsidRPr="008A3EC2" w:rsidRDefault="0047413E" w:rsidP="00DA31D7">
      <w:pPr>
        <w:ind w:left="720"/>
        <w:contextualSpacing/>
        <w:rPr>
          <w:rFonts w:eastAsia="Calibri" w:cs="Times New Roman"/>
        </w:rPr>
      </w:pPr>
      <w:r w:rsidRPr="008A3EC2">
        <w:rPr>
          <w:rFonts w:eastAsia="Calibri" w:cs="Times New Roman"/>
        </w:rPr>
        <w:t>Ill. Admin. Code tit. 86, § 100.3500(a)(4)</w:t>
      </w:r>
    </w:p>
    <w:p w14:paraId="4060AB49" w14:textId="77777777" w:rsidR="0047413E" w:rsidRPr="008A3EC2" w:rsidRDefault="0047413E" w:rsidP="00DA31D7">
      <w:pPr>
        <w:ind w:left="720"/>
        <w:contextualSpacing/>
        <w:rPr>
          <w:rFonts w:eastAsia="Calibri" w:cs="Times New Roman"/>
        </w:rPr>
      </w:pPr>
    </w:p>
    <w:p w14:paraId="5797F87E" w14:textId="77777777" w:rsidR="0047413E" w:rsidRPr="008A3EC2" w:rsidRDefault="0047413E" w:rsidP="00DA31D7">
      <w:pPr>
        <w:ind w:left="1440"/>
        <w:contextualSpacing/>
        <w:rPr>
          <w:rFonts w:eastAsia="Calibri" w:cs="Times New Roman"/>
        </w:rPr>
      </w:pPr>
      <w:r w:rsidRPr="008A3EC2">
        <w:rPr>
          <w:rFonts w:eastAsia="Calibri" w:cs="Times New Roman"/>
        </w:rPr>
        <w:t>Except as provided in this subsection (a), all items of base income of a partner that are derived from the partnership shall be allocated or apportioned pursuant to this Section, including all items required to be separately stated to the partner under IRC section 703(a)(1), all guaranteed payments under IRC section 707(c), and all addition and subtraction modifications, but excluding items described in IRC section 707(a).</w:t>
      </w:r>
    </w:p>
    <w:p w14:paraId="2E974006" w14:textId="77777777" w:rsidR="0047413E" w:rsidRPr="008A3EC2" w:rsidRDefault="0047413E" w:rsidP="00DA31D7">
      <w:pPr>
        <w:ind w:left="720"/>
        <w:contextualSpacing/>
        <w:rPr>
          <w:rFonts w:eastAsia="Calibri" w:cs="Times New Roman"/>
        </w:rPr>
      </w:pPr>
    </w:p>
    <w:p w14:paraId="7B7FF36D" w14:textId="77777777" w:rsidR="0047413E" w:rsidRPr="008A3EC2" w:rsidRDefault="0047413E" w:rsidP="00DA31D7">
      <w:pPr>
        <w:ind w:left="720"/>
        <w:contextualSpacing/>
        <w:rPr>
          <w:rFonts w:eastAsia="Calibri" w:cs="Times New Roman"/>
        </w:rPr>
      </w:pPr>
      <w:r w:rsidRPr="008A3EC2">
        <w:rPr>
          <w:rFonts w:eastAsia="Calibri" w:cs="Times New Roman"/>
        </w:rPr>
        <w:t>Illinois General Information Letter IT 22-0006 (04/15.2022)</w:t>
      </w:r>
    </w:p>
    <w:p w14:paraId="76AAA736" w14:textId="77777777" w:rsidR="0047413E" w:rsidRPr="008A3EC2" w:rsidRDefault="0047413E" w:rsidP="00DA31D7">
      <w:pPr>
        <w:ind w:left="720"/>
        <w:contextualSpacing/>
        <w:rPr>
          <w:rFonts w:eastAsia="Calibri" w:cs="Times New Roman"/>
        </w:rPr>
      </w:pPr>
    </w:p>
    <w:p w14:paraId="0BDDC452" w14:textId="77777777" w:rsidR="0047413E" w:rsidRPr="008A3EC2" w:rsidRDefault="0047413E" w:rsidP="00DA31D7">
      <w:pPr>
        <w:ind w:left="1440"/>
        <w:contextualSpacing/>
        <w:rPr>
          <w:rFonts w:eastAsia="Calibri" w:cs="Times New Roman"/>
        </w:rPr>
      </w:pPr>
      <w:r w:rsidRPr="008A3EC2">
        <w:rPr>
          <w:rFonts w:eastAsia="Calibri" w:cs="Times New Roman"/>
        </w:rPr>
        <w:t>Nonresident partners apportion guaranteed payments to Illinois based on the apportionment factor of the partnership. Resident partners include the guaranteed payments in Illinois base income.</w:t>
      </w:r>
    </w:p>
    <w:p w14:paraId="55C14173" w14:textId="77777777" w:rsidR="0047413E" w:rsidRPr="008A3EC2" w:rsidRDefault="0047413E" w:rsidP="0047413E">
      <w:pPr>
        <w:pBdr>
          <w:bottom w:val="single" w:sz="4" w:space="1" w:color="auto"/>
        </w:pBdr>
        <w:rPr>
          <w:rFonts w:eastAsia="Calibri" w:cs="Times New Roman"/>
        </w:rPr>
      </w:pPr>
    </w:p>
    <w:p w14:paraId="71F8B37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4" w:name="_Toc144634486"/>
      <w:r w:rsidRPr="008A3EC2">
        <w:rPr>
          <w:rFonts w:ascii="Californian FB" w:eastAsia="Times New Roman" w:hAnsi="Californian FB" w:cs="Times New Roman"/>
          <w:b/>
          <w:color w:val="851C00"/>
          <w:sz w:val="24"/>
          <w:szCs w:val="24"/>
          <w:u w:val="single"/>
        </w:rPr>
        <w:t>Kansas</w:t>
      </w:r>
      <w:bookmarkEnd w:id="64"/>
    </w:p>
    <w:p w14:paraId="6D08C7A5" w14:textId="77777777" w:rsidR="0047413E" w:rsidRPr="008A3EC2" w:rsidRDefault="0047413E" w:rsidP="00DA31D7">
      <w:pPr>
        <w:ind w:left="720"/>
        <w:rPr>
          <w:rFonts w:eastAsia="Calibri" w:cs="Times New Roman"/>
        </w:rPr>
      </w:pPr>
      <w:r w:rsidRPr="008A3EC2">
        <w:rPr>
          <w:rFonts w:eastAsia="Calibri" w:cs="Times New Roman"/>
        </w:rPr>
        <w:t>SALT Parity Act FAQ (December 13, 2022)</w:t>
      </w:r>
    </w:p>
    <w:p w14:paraId="04DFFDCE" w14:textId="77777777" w:rsidR="0047413E" w:rsidRPr="008A3EC2" w:rsidRDefault="0047413E" w:rsidP="00DA31D7">
      <w:pPr>
        <w:ind w:left="1440"/>
        <w:rPr>
          <w:rFonts w:eastAsia="Calibri" w:cs="Times New Roman"/>
        </w:rPr>
      </w:pPr>
      <w:r w:rsidRPr="008A3EC2">
        <w:rPr>
          <w:rFonts w:eastAsia="Calibri" w:cs="Times New Roman"/>
        </w:rPr>
        <w:t>Guaranteed payments are included in determining the electing pass-through entity owner’s share of distributive income.</w:t>
      </w:r>
    </w:p>
    <w:p w14:paraId="20187ADD" w14:textId="77777777" w:rsidR="0047413E" w:rsidRPr="008A3EC2" w:rsidRDefault="0047413E" w:rsidP="0047413E">
      <w:pPr>
        <w:pBdr>
          <w:bottom w:val="single" w:sz="4" w:space="1" w:color="auto"/>
        </w:pBdr>
        <w:rPr>
          <w:rFonts w:eastAsia="Calibri" w:cs="Times New Roman"/>
        </w:rPr>
      </w:pPr>
    </w:p>
    <w:p w14:paraId="662E3E82"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5" w:name="_Toc144634487"/>
      <w:r w:rsidRPr="008A3EC2">
        <w:rPr>
          <w:rFonts w:ascii="Californian FB" w:eastAsia="Times New Roman" w:hAnsi="Californian FB" w:cs="Times New Roman"/>
          <w:b/>
          <w:color w:val="851C00"/>
          <w:sz w:val="24"/>
          <w:szCs w:val="24"/>
          <w:u w:val="single"/>
        </w:rPr>
        <w:t>Maine</w:t>
      </w:r>
      <w:bookmarkEnd w:id="65"/>
    </w:p>
    <w:p w14:paraId="1720F358" w14:textId="77777777" w:rsidR="0047413E" w:rsidRPr="008A3EC2" w:rsidRDefault="0047413E" w:rsidP="00DA31D7">
      <w:pPr>
        <w:ind w:left="720"/>
        <w:contextualSpacing/>
        <w:rPr>
          <w:rFonts w:eastAsia="Calibri" w:cs="Times New Roman"/>
        </w:rPr>
      </w:pPr>
      <w:r w:rsidRPr="008A3EC2">
        <w:rPr>
          <w:rFonts w:eastAsia="Calibri" w:cs="Times New Roman"/>
        </w:rPr>
        <w:t>36 M.R.S. § 5192.3</w:t>
      </w:r>
    </w:p>
    <w:p w14:paraId="662442F2" w14:textId="77777777" w:rsidR="0047413E" w:rsidRPr="008A3EC2" w:rsidRDefault="0047413E" w:rsidP="00DA31D7">
      <w:pPr>
        <w:ind w:left="720"/>
        <w:contextualSpacing/>
        <w:rPr>
          <w:rFonts w:eastAsia="Calibri" w:cs="Times New Roman"/>
        </w:rPr>
      </w:pPr>
    </w:p>
    <w:p w14:paraId="18291ECD" w14:textId="77777777" w:rsidR="0047413E" w:rsidRPr="008A3EC2" w:rsidRDefault="0047413E" w:rsidP="00DA31D7">
      <w:pPr>
        <w:ind w:left="1440"/>
        <w:rPr>
          <w:rFonts w:eastAsia="Calibri" w:cs="Times New Roman"/>
        </w:rPr>
      </w:pPr>
      <w:r w:rsidRPr="008A3EC2">
        <w:rPr>
          <w:rFonts w:eastAsia="Calibri" w:cs="Times New Roman"/>
        </w:rPr>
        <w:t xml:space="preserve">Special rules as to sources in this State.  In determining the sources of a nonresident partner's income, no effect shall be given to a provision in the partnership agreement which:  </w:t>
      </w:r>
    </w:p>
    <w:p w14:paraId="207B9222" w14:textId="77777777" w:rsidR="0047413E" w:rsidRPr="008A3EC2" w:rsidRDefault="0047413E" w:rsidP="00DA31D7">
      <w:pPr>
        <w:ind w:left="1440" w:firstLine="720"/>
        <w:rPr>
          <w:rFonts w:eastAsia="Calibri" w:cs="Times New Roman"/>
        </w:rPr>
      </w:pPr>
      <w:r w:rsidRPr="008A3EC2">
        <w:rPr>
          <w:rFonts w:eastAsia="Calibri" w:cs="Times New Roman"/>
        </w:rPr>
        <w:t xml:space="preserve">A. Characterizes payments to the partner as being for services or for the use of capital, or allocated to the partner, as income or gain from sources outside this State, a greater proportion of his distributive share of partnership income or gain than the ratio of partnership income or gain from sources outside this State to partnership income or gain from all sources except as authorized in subsection 5; or   </w:t>
      </w:r>
    </w:p>
    <w:p w14:paraId="42214ED2" w14:textId="77777777" w:rsidR="0047413E" w:rsidRPr="008A3EC2" w:rsidRDefault="0047413E" w:rsidP="00DA31D7">
      <w:pPr>
        <w:ind w:left="1440" w:firstLine="720"/>
        <w:rPr>
          <w:rFonts w:eastAsia="Calibri" w:cs="Times New Roman"/>
        </w:rPr>
      </w:pPr>
      <w:r w:rsidRPr="008A3EC2">
        <w:rPr>
          <w:rFonts w:eastAsia="Calibri" w:cs="Times New Roman"/>
        </w:rPr>
        <w:t>B. Allocates to the partner a greater proportion of a partnership item of loss or deduction connected with sources in this State than his proportionate share, for federal income tax purposes, of partnership loss or deduction generally, except as authorized in subsection 5.</w:t>
      </w:r>
    </w:p>
    <w:p w14:paraId="435308D1" w14:textId="77777777" w:rsidR="0047413E" w:rsidRPr="008A3EC2" w:rsidRDefault="0047413E" w:rsidP="0047413E">
      <w:pPr>
        <w:pBdr>
          <w:bottom w:val="single" w:sz="4" w:space="1" w:color="auto"/>
        </w:pBdr>
        <w:rPr>
          <w:rFonts w:eastAsia="Calibri" w:cs="Times New Roman"/>
        </w:rPr>
      </w:pPr>
    </w:p>
    <w:p w14:paraId="6386056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6" w:name="_Toc144634488"/>
      <w:r w:rsidRPr="008A3EC2">
        <w:rPr>
          <w:rFonts w:ascii="Californian FB" w:eastAsia="Times New Roman" w:hAnsi="Californian FB" w:cs="Times New Roman"/>
          <w:b/>
          <w:color w:val="851C00"/>
          <w:sz w:val="24"/>
          <w:szCs w:val="24"/>
          <w:u w:val="single"/>
        </w:rPr>
        <w:t>Maryland</w:t>
      </w:r>
      <w:bookmarkEnd w:id="66"/>
    </w:p>
    <w:p w14:paraId="278930B5" w14:textId="77777777" w:rsidR="0047413E" w:rsidRPr="008A3EC2" w:rsidRDefault="0047413E" w:rsidP="00DA31D7">
      <w:pPr>
        <w:ind w:left="720"/>
        <w:rPr>
          <w:rFonts w:eastAsia="Calibri" w:cs="Times New Roman"/>
        </w:rPr>
      </w:pPr>
      <w:r w:rsidRPr="008A3EC2">
        <w:rPr>
          <w:rFonts w:eastAsia="Calibri" w:cs="Times New Roman"/>
        </w:rPr>
        <w:t>Frequently Asked Questions on the Maryland Pass-through Entity Tax (December 27, 2021)</w:t>
      </w:r>
    </w:p>
    <w:p w14:paraId="551E5AC2" w14:textId="77777777" w:rsidR="0047413E" w:rsidRPr="008A3EC2" w:rsidRDefault="0047413E" w:rsidP="00DA31D7">
      <w:pPr>
        <w:ind w:left="1440"/>
        <w:rPr>
          <w:rFonts w:eastAsia="Calibri" w:cs="Times New Roman"/>
        </w:rPr>
      </w:pPr>
      <w:r w:rsidRPr="008A3EC2">
        <w:rPr>
          <w:rFonts w:eastAsia="Calibri" w:cs="Times New Roman"/>
        </w:rPr>
        <w:t>Equity partners’ pro rata share of profits, as well as guaranteed payments to equity or non-equity partners, are included in PTE taxable income. Guaranteed payments are considered distributive income. The deduction for guaranteed payments on federal Form 1065, Line 10 is added back to federal Form 1065, Schedule, K, Line 4.</w:t>
      </w:r>
    </w:p>
    <w:p w14:paraId="088C9780" w14:textId="77777777" w:rsidR="0047413E" w:rsidRPr="008A3EC2" w:rsidRDefault="0047413E" w:rsidP="0047413E">
      <w:pPr>
        <w:pBdr>
          <w:bottom w:val="single" w:sz="4" w:space="0" w:color="auto"/>
        </w:pBdr>
        <w:rPr>
          <w:rFonts w:eastAsia="Calibri" w:cs="Times New Roman"/>
        </w:rPr>
      </w:pPr>
    </w:p>
    <w:p w14:paraId="149CC6DF"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7" w:name="_Toc144634489"/>
      <w:r w:rsidRPr="008A3EC2">
        <w:rPr>
          <w:rFonts w:ascii="Californian FB" w:eastAsia="Times New Roman" w:hAnsi="Californian FB" w:cs="Times New Roman"/>
          <w:b/>
          <w:color w:val="851C00"/>
          <w:sz w:val="24"/>
          <w:szCs w:val="24"/>
          <w:u w:val="single"/>
        </w:rPr>
        <w:t>Massachusetts</w:t>
      </w:r>
      <w:bookmarkEnd w:id="67"/>
    </w:p>
    <w:p w14:paraId="5D86036B" w14:textId="77777777" w:rsidR="0047413E" w:rsidRPr="008A3EC2" w:rsidRDefault="0047413E" w:rsidP="00DA31D7">
      <w:pPr>
        <w:ind w:left="720"/>
        <w:rPr>
          <w:rFonts w:eastAsia="Calibri" w:cs="Times New Roman"/>
        </w:rPr>
      </w:pPr>
      <w:r w:rsidRPr="008A3EC2">
        <w:rPr>
          <w:rFonts w:eastAsia="Calibri" w:cs="Times New Roman"/>
        </w:rPr>
        <w:t>830 Mass. Code Regs. 62.5A.1</w:t>
      </w:r>
    </w:p>
    <w:p w14:paraId="793E18BA" w14:textId="77777777" w:rsidR="0047413E" w:rsidRPr="008A3EC2" w:rsidRDefault="0047413E" w:rsidP="00DA31D7">
      <w:pPr>
        <w:ind w:left="1440"/>
        <w:rPr>
          <w:rFonts w:eastAsia="Calibri" w:cs="Times New Roman"/>
        </w:rPr>
      </w:pPr>
      <w:r w:rsidRPr="008A3EC2">
        <w:rPr>
          <w:rFonts w:eastAsia="Calibri" w:cs="Times New Roman"/>
        </w:rPr>
        <w:t>(6) Rules for Allocation or Apportionment of Income to Massachusetts for Non-resident Members of Pass-through Entities. A pass-through entity that earns or derives income from sources both within Massachusetts and elsewhere must either allocate or apportion the income to determine the amount of Massachusetts source income of its non-resident members, using the following allocation and apportionment provisions. 830 CMR 62.5A 1(6) applies to pass-through entities with non-resident members that have Massachusetts source income. Non-resident individuals use the rules at 830 CMR 62.5A.1(5). The Commissioner may by rule or other public statement create alternate allocation and apportionment methods.</w:t>
      </w:r>
    </w:p>
    <w:p w14:paraId="5E47973F" w14:textId="77777777" w:rsidR="0047413E" w:rsidRPr="008A3EC2" w:rsidRDefault="0047413E" w:rsidP="00DA31D7">
      <w:pPr>
        <w:ind w:left="1440" w:firstLine="720"/>
        <w:rPr>
          <w:rFonts w:eastAsia="Calibri" w:cs="Times New Roman"/>
        </w:rPr>
      </w:pPr>
      <w:r w:rsidRPr="008A3EC2">
        <w:rPr>
          <w:rFonts w:eastAsia="Calibri" w:cs="Times New Roman"/>
        </w:rPr>
        <w:t xml:space="preserve">(a) General. A pass-through entity that has income that is taxable both within and outside of Massachusetts must report the member's apportioned share of income to the member. To arrive at the apportioned income figure, the pass-through entity </w:t>
      </w:r>
      <w:r w:rsidRPr="008A3EC2">
        <w:rPr>
          <w:rFonts w:eastAsia="Calibri" w:cs="Times New Roman"/>
        </w:rPr>
        <w:lastRenderedPageBreak/>
        <w:t>must multiply its taxable net income by the apportionment percentage determined under M.G.L. c. 63, § 38(c) through (g) and 830 CMR 63.38.1. For Massachusetts purposes, the pass-through entity's income subject to apportionment is its entire net income derived from its related business activities, as that term is defined at 830 CMR 62.5A.1(2), and further described at 830 CMR 62.5A.1(6)(d), within and outside of Massachusetts. The entity's income subject to Massachusetts tax is its apportioned net income derived from its related business activities, plus any other income subject to the tax jurisdiction of Massachusetts. Guaranteed payments made to pass-through entity members are treated as other income of the pass-through entity is treated, and are subject to the apportionment rules in 830 CMR 62.5A.1(6)(a).</w:t>
      </w:r>
    </w:p>
    <w:p w14:paraId="4DE5001A" w14:textId="77777777" w:rsidR="0047413E" w:rsidRPr="008A3EC2" w:rsidRDefault="0047413E" w:rsidP="00DA31D7">
      <w:pPr>
        <w:ind w:left="720"/>
        <w:rPr>
          <w:rFonts w:eastAsia="Calibri" w:cs="Times New Roman"/>
        </w:rPr>
      </w:pPr>
      <w:r w:rsidRPr="008A3EC2">
        <w:rPr>
          <w:rFonts w:eastAsia="Calibri" w:cs="Times New Roman"/>
        </w:rPr>
        <w:t>Massachusetts Technical Information Release No. 22-6 (March 18, 2022)</w:t>
      </w:r>
    </w:p>
    <w:p w14:paraId="6541B132" w14:textId="77777777" w:rsidR="0047413E" w:rsidRPr="00FF4B36" w:rsidRDefault="0047413E" w:rsidP="00DA31D7">
      <w:pPr>
        <w:ind w:left="1440"/>
        <w:rPr>
          <w:rFonts w:eastAsia="Calibri" w:cs="Times New Roman"/>
        </w:rPr>
      </w:pPr>
      <w:r w:rsidRPr="00FF4B36">
        <w:rPr>
          <w:rFonts w:eastAsia="Calibri" w:cs="Times New Roman"/>
        </w:rPr>
        <w:t>PTE Excise is imposed on the total amount of an entity's income that passes through to qualified members and that is subject to tax under chapter 62, as reported by the entity to its members on the entity's Massachusetts Schedule K-1s, including guaranteed payments.</w:t>
      </w:r>
    </w:p>
    <w:p w14:paraId="2437BD82" w14:textId="77777777" w:rsidR="0047413E" w:rsidRPr="008A3EC2" w:rsidRDefault="0047413E" w:rsidP="0047413E">
      <w:pPr>
        <w:pBdr>
          <w:bottom w:val="single" w:sz="4" w:space="1" w:color="auto"/>
        </w:pBdr>
        <w:rPr>
          <w:rFonts w:eastAsia="Calibri" w:cs="Times New Roman"/>
        </w:rPr>
      </w:pPr>
      <w:bookmarkStart w:id="68" w:name="_Toc104209240"/>
    </w:p>
    <w:p w14:paraId="096DDEC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9" w:name="_Toc144634490"/>
      <w:r w:rsidRPr="008A3EC2">
        <w:rPr>
          <w:rFonts w:ascii="Californian FB" w:eastAsia="Times New Roman" w:hAnsi="Californian FB" w:cs="Times New Roman"/>
          <w:b/>
          <w:color w:val="851C00"/>
          <w:sz w:val="24"/>
          <w:szCs w:val="24"/>
          <w:u w:val="single"/>
        </w:rPr>
        <w:t>Michigan</w:t>
      </w:r>
      <w:bookmarkEnd w:id="69"/>
    </w:p>
    <w:p w14:paraId="570719E8" w14:textId="77777777" w:rsidR="0047413E" w:rsidRPr="008A3EC2" w:rsidRDefault="0047413E" w:rsidP="00DA31D7">
      <w:pPr>
        <w:ind w:left="720"/>
        <w:rPr>
          <w:rFonts w:eastAsia="Calibri" w:cs="Times New Roman"/>
        </w:rPr>
      </w:pPr>
      <w:r w:rsidRPr="008A3EC2">
        <w:rPr>
          <w:rFonts w:eastAsia="Calibri" w:cs="Times New Roman"/>
        </w:rPr>
        <w:t>Michigan Revenue Administrative Bulletin 1988-31 (05/27/1988)</w:t>
      </w:r>
    </w:p>
    <w:p w14:paraId="4679AEED" w14:textId="77777777" w:rsidR="0047413E" w:rsidRPr="008A3EC2" w:rsidRDefault="0047413E" w:rsidP="00DA31D7">
      <w:pPr>
        <w:ind w:left="1440"/>
        <w:rPr>
          <w:rFonts w:eastAsia="Calibri" w:cs="Times New Roman"/>
        </w:rPr>
      </w:pPr>
      <w:r w:rsidRPr="008A3EC2">
        <w:rPr>
          <w:rFonts w:eastAsia="Calibri" w:cs="Times New Roman"/>
        </w:rPr>
        <w:t>A guaranteed payment as defined under the Internal Revenue Code of 1986 Section 707(c) which is determined to be compensation for services rendered or for the use of capital is not considered a distributive share of the partnership's profits. The payment, to the extent included in federal adjusted gross income, is characterized as compensation or interest on the individual's return. . . A nonresident partner is taxed on a guaranteed payment to the extent the payment is includable in federal adjusted gross income and is for compensation received for personal services performed in this State. A guaranteed payment for the use of capital is allocated to the nonresident partner's state of domicile.</w:t>
      </w:r>
    </w:p>
    <w:p w14:paraId="2459E957" w14:textId="77777777" w:rsidR="0047413E" w:rsidRPr="008A3EC2" w:rsidRDefault="0047413E" w:rsidP="00DA31D7">
      <w:pPr>
        <w:ind w:left="720"/>
        <w:rPr>
          <w:rFonts w:eastAsia="Calibri" w:cs="Times New Roman"/>
        </w:rPr>
      </w:pPr>
      <w:r w:rsidRPr="008A3EC2">
        <w:rPr>
          <w:rFonts w:eastAsia="Calibri" w:cs="Times New Roman"/>
        </w:rPr>
        <w:t>Mich. Comp. Laws § 206.815</w:t>
      </w:r>
    </w:p>
    <w:p w14:paraId="285967DA" w14:textId="77777777" w:rsidR="0047413E" w:rsidRPr="008A3EC2" w:rsidRDefault="0047413E" w:rsidP="00DA31D7">
      <w:pPr>
        <w:ind w:left="1440"/>
        <w:rPr>
          <w:rFonts w:eastAsia="Calibri" w:cs="Times New Roman"/>
        </w:rPr>
      </w:pPr>
      <w:r w:rsidRPr="008A3EC2">
        <w:rPr>
          <w:rFonts w:eastAsia="Calibri" w:cs="Times New Roman"/>
        </w:rPr>
        <w:t>Deduct guaranteed payments for services rendered by a member who is an individual to the extent that those guaranteed payments were included in federal taxable income</w:t>
      </w:r>
      <w:r>
        <w:rPr>
          <w:rFonts w:eastAsia="Calibri" w:cs="Times New Roman"/>
        </w:rPr>
        <w:t>.</w:t>
      </w:r>
    </w:p>
    <w:p w14:paraId="08F1E759" w14:textId="77777777" w:rsidR="0047413E" w:rsidRPr="008A3EC2" w:rsidRDefault="0047413E" w:rsidP="0047413E">
      <w:pPr>
        <w:pBdr>
          <w:bottom w:val="single" w:sz="4" w:space="0" w:color="auto"/>
        </w:pBdr>
        <w:rPr>
          <w:rFonts w:eastAsia="Calibri" w:cs="Times New Roman"/>
        </w:rPr>
      </w:pPr>
    </w:p>
    <w:p w14:paraId="4344E9F1"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0" w:name="_Toc144634491"/>
      <w:r w:rsidRPr="008A3EC2">
        <w:rPr>
          <w:rFonts w:ascii="Californian FB" w:eastAsia="Times New Roman" w:hAnsi="Californian FB" w:cs="Times New Roman"/>
          <w:b/>
          <w:color w:val="851C00"/>
          <w:sz w:val="24"/>
          <w:szCs w:val="24"/>
          <w:u w:val="single"/>
        </w:rPr>
        <w:t>M</w:t>
      </w:r>
      <w:bookmarkEnd w:id="68"/>
      <w:r w:rsidRPr="008A3EC2">
        <w:rPr>
          <w:rFonts w:ascii="Californian FB" w:eastAsia="Times New Roman" w:hAnsi="Californian FB" w:cs="Times New Roman"/>
          <w:b/>
          <w:color w:val="851C00"/>
          <w:sz w:val="24"/>
          <w:szCs w:val="24"/>
          <w:u w:val="single"/>
        </w:rPr>
        <w:t>innesota</w:t>
      </w:r>
      <w:bookmarkEnd w:id="70"/>
    </w:p>
    <w:p w14:paraId="45CFADA0" w14:textId="77777777" w:rsidR="0047413E" w:rsidRDefault="0047413E" w:rsidP="00DA31D7">
      <w:pPr>
        <w:ind w:left="720"/>
        <w:contextualSpacing/>
        <w:rPr>
          <w:rFonts w:eastAsia="Calibri" w:cs="Times New Roman"/>
        </w:rPr>
      </w:pPr>
      <w:r w:rsidRPr="008A3EC2">
        <w:rPr>
          <w:rFonts w:eastAsia="Calibri" w:cs="Times New Roman"/>
        </w:rPr>
        <w:t>Minn. R. 8002.0200(3)</w:t>
      </w:r>
    </w:p>
    <w:p w14:paraId="78D14C3E" w14:textId="77777777" w:rsidR="00DA31D7" w:rsidRPr="008A3EC2" w:rsidRDefault="00DA31D7" w:rsidP="00DA31D7">
      <w:pPr>
        <w:ind w:left="720"/>
        <w:contextualSpacing/>
        <w:rPr>
          <w:rFonts w:eastAsia="Calibri" w:cs="Times New Roman"/>
        </w:rPr>
      </w:pPr>
    </w:p>
    <w:p w14:paraId="4B449C41" w14:textId="77777777" w:rsidR="0047413E" w:rsidRPr="008A3EC2" w:rsidRDefault="0047413E" w:rsidP="00DA31D7">
      <w:pPr>
        <w:ind w:left="1440"/>
        <w:rPr>
          <w:rFonts w:eastAsia="Calibri" w:cs="Times New Roman"/>
        </w:rPr>
      </w:pPr>
      <w:r w:rsidRPr="008A3EC2">
        <w:rPr>
          <w:rFonts w:eastAsia="Calibri" w:cs="Times New Roman"/>
        </w:rPr>
        <w:t>Income received by a nonresident, which is the distributive share of partnership income from personal or professional services which are performed in Minnesota, is assignable to Minnesota in the same proportion as the partnership income is assignable to Minnesota even though the nonresident partner performed no personal or professional services in Minnesota during that year.</w:t>
      </w:r>
    </w:p>
    <w:p w14:paraId="72657830" w14:textId="77777777" w:rsidR="0047413E" w:rsidRDefault="0047413E" w:rsidP="008C5D0D">
      <w:pPr>
        <w:ind w:left="720"/>
        <w:contextualSpacing/>
        <w:rPr>
          <w:rFonts w:eastAsia="Calibri" w:cs="Times New Roman"/>
        </w:rPr>
      </w:pPr>
      <w:r w:rsidRPr="008A3EC2">
        <w:rPr>
          <w:rFonts w:eastAsia="Calibri" w:cs="Times New Roman"/>
        </w:rPr>
        <w:t>Form M3 Instructions for 2022</w:t>
      </w:r>
    </w:p>
    <w:p w14:paraId="4785F0F5" w14:textId="77777777" w:rsidR="00DA31D7" w:rsidRPr="008A3EC2" w:rsidRDefault="00DA31D7" w:rsidP="008C5D0D">
      <w:pPr>
        <w:ind w:left="720"/>
        <w:contextualSpacing/>
        <w:rPr>
          <w:rFonts w:eastAsia="Calibri" w:cs="Times New Roman"/>
        </w:rPr>
      </w:pPr>
    </w:p>
    <w:p w14:paraId="39C0B735" w14:textId="77777777" w:rsidR="0047413E" w:rsidRPr="008A3EC2" w:rsidRDefault="0047413E" w:rsidP="008C5D0D">
      <w:pPr>
        <w:ind w:left="1440"/>
        <w:contextualSpacing/>
        <w:rPr>
          <w:rFonts w:eastAsia="Calibri" w:cs="Times New Roman"/>
        </w:rPr>
      </w:pPr>
      <w:r w:rsidRPr="008A3EC2">
        <w:rPr>
          <w:rFonts w:eastAsia="Calibri" w:cs="Times New Roman"/>
        </w:rPr>
        <w:t>Guaranteed payments to partners (including for services and use of capital) make up a portion of the partner’s distributive share of partnership income. Accordingly, to determine the Minnesota portion of each partner’s share of guaranteed payments, multiply the amount reported to the partner on Schedule K-1, line 4, to Minnesota using the same apportionment percentage or assignment ratio used to allocate the income from which the guaranteed payment was deducted federally.</w:t>
      </w:r>
    </w:p>
    <w:p w14:paraId="31414A24" w14:textId="77777777" w:rsidR="0047413E" w:rsidRPr="008A3EC2" w:rsidRDefault="0047413E" w:rsidP="0047413E">
      <w:pPr>
        <w:pBdr>
          <w:bottom w:val="single" w:sz="4" w:space="1" w:color="auto"/>
        </w:pBdr>
        <w:rPr>
          <w:rFonts w:eastAsia="Calibri" w:cs="Times New Roman"/>
        </w:rPr>
      </w:pPr>
      <w:bookmarkStart w:id="71" w:name="_Toc104209241"/>
    </w:p>
    <w:p w14:paraId="30C61169"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2" w:name="_Toc144634492"/>
      <w:r w:rsidRPr="008A3EC2">
        <w:rPr>
          <w:rFonts w:ascii="Californian FB" w:eastAsia="Times New Roman" w:hAnsi="Californian FB" w:cs="Times New Roman"/>
          <w:b/>
          <w:color w:val="851C00"/>
          <w:sz w:val="24"/>
          <w:szCs w:val="24"/>
          <w:u w:val="single"/>
        </w:rPr>
        <w:t>Mississippi</w:t>
      </w:r>
      <w:bookmarkEnd w:id="72"/>
    </w:p>
    <w:p w14:paraId="3996A3D0" w14:textId="77777777" w:rsidR="0047413E" w:rsidRPr="008A3EC2" w:rsidRDefault="0047413E" w:rsidP="00DA31D7">
      <w:pPr>
        <w:ind w:left="720"/>
        <w:rPr>
          <w:rFonts w:eastAsia="Calibri" w:cs="Times New Roman"/>
        </w:rPr>
      </w:pPr>
      <w:r w:rsidRPr="008A3EC2">
        <w:rPr>
          <w:rFonts w:eastAsia="Calibri" w:cs="Times New Roman"/>
        </w:rPr>
        <w:t>Miss. Code R. § 35.III.9.01.101.4</w:t>
      </w:r>
    </w:p>
    <w:p w14:paraId="63174504" w14:textId="77777777" w:rsidR="0047413E" w:rsidRPr="008A3EC2" w:rsidRDefault="0047413E" w:rsidP="00DA31D7">
      <w:pPr>
        <w:ind w:left="1440"/>
        <w:rPr>
          <w:rFonts w:eastAsia="Calibri" w:cs="Times New Roman"/>
        </w:rPr>
      </w:pPr>
      <w:r w:rsidRPr="008A3EC2">
        <w:rPr>
          <w:rFonts w:eastAsia="Calibri" w:cs="Times New Roman"/>
        </w:rPr>
        <w:t>Payments made to a partner for services rendered and for interest on capital contributions are not deductible in computing the net income of the partnership, such payments being held to represent a division of partner profits.</w:t>
      </w:r>
    </w:p>
    <w:p w14:paraId="0EBF9E38" w14:textId="77777777" w:rsidR="0047413E" w:rsidRPr="008A3EC2" w:rsidRDefault="0047413E" w:rsidP="0047413E">
      <w:pPr>
        <w:pBdr>
          <w:bottom w:val="single" w:sz="4" w:space="1" w:color="auto"/>
        </w:pBdr>
        <w:rPr>
          <w:rFonts w:eastAsia="Calibri" w:cs="Times New Roman"/>
        </w:rPr>
      </w:pPr>
    </w:p>
    <w:p w14:paraId="6825962B"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3" w:name="_Toc144634493"/>
      <w:r w:rsidRPr="008A3EC2">
        <w:rPr>
          <w:rFonts w:ascii="Californian FB" w:eastAsia="Times New Roman" w:hAnsi="Californian FB" w:cs="Times New Roman"/>
          <w:b/>
          <w:color w:val="851C00"/>
          <w:sz w:val="24"/>
          <w:szCs w:val="24"/>
          <w:u w:val="single"/>
        </w:rPr>
        <w:t>Missouri</w:t>
      </w:r>
      <w:bookmarkEnd w:id="73"/>
    </w:p>
    <w:p w14:paraId="04FEE8EF" w14:textId="77777777" w:rsidR="0047413E" w:rsidRPr="008A3EC2" w:rsidRDefault="0047413E" w:rsidP="00DA31D7">
      <w:pPr>
        <w:ind w:left="720"/>
        <w:rPr>
          <w:rFonts w:eastAsia="Calibri" w:cs="Times New Roman"/>
        </w:rPr>
      </w:pPr>
      <w:r w:rsidRPr="008A3EC2">
        <w:rPr>
          <w:rFonts w:eastAsia="Calibri" w:cs="Times New Roman"/>
        </w:rPr>
        <w:t>Mo. Rev. Stat. § 143.421</w:t>
      </w:r>
    </w:p>
    <w:p w14:paraId="423ACF39" w14:textId="77777777" w:rsidR="0047413E" w:rsidRPr="008A3EC2" w:rsidRDefault="0047413E" w:rsidP="00DA31D7">
      <w:pPr>
        <w:ind w:left="1440"/>
        <w:rPr>
          <w:rFonts w:eastAsia="Calibri" w:cs="Times New Roman"/>
        </w:rPr>
      </w:pPr>
      <w:r w:rsidRPr="008A3EC2">
        <w:rPr>
          <w:rFonts w:eastAsia="Calibri" w:cs="Times New Roman"/>
        </w:rPr>
        <w:t>2. In determining the source of a nonresident partner's adjusted gross income, no effect shall be given to a provision in the partnership agreement which:</w:t>
      </w:r>
    </w:p>
    <w:p w14:paraId="652C9299" w14:textId="77777777" w:rsidR="0047413E" w:rsidRPr="008A3EC2" w:rsidRDefault="0047413E" w:rsidP="00DA31D7">
      <w:pPr>
        <w:ind w:left="1440" w:firstLine="720"/>
        <w:rPr>
          <w:rFonts w:eastAsia="Calibri" w:cs="Times New Roman"/>
        </w:rPr>
      </w:pPr>
      <w:r w:rsidRPr="008A3EC2">
        <w:rPr>
          <w:rFonts w:eastAsia="Calibri" w:cs="Times New Roman"/>
        </w:rPr>
        <w:t>(1) Characterizes payments to the partner as being for services or for the use of capital, or allocated to the partner, as income or gain from sources outside this state, a greater proportion of his distributive share of partnership income or gain than the ratio of partnership income or gain from sources outside this state to partnership income or gain from all sources, except as authorized in subsection 4; . . .</w:t>
      </w:r>
    </w:p>
    <w:p w14:paraId="7A00F010" w14:textId="77777777" w:rsidR="0047413E" w:rsidRPr="008A3EC2" w:rsidRDefault="0047413E" w:rsidP="0047413E">
      <w:pPr>
        <w:pBdr>
          <w:bottom w:val="single" w:sz="4" w:space="1" w:color="auto"/>
        </w:pBdr>
        <w:rPr>
          <w:rFonts w:eastAsia="Calibri" w:cs="Times New Roman"/>
        </w:rPr>
      </w:pPr>
    </w:p>
    <w:p w14:paraId="11069904"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4" w:name="_Toc144634494"/>
      <w:r w:rsidRPr="008A3EC2">
        <w:rPr>
          <w:rFonts w:ascii="Californian FB" w:eastAsia="Times New Roman" w:hAnsi="Californian FB" w:cs="Times New Roman"/>
          <w:b/>
          <w:color w:val="851C00"/>
          <w:sz w:val="24"/>
          <w:szCs w:val="24"/>
          <w:u w:val="single"/>
        </w:rPr>
        <w:t>Montana</w:t>
      </w:r>
      <w:bookmarkEnd w:id="74"/>
    </w:p>
    <w:p w14:paraId="4528E407" w14:textId="77777777" w:rsidR="0047413E" w:rsidRPr="008A3EC2" w:rsidRDefault="0047413E" w:rsidP="00DA31D7">
      <w:pPr>
        <w:ind w:left="720"/>
        <w:rPr>
          <w:rFonts w:eastAsia="Calibri" w:cs="Times New Roman"/>
        </w:rPr>
      </w:pPr>
      <w:r w:rsidRPr="008A3EC2">
        <w:rPr>
          <w:rFonts w:eastAsia="Calibri" w:cs="Times New Roman"/>
        </w:rPr>
        <w:t>Mont. Admin. R. 42.9.303</w:t>
      </w:r>
    </w:p>
    <w:p w14:paraId="4CC0B583" w14:textId="77777777" w:rsidR="0047413E" w:rsidRPr="008A3EC2" w:rsidRDefault="0047413E" w:rsidP="00DA31D7">
      <w:pPr>
        <w:ind w:left="1440"/>
        <w:rPr>
          <w:rFonts w:eastAsia="Calibri" w:cs="Times New Roman"/>
        </w:rPr>
      </w:pPr>
      <w:r w:rsidRPr="008A3EC2">
        <w:rPr>
          <w:rFonts w:eastAsia="Calibri" w:cs="Times New Roman"/>
        </w:rPr>
        <w:t>(1) Except as provided in (2) and (3), guaranteed payments made to individual partners pursuant to section 707 of the Internal Revenue Code, 26 U.S.C. 707, are sourced to Montana based upon the Montana apportionment factor of the partnership. For example:</w:t>
      </w:r>
    </w:p>
    <w:p w14:paraId="18003BAF" w14:textId="77777777" w:rsidR="0047413E" w:rsidRPr="008A3EC2" w:rsidRDefault="0047413E" w:rsidP="00DA31D7">
      <w:pPr>
        <w:ind w:left="1440" w:firstLine="720"/>
        <w:rPr>
          <w:rFonts w:eastAsia="Calibri" w:cs="Times New Roman"/>
        </w:rPr>
      </w:pPr>
      <w:r w:rsidRPr="008A3EC2">
        <w:rPr>
          <w:rFonts w:eastAsia="Calibri" w:cs="Times New Roman"/>
        </w:rPr>
        <w:t>(a) A nonresident taxpayer's federal adjusted gross income includes three hundred thousand dollars ($300,000) of guaranteed payments for a designated use of capital received from a partnership that has a fifty percent (50%) Montana apportionment factor. One hundred and fifty thousand dollars ($150,000) of the guaranteed payments are included in the partner's gross income from Montana sources based on the apportionment factor of the partnership.</w:t>
      </w:r>
    </w:p>
    <w:p w14:paraId="5BFE5AED" w14:textId="77777777" w:rsidR="0047413E" w:rsidRPr="008A3EC2" w:rsidRDefault="0047413E" w:rsidP="00DA31D7">
      <w:pPr>
        <w:ind w:left="1440"/>
        <w:rPr>
          <w:rFonts w:eastAsia="Calibri" w:cs="Times New Roman"/>
        </w:rPr>
      </w:pPr>
      <w:r w:rsidRPr="008A3EC2">
        <w:rPr>
          <w:rFonts w:eastAsia="Calibri" w:cs="Times New Roman"/>
        </w:rPr>
        <w:t>(2) Guaranteed payments made to a retired partner, per 4 U.S.C., section 114(b)(1)(I), are sourced to the recipient's state of domicile.</w:t>
      </w:r>
    </w:p>
    <w:p w14:paraId="47F31256" w14:textId="77777777" w:rsidR="0047413E" w:rsidRPr="008A3EC2" w:rsidRDefault="0047413E" w:rsidP="00DA31D7">
      <w:pPr>
        <w:ind w:left="1440"/>
        <w:rPr>
          <w:rFonts w:eastAsia="Calibri" w:cs="Times New Roman"/>
        </w:rPr>
      </w:pPr>
      <w:r w:rsidRPr="008A3EC2">
        <w:rPr>
          <w:rFonts w:eastAsia="Calibri" w:cs="Times New Roman"/>
        </w:rPr>
        <w:t>(3) Guaranteed payments made to an individual partner as compensation for services are sourced to Montana if the services provided by the individual partner are performed in the state. For example:</w:t>
      </w:r>
    </w:p>
    <w:p w14:paraId="531337B8" w14:textId="77777777" w:rsidR="0047413E" w:rsidRPr="008A3EC2" w:rsidRDefault="0047413E" w:rsidP="00DA31D7">
      <w:pPr>
        <w:ind w:left="1440" w:firstLine="720"/>
        <w:rPr>
          <w:rFonts w:eastAsia="Calibri" w:cs="Times New Roman"/>
        </w:rPr>
      </w:pPr>
      <w:r w:rsidRPr="008A3EC2">
        <w:rPr>
          <w:rFonts w:eastAsia="Calibri" w:cs="Times New Roman"/>
        </w:rPr>
        <w:t>(a) A nonresident taxpayer's federal adjusted gross income includes five thousand dollars ($5,000) of guaranteed payments for services performed outside of Montana received from a partnership that has a fifty percent (50%) Montana apportionment factor. None of the guaranteed payments are included in the partner's gross income from Montana sources because the services were performed outside of Montana.</w:t>
      </w:r>
    </w:p>
    <w:p w14:paraId="234D7CD1" w14:textId="77777777" w:rsidR="0047413E" w:rsidRPr="008A3EC2" w:rsidRDefault="0047413E" w:rsidP="00DA31D7">
      <w:pPr>
        <w:ind w:left="1440" w:firstLine="720"/>
        <w:rPr>
          <w:rFonts w:eastAsia="Calibri" w:cs="Times New Roman"/>
        </w:rPr>
      </w:pPr>
      <w:r w:rsidRPr="008A3EC2">
        <w:rPr>
          <w:rFonts w:eastAsia="Calibri" w:cs="Times New Roman"/>
        </w:rPr>
        <w:t xml:space="preserve">(b) A nonresident taxpayer's federal adjusted gross income includes five thousand dollars ($5,000) of guaranteed payments for services performed in Montana received from a partnership that has a fifty percent (50%) Montana apportionment </w:t>
      </w:r>
      <w:r w:rsidRPr="008A3EC2">
        <w:rPr>
          <w:rFonts w:eastAsia="Calibri" w:cs="Times New Roman"/>
        </w:rPr>
        <w:lastRenderedPageBreak/>
        <w:t>factor. All of the guaranteed payments are included in the partner's gross income from Montana sources because the services were performed in Montana.</w:t>
      </w:r>
    </w:p>
    <w:p w14:paraId="6EBA11C6" w14:textId="77777777" w:rsidR="0047413E" w:rsidRPr="008A3EC2" w:rsidRDefault="0047413E" w:rsidP="0047413E">
      <w:pPr>
        <w:pBdr>
          <w:bottom w:val="single" w:sz="4" w:space="1" w:color="auto"/>
        </w:pBdr>
        <w:rPr>
          <w:rFonts w:eastAsia="Calibri" w:cs="Times New Roman"/>
        </w:rPr>
      </w:pPr>
    </w:p>
    <w:p w14:paraId="7348CD71"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5" w:name="_Toc144634495"/>
      <w:r w:rsidRPr="008A3EC2">
        <w:rPr>
          <w:rFonts w:ascii="Californian FB" w:eastAsia="Times New Roman" w:hAnsi="Californian FB" w:cs="Times New Roman"/>
          <w:b/>
          <w:color w:val="851C00"/>
          <w:sz w:val="24"/>
          <w:szCs w:val="24"/>
          <w:u w:val="single"/>
        </w:rPr>
        <w:t>Nebraska</w:t>
      </w:r>
      <w:bookmarkEnd w:id="75"/>
    </w:p>
    <w:p w14:paraId="4AFE5346" w14:textId="77777777" w:rsidR="0047413E" w:rsidRPr="008A3EC2" w:rsidRDefault="0047413E" w:rsidP="00DA31D7">
      <w:pPr>
        <w:ind w:left="720"/>
        <w:rPr>
          <w:rFonts w:eastAsia="Calibri" w:cs="Times New Roman"/>
        </w:rPr>
      </w:pPr>
      <w:r w:rsidRPr="008A3EC2">
        <w:rPr>
          <w:rFonts w:eastAsia="Calibri" w:cs="Times New Roman"/>
        </w:rPr>
        <w:t>Neb. Rev. Stat. § 77-2729(2)</w:t>
      </w:r>
    </w:p>
    <w:p w14:paraId="19CD7B93" w14:textId="77777777" w:rsidR="0047413E" w:rsidRPr="008A3EC2" w:rsidRDefault="0047413E" w:rsidP="00DA31D7">
      <w:pPr>
        <w:ind w:left="1440"/>
        <w:rPr>
          <w:rFonts w:eastAsia="Calibri" w:cs="Times New Roman"/>
        </w:rPr>
      </w:pPr>
      <w:r w:rsidRPr="008A3EC2">
        <w:rPr>
          <w:rFonts w:eastAsia="Calibri" w:cs="Times New Roman"/>
        </w:rPr>
        <w:t>In determining the sources of a nonresident partner's income, no effect shall be given to a provision in the partnership agreement which:</w:t>
      </w:r>
    </w:p>
    <w:p w14:paraId="7B0A7364" w14:textId="77777777" w:rsidR="0047413E" w:rsidRPr="008A3EC2" w:rsidRDefault="0047413E" w:rsidP="00DA31D7">
      <w:pPr>
        <w:ind w:left="1440" w:firstLine="720"/>
        <w:rPr>
          <w:rFonts w:eastAsia="Calibri" w:cs="Times New Roman"/>
        </w:rPr>
      </w:pPr>
      <w:r w:rsidRPr="008A3EC2">
        <w:rPr>
          <w:rFonts w:eastAsia="Calibri" w:cs="Times New Roman"/>
        </w:rPr>
        <w:t>(a) Characterizes payments to the partner as being for services or for the use of capital, or allocated to the partner, as income or gain from sources outside this state, a greater proportion of his or her distributive share of partnership income or gain than the ratio of partnership income or gain from sources outside this state to partnership income or gain from all sources, except as authorized in subsection (4) of this section; or</w:t>
      </w:r>
    </w:p>
    <w:p w14:paraId="5AF9BDFC" w14:textId="77777777" w:rsidR="0047413E" w:rsidRPr="008A3EC2" w:rsidRDefault="0047413E" w:rsidP="00DA31D7">
      <w:pPr>
        <w:ind w:left="1440" w:firstLine="720"/>
        <w:rPr>
          <w:rFonts w:eastAsia="Calibri" w:cs="Times New Roman"/>
        </w:rPr>
      </w:pPr>
      <w:r w:rsidRPr="008A3EC2">
        <w:rPr>
          <w:rFonts w:eastAsia="Calibri" w:cs="Times New Roman"/>
        </w:rPr>
        <w:t>(b) Allocates to the partner a greater proportion of a partnership item of loss or deduction connected with sources in this state than his or her proportionate share, for federal income tax purposes, of partnership loss or deduction generally, except as authorized in subsection (4) of this section.</w:t>
      </w:r>
    </w:p>
    <w:p w14:paraId="39FA53B9" w14:textId="77777777" w:rsidR="0047413E" w:rsidRPr="008A3EC2" w:rsidRDefault="0047413E" w:rsidP="0047413E">
      <w:pPr>
        <w:pBdr>
          <w:bottom w:val="single" w:sz="4" w:space="1" w:color="auto"/>
        </w:pBdr>
        <w:ind w:firstLine="720"/>
        <w:rPr>
          <w:rFonts w:eastAsia="Calibri" w:cs="Times New Roman"/>
        </w:rPr>
      </w:pPr>
    </w:p>
    <w:p w14:paraId="536ABE9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6" w:name="_Toc144634496"/>
      <w:r w:rsidRPr="008A3EC2">
        <w:rPr>
          <w:rFonts w:ascii="Californian FB" w:eastAsia="Times New Roman" w:hAnsi="Californian FB" w:cs="Times New Roman"/>
          <w:b/>
          <w:color w:val="851C00"/>
          <w:sz w:val="24"/>
          <w:szCs w:val="24"/>
          <w:u w:val="single"/>
        </w:rPr>
        <w:t>New Jersey</w:t>
      </w:r>
      <w:bookmarkEnd w:id="76"/>
    </w:p>
    <w:p w14:paraId="411F8825" w14:textId="77777777" w:rsidR="0047413E" w:rsidRPr="008A3EC2" w:rsidRDefault="0047413E" w:rsidP="00DA31D7">
      <w:pPr>
        <w:ind w:left="720"/>
        <w:rPr>
          <w:rFonts w:eastAsia="Calibri" w:cs="Times New Roman"/>
        </w:rPr>
      </w:pPr>
      <w:r w:rsidRPr="008A3EC2">
        <w:rPr>
          <w:rFonts w:eastAsia="Calibri" w:cs="Times New Roman"/>
        </w:rPr>
        <w:t>N.J. Admin. Code § 18:35-1.3(d)3</w:t>
      </w:r>
    </w:p>
    <w:p w14:paraId="71B6B7A0" w14:textId="77777777" w:rsidR="0047413E" w:rsidRPr="008A3EC2" w:rsidRDefault="0047413E" w:rsidP="00DA31D7">
      <w:pPr>
        <w:ind w:left="1440"/>
        <w:rPr>
          <w:rFonts w:eastAsia="Calibri" w:cs="Times New Roman"/>
        </w:rPr>
      </w:pPr>
      <w:r w:rsidRPr="008A3EC2">
        <w:rPr>
          <w:rFonts w:eastAsia="Calibri" w:cs="Times New Roman"/>
        </w:rPr>
        <w:t>Guaranteed payments shall be reported as distributive share of partnership income, except guaranteed payments received by a retired partner who is receiving such payments as a result of a period of service to the partnership pursuant to a retirement agreement or pension plan. Such guaranteed payments will be treated as pension income to retired partners and shall be reported by the partner as pension income, described in 54A:5-1.j.</w:t>
      </w:r>
    </w:p>
    <w:p w14:paraId="27245815" w14:textId="77777777" w:rsidR="0047413E" w:rsidRPr="00E44340" w:rsidRDefault="0047413E" w:rsidP="00DA31D7">
      <w:pPr>
        <w:ind w:left="720"/>
        <w:rPr>
          <w:rFonts w:eastAsia="Calibri" w:cs="Times New Roman"/>
        </w:rPr>
      </w:pPr>
      <w:r w:rsidRPr="008A3EC2">
        <w:rPr>
          <w:rFonts w:eastAsia="Calibri" w:cs="Times New Roman"/>
        </w:rPr>
        <w:t>Notice: Gross Income Tax/Corporation Business Tax Pass-Through Business Alternative Income Tax Act (February 7, 2020)</w:t>
      </w:r>
    </w:p>
    <w:p w14:paraId="3853D347" w14:textId="77777777" w:rsidR="0047413E" w:rsidRDefault="0047413E" w:rsidP="00DA31D7">
      <w:pPr>
        <w:ind w:left="1440"/>
        <w:rPr>
          <w:rFonts w:eastAsia="Calibri" w:cs="Times New Roman"/>
        </w:rPr>
      </w:pPr>
      <w:r w:rsidRPr="008A3EC2">
        <w:rPr>
          <w:rFonts w:eastAsia="Calibri" w:cs="Times New Roman"/>
        </w:rPr>
        <w:t>“Distributive proceeds” means the net income, dividends, royalties, interest, rents, guaranteed payments, and gains of a pass-through entity, derived from or connected with sources within the State.</w:t>
      </w:r>
    </w:p>
    <w:p w14:paraId="2862E484" w14:textId="77777777" w:rsidR="00DA31D7" w:rsidRPr="008A3EC2" w:rsidRDefault="00DA31D7" w:rsidP="00DA31D7">
      <w:pPr>
        <w:pBdr>
          <w:bottom w:val="single" w:sz="4" w:space="1" w:color="auto"/>
        </w:pBdr>
        <w:rPr>
          <w:rFonts w:eastAsia="Calibri" w:cs="Times New Roman"/>
        </w:rPr>
      </w:pPr>
    </w:p>
    <w:p w14:paraId="02DD26BC"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7" w:name="_Toc144634497"/>
      <w:r w:rsidRPr="008A3EC2">
        <w:rPr>
          <w:rFonts w:ascii="Californian FB" w:eastAsia="Times New Roman" w:hAnsi="Californian FB" w:cs="Times New Roman"/>
          <w:b/>
          <w:color w:val="851C00"/>
          <w:sz w:val="24"/>
          <w:szCs w:val="24"/>
          <w:u w:val="single"/>
        </w:rPr>
        <w:t>New Mexico</w:t>
      </w:r>
      <w:bookmarkEnd w:id="77"/>
    </w:p>
    <w:p w14:paraId="7923A8E6" w14:textId="77777777" w:rsidR="0047413E" w:rsidRPr="008A3EC2" w:rsidRDefault="0047413E" w:rsidP="00DA31D7">
      <w:pPr>
        <w:ind w:left="720"/>
        <w:contextualSpacing/>
        <w:rPr>
          <w:rFonts w:eastAsia="Calibri" w:cs="Times New Roman"/>
        </w:rPr>
      </w:pPr>
      <w:r w:rsidRPr="008A3EC2">
        <w:rPr>
          <w:rFonts w:eastAsia="Calibri" w:cs="Times New Roman"/>
        </w:rPr>
        <w:t>N.M. Code R. § 3.2.1.14.R(2)</w:t>
      </w:r>
    </w:p>
    <w:p w14:paraId="68137F02" w14:textId="77777777" w:rsidR="0047413E" w:rsidRPr="008A3EC2" w:rsidRDefault="0047413E" w:rsidP="00DA31D7">
      <w:pPr>
        <w:ind w:left="720"/>
        <w:contextualSpacing/>
        <w:rPr>
          <w:rFonts w:eastAsia="Calibri" w:cs="Times New Roman"/>
        </w:rPr>
      </w:pPr>
    </w:p>
    <w:p w14:paraId="4EFC5F72" w14:textId="77777777" w:rsidR="0047413E" w:rsidRPr="008A3EC2" w:rsidRDefault="0047413E" w:rsidP="00DA31D7">
      <w:pPr>
        <w:ind w:left="1440"/>
        <w:contextualSpacing/>
        <w:rPr>
          <w:rFonts w:eastAsia="Calibri" w:cs="Times New Roman"/>
        </w:rPr>
      </w:pPr>
      <w:r w:rsidRPr="008A3EC2">
        <w:rPr>
          <w:rFonts w:eastAsia="Calibri" w:cs="Times New Roman"/>
        </w:rPr>
        <w:t>When a partner or interest holder in an entity is allocated profits or receives a guaranteed payment or other distributions for activities undertaken as a partner on behalf of the partnership such as administrative services done solely for the benefit of the partnership or for activities for third-parties transacting business with the partnership, these receipts of the partner are not gross receipts and are not subject to the gross receipts tax. When a partner engages in business separately from the partnership any transactions of that partner with the partnership, where the partner is not acting as a partner on behalf of the partnership, are gross receipts. Indicia that a partner is not acting as a partner on behalf of the partnership may include:</w:t>
      </w:r>
    </w:p>
    <w:p w14:paraId="42E66B96" w14:textId="77777777" w:rsidR="0047413E" w:rsidRPr="008A3EC2" w:rsidRDefault="0047413E" w:rsidP="00DA31D7">
      <w:pPr>
        <w:ind w:left="1440" w:firstLine="720"/>
        <w:rPr>
          <w:rFonts w:eastAsia="Calibri" w:cs="Times New Roman"/>
        </w:rPr>
      </w:pPr>
      <w:r w:rsidRPr="008A3EC2">
        <w:rPr>
          <w:rFonts w:eastAsia="Calibri" w:cs="Times New Roman"/>
        </w:rPr>
        <w:lastRenderedPageBreak/>
        <w:t>(a) that the partner engages in similar transactions with third parties other than the partnership;</w:t>
      </w:r>
    </w:p>
    <w:p w14:paraId="1CBA24CC" w14:textId="77777777" w:rsidR="0047413E" w:rsidRPr="008A3EC2" w:rsidRDefault="0047413E" w:rsidP="00DA31D7">
      <w:pPr>
        <w:ind w:left="1440" w:firstLine="720"/>
        <w:rPr>
          <w:rFonts w:eastAsia="Calibri" w:cs="Times New Roman"/>
        </w:rPr>
      </w:pPr>
      <w:r w:rsidRPr="008A3EC2">
        <w:rPr>
          <w:rFonts w:eastAsia="Calibri" w:cs="Times New Roman"/>
        </w:rPr>
        <w:t>(b) that the allocation, payment, or distribution made by the partnership is not made under the partnership agreement;</w:t>
      </w:r>
    </w:p>
    <w:p w14:paraId="2C226EA4" w14:textId="77777777" w:rsidR="0047413E" w:rsidRPr="008A3EC2" w:rsidRDefault="0047413E" w:rsidP="00DA31D7">
      <w:pPr>
        <w:ind w:left="1440" w:firstLine="720"/>
        <w:rPr>
          <w:rFonts w:eastAsia="Calibri" w:cs="Times New Roman"/>
        </w:rPr>
      </w:pPr>
      <w:r w:rsidRPr="008A3EC2">
        <w:rPr>
          <w:rFonts w:eastAsia="Calibri" w:cs="Times New Roman"/>
        </w:rPr>
        <w:t>(c) that the partner's transaction(s) with the partnership involve the sale or lease of goods or the sale of services not provided by the partnership to third parties</w:t>
      </w:r>
    </w:p>
    <w:p w14:paraId="2924DCED" w14:textId="77777777" w:rsidR="0047413E" w:rsidRPr="008A3EC2" w:rsidRDefault="0047413E" w:rsidP="00DA31D7">
      <w:pPr>
        <w:ind w:left="720"/>
        <w:contextualSpacing/>
        <w:rPr>
          <w:rFonts w:eastAsia="Calibri" w:cs="Times New Roman"/>
        </w:rPr>
      </w:pPr>
      <w:r w:rsidRPr="008A3EC2">
        <w:rPr>
          <w:rFonts w:eastAsia="Calibri" w:cs="Times New Roman"/>
        </w:rPr>
        <w:t>New Mexico Public Decision No. 12-12 (April 9, 2012)</w:t>
      </w:r>
    </w:p>
    <w:p w14:paraId="063C3483" w14:textId="77777777" w:rsidR="0047413E" w:rsidRPr="008A3EC2" w:rsidRDefault="0047413E" w:rsidP="0047413E">
      <w:pPr>
        <w:contextualSpacing/>
        <w:rPr>
          <w:rFonts w:eastAsia="Calibri" w:cs="Times New Roman"/>
        </w:rPr>
      </w:pPr>
    </w:p>
    <w:p w14:paraId="4EB732D9" w14:textId="77777777" w:rsidR="0047413E" w:rsidRDefault="0047413E" w:rsidP="00DA31D7">
      <w:pPr>
        <w:ind w:left="1440"/>
        <w:rPr>
          <w:rFonts w:eastAsia="Calibri" w:cs="Times New Roman"/>
        </w:rPr>
      </w:pPr>
      <w:r w:rsidRPr="008A3EC2">
        <w:rPr>
          <w:rFonts w:eastAsia="Calibri" w:cs="Times New Roman"/>
        </w:rPr>
        <w:t>A New Mexico resident taxpayer received guaranteed payments for his duties as a CEO member of an LLC. The taxpayer’s allocation of the guaranteed payment to New Mexico as compensation was upheld. </w:t>
      </w:r>
    </w:p>
    <w:p w14:paraId="10AC934D" w14:textId="3595EDB6" w:rsidR="0047413E" w:rsidRDefault="0047413E" w:rsidP="00DA31D7">
      <w:pPr>
        <w:ind w:left="720"/>
        <w:rPr>
          <w:rFonts w:eastAsia="Calibri" w:cs="Times New Roman"/>
        </w:rPr>
      </w:pPr>
      <w:r>
        <w:rPr>
          <w:rFonts w:eastAsia="Calibri" w:cs="Times New Roman"/>
        </w:rPr>
        <w:t xml:space="preserve">2023 N.M. H.B. 368 (signed by </w:t>
      </w:r>
      <w:r w:rsidR="0088150D">
        <w:rPr>
          <w:rFonts w:eastAsia="Calibri" w:cs="Times New Roman"/>
        </w:rPr>
        <w:t>Governor April</w:t>
      </w:r>
      <w:r>
        <w:rPr>
          <w:rFonts w:eastAsia="Calibri" w:cs="Times New Roman"/>
        </w:rPr>
        <w:t xml:space="preserve"> 5, 2023)</w:t>
      </w:r>
    </w:p>
    <w:p w14:paraId="479BA01A" w14:textId="77777777" w:rsidR="0047413E" w:rsidRDefault="0047413E" w:rsidP="00416BA9">
      <w:pPr>
        <w:ind w:left="1440"/>
        <w:rPr>
          <w:rFonts w:eastAsia="Calibri" w:cs="Times New Roman"/>
        </w:rPr>
      </w:pPr>
      <w:r w:rsidRPr="002707F0">
        <w:rPr>
          <w:rFonts w:eastAsia="Calibri" w:cs="Times New Roman"/>
        </w:rPr>
        <w:t xml:space="preserve">Distributed net income of a pass-through entity shall equal the amount allocated and apportioned to New Mexico pursuant to the Uniform Division of Income for Tax Purposes Act from the following: </w:t>
      </w:r>
    </w:p>
    <w:p w14:paraId="3859E8F3" w14:textId="77777777" w:rsidR="0047413E" w:rsidRDefault="0047413E" w:rsidP="00416BA9">
      <w:pPr>
        <w:ind w:left="1440"/>
        <w:rPr>
          <w:rFonts w:eastAsia="Calibri" w:cs="Times New Roman"/>
        </w:rPr>
      </w:pPr>
      <w:r w:rsidRPr="002707F0">
        <w:rPr>
          <w:rFonts w:eastAsia="Calibri" w:cs="Times New Roman"/>
        </w:rPr>
        <w:t xml:space="preserve">(1)  the total income of the pass-through entity properly reported for federal income tax purposes plus, for partnerships, the amount of guaranteed payments other than premiums for health insurance paid by the partnership on behalf of a partner, less the net income or guaranteed payments properly allocated or made to: </w:t>
      </w:r>
    </w:p>
    <w:p w14:paraId="6C4A9482" w14:textId="77777777" w:rsidR="0047413E" w:rsidRDefault="0047413E" w:rsidP="00416BA9">
      <w:pPr>
        <w:ind w:left="1440" w:firstLine="720"/>
        <w:rPr>
          <w:rFonts w:eastAsia="Calibri" w:cs="Times New Roman"/>
        </w:rPr>
      </w:pPr>
      <w:r w:rsidRPr="002707F0">
        <w:rPr>
          <w:rFonts w:eastAsia="Calibri" w:cs="Times New Roman"/>
        </w:rPr>
        <w:t xml:space="preserve">(a)  the United States, this state or a political subdivision of either; </w:t>
      </w:r>
    </w:p>
    <w:p w14:paraId="04301E17" w14:textId="77777777" w:rsidR="0047413E" w:rsidRDefault="0047413E" w:rsidP="00416BA9">
      <w:pPr>
        <w:ind w:left="1440" w:firstLine="720"/>
        <w:rPr>
          <w:rFonts w:eastAsia="Calibri" w:cs="Times New Roman"/>
        </w:rPr>
      </w:pPr>
      <w:r w:rsidRPr="002707F0">
        <w:rPr>
          <w:rFonts w:eastAsia="Calibri" w:cs="Times New Roman"/>
        </w:rPr>
        <w:t xml:space="preserve">(b)  a federally recognized Indian nation, tribe or pueblo located wholly or partially in New Mexico, or any political subdivision thereof; </w:t>
      </w:r>
    </w:p>
    <w:p w14:paraId="44FF0A55" w14:textId="77777777" w:rsidR="0047413E" w:rsidRDefault="0047413E" w:rsidP="00416BA9">
      <w:pPr>
        <w:ind w:left="1440" w:firstLine="720"/>
        <w:rPr>
          <w:rFonts w:eastAsia="Calibri" w:cs="Times New Roman"/>
        </w:rPr>
      </w:pPr>
      <w:r w:rsidRPr="002707F0">
        <w:rPr>
          <w:rFonts w:eastAsia="Calibri" w:cs="Times New Roman"/>
        </w:rPr>
        <w:t xml:space="preserve">(c)  an organization that has been granted exemption from the federal income tax by the United States commissioner of internal revenue as an organization described in Section 501(c)(3) of the Internal Revenue Code; </w:t>
      </w:r>
    </w:p>
    <w:p w14:paraId="073C3EA4" w14:textId="77777777" w:rsidR="0047413E" w:rsidRDefault="0047413E" w:rsidP="00416BA9">
      <w:pPr>
        <w:ind w:left="1440" w:firstLine="720"/>
        <w:rPr>
          <w:rFonts w:eastAsia="Calibri" w:cs="Times New Roman"/>
        </w:rPr>
      </w:pPr>
      <w:r w:rsidRPr="002707F0">
        <w:rPr>
          <w:rFonts w:eastAsia="Calibri" w:cs="Times New Roman"/>
        </w:rPr>
        <w:t xml:space="preserve">(d)  a corporate partner that would properly include the income in the partner's New Mexico tax return as part of the partner's unitary business income; or </w:t>
      </w:r>
      <w:r>
        <w:rPr>
          <w:rFonts w:eastAsia="Calibri" w:cs="Times New Roman"/>
        </w:rPr>
        <w:t>X</w:t>
      </w:r>
    </w:p>
    <w:p w14:paraId="2D3BD24D" w14:textId="77777777" w:rsidR="0047413E" w:rsidRDefault="0047413E" w:rsidP="00416BA9">
      <w:pPr>
        <w:ind w:left="1440" w:firstLine="720"/>
        <w:rPr>
          <w:rFonts w:eastAsia="Calibri" w:cs="Times New Roman"/>
        </w:rPr>
      </w:pPr>
      <w:r w:rsidRPr="002707F0">
        <w:rPr>
          <w:rFonts w:eastAsia="Calibri" w:cs="Times New Roman"/>
        </w:rPr>
        <w:t xml:space="preserve">(e)  a pass-through entity that is an owner of the electing pass-through entity; and </w:t>
      </w:r>
    </w:p>
    <w:p w14:paraId="6AFF9AB4" w14:textId="77777777" w:rsidR="0047413E" w:rsidRDefault="0047413E" w:rsidP="00416BA9">
      <w:pPr>
        <w:ind w:left="1440"/>
        <w:rPr>
          <w:rFonts w:eastAsia="Calibri" w:cs="Times New Roman"/>
        </w:rPr>
      </w:pPr>
      <w:r w:rsidRPr="002707F0">
        <w:rPr>
          <w:rFonts w:eastAsia="Calibri" w:cs="Times New Roman"/>
        </w:rPr>
        <w:t>(2)  less the amount of net capital gains that may be deducted pursuant to Section 7-2-34 NMSA 1978 and is properly allocated to owners who are subject to tax pursuant to the Income Tax Act</w:t>
      </w:r>
      <w:r>
        <w:rPr>
          <w:rFonts w:eastAsia="Calibri" w:cs="Times New Roman"/>
        </w:rPr>
        <w:t xml:space="preserve"> . . </w:t>
      </w:r>
    </w:p>
    <w:p w14:paraId="6ADED736" w14:textId="77777777" w:rsidR="0047413E" w:rsidRDefault="0047413E" w:rsidP="00416BA9">
      <w:pPr>
        <w:ind w:left="1440"/>
        <w:rPr>
          <w:rFonts w:eastAsia="Calibri" w:cs="Times New Roman"/>
        </w:rPr>
      </w:pPr>
      <w:r w:rsidRPr="000735F3">
        <w:rPr>
          <w:rFonts w:eastAsia="Calibri" w:cs="Times New Roman"/>
        </w:rPr>
        <w:t xml:space="preserve">As used in this section: </w:t>
      </w:r>
    </w:p>
    <w:p w14:paraId="01F31B25" w14:textId="77777777" w:rsidR="0047413E" w:rsidRPr="008A3EC2" w:rsidRDefault="0047413E" w:rsidP="00416BA9">
      <w:pPr>
        <w:ind w:left="1440"/>
        <w:rPr>
          <w:rFonts w:eastAsia="Calibri" w:cs="Times New Roman"/>
        </w:rPr>
      </w:pPr>
      <w:r w:rsidRPr="000735F3">
        <w:rPr>
          <w:rFonts w:eastAsia="Calibri" w:cs="Times New Roman"/>
        </w:rPr>
        <w:t>(1)  "guaranteed payments" means the guaranteed payments described in Section 707(c) of the Internal Revenue Code, as that section may be amended or renumbered</w:t>
      </w:r>
      <w:r>
        <w:rPr>
          <w:rFonts w:eastAsia="Calibri" w:cs="Times New Roman"/>
        </w:rPr>
        <w:t>.</w:t>
      </w:r>
    </w:p>
    <w:p w14:paraId="66651CE7" w14:textId="77777777" w:rsidR="0047413E" w:rsidRPr="008A3EC2" w:rsidRDefault="0047413E" w:rsidP="0047413E">
      <w:pPr>
        <w:pBdr>
          <w:bottom w:val="single" w:sz="4" w:space="1" w:color="auto"/>
        </w:pBdr>
        <w:rPr>
          <w:rFonts w:eastAsia="Calibri" w:cs="Times New Roman"/>
        </w:rPr>
      </w:pPr>
    </w:p>
    <w:p w14:paraId="5012A82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8" w:name="_Toc144634498"/>
      <w:r w:rsidRPr="008A3EC2">
        <w:rPr>
          <w:rFonts w:ascii="Californian FB" w:eastAsia="Times New Roman" w:hAnsi="Californian FB" w:cs="Times New Roman"/>
          <w:b/>
          <w:color w:val="851C00"/>
          <w:sz w:val="24"/>
          <w:szCs w:val="24"/>
          <w:u w:val="single"/>
        </w:rPr>
        <w:t>New York</w:t>
      </w:r>
      <w:bookmarkEnd w:id="78"/>
    </w:p>
    <w:p w14:paraId="76CACA85" w14:textId="77777777" w:rsidR="0047413E" w:rsidRPr="008A3EC2" w:rsidRDefault="0047413E" w:rsidP="00416BA9">
      <w:pPr>
        <w:ind w:left="720"/>
        <w:rPr>
          <w:rFonts w:eastAsia="Calibri" w:cs="Times New Roman"/>
        </w:rPr>
      </w:pPr>
      <w:r w:rsidRPr="008A3EC2">
        <w:rPr>
          <w:rFonts w:eastAsia="Calibri" w:cs="Times New Roman"/>
        </w:rPr>
        <w:t>N.Y. Tax Law § 632(b)</w:t>
      </w:r>
    </w:p>
    <w:p w14:paraId="5CC83A0A" w14:textId="77777777" w:rsidR="0047413E" w:rsidRPr="008A3EC2" w:rsidRDefault="0047413E" w:rsidP="00416BA9">
      <w:pPr>
        <w:ind w:left="1440"/>
        <w:rPr>
          <w:rFonts w:eastAsia="Calibri" w:cs="Times New Roman"/>
        </w:rPr>
      </w:pPr>
      <w:r w:rsidRPr="008A3EC2">
        <w:rPr>
          <w:rFonts w:eastAsia="Calibri" w:cs="Times New Roman"/>
        </w:rPr>
        <w:t>Special rules as to New York sources.  In determining the sources of a nonresident partner's income, no effect shall be given to a provision in the partnership agreement which--</w:t>
      </w:r>
    </w:p>
    <w:p w14:paraId="086776DD" w14:textId="77777777" w:rsidR="0047413E" w:rsidRPr="008A3EC2" w:rsidRDefault="0047413E" w:rsidP="00416BA9">
      <w:pPr>
        <w:ind w:left="1440" w:firstLine="720"/>
        <w:rPr>
          <w:rFonts w:eastAsia="Calibri" w:cs="Times New Roman"/>
        </w:rPr>
      </w:pPr>
      <w:r w:rsidRPr="008A3EC2">
        <w:rPr>
          <w:rFonts w:eastAsia="Calibri" w:cs="Times New Roman"/>
        </w:rPr>
        <w:lastRenderedPageBreak/>
        <w:t>(1) characterizes payments to the partner as being for services or for the use of capital, or</w:t>
      </w:r>
    </w:p>
    <w:p w14:paraId="0447BEFA" w14:textId="77777777" w:rsidR="0047413E" w:rsidRPr="008A3EC2" w:rsidRDefault="0047413E" w:rsidP="00416BA9">
      <w:pPr>
        <w:ind w:left="1440" w:firstLine="720"/>
        <w:rPr>
          <w:rFonts w:eastAsia="Calibri" w:cs="Times New Roman"/>
        </w:rPr>
      </w:pPr>
      <w:r w:rsidRPr="008A3EC2">
        <w:rPr>
          <w:rFonts w:eastAsia="Calibri" w:cs="Times New Roman"/>
        </w:rPr>
        <w:t>(2) allocates to the partner, as income or gain from sources outside New York, a greater proportion of his distributive share of partnership income or gain than the ratio of partnership income or gain from sources outside New York to partnership income or gain from all sources, except as authorized in subsection (d), or</w:t>
      </w:r>
    </w:p>
    <w:p w14:paraId="4F762342" w14:textId="77777777" w:rsidR="0047413E" w:rsidRPr="008A3EC2" w:rsidRDefault="0047413E" w:rsidP="00416BA9">
      <w:pPr>
        <w:ind w:left="1440" w:firstLine="720"/>
        <w:rPr>
          <w:rFonts w:eastAsia="Calibri" w:cs="Times New Roman"/>
        </w:rPr>
      </w:pPr>
      <w:r w:rsidRPr="008A3EC2">
        <w:rPr>
          <w:rFonts w:eastAsia="Calibri" w:cs="Times New Roman"/>
        </w:rPr>
        <w:t>(3) allocates to the partner a greater proportion of a partnership item of loss or deduction connected with New York sources than his proportionate share, for federal income tax purposes, of partnership loss or deduction generally, except as authorized in subsection (d).</w:t>
      </w:r>
    </w:p>
    <w:p w14:paraId="0C209B93" w14:textId="77777777" w:rsidR="0047413E" w:rsidRPr="008A3EC2" w:rsidRDefault="0047413E" w:rsidP="00416BA9">
      <w:pPr>
        <w:ind w:left="720"/>
        <w:rPr>
          <w:rFonts w:eastAsia="Calibri" w:cs="Times New Roman"/>
        </w:rPr>
      </w:pPr>
      <w:r w:rsidRPr="008A3EC2">
        <w:rPr>
          <w:rFonts w:eastAsia="Calibri" w:cs="Times New Roman"/>
          <w:i/>
          <w:iCs/>
        </w:rPr>
        <w:t>In re Tosti</w:t>
      </w:r>
      <w:r w:rsidRPr="008A3EC2">
        <w:rPr>
          <w:rFonts w:eastAsia="Calibri" w:cs="Times New Roman"/>
        </w:rPr>
        <w:t>, No. 822915 (N.Y. Tax App. Trib. May 12, 2011)</w:t>
      </w:r>
    </w:p>
    <w:p w14:paraId="59FD09CE" w14:textId="77777777" w:rsidR="0047413E" w:rsidRPr="008A3EC2" w:rsidRDefault="0047413E" w:rsidP="00416BA9">
      <w:pPr>
        <w:ind w:left="1440"/>
        <w:rPr>
          <w:rFonts w:eastAsia="Calibri" w:cs="Times New Roman"/>
        </w:rPr>
      </w:pPr>
      <w:r w:rsidRPr="008A3EC2">
        <w:rPr>
          <w:rFonts w:eastAsia="Calibri" w:cs="Times New Roman"/>
        </w:rPr>
        <w:t>This decision treated guaranteed payments as distributive share citing prior New York decisions on the issue. </w:t>
      </w:r>
    </w:p>
    <w:p w14:paraId="26D71DEE" w14:textId="77777777" w:rsidR="0047413E" w:rsidRPr="008A3EC2" w:rsidRDefault="0047413E" w:rsidP="00416BA9">
      <w:pPr>
        <w:ind w:left="720"/>
        <w:rPr>
          <w:rFonts w:eastAsia="Calibri" w:cs="Times New Roman"/>
        </w:rPr>
      </w:pPr>
      <w:r w:rsidRPr="008A3EC2">
        <w:rPr>
          <w:rFonts w:eastAsia="Calibri" w:cs="Times New Roman"/>
        </w:rPr>
        <w:t>New York Technical Service No. TSB-M-21(1)C (August 25, 2021)</w:t>
      </w:r>
    </w:p>
    <w:p w14:paraId="25A4000A" w14:textId="77777777" w:rsidR="0047413E" w:rsidRPr="008A3EC2" w:rsidRDefault="0047413E" w:rsidP="00416BA9">
      <w:pPr>
        <w:ind w:left="1440"/>
        <w:rPr>
          <w:rFonts w:eastAsia="Calibri" w:cs="Times New Roman"/>
        </w:rPr>
      </w:pPr>
      <w:r w:rsidRPr="008A3EC2">
        <w:rPr>
          <w:rFonts w:eastAsia="Calibri" w:cs="Times New Roman"/>
        </w:rPr>
        <w:t>An electing partnership's calculation of its PTE taxable income must include all items of income, gain, loss or deduction, to the extent they would flow through and be included in the taxable income of direct members or partners that are taxable under Article 22, including guaranteed payments</w:t>
      </w:r>
    </w:p>
    <w:p w14:paraId="1FA24B8A" w14:textId="77777777" w:rsidR="0047413E" w:rsidRPr="008A3EC2" w:rsidRDefault="0047413E" w:rsidP="0047413E">
      <w:pPr>
        <w:pBdr>
          <w:bottom w:val="single" w:sz="4" w:space="1" w:color="auto"/>
        </w:pBdr>
        <w:rPr>
          <w:rFonts w:eastAsia="Calibri" w:cs="Times New Roman"/>
        </w:rPr>
      </w:pPr>
    </w:p>
    <w:p w14:paraId="3038A0AF"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9" w:name="_Toc144634499"/>
      <w:r w:rsidRPr="008A3EC2">
        <w:rPr>
          <w:rFonts w:ascii="Californian FB" w:eastAsia="Times New Roman" w:hAnsi="Californian FB" w:cs="Times New Roman"/>
          <w:b/>
          <w:color w:val="851C00"/>
          <w:sz w:val="24"/>
          <w:szCs w:val="24"/>
          <w:u w:val="single"/>
        </w:rPr>
        <w:t>North Carolina</w:t>
      </w:r>
      <w:bookmarkEnd w:id="79"/>
    </w:p>
    <w:p w14:paraId="07793238" w14:textId="77777777" w:rsidR="0047413E" w:rsidRPr="008A3EC2" w:rsidRDefault="0047413E" w:rsidP="00416BA9">
      <w:pPr>
        <w:ind w:left="720"/>
        <w:rPr>
          <w:rFonts w:eastAsia="Calibri" w:cs="Times New Roman"/>
        </w:rPr>
      </w:pPr>
      <w:r w:rsidRPr="008A3EC2">
        <w:rPr>
          <w:rFonts w:eastAsia="Calibri" w:cs="Times New Roman"/>
        </w:rPr>
        <w:t>N.C. Gen. Stat. § 105-154</w:t>
      </w:r>
    </w:p>
    <w:p w14:paraId="4F883D40" w14:textId="77777777" w:rsidR="0047413E" w:rsidRPr="008A3EC2" w:rsidRDefault="0047413E" w:rsidP="00416BA9">
      <w:pPr>
        <w:ind w:left="1440"/>
        <w:rPr>
          <w:rFonts w:eastAsia="Calibri" w:cs="Times New Roman"/>
        </w:rPr>
      </w:pPr>
      <w:r w:rsidRPr="008A3EC2">
        <w:rPr>
          <w:rFonts w:eastAsia="Calibri" w:cs="Times New Roman"/>
        </w:rPr>
        <w:t>(c) Information Returns of Partnerships. - A partnership doing business in this State and required to file a return under the Code shall file an information return with the Secretary. A partnership that the Secretary believes to be doing business in this State and to be required to file a return under the Code shall file an information return when requested to do so by the Secretary. The information return shall contain all information required by the Secretary. It shall state specifically the items of the partnership's gross income, the deductions allowed under the Code, each partner's distributive share of the partnership's income, and the adjustments required by this Part. A partner's distributive share of partnership net income includes any guaranteed payments made to the partner. . .</w:t>
      </w:r>
    </w:p>
    <w:p w14:paraId="38A28EDA" w14:textId="77777777" w:rsidR="0047413E" w:rsidRPr="008A3EC2" w:rsidRDefault="0047413E" w:rsidP="00416BA9">
      <w:pPr>
        <w:ind w:left="1440"/>
        <w:rPr>
          <w:rFonts w:eastAsia="Calibri" w:cs="Times New Roman"/>
        </w:rPr>
      </w:pPr>
      <w:r w:rsidRPr="008A3EC2">
        <w:rPr>
          <w:rFonts w:eastAsia="Calibri" w:cs="Times New Roman"/>
        </w:rPr>
        <w:t>(d) Payment of Tax on Behalf of Nonresident Owner or Partner. - If a business conducted in this State is owned by a nonresident individual or by a partnership having one or more nonresident members, the business shall report information concerning the earnings of the business in this State, the distributive share of the income of each nonresident owner or partner, and any other information required by the Secretary. The distributive share of the income of each nonresident partner includes any guaranteed payments made to the partner. The business shall pay with the return the tax on each nonresident owner or partner's share of the income computed at the rate levied on individuals under G.S. 105-153.7. The business may deduct the payment for each nonresident owner or partner from the owner or partner's distributive share of the income of the business in this State. The Secretary may enforce the business's liability for the tax on each nonresident owner or partner's share of the income by sending the business a notice of proposed assessment in accordance with G.S. 105-241.9. . .</w:t>
      </w:r>
    </w:p>
    <w:p w14:paraId="26297856" w14:textId="77777777" w:rsidR="0047413E" w:rsidRPr="008A3EC2" w:rsidRDefault="0047413E" w:rsidP="00416BA9">
      <w:pPr>
        <w:ind w:left="720"/>
        <w:rPr>
          <w:rFonts w:eastAsia="Calibri" w:cs="Times New Roman"/>
        </w:rPr>
      </w:pPr>
      <w:r w:rsidRPr="008A3EC2">
        <w:rPr>
          <w:rFonts w:eastAsia="Calibri" w:cs="Times New Roman"/>
        </w:rPr>
        <w:t>17 N.C. Admin. Code 6B.3513</w:t>
      </w:r>
    </w:p>
    <w:p w14:paraId="1FFA37A3" w14:textId="77777777" w:rsidR="0047413E" w:rsidRPr="008A3EC2" w:rsidRDefault="0047413E" w:rsidP="00416BA9">
      <w:pPr>
        <w:ind w:left="1440"/>
        <w:rPr>
          <w:rFonts w:eastAsia="Calibri" w:cs="Times New Roman"/>
        </w:rPr>
      </w:pPr>
      <w:r w:rsidRPr="008A3EC2">
        <w:rPr>
          <w:rFonts w:eastAsia="Calibri" w:cs="Times New Roman"/>
        </w:rPr>
        <w:lastRenderedPageBreak/>
        <w:t>(a) Although a partnership may treat guaranteed payments to a partner for services or for use of capital as if they were paid to a person who is not a partner, that treatment is only for purposes of determining the partnership's gross income and deductible business expenses. For other tax purposes, guaranteed payments are treated as a partner's distributive share of ordinary income.</w:t>
      </w:r>
    </w:p>
    <w:p w14:paraId="5D352B20" w14:textId="77777777" w:rsidR="0047413E" w:rsidRPr="008A3EC2" w:rsidRDefault="0047413E" w:rsidP="00416BA9">
      <w:pPr>
        <w:ind w:left="1440"/>
        <w:rPr>
          <w:rFonts w:eastAsia="Calibri" w:cs="Times New Roman"/>
        </w:rPr>
      </w:pPr>
      <w:r w:rsidRPr="008A3EC2">
        <w:rPr>
          <w:rFonts w:eastAsia="Calibri" w:cs="Times New Roman"/>
        </w:rPr>
        <w:t>(b) Deductions from adjusted gross income do not include a partner's salary, interest on a partner's capital account, partner relocation and mortgage interest differential payments, or payments to a retired partner regardless of whether they were determined without regard to current profits. The payments listed in this Paragraph shall be treated as part of the partnership income.</w:t>
      </w:r>
    </w:p>
    <w:p w14:paraId="5BC44C55" w14:textId="77777777" w:rsidR="0047413E" w:rsidRPr="008A3EC2" w:rsidRDefault="0047413E" w:rsidP="00416BA9">
      <w:pPr>
        <w:ind w:left="1440"/>
        <w:rPr>
          <w:rFonts w:eastAsia="Calibri" w:cs="Times New Roman"/>
        </w:rPr>
      </w:pPr>
      <w:r w:rsidRPr="008A3EC2">
        <w:rPr>
          <w:rFonts w:eastAsia="Calibri" w:cs="Times New Roman"/>
        </w:rPr>
        <w:t>(c) A nonresident individual partner is not required to file a North Carolina individual income tax return when the only income from North Carolina sources is the nonresident's share of income from a partnership doing business in North Carolina, and the manager of the partnership has reported the income of the nonresident partner, including any guaranteed payments made to the partner, and paid the tax due. A nonresident individual partner may file an individual income tax return and claim credit for the tax paid by the manager of the partnership if the partner submits with the individual income tax return the Schedule NC K-1 or other document from the partnership verifying that the partnership paid tax on behalf of the partner.</w:t>
      </w:r>
    </w:p>
    <w:p w14:paraId="6C2497D3" w14:textId="77777777" w:rsidR="0047413E" w:rsidRPr="008A3EC2" w:rsidRDefault="0047413E" w:rsidP="00416BA9">
      <w:pPr>
        <w:ind w:left="720"/>
        <w:rPr>
          <w:rFonts w:eastAsia="Calibri" w:cs="Times New Roman"/>
        </w:rPr>
      </w:pPr>
      <w:r w:rsidRPr="008A3EC2">
        <w:rPr>
          <w:rFonts w:eastAsia="Calibri" w:cs="Times New Roman"/>
        </w:rPr>
        <w:t>Important Notice Regarding North Carolina’s Recently Enacted Pass-Through Entity Tax  (December 2, 2022)</w:t>
      </w:r>
    </w:p>
    <w:p w14:paraId="52E16F37" w14:textId="77777777" w:rsidR="0047413E" w:rsidRPr="008A3EC2" w:rsidRDefault="0047413E" w:rsidP="00416BA9">
      <w:pPr>
        <w:ind w:left="1440"/>
        <w:rPr>
          <w:rFonts w:eastAsia="Calibri" w:cs="Times New Roman"/>
        </w:rPr>
      </w:pPr>
      <w:r w:rsidRPr="008A3EC2">
        <w:rPr>
          <w:rFonts w:eastAsia="Calibri" w:cs="Times New Roman"/>
        </w:rPr>
        <w:t>The North Carolina Administrative Code provides that “[a] nonresident individual partner is not required to file a North Carolina individual income tax return when the only income from North Carolina sources is the nonresident's share of income from a partnership doing business in North Carolina, and the manager of the partnership has reported the income of the nonresident partner, including any guaranteed payments made to the partner, and paid the tax due.” This rule applies to nonresident partners of Taxed Partnerships to the extent the Taxed Partnership complies with the provisions of new N.C. Gen. Stat. § 105-154.1</w:t>
      </w:r>
      <w:r>
        <w:rPr>
          <w:rFonts w:eastAsia="Calibri" w:cs="Times New Roman"/>
        </w:rPr>
        <w:t>.</w:t>
      </w:r>
    </w:p>
    <w:p w14:paraId="2D746AAC" w14:textId="77777777" w:rsidR="0047413E" w:rsidRPr="008A3EC2" w:rsidRDefault="0047413E" w:rsidP="0047413E">
      <w:pPr>
        <w:pBdr>
          <w:bottom w:val="single" w:sz="4" w:space="1" w:color="auto"/>
        </w:pBdr>
        <w:rPr>
          <w:rFonts w:eastAsia="Calibri" w:cs="Times New Roman"/>
        </w:rPr>
      </w:pPr>
    </w:p>
    <w:p w14:paraId="662D0C38"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0" w:name="_Toc144634500"/>
      <w:r w:rsidRPr="008A3EC2">
        <w:rPr>
          <w:rFonts w:ascii="Californian FB" w:eastAsia="Times New Roman" w:hAnsi="Californian FB" w:cs="Times New Roman"/>
          <w:b/>
          <w:color w:val="851C00"/>
          <w:sz w:val="24"/>
          <w:szCs w:val="24"/>
          <w:u w:val="single"/>
        </w:rPr>
        <w:t>North Dakota</w:t>
      </w:r>
      <w:bookmarkEnd w:id="80"/>
    </w:p>
    <w:p w14:paraId="693AA1F9" w14:textId="77777777" w:rsidR="0047413E" w:rsidRPr="008A3EC2" w:rsidRDefault="0047413E" w:rsidP="00416BA9">
      <w:pPr>
        <w:ind w:left="720"/>
        <w:rPr>
          <w:rFonts w:eastAsia="Calibri" w:cs="Times New Roman"/>
        </w:rPr>
      </w:pPr>
      <w:r w:rsidRPr="008A3EC2">
        <w:rPr>
          <w:rFonts w:eastAsia="Calibri" w:cs="Times New Roman"/>
        </w:rPr>
        <w:t>N.D. Cent. Code § 57-38-08.1.3</w:t>
      </w:r>
    </w:p>
    <w:p w14:paraId="0964C14D" w14:textId="77777777" w:rsidR="0047413E" w:rsidRPr="008A3EC2" w:rsidRDefault="0047413E" w:rsidP="00416BA9">
      <w:pPr>
        <w:ind w:left="1440"/>
        <w:rPr>
          <w:rFonts w:eastAsia="Calibri" w:cs="Times New Roman"/>
        </w:rPr>
      </w:pPr>
      <w:r w:rsidRPr="008A3EC2">
        <w:rPr>
          <w:rFonts w:eastAsia="Calibri" w:cs="Times New Roman"/>
        </w:rPr>
        <w:t>a. Except as otherwise provided in this subdivision, guaranteed payments paid to nonresident partners of a partnership that has business activity in this state are treated as a distributive share of partnership income for state tax purposes. In the case of a professional service partnership, the portion of a guaranteed payment paid to a nonresident partner attributable to a reasonable salary may not be treated as a distributive share. The portion of the guaranteed payment not treated as a distributive share that is for services performed in this state must be assigned as provided under subsection 1 of section 57-38-04. For purposes of this subdivision, "professional service partnership" means a partnership that engages in the practice of law, accounting, medicine, and any other profession in which neither capital nor the services of employees are a material income-producing factor.</w:t>
      </w:r>
    </w:p>
    <w:p w14:paraId="79585367" w14:textId="77777777" w:rsidR="0047413E" w:rsidRPr="008A3EC2" w:rsidRDefault="0047413E" w:rsidP="00416BA9">
      <w:pPr>
        <w:ind w:left="1440"/>
        <w:rPr>
          <w:rFonts w:eastAsia="Calibri" w:cs="Times New Roman"/>
        </w:rPr>
      </w:pPr>
      <w:r w:rsidRPr="008A3EC2">
        <w:rPr>
          <w:rFonts w:eastAsia="Calibri" w:cs="Times New Roman"/>
        </w:rPr>
        <w:t>b. In determining the sources of a nonresident partner's income, no effect shall be given to a provision in the partnership agreement which:</w:t>
      </w:r>
    </w:p>
    <w:p w14:paraId="4C848B9B" w14:textId="77777777" w:rsidR="0047413E" w:rsidRPr="008A3EC2" w:rsidRDefault="0047413E" w:rsidP="00416BA9">
      <w:pPr>
        <w:ind w:left="1440" w:firstLine="720"/>
        <w:rPr>
          <w:rFonts w:eastAsia="Calibri" w:cs="Times New Roman"/>
        </w:rPr>
      </w:pPr>
      <w:r w:rsidRPr="008A3EC2">
        <w:rPr>
          <w:rFonts w:eastAsia="Calibri" w:cs="Times New Roman"/>
        </w:rPr>
        <w:t xml:space="preserve">(1) Characterizes payments to the partners as being for services or for the use of capital or allocates to the partner, as income or gain from sources outside this state, a greater proportion of the partner's distributive share of partnership income or gain </w:t>
      </w:r>
      <w:r w:rsidRPr="008A3EC2">
        <w:rPr>
          <w:rFonts w:eastAsia="Calibri" w:cs="Times New Roman"/>
        </w:rPr>
        <w:lastRenderedPageBreak/>
        <w:t>than the ratio of partnership income or gain from sources outside this state to partnership income or gain from all sources, except as authorized in subdivision d; or</w:t>
      </w:r>
    </w:p>
    <w:p w14:paraId="13EC9673" w14:textId="77777777" w:rsidR="0047413E" w:rsidRPr="008A3EC2" w:rsidRDefault="0047413E" w:rsidP="00416BA9">
      <w:pPr>
        <w:ind w:left="1440"/>
        <w:rPr>
          <w:rFonts w:eastAsia="Calibri" w:cs="Times New Roman"/>
        </w:rPr>
      </w:pPr>
      <w:r w:rsidRPr="008A3EC2">
        <w:rPr>
          <w:rFonts w:eastAsia="Calibri" w:cs="Times New Roman"/>
        </w:rPr>
        <w:tab/>
        <w:t>2) Allocates to the partner a greater proportion of a partnership item of loss or deduction connected with sources in this state than the proportionate share of the partner, for federal income tax purposes, of partnership loss or deduction generally, except as authorized in subdivision d.</w:t>
      </w:r>
    </w:p>
    <w:p w14:paraId="765464C8" w14:textId="77777777" w:rsidR="0047413E" w:rsidRPr="008A3EC2" w:rsidRDefault="0047413E" w:rsidP="0047413E">
      <w:pPr>
        <w:pBdr>
          <w:bottom w:val="single" w:sz="4" w:space="1" w:color="auto"/>
        </w:pBdr>
        <w:rPr>
          <w:rFonts w:eastAsia="Calibri" w:cs="Times New Roman"/>
        </w:rPr>
      </w:pPr>
    </w:p>
    <w:p w14:paraId="1EAB56E7"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1" w:name="_Toc144634501"/>
      <w:r>
        <w:rPr>
          <w:rFonts w:ascii="Californian FB" w:eastAsia="Times New Roman" w:hAnsi="Californian FB" w:cs="Times New Roman"/>
          <w:b/>
          <w:color w:val="851C00"/>
          <w:sz w:val="24"/>
          <w:szCs w:val="24"/>
          <w:u w:val="single"/>
        </w:rPr>
        <w:t>Ohio</w:t>
      </w:r>
      <w:bookmarkEnd w:id="81"/>
      <w:r>
        <w:rPr>
          <w:rFonts w:ascii="Californian FB" w:eastAsia="Times New Roman" w:hAnsi="Californian FB" w:cs="Times New Roman"/>
          <w:b/>
          <w:color w:val="851C00"/>
          <w:sz w:val="24"/>
          <w:szCs w:val="24"/>
          <w:u w:val="single"/>
        </w:rPr>
        <w:t xml:space="preserve"> </w:t>
      </w:r>
    </w:p>
    <w:p w14:paraId="2E319457" w14:textId="77777777" w:rsidR="0047413E" w:rsidRPr="008A3EC2" w:rsidRDefault="0047413E" w:rsidP="00416BA9">
      <w:pPr>
        <w:ind w:left="720"/>
        <w:rPr>
          <w:rFonts w:eastAsia="Calibri" w:cs="Times New Roman"/>
        </w:rPr>
      </w:pPr>
      <w:r w:rsidRPr="00AB22FB">
        <w:rPr>
          <w:rFonts w:eastAsia="Calibri" w:cs="Times New Roman"/>
        </w:rPr>
        <w:t>Ohio Rev. Code Ann. §</w:t>
      </w:r>
      <w:r>
        <w:rPr>
          <w:rFonts w:eastAsia="Calibri" w:cs="Times New Roman"/>
        </w:rPr>
        <w:t xml:space="preserve"> 5733.40(A)(7)</w:t>
      </w:r>
    </w:p>
    <w:p w14:paraId="3F149ED4" w14:textId="77777777" w:rsidR="0047413E" w:rsidRDefault="0047413E" w:rsidP="00416BA9">
      <w:pPr>
        <w:ind w:left="1440"/>
        <w:rPr>
          <w:rFonts w:eastAsia="Calibri" w:cs="Times New Roman"/>
        </w:rPr>
      </w:pPr>
      <w:r w:rsidRPr="00BD4519">
        <w:rPr>
          <w:rFonts w:eastAsia="Calibri" w:cs="Times New Roman"/>
        </w:rPr>
        <w:t>For the purposes of Chapters 5733. and 5747. of the Revised Code, guaranteed payments or compensation paid to investors by a qualifying entity that is not subject to the tax imposed by section 5733.06 of the Revised Code shall be considered a distributive share of income of the qualifying entity. Division (A)(7) of this section applies only to such payments or such compensation paid to an investor who at any time during the qualifying entity's taxable year holds at least a twenty per cent direct or indirect interest in the profits or capital of the qualifying entity. For the purposes of this division, guaranteed payments and compensation shall be considered to be paid to an investor by a qualifying entity if the qualifying entity in which the investor holds at least a twenty per cent direct or indirect interest is a client employer of a professional employer organization or alternate employer organization, as those terms are defined in section 4125.01 or 4133.01 of the Revised Code, as applicable, and the guaranteed payments or compensation are paid to the investor by that professional employer organization or alternate employer organization.</w:t>
      </w:r>
    </w:p>
    <w:p w14:paraId="151E00F6"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2" w:name="_Toc144634502"/>
      <w:r w:rsidRPr="008A3EC2">
        <w:rPr>
          <w:rFonts w:ascii="Californian FB" w:eastAsia="Times New Roman" w:hAnsi="Californian FB" w:cs="Times New Roman"/>
          <w:b/>
          <w:color w:val="851C00"/>
          <w:sz w:val="24"/>
          <w:szCs w:val="24"/>
          <w:u w:val="single"/>
        </w:rPr>
        <w:t>Oregon</w:t>
      </w:r>
      <w:bookmarkEnd w:id="82"/>
    </w:p>
    <w:p w14:paraId="3B179DF5" w14:textId="77777777" w:rsidR="0047413E" w:rsidRPr="008A3EC2" w:rsidRDefault="0047413E" w:rsidP="00416BA9">
      <w:pPr>
        <w:ind w:left="720"/>
        <w:rPr>
          <w:rFonts w:eastAsia="Calibri" w:cs="Times New Roman"/>
        </w:rPr>
      </w:pPr>
      <w:r w:rsidRPr="008A3EC2">
        <w:rPr>
          <w:rFonts w:eastAsia="Calibri" w:cs="Times New Roman"/>
        </w:rPr>
        <w:t>Or. Admin. R. 150-316-0155(1)</w:t>
      </w:r>
    </w:p>
    <w:p w14:paraId="14138983" w14:textId="77777777" w:rsidR="0047413E" w:rsidRPr="008A3EC2" w:rsidRDefault="0047413E" w:rsidP="00416BA9">
      <w:pPr>
        <w:ind w:left="1440"/>
        <w:rPr>
          <w:rFonts w:eastAsia="Calibri" w:cs="Times New Roman"/>
        </w:rPr>
      </w:pPr>
      <w:r w:rsidRPr="008A3EC2">
        <w:rPr>
          <w:rFonts w:eastAsia="Calibri" w:cs="Times New Roman"/>
        </w:rPr>
        <w:t>Guaranteed payments paid to nonresident partners of a partnership that has business activity in the state of Oregon are treated as a distributive share of partnership income for Oregon tax purposes. In order to determine the income attributable to Oregon sources, each nonresident partner's entire distributive share, including the guaranteed payments, is then subject to the allocation and apportionment provisions of ORS 314.605 to 314.675.</w:t>
      </w:r>
    </w:p>
    <w:p w14:paraId="29FEA34E" w14:textId="77777777" w:rsidR="0047413E" w:rsidRPr="008A3EC2" w:rsidRDefault="0047413E" w:rsidP="00416BA9">
      <w:pPr>
        <w:ind w:left="720"/>
        <w:rPr>
          <w:rFonts w:eastAsia="Calibri" w:cs="Times New Roman"/>
        </w:rPr>
      </w:pPr>
      <w:r w:rsidRPr="008A3EC2">
        <w:rPr>
          <w:rFonts w:eastAsia="Calibri" w:cs="Times New Roman"/>
        </w:rPr>
        <w:t>Or. Admin. R. 150-314-0415</w:t>
      </w:r>
    </w:p>
    <w:p w14:paraId="28CBB09E" w14:textId="77777777" w:rsidR="0047413E" w:rsidRPr="008A3EC2" w:rsidRDefault="0047413E" w:rsidP="00416BA9">
      <w:pPr>
        <w:ind w:left="1440"/>
        <w:rPr>
          <w:rFonts w:eastAsia="Calibri" w:cs="Times New Roman"/>
        </w:rPr>
      </w:pPr>
      <w:r w:rsidRPr="008A3EC2">
        <w:rPr>
          <w:rFonts w:eastAsia="Calibri" w:cs="Times New Roman"/>
        </w:rPr>
        <w:t>(4) The term "compensation" means wages, salaries, commissions, and any other form of remuneration paid to employees for personal services. Guaranteed payments representing compensation for services to a partnership are considered remuneration paid to employees for personal services. Other than this exception relating to guaranteed payments, payments made to an independent contractor or any other person not properly classifiable as an employee are excluded.</w:t>
      </w:r>
    </w:p>
    <w:p w14:paraId="2943699A" w14:textId="77777777" w:rsidR="0047413E" w:rsidRPr="008A3EC2" w:rsidRDefault="0047413E" w:rsidP="00416BA9">
      <w:pPr>
        <w:ind w:left="1440"/>
        <w:rPr>
          <w:rFonts w:eastAsia="Calibri" w:cs="Times New Roman"/>
        </w:rPr>
      </w:pPr>
      <w:r w:rsidRPr="008A3EC2">
        <w:rPr>
          <w:rFonts w:eastAsia="Calibri" w:cs="Times New Roman"/>
        </w:rPr>
        <w:t>(5) Guaranteed payments which represent a return of capital, interest paid on a capital account, or for any purpose other than compensation for services are excluded. Only amounts paid directly to employees are included in the payroll factor. Amounts considered paid directly include the value of board, rent, housing, lodging, and other benefits or services furnished to employees by the taxpayer in return for personal services, provided that such amounts constitute income to the recipient under the federal Internal Revenue Code. In the case of employees not subject to the federal Internal Revenue Code, e.g., those employed in foreign countries, the determination of whether such benefits or services would constitute income to the employees is made as though such employees were subject to the federal Internal Revenue Code.</w:t>
      </w:r>
    </w:p>
    <w:p w14:paraId="4C48ECAB" w14:textId="77777777" w:rsidR="0047413E" w:rsidRPr="008A3EC2" w:rsidRDefault="0047413E" w:rsidP="008C5D0D">
      <w:pPr>
        <w:ind w:left="720"/>
        <w:rPr>
          <w:rFonts w:eastAsia="Calibri" w:cs="Times New Roman"/>
        </w:rPr>
      </w:pPr>
      <w:r w:rsidRPr="008A3EC2">
        <w:rPr>
          <w:rFonts w:eastAsia="Calibri" w:cs="Times New Roman"/>
          <w:i/>
          <w:iCs/>
        </w:rPr>
        <w:lastRenderedPageBreak/>
        <w:t>Reeve v. Dep’t. of Revenue</w:t>
      </w:r>
      <w:r w:rsidRPr="008A3EC2">
        <w:rPr>
          <w:rFonts w:eastAsia="Calibri" w:cs="Times New Roman"/>
        </w:rPr>
        <w:t xml:space="preserve">, 37 P.3d 981 (Or. 2001) </w:t>
      </w:r>
    </w:p>
    <w:p w14:paraId="24AC32E4" w14:textId="77777777" w:rsidR="0047413E" w:rsidRPr="008A3EC2" w:rsidRDefault="0047413E" w:rsidP="00416BA9">
      <w:pPr>
        <w:ind w:left="1440"/>
        <w:rPr>
          <w:rFonts w:eastAsia="Calibri" w:cs="Times New Roman"/>
        </w:rPr>
      </w:pPr>
      <w:r w:rsidRPr="008A3EC2">
        <w:rPr>
          <w:rFonts w:eastAsia="Calibri" w:cs="Times New Roman"/>
        </w:rPr>
        <w:t xml:space="preserve">Washington resident taxpayers characterized payments from an Oregon general partnership for legal services in Washington state as guaranteed payments for services exempt from Oregon tax. The Supreme Court of Oregon determined that guaranteed payments for services made to nonresident partners are considered a distributive shares of partnership profits. See also </w:t>
      </w:r>
      <w:r w:rsidRPr="008A3EC2">
        <w:rPr>
          <w:rFonts w:eastAsia="Calibri" w:cs="Times New Roman"/>
          <w:i/>
          <w:iCs/>
        </w:rPr>
        <w:t>Pratt &amp; Larsen Tile v. Dep’t. of Revenue</w:t>
      </w:r>
      <w:r w:rsidRPr="008A3EC2">
        <w:rPr>
          <w:rFonts w:eastAsia="Calibri" w:cs="Times New Roman"/>
        </w:rPr>
        <w:t>, 13 OTR 270 (Or. Tax 1995).</w:t>
      </w:r>
    </w:p>
    <w:p w14:paraId="2C249382" w14:textId="77777777" w:rsidR="0047413E" w:rsidRPr="008A3EC2" w:rsidRDefault="0047413E" w:rsidP="00416BA9">
      <w:pPr>
        <w:ind w:left="720"/>
        <w:rPr>
          <w:rFonts w:eastAsia="Calibri" w:cs="Times New Roman"/>
        </w:rPr>
      </w:pPr>
      <w:r w:rsidRPr="008A3EC2">
        <w:rPr>
          <w:rFonts w:eastAsia="Calibri" w:cs="Times New Roman"/>
        </w:rPr>
        <w:t>2021 Or. Laws, ch. 589 (2021 Or. S.B. 727)</w:t>
      </w:r>
    </w:p>
    <w:p w14:paraId="123BA118" w14:textId="77777777" w:rsidR="0047413E" w:rsidRPr="008A3EC2" w:rsidRDefault="0047413E" w:rsidP="00416BA9">
      <w:pPr>
        <w:ind w:left="1440"/>
        <w:rPr>
          <w:rFonts w:eastAsia="Calibri" w:cs="Times New Roman"/>
        </w:rPr>
      </w:pPr>
      <w:r w:rsidRPr="008A3EC2">
        <w:rPr>
          <w:rFonts w:eastAsia="Calibri" w:cs="Times New Roman"/>
        </w:rPr>
        <w:t>“Distributive proceeds” means the net income, dividends, royalties, interest, rents, guaranteed payments and gains of a pass-through entity, derived from or connected with sources within this state.</w:t>
      </w:r>
    </w:p>
    <w:p w14:paraId="149FD868" w14:textId="77777777" w:rsidR="0047413E" w:rsidRPr="008A3EC2" w:rsidRDefault="0047413E" w:rsidP="0047413E">
      <w:pPr>
        <w:pBdr>
          <w:bottom w:val="single" w:sz="4" w:space="1" w:color="auto"/>
        </w:pBdr>
        <w:rPr>
          <w:rFonts w:eastAsia="Calibri" w:cs="Times New Roman"/>
        </w:rPr>
      </w:pPr>
    </w:p>
    <w:p w14:paraId="533DDA95"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3" w:name="_Toc144634503"/>
      <w:r w:rsidRPr="008A3EC2">
        <w:rPr>
          <w:rFonts w:ascii="Californian FB" w:eastAsia="Times New Roman" w:hAnsi="Californian FB" w:cs="Times New Roman"/>
          <w:b/>
          <w:color w:val="851C00"/>
          <w:sz w:val="24"/>
          <w:szCs w:val="24"/>
          <w:u w:val="single"/>
        </w:rPr>
        <w:t>Pennsylvania</w:t>
      </w:r>
      <w:bookmarkEnd w:id="83"/>
    </w:p>
    <w:p w14:paraId="06F766F1" w14:textId="77777777" w:rsidR="0047413E" w:rsidRPr="008A3EC2" w:rsidRDefault="0047413E" w:rsidP="00416BA9">
      <w:pPr>
        <w:ind w:left="720"/>
        <w:rPr>
          <w:rFonts w:eastAsia="Calibri" w:cs="Times New Roman"/>
        </w:rPr>
      </w:pPr>
      <w:r w:rsidRPr="008A3EC2">
        <w:rPr>
          <w:rFonts w:eastAsia="Calibri" w:cs="Times New Roman"/>
        </w:rPr>
        <w:t>Pennsylvania Personal Income Tax Guide, Chapter 16</w:t>
      </w:r>
    </w:p>
    <w:p w14:paraId="5C34D2BD" w14:textId="351726C8" w:rsidR="0047413E" w:rsidRPr="008A3EC2" w:rsidRDefault="007A488B" w:rsidP="00416BA9">
      <w:pPr>
        <w:ind w:left="1440"/>
        <w:rPr>
          <w:rFonts w:eastAsia="Calibri" w:cs="Times New Roman"/>
        </w:rPr>
      </w:pPr>
      <w:r>
        <w:rPr>
          <w:rFonts w:eastAsia="Calibri" w:cs="Times New Roman"/>
        </w:rPr>
        <w:t xml:space="preserve">For nonresidents a guaranteed payment for services rendered directly in the production of </w:t>
      </w:r>
      <w:r w:rsidR="0047413E" w:rsidRPr="008A3EC2">
        <w:rPr>
          <w:rFonts w:eastAsia="Calibri" w:cs="Times New Roman"/>
        </w:rPr>
        <w:t>income from a business, profession or farm is allocable or apportionable to Pennsylvania to the same extent as the net profits are allocable or apportionable to Pennsylvania . . . For nonresidents a guaranteed payment for services rendered directly in the production of rental or royalty income is allocable to Pennsylvania to the same extent as the rental and royalty income is allocable to Pennsylvania . . .For nonresidents a guaranteed payment for other services or for the use of capital is allocable to their state of residence. Nonresidents are not taxed on a guaranteed payment for the use of capital for Pennsylvania personal income tax purposes.</w:t>
      </w:r>
    </w:p>
    <w:p w14:paraId="7185766C" w14:textId="77777777" w:rsidR="0047413E" w:rsidRPr="008A3EC2" w:rsidRDefault="0047413E" w:rsidP="00416BA9">
      <w:pPr>
        <w:ind w:left="1440"/>
        <w:rPr>
          <w:rFonts w:eastAsia="Calibri" w:cs="Times New Roman"/>
        </w:rPr>
      </w:pPr>
      <w:r w:rsidRPr="008A3EC2">
        <w:rPr>
          <w:rFonts w:eastAsia="Calibri" w:cs="Times New Roman"/>
        </w:rPr>
        <w:t>Recent federal statutory changes prohibit states from taxing some retirement income of nonresidents. Public Law 109-264, signed Aug. 3, 2006, amends § 114 of Title 4 of the U.S. Code. The law provides that retirement payments made under a nonqualified plan maintained by a partnership and meeting specific criteria are taxable only by a state where the retired partner is a resident or where the retired partner is domiciled at the time the payments are received. To qualify for this tax treatment, the retirement payments must meet all of the following criteria:</w:t>
      </w:r>
    </w:p>
    <w:p w14:paraId="281CFE4E" w14:textId="77777777" w:rsidR="0047413E" w:rsidRPr="008A3EC2" w:rsidRDefault="0047413E" w:rsidP="00416BA9">
      <w:pPr>
        <w:ind w:left="1440"/>
        <w:rPr>
          <w:rFonts w:eastAsia="Calibri" w:cs="Times New Roman"/>
        </w:rPr>
      </w:pPr>
      <w:r w:rsidRPr="008A3EC2">
        <w:rPr>
          <w:rFonts w:eastAsia="Calibri" w:cs="Times New Roman"/>
        </w:rPr>
        <w:t>The payments must be provided for in a written plan, program, or arrangement that was in effect before the partner’s retirement;</w:t>
      </w:r>
    </w:p>
    <w:p w14:paraId="7B54AD8E" w14:textId="77777777" w:rsidR="0047413E" w:rsidRPr="008A3EC2" w:rsidRDefault="0047413E" w:rsidP="00416BA9">
      <w:pPr>
        <w:ind w:left="1440"/>
        <w:rPr>
          <w:rFonts w:eastAsia="Calibri" w:cs="Times New Roman"/>
        </w:rPr>
      </w:pPr>
      <w:r w:rsidRPr="008A3EC2">
        <w:rPr>
          <w:rFonts w:eastAsia="Calibri" w:cs="Times New Roman"/>
        </w:rPr>
        <w:t>The payments must be in recognition of prior service performed by the partner for the partnership; and</w:t>
      </w:r>
    </w:p>
    <w:p w14:paraId="7A931BC4" w14:textId="77777777" w:rsidR="0047413E" w:rsidRPr="008A3EC2" w:rsidRDefault="0047413E" w:rsidP="00416BA9">
      <w:pPr>
        <w:ind w:left="1440"/>
        <w:rPr>
          <w:rFonts w:eastAsia="Calibri" w:cs="Times New Roman"/>
        </w:rPr>
      </w:pPr>
      <w:r w:rsidRPr="008A3EC2">
        <w:rPr>
          <w:rFonts w:eastAsia="Calibri" w:cs="Times New Roman"/>
        </w:rPr>
        <w:t>The payments must be made over the life or life expectancy of the recipient or over a period of at least 10 years, must be paid at least annually, and must be paid in substantially equal periodic payments.</w:t>
      </w:r>
    </w:p>
    <w:p w14:paraId="789D1FB7" w14:textId="77777777" w:rsidR="0047413E" w:rsidRPr="008A3EC2" w:rsidRDefault="0047413E" w:rsidP="0047413E">
      <w:pPr>
        <w:pBdr>
          <w:bottom w:val="single" w:sz="4" w:space="1" w:color="auto"/>
        </w:pBdr>
        <w:rPr>
          <w:rFonts w:eastAsia="Calibri" w:cs="Times New Roman"/>
        </w:rPr>
      </w:pPr>
    </w:p>
    <w:p w14:paraId="3ED6B6E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4" w:name="_Toc144634504"/>
      <w:bookmarkStart w:id="85" w:name="_Hlk130546526"/>
      <w:r w:rsidRPr="008A3EC2">
        <w:rPr>
          <w:rFonts w:ascii="Californian FB" w:eastAsia="Times New Roman" w:hAnsi="Californian FB" w:cs="Times New Roman"/>
          <w:b/>
          <w:color w:val="851C00"/>
          <w:sz w:val="24"/>
          <w:szCs w:val="24"/>
          <w:u w:val="single"/>
        </w:rPr>
        <w:t>Rhode Island</w:t>
      </w:r>
      <w:bookmarkEnd w:id="84"/>
      <w:r w:rsidRPr="008A3EC2">
        <w:rPr>
          <w:rFonts w:ascii="Californian FB" w:eastAsia="Times New Roman" w:hAnsi="Californian FB" w:cs="Times New Roman"/>
          <w:b/>
          <w:color w:val="851C00"/>
          <w:sz w:val="24"/>
          <w:szCs w:val="24"/>
          <w:u w:val="single"/>
        </w:rPr>
        <w:t xml:space="preserve"> </w:t>
      </w:r>
    </w:p>
    <w:p w14:paraId="4E3291E8" w14:textId="77777777" w:rsidR="0047413E" w:rsidRPr="008A3EC2" w:rsidRDefault="0047413E" w:rsidP="00416BA9">
      <w:pPr>
        <w:ind w:left="720"/>
        <w:rPr>
          <w:rFonts w:eastAsia="Calibri" w:cs="Times New Roman"/>
        </w:rPr>
      </w:pPr>
      <w:r w:rsidRPr="008A3EC2">
        <w:rPr>
          <w:rFonts w:eastAsia="Calibri" w:cs="Times New Roman"/>
        </w:rPr>
        <w:t>R.I. Gen. Laws § 44-30-34</w:t>
      </w:r>
    </w:p>
    <w:p w14:paraId="051445A8" w14:textId="77777777" w:rsidR="0047413E" w:rsidRPr="008A3EC2" w:rsidRDefault="0047413E" w:rsidP="00416BA9">
      <w:pPr>
        <w:ind w:left="1440"/>
        <w:rPr>
          <w:rFonts w:eastAsia="Calibri" w:cs="Times New Roman"/>
        </w:rPr>
      </w:pPr>
      <w:r w:rsidRPr="008A3EC2">
        <w:rPr>
          <w:rFonts w:eastAsia="Calibri" w:cs="Times New Roman"/>
        </w:rPr>
        <w:t>(b) Special rules as to Rhode Island sources. In determining the sources of a nonresident partner's income, no effect shall be given to a provision in the partnership agreement which:</w:t>
      </w:r>
    </w:p>
    <w:p w14:paraId="75C0DF5F" w14:textId="77777777" w:rsidR="0047413E" w:rsidRPr="008A3EC2" w:rsidRDefault="0047413E" w:rsidP="00416BA9">
      <w:pPr>
        <w:ind w:left="1440" w:firstLine="720"/>
        <w:rPr>
          <w:rFonts w:eastAsia="Calibri" w:cs="Times New Roman"/>
        </w:rPr>
      </w:pPr>
      <w:r w:rsidRPr="008A3EC2">
        <w:rPr>
          <w:rFonts w:eastAsia="Calibri" w:cs="Times New Roman"/>
        </w:rPr>
        <w:lastRenderedPageBreak/>
        <w:t>(1) Characterizes payments to the partner as being for services or for the use of capital; or</w:t>
      </w:r>
    </w:p>
    <w:p w14:paraId="03463933" w14:textId="77777777" w:rsidR="0047413E" w:rsidRPr="008A3EC2" w:rsidRDefault="0047413E" w:rsidP="00416BA9">
      <w:pPr>
        <w:ind w:left="1440" w:firstLine="720"/>
        <w:rPr>
          <w:rFonts w:eastAsia="Calibri" w:cs="Times New Roman"/>
        </w:rPr>
      </w:pPr>
      <w:r w:rsidRPr="008A3EC2">
        <w:rPr>
          <w:rFonts w:eastAsia="Calibri" w:cs="Times New Roman"/>
        </w:rPr>
        <w:t>(2) Allocates to the partner, as income from sources outside Rhode Island, a greater proportion of his or her distributive share of partnership income than the ratio of partnership income from sources outside Rhode Island to partnership income from all sources, except as authorized in subsection (d) of this section; or</w:t>
      </w:r>
    </w:p>
    <w:p w14:paraId="380D0C68" w14:textId="77777777" w:rsidR="0047413E" w:rsidRPr="008A3EC2" w:rsidRDefault="0047413E" w:rsidP="00416BA9">
      <w:pPr>
        <w:ind w:left="1440" w:firstLine="720"/>
        <w:rPr>
          <w:rFonts w:eastAsia="Calibri" w:cs="Times New Roman"/>
        </w:rPr>
      </w:pPr>
      <w:r w:rsidRPr="008A3EC2">
        <w:rPr>
          <w:rFonts w:eastAsia="Calibri" w:cs="Times New Roman"/>
        </w:rPr>
        <w:t>(3) Allocates to the partner a greater proportion of a partnership item of deduction connected with Rhode Island sources than his or her proportionate share, for federal income tax purposes, of partnership deductions generally, except as authorized in subsection (d) of this section.</w:t>
      </w:r>
    </w:p>
    <w:p w14:paraId="41394789" w14:textId="77777777" w:rsidR="0047413E" w:rsidRPr="008A3EC2" w:rsidRDefault="0047413E" w:rsidP="00416BA9">
      <w:pPr>
        <w:ind w:left="720"/>
        <w:rPr>
          <w:rFonts w:eastAsia="Calibri" w:cs="Times New Roman"/>
        </w:rPr>
      </w:pPr>
      <w:r w:rsidRPr="008A3EC2">
        <w:rPr>
          <w:rFonts w:eastAsia="Calibri" w:cs="Times New Roman"/>
        </w:rPr>
        <w:t>R.I. Gen. Laws § 44-11-2.3(a)(2)</w:t>
      </w:r>
    </w:p>
    <w:p w14:paraId="4D7A3B4B" w14:textId="77777777" w:rsidR="0047413E" w:rsidRPr="008A3EC2" w:rsidRDefault="0047413E" w:rsidP="00416BA9">
      <w:pPr>
        <w:ind w:left="1440"/>
        <w:rPr>
          <w:rFonts w:eastAsia="Calibri" w:cs="Times New Roman"/>
        </w:rPr>
      </w:pPr>
      <w:r w:rsidRPr="008A3EC2">
        <w:rPr>
          <w:rFonts w:eastAsia="Calibri" w:cs="Times New Roman"/>
        </w:rPr>
        <w:t>“Net income” means the net ordinary income, net rental real estate income, other net rental income, guaranteed payments, and other business income less specially allocated depreciation and deductions allowed pursuant to § 179 of the United States Revenue Code (26 U.S.C. § 179), all of which would be reported on federal tax form schedules C and E. Net income for purposes of this section does not include specially allocated investment income or any other types of deductions.</w:t>
      </w:r>
    </w:p>
    <w:bookmarkEnd w:id="85"/>
    <w:p w14:paraId="654194FE" w14:textId="77777777" w:rsidR="0047413E" w:rsidRPr="008A3EC2" w:rsidRDefault="0047413E" w:rsidP="0047413E">
      <w:pPr>
        <w:pBdr>
          <w:bottom w:val="single" w:sz="4" w:space="1" w:color="auto"/>
        </w:pBdr>
        <w:rPr>
          <w:rFonts w:eastAsia="Calibri" w:cs="Times New Roman"/>
        </w:rPr>
      </w:pPr>
    </w:p>
    <w:p w14:paraId="1FFDD1E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6" w:name="_Toc144634505"/>
      <w:r w:rsidRPr="008A3EC2">
        <w:rPr>
          <w:rFonts w:ascii="Californian FB" w:eastAsia="Times New Roman" w:hAnsi="Californian FB" w:cs="Times New Roman"/>
          <w:b/>
          <w:color w:val="851C00"/>
          <w:sz w:val="24"/>
          <w:szCs w:val="24"/>
          <w:u w:val="single"/>
        </w:rPr>
        <w:t>South Carolina</w:t>
      </w:r>
      <w:bookmarkEnd w:id="86"/>
    </w:p>
    <w:p w14:paraId="676B6263" w14:textId="77777777" w:rsidR="0047413E" w:rsidRPr="008A3EC2" w:rsidRDefault="0047413E" w:rsidP="00416BA9">
      <w:pPr>
        <w:ind w:left="720"/>
        <w:rPr>
          <w:rFonts w:eastAsia="Calibri" w:cs="Times New Roman"/>
        </w:rPr>
      </w:pPr>
      <w:r w:rsidRPr="008A3EC2">
        <w:rPr>
          <w:rFonts w:eastAsia="Calibri" w:cs="Times New Roman"/>
        </w:rPr>
        <w:t>2022 Instructions for Form SC1065</w:t>
      </w:r>
    </w:p>
    <w:p w14:paraId="1DAA6262" w14:textId="77777777" w:rsidR="0047413E" w:rsidRPr="008A3EC2" w:rsidRDefault="0047413E" w:rsidP="00416BA9">
      <w:pPr>
        <w:ind w:left="1440"/>
        <w:rPr>
          <w:rFonts w:eastAsia="Calibri" w:cs="Times New Roman"/>
        </w:rPr>
      </w:pPr>
      <w:r w:rsidRPr="008A3EC2">
        <w:rPr>
          <w:rFonts w:eastAsia="Calibri" w:cs="Times New Roman"/>
        </w:rPr>
        <w:t>Allocate personal service income, including guaranteed payments, to South Carolina if (a) the income is received by a resident individual or (b) the income is for services performed in South Carolina.</w:t>
      </w:r>
    </w:p>
    <w:p w14:paraId="39EF41C1" w14:textId="77777777" w:rsidR="0047413E" w:rsidRPr="008A3EC2" w:rsidRDefault="0047413E" w:rsidP="00416BA9">
      <w:pPr>
        <w:ind w:left="720"/>
        <w:rPr>
          <w:rFonts w:eastAsia="Calibri" w:cs="Times New Roman"/>
        </w:rPr>
      </w:pPr>
      <w:r w:rsidRPr="008A3EC2">
        <w:rPr>
          <w:rFonts w:eastAsia="Calibri" w:cs="Times New Roman"/>
        </w:rPr>
        <w:t>S.C. Revenue Ruling #21-15; S.C. Code Ann. § 12-6-545(A)(1)(d)</w:t>
      </w:r>
    </w:p>
    <w:p w14:paraId="2ABA5F22" w14:textId="77777777" w:rsidR="0047413E" w:rsidRPr="008A3EC2" w:rsidRDefault="0047413E" w:rsidP="00416BA9">
      <w:pPr>
        <w:ind w:left="1440"/>
        <w:rPr>
          <w:rFonts w:eastAsia="Calibri" w:cs="Times New Roman"/>
        </w:rPr>
      </w:pPr>
      <w:r w:rsidRPr="008A3EC2">
        <w:rPr>
          <w:rFonts w:eastAsia="Calibri" w:cs="Times New Roman"/>
        </w:rPr>
        <w:t>Active trade or business income or loss does not include . . . payments for services referred to in Internal Revenue Code Section 707(c); amounts reasonably related to personal services. All amounts paid as compensation and all guaranteed payments for services, but not for the use of capital as defined in Internal Revenue Code Section 707(c) are deemed to be reasonably related to personal services. In addition, if an owner of a pass-through entity who performs personal services for the entity is not paid a reasonable amount for those personal services as compensation or payments referred to in Internal Revenue Code Section 707(c), all of the owner's income from the entity is presumed to be amounts reasonably related to personal services. . For purposes of this section, amounts reasonably related to personal services include amounts reasonably related to the personal services of the owner, the owner's spouse, and any person claimed as a dependent on the owner's income tax return.</w:t>
      </w:r>
    </w:p>
    <w:p w14:paraId="4AE062E8" w14:textId="77777777" w:rsidR="0047413E" w:rsidRPr="008A3EC2" w:rsidRDefault="0047413E" w:rsidP="0047413E">
      <w:pPr>
        <w:pBdr>
          <w:bottom w:val="single" w:sz="4" w:space="1" w:color="auto"/>
        </w:pBdr>
        <w:rPr>
          <w:rFonts w:eastAsia="Calibri" w:cs="Times New Roman"/>
        </w:rPr>
      </w:pPr>
    </w:p>
    <w:p w14:paraId="1D3F4A08"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7" w:name="_Toc144634506"/>
      <w:r w:rsidRPr="008A3EC2">
        <w:rPr>
          <w:rFonts w:ascii="Californian FB" w:eastAsia="Times New Roman" w:hAnsi="Californian FB" w:cs="Times New Roman"/>
          <w:b/>
          <w:color w:val="851C00"/>
          <w:sz w:val="24"/>
          <w:szCs w:val="24"/>
          <w:u w:val="single"/>
        </w:rPr>
        <w:t>Utah</w:t>
      </w:r>
      <w:bookmarkEnd w:id="87"/>
    </w:p>
    <w:p w14:paraId="2007D007" w14:textId="77777777" w:rsidR="0047413E" w:rsidRPr="008A3EC2" w:rsidRDefault="0047413E" w:rsidP="00416BA9">
      <w:pPr>
        <w:ind w:left="720"/>
        <w:rPr>
          <w:rFonts w:eastAsia="Calibri" w:cs="Times New Roman"/>
        </w:rPr>
      </w:pPr>
      <w:r w:rsidRPr="008A3EC2">
        <w:rPr>
          <w:rFonts w:eastAsia="Calibri" w:cs="Times New Roman"/>
        </w:rPr>
        <w:t>Utah Advisory Opinion, No. 93-006 (03/22/1993)</w:t>
      </w:r>
    </w:p>
    <w:p w14:paraId="66C45C15" w14:textId="77777777" w:rsidR="0047413E" w:rsidRPr="008A3EC2" w:rsidRDefault="0047413E" w:rsidP="00416BA9">
      <w:pPr>
        <w:ind w:left="1440"/>
        <w:rPr>
          <w:rFonts w:eastAsia="Calibri" w:cs="Times New Roman"/>
        </w:rPr>
      </w:pPr>
      <w:r w:rsidRPr="008A3EC2">
        <w:rPr>
          <w:rFonts w:eastAsia="Calibri" w:cs="Times New Roman"/>
        </w:rPr>
        <w:t>Sources guaranteed payments the same as distributive share.</w:t>
      </w:r>
    </w:p>
    <w:p w14:paraId="160D6CAB" w14:textId="77777777" w:rsidR="0047413E" w:rsidRPr="008A3EC2" w:rsidRDefault="0047413E" w:rsidP="0047413E">
      <w:pPr>
        <w:pBdr>
          <w:bottom w:val="single" w:sz="4" w:space="1" w:color="auto"/>
        </w:pBdr>
        <w:rPr>
          <w:rFonts w:eastAsia="Calibri" w:cs="Times New Roman"/>
        </w:rPr>
      </w:pPr>
    </w:p>
    <w:p w14:paraId="1C0EAA33"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8" w:name="_Toc144634507"/>
      <w:bookmarkEnd w:id="71"/>
      <w:r w:rsidRPr="008A3EC2">
        <w:rPr>
          <w:rFonts w:ascii="Californian FB" w:eastAsia="Times New Roman" w:hAnsi="Californian FB" w:cs="Times New Roman"/>
          <w:b/>
          <w:color w:val="851C00"/>
          <w:sz w:val="24"/>
          <w:szCs w:val="24"/>
          <w:u w:val="single"/>
        </w:rPr>
        <w:t>Vermont</w:t>
      </w:r>
      <w:bookmarkEnd w:id="88"/>
    </w:p>
    <w:p w14:paraId="79A42457" w14:textId="77777777" w:rsidR="0047413E" w:rsidRPr="008A3EC2" w:rsidRDefault="0047413E" w:rsidP="00416BA9">
      <w:pPr>
        <w:ind w:left="720"/>
        <w:rPr>
          <w:rFonts w:eastAsia="Calibri" w:cs="Times New Roman"/>
        </w:rPr>
      </w:pPr>
      <w:r w:rsidRPr="008A3EC2">
        <w:rPr>
          <w:rFonts w:eastAsia="Calibri" w:cs="Times New Roman"/>
        </w:rPr>
        <w:t>2022 Instructions to Schedule BI-473</w:t>
      </w:r>
    </w:p>
    <w:p w14:paraId="29131831" w14:textId="77777777" w:rsidR="0047413E" w:rsidRPr="008A3EC2" w:rsidRDefault="0047413E" w:rsidP="00416BA9">
      <w:pPr>
        <w:ind w:left="1440"/>
        <w:rPr>
          <w:rFonts w:eastAsia="Calibri" w:cs="Times New Roman"/>
        </w:rPr>
      </w:pPr>
      <w:r w:rsidRPr="008A3EC2">
        <w:rPr>
          <w:rFonts w:eastAsia="Calibri" w:cs="Times New Roman"/>
        </w:rPr>
        <w:lastRenderedPageBreak/>
        <w:t>Guaranteed payments are apportioned.</w:t>
      </w:r>
    </w:p>
    <w:p w14:paraId="5C93C992" w14:textId="77777777" w:rsidR="0047413E" w:rsidRPr="008A3EC2" w:rsidRDefault="0047413E" w:rsidP="0047413E">
      <w:pPr>
        <w:pBdr>
          <w:bottom w:val="single" w:sz="4" w:space="1" w:color="auto"/>
        </w:pBdr>
        <w:rPr>
          <w:rFonts w:eastAsia="Calibri" w:cs="Times New Roman"/>
        </w:rPr>
      </w:pPr>
    </w:p>
    <w:p w14:paraId="2CA8C19A"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9" w:name="_Toc144634508"/>
      <w:r w:rsidRPr="008A3EC2">
        <w:rPr>
          <w:rFonts w:ascii="Californian FB" w:eastAsia="Times New Roman" w:hAnsi="Californian FB" w:cs="Times New Roman"/>
          <w:b/>
          <w:color w:val="851C00"/>
          <w:sz w:val="24"/>
          <w:szCs w:val="24"/>
          <w:u w:val="single"/>
        </w:rPr>
        <w:t>Virginia</w:t>
      </w:r>
      <w:bookmarkEnd w:id="89"/>
    </w:p>
    <w:p w14:paraId="6118096F" w14:textId="77777777" w:rsidR="0047413E" w:rsidRPr="008A3EC2" w:rsidRDefault="0047413E" w:rsidP="00416BA9">
      <w:pPr>
        <w:ind w:left="720"/>
        <w:rPr>
          <w:rFonts w:eastAsia="Calibri" w:cs="Times New Roman"/>
        </w:rPr>
      </w:pPr>
      <w:r w:rsidRPr="008A3EC2">
        <w:rPr>
          <w:rFonts w:eastAsia="Calibri" w:cs="Times New Roman"/>
        </w:rPr>
        <w:t>PD 05-38 (March 16, 2005); PD 05-48 (April 7, 2005)</w:t>
      </w:r>
    </w:p>
    <w:p w14:paraId="722ED504" w14:textId="77777777" w:rsidR="0047413E" w:rsidRPr="008A3EC2" w:rsidRDefault="0047413E" w:rsidP="00416BA9">
      <w:pPr>
        <w:ind w:left="1440"/>
        <w:rPr>
          <w:rFonts w:eastAsia="Calibri" w:cs="Times New Roman"/>
        </w:rPr>
      </w:pPr>
      <w:r w:rsidRPr="008A3EC2">
        <w:rPr>
          <w:rFonts w:eastAsia="Calibri" w:cs="Times New Roman"/>
        </w:rPr>
        <w:t>Guaranteed payments for services are attributed to where the services are performed.</w:t>
      </w:r>
    </w:p>
    <w:p w14:paraId="185FD5F4" w14:textId="77777777" w:rsidR="0047413E" w:rsidRPr="008A3EC2" w:rsidRDefault="0047413E" w:rsidP="00416BA9">
      <w:pPr>
        <w:ind w:left="720"/>
        <w:rPr>
          <w:rFonts w:eastAsia="Calibri" w:cs="Times New Roman"/>
        </w:rPr>
      </w:pPr>
      <w:r w:rsidRPr="008A3EC2">
        <w:rPr>
          <w:rFonts w:eastAsia="Calibri" w:cs="Times New Roman"/>
        </w:rPr>
        <w:t>DRAFT Guidelines for the Pass-through Entity Tax (October 31, 2022)</w:t>
      </w:r>
    </w:p>
    <w:p w14:paraId="2F9FB707" w14:textId="77777777" w:rsidR="0047413E" w:rsidRPr="008A3EC2" w:rsidRDefault="0047413E" w:rsidP="00416BA9">
      <w:pPr>
        <w:ind w:left="1440"/>
        <w:rPr>
          <w:rFonts w:eastAsia="Calibri" w:cs="Times New Roman"/>
        </w:rPr>
      </w:pPr>
      <w:r w:rsidRPr="008A3EC2">
        <w:rPr>
          <w:rFonts w:eastAsia="Calibri" w:cs="Times New Roman"/>
        </w:rPr>
        <w:t>An electing PTE’s calculation of its PTE taxable income must include all items of income, gain, loss, or deduction, to the extent they would flow through and be included in the income of owners that are taxable under Va. Code §§ 58.1-320 and 58.1-360, as applicable, including guaranteed payments. However, the electing PTE can exclude income from the calculation of PTE taxable income to the extent that the PTE can establish that the amount is properly allocable to an owner who is not subject to tax on such amount under Va. Code §§ 58.1-320 and 58.1-360, as applicable. Two examples are (1) income that is not U.S. sourced and is allocable to nonresident alien partners and, therefore, not included in federal adjusted gross income under the Internal Revenue Code, and (2) retirement income of former partners that is exempt from nonresident state taxation under 4 U.S.C § 114.</w:t>
      </w:r>
    </w:p>
    <w:p w14:paraId="1D3D42AA" w14:textId="77777777" w:rsidR="0047413E" w:rsidRPr="008A3EC2" w:rsidRDefault="0047413E" w:rsidP="0047413E">
      <w:pPr>
        <w:pBdr>
          <w:bottom w:val="single" w:sz="4" w:space="1" w:color="auto"/>
        </w:pBdr>
        <w:rPr>
          <w:rFonts w:eastAsia="Calibri" w:cs="Times New Roman"/>
        </w:rPr>
      </w:pPr>
    </w:p>
    <w:p w14:paraId="5233334C"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0" w:name="_Toc144634509"/>
      <w:bookmarkStart w:id="91" w:name="_Hlk130546567"/>
      <w:r w:rsidRPr="008A3EC2">
        <w:rPr>
          <w:rFonts w:ascii="Californian FB" w:eastAsia="Times New Roman" w:hAnsi="Californian FB" w:cs="Times New Roman"/>
          <w:b/>
          <w:color w:val="851C00"/>
          <w:sz w:val="24"/>
          <w:szCs w:val="24"/>
          <w:u w:val="single"/>
        </w:rPr>
        <w:t>West Virginia</w:t>
      </w:r>
      <w:bookmarkEnd w:id="90"/>
    </w:p>
    <w:p w14:paraId="1143C5A7" w14:textId="77777777" w:rsidR="0047413E" w:rsidRPr="008A3EC2" w:rsidRDefault="0047413E" w:rsidP="00416BA9">
      <w:pPr>
        <w:ind w:left="720"/>
        <w:rPr>
          <w:rFonts w:eastAsia="Calibri" w:cs="Times New Roman"/>
        </w:rPr>
      </w:pPr>
      <w:r w:rsidRPr="008A3EC2">
        <w:rPr>
          <w:rFonts w:eastAsia="Calibri" w:cs="Times New Roman"/>
        </w:rPr>
        <w:t>W. Va. Code § 11-21-37(b)</w:t>
      </w:r>
    </w:p>
    <w:p w14:paraId="70023F61" w14:textId="77777777" w:rsidR="0047413E" w:rsidRPr="008A3EC2" w:rsidRDefault="0047413E" w:rsidP="00416BA9">
      <w:pPr>
        <w:ind w:left="1440"/>
        <w:rPr>
          <w:rFonts w:eastAsia="Calibri" w:cs="Times New Roman"/>
        </w:rPr>
      </w:pPr>
      <w:r w:rsidRPr="008A3EC2">
        <w:rPr>
          <w:rFonts w:eastAsia="Calibri" w:cs="Times New Roman"/>
        </w:rPr>
        <w:t>Special rules as to West Virginia sources. -- In determining the sources of a nonresident partner's income, no effect shall be given to a provision of the partnership agreement which:</w:t>
      </w:r>
    </w:p>
    <w:p w14:paraId="2146506B" w14:textId="77777777" w:rsidR="0047413E" w:rsidRPr="008A3EC2" w:rsidRDefault="0047413E" w:rsidP="00416BA9">
      <w:pPr>
        <w:ind w:left="1440" w:firstLine="720"/>
        <w:rPr>
          <w:rFonts w:eastAsia="Calibri" w:cs="Times New Roman"/>
        </w:rPr>
      </w:pPr>
      <w:r w:rsidRPr="008A3EC2">
        <w:rPr>
          <w:rFonts w:eastAsia="Calibri" w:cs="Times New Roman"/>
        </w:rPr>
        <w:t>(1) Characterizes payments to the partner as being for services or for the use of capital; or</w:t>
      </w:r>
    </w:p>
    <w:p w14:paraId="2187ED2B" w14:textId="77777777" w:rsidR="0047413E" w:rsidRPr="008A3EC2" w:rsidRDefault="0047413E" w:rsidP="00416BA9">
      <w:pPr>
        <w:ind w:left="1440" w:firstLine="720"/>
        <w:rPr>
          <w:rFonts w:eastAsia="Calibri" w:cs="Times New Roman"/>
        </w:rPr>
      </w:pPr>
      <w:r w:rsidRPr="008A3EC2">
        <w:rPr>
          <w:rFonts w:eastAsia="Calibri" w:cs="Times New Roman"/>
        </w:rPr>
        <w:t>(2) Allocates to the partner, as income or gain from sources outside West Virginia, a greater proportion of his or her distributive share of partnership income or gain than the ratio of partnership income or gain from sources outside West Virginia to partnership income or gain from all sources, except as authorized in subsection (d); or</w:t>
      </w:r>
    </w:p>
    <w:p w14:paraId="76A24B5B" w14:textId="77777777" w:rsidR="0047413E" w:rsidRDefault="0047413E" w:rsidP="00416BA9">
      <w:pPr>
        <w:ind w:left="1440" w:firstLine="720"/>
        <w:rPr>
          <w:rFonts w:eastAsia="Calibri" w:cs="Times New Roman"/>
        </w:rPr>
      </w:pPr>
      <w:r w:rsidRPr="008A3EC2">
        <w:rPr>
          <w:rFonts w:eastAsia="Calibri" w:cs="Times New Roman"/>
        </w:rPr>
        <w:t>(3) Allocates to the partner a greater proportion of a partnership item of loss or deduction connected with West Virginia sources than his or her proportionate share, for federal income tax purposes, of partnership loss or deduction generally, except as authorized in subsection (c).</w:t>
      </w:r>
    </w:p>
    <w:p w14:paraId="4B31DFDD" w14:textId="77777777" w:rsidR="0047413E" w:rsidRPr="001F5515" w:rsidRDefault="0047413E" w:rsidP="0047413E">
      <w:pPr>
        <w:pBdr>
          <w:bottom w:val="single" w:sz="4" w:space="1" w:color="auto"/>
        </w:pBdr>
        <w:ind w:firstLine="720"/>
        <w:rPr>
          <w:rFonts w:eastAsia="Calibri" w:cs="Times New Roman"/>
        </w:rPr>
      </w:pPr>
    </w:p>
    <w:p w14:paraId="5365FA39"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2" w:name="_Toc144634510"/>
      <w:bookmarkEnd w:id="91"/>
      <w:r w:rsidRPr="008A3EC2">
        <w:rPr>
          <w:rFonts w:ascii="Californian FB" w:eastAsia="Times New Roman" w:hAnsi="Californian FB" w:cs="Times New Roman"/>
          <w:b/>
          <w:color w:val="851C00"/>
          <w:sz w:val="24"/>
          <w:szCs w:val="24"/>
          <w:u w:val="single"/>
        </w:rPr>
        <w:t>W</w:t>
      </w:r>
      <w:r>
        <w:rPr>
          <w:rFonts w:ascii="Californian FB" w:eastAsia="Times New Roman" w:hAnsi="Californian FB" w:cs="Times New Roman"/>
          <w:b/>
          <w:color w:val="851C00"/>
          <w:sz w:val="24"/>
          <w:szCs w:val="24"/>
          <w:u w:val="single"/>
        </w:rPr>
        <w:t>isconsin</w:t>
      </w:r>
      <w:bookmarkEnd w:id="92"/>
    </w:p>
    <w:p w14:paraId="0A3D4DDA" w14:textId="4464474A" w:rsidR="0047413E" w:rsidRPr="008A3EC2" w:rsidRDefault="0047413E" w:rsidP="00416BA9">
      <w:pPr>
        <w:ind w:left="720"/>
        <w:rPr>
          <w:rFonts w:eastAsia="Calibri" w:cs="Times New Roman"/>
        </w:rPr>
      </w:pPr>
      <w:r w:rsidRPr="00BC27FF">
        <w:rPr>
          <w:rFonts w:eastAsia="Calibri" w:cs="Times New Roman"/>
        </w:rPr>
        <w:t>Wis. Stat. §</w:t>
      </w:r>
      <w:r>
        <w:rPr>
          <w:rFonts w:eastAsia="Calibri" w:cs="Times New Roman"/>
        </w:rPr>
        <w:t xml:space="preserve"> 71.2</w:t>
      </w:r>
      <w:r w:rsidR="00AB38D5">
        <w:rPr>
          <w:rFonts w:eastAsia="Calibri" w:cs="Times New Roman"/>
        </w:rPr>
        <w:t>1</w:t>
      </w:r>
    </w:p>
    <w:p w14:paraId="6CE0624F" w14:textId="6591EA58" w:rsidR="0047413E" w:rsidRDefault="0047413E" w:rsidP="00416BA9">
      <w:pPr>
        <w:ind w:left="1440"/>
        <w:rPr>
          <w:rFonts w:eastAsia="Calibri" w:cs="Times New Roman"/>
        </w:rPr>
      </w:pPr>
      <w:r w:rsidRPr="00E84099">
        <w:rPr>
          <w:rFonts w:eastAsia="Calibri" w:cs="Times New Roman"/>
        </w:rPr>
        <w:t xml:space="preserve">According to </w:t>
      </w:r>
      <w:r w:rsidRPr="00B747D5">
        <w:rPr>
          <w:rFonts w:eastAsia="Calibri" w:cs="Times New Roman"/>
        </w:rPr>
        <w:t>Wis. Stat. § 71.2</w:t>
      </w:r>
      <w:r w:rsidR="00916A31">
        <w:rPr>
          <w:rFonts w:eastAsia="Calibri" w:cs="Times New Roman"/>
        </w:rPr>
        <w:t>1</w:t>
      </w:r>
      <w:r>
        <w:rPr>
          <w:rFonts w:eastAsia="Calibri" w:cs="Times New Roman"/>
        </w:rPr>
        <w:t>(6)(b)</w:t>
      </w:r>
      <w:r w:rsidRPr="00E84099">
        <w:rPr>
          <w:rFonts w:eastAsia="Calibri" w:cs="Times New Roman"/>
        </w:rPr>
        <w:t xml:space="preserve">, a partnership making the election to pay tax at the entity level in Wisconsin under </w:t>
      </w:r>
      <w:r w:rsidRPr="00B747D5">
        <w:rPr>
          <w:rFonts w:eastAsia="Calibri" w:cs="Times New Roman"/>
        </w:rPr>
        <w:t>Wis. Stat. § 71.2</w:t>
      </w:r>
      <w:r w:rsidR="00916A31">
        <w:rPr>
          <w:rFonts w:eastAsia="Calibri" w:cs="Times New Roman"/>
        </w:rPr>
        <w:t>1</w:t>
      </w:r>
      <w:r w:rsidRPr="00B747D5">
        <w:rPr>
          <w:rFonts w:eastAsia="Calibri" w:cs="Times New Roman"/>
        </w:rPr>
        <w:t>(6)(b)</w:t>
      </w:r>
      <w:r w:rsidRPr="00E84099">
        <w:rPr>
          <w:rFonts w:eastAsia="Calibri" w:cs="Times New Roman"/>
        </w:rPr>
        <w:t>, shall pay tax on items that would otherwise be taxed if the election was not made. Therefore, to the extent a partner would otherwise include the guaranteed payments in Wisconsin taxable income, the electing partnership must include the guaranteed payments in Wisconsin taxable income.</w:t>
      </w:r>
    </w:p>
    <w:p w14:paraId="63161B65" w14:textId="77777777" w:rsidR="0047413E" w:rsidRDefault="0047413E" w:rsidP="00416BA9">
      <w:pPr>
        <w:ind w:left="720"/>
        <w:rPr>
          <w:rFonts w:eastAsia="Calibri" w:cs="Times New Roman"/>
        </w:rPr>
      </w:pPr>
      <w:r>
        <w:rPr>
          <w:rFonts w:eastAsia="Calibri" w:cs="Times New Roman"/>
        </w:rPr>
        <w:lastRenderedPageBreak/>
        <w:t xml:space="preserve">Publication 122: </w:t>
      </w:r>
      <w:r w:rsidRPr="009842D4">
        <w:rPr>
          <w:rFonts w:eastAsia="Calibri" w:cs="Times New Roman"/>
        </w:rPr>
        <w:t>Tax Information for Part-Year Residents and Nonresidents of Wisconsin</w:t>
      </w:r>
      <w:r>
        <w:rPr>
          <w:rFonts w:eastAsia="Calibri" w:cs="Times New Roman"/>
        </w:rPr>
        <w:t xml:space="preserve"> (March 1, 2023)</w:t>
      </w:r>
    </w:p>
    <w:p w14:paraId="6225CED3" w14:textId="77777777" w:rsidR="0047413E" w:rsidRDefault="0047413E" w:rsidP="00416BA9">
      <w:pPr>
        <w:ind w:left="1440"/>
        <w:rPr>
          <w:rFonts w:eastAsia="Calibri" w:cs="Times New Roman"/>
        </w:rPr>
      </w:pPr>
      <w:r w:rsidRPr="008D278D">
        <w:rPr>
          <w:rFonts w:eastAsia="Calibri" w:cs="Times New Roman"/>
        </w:rPr>
        <w:t>Income from Wisconsin sources includes</w:t>
      </w:r>
      <w:r>
        <w:rPr>
          <w:rFonts w:eastAsia="Calibri" w:cs="Times New Roman"/>
        </w:rPr>
        <w:t xml:space="preserve"> . . .</w:t>
      </w:r>
      <w:r w:rsidRPr="005233FA">
        <w:t xml:space="preserve"> </w:t>
      </w:r>
      <w:r>
        <w:rPr>
          <w:rFonts w:eastAsia="Calibri" w:cs="Times New Roman"/>
        </w:rPr>
        <w:t>[p]</w:t>
      </w:r>
      <w:r w:rsidRPr="005233FA">
        <w:rPr>
          <w:rFonts w:eastAsia="Calibri" w:cs="Times New Roman"/>
        </w:rPr>
        <w:t>rofits or losses from businesses, professions, and farm operations conducted in Wisconsin, including sole proprietorships, partnerships, limited liability companies (LLCs), and tax-option (S) corporations. This includes interest, dividend, and capital gain income attributable to Wisconsin which is passed through from a tax-option (S) corporation, as well as guaranteed payments from partnerships.</w:t>
      </w:r>
    </w:p>
    <w:p w14:paraId="78D96C6D" w14:textId="77777777" w:rsidR="00416BA9" w:rsidRDefault="00416BA9">
      <w:pPr>
        <w:spacing w:line="276" w:lineRule="auto"/>
        <w:jc w:val="left"/>
        <w:rPr>
          <w:rFonts w:asciiTheme="majorHAnsi" w:eastAsiaTheme="majorEastAsia" w:hAnsiTheme="majorHAnsi" w:cstheme="majorBidi"/>
          <w:b/>
          <w:smallCaps/>
          <w:color w:val="851C00" w:themeColor="accent6" w:themeShade="BF"/>
          <w:sz w:val="36"/>
          <w:szCs w:val="32"/>
        </w:rPr>
      </w:pPr>
      <w:r>
        <w:br w:type="page"/>
      </w:r>
    </w:p>
    <w:p w14:paraId="267CF5CA" w14:textId="434D503E" w:rsidR="00183D41" w:rsidRPr="006557B6" w:rsidRDefault="00F54CF3" w:rsidP="00AE364A">
      <w:pPr>
        <w:pStyle w:val="Heading1"/>
      </w:pPr>
      <w:bookmarkStart w:id="93" w:name="_Toc144634511"/>
      <w:r>
        <w:lastRenderedPageBreak/>
        <w:t>V</w:t>
      </w:r>
      <w:r w:rsidR="00AE364A" w:rsidRPr="006557B6">
        <w:t>. Findings</w:t>
      </w:r>
      <w:r w:rsidR="006557B6">
        <w:t xml:space="preserve"> – </w:t>
      </w:r>
      <w:r w:rsidR="006B39E4">
        <w:t>Considerations</w:t>
      </w:r>
      <w:r w:rsidR="006557B6">
        <w:t xml:space="preserve"> – Recommendations</w:t>
      </w:r>
      <w:bookmarkEnd w:id="93"/>
    </w:p>
    <w:p w14:paraId="6A3603C4" w14:textId="6545C0F5" w:rsidR="0033545F" w:rsidRPr="005C5F73" w:rsidRDefault="005C5F73" w:rsidP="005C5F73">
      <w:pPr>
        <w:jc w:val="center"/>
        <w:rPr>
          <w:bCs/>
          <w:i/>
          <w:iCs/>
          <w:sz w:val="18"/>
          <w:szCs w:val="20"/>
        </w:rPr>
      </w:pPr>
      <w:r>
        <w:rPr>
          <w:bCs/>
          <w:i/>
          <w:iCs/>
          <w:sz w:val="18"/>
          <w:szCs w:val="20"/>
        </w:rPr>
        <w:t xml:space="preserve">This section </w:t>
      </w:r>
      <w:r w:rsidR="00731192">
        <w:rPr>
          <w:bCs/>
          <w:i/>
          <w:iCs/>
          <w:sz w:val="18"/>
          <w:szCs w:val="20"/>
        </w:rPr>
        <w:t xml:space="preserve">draws on Sections I – IV above to </w:t>
      </w:r>
      <w:r w:rsidR="003F2321">
        <w:rPr>
          <w:bCs/>
          <w:i/>
          <w:iCs/>
          <w:sz w:val="18"/>
          <w:szCs w:val="20"/>
        </w:rPr>
        <w:t xml:space="preserve">determine the </w:t>
      </w:r>
      <w:r w:rsidR="002A6341">
        <w:rPr>
          <w:bCs/>
          <w:i/>
          <w:iCs/>
          <w:sz w:val="18"/>
          <w:szCs w:val="20"/>
        </w:rPr>
        <w:t>important context and other information that may affect the state sourcing of guaranteed payments</w:t>
      </w:r>
      <w:r w:rsidR="005455C4">
        <w:rPr>
          <w:bCs/>
          <w:i/>
          <w:iCs/>
          <w:sz w:val="18"/>
          <w:szCs w:val="20"/>
        </w:rPr>
        <w:t xml:space="preserve"> for services</w:t>
      </w:r>
      <w:r w:rsidR="002A6341">
        <w:rPr>
          <w:bCs/>
          <w:i/>
          <w:iCs/>
          <w:sz w:val="18"/>
          <w:szCs w:val="20"/>
        </w:rPr>
        <w:t xml:space="preserve">, </w:t>
      </w:r>
      <w:r w:rsidR="005455C4">
        <w:rPr>
          <w:bCs/>
          <w:i/>
          <w:iCs/>
          <w:sz w:val="18"/>
          <w:szCs w:val="20"/>
        </w:rPr>
        <w:t xml:space="preserve">the implications or </w:t>
      </w:r>
      <w:r w:rsidR="00866F8C">
        <w:rPr>
          <w:bCs/>
          <w:i/>
          <w:iCs/>
          <w:sz w:val="18"/>
          <w:szCs w:val="20"/>
        </w:rPr>
        <w:t>factors favoring</w:t>
      </w:r>
      <w:r w:rsidR="003F2321">
        <w:rPr>
          <w:bCs/>
          <w:i/>
          <w:iCs/>
          <w:sz w:val="18"/>
          <w:szCs w:val="20"/>
        </w:rPr>
        <w:t xml:space="preserve"> the different </w:t>
      </w:r>
      <w:r w:rsidR="00406365">
        <w:rPr>
          <w:bCs/>
          <w:i/>
          <w:iCs/>
          <w:sz w:val="18"/>
          <w:szCs w:val="20"/>
        </w:rPr>
        <w:t>methods of sourcing</w:t>
      </w:r>
      <w:r w:rsidR="005455C4">
        <w:rPr>
          <w:bCs/>
          <w:i/>
          <w:iCs/>
          <w:sz w:val="18"/>
          <w:szCs w:val="20"/>
        </w:rPr>
        <w:t xml:space="preserve">, </w:t>
      </w:r>
      <w:r w:rsidR="00406365">
        <w:rPr>
          <w:bCs/>
          <w:i/>
          <w:iCs/>
          <w:sz w:val="18"/>
          <w:szCs w:val="20"/>
        </w:rPr>
        <w:t>and recommendations</w:t>
      </w:r>
      <w:r w:rsidR="00F9564F">
        <w:rPr>
          <w:bCs/>
          <w:i/>
          <w:iCs/>
          <w:sz w:val="18"/>
          <w:szCs w:val="20"/>
        </w:rPr>
        <w:t xml:space="preserve"> for the states to consider</w:t>
      </w:r>
      <w:r w:rsidR="00406365">
        <w:rPr>
          <w:bCs/>
          <w:i/>
          <w:iCs/>
          <w:sz w:val="18"/>
          <w:szCs w:val="20"/>
        </w:rPr>
        <w:t>.</w:t>
      </w:r>
    </w:p>
    <w:p w14:paraId="6FB48126" w14:textId="12089FB4" w:rsidR="00BC2A98" w:rsidRDefault="00BC2A98" w:rsidP="006557B6">
      <w:pPr>
        <w:rPr>
          <w:bCs/>
        </w:rPr>
      </w:pPr>
      <w:r>
        <w:rPr>
          <w:bCs/>
        </w:rPr>
        <w:t>In addition to the research reflected in this white paper</w:t>
      </w:r>
      <w:r w:rsidR="0088459B">
        <w:rPr>
          <w:bCs/>
        </w:rPr>
        <w:t>,</w:t>
      </w:r>
      <w:r>
        <w:rPr>
          <w:bCs/>
        </w:rPr>
        <w:t xml:space="preserve"> the </w:t>
      </w:r>
      <w:r w:rsidR="00925260">
        <w:rPr>
          <w:bCs/>
        </w:rPr>
        <w:t xml:space="preserve">MTC work group on the taxation of partnerships has held a number of discussions on the issue of sourcing guaranteed payments for services. </w:t>
      </w:r>
      <w:r w:rsidR="00EE3F84">
        <w:rPr>
          <w:bCs/>
        </w:rPr>
        <w:t>Th</w:t>
      </w:r>
      <w:r w:rsidR="00A44171">
        <w:rPr>
          <w:bCs/>
        </w:rPr>
        <w:t>e findings here are based on those discussions as well as information in Sections I-IV of this white paper.</w:t>
      </w:r>
    </w:p>
    <w:p w14:paraId="5C9DDB37" w14:textId="39F80103" w:rsidR="00081FE7" w:rsidRPr="00081FE7" w:rsidRDefault="00081FE7" w:rsidP="00081FE7">
      <w:pPr>
        <w:rPr>
          <w:bCs/>
        </w:rPr>
      </w:pPr>
      <w:r>
        <w:rPr>
          <w:bCs/>
        </w:rPr>
        <w:t xml:space="preserve">Based on the research and discussions, the work group has formulated the question to be addressed as follows: </w:t>
      </w:r>
      <w:r w:rsidRPr="00081FE7">
        <w:rPr>
          <w:bCs/>
        </w:rPr>
        <w:t>Should states source an individual partner’s guaranteed payments for services as distributive share or compensation?</w:t>
      </w:r>
    </w:p>
    <w:p w14:paraId="631A58E5" w14:textId="327CDD9B" w:rsidR="00290004" w:rsidRPr="00E72FE3" w:rsidRDefault="00290004" w:rsidP="00290004">
      <w:pPr>
        <w:pStyle w:val="Heading2"/>
      </w:pPr>
      <w:bookmarkStart w:id="94" w:name="_Toc144634512"/>
      <w:r>
        <w:t xml:space="preserve">V. A. </w:t>
      </w:r>
      <w:r w:rsidR="00C37041">
        <w:t>Re</w:t>
      </w:r>
      <w:r w:rsidR="004A5D52">
        <w:t>levant</w:t>
      </w:r>
      <w:r w:rsidR="00C37041">
        <w:t xml:space="preserve"> </w:t>
      </w:r>
      <w:r>
        <w:t>Findings</w:t>
      </w:r>
      <w:bookmarkEnd w:id="94"/>
    </w:p>
    <w:p w14:paraId="579DDF54" w14:textId="4A6E2977" w:rsidR="006557B6" w:rsidRPr="006557B6" w:rsidRDefault="006557B6" w:rsidP="00290004">
      <w:pPr>
        <w:pStyle w:val="Heading3"/>
      </w:pPr>
      <w:bookmarkStart w:id="95" w:name="_Toc144634513"/>
      <w:r w:rsidRPr="006557B6">
        <w:t>Important Federal Tax and Related Rules:</w:t>
      </w:r>
      <w:bookmarkEnd w:id="95"/>
      <w:r w:rsidRPr="006557B6">
        <w:t xml:space="preserve"> </w:t>
      </w:r>
    </w:p>
    <w:p w14:paraId="5E8D86E9" w14:textId="77777777" w:rsidR="006557B6" w:rsidRPr="006557B6" w:rsidRDefault="006557B6" w:rsidP="00A62E1A">
      <w:pPr>
        <w:spacing w:after="120"/>
      </w:pPr>
      <w:r w:rsidRPr="006557B6">
        <w:t xml:space="preserve">Under federal tax law, to which most states conform: </w:t>
      </w:r>
    </w:p>
    <w:p w14:paraId="50294B0E" w14:textId="667D7E16" w:rsidR="00422412" w:rsidRDefault="00790246" w:rsidP="00B24426">
      <w:pPr>
        <w:numPr>
          <w:ilvl w:val="0"/>
          <w:numId w:val="15"/>
        </w:numPr>
      </w:pPr>
      <w:r>
        <w:t>Partnership income is taxed on a pass-through basis</w:t>
      </w:r>
      <w:r w:rsidR="00947ADE">
        <w:t xml:space="preserve">, using the aggregate approach, so </w:t>
      </w:r>
      <w:r w:rsidR="00ED3ACE">
        <w:t xml:space="preserve">the character </w:t>
      </w:r>
      <w:r w:rsidR="00E5003F">
        <w:t xml:space="preserve">of items of </w:t>
      </w:r>
      <w:r w:rsidR="00947ADE">
        <w:t>income, expense, gain, or loss</w:t>
      </w:r>
      <w:r w:rsidR="00ED3ACE">
        <w:t xml:space="preserve"> </w:t>
      </w:r>
      <w:r w:rsidR="005D7EF9">
        <w:t xml:space="preserve">and their tax effects are </w:t>
      </w:r>
      <w:r w:rsidR="00ED3ACE">
        <w:t xml:space="preserve">determined based on the partnership’s activities and </w:t>
      </w:r>
      <w:r w:rsidR="00E5003F">
        <w:t>then</w:t>
      </w:r>
      <w:r w:rsidR="00422412">
        <w:t xml:space="preserve"> </w:t>
      </w:r>
      <w:r w:rsidR="005D7EF9">
        <w:t xml:space="preserve">this information is </w:t>
      </w:r>
      <w:r w:rsidR="00422412">
        <w:t>passed through to the partners</w:t>
      </w:r>
      <w:r w:rsidR="00E5003F">
        <w:t>, who report their distributive share of those item</w:t>
      </w:r>
      <w:r w:rsidR="005D7EF9">
        <w:t>s, along with the related tax effects</w:t>
      </w:r>
      <w:r w:rsidR="00422412">
        <w:t xml:space="preserve">. </w:t>
      </w:r>
      <w:r w:rsidR="00DE63DF">
        <w:t>See IRC § 704(b).</w:t>
      </w:r>
    </w:p>
    <w:p w14:paraId="767D79F9" w14:textId="05FD2596" w:rsidR="006557B6" w:rsidRDefault="005D7EF9" w:rsidP="00B24426">
      <w:pPr>
        <w:numPr>
          <w:ilvl w:val="0"/>
          <w:numId w:val="15"/>
        </w:numPr>
      </w:pPr>
      <w:r>
        <w:t>In addition to</w:t>
      </w:r>
      <w:r w:rsidR="000C7E11">
        <w:t xml:space="preserve"> allocating </w:t>
      </w:r>
      <w:r w:rsidR="00E0662E">
        <w:t xml:space="preserve">to partners their </w:t>
      </w:r>
      <w:r w:rsidR="000C7E11">
        <w:t xml:space="preserve">distributive share of partnership income and </w:t>
      </w:r>
      <w:r w:rsidR="00E0662E">
        <w:t>making</w:t>
      </w:r>
      <w:r w:rsidR="000C7E11">
        <w:t xml:space="preserve"> </w:t>
      </w:r>
      <w:r w:rsidR="00E0662E">
        <w:t xml:space="preserve">any </w:t>
      </w:r>
      <w:r w:rsidR="000C7E11">
        <w:t>related distributions, p</w:t>
      </w:r>
      <w:r w:rsidR="00422412">
        <w:t>artnerships can also engage</w:t>
      </w:r>
      <w:r w:rsidR="002662A0">
        <w:t xml:space="preserve"> in partner-partnership transactions </w:t>
      </w:r>
      <w:r w:rsidR="008E4C0A">
        <w:t xml:space="preserve">where the partner is not acting in the capacity of a partner and </w:t>
      </w:r>
      <w:r w:rsidR="002662A0">
        <w:t xml:space="preserve">which </w:t>
      </w:r>
      <w:r w:rsidR="008E4C0A">
        <w:t>have the respective tax effects they would have if the partner was not a partner.</w:t>
      </w:r>
      <w:r w:rsidR="00BB0BE7">
        <w:t xml:space="preserve"> See IRC § 707(a). </w:t>
      </w:r>
    </w:p>
    <w:p w14:paraId="45346499" w14:textId="77777777" w:rsidR="00B4569C" w:rsidRPr="00B4569C" w:rsidRDefault="0009523B" w:rsidP="00B24426">
      <w:pPr>
        <w:numPr>
          <w:ilvl w:val="0"/>
          <w:numId w:val="15"/>
        </w:numPr>
      </w:pPr>
      <w:r>
        <w:t xml:space="preserve">Subchapter K </w:t>
      </w:r>
      <w:r w:rsidR="008E4C0A">
        <w:t xml:space="preserve">also </w:t>
      </w:r>
      <w:r w:rsidR="00050B65">
        <w:t xml:space="preserve">recognizes that partnerships can pay partners for services </w:t>
      </w:r>
      <w:r w:rsidR="00550FDD">
        <w:t xml:space="preserve">performed in the capacity of a partner and distinguishes these </w:t>
      </w:r>
      <w:r>
        <w:t xml:space="preserve">guaranteed payments from both </w:t>
      </w:r>
      <w:r w:rsidR="006557B6" w:rsidRPr="006557B6">
        <w:t>distributive share</w:t>
      </w:r>
      <w:r>
        <w:t>/distribu</w:t>
      </w:r>
      <w:r w:rsidR="001F3EAD">
        <w:t>t</w:t>
      </w:r>
      <w:r>
        <w:t xml:space="preserve">ions and from partner-partnership payments. </w:t>
      </w:r>
      <w:r w:rsidR="006557B6" w:rsidRPr="006557B6">
        <w:t xml:space="preserve"> </w:t>
      </w:r>
      <w:r w:rsidR="001F3EAD">
        <w:t xml:space="preserve">See IRC </w:t>
      </w:r>
      <w:r w:rsidR="0084137D">
        <w:t>§ 707(c)</w:t>
      </w:r>
      <w:r w:rsidR="00C02DEB">
        <w:t>.</w:t>
      </w:r>
      <w:r w:rsidR="0084137D">
        <w:t xml:space="preserve"> </w:t>
      </w:r>
      <w:r w:rsidR="00B4569C" w:rsidRPr="00B4569C">
        <w:t>REG-115452-14, 80 Fed. Reg. 43,652 (July 23, 2015).</w:t>
      </w:r>
    </w:p>
    <w:p w14:paraId="33AA5C9D" w14:textId="77777777" w:rsidR="002B366A" w:rsidRDefault="002B366A" w:rsidP="00B24426">
      <w:pPr>
        <w:numPr>
          <w:ilvl w:val="0"/>
          <w:numId w:val="15"/>
        </w:numPr>
      </w:pPr>
      <w:r>
        <w:t xml:space="preserve">Guaranteed payments for services are also distinguished from guaranteed payments for the use of capital. </w:t>
      </w:r>
    </w:p>
    <w:p w14:paraId="018972C6" w14:textId="18BF159D" w:rsidR="00A050D8" w:rsidRDefault="00B4569C" w:rsidP="00B24426">
      <w:pPr>
        <w:numPr>
          <w:ilvl w:val="0"/>
          <w:numId w:val="15"/>
        </w:numPr>
      </w:pPr>
      <w:r>
        <w:t xml:space="preserve">Under Subchapter K, </w:t>
      </w:r>
      <w:r w:rsidR="00A050D8" w:rsidRPr="006557B6">
        <w:t xml:space="preserve">guaranteed payments made to partners do not retain the character of any partnership items that gave rise to those payments, </w:t>
      </w:r>
      <w:r w:rsidR="002B366A" w:rsidRPr="002B366A">
        <w:t>unlike a partner’s distributive share of partnership income,</w:t>
      </w:r>
      <w:r w:rsidR="002B366A">
        <w:t xml:space="preserve"> </w:t>
      </w:r>
      <w:r w:rsidR="00A050D8" w:rsidRPr="006557B6">
        <w:t>but are treated as ordinary income to the partners.</w:t>
      </w:r>
      <w:r w:rsidR="00C02DEB">
        <w:t xml:space="preserve"> </w:t>
      </w:r>
    </w:p>
    <w:p w14:paraId="214C933A" w14:textId="070E6DC4" w:rsidR="00146C4D" w:rsidRDefault="00146C4D" w:rsidP="00B24426">
      <w:pPr>
        <w:pStyle w:val="ListParagraph"/>
        <w:numPr>
          <w:ilvl w:val="0"/>
          <w:numId w:val="15"/>
        </w:numPr>
        <w:contextualSpacing w:val="0"/>
      </w:pPr>
      <w:r>
        <w:t>Guaranteed payments for services, unlike distributive share income, are not included in “qualified business income” for purposes of the deduction provided under IRC § 199A</w:t>
      </w:r>
      <w:r w:rsidR="00B24426">
        <w:t>(c)(4)(B)</w:t>
      </w:r>
      <w:r>
        <w:t>.</w:t>
      </w:r>
    </w:p>
    <w:p w14:paraId="457AE7B3" w14:textId="48488976" w:rsidR="006557B6" w:rsidRPr="006557B6" w:rsidRDefault="006557B6" w:rsidP="00B24426">
      <w:pPr>
        <w:numPr>
          <w:ilvl w:val="0"/>
          <w:numId w:val="15"/>
        </w:numPr>
        <w:spacing w:before="120"/>
      </w:pPr>
      <w:r w:rsidRPr="006557B6">
        <w:t>Under federal sourcing rules, guaranteed payments for services performed in a foreign jurisdiction are attributed to that jurisdiction, with some limitations, and are excluded from domestic income</w:t>
      </w:r>
      <w:r w:rsidR="005B65CB">
        <w:t xml:space="preserve"> to which states often conform</w:t>
      </w:r>
      <w:r w:rsidRPr="006557B6">
        <w:t xml:space="preserve">. </w:t>
      </w:r>
      <w:r w:rsidR="00BB29AE">
        <w:t xml:space="preserve">See </w:t>
      </w:r>
      <w:r w:rsidR="0035038C" w:rsidRPr="0035038C">
        <w:rPr>
          <w:iCs/>
        </w:rPr>
        <w:t>IRC § 911</w:t>
      </w:r>
      <w:r w:rsidR="00BB29AE">
        <w:rPr>
          <w:iCs/>
        </w:rPr>
        <w:t>.</w:t>
      </w:r>
    </w:p>
    <w:p w14:paraId="1717A881" w14:textId="78FC2833" w:rsidR="006557B6" w:rsidRPr="006557B6" w:rsidRDefault="00122E68" w:rsidP="00B24426">
      <w:pPr>
        <w:numPr>
          <w:ilvl w:val="0"/>
          <w:numId w:val="15"/>
        </w:numPr>
        <w:spacing w:before="120"/>
      </w:pPr>
      <w:r>
        <w:t>Guaranteed payments for services are not treated as wages paid to employees, rather, f</w:t>
      </w:r>
      <w:r w:rsidR="006557B6" w:rsidRPr="006557B6">
        <w:t xml:space="preserve">ederal guidance on self-employment taxes indicates that general partners should pay self-employment tax on partnership related income, including distributive share and guaranteed payments, while limited partners would pay self-employment tax only on guaranteed payments for services. </w:t>
      </w:r>
      <w:r w:rsidR="00143D46" w:rsidRPr="00143D46">
        <w:t>See IRC §1402(a)(13)</w:t>
      </w:r>
      <w:r w:rsidR="00143D46">
        <w:t>.</w:t>
      </w:r>
    </w:p>
    <w:p w14:paraId="01A8149D" w14:textId="5C63B20D" w:rsidR="006557B6" w:rsidRPr="006557B6" w:rsidRDefault="006557B6" w:rsidP="00B24426">
      <w:pPr>
        <w:numPr>
          <w:ilvl w:val="0"/>
          <w:numId w:val="15"/>
        </w:numPr>
        <w:spacing w:before="120"/>
      </w:pPr>
      <w:r w:rsidRPr="006557B6">
        <w:t>Under federal pension law, certain guaranteed payments to retired partners can only be sourced to the partner’s residence.</w:t>
      </w:r>
      <w:r w:rsidR="00991514">
        <w:t xml:space="preserve"> See </w:t>
      </w:r>
      <w:r w:rsidR="00991514" w:rsidRPr="00991514">
        <w:t>4 U.S.C. § 114</w:t>
      </w:r>
      <w:r w:rsidR="00D421E7">
        <w:t>.</w:t>
      </w:r>
    </w:p>
    <w:p w14:paraId="282B83E8" w14:textId="3EA7A16D" w:rsidR="006557B6" w:rsidRPr="006557B6" w:rsidRDefault="006557B6" w:rsidP="00D421E7">
      <w:pPr>
        <w:pStyle w:val="Heading3"/>
        <w:keepNext w:val="0"/>
        <w:keepLines w:val="0"/>
        <w:spacing w:after="120"/>
      </w:pPr>
      <w:bookmarkStart w:id="96" w:name="_Toc144634514"/>
      <w:r w:rsidRPr="006557B6">
        <w:lastRenderedPageBreak/>
        <w:t>Types and Amounts of Guaranteed Payments</w:t>
      </w:r>
      <w:bookmarkEnd w:id="96"/>
    </w:p>
    <w:p w14:paraId="28702FF4" w14:textId="17463B81" w:rsidR="006557B6" w:rsidRPr="006557B6" w:rsidRDefault="006557B6" w:rsidP="00B24426">
      <w:pPr>
        <w:numPr>
          <w:ilvl w:val="0"/>
          <w:numId w:val="17"/>
        </w:numPr>
        <w:spacing w:before="120"/>
      </w:pPr>
      <w:r w:rsidRPr="006557B6">
        <w:t xml:space="preserve">In 2020, total guaranteed payments </w:t>
      </w:r>
      <w:r w:rsidR="00AA0BD8">
        <w:t xml:space="preserve">for services and use of capital </w:t>
      </w:r>
      <w:r w:rsidRPr="006557B6">
        <w:t>reported to the IRS (which include both payments for services and the use of capital) were $74 billion, or about 9% of total partnership income (after adding back guaranteed payments).</w:t>
      </w:r>
    </w:p>
    <w:p w14:paraId="72EC6C5B" w14:textId="77777777" w:rsidR="006557B6" w:rsidRPr="006557B6" w:rsidRDefault="006557B6" w:rsidP="00B24426">
      <w:pPr>
        <w:numPr>
          <w:ilvl w:val="0"/>
          <w:numId w:val="17"/>
        </w:numPr>
        <w:spacing w:before="120"/>
      </w:pPr>
      <w:r w:rsidRPr="006557B6">
        <w:t xml:space="preserve">About a third of all guaranteed payments come from the professional, scientific, and technical industry sector and another quarter is from the finance and insurance sector. </w:t>
      </w:r>
    </w:p>
    <w:p w14:paraId="7305D6E7" w14:textId="5C4DAB06" w:rsidR="006557B6" w:rsidRPr="006557B6" w:rsidRDefault="005B65CB" w:rsidP="00B24426">
      <w:pPr>
        <w:numPr>
          <w:ilvl w:val="0"/>
          <w:numId w:val="17"/>
        </w:numPr>
        <w:spacing w:before="120"/>
      </w:pPr>
      <w:r>
        <w:t xml:space="preserve">Because guaranteed payments </w:t>
      </w:r>
      <w:r w:rsidR="0093423C">
        <w:t xml:space="preserve">are generally </w:t>
      </w:r>
      <w:r>
        <w:t xml:space="preserve">treated less favorably </w:t>
      </w:r>
      <w:r w:rsidR="007168F5">
        <w:t xml:space="preserve">for tax purposes </w:t>
      </w:r>
      <w:r>
        <w:t xml:space="preserve">than distributive share/distributions, </w:t>
      </w:r>
      <w:r w:rsidR="007168F5">
        <w:t>partnerships may seek alternatives to paying guaranteed payments.</w:t>
      </w:r>
    </w:p>
    <w:p w14:paraId="42125D78" w14:textId="43431552" w:rsidR="006557B6" w:rsidRPr="006557B6" w:rsidRDefault="006557B6" w:rsidP="00D421E7">
      <w:pPr>
        <w:pStyle w:val="Heading3"/>
        <w:keepNext w:val="0"/>
        <w:keepLines w:val="0"/>
        <w:spacing w:after="120"/>
      </w:pPr>
      <w:bookmarkStart w:id="97" w:name="_Toc144634515"/>
      <w:r w:rsidRPr="006557B6">
        <w:t>Current Sourcing Treatment by States that have Specifically Addressed the Issue</w:t>
      </w:r>
      <w:bookmarkEnd w:id="97"/>
    </w:p>
    <w:p w14:paraId="5598A0AE" w14:textId="77777777" w:rsidR="006557B6" w:rsidRPr="006557B6" w:rsidRDefault="006557B6" w:rsidP="00B24426">
      <w:pPr>
        <w:numPr>
          <w:ilvl w:val="0"/>
          <w:numId w:val="16"/>
        </w:numPr>
        <w:spacing w:before="120"/>
      </w:pPr>
      <w:r w:rsidRPr="006557B6">
        <w:t xml:space="preserve">About half of the states have specifically addressed sourcing of guaranteed payments in their official guidance, including statutes, regulations, or case law. Those states take one of two general approaches: </w:t>
      </w:r>
    </w:p>
    <w:p w14:paraId="5B59161D" w14:textId="77777777" w:rsidR="006557B6" w:rsidRPr="006557B6" w:rsidRDefault="006557B6" w:rsidP="00122E68">
      <w:pPr>
        <w:numPr>
          <w:ilvl w:val="1"/>
          <w:numId w:val="16"/>
        </w:numPr>
      </w:pPr>
      <w:r w:rsidRPr="006557B6">
        <w:t>Sourcing the same as distributive share – The majority of the states that have specifically addressed the issue source guaranteed payments the same as distributive share, which for non-investment partnerships means sourcing based on the partnership’s activities.</w:t>
      </w:r>
    </w:p>
    <w:p w14:paraId="03B24DC0" w14:textId="2B7F6659" w:rsidR="006557B6" w:rsidRPr="006557B6" w:rsidRDefault="006557B6" w:rsidP="00122E68">
      <w:pPr>
        <w:numPr>
          <w:ilvl w:val="1"/>
          <w:numId w:val="16"/>
        </w:numPr>
      </w:pPr>
      <w:r w:rsidRPr="006557B6">
        <w:t xml:space="preserve">Sourcing as compensation – A minority of states source guaranteed payments for services </w:t>
      </w:r>
      <w:r w:rsidR="00E419AF">
        <w:t xml:space="preserve"> </w:t>
      </w:r>
      <w:r w:rsidRPr="006557B6">
        <w:t>as compensation</w:t>
      </w:r>
      <w:r w:rsidR="00E419AF">
        <w:t>—that is to the place services are performed—</w:t>
      </w:r>
      <w:r w:rsidRPr="006557B6">
        <w:t>with</w:t>
      </w:r>
      <w:r w:rsidR="00E419AF">
        <w:t xml:space="preserve"> or without</w:t>
      </w:r>
      <w:r w:rsidRPr="006557B6">
        <w:t xml:space="preserve"> limitations.</w:t>
      </w:r>
    </w:p>
    <w:p w14:paraId="6A5D71D9" w14:textId="12E99A9A" w:rsidR="006557B6" w:rsidRDefault="006557B6" w:rsidP="00B24426">
      <w:pPr>
        <w:numPr>
          <w:ilvl w:val="0"/>
          <w:numId w:val="16"/>
        </w:numPr>
        <w:spacing w:before="120"/>
      </w:pPr>
      <w:r w:rsidRPr="006557B6">
        <w:t>Some states that provide PTE tax elections also include guaranteed payments in the PTE tax base and source them as distributive share</w:t>
      </w:r>
      <w:r w:rsidR="002A2C2A">
        <w:t>—using apportionment or allocation at the entity-level.</w:t>
      </w:r>
    </w:p>
    <w:p w14:paraId="20065611" w14:textId="4B3D7BDB" w:rsidR="00BC2A98" w:rsidRPr="00F53915" w:rsidRDefault="00A62E1A" w:rsidP="00B24426">
      <w:pPr>
        <w:pStyle w:val="ListParagraph"/>
        <w:numPr>
          <w:ilvl w:val="0"/>
          <w:numId w:val="16"/>
        </w:numPr>
        <w:contextualSpacing w:val="0"/>
        <w:rPr>
          <w:bCs/>
        </w:rPr>
      </w:pPr>
      <w:r>
        <w:rPr>
          <w:bCs/>
        </w:rPr>
        <w:t xml:space="preserve">While </w:t>
      </w:r>
      <w:r w:rsidR="005F6FCE">
        <w:rPr>
          <w:bCs/>
        </w:rPr>
        <w:t>the use of different sourcing methods by states</w:t>
      </w:r>
      <w:r w:rsidR="00BC2A98" w:rsidRPr="00BC2A98">
        <w:rPr>
          <w:bCs/>
        </w:rPr>
        <w:t xml:space="preserve"> may result in multiple taxation, neither the states</w:t>
      </w:r>
      <w:r w:rsidR="005F6FCE">
        <w:rPr>
          <w:bCs/>
        </w:rPr>
        <w:t>,</w:t>
      </w:r>
      <w:r w:rsidR="00BC2A98" w:rsidRPr="00BC2A98">
        <w:rPr>
          <w:bCs/>
        </w:rPr>
        <w:t xml:space="preserve"> taxpayers</w:t>
      </w:r>
      <w:r w:rsidR="005F6FCE">
        <w:rPr>
          <w:bCs/>
        </w:rPr>
        <w:t>,</w:t>
      </w:r>
      <w:r w:rsidR="00BC2A98" w:rsidRPr="00BC2A98">
        <w:rPr>
          <w:bCs/>
        </w:rPr>
        <w:t xml:space="preserve"> </w:t>
      </w:r>
      <w:r w:rsidR="005F6FCE">
        <w:rPr>
          <w:bCs/>
        </w:rPr>
        <w:t>n</w:t>
      </w:r>
      <w:r w:rsidR="00BC2A98" w:rsidRPr="00BC2A98">
        <w:rPr>
          <w:bCs/>
        </w:rPr>
        <w:t xml:space="preserve">or practitioner groups have indicated that </w:t>
      </w:r>
      <w:r w:rsidR="005F6FCE">
        <w:rPr>
          <w:bCs/>
        </w:rPr>
        <w:t>the different</w:t>
      </w:r>
      <w:r w:rsidR="00BC2A98" w:rsidRPr="00BC2A98">
        <w:rPr>
          <w:bCs/>
        </w:rPr>
        <w:t xml:space="preserve"> sourcing of guaranteed payments </w:t>
      </w:r>
      <w:r w:rsidR="005F6FCE">
        <w:rPr>
          <w:bCs/>
        </w:rPr>
        <w:t xml:space="preserve">used by some states has </w:t>
      </w:r>
      <w:r w:rsidR="00BC2A98" w:rsidRPr="00BC2A98">
        <w:rPr>
          <w:bCs/>
        </w:rPr>
        <w:t>cause</w:t>
      </w:r>
      <w:r w:rsidR="00B96694">
        <w:rPr>
          <w:bCs/>
        </w:rPr>
        <w:t>d</w:t>
      </w:r>
      <w:r w:rsidR="00BC2A98" w:rsidRPr="00BC2A98">
        <w:rPr>
          <w:bCs/>
        </w:rPr>
        <w:t xml:space="preserve"> significant problems.</w:t>
      </w:r>
      <w:r w:rsidR="00264D9F">
        <w:rPr>
          <w:bCs/>
        </w:rPr>
        <w:t xml:space="preserve"> While a generous credit to residents for taxes paid to other states, regardless of the sourcing method, might alleviate </w:t>
      </w:r>
      <w:r w:rsidR="000B22E8">
        <w:rPr>
          <w:bCs/>
        </w:rPr>
        <w:t xml:space="preserve">such problems, our research shows that the state credit rules </w:t>
      </w:r>
      <w:r w:rsidR="004A3722">
        <w:rPr>
          <w:bCs/>
        </w:rPr>
        <w:t>on this issue are</w:t>
      </w:r>
      <w:r w:rsidR="000B22E8">
        <w:rPr>
          <w:bCs/>
        </w:rPr>
        <w:t xml:space="preserve"> not clear. </w:t>
      </w:r>
      <w:r w:rsidR="00BC275E">
        <w:rPr>
          <w:bCs/>
        </w:rPr>
        <w:t xml:space="preserve">This issue is also </w:t>
      </w:r>
      <w:r w:rsidR="009D6EF5">
        <w:rPr>
          <w:bCs/>
        </w:rPr>
        <w:t>affected by states’ adoption of PTE taxes and the credits provided to residents</w:t>
      </w:r>
      <w:r w:rsidR="00122E68">
        <w:rPr>
          <w:bCs/>
        </w:rPr>
        <w:t>.</w:t>
      </w:r>
    </w:p>
    <w:p w14:paraId="1DE58D64" w14:textId="78D6AD66" w:rsidR="006557B6" w:rsidRDefault="00307FB2" w:rsidP="00307FB2">
      <w:pPr>
        <w:pStyle w:val="Heading2"/>
      </w:pPr>
      <w:bookmarkStart w:id="98" w:name="_Toc144634516"/>
      <w:r>
        <w:t xml:space="preserve">V. B. </w:t>
      </w:r>
      <w:r w:rsidR="006B39E4">
        <w:t>Considerations</w:t>
      </w:r>
      <w:r w:rsidR="006557B6" w:rsidRPr="006557B6">
        <w:t xml:space="preserve"> </w:t>
      </w:r>
      <w:r w:rsidR="009D3542">
        <w:t xml:space="preserve">– </w:t>
      </w:r>
      <w:r w:rsidR="00C12A1A">
        <w:t xml:space="preserve">Factors Favoring </w:t>
      </w:r>
      <w:r w:rsidR="00866F8C">
        <w:t>Each Sourcing Approach</w:t>
      </w:r>
      <w:bookmarkEnd w:id="98"/>
    </w:p>
    <w:p w14:paraId="7B3E3A09" w14:textId="0738F543" w:rsidR="000A2C08" w:rsidRPr="000A2C08" w:rsidRDefault="00FF62D9" w:rsidP="000A2C08">
      <w:r>
        <w:t>The two sourcing approaches used by states—distributive share and compensation</w:t>
      </w:r>
      <w:r w:rsidR="002A2C2D">
        <w:t xml:space="preserve">—lead to different results and, most importantly, may lead to duplicative taxation if different states use different approaches. Each of the approaches has factors which favor that approach, listed below. </w:t>
      </w:r>
    </w:p>
    <w:p w14:paraId="51DC5D20" w14:textId="0E38022F" w:rsidR="003E6351" w:rsidRDefault="00902759" w:rsidP="00B5499B">
      <w:pPr>
        <w:pStyle w:val="Heading3"/>
      </w:pPr>
      <w:bookmarkStart w:id="99" w:name="_Toc144634517"/>
      <w:r>
        <w:t>Factors Favoring Sourcing</w:t>
      </w:r>
      <w:r w:rsidR="0056650F">
        <w:t xml:space="preserve"> as Distributive Share</w:t>
      </w:r>
      <w:bookmarkEnd w:id="99"/>
    </w:p>
    <w:p w14:paraId="2D782D7A" w14:textId="05A385B9" w:rsidR="006E5B35" w:rsidRDefault="006557B6" w:rsidP="00B24426">
      <w:pPr>
        <w:pStyle w:val="ListParagraph"/>
        <w:numPr>
          <w:ilvl w:val="0"/>
          <w:numId w:val="23"/>
        </w:numPr>
        <w:contextualSpacing w:val="0"/>
      </w:pPr>
      <w:r w:rsidRPr="006557B6">
        <w:t>Because guaranteed payments are simply a matter of agreement between partners</w:t>
      </w:r>
      <w:r w:rsidR="00104299">
        <w:t xml:space="preserve"> and</w:t>
      </w:r>
      <w:r w:rsidR="002A6511">
        <w:t>, in some cases,</w:t>
      </w:r>
      <w:r w:rsidR="00104299">
        <w:t xml:space="preserve"> can lead to the same economic result</w:t>
      </w:r>
      <w:r w:rsidR="002A6511">
        <w:t xml:space="preserve"> for the partners as distributive share</w:t>
      </w:r>
      <w:r w:rsidRPr="006557B6">
        <w:t xml:space="preserve">, applying a different sourcing method than that used for distributive share might result in “elective” sourcing, or income shifting.  </w:t>
      </w:r>
    </w:p>
    <w:p w14:paraId="1BC6C463" w14:textId="67539FA7" w:rsidR="00A45706" w:rsidRDefault="006557B6" w:rsidP="00B24426">
      <w:pPr>
        <w:pStyle w:val="ListParagraph"/>
        <w:numPr>
          <w:ilvl w:val="0"/>
          <w:numId w:val="23"/>
        </w:numPr>
        <w:contextualSpacing w:val="0"/>
      </w:pPr>
      <w:r w:rsidRPr="006557B6">
        <w:t>Sourcing guaranteed payments for services as compensation requires distinguishing</w:t>
      </w:r>
      <w:r w:rsidR="006E5B35">
        <w:t xml:space="preserve"> these payments from distributive share/distributions (and special allocations)</w:t>
      </w:r>
      <w:r w:rsidR="00112560">
        <w:t xml:space="preserve"> and </w:t>
      </w:r>
      <w:r w:rsidR="005B6161">
        <w:t xml:space="preserve">from </w:t>
      </w:r>
      <w:r w:rsidR="00112560">
        <w:t xml:space="preserve">payments for the use of capital. </w:t>
      </w:r>
      <w:r w:rsidR="001A298A">
        <w:t xml:space="preserve">While federal rules </w:t>
      </w:r>
      <w:r w:rsidR="007517BD">
        <w:t>distinguish them for certain purposes—</w:t>
      </w:r>
      <w:r w:rsidR="00D91ED3">
        <w:t>those purposes may have a different</w:t>
      </w:r>
      <w:r w:rsidR="00F90B9E">
        <w:t xml:space="preserve"> basis than the distinction states make </w:t>
      </w:r>
      <w:r w:rsidR="002C3276">
        <w:t xml:space="preserve">for purposes of </w:t>
      </w:r>
      <w:r w:rsidR="00F90B9E">
        <w:t xml:space="preserve"> sourcing</w:t>
      </w:r>
      <w:r w:rsidR="007517BD">
        <w:t xml:space="preserve">. For example, </w:t>
      </w:r>
      <w:r w:rsidR="00E6639F">
        <w:t xml:space="preserve">federal rules may distinguish </w:t>
      </w:r>
      <w:r w:rsidR="00C25D83">
        <w:t xml:space="preserve">guaranteed payments for services </w:t>
      </w:r>
      <w:r w:rsidR="00F90B9E">
        <w:t xml:space="preserve">made to limited partners </w:t>
      </w:r>
      <w:r w:rsidR="00E6639F">
        <w:t xml:space="preserve">when imposing self-employment taxes, but they do not </w:t>
      </w:r>
      <w:r w:rsidR="006215F3">
        <w:t>distinguish such payments when made to</w:t>
      </w:r>
      <w:r w:rsidR="003B3671">
        <w:t xml:space="preserve"> general partners, </w:t>
      </w:r>
      <w:r w:rsidR="006215F3">
        <w:t xml:space="preserve">instead, subjecting </w:t>
      </w:r>
      <w:r w:rsidR="0039153E">
        <w:t xml:space="preserve">their </w:t>
      </w:r>
      <w:r w:rsidR="003B3671">
        <w:t xml:space="preserve">distributive share </w:t>
      </w:r>
      <w:r w:rsidR="0039153E">
        <w:t>to the</w:t>
      </w:r>
      <w:r w:rsidR="003B3671">
        <w:t xml:space="preserve"> tax</w:t>
      </w:r>
      <w:r w:rsidR="0039153E">
        <w:t xml:space="preserve"> as well</w:t>
      </w:r>
      <w:r w:rsidR="003B3671">
        <w:t>.</w:t>
      </w:r>
    </w:p>
    <w:p w14:paraId="6EF637FD" w14:textId="4A910528" w:rsidR="003E4843" w:rsidRDefault="0028571F" w:rsidP="00B24426">
      <w:pPr>
        <w:pStyle w:val="ListParagraph"/>
        <w:numPr>
          <w:ilvl w:val="0"/>
          <w:numId w:val="23"/>
        </w:numPr>
        <w:contextualSpacing w:val="0"/>
      </w:pPr>
      <w:r>
        <w:t xml:space="preserve">States </w:t>
      </w:r>
      <w:r w:rsidR="00FC3A7E">
        <w:t>that have adopted pass-through entity taxes a</w:t>
      </w:r>
      <w:r w:rsidR="008C15B7">
        <w:t xml:space="preserve">nd include guaranteed payments in the tax base to which the tax is applied </w:t>
      </w:r>
      <w:r w:rsidR="00FD0262">
        <w:t xml:space="preserve">will generally </w:t>
      </w:r>
      <w:r w:rsidR="00BA6582">
        <w:t xml:space="preserve">source that tax base using entity-level apportionment or </w:t>
      </w:r>
      <w:r w:rsidR="00BA6582">
        <w:lastRenderedPageBreak/>
        <w:t>allocation</w:t>
      </w:r>
      <w:r w:rsidR="00EA4CC5">
        <w:t>,</w:t>
      </w:r>
      <w:r w:rsidR="00BA6582">
        <w:t xml:space="preserve"> and </w:t>
      </w:r>
      <w:r w:rsidR="008C15B7">
        <w:t>should</w:t>
      </w:r>
      <w:r>
        <w:t xml:space="preserve"> </w:t>
      </w:r>
      <w:r w:rsidR="00EA4CC5">
        <w:t>use</w:t>
      </w:r>
      <w:r>
        <w:t xml:space="preserve"> the same approach for sourcing guaranteed payments for services </w:t>
      </w:r>
      <w:r w:rsidR="00BA6582">
        <w:t>when taxed on a pass-through basis</w:t>
      </w:r>
      <w:r w:rsidR="00906D1B">
        <w:t>.</w:t>
      </w:r>
    </w:p>
    <w:p w14:paraId="6D8A0DE9" w14:textId="5CD3FA7D" w:rsidR="006557B6" w:rsidRDefault="006557B6" w:rsidP="00B24426">
      <w:pPr>
        <w:pStyle w:val="ListParagraph"/>
        <w:numPr>
          <w:ilvl w:val="0"/>
          <w:numId w:val="23"/>
        </w:numPr>
        <w:contextualSpacing w:val="0"/>
      </w:pPr>
      <w:r w:rsidRPr="006557B6">
        <w:t xml:space="preserve">Sourcing guaranteed payments </w:t>
      </w:r>
      <w:r w:rsidR="00001CF4">
        <w:t xml:space="preserve">differently than distributive share may </w:t>
      </w:r>
      <w:r w:rsidR="005A566C">
        <w:t xml:space="preserve">also </w:t>
      </w:r>
      <w:r w:rsidRPr="006557B6">
        <w:t>add administrative complexity to partnership-level reporting and withholding</w:t>
      </w:r>
      <w:r w:rsidR="00122E68">
        <w:t>, especially in cases where the partners receive guaranteed payments for services performed in multiple locations.</w:t>
      </w:r>
    </w:p>
    <w:p w14:paraId="2A2E1D1B" w14:textId="06F0D980" w:rsidR="00CA213B" w:rsidRDefault="00CA213B" w:rsidP="00B24426">
      <w:pPr>
        <w:pStyle w:val="ListParagraph"/>
        <w:numPr>
          <w:ilvl w:val="0"/>
          <w:numId w:val="23"/>
        </w:numPr>
        <w:contextualSpacing w:val="0"/>
      </w:pPr>
      <w:r>
        <w:t>Sourcing guaranteed payments as distributive</w:t>
      </w:r>
      <w:r w:rsidR="00C146D0">
        <w:t xml:space="preserve"> share is the approach used by the majority of states that have specifically addressed </w:t>
      </w:r>
      <w:r w:rsidR="00A33664">
        <w:t>the issue.</w:t>
      </w:r>
    </w:p>
    <w:p w14:paraId="1BE22E82" w14:textId="5126EA82" w:rsidR="000C014D" w:rsidRDefault="000C014D" w:rsidP="004D0343">
      <w:pPr>
        <w:pStyle w:val="Heading3"/>
      </w:pPr>
      <w:bookmarkStart w:id="100" w:name="_Toc144634518"/>
      <w:r>
        <w:t>Factors Favoring Sourcing as Compensation</w:t>
      </w:r>
      <w:bookmarkEnd w:id="100"/>
    </w:p>
    <w:p w14:paraId="6B8AF717" w14:textId="34859430" w:rsidR="00B5499B" w:rsidRDefault="009E7E52" w:rsidP="00B24426">
      <w:pPr>
        <w:pStyle w:val="ListParagraph"/>
        <w:numPr>
          <w:ilvl w:val="0"/>
          <w:numId w:val="24"/>
        </w:numPr>
        <w:contextualSpacing w:val="0"/>
      </w:pPr>
      <w:r>
        <w:t xml:space="preserve">Sourcing guaranteed payments for services </w:t>
      </w:r>
      <w:r w:rsidR="00F11CEB">
        <w:t xml:space="preserve">as compensation is </w:t>
      </w:r>
      <w:r w:rsidR="00972EEA">
        <w:t xml:space="preserve">more </w:t>
      </w:r>
      <w:r w:rsidR="00F11CEB">
        <w:t xml:space="preserve">consistent with the entity approach, which is also the approach generally used </w:t>
      </w:r>
      <w:r w:rsidR="00D34965">
        <w:t>by Subchapter K to account for and tax these payments, rather than the aggregate approach</w:t>
      </w:r>
      <w:r w:rsidR="00972EEA">
        <w:t>,</w:t>
      </w:r>
      <w:r w:rsidR="00D34965">
        <w:t xml:space="preserve"> which is used to account for and tax distributive share. </w:t>
      </w:r>
    </w:p>
    <w:p w14:paraId="3B1491AA" w14:textId="440292D7" w:rsidR="00B5499B" w:rsidRDefault="00972EEA" w:rsidP="00B24426">
      <w:pPr>
        <w:pStyle w:val="ListParagraph"/>
        <w:numPr>
          <w:ilvl w:val="0"/>
          <w:numId w:val="24"/>
        </w:numPr>
        <w:contextualSpacing w:val="0"/>
      </w:pPr>
      <w:r>
        <w:t>Sourcing guar</w:t>
      </w:r>
      <w:r w:rsidR="0024214D">
        <w:t xml:space="preserve">anteed payments for services as compensation </w:t>
      </w:r>
      <w:r w:rsidR="00C37041">
        <w:t>may</w:t>
      </w:r>
      <w:r w:rsidR="0024214D">
        <w:t xml:space="preserve"> also </w:t>
      </w:r>
      <w:r w:rsidR="00C37041">
        <w:t xml:space="preserve">be </w:t>
      </w:r>
      <w:r w:rsidR="0024214D">
        <w:t xml:space="preserve">more consistent with the way in which </w:t>
      </w:r>
      <w:r w:rsidR="00C37041">
        <w:t xml:space="preserve">some </w:t>
      </w:r>
      <w:r w:rsidR="00B5499B">
        <w:t xml:space="preserve">partner-partnership transactions </w:t>
      </w:r>
      <w:r w:rsidR="00C37041">
        <w:t xml:space="preserve">involving the partner’s services would be sourced—treating the partner as an unrelated party. </w:t>
      </w:r>
      <w:r w:rsidR="00DE67F9">
        <w:t>When this is the case</w:t>
      </w:r>
      <w:r w:rsidR="00CF29FB">
        <w:t xml:space="preserve">, it will not be necessary to distinguish guaranteed payments, paid to a partner acting in the capacity of a partner, from guaranteed payments to a partner acting in a separate capacity. </w:t>
      </w:r>
    </w:p>
    <w:p w14:paraId="169F3957" w14:textId="178A2A50" w:rsidR="00B5499B" w:rsidRDefault="00FA53F8" w:rsidP="00B24426">
      <w:pPr>
        <w:pStyle w:val="ListParagraph"/>
        <w:numPr>
          <w:ilvl w:val="0"/>
          <w:numId w:val="24"/>
        </w:numPr>
        <w:contextualSpacing w:val="0"/>
      </w:pPr>
      <w:r>
        <w:t xml:space="preserve">The fact that guaranteed payments are generally given less </w:t>
      </w:r>
      <w:r w:rsidR="00B5499B">
        <w:t xml:space="preserve">favorable treatment </w:t>
      </w:r>
      <w:r>
        <w:t xml:space="preserve">than </w:t>
      </w:r>
      <w:r w:rsidR="001E5F21">
        <w:t xml:space="preserve">distributive share/distributions </w:t>
      </w:r>
      <w:r w:rsidR="00B5499B">
        <w:t xml:space="preserve">means </w:t>
      </w:r>
      <w:r w:rsidR="001E5F21">
        <w:t xml:space="preserve">that the risk that they would be used merely to alter the sourcing result is somewhat reduced. </w:t>
      </w:r>
    </w:p>
    <w:p w14:paraId="49113528" w14:textId="2A8FC949" w:rsidR="00566288" w:rsidRPr="004D0343" w:rsidRDefault="00432D49" w:rsidP="00B24426">
      <w:pPr>
        <w:pStyle w:val="ListParagraph"/>
        <w:numPr>
          <w:ilvl w:val="0"/>
          <w:numId w:val="24"/>
        </w:numPr>
        <w:contextualSpacing w:val="0"/>
      </w:pPr>
      <w:r>
        <w:t xml:space="preserve">Sourcing guaranteed payments as compensation is generally consistent with the </w:t>
      </w:r>
      <w:r w:rsidR="00566288">
        <w:t>federal sourcing</w:t>
      </w:r>
      <w:r>
        <w:t xml:space="preserve"> of such payments when partners perform services overseas</w:t>
      </w:r>
      <w:r w:rsidR="000831CA">
        <w:t xml:space="preserve">, so that states that conform to federal adjusted gross income might not have to make </w:t>
      </w:r>
      <w:r w:rsidR="008F09B2">
        <w:t>adjustments to that amount in order to tax the payments sourced on a different basis for state purposes.</w:t>
      </w:r>
    </w:p>
    <w:p w14:paraId="34D375AC" w14:textId="5CBE7A4B" w:rsidR="006557B6" w:rsidRPr="006557B6" w:rsidRDefault="00EC0D1A" w:rsidP="00402AF9">
      <w:pPr>
        <w:pStyle w:val="Heading2"/>
        <w:spacing w:before="360"/>
      </w:pPr>
      <w:bookmarkStart w:id="101" w:name="_Toc144634519"/>
      <w:r>
        <w:t xml:space="preserve">V. C. </w:t>
      </w:r>
      <w:r w:rsidR="006557B6" w:rsidRPr="006557B6">
        <w:t>Proposed Recommendations</w:t>
      </w:r>
      <w:bookmarkEnd w:id="101"/>
    </w:p>
    <w:p w14:paraId="206331B4" w14:textId="4EA0C095" w:rsidR="00243F83" w:rsidRDefault="001B7F7E" w:rsidP="00C66B7F">
      <w:pPr>
        <w:spacing w:after="120"/>
      </w:pPr>
      <w:r>
        <w:t>There is nothing that prevents states from using either of the methods for sourcing guaranteed payments</w:t>
      </w:r>
      <w:r w:rsidR="00C66B7F">
        <w:t xml:space="preserve"> made to individuals for services</w:t>
      </w:r>
      <w:r>
        <w:t xml:space="preserve">—whether as distributive share or as </w:t>
      </w:r>
      <w:r w:rsidR="00C72792">
        <w:t>compensation</w:t>
      </w:r>
      <w:r w:rsidR="007D1D8E">
        <w:t>.</w:t>
      </w:r>
      <w:r w:rsidR="00CA5B49">
        <w:t xml:space="preserve"> </w:t>
      </w:r>
      <w:r w:rsidR="007D1D8E">
        <w:t>D</w:t>
      </w:r>
      <w:r w:rsidR="00CA5B49">
        <w:t xml:space="preserve">ifferent factors may generally favor one method versus the other. </w:t>
      </w:r>
      <w:r w:rsidR="00490569">
        <w:t>Nevertheless, this white paper can make the following recommendations:</w:t>
      </w:r>
    </w:p>
    <w:p w14:paraId="5B397AFF" w14:textId="77777777" w:rsidR="008B31C0" w:rsidRDefault="006557B6" w:rsidP="00DF1F82">
      <w:pPr>
        <w:pStyle w:val="ListParagraph"/>
        <w:numPr>
          <w:ilvl w:val="0"/>
          <w:numId w:val="26"/>
        </w:numPr>
        <w:contextualSpacing w:val="0"/>
      </w:pPr>
      <w:r w:rsidRPr="006557B6">
        <w:t xml:space="preserve">States should explicitly address the sourcing of guaranteed payments in order to avoid uncertainty. </w:t>
      </w:r>
    </w:p>
    <w:p w14:paraId="6215887B" w14:textId="660B37D3" w:rsidR="008B31C0" w:rsidRDefault="006557B6" w:rsidP="00DF1F82">
      <w:pPr>
        <w:pStyle w:val="ListParagraph"/>
        <w:numPr>
          <w:ilvl w:val="0"/>
          <w:numId w:val="26"/>
        </w:numPr>
        <w:contextualSpacing w:val="0"/>
      </w:pPr>
      <w:r w:rsidRPr="006557B6">
        <w:t xml:space="preserve">States should source guaranteed payments the same </w:t>
      </w:r>
      <w:r w:rsidR="007D1D8E">
        <w:t xml:space="preserve">whether applying tax to the partner on a pass-through basis or on the entity. </w:t>
      </w:r>
    </w:p>
    <w:p w14:paraId="429DB5D7" w14:textId="77777777" w:rsidR="00DF1F82" w:rsidRDefault="006557B6" w:rsidP="00DF1F82">
      <w:pPr>
        <w:pStyle w:val="ListParagraph"/>
        <w:numPr>
          <w:ilvl w:val="0"/>
          <w:numId w:val="26"/>
        </w:numPr>
        <w:contextualSpacing w:val="0"/>
      </w:pPr>
      <w:r w:rsidRPr="006557B6">
        <w:t xml:space="preserve">States that provide guaranteed payments should be sourced as distributive share should also: </w:t>
      </w:r>
    </w:p>
    <w:p w14:paraId="4C7D4455" w14:textId="77777777" w:rsidR="00DF1F82" w:rsidRDefault="006557B6" w:rsidP="00DF1F82">
      <w:pPr>
        <w:pStyle w:val="ListParagraph"/>
        <w:numPr>
          <w:ilvl w:val="1"/>
          <w:numId w:val="26"/>
        </w:numPr>
        <w:contextualSpacing w:val="0"/>
      </w:pPr>
      <w:r w:rsidRPr="006557B6">
        <w:t>Address whether this applies to individuals working in foreign jurisdictions who may source the payments as compensation for federal purposes</w:t>
      </w:r>
      <w:r w:rsidR="005704E9">
        <w:t xml:space="preserve">—and provide necessary adjustments </w:t>
      </w:r>
      <w:r w:rsidR="00D2764C">
        <w:t>to the federal tax base</w:t>
      </w:r>
      <w:r w:rsidRPr="006557B6">
        <w:t>.</w:t>
      </w:r>
    </w:p>
    <w:p w14:paraId="2C54B063" w14:textId="77777777" w:rsidR="00DF1F82" w:rsidRDefault="00757CBF" w:rsidP="00DF1F82">
      <w:pPr>
        <w:pStyle w:val="ListParagraph"/>
        <w:numPr>
          <w:ilvl w:val="1"/>
          <w:numId w:val="26"/>
        </w:numPr>
        <w:contextualSpacing w:val="0"/>
      </w:pPr>
      <w:r>
        <w:t xml:space="preserve">Address whether they follow federal treatment in distinguishing </w:t>
      </w:r>
      <w:r w:rsidR="00C8617A">
        <w:t>guaranteed payments for services from partner-partnership transactions</w:t>
      </w:r>
      <w:r w:rsidR="006C4970">
        <w:t xml:space="preserve">. </w:t>
      </w:r>
    </w:p>
    <w:p w14:paraId="77303D0F" w14:textId="77777777" w:rsidR="00DF1F82" w:rsidRDefault="006557B6" w:rsidP="00DF1F82">
      <w:pPr>
        <w:pStyle w:val="ListParagraph"/>
        <w:numPr>
          <w:ilvl w:val="1"/>
          <w:numId w:val="26"/>
        </w:numPr>
        <w:contextualSpacing w:val="0"/>
      </w:pPr>
      <w:r w:rsidRPr="006557B6">
        <w:t>Specify that this sourcing treatment does not apply to payments made to retired partners</w:t>
      </w:r>
      <w:r w:rsidR="007A488B">
        <w:t xml:space="preserve"> that are </w:t>
      </w:r>
      <w:r w:rsidRPr="006557B6">
        <w:t>required to be sourced to residence</w:t>
      </w:r>
      <w:r w:rsidR="007A488B">
        <w:t xml:space="preserve"> under 4 U.S.C. §114</w:t>
      </w:r>
      <w:r w:rsidRPr="006557B6">
        <w:t xml:space="preserve">. </w:t>
      </w:r>
    </w:p>
    <w:p w14:paraId="5014B05F" w14:textId="77777777" w:rsidR="00DF1F82" w:rsidRDefault="006557B6" w:rsidP="00DF1F82">
      <w:pPr>
        <w:pStyle w:val="ListParagraph"/>
        <w:numPr>
          <w:ilvl w:val="0"/>
          <w:numId w:val="26"/>
        </w:numPr>
        <w:contextualSpacing w:val="0"/>
      </w:pPr>
      <w:r w:rsidRPr="006557B6">
        <w:t xml:space="preserve">States that source the payments as compensation should </w:t>
      </w:r>
      <w:r w:rsidR="006C4970">
        <w:t>also:</w:t>
      </w:r>
    </w:p>
    <w:p w14:paraId="045F8EAE" w14:textId="77777777" w:rsidR="00DF1F82" w:rsidRDefault="006C4970" w:rsidP="00DF1F82">
      <w:pPr>
        <w:pStyle w:val="ListParagraph"/>
        <w:numPr>
          <w:ilvl w:val="1"/>
          <w:numId w:val="26"/>
        </w:numPr>
        <w:contextualSpacing w:val="0"/>
      </w:pPr>
      <w:r>
        <w:lastRenderedPageBreak/>
        <w:t>I</w:t>
      </w:r>
      <w:r w:rsidR="006557B6" w:rsidRPr="006557B6">
        <w:t xml:space="preserve">mpose appropriate limits to ensure that the payments are </w:t>
      </w:r>
      <w:r w:rsidR="00EE69B6">
        <w:t xml:space="preserve">genuinely </w:t>
      </w:r>
      <w:r w:rsidR="006557B6" w:rsidRPr="006557B6">
        <w:t xml:space="preserve">similar to compensation for services performed and to avoid income shifting. </w:t>
      </w:r>
    </w:p>
    <w:p w14:paraId="0E025848" w14:textId="77777777" w:rsidR="00DF1F82" w:rsidRDefault="00DF7B30" w:rsidP="00DF1F82">
      <w:pPr>
        <w:pStyle w:val="ListParagraph"/>
        <w:numPr>
          <w:ilvl w:val="1"/>
          <w:numId w:val="26"/>
        </w:numPr>
        <w:contextualSpacing w:val="0"/>
      </w:pPr>
      <w:r>
        <w:t xml:space="preserve">Address whether they </w:t>
      </w:r>
      <w:r w:rsidR="00E73F73">
        <w:t xml:space="preserve">will </w:t>
      </w:r>
      <w:r>
        <w:t>follow federal treatment in distinguishing guaranteed payments from distributive share/distributions.</w:t>
      </w:r>
    </w:p>
    <w:p w14:paraId="4A7516E7" w14:textId="77777777" w:rsidR="00DF1F82" w:rsidRDefault="006C4970" w:rsidP="00DF1F82">
      <w:pPr>
        <w:pStyle w:val="ListParagraph"/>
        <w:numPr>
          <w:ilvl w:val="1"/>
          <w:numId w:val="26"/>
        </w:numPr>
        <w:contextualSpacing w:val="0"/>
      </w:pPr>
      <w:r>
        <w:t xml:space="preserve">Address </w:t>
      </w:r>
      <w:r w:rsidR="00DF7B30">
        <w:t xml:space="preserve">whether they </w:t>
      </w:r>
      <w:r w:rsidR="00E73F73">
        <w:t xml:space="preserve">will </w:t>
      </w:r>
      <w:r w:rsidR="00DF7B30">
        <w:t>follow federal treatment in</w:t>
      </w:r>
      <w:r w:rsidR="006557B6" w:rsidRPr="006557B6">
        <w:t xml:space="preserve"> distinguishing guaranteed payments for services from guaranteed payments for capital. </w:t>
      </w:r>
    </w:p>
    <w:p w14:paraId="4F31780E" w14:textId="5DF2E62C" w:rsidR="006557B6" w:rsidRPr="006557B6" w:rsidRDefault="006557B6" w:rsidP="00DF1F82">
      <w:pPr>
        <w:pStyle w:val="ListParagraph"/>
        <w:numPr>
          <w:ilvl w:val="0"/>
          <w:numId w:val="26"/>
        </w:numPr>
        <w:contextualSpacing w:val="0"/>
      </w:pPr>
      <w:r w:rsidRPr="006557B6">
        <w:t>To mitigate the possibility of multiple taxation, consider provisions that might grant additional credits to residents who can show that they paid tax on more than 100% of their guaranteed payments</w:t>
      </w:r>
      <w:r w:rsidR="00E73F73">
        <w:t xml:space="preserve"> based on different state sourcing rules</w:t>
      </w:r>
      <w:r w:rsidRPr="006557B6">
        <w:t>.</w:t>
      </w:r>
      <w:bookmarkEnd w:id="0"/>
    </w:p>
    <w:sectPr w:rsidR="006557B6" w:rsidRPr="006557B6" w:rsidSect="005D7EF7">
      <w:footerReference w:type="default" r:id="rId47"/>
      <w:pgSz w:w="12240" w:h="15840" w:code="1"/>
      <w:pgMar w:top="864" w:right="1728" w:bottom="864" w:left="1728" w:header="288" w:footer="0" w:gutter="0"/>
      <w:pgBorders w:offsetFrom="page">
        <w:top w:val="single" w:sz="24" w:space="10" w:color="591200" w:themeColor="accent6" w:themeShade="80"/>
        <w:left w:val="single" w:sz="24" w:space="15" w:color="591200" w:themeColor="accent6" w:themeShade="80"/>
        <w:bottom w:val="single" w:sz="24" w:space="25" w:color="591200" w:themeColor="accent6" w:themeShade="80"/>
        <w:right w:val="single" w:sz="24" w:space="15" w:color="591200" w:themeColor="accent6"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60CC" w14:textId="77777777" w:rsidR="0016073C" w:rsidRDefault="0016073C" w:rsidP="00F804A3">
      <w:pPr>
        <w:spacing w:after="0"/>
      </w:pPr>
      <w:r>
        <w:separator/>
      </w:r>
    </w:p>
  </w:endnote>
  <w:endnote w:type="continuationSeparator" w:id="0">
    <w:p w14:paraId="1D362820" w14:textId="77777777" w:rsidR="0016073C" w:rsidRDefault="0016073C" w:rsidP="00F804A3">
      <w:pPr>
        <w:spacing w:after="0"/>
      </w:pPr>
      <w:r>
        <w:continuationSeparator/>
      </w:r>
    </w:p>
  </w:endnote>
  <w:endnote w:type="continuationNotice" w:id="1">
    <w:p w14:paraId="50C2AF08" w14:textId="77777777" w:rsidR="0016073C" w:rsidRDefault="001607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sa Offc Serif Pro">
    <w:charset w:val="00"/>
    <w:family w:val="auto"/>
    <w:pitch w:val="variable"/>
    <w:sig w:usb0="800002E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FB90" w14:textId="0846AEF7" w:rsidR="00817E18" w:rsidRPr="00924DB9" w:rsidRDefault="00D011B7" w:rsidP="00D011B7">
    <w:pPr>
      <w:pStyle w:val="Footer"/>
      <w:jc w:val="left"/>
      <w:rPr>
        <w:color w:val="595959" w:themeColor="text1" w:themeTint="A6"/>
        <w:sz w:val="18"/>
        <w:szCs w:val="20"/>
      </w:rPr>
    </w:pPr>
    <w:r>
      <w:rPr>
        <w:noProof/>
      </w:rPr>
      <w:drawing>
        <wp:anchor distT="0" distB="0" distL="114300" distR="114300" simplePos="0" relativeHeight="251657216" behindDoc="0" locked="0" layoutInCell="1" allowOverlap="1" wp14:anchorId="7F38D4EB" wp14:editId="3F227162">
          <wp:simplePos x="0" y="0"/>
          <wp:positionH relativeFrom="column">
            <wp:posOffset>-237399</wp:posOffset>
          </wp:positionH>
          <wp:positionV relativeFrom="paragraph">
            <wp:posOffset>12700</wp:posOffset>
          </wp:positionV>
          <wp:extent cx="403860" cy="214630"/>
          <wp:effectExtent l="0" t="0" r="0" b="0"/>
          <wp:wrapSquare wrapText="bothSides"/>
          <wp:docPr id="743783632" name="Picture 7437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03860" cy="214630"/>
                  </a:xfrm>
                  <a:prstGeom prst="rect">
                    <a:avLst/>
                  </a:prstGeom>
                  <a:noFill/>
                  <a:effectLst/>
                </pic:spPr>
              </pic:pic>
            </a:graphicData>
          </a:graphic>
          <wp14:sizeRelH relativeFrom="page">
            <wp14:pctWidth>0</wp14:pctWidth>
          </wp14:sizeRelH>
          <wp14:sizeRelV relativeFrom="page">
            <wp14:pctHeight>0</wp14:pctHeight>
          </wp14:sizeRelV>
        </wp:anchor>
      </w:drawing>
    </w:r>
    <w:sdt>
      <w:sdtPr>
        <w:rPr>
          <w:color w:val="595959" w:themeColor="text1" w:themeTint="A6"/>
          <w:sz w:val="18"/>
          <w:szCs w:val="20"/>
        </w:rPr>
        <w:id w:val="-2083526493"/>
        <w:docPartObj>
          <w:docPartGallery w:val="Page Numbers (Bottom of Page)"/>
          <w:docPartUnique/>
        </w:docPartObj>
      </w:sdtPr>
      <w:sdtEndPr>
        <w:rPr>
          <w:noProof/>
        </w:rPr>
      </w:sdtEndPr>
      <w:sdtContent>
        <w:r w:rsidR="00DB290A" w:rsidRPr="00924DB9">
          <w:rPr>
            <w:color w:val="595959" w:themeColor="text1" w:themeTint="A6"/>
            <w:sz w:val="18"/>
            <w:szCs w:val="20"/>
          </w:rPr>
          <w:t>White Paper</w:t>
        </w:r>
        <w:r w:rsidR="00822499" w:rsidRPr="00924DB9">
          <w:rPr>
            <w:color w:val="595959" w:themeColor="text1" w:themeTint="A6"/>
            <w:sz w:val="18"/>
            <w:szCs w:val="20"/>
          </w:rPr>
          <w:t xml:space="preserve">  -  State Tax</w:t>
        </w:r>
        <w:r w:rsidR="000A2267">
          <w:rPr>
            <w:color w:val="595959" w:themeColor="text1" w:themeTint="A6"/>
            <w:sz w:val="18"/>
            <w:szCs w:val="20"/>
          </w:rPr>
          <w:t xml:space="preserve"> Sourcing </w:t>
        </w:r>
        <w:r w:rsidR="00822499" w:rsidRPr="00924DB9">
          <w:rPr>
            <w:color w:val="595959" w:themeColor="text1" w:themeTint="A6"/>
            <w:sz w:val="18"/>
            <w:szCs w:val="20"/>
          </w:rPr>
          <w:t xml:space="preserve">of </w:t>
        </w:r>
        <w:r w:rsidR="00C23413" w:rsidRPr="00924DB9">
          <w:rPr>
            <w:color w:val="595959" w:themeColor="text1" w:themeTint="A6"/>
            <w:sz w:val="18"/>
            <w:szCs w:val="20"/>
          </w:rPr>
          <w:t xml:space="preserve">Certain </w:t>
        </w:r>
        <w:r w:rsidR="00822499" w:rsidRPr="00924DB9">
          <w:rPr>
            <w:color w:val="595959" w:themeColor="text1" w:themeTint="A6"/>
            <w:sz w:val="18"/>
            <w:szCs w:val="20"/>
          </w:rPr>
          <w:t xml:space="preserve">Guaranteed Payments </w:t>
        </w:r>
        <w:r w:rsidRPr="00924DB9">
          <w:rPr>
            <w:color w:val="595959" w:themeColor="text1" w:themeTint="A6"/>
            <w:sz w:val="18"/>
            <w:szCs w:val="20"/>
          </w:rPr>
          <w:t xml:space="preserve">– August </w:t>
        </w:r>
        <w:r w:rsidR="00540017">
          <w:rPr>
            <w:color w:val="595959" w:themeColor="text1" w:themeTint="A6"/>
            <w:sz w:val="18"/>
            <w:szCs w:val="20"/>
          </w:rPr>
          <w:t>31</w:t>
        </w:r>
        <w:r w:rsidRPr="00924DB9">
          <w:rPr>
            <w:color w:val="595959" w:themeColor="text1" w:themeTint="A6"/>
            <w:sz w:val="18"/>
            <w:szCs w:val="20"/>
          </w:rPr>
          <w:t>, 2023</w:t>
        </w:r>
        <w:r w:rsidRPr="00924DB9">
          <w:rPr>
            <w:color w:val="595959" w:themeColor="text1" w:themeTint="A6"/>
            <w:sz w:val="18"/>
            <w:szCs w:val="20"/>
          </w:rPr>
          <w:tab/>
        </w:r>
        <w:r w:rsidR="00822499" w:rsidRPr="00924DB9">
          <w:rPr>
            <w:noProof/>
            <w:color w:val="595959" w:themeColor="text1" w:themeTint="A6"/>
            <w:sz w:val="18"/>
            <w:szCs w:val="20"/>
          </w:rPr>
          <w:t xml:space="preserve">Page </w:t>
        </w:r>
        <w:r w:rsidR="00817E18" w:rsidRPr="00924DB9">
          <w:rPr>
            <w:color w:val="595959" w:themeColor="text1" w:themeTint="A6"/>
            <w:sz w:val="18"/>
            <w:szCs w:val="20"/>
          </w:rPr>
          <w:fldChar w:fldCharType="begin"/>
        </w:r>
        <w:r w:rsidR="00817E18" w:rsidRPr="00924DB9">
          <w:rPr>
            <w:color w:val="595959" w:themeColor="text1" w:themeTint="A6"/>
            <w:sz w:val="18"/>
            <w:szCs w:val="20"/>
          </w:rPr>
          <w:instrText xml:space="preserve"> PAGE   \* MERGEFORMAT </w:instrText>
        </w:r>
        <w:r w:rsidR="00817E18" w:rsidRPr="00924DB9">
          <w:rPr>
            <w:color w:val="595959" w:themeColor="text1" w:themeTint="A6"/>
            <w:sz w:val="18"/>
            <w:szCs w:val="20"/>
          </w:rPr>
          <w:fldChar w:fldCharType="separate"/>
        </w:r>
        <w:r w:rsidR="00817E18" w:rsidRPr="00924DB9">
          <w:rPr>
            <w:noProof/>
            <w:color w:val="595959" w:themeColor="text1" w:themeTint="A6"/>
            <w:sz w:val="18"/>
            <w:szCs w:val="20"/>
          </w:rPr>
          <w:t>2</w:t>
        </w:r>
        <w:r w:rsidR="00817E18" w:rsidRPr="00924DB9">
          <w:rPr>
            <w:noProof/>
            <w:color w:val="595959" w:themeColor="text1" w:themeTint="A6"/>
            <w:sz w:val="18"/>
            <w:szCs w:val="20"/>
          </w:rPr>
          <w:fldChar w:fldCharType="end"/>
        </w:r>
      </w:sdtContent>
    </w:sdt>
  </w:p>
  <w:p w14:paraId="012BFCCC" w14:textId="4029920A" w:rsidR="00817E18" w:rsidRDefault="00817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148B8" w14:textId="77777777" w:rsidR="0016073C" w:rsidRDefault="0016073C" w:rsidP="00F804A3">
      <w:pPr>
        <w:spacing w:after="0"/>
      </w:pPr>
      <w:r>
        <w:separator/>
      </w:r>
    </w:p>
  </w:footnote>
  <w:footnote w:type="continuationSeparator" w:id="0">
    <w:p w14:paraId="74F72D81" w14:textId="77777777" w:rsidR="0016073C" w:rsidRDefault="0016073C" w:rsidP="00F804A3">
      <w:pPr>
        <w:spacing w:after="0"/>
      </w:pPr>
      <w:r>
        <w:continuationSeparator/>
      </w:r>
    </w:p>
  </w:footnote>
  <w:footnote w:type="continuationNotice" w:id="1">
    <w:p w14:paraId="286F8BA6" w14:textId="77777777" w:rsidR="0016073C" w:rsidRDefault="0016073C">
      <w:pPr>
        <w:spacing w:after="0"/>
      </w:pPr>
    </w:p>
  </w:footnote>
  <w:footnote w:id="2">
    <w:p w14:paraId="380F4590" w14:textId="77777777" w:rsidR="00EE070D" w:rsidRDefault="00EE070D" w:rsidP="00EE070D">
      <w:pPr>
        <w:pStyle w:val="FootnoteText"/>
      </w:pPr>
      <w:r>
        <w:rPr>
          <w:rStyle w:val="FootnoteReference"/>
        </w:rPr>
        <w:footnoteRef/>
      </w:r>
      <w:r>
        <w:t xml:space="preserve"> Available on the project web page, here: </w:t>
      </w:r>
      <w:hyperlink r:id="rId1" w:history="1">
        <w:r w:rsidRPr="00CE56DA">
          <w:rPr>
            <w:rStyle w:val="Hyperlink"/>
          </w:rPr>
          <w:t>https://www.mtc.gov/Uniformity/Project-Teams/Partnership-Tax</w:t>
        </w:r>
      </w:hyperlink>
      <w:r>
        <w:t xml:space="preserve">. </w:t>
      </w:r>
    </w:p>
  </w:footnote>
  <w:footnote w:id="3">
    <w:p w14:paraId="1B8CE53A" w14:textId="772D2ABA" w:rsidR="00DB4852" w:rsidRDefault="00DB4852">
      <w:pPr>
        <w:pStyle w:val="FootnoteText"/>
      </w:pPr>
      <w:r>
        <w:rPr>
          <w:rStyle w:val="FootnoteReference"/>
        </w:rPr>
        <w:footnoteRef/>
      </w:r>
      <w:r>
        <w:t xml:space="preserve"> </w:t>
      </w:r>
      <w:r w:rsidR="00146D3A">
        <w:t>T</w:t>
      </w:r>
      <w:r w:rsidR="00146D3A" w:rsidRPr="00146D3A">
        <w:t>his is reflected in the Uniform Partnership Act as well as state laws generally.</w:t>
      </w:r>
      <w:r w:rsidR="00146D3A">
        <w:t xml:space="preserve"> </w:t>
      </w:r>
      <w:r>
        <w:t xml:space="preserve">See the Uniform Law Commission’s summary of changes to the 1997 version of the Act, available here: </w:t>
      </w:r>
      <w:hyperlink r:id="rId2" w:history="1">
        <w:r w:rsidRPr="00C61F20">
          <w:rPr>
            <w:rStyle w:val="Hyperlink"/>
          </w:rPr>
          <w:t>https://www.uniformlaws.org/viewdocument/enactment-kit-73?CommunityKey=52456941-7883-47a5-91b6-d2f086d0bb44&amp;tab=librarydocuments</w:t>
        </w:r>
      </w:hyperlink>
      <w:r>
        <w:t xml:space="preserve">. </w:t>
      </w:r>
    </w:p>
  </w:footnote>
  <w:footnote w:id="4">
    <w:p w14:paraId="28F1044E" w14:textId="3717E0C4" w:rsidR="00681757" w:rsidRPr="00C95E47" w:rsidRDefault="00681757" w:rsidP="00681757">
      <w:pPr>
        <w:pStyle w:val="FootnoteText"/>
      </w:pPr>
      <w:r>
        <w:rPr>
          <w:rStyle w:val="FootnoteReference"/>
        </w:rPr>
        <w:footnoteRef/>
      </w:r>
      <w:r>
        <w:t xml:space="preserve"> </w:t>
      </w:r>
      <w:r w:rsidR="00890477">
        <w:t xml:space="preserve">See </w:t>
      </w:r>
      <w:r w:rsidRPr="00C95E47">
        <w:rPr>
          <w:i/>
          <w:iCs/>
        </w:rPr>
        <w:t>Cagle v. Commissioner</w:t>
      </w:r>
      <w:r w:rsidRPr="00C95E47">
        <w:t xml:space="preserve">, 63 T.C. 86, 94 (1974) </w:t>
      </w:r>
      <w:r>
        <w:t xml:space="preserve">citing </w:t>
      </w:r>
      <w:r w:rsidRPr="00C95E47">
        <w:t>H. Rept. No. 1337, supra at pp. 67-68; S. Rept. No. 1622, supra at p. 92.</w:t>
      </w:r>
      <w:r w:rsidR="00D530E5">
        <w:t xml:space="preserve"> Also note that for other purposes, guaranteed payments are treated as distributive share. </w:t>
      </w:r>
    </w:p>
    <w:p w14:paraId="413EFBC7" w14:textId="77777777" w:rsidR="00681757" w:rsidRDefault="00681757" w:rsidP="00681757">
      <w:pPr>
        <w:pStyle w:val="FootnoteText"/>
      </w:pPr>
    </w:p>
  </w:footnote>
  <w:footnote w:id="5">
    <w:p w14:paraId="6065373E" w14:textId="77777777" w:rsidR="00092BB5" w:rsidRDefault="00092BB5" w:rsidP="00092BB5">
      <w:pPr>
        <w:pStyle w:val="FootnoteText"/>
        <w:spacing w:after="0" w:line="240" w:lineRule="auto"/>
      </w:pPr>
      <w:r>
        <w:rPr>
          <w:rStyle w:val="FootnoteReference"/>
        </w:rPr>
        <w:footnoteRef/>
      </w:r>
      <w:r>
        <w:t xml:space="preserve"> </w:t>
      </w:r>
      <w:r w:rsidRPr="00A41D71">
        <w:t>Exceptions are</w:t>
      </w:r>
      <w:r>
        <w:t xml:space="preserve"> the District of Columbia</w:t>
      </w:r>
      <w:r w:rsidRPr="00A41D71">
        <w:t xml:space="preserve">, New Hampshire, </w:t>
      </w:r>
      <w:r>
        <w:t xml:space="preserve">Connecticut, </w:t>
      </w:r>
      <w:r w:rsidRPr="00A41D71">
        <w:t>and Texas, which impose entity-level taxes.</w:t>
      </w:r>
    </w:p>
  </w:footnote>
  <w:footnote w:id="6">
    <w:p w14:paraId="6665A7C6" w14:textId="0324EA6D" w:rsidR="008957DF" w:rsidRDefault="008957DF">
      <w:pPr>
        <w:pStyle w:val="FootnoteText"/>
      </w:pPr>
      <w:r>
        <w:rPr>
          <w:rStyle w:val="FootnoteReference"/>
        </w:rPr>
        <w:footnoteRef/>
      </w:r>
      <w:r>
        <w:t xml:space="preserve"> See IRC § 704(b) which allows partners to share partnership items of income, expense, gain, or loss in proportions other than by the partners' interest in the partnership.</w:t>
      </w:r>
    </w:p>
  </w:footnote>
  <w:footnote w:id="7">
    <w:p w14:paraId="4606BA80" w14:textId="3D2C4157" w:rsidR="00D46078" w:rsidRDefault="00D46078">
      <w:pPr>
        <w:pStyle w:val="FootnoteText"/>
      </w:pPr>
      <w:r>
        <w:rPr>
          <w:rStyle w:val="FootnoteReference"/>
        </w:rPr>
        <w:footnoteRef/>
      </w:r>
      <w:r>
        <w:t xml:space="preserve"> </w:t>
      </w:r>
      <w:r w:rsidRPr="00D46078">
        <w:t>64 T.C. 204 (1975), aff’d in part, rev’d in part, 550 F.2d 1023 (5th Cir. 1977)</w:t>
      </w:r>
    </w:p>
  </w:footnote>
  <w:footnote w:id="8">
    <w:p w14:paraId="025EDD79" w14:textId="527999B1" w:rsidR="00C071A7" w:rsidRDefault="00C071A7">
      <w:pPr>
        <w:pStyle w:val="FootnoteText"/>
      </w:pPr>
      <w:r>
        <w:rPr>
          <w:rStyle w:val="FootnoteReference"/>
        </w:rPr>
        <w:footnoteRef/>
      </w:r>
      <w:r>
        <w:t xml:space="preserve"> </w:t>
      </w:r>
      <w:r w:rsidR="00773D6F">
        <w:t>Id</w:t>
      </w:r>
      <w:r w:rsidR="006C3BE8">
        <w:t>.</w:t>
      </w:r>
    </w:p>
  </w:footnote>
  <w:footnote w:id="9">
    <w:p w14:paraId="47DDA259" w14:textId="4F169AF3" w:rsidR="00EB67CF" w:rsidRDefault="00EB67CF">
      <w:pPr>
        <w:pStyle w:val="FootnoteText"/>
      </w:pPr>
      <w:r>
        <w:rPr>
          <w:rStyle w:val="FootnoteReference"/>
        </w:rPr>
        <w:footnoteRef/>
      </w:r>
      <w:r>
        <w:t xml:space="preserve"> </w:t>
      </w:r>
      <w:r w:rsidR="0083320D">
        <w:t xml:space="preserve">C.B. </w:t>
      </w:r>
      <w:r w:rsidR="00A93105">
        <w:t>2015-32</w:t>
      </w:r>
    </w:p>
  </w:footnote>
  <w:footnote w:id="10">
    <w:p w14:paraId="6755AFD5" w14:textId="4688A316" w:rsidR="005B44CD" w:rsidRDefault="005B44CD">
      <w:pPr>
        <w:pStyle w:val="FootnoteText"/>
      </w:pPr>
      <w:r>
        <w:rPr>
          <w:rStyle w:val="FootnoteReference"/>
        </w:rPr>
        <w:footnoteRef/>
      </w:r>
      <w:r>
        <w:t xml:space="preserve"> Rev. Rul. </w:t>
      </w:r>
      <w:r w:rsidR="00C1799C">
        <w:t>81-300.</w:t>
      </w:r>
    </w:p>
  </w:footnote>
  <w:footnote w:id="11">
    <w:p w14:paraId="22B61C02" w14:textId="678CA406" w:rsidR="00283498" w:rsidRDefault="00283498">
      <w:pPr>
        <w:pStyle w:val="FootnoteText"/>
      </w:pPr>
      <w:r>
        <w:rPr>
          <w:rStyle w:val="FootnoteReference"/>
        </w:rPr>
        <w:footnoteRef/>
      </w:r>
      <w:r>
        <w:t xml:space="preserve"> Congress specifically addressed the holdings in Rev. Rul.</w:t>
      </w:r>
      <w:r w:rsidR="00CA7730">
        <w:t xml:space="preserve"> 81-300 and 81-301 as part of the Deficit Reduction Act of 1984. </w:t>
      </w:r>
      <w:r w:rsidR="00C15CB1">
        <w:t xml:space="preserve">Congress affirmed Rev. Rul. 81-301, but it concluded that the payment in Rev. Rul. </w:t>
      </w:r>
      <w:r w:rsidR="00155F02">
        <w:t>81-300 should have been properly characterized as a section 707(a) paymen</w:t>
      </w:r>
      <w:r w:rsidR="006753E1">
        <w:t>t. As a result, the Treasury Department obsoleted Rev. Rul. 81-300 when it issued proposed regulations under the newly enacted section 707</w:t>
      </w:r>
      <w:r w:rsidR="00C436A8">
        <w:t>(a)(2)(A).</w:t>
      </w:r>
    </w:p>
  </w:footnote>
  <w:footnote w:id="12">
    <w:p w14:paraId="1CFB5708" w14:textId="473DC5C4" w:rsidR="00E845DE" w:rsidRDefault="00E845DE">
      <w:pPr>
        <w:pStyle w:val="FootnoteText"/>
      </w:pPr>
      <w:r>
        <w:rPr>
          <w:rStyle w:val="FootnoteReference"/>
        </w:rPr>
        <w:footnoteRef/>
      </w:r>
      <w:r>
        <w:t xml:space="preserve"> </w:t>
      </w:r>
      <w:r w:rsidR="002E103B" w:rsidRPr="002E103B">
        <w:t>REG-115452-14, 80 Fed. Reg. 43,652 (July 23, 2015).</w:t>
      </w:r>
    </w:p>
  </w:footnote>
  <w:footnote w:id="13">
    <w:p w14:paraId="24AD4039" w14:textId="05525D8C" w:rsidR="001F18DB" w:rsidRDefault="001F18DB">
      <w:pPr>
        <w:pStyle w:val="FootnoteText"/>
      </w:pPr>
      <w:r>
        <w:rPr>
          <w:rStyle w:val="FootnoteReference"/>
        </w:rPr>
        <w:footnoteRef/>
      </w:r>
      <w:r>
        <w:t xml:space="preserve"> </w:t>
      </w:r>
      <w:r w:rsidR="00BC7BB4">
        <w:t xml:space="preserve">Id. </w:t>
      </w:r>
    </w:p>
  </w:footnote>
  <w:footnote w:id="14">
    <w:p w14:paraId="21C03D65" w14:textId="5A00ED53" w:rsidR="00C72941" w:rsidRDefault="00C72941">
      <w:pPr>
        <w:pStyle w:val="FootnoteText"/>
      </w:pPr>
      <w:r>
        <w:rPr>
          <w:rStyle w:val="FootnoteReference"/>
        </w:rPr>
        <w:footnoteRef/>
      </w:r>
      <w:r>
        <w:t xml:space="preserve"> IRC § 199A(</w:t>
      </w:r>
      <w:r w:rsidR="00EC5BA7">
        <w:t>c)(4)(</w:t>
      </w:r>
      <w:r w:rsidR="00947E0E">
        <w:t>B).</w:t>
      </w:r>
    </w:p>
  </w:footnote>
  <w:footnote w:id="15">
    <w:p w14:paraId="32CB50D6" w14:textId="0739228C" w:rsidR="006A4890" w:rsidRDefault="006A4890">
      <w:pPr>
        <w:pStyle w:val="FootnoteText"/>
      </w:pPr>
      <w:r>
        <w:rPr>
          <w:rStyle w:val="FootnoteReference"/>
        </w:rPr>
        <w:footnoteRef/>
      </w:r>
      <w:r>
        <w:t xml:space="preserve"> IRC § 199A(f)(1)(</w:t>
      </w:r>
      <w:r w:rsidR="00C126C9">
        <w:t>A</w:t>
      </w:r>
      <w:r>
        <w:t>)</w:t>
      </w:r>
      <w:r w:rsidR="00C126C9">
        <w:t>(ii)</w:t>
      </w:r>
      <w:r>
        <w:t>.</w:t>
      </w:r>
    </w:p>
  </w:footnote>
  <w:footnote w:id="16">
    <w:p w14:paraId="13361FD7" w14:textId="77777777" w:rsidR="0005558C" w:rsidRDefault="0005558C" w:rsidP="0005558C">
      <w:pPr>
        <w:pStyle w:val="FootnoteText"/>
      </w:pPr>
      <w:r>
        <w:rPr>
          <w:rStyle w:val="FootnoteReference"/>
        </w:rPr>
        <w:footnoteRef/>
      </w:r>
      <w:r>
        <w:t xml:space="preserve"> </w:t>
      </w:r>
      <w:r w:rsidRPr="0057541D">
        <w:rPr>
          <w:i/>
          <w:iCs/>
        </w:rPr>
        <w:t>Miller v. Commissioner</w:t>
      </w:r>
      <w:r w:rsidRPr="0057541D">
        <w:t xml:space="preserve">, 52 T.C. </w:t>
      </w:r>
      <w:r>
        <w:t>at 762.</w:t>
      </w:r>
    </w:p>
  </w:footnote>
  <w:footnote w:id="17">
    <w:p w14:paraId="1E703793" w14:textId="5605ADFA" w:rsidR="0005558C" w:rsidRDefault="0005558C" w:rsidP="0005558C">
      <w:pPr>
        <w:pStyle w:val="FootnoteText"/>
      </w:pPr>
      <w:r>
        <w:rPr>
          <w:rStyle w:val="FootnoteReference"/>
        </w:rPr>
        <w:footnoteRef/>
      </w:r>
      <w:r>
        <w:t xml:space="preserve"> </w:t>
      </w:r>
      <w:r w:rsidR="00A36EB1" w:rsidRPr="00A36EB1">
        <w:t xml:space="preserve">See IRS LB&amp;I International Practice Service Process Unit – Audit, Calculating Foreign Earned Income Exclusion – Partner in a Partnership with Foreign Earned Income; available here: https://www.irs.gov/pub/int_practice_units/jto_p_09_06_05_19.pdf. </w:t>
      </w:r>
    </w:p>
  </w:footnote>
  <w:footnote w:id="18">
    <w:p w14:paraId="53286B4F" w14:textId="3345CFC0" w:rsidR="0092280E" w:rsidRDefault="0092280E">
      <w:pPr>
        <w:pStyle w:val="FootnoteText"/>
      </w:pPr>
      <w:r>
        <w:rPr>
          <w:rStyle w:val="FootnoteReference"/>
        </w:rPr>
        <w:footnoteRef/>
      </w:r>
      <w:r>
        <w:t xml:space="preserve"> Those states are </w:t>
      </w:r>
      <w:r w:rsidRPr="0092280E">
        <w:t>California, Georgia, Idaho, Illinois, Maine, Maryland, Minnesota, Mississippi, Missouri, Montana, Nebraska, New Jersey, New York, North Carolina, North Dakota, Oregon, Rhode Island, Utah, Vermont, and West Virginia</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06D"/>
    <w:multiLevelType w:val="hybridMultilevel"/>
    <w:tmpl w:val="066842D8"/>
    <w:lvl w:ilvl="0" w:tplc="0D82AFC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0D3522"/>
    <w:multiLevelType w:val="hybridMultilevel"/>
    <w:tmpl w:val="0B4A8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E331C"/>
    <w:multiLevelType w:val="multilevel"/>
    <w:tmpl w:val="B790A890"/>
    <w:styleLink w:val="Style1"/>
    <w:lvl w:ilvl="0">
      <w:start w:val="1"/>
      <w:numFmt w:val="bullet"/>
      <w:lvlText w:val=""/>
      <w:lvlJc w:val="left"/>
      <w:pPr>
        <w:ind w:left="432"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BF67D4"/>
    <w:multiLevelType w:val="hybridMultilevel"/>
    <w:tmpl w:val="E222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B75BD"/>
    <w:multiLevelType w:val="hybridMultilevel"/>
    <w:tmpl w:val="4BA0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57A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E2F6E32"/>
    <w:multiLevelType w:val="hybridMultilevel"/>
    <w:tmpl w:val="7724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C43E3"/>
    <w:multiLevelType w:val="hybridMultilevel"/>
    <w:tmpl w:val="4DA4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938BF"/>
    <w:multiLevelType w:val="hybridMultilevel"/>
    <w:tmpl w:val="4846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2718AF"/>
    <w:multiLevelType w:val="hybridMultilevel"/>
    <w:tmpl w:val="5686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453F7D"/>
    <w:multiLevelType w:val="hybridMultilevel"/>
    <w:tmpl w:val="C6FA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4582E"/>
    <w:multiLevelType w:val="hybridMultilevel"/>
    <w:tmpl w:val="60564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866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20B278E"/>
    <w:multiLevelType w:val="hybridMultilevel"/>
    <w:tmpl w:val="714E4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90EAB"/>
    <w:multiLevelType w:val="hybridMultilevel"/>
    <w:tmpl w:val="75D8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6A58FB"/>
    <w:multiLevelType w:val="hybridMultilevel"/>
    <w:tmpl w:val="BDBE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845B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E7D300D"/>
    <w:multiLevelType w:val="hybridMultilevel"/>
    <w:tmpl w:val="5FEC4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F5317C"/>
    <w:multiLevelType w:val="hybridMultilevel"/>
    <w:tmpl w:val="248E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93AE0"/>
    <w:multiLevelType w:val="multilevel"/>
    <w:tmpl w:val="55529C88"/>
    <w:lvl w:ilvl="0">
      <w:start w:val="1"/>
      <w:numFmt w:val="upp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AC75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D6E5C06"/>
    <w:multiLevelType w:val="hybridMultilevel"/>
    <w:tmpl w:val="60564B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010885"/>
    <w:multiLevelType w:val="hybridMultilevel"/>
    <w:tmpl w:val="347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51B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D63B94"/>
    <w:multiLevelType w:val="hybridMultilevel"/>
    <w:tmpl w:val="C64CD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860697">
    <w:abstractNumId w:val="20"/>
  </w:num>
  <w:num w:numId="2" w16cid:durableId="1849641117">
    <w:abstractNumId w:val="2"/>
  </w:num>
  <w:num w:numId="3" w16cid:durableId="880246744">
    <w:abstractNumId w:val="17"/>
  </w:num>
  <w:num w:numId="4" w16cid:durableId="707685888">
    <w:abstractNumId w:val="10"/>
  </w:num>
  <w:num w:numId="5" w16cid:durableId="394159763">
    <w:abstractNumId w:val="13"/>
  </w:num>
  <w:num w:numId="6" w16cid:durableId="1805612221">
    <w:abstractNumId w:val="9"/>
  </w:num>
  <w:num w:numId="7" w16cid:durableId="261452024">
    <w:abstractNumId w:val="7"/>
  </w:num>
  <w:num w:numId="8" w16cid:durableId="2117292064">
    <w:abstractNumId w:val="6"/>
  </w:num>
  <w:num w:numId="9" w16cid:durableId="1066337614">
    <w:abstractNumId w:val="8"/>
  </w:num>
  <w:num w:numId="10" w16cid:durableId="193084108">
    <w:abstractNumId w:val="18"/>
  </w:num>
  <w:num w:numId="11" w16cid:durableId="1239511545">
    <w:abstractNumId w:val="4"/>
  </w:num>
  <w:num w:numId="12" w16cid:durableId="1699619975">
    <w:abstractNumId w:val="1"/>
  </w:num>
  <w:num w:numId="13" w16cid:durableId="1162548474">
    <w:abstractNumId w:val="25"/>
  </w:num>
  <w:num w:numId="14" w16cid:durableId="1946226677">
    <w:abstractNumId w:val="15"/>
  </w:num>
  <w:num w:numId="15" w16cid:durableId="992560161">
    <w:abstractNumId w:val="24"/>
  </w:num>
  <w:num w:numId="16" w16cid:durableId="133371967">
    <w:abstractNumId w:val="12"/>
  </w:num>
  <w:num w:numId="17" w16cid:durableId="1661614949">
    <w:abstractNumId w:val="16"/>
  </w:num>
  <w:num w:numId="18" w16cid:durableId="1686130259">
    <w:abstractNumId w:val="19"/>
  </w:num>
  <w:num w:numId="19" w16cid:durableId="65805879">
    <w:abstractNumId w:val="14"/>
  </w:num>
  <w:num w:numId="20" w16cid:durableId="1478842930">
    <w:abstractNumId w:val="23"/>
  </w:num>
  <w:num w:numId="21" w16cid:durableId="2074346563">
    <w:abstractNumId w:val="3"/>
  </w:num>
  <w:num w:numId="22" w16cid:durableId="1576234092">
    <w:abstractNumId w:val="11"/>
  </w:num>
  <w:num w:numId="23" w16cid:durableId="1491211889">
    <w:abstractNumId w:val="5"/>
  </w:num>
  <w:num w:numId="24" w16cid:durableId="851652159">
    <w:abstractNumId w:val="21"/>
  </w:num>
  <w:num w:numId="25" w16cid:durableId="346566542">
    <w:abstractNumId w:val="22"/>
  </w:num>
  <w:num w:numId="26" w16cid:durableId="60380935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32"/>
  <w:characterSpacingControl w:val="doNotCompress"/>
  <w:hdrShapeDefaults>
    <o:shapedefaults v:ext="edit" spidmax="2051" fillcolor="none [3212]" strokecolor="none [1614]">
      <v:fill color="none [3212]"/>
      <v:stroke color="none [1614]" weight="1.25pt"/>
      <v:textbox inset="14.4pt,36pt,14.4pt,5.76pt"/>
      <o:colormru v:ext="edit" colors="#f1f0ef,#f9f1eb,#edebe7,#f5f4f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5C"/>
    <w:rsid w:val="00000E15"/>
    <w:rsid w:val="000010D5"/>
    <w:rsid w:val="000013DD"/>
    <w:rsid w:val="00001A51"/>
    <w:rsid w:val="00001CF4"/>
    <w:rsid w:val="000020C2"/>
    <w:rsid w:val="000024B3"/>
    <w:rsid w:val="00003044"/>
    <w:rsid w:val="000043CC"/>
    <w:rsid w:val="0000446D"/>
    <w:rsid w:val="00004FD5"/>
    <w:rsid w:val="00005232"/>
    <w:rsid w:val="00005FE9"/>
    <w:rsid w:val="00006ABC"/>
    <w:rsid w:val="00006C05"/>
    <w:rsid w:val="00007075"/>
    <w:rsid w:val="000070E0"/>
    <w:rsid w:val="00010846"/>
    <w:rsid w:val="00010A26"/>
    <w:rsid w:val="00010DB8"/>
    <w:rsid w:val="00011180"/>
    <w:rsid w:val="000113EF"/>
    <w:rsid w:val="000119D1"/>
    <w:rsid w:val="00011B2A"/>
    <w:rsid w:val="00011C4A"/>
    <w:rsid w:val="00011E07"/>
    <w:rsid w:val="00012158"/>
    <w:rsid w:val="0001290A"/>
    <w:rsid w:val="00013068"/>
    <w:rsid w:val="000134CF"/>
    <w:rsid w:val="000143F4"/>
    <w:rsid w:val="00014FA0"/>
    <w:rsid w:val="000154DE"/>
    <w:rsid w:val="0001559E"/>
    <w:rsid w:val="00015CA0"/>
    <w:rsid w:val="00015D62"/>
    <w:rsid w:val="00015EAE"/>
    <w:rsid w:val="000163B4"/>
    <w:rsid w:val="00016592"/>
    <w:rsid w:val="000169A8"/>
    <w:rsid w:val="000179D8"/>
    <w:rsid w:val="00017F62"/>
    <w:rsid w:val="00017F7E"/>
    <w:rsid w:val="0002097E"/>
    <w:rsid w:val="00020CAB"/>
    <w:rsid w:val="00020CEA"/>
    <w:rsid w:val="000211CB"/>
    <w:rsid w:val="00021538"/>
    <w:rsid w:val="000215BF"/>
    <w:rsid w:val="00021908"/>
    <w:rsid w:val="000220D5"/>
    <w:rsid w:val="0002222D"/>
    <w:rsid w:val="000228EA"/>
    <w:rsid w:val="00022A83"/>
    <w:rsid w:val="0002306C"/>
    <w:rsid w:val="000235BE"/>
    <w:rsid w:val="00023D0C"/>
    <w:rsid w:val="00023F13"/>
    <w:rsid w:val="000242F1"/>
    <w:rsid w:val="0002598C"/>
    <w:rsid w:val="00025F65"/>
    <w:rsid w:val="00026BD4"/>
    <w:rsid w:val="000275CC"/>
    <w:rsid w:val="00027665"/>
    <w:rsid w:val="00027DA2"/>
    <w:rsid w:val="00030244"/>
    <w:rsid w:val="00030EEA"/>
    <w:rsid w:val="00030FF1"/>
    <w:rsid w:val="00031076"/>
    <w:rsid w:val="00031185"/>
    <w:rsid w:val="00032473"/>
    <w:rsid w:val="00033B8B"/>
    <w:rsid w:val="00035227"/>
    <w:rsid w:val="000369E1"/>
    <w:rsid w:val="00036C63"/>
    <w:rsid w:val="00036D40"/>
    <w:rsid w:val="00037BD0"/>
    <w:rsid w:val="00037C31"/>
    <w:rsid w:val="00037CB4"/>
    <w:rsid w:val="00037E20"/>
    <w:rsid w:val="00040E86"/>
    <w:rsid w:val="000411D9"/>
    <w:rsid w:val="00041C23"/>
    <w:rsid w:val="0004222E"/>
    <w:rsid w:val="0004314D"/>
    <w:rsid w:val="00043443"/>
    <w:rsid w:val="00043B9B"/>
    <w:rsid w:val="00043E02"/>
    <w:rsid w:val="00044139"/>
    <w:rsid w:val="00044B50"/>
    <w:rsid w:val="00045442"/>
    <w:rsid w:val="000458AD"/>
    <w:rsid w:val="00045C75"/>
    <w:rsid w:val="0004621A"/>
    <w:rsid w:val="000466A5"/>
    <w:rsid w:val="0004722A"/>
    <w:rsid w:val="00047488"/>
    <w:rsid w:val="000477BB"/>
    <w:rsid w:val="00047C4A"/>
    <w:rsid w:val="00050111"/>
    <w:rsid w:val="0005070E"/>
    <w:rsid w:val="000509AA"/>
    <w:rsid w:val="00050B65"/>
    <w:rsid w:val="00051020"/>
    <w:rsid w:val="00051089"/>
    <w:rsid w:val="000518F3"/>
    <w:rsid w:val="00051922"/>
    <w:rsid w:val="00051998"/>
    <w:rsid w:val="00052664"/>
    <w:rsid w:val="000534E3"/>
    <w:rsid w:val="00053B4B"/>
    <w:rsid w:val="000540B7"/>
    <w:rsid w:val="00054169"/>
    <w:rsid w:val="0005427A"/>
    <w:rsid w:val="00054BB2"/>
    <w:rsid w:val="00054D39"/>
    <w:rsid w:val="00054EE9"/>
    <w:rsid w:val="00055455"/>
    <w:rsid w:val="0005558C"/>
    <w:rsid w:val="00055A7F"/>
    <w:rsid w:val="00055D42"/>
    <w:rsid w:val="00056242"/>
    <w:rsid w:val="00060CD7"/>
    <w:rsid w:val="00060EB5"/>
    <w:rsid w:val="00061793"/>
    <w:rsid w:val="0006193B"/>
    <w:rsid w:val="00061B7F"/>
    <w:rsid w:val="00061CC1"/>
    <w:rsid w:val="000620AA"/>
    <w:rsid w:val="0006259D"/>
    <w:rsid w:val="00062878"/>
    <w:rsid w:val="0006320F"/>
    <w:rsid w:val="0006381F"/>
    <w:rsid w:val="00064992"/>
    <w:rsid w:val="00064A66"/>
    <w:rsid w:val="00064C60"/>
    <w:rsid w:val="000650B0"/>
    <w:rsid w:val="0006537E"/>
    <w:rsid w:val="00066E26"/>
    <w:rsid w:val="0006746F"/>
    <w:rsid w:val="00067783"/>
    <w:rsid w:val="00067B8A"/>
    <w:rsid w:val="00067F5D"/>
    <w:rsid w:val="000701EA"/>
    <w:rsid w:val="00070341"/>
    <w:rsid w:val="0007087D"/>
    <w:rsid w:val="00070EAB"/>
    <w:rsid w:val="00071D76"/>
    <w:rsid w:val="0007222F"/>
    <w:rsid w:val="00072234"/>
    <w:rsid w:val="00072367"/>
    <w:rsid w:val="00073731"/>
    <w:rsid w:val="00073898"/>
    <w:rsid w:val="000739A3"/>
    <w:rsid w:val="00073AB8"/>
    <w:rsid w:val="0007409D"/>
    <w:rsid w:val="00074553"/>
    <w:rsid w:val="0007532E"/>
    <w:rsid w:val="0007645E"/>
    <w:rsid w:val="00077019"/>
    <w:rsid w:val="0007704F"/>
    <w:rsid w:val="000778F2"/>
    <w:rsid w:val="000779C6"/>
    <w:rsid w:val="00077A40"/>
    <w:rsid w:val="000805B1"/>
    <w:rsid w:val="00080A52"/>
    <w:rsid w:val="00080F57"/>
    <w:rsid w:val="00081CEC"/>
    <w:rsid w:val="00081FE7"/>
    <w:rsid w:val="00082136"/>
    <w:rsid w:val="000829C5"/>
    <w:rsid w:val="0008312F"/>
    <w:rsid w:val="000831CA"/>
    <w:rsid w:val="0008344D"/>
    <w:rsid w:val="00083E99"/>
    <w:rsid w:val="0008493B"/>
    <w:rsid w:val="00085288"/>
    <w:rsid w:val="0008552C"/>
    <w:rsid w:val="00085F80"/>
    <w:rsid w:val="0008658A"/>
    <w:rsid w:val="0008663E"/>
    <w:rsid w:val="00086E74"/>
    <w:rsid w:val="00087A1F"/>
    <w:rsid w:val="00087FAB"/>
    <w:rsid w:val="00090A5F"/>
    <w:rsid w:val="00090B48"/>
    <w:rsid w:val="0009107A"/>
    <w:rsid w:val="0009164C"/>
    <w:rsid w:val="0009237B"/>
    <w:rsid w:val="00092861"/>
    <w:rsid w:val="00092BB5"/>
    <w:rsid w:val="00092C7A"/>
    <w:rsid w:val="00092E8D"/>
    <w:rsid w:val="00093EC5"/>
    <w:rsid w:val="0009473C"/>
    <w:rsid w:val="00094E4B"/>
    <w:rsid w:val="00094F12"/>
    <w:rsid w:val="0009523B"/>
    <w:rsid w:val="000953D6"/>
    <w:rsid w:val="0009604E"/>
    <w:rsid w:val="00096080"/>
    <w:rsid w:val="00096B0A"/>
    <w:rsid w:val="00096BD7"/>
    <w:rsid w:val="0009769C"/>
    <w:rsid w:val="00097A0B"/>
    <w:rsid w:val="00097E23"/>
    <w:rsid w:val="000A0096"/>
    <w:rsid w:val="000A148D"/>
    <w:rsid w:val="000A14AE"/>
    <w:rsid w:val="000A2267"/>
    <w:rsid w:val="000A2306"/>
    <w:rsid w:val="000A2357"/>
    <w:rsid w:val="000A25F4"/>
    <w:rsid w:val="000A2A20"/>
    <w:rsid w:val="000A2C08"/>
    <w:rsid w:val="000A331F"/>
    <w:rsid w:val="000A35CE"/>
    <w:rsid w:val="000A37C8"/>
    <w:rsid w:val="000A3B30"/>
    <w:rsid w:val="000A3FEE"/>
    <w:rsid w:val="000A421B"/>
    <w:rsid w:val="000A5011"/>
    <w:rsid w:val="000A5A68"/>
    <w:rsid w:val="000A5BAB"/>
    <w:rsid w:val="000A616E"/>
    <w:rsid w:val="000A7447"/>
    <w:rsid w:val="000A76D7"/>
    <w:rsid w:val="000A79D6"/>
    <w:rsid w:val="000B01F8"/>
    <w:rsid w:val="000B021A"/>
    <w:rsid w:val="000B0720"/>
    <w:rsid w:val="000B078B"/>
    <w:rsid w:val="000B07EC"/>
    <w:rsid w:val="000B0E89"/>
    <w:rsid w:val="000B10D0"/>
    <w:rsid w:val="000B1348"/>
    <w:rsid w:val="000B1CF4"/>
    <w:rsid w:val="000B1E70"/>
    <w:rsid w:val="000B20C4"/>
    <w:rsid w:val="000B22E8"/>
    <w:rsid w:val="000B244B"/>
    <w:rsid w:val="000B2C44"/>
    <w:rsid w:val="000B34E5"/>
    <w:rsid w:val="000B3AAC"/>
    <w:rsid w:val="000B3B92"/>
    <w:rsid w:val="000B3EDC"/>
    <w:rsid w:val="000B4244"/>
    <w:rsid w:val="000B4A85"/>
    <w:rsid w:val="000B5367"/>
    <w:rsid w:val="000B5652"/>
    <w:rsid w:val="000B5B16"/>
    <w:rsid w:val="000B7D52"/>
    <w:rsid w:val="000C014D"/>
    <w:rsid w:val="000C06B1"/>
    <w:rsid w:val="000C10ED"/>
    <w:rsid w:val="000C17B7"/>
    <w:rsid w:val="000C1A3F"/>
    <w:rsid w:val="000C265E"/>
    <w:rsid w:val="000C2C07"/>
    <w:rsid w:val="000C2E1D"/>
    <w:rsid w:val="000C31CD"/>
    <w:rsid w:val="000C328B"/>
    <w:rsid w:val="000C3EC0"/>
    <w:rsid w:val="000C5808"/>
    <w:rsid w:val="000C5BDA"/>
    <w:rsid w:val="000C5EE4"/>
    <w:rsid w:val="000C6420"/>
    <w:rsid w:val="000C7037"/>
    <w:rsid w:val="000C70BB"/>
    <w:rsid w:val="000C70E7"/>
    <w:rsid w:val="000C74AA"/>
    <w:rsid w:val="000C7E11"/>
    <w:rsid w:val="000D0797"/>
    <w:rsid w:val="000D1277"/>
    <w:rsid w:val="000D12E5"/>
    <w:rsid w:val="000D13D1"/>
    <w:rsid w:val="000D1FD5"/>
    <w:rsid w:val="000D237E"/>
    <w:rsid w:val="000D243A"/>
    <w:rsid w:val="000D2B9F"/>
    <w:rsid w:val="000D35B8"/>
    <w:rsid w:val="000D411D"/>
    <w:rsid w:val="000D41A1"/>
    <w:rsid w:val="000D46C1"/>
    <w:rsid w:val="000D492B"/>
    <w:rsid w:val="000D57A1"/>
    <w:rsid w:val="000D5870"/>
    <w:rsid w:val="000D599C"/>
    <w:rsid w:val="000D7167"/>
    <w:rsid w:val="000D7243"/>
    <w:rsid w:val="000D757A"/>
    <w:rsid w:val="000D75F2"/>
    <w:rsid w:val="000D7708"/>
    <w:rsid w:val="000E02D9"/>
    <w:rsid w:val="000E076F"/>
    <w:rsid w:val="000E0BCD"/>
    <w:rsid w:val="000E1517"/>
    <w:rsid w:val="000E160A"/>
    <w:rsid w:val="000E1822"/>
    <w:rsid w:val="000E203C"/>
    <w:rsid w:val="000E26AF"/>
    <w:rsid w:val="000E2B39"/>
    <w:rsid w:val="000E387B"/>
    <w:rsid w:val="000E3A3E"/>
    <w:rsid w:val="000E52BE"/>
    <w:rsid w:val="000E53F6"/>
    <w:rsid w:val="000E5625"/>
    <w:rsid w:val="000E5EF9"/>
    <w:rsid w:val="000E7443"/>
    <w:rsid w:val="000E7878"/>
    <w:rsid w:val="000F0148"/>
    <w:rsid w:val="000F022D"/>
    <w:rsid w:val="000F06F4"/>
    <w:rsid w:val="000F08D9"/>
    <w:rsid w:val="000F0B81"/>
    <w:rsid w:val="000F0BC0"/>
    <w:rsid w:val="000F13B9"/>
    <w:rsid w:val="000F15F2"/>
    <w:rsid w:val="000F18F1"/>
    <w:rsid w:val="000F1D6B"/>
    <w:rsid w:val="000F1E03"/>
    <w:rsid w:val="000F2AEB"/>
    <w:rsid w:val="000F3DE2"/>
    <w:rsid w:val="000F3FA5"/>
    <w:rsid w:val="000F3FDA"/>
    <w:rsid w:val="000F59EC"/>
    <w:rsid w:val="000F6379"/>
    <w:rsid w:val="000F64E5"/>
    <w:rsid w:val="000F66E3"/>
    <w:rsid w:val="000F693F"/>
    <w:rsid w:val="000F75B7"/>
    <w:rsid w:val="00102213"/>
    <w:rsid w:val="0010270B"/>
    <w:rsid w:val="0010296B"/>
    <w:rsid w:val="00103A47"/>
    <w:rsid w:val="00104299"/>
    <w:rsid w:val="00105258"/>
    <w:rsid w:val="0010571F"/>
    <w:rsid w:val="00105FFC"/>
    <w:rsid w:val="00106051"/>
    <w:rsid w:val="00106685"/>
    <w:rsid w:val="001067B7"/>
    <w:rsid w:val="00106B06"/>
    <w:rsid w:val="00107AC0"/>
    <w:rsid w:val="00110ED1"/>
    <w:rsid w:val="00112560"/>
    <w:rsid w:val="00113408"/>
    <w:rsid w:val="0011378E"/>
    <w:rsid w:val="00113D59"/>
    <w:rsid w:val="00113F82"/>
    <w:rsid w:val="0011454E"/>
    <w:rsid w:val="001153F6"/>
    <w:rsid w:val="001157BC"/>
    <w:rsid w:val="00115DFE"/>
    <w:rsid w:val="001162A6"/>
    <w:rsid w:val="00116CEB"/>
    <w:rsid w:val="00117040"/>
    <w:rsid w:val="00117319"/>
    <w:rsid w:val="001174E9"/>
    <w:rsid w:val="001200EA"/>
    <w:rsid w:val="00120A2A"/>
    <w:rsid w:val="00120A52"/>
    <w:rsid w:val="00120BD2"/>
    <w:rsid w:val="00120DCC"/>
    <w:rsid w:val="00120DEF"/>
    <w:rsid w:val="00120F46"/>
    <w:rsid w:val="001213EB"/>
    <w:rsid w:val="0012159A"/>
    <w:rsid w:val="001217DB"/>
    <w:rsid w:val="00122154"/>
    <w:rsid w:val="0012260B"/>
    <w:rsid w:val="00122928"/>
    <w:rsid w:val="00122CAE"/>
    <w:rsid w:val="00122E68"/>
    <w:rsid w:val="00123C6D"/>
    <w:rsid w:val="00123ECE"/>
    <w:rsid w:val="001241E3"/>
    <w:rsid w:val="001242CE"/>
    <w:rsid w:val="001257D0"/>
    <w:rsid w:val="0012597E"/>
    <w:rsid w:val="00125B22"/>
    <w:rsid w:val="0012662B"/>
    <w:rsid w:val="001274BD"/>
    <w:rsid w:val="00127713"/>
    <w:rsid w:val="00130081"/>
    <w:rsid w:val="00130224"/>
    <w:rsid w:val="00130386"/>
    <w:rsid w:val="00130A45"/>
    <w:rsid w:val="00131A8B"/>
    <w:rsid w:val="00132040"/>
    <w:rsid w:val="00132315"/>
    <w:rsid w:val="00132531"/>
    <w:rsid w:val="00132584"/>
    <w:rsid w:val="00133447"/>
    <w:rsid w:val="00133775"/>
    <w:rsid w:val="001337B3"/>
    <w:rsid w:val="00133A87"/>
    <w:rsid w:val="0013502C"/>
    <w:rsid w:val="001350A6"/>
    <w:rsid w:val="001354A4"/>
    <w:rsid w:val="00135760"/>
    <w:rsid w:val="00135F24"/>
    <w:rsid w:val="0013675C"/>
    <w:rsid w:val="00136F83"/>
    <w:rsid w:val="00137591"/>
    <w:rsid w:val="00137D36"/>
    <w:rsid w:val="0014075C"/>
    <w:rsid w:val="00140BD1"/>
    <w:rsid w:val="00140EF2"/>
    <w:rsid w:val="001411ED"/>
    <w:rsid w:val="001413DB"/>
    <w:rsid w:val="00141BB5"/>
    <w:rsid w:val="00141BB9"/>
    <w:rsid w:val="001428BA"/>
    <w:rsid w:val="00142B22"/>
    <w:rsid w:val="00142BB8"/>
    <w:rsid w:val="00142FD4"/>
    <w:rsid w:val="001430BF"/>
    <w:rsid w:val="00143C71"/>
    <w:rsid w:val="00143D46"/>
    <w:rsid w:val="001440AB"/>
    <w:rsid w:val="00144A97"/>
    <w:rsid w:val="00146C06"/>
    <w:rsid w:val="00146C4D"/>
    <w:rsid w:val="00146D3A"/>
    <w:rsid w:val="00146D6A"/>
    <w:rsid w:val="00147BFF"/>
    <w:rsid w:val="0015055E"/>
    <w:rsid w:val="00150A09"/>
    <w:rsid w:val="00150EDB"/>
    <w:rsid w:val="00151170"/>
    <w:rsid w:val="00152761"/>
    <w:rsid w:val="00152D2A"/>
    <w:rsid w:val="0015314B"/>
    <w:rsid w:val="00153FC0"/>
    <w:rsid w:val="00154135"/>
    <w:rsid w:val="00154AF5"/>
    <w:rsid w:val="00154EC1"/>
    <w:rsid w:val="0015520E"/>
    <w:rsid w:val="00155BED"/>
    <w:rsid w:val="00155F02"/>
    <w:rsid w:val="00155F98"/>
    <w:rsid w:val="001564FE"/>
    <w:rsid w:val="00156825"/>
    <w:rsid w:val="001568F1"/>
    <w:rsid w:val="00157023"/>
    <w:rsid w:val="001579A9"/>
    <w:rsid w:val="0016073C"/>
    <w:rsid w:val="00161EC5"/>
    <w:rsid w:val="00162057"/>
    <w:rsid w:val="00162313"/>
    <w:rsid w:val="0016318A"/>
    <w:rsid w:val="0016320F"/>
    <w:rsid w:val="00163D88"/>
    <w:rsid w:val="00164B72"/>
    <w:rsid w:val="00164BF5"/>
    <w:rsid w:val="00164E85"/>
    <w:rsid w:val="00164EDE"/>
    <w:rsid w:val="001652B2"/>
    <w:rsid w:val="0016537D"/>
    <w:rsid w:val="00165DAB"/>
    <w:rsid w:val="00165E73"/>
    <w:rsid w:val="00166104"/>
    <w:rsid w:val="001668E0"/>
    <w:rsid w:val="0016742C"/>
    <w:rsid w:val="00167A11"/>
    <w:rsid w:val="00167C5C"/>
    <w:rsid w:val="001705D5"/>
    <w:rsid w:val="00170748"/>
    <w:rsid w:val="0017087C"/>
    <w:rsid w:val="00170E03"/>
    <w:rsid w:val="00171E43"/>
    <w:rsid w:val="0017218E"/>
    <w:rsid w:val="00172E10"/>
    <w:rsid w:val="00172F69"/>
    <w:rsid w:val="001733CE"/>
    <w:rsid w:val="001735A9"/>
    <w:rsid w:val="001735D3"/>
    <w:rsid w:val="001736B8"/>
    <w:rsid w:val="00173C56"/>
    <w:rsid w:val="00173E56"/>
    <w:rsid w:val="00174BD1"/>
    <w:rsid w:val="00174ED0"/>
    <w:rsid w:val="00174FA8"/>
    <w:rsid w:val="00175474"/>
    <w:rsid w:val="001759DA"/>
    <w:rsid w:val="00176146"/>
    <w:rsid w:val="00176B52"/>
    <w:rsid w:val="00177AA8"/>
    <w:rsid w:val="00177EE2"/>
    <w:rsid w:val="001819E8"/>
    <w:rsid w:val="00181C5A"/>
    <w:rsid w:val="00183785"/>
    <w:rsid w:val="00183D41"/>
    <w:rsid w:val="00184874"/>
    <w:rsid w:val="00184D79"/>
    <w:rsid w:val="00185A41"/>
    <w:rsid w:val="00185B09"/>
    <w:rsid w:val="00186166"/>
    <w:rsid w:val="001868DA"/>
    <w:rsid w:val="001871C7"/>
    <w:rsid w:val="00187DF9"/>
    <w:rsid w:val="00190352"/>
    <w:rsid w:val="00190881"/>
    <w:rsid w:val="00190948"/>
    <w:rsid w:val="00191781"/>
    <w:rsid w:val="0019370A"/>
    <w:rsid w:val="00193EC3"/>
    <w:rsid w:val="00194507"/>
    <w:rsid w:val="00194D72"/>
    <w:rsid w:val="0019545B"/>
    <w:rsid w:val="001957BA"/>
    <w:rsid w:val="00195BA8"/>
    <w:rsid w:val="00195E11"/>
    <w:rsid w:val="00195E57"/>
    <w:rsid w:val="001962D4"/>
    <w:rsid w:val="00196366"/>
    <w:rsid w:val="0019637D"/>
    <w:rsid w:val="0019675B"/>
    <w:rsid w:val="00196F22"/>
    <w:rsid w:val="001979A5"/>
    <w:rsid w:val="00197EA3"/>
    <w:rsid w:val="001A0262"/>
    <w:rsid w:val="001A02A7"/>
    <w:rsid w:val="001A098E"/>
    <w:rsid w:val="001A10B3"/>
    <w:rsid w:val="001A1733"/>
    <w:rsid w:val="001A1AAB"/>
    <w:rsid w:val="001A26B4"/>
    <w:rsid w:val="001A298A"/>
    <w:rsid w:val="001A29B6"/>
    <w:rsid w:val="001A3CC1"/>
    <w:rsid w:val="001A3CD0"/>
    <w:rsid w:val="001A3F2D"/>
    <w:rsid w:val="001A4166"/>
    <w:rsid w:val="001A420C"/>
    <w:rsid w:val="001A4322"/>
    <w:rsid w:val="001A43AF"/>
    <w:rsid w:val="001A56F3"/>
    <w:rsid w:val="001A70E4"/>
    <w:rsid w:val="001A7379"/>
    <w:rsid w:val="001A7F09"/>
    <w:rsid w:val="001B08EA"/>
    <w:rsid w:val="001B1B43"/>
    <w:rsid w:val="001B1F6A"/>
    <w:rsid w:val="001B22E9"/>
    <w:rsid w:val="001B27D2"/>
    <w:rsid w:val="001B2D6E"/>
    <w:rsid w:val="001B3046"/>
    <w:rsid w:val="001B310E"/>
    <w:rsid w:val="001B3BBA"/>
    <w:rsid w:val="001B46BA"/>
    <w:rsid w:val="001B4D24"/>
    <w:rsid w:val="001B55BA"/>
    <w:rsid w:val="001B5C4A"/>
    <w:rsid w:val="001B68E1"/>
    <w:rsid w:val="001B69EC"/>
    <w:rsid w:val="001B6F00"/>
    <w:rsid w:val="001B7F7E"/>
    <w:rsid w:val="001C01DD"/>
    <w:rsid w:val="001C08C8"/>
    <w:rsid w:val="001C0ECE"/>
    <w:rsid w:val="001C0F6A"/>
    <w:rsid w:val="001C1895"/>
    <w:rsid w:val="001C1DA0"/>
    <w:rsid w:val="001C1E34"/>
    <w:rsid w:val="001C2AB3"/>
    <w:rsid w:val="001C2B4E"/>
    <w:rsid w:val="001C305E"/>
    <w:rsid w:val="001C44C5"/>
    <w:rsid w:val="001C5010"/>
    <w:rsid w:val="001C556D"/>
    <w:rsid w:val="001C5AB1"/>
    <w:rsid w:val="001C5C48"/>
    <w:rsid w:val="001C5D32"/>
    <w:rsid w:val="001C5E08"/>
    <w:rsid w:val="001C6681"/>
    <w:rsid w:val="001C6B00"/>
    <w:rsid w:val="001C7449"/>
    <w:rsid w:val="001C7CEF"/>
    <w:rsid w:val="001C7FB1"/>
    <w:rsid w:val="001D03C0"/>
    <w:rsid w:val="001D09FA"/>
    <w:rsid w:val="001D0EFF"/>
    <w:rsid w:val="001D111C"/>
    <w:rsid w:val="001D2EA8"/>
    <w:rsid w:val="001D338C"/>
    <w:rsid w:val="001D3AF4"/>
    <w:rsid w:val="001D3BD0"/>
    <w:rsid w:val="001D3C3D"/>
    <w:rsid w:val="001D3E9B"/>
    <w:rsid w:val="001D42B6"/>
    <w:rsid w:val="001D4729"/>
    <w:rsid w:val="001D49E9"/>
    <w:rsid w:val="001D4B0C"/>
    <w:rsid w:val="001D4F9F"/>
    <w:rsid w:val="001D51B0"/>
    <w:rsid w:val="001D5225"/>
    <w:rsid w:val="001D551A"/>
    <w:rsid w:val="001D5890"/>
    <w:rsid w:val="001D6072"/>
    <w:rsid w:val="001D6422"/>
    <w:rsid w:val="001D6AF5"/>
    <w:rsid w:val="001D6DFF"/>
    <w:rsid w:val="001D7D94"/>
    <w:rsid w:val="001E0939"/>
    <w:rsid w:val="001E0E8D"/>
    <w:rsid w:val="001E1306"/>
    <w:rsid w:val="001E1B27"/>
    <w:rsid w:val="001E1DED"/>
    <w:rsid w:val="001E25C4"/>
    <w:rsid w:val="001E260A"/>
    <w:rsid w:val="001E2801"/>
    <w:rsid w:val="001E2D94"/>
    <w:rsid w:val="001E3046"/>
    <w:rsid w:val="001E3570"/>
    <w:rsid w:val="001E4458"/>
    <w:rsid w:val="001E48BA"/>
    <w:rsid w:val="001E4F4B"/>
    <w:rsid w:val="001E5755"/>
    <w:rsid w:val="001E5890"/>
    <w:rsid w:val="001E5DD6"/>
    <w:rsid w:val="001E5F21"/>
    <w:rsid w:val="001E6323"/>
    <w:rsid w:val="001E65FE"/>
    <w:rsid w:val="001E6936"/>
    <w:rsid w:val="001E6BF5"/>
    <w:rsid w:val="001E6E3C"/>
    <w:rsid w:val="001E7AFF"/>
    <w:rsid w:val="001F0C79"/>
    <w:rsid w:val="001F0E32"/>
    <w:rsid w:val="001F166B"/>
    <w:rsid w:val="001F1812"/>
    <w:rsid w:val="001F18DB"/>
    <w:rsid w:val="001F1CA8"/>
    <w:rsid w:val="001F2517"/>
    <w:rsid w:val="001F2930"/>
    <w:rsid w:val="001F2B27"/>
    <w:rsid w:val="001F369F"/>
    <w:rsid w:val="001F39B4"/>
    <w:rsid w:val="001F3EAD"/>
    <w:rsid w:val="001F437E"/>
    <w:rsid w:val="001F481A"/>
    <w:rsid w:val="001F48C8"/>
    <w:rsid w:val="001F4919"/>
    <w:rsid w:val="001F645E"/>
    <w:rsid w:val="001F6E5B"/>
    <w:rsid w:val="001F792B"/>
    <w:rsid w:val="001F7B0B"/>
    <w:rsid w:val="001F7B25"/>
    <w:rsid w:val="0020044B"/>
    <w:rsid w:val="0020062E"/>
    <w:rsid w:val="00200FC9"/>
    <w:rsid w:val="002011C2"/>
    <w:rsid w:val="002026A7"/>
    <w:rsid w:val="002026DE"/>
    <w:rsid w:val="00202842"/>
    <w:rsid w:val="00202845"/>
    <w:rsid w:val="00203611"/>
    <w:rsid w:val="00203847"/>
    <w:rsid w:val="00204367"/>
    <w:rsid w:val="00204499"/>
    <w:rsid w:val="0020493C"/>
    <w:rsid w:val="002052DC"/>
    <w:rsid w:val="00205BC9"/>
    <w:rsid w:val="00206207"/>
    <w:rsid w:val="00206C2F"/>
    <w:rsid w:val="00206FD3"/>
    <w:rsid w:val="002070EA"/>
    <w:rsid w:val="0021043B"/>
    <w:rsid w:val="00210929"/>
    <w:rsid w:val="00210C15"/>
    <w:rsid w:val="00210C6C"/>
    <w:rsid w:val="002111BF"/>
    <w:rsid w:val="00211B0D"/>
    <w:rsid w:val="0021202E"/>
    <w:rsid w:val="002122CB"/>
    <w:rsid w:val="00212343"/>
    <w:rsid w:val="002124E4"/>
    <w:rsid w:val="00212962"/>
    <w:rsid w:val="00212B07"/>
    <w:rsid w:val="002134B4"/>
    <w:rsid w:val="00213C3B"/>
    <w:rsid w:val="0021403C"/>
    <w:rsid w:val="002141AC"/>
    <w:rsid w:val="002149DA"/>
    <w:rsid w:val="00214E93"/>
    <w:rsid w:val="00214FB5"/>
    <w:rsid w:val="00215398"/>
    <w:rsid w:val="00216079"/>
    <w:rsid w:val="0021684E"/>
    <w:rsid w:val="0021687F"/>
    <w:rsid w:val="00217866"/>
    <w:rsid w:val="00220781"/>
    <w:rsid w:val="00220AE4"/>
    <w:rsid w:val="002218DB"/>
    <w:rsid w:val="002219A3"/>
    <w:rsid w:val="00222407"/>
    <w:rsid w:val="00222893"/>
    <w:rsid w:val="00222C83"/>
    <w:rsid w:val="0022463B"/>
    <w:rsid w:val="00224AA1"/>
    <w:rsid w:val="00224FC2"/>
    <w:rsid w:val="0022562E"/>
    <w:rsid w:val="00225C49"/>
    <w:rsid w:val="00225E49"/>
    <w:rsid w:val="00225FF6"/>
    <w:rsid w:val="002272E8"/>
    <w:rsid w:val="002275BD"/>
    <w:rsid w:val="00227EB1"/>
    <w:rsid w:val="00230288"/>
    <w:rsid w:val="00230517"/>
    <w:rsid w:val="00230A1F"/>
    <w:rsid w:val="00230A85"/>
    <w:rsid w:val="00230C63"/>
    <w:rsid w:val="00230E43"/>
    <w:rsid w:val="00231423"/>
    <w:rsid w:val="00232C40"/>
    <w:rsid w:val="0023319A"/>
    <w:rsid w:val="002347DB"/>
    <w:rsid w:val="0023772D"/>
    <w:rsid w:val="00240276"/>
    <w:rsid w:val="002402C9"/>
    <w:rsid w:val="00241BE4"/>
    <w:rsid w:val="00242020"/>
    <w:rsid w:val="0024214D"/>
    <w:rsid w:val="00243137"/>
    <w:rsid w:val="0024353A"/>
    <w:rsid w:val="00243EA4"/>
    <w:rsid w:val="00243F83"/>
    <w:rsid w:val="00244380"/>
    <w:rsid w:val="00244387"/>
    <w:rsid w:val="0024494B"/>
    <w:rsid w:val="00244E14"/>
    <w:rsid w:val="00246806"/>
    <w:rsid w:val="00246E24"/>
    <w:rsid w:val="0024741C"/>
    <w:rsid w:val="00247634"/>
    <w:rsid w:val="002478BE"/>
    <w:rsid w:val="00247AB4"/>
    <w:rsid w:val="00250059"/>
    <w:rsid w:val="00250A86"/>
    <w:rsid w:val="00252F28"/>
    <w:rsid w:val="00252F30"/>
    <w:rsid w:val="0025419A"/>
    <w:rsid w:val="00254E24"/>
    <w:rsid w:val="00255A9B"/>
    <w:rsid w:val="00256A45"/>
    <w:rsid w:val="00256BF5"/>
    <w:rsid w:val="002570D6"/>
    <w:rsid w:val="002572B0"/>
    <w:rsid w:val="00257CF7"/>
    <w:rsid w:val="0026010A"/>
    <w:rsid w:val="002603F7"/>
    <w:rsid w:val="00260BD9"/>
    <w:rsid w:val="00260D8A"/>
    <w:rsid w:val="00260E79"/>
    <w:rsid w:val="00261359"/>
    <w:rsid w:val="00261755"/>
    <w:rsid w:val="00262393"/>
    <w:rsid w:val="002626E1"/>
    <w:rsid w:val="00262DCD"/>
    <w:rsid w:val="00262E5B"/>
    <w:rsid w:val="00262FB8"/>
    <w:rsid w:val="00263859"/>
    <w:rsid w:val="00263950"/>
    <w:rsid w:val="00263F1F"/>
    <w:rsid w:val="002643F9"/>
    <w:rsid w:val="00264D9F"/>
    <w:rsid w:val="00265432"/>
    <w:rsid w:val="00265DF3"/>
    <w:rsid w:val="002660D7"/>
    <w:rsid w:val="00266264"/>
    <w:rsid w:val="002662A0"/>
    <w:rsid w:val="00266690"/>
    <w:rsid w:val="002666D7"/>
    <w:rsid w:val="00267275"/>
    <w:rsid w:val="0026741B"/>
    <w:rsid w:val="00267E75"/>
    <w:rsid w:val="00270511"/>
    <w:rsid w:val="00270E08"/>
    <w:rsid w:val="00272190"/>
    <w:rsid w:val="002732D6"/>
    <w:rsid w:val="002733A2"/>
    <w:rsid w:val="00274284"/>
    <w:rsid w:val="00274D8A"/>
    <w:rsid w:val="00274DE4"/>
    <w:rsid w:val="00275D3C"/>
    <w:rsid w:val="002761F4"/>
    <w:rsid w:val="002762BC"/>
    <w:rsid w:val="002763D8"/>
    <w:rsid w:val="00276779"/>
    <w:rsid w:val="00276A4D"/>
    <w:rsid w:val="00276CA5"/>
    <w:rsid w:val="00280FDF"/>
    <w:rsid w:val="002814AE"/>
    <w:rsid w:val="002819B0"/>
    <w:rsid w:val="00283498"/>
    <w:rsid w:val="002840FD"/>
    <w:rsid w:val="00284980"/>
    <w:rsid w:val="0028571F"/>
    <w:rsid w:val="002859C6"/>
    <w:rsid w:val="002860C6"/>
    <w:rsid w:val="00286526"/>
    <w:rsid w:val="00286B1B"/>
    <w:rsid w:val="00287065"/>
    <w:rsid w:val="002879D6"/>
    <w:rsid w:val="00287FE0"/>
    <w:rsid w:val="00290004"/>
    <w:rsid w:val="00290612"/>
    <w:rsid w:val="00291805"/>
    <w:rsid w:val="00291FEE"/>
    <w:rsid w:val="0029208D"/>
    <w:rsid w:val="00292A8E"/>
    <w:rsid w:val="002932D1"/>
    <w:rsid w:val="00293DF9"/>
    <w:rsid w:val="00295BF6"/>
    <w:rsid w:val="00295DD6"/>
    <w:rsid w:val="00296041"/>
    <w:rsid w:val="00296708"/>
    <w:rsid w:val="00296856"/>
    <w:rsid w:val="002968E8"/>
    <w:rsid w:val="0029703A"/>
    <w:rsid w:val="002972EC"/>
    <w:rsid w:val="00297494"/>
    <w:rsid w:val="00297497"/>
    <w:rsid w:val="002974BD"/>
    <w:rsid w:val="002A1397"/>
    <w:rsid w:val="002A2192"/>
    <w:rsid w:val="002A24CD"/>
    <w:rsid w:val="002A2C2A"/>
    <w:rsid w:val="002A2C2D"/>
    <w:rsid w:val="002A43D9"/>
    <w:rsid w:val="002A4CB3"/>
    <w:rsid w:val="002A4EC9"/>
    <w:rsid w:val="002A5576"/>
    <w:rsid w:val="002A565F"/>
    <w:rsid w:val="002A5E46"/>
    <w:rsid w:val="002A6233"/>
    <w:rsid w:val="002A6341"/>
    <w:rsid w:val="002A6511"/>
    <w:rsid w:val="002A6A52"/>
    <w:rsid w:val="002A7B69"/>
    <w:rsid w:val="002A7BB3"/>
    <w:rsid w:val="002B076E"/>
    <w:rsid w:val="002B0913"/>
    <w:rsid w:val="002B0A99"/>
    <w:rsid w:val="002B0EBD"/>
    <w:rsid w:val="002B11AF"/>
    <w:rsid w:val="002B2196"/>
    <w:rsid w:val="002B26E0"/>
    <w:rsid w:val="002B352F"/>
    <w:rsid w:val="002B366A"/>
    <w:rsid w:val="002B3D78"/>
    <w:rsid w:val="002B3DB4"/>
    <w:rsid w:val="002B4ADD"/>
    <w:rsid w:val="002B5BDD"/>
    <w:rsid w:val="002B6355"/>
    <w:rsid w:val="002B6C46"/>
    <w:rsid w:val="002B7780"/>
    <w:rsid w:val="002B78D0"/>
    <w:rsid w:val="002C0A4D"/>
    <w:rsid w:val="002C0D54"/>
    <w:rsid w:val="002C110D"/>
    <w:rsid w:val="002C23B7"/>
    <w:rsid w:val="002C2BD0"/>
    <w:rsid w:val="002C3089"/>
    <w:rsid w:val="002C3276"/>
    <w:rsid w:val="002C366A"/>
    <w:rsid w:val="002C3965"/>
    <w:rsid w:val="002C479D"/>
    <w:rsid w:val="002C4B6B"/>
    <w:rsid w:val="002C50A5"/>
    <w:rsid w:val="002C5417"/>
    <w:rsid w:val="002C66E4"/>
    <w:rsid w:val="002C699D"/>
    <w:rsid w:val="002C6E08"/>
    <w:rsid w:val="002C7D92"/>
    <w:rsid w:val="002D0F3E"/>
    <w:rsid w:val="002D115E"/>
    <w:rsid w:val="002D1208"/>
    <w:rsid w:val="002D1AB8"/>
    <w:rsid w:val="002D1D6E"/>
    <w:rsid w:val="002D2294"/>
    <w:rsid w:val="002D3ED7"/>
    <w:rsid w:val="002D4AD6"/>
    <w:rsid w:val="002D6DD8"/>
    <w:rsid w:val="002D6EDD"/>
    <w:rsid w:val="002D7BD3"/>
    <w:rsid w:val="002D7C6A"/>
    <w:rsid w:val="002E0097"/>
    <w:rsid w:val="002E096A"/>
    <w:rsid w:val="002E0B91"/>
    <w:rsid w:val="002E0CDE"/>
    <w:rsid w:val="002E103B"/>
    <w:rsid w:val="002E2315"/>
    <w:rsid w:val="002E25AB"/>
    <w:rsid w:val="002E285E"/>
    <w:rsid w:val="002E28B4"/>
    <w:rsid w:val="002E2C9D"/>
    <w:rsid w:val="002E3A09"/>
    <w:rsid w:val="002E3D02"/>
    <w:rsid w:val="002E4077"/>
    <w:rsid w:val="002E47FC"/>
    <w:rsid w:val="002E5DA1"/>
    <w:rsid w:val="002E5FBD"/>
    <w:rsid w:val="002E657F"/>
    <w:rsid w:val="002E66AD"/>
    <w:rsid w:val="002E68EB"/>
    <w:rsid w:val="002E7BB0"/>
    <w:rsid w:val="002F17CE"/>
    <w:rsid w:val="002F17F3"/>
    <w:rsid w:val="002F2E8B"/>
    <w:rsid w:val="002F3294"/>
    <w:rsid w:val="002F32D8"/>
    <w:rsid w:val="002F3B4D"/>
    <w:rsid w:val="002F3EFC"/>
    <w:rsid w:val="002F3F1A"/>
    <w:rsid w:val="002F56DC"/>
    <w:rsid w:val="002F5EF8"/>
    <w:rsid w:val="002F73D8"/>
    <w:rsid w:val="002F7EB4"/>
    <w:rsid w:val="003001D3"/>
    <w:rsid w:val="0030124D"/>
    <w:rsid w:val="00301A7A"/>
    <w:rsid w:val="0030229E"/>
    <w:rsid w:val="0030274D"/>
    <w:rsid w:val="00302AEB"/>
    <w:rsid w:val="003034B0"/>
    <w:rsid w:val="003039CD"/>
    <w:rsid w:val="0030450A"/>
    <w:rsid w:val="00304B4C"/>
    <w:rsid w:val="0030526A"/>
    <w:rsid w:val="003055C4"/>
    <w:rsid w:val="00305A27"/>
    <w:rsid w:val="00305D61"/>
    <w:rsid w:val="00306F71"/>
    <w:rsid w:val="00307CF7"/>
    <w:rsid w:val="00307FB2"/>
    <w:rsid w:val="0031022C"/>
    <w:rsid w:val="00310925"/>
    <w:rsid w:val="00311A43"/>
    <w:rsid w:val="00311A92"/>
    <w:rsid w:val="00313471"/>
    <w:rsid w:val="0031354C"/>
    <w:rsid w:val="0031364F"/>
    <w:rsid w:val="0031371B"/>
    <w:rsid w:val="00313E5E"/>
    <w:rsid w:val="00313F5F"/>
    <w:rsid w:val="00315A10"/>
    <w:rsid w:val="00315E6C"/>
    <w:rsid w:val="0031671D"/>
    <w:rsid w:val="00316847"/>
    <w:rsid w:val="003177FD"/>
    <w:rsid w:val="003179AA"/>
    <w:rsid w:val="00317B2B"/>
    <w:rsid w:val="00317DEE"/>
    <w:rsid w:val="003204F3"/>
    <w:rsid w:val="003211AA"/>
    <w:rsid w:val="0032144B"/>
    <w:rsid w:val="003217EA"/>
    <w:rsid w:val="00321D8B"/>
    <w:rsid w:val="00321DB3"/>
    <w:rsid w:val="003229DA"/>
    <w:rsid w:val="00323128"/>
    <w:rsid w:val="0032327D"/>
    <w:rsid w:val="00323DD4"/>
    <w:rsid w:val="0032441A"/>
    <w:rsid w:val="003251B0"/>
    <w:rsid w:val="003255B4"/>
    <w:rsid w:val="0032645D"/>
    <w:rsid w:val="00326525"/>
    <w:rsid w:val="00326D6F"/>
    <w:rsid w:val="003276BD"/>
    <w:rsid w:val="00330101"/>
    <w:rsid w:val="003301BF"/>
    <w:rsid w:val="003310AE"/>
    <w:rsid w:val="00331176"/>
    <w:rsid w:val="0033200C"/>
    <w:rsid w:val="003339F1"/>
    <w:rsid w:val="0033492A"/>
    <w:rsid w:val="0033545F"/>
    <w:rsid w:val="003363FE"/>
    <w:rsid w:val="00336DEF"/>
    <w:rsid w:val="00337324"/>
    <w:rsid w:val="0033750A"/>
    <w:rsid w:val="003379A2"/>
    <w:rsid w:val="00337E97"/>
    <w:rsid w:val="00340188"/>
    <w:rsid w:val="003404D1"/>
    <w:rsid w:val="00340FB5"/>
    <w:rsid w:val="00341148"/>
    <w:rsid w:val="00341227"/>
    <w:rsid w:val="0034191A"/>
    <w:rsid w:val="00341FA8"/>
    <w:rsid w:val="00342A67"/>
    <w:rsid w:val="00343987"/>
    <w:rsid w:val="00343F4B"/>
    <w:rsid w:val="00344256"/>
    <w:rsid w:val="003452D9"/>
    <w:rsid w:val="00345403"/>
    <w:rsid w:val="00346BA5"/>
    <w:rsid w:val="00346BEB"/>
    <w:rsid w:val="00347C27"/>
    <w:rsid w:val="0035038C"/>
    <w:rsid w:val="003513EF"/>
    <w:rsid w:val="00352080"/>
    <w:rsid w:val="003521FB"/>
    <w:rsid w:val="0035239D"/>
    <w:rsid w:val="00352D1C"/>
    <w:rsid w:val="0035305F"/>
    <w:rsid w:val="00353BCC"/>
    <w:rsid w:val="003542CC"/>
    <w:rsid w:val="003550D2"/>
    <w:rsid w:val="00355DD8"/>
    <w:rsid w:val="00355EBE"/>
    <w:rsid w:val="00357303"/>
    <w:rsid w:val="0035748E"/>
    <w:rsid w:val="00357A91"/>
    <w:rsid w:val="00357F38"/>
    <w:rsid w:val="00357F60"/>
    <w:rsid w:val="0036056D"/>
    <w:rsid w:val="00361AA1"/>
    <w:rsid w:val="00361E2E"/>
    <w:rsid w:val="003626C0"/>
    <w:rsid w:val="00362E9F"/>
    <w:rsid w:val="00363000"/>
    <w:rsid w:val="0036456E"/>
    <w:rsid w:val="00364B39"/>
    <w:rsid w:val="00365886"/>
    <w:rsid w:val="00365A06"/>
    <w:rsid w:val="00365F37"/>
    <w:rsid w:val="003669C3"/>
    <w:rsid w:val="00366EA3"/>
    <w:rsid w:val="00370DFD"/>
    <w:rsid w:val="003712A8"/>
    <w:rsid w:val="003721B8"/>
    <w:rsid w:val="003723A3"/>
    <w:rsid w:val="003736FD"/>
    <w:rsid w:val="00376949"/>
    <w:rsid w:val="003770F1"/>
    <w:rsid w:val="0038010C"/>
    <w:rsid w:val="00380325"/>
    <w:rsid w:val="003803F5"/>
    <w:rsid w:val="003807F1"/>
    <w:rsid w:val="0038209D"/>
    <w:rsid w:val="00382490"/>
    <w:rsid w:val="00382AC9"/>
    <w:rsid w:val="003830C0"/>
    <w:rsid w:val="00383251"/>
    <w:rsid w:val="00383C18"/>
    <w:rsid w:val="00383C2A"/>
    <w:rsid w:val="00384243"/>
    <w:rsid w:val="00384255"/>
    <w:rsid w:val="00384892"/>
    <w:rsid w:val="00385916"/>
    <w:rsid w:val="00385969"/>
    <w:rsid w:val="00386156"/>
    <w:rsid w:val="0038664F"/>
    <w:rsid w:val="00386892"/>
    <w:rsid w:val="00386BCF"/>
    <w:rsid w:val="00386D45"/>
    <w:rsid w:val="003871E1"/>
    <w:rsid w:val="003872B0"/>
    <w:rsid w:val="003901C1"/>
    <w:rsid w:val="0039028D"/>
    <w:rsid w:val="003907D7"/>
    <w:rsid w:val="003907DE"/>
    <w:rsid w:val="0039138D"/>
    <w:rsid w:val="0039153E"/>
    <w:rsid w:val="003915FF"/>
    <w:rsid w:val="0039195B"/>
    <w:rsid w:val="00391F7D"/>
    <w:rsid w:val="00391FAF"/>
    <w:rsid w:val="00392065"/>
    <w:rsid w:val="00392E65"/>
    <w:rsid w:val="00392ECA"/>
    <w:rsid w:val="00392F3C"/>
    <w:rsid w:val="00393E01"/>
    <w:rsid w:val="00396174"/>
    <w:rsid w:val="00396237"/>
    <w:rsid w:val="003962E5"/>
    <w:rsid w:val="00396561"/>
    <w:rsid w:val="00396907"/>
    <w:rsid w:val="00396A45"/>
    <w:rsid w:val="00396DBA"/>
    <w:rsid w:val="00396ED4"/>
    <w:rsid w:val="0039763B"/>
    <w:rsid w:val="003A05AD"/>
    <w:rsid w:val="003A07A8"/>
    <w:rsid w:val="003A16E2"/>
    <w:rsid w:val="003A1891"/>
    <w:rsid w:val="003A19B6"/>
    <w:rsid w:val="003A1C2F"/>
    <w:rsid w:val="003A1E36"/>
    <w:rsid w:val="003A2404"/>
    <w:rsid w:val="003A393F"/>
    <w:rsid w:val="003A40A3"/>
    <w:rsid w:val="003A5090"/>
    <w:rsid w:val="003A50A1"/>
    <w:rsid w:val="003A56F9"/>
    <w:rsid w:val="003A57D3"/>
    <w:rsid w:val="003A69AF"/>
    <w:rsid w:val="003A7CB2"/>
    <w:rsid w:val="003B0040"/>
    <w:rsid w:val="003B0A78"/>
    <w:rsid w:val="003B0DBA"/>
    <w:rsid w:val="003B108F"/>
    <w:rsid w:val="003B1217"/>
    <w:rsid w:val="003B2FB2"/>
    <w:rsid w:val="003B3671"/>
    <w:rsid w:val="003B3B72"/>
    <w:rsid w:val="003B471B"/>
    <w:rsid w:val="003B4748"/>
    <w:rsid w:val="003B4842"/>
    <w:rsid w:val="003B4A1E"/>
    <w:rsid w:val="003B4B42"/>
    <w:rsid w:val="003B4BCF"/>
    <w:rsid w:val="003B4C7D"/>
    <w:rsid w:val="003B4CE3"/>
    <w:rsid w:val="003B5496"/>
    <w:rsid w:val="003B5548"/>
    <w:rsid w:val="003B5A83"/>
    <w:rsid w:val="003B5AE7"/>
    <w:rsid w:val="003B6E08"/>
    <w:rsid w:val="003B7D6B"/>
    <w:rsid w:val="003C008A"/>
    <w:rsid w:val="003C043B"/>
    <w:rsid w:val="003C05BF"/>
    <w:rsid w:val="003C1920"/>
    <w:rsid w:val="003C1F7A"/>
    <w:rsid w:val="003C2121"/>
    <w:rsid w:val="003C22C7"/>
    <w:rsid w:val="003C2531"/>
    <w:rsid w:val="003C34E4"/>
    <w:rsid w:val="003C38A8"/>
    <w:rsid w:val="003C3D1F"/>
    <w:rsid w:val="003C3DD3"/>
    <w:rsid w:val="003C3E46"/>
    <w:rsid w:val="003C40A7"/>
    <w:rsid w:val="003C47C9"/>
    <w:rsid w:val="003C4BB5"/>
    <w:rsid w:val="003C5FFB"/>
    <w:rsid w:val="003C6534"/>
    <w:rsid w:val="003C6841"/>
    <w:rsid w:val="003C702E"/>
    <w:rsid w:val="003C76F7"/>
    <w:rsid w:val="003C7E7A"/>
    <w:rsid w:val="003C7EC9"/>
    <w:rsid w:val="003D10DA"/>
    <w:rsid w:val="003D182B"/>
    <w:rsid w:val="003D184A"/>
    <w:rsid w:val="003D1A73"/>
    <w:rsid w:val="003D1C4E"/>
    <w:rsid w:val="003D1FF2"/>
    <w:rsid w:val="003D2AAD"/>
    <w:rsid w:val="003D3167"/>
    <w:rsid w:val="003D3484"/>
    <w:rsid w:val="003D35B6"/>
    <w:rsid w:val="003D3901"/>
    <w:rsid w:val="003D3980"/>
    <w:rsid w:val="003D3FE9"/>
    <w:rsid w:val="003D4415"/>
    <w:rsid w:val="003D4A9A"/>
    <w:rsid w:val="003D5201"/>
    <w:rsid w:val="003D544C"/>
    <w:rsid w:val="003D5C34"/>
    <w:rsid w:val="003D5D43"/>
    <w:rsid w:val="003D5D9B"/>
    <w:rsid w:val="003D6245"/>
    <w:rsid w:val="003D6384"/>
    <w:rsid w:val="003D658A"/>
    <w:rsid w:val="003D6932"/>
    <w:rsid w:val="003D69C2"/>
    <w:rsid w:val="003D6CBC"/>
    <w:rsid w:val="003D6E30"/>
    <w:rsid w:val="003D73F0"/>
    <w:rsid w:val="003D7967"/>
    <w:rsid w:val="003D7ABF"/>
    <w:rsid w:val="003D7E47"/>
    <w:rsid w:val="003E0017"/>
    <w:rsid w:val="003E0EB1"/>
    <w:rsid w:val="003E1312"/>
    <w:rsid w:val="003E13BA"/>
    <w:rsid w:val="003E16A7"/>
    <w:rsid w:val="003E1B98"/>
    <w:rsid w:val="003E410D"/>
    <w:rsid w:val="003E455B"/>
    <w:rsid w:val="003E4843"/>
    <w:rsid w:val="003E5212"/>
    <w:rsid w:val="003E58A0"/>
    <w:rsid w:val="003E5C4E"/>
    <w:rsid w:val="003E6273"/>
    <w:rsid w:val="003E6351"/>
    <w:rsid w:val="003E704F"/>
    <w:rsid w:val="003E7148"/>
    <w:rsid w:val="003F08AF"/>
    <w:rsid w:val="003F0A96"/>
    <w:rsid w:val="003F1689"/>
    <w:rsid w:val="003F1942"/>
    <w:rsid w:val="003F2183"/>
    <w:rsid w:val="003F21ED"/>
    <w:rsid w:val="003F22AF"/>
    <w:rsid w:val="003F2321"/>
    <w:rsid w:val="003F2601"/>
    <w:rsid w:val="003F2633"/>
    <w:rsid w:val="003F3622"/>
    <w:rsid w:val="003F41DD"/>
    <w:rsid w:val="003F4DDF"/>
    <w:rsid w:val="003F51F0"/>
    <w:rsid w:val="003F6CDE"/>
    <w:rsid w:val="003F7055"/>
    <w:rsid w:val="003F70EC"/>
    <w:rsid w:val="003F7258"/>
    <w:rsid w:val="003F752E"/>
    <w:rsid w:val="003F7C08"/>
    <w:rsid w:val="003F7D81"/>
    <w:rsid w:val="00400148"/>
    <w:rsid w:val="00400AEB"/>
    <w:rsid w:val="00400C17"/>
    <w:rsid w:val="00400EC2"/>
    <w:rsid w:val="0040186B"/>
    <w:rsid w:val="004020EF"/>
    <w:rsid w:val="0040235D"/>
    <w:rsid w:val="00402428"/>
    <w:rsid w:val="004024BE"/>
    <w:rsid w:val="00402AF9"/>
    <w:rsid w:val="00403807"/>
    <w:rsid w:val="00403999"/>
    <w:rsid w:val="004047E0"/>
    <w:rsid w:val="0040521D"/>
    <w:rsid w:val="00405C83"/>
    <w:rsid w:val="004061FF"/>
    <w:rsid w:val="00406365"/>
    <w:rsid w:val="00406506"/>
    <w:rsid w:val="00406522"/>
    <w:rsid w:val="004072BF"/>
    <w:rsid w:val="0040740D"/>
    <w:rsid w:val="00407A58"/>
    <w:rsid w:val="00407E56"/>
    <w:rsid w:val="0041027B"/>
    <w:rsid w:val="004103EA"/>
    <w:rsid w:val="004108A3"/>
    <w:rsid w:val="00410CB5"/>
    <w:rsid w:val="004118FD"/>
    <w:rsid w:val="00412E6B"/>
    <w:rsid w:val="0041381A"/>
    <w:rsid w:val="00413992"/>
    <w:rsid w:val="00413A96"/>
    <w:rsid w:val="00413BD7"/>
    <w:rsid w:val="00413E6C"/>
    <w:rsid w:val="004142DE"/>
    <w:rsid w:val="00414F05"/>
    <w:rsid w:val="004154D1"/>
    <w:rsid w:val="00415589"/>
    <w:rsid w:val="004167A0"/>
    <w:rsid w:val="004167E5"/>
    <w:rsid w:val="00416B54"/>
    <w:rsid w:val="00416BA9"/>
    <w:rsid w:val="00417A31"/>
    <w:rsid w:val="0042018F"/>
    <w:rsid w:val="00420CBF"/>
    <w:rsid w:val="004217D0"/>
    <w:rsid w:val="004218EC"/>
    <w:rsid w:val="0042190A"/>
    <w:rsid w:val="0042222F"/>
    <w:rsid w:val="00422412"/>
    <w:rsid w:val="00422CFB"/>
    <w:rsid w:val="00422FA0"/>
    <w:rsid w:val="00423208"/>
    <w:rsid w:val="00423D7B"/>
    <w:rsid w:val="0042429B"/>
    <w:rsid w:val="00424358"/>
    <w:rsid w:val="00424DF2"/>
    <w:rsid w:val="00425001"/>
    <w:rsid w:val="0042559E"/>
    <w:rsid w:val="00425AA8"/>
    <w:rsid w:val="004263C9"/>
    <w:rsid w:val="0042660E"/>
    <w:rsid w:val="004268F3"/>
    <w:rsid w:val="004269E6"/>
    <w:rsid w:val="004269F6"/>
    <w:rsid w:val="00426C95"/>
    <w:rsid w:val="00426EB0"/>
    <w:rsid w:val="00427961"/>
    <w:rsid w:val="00427A5B"/>
    <w:rsid w:val="00427B91"/>
    <w:rsid w:val="00430019"/>
    <w:rsid w:val="00430937"/>
    <w:rsid w:val="00430ADB"/>
    <w:rsid w:val="00430CE3"/>
    <w:rsid w:val="004312E5"/>
    <w:rsid w:val="004315B2"/>
    <w:rsid w:val="00431682"/>
    <w:rsid w:val="00432A82"/>
    <w:rsid w:val="00432CEA"/>
    <w:rsid w:val="00432D49"/>
    <w:rsid w:val="0043328A"/>
    <w:rsid w:val="00433377"/>
    <w:rsid w:val="00435723"/>
    <w:rsid w:val="004359FF"/>
    <w:rsid w:val="00435DBA"/>
    <w:rsid w:val="004367DD"/>
    <w:rsid w:val="0043692B"/>
    <w:rsid w:val="00436972"/>
    <w:rsid w:val="004369F0"/>
    <w:rsid w:val="00436DC9"/>
    <w:rsid w:val="00440AF9"/>
    <w:rsid w:val="004411F4"/>
    <w:rsid w:val="004420FF"/>
    <w:rsid w:val="004424D1"/>
    <w:rsid w:val="004424D6"/>
    <w:rsid w:val="0044324B"/>
    <w:rsid w:val="004434BA"/>
    <w:rsid w:val="004438B0"/>
    <w:rsid w:val="0044425F"/>
    <w:rsid w:val="0044460B"/>
    <w:rsid w:val="0044519B"/>
    <w:rsid w:val="0044558C"/>
    <w:rsid w:val="004462EE"/>
    <w:rsid w:val="00446D41"/>
    <w:rsid w:val="00446F69"/>
    <w:rsid w:val="004473F3"/>
    <w:rsid w:val="004474DC"/>
    <w:rsid w:val="00450802"/>
    <w:rsid w:val="00450949"/>
    <w:rsid w:val="0045098D"/>
    <w:rsid w:val="00450F6A"/>
    <w:rsid w:val="004515F5"/>
    <w:rsid w:val="004519A5"/>
    <w:rsid w:val="00451C41"/>
    <w:rsid w:val="00451C52"/>
    <w:rsid w:val="00451DFC"/>
    <w:rsid w:val="00451E9A"/>
    <w:rsid w:val="004522DE"/>
    <w:rsid w:val="0045272A"/>
    <w:rsid w:val="004529BD"/>
    <w:rsid w:val="00452DBD"/>
    <w:rsid w:val="00452EC2"/>
    <w:rsid w:val="004547CC"/>
    <w:rsid w:val="00454C59"/>
    <w:rsid w:val="0045505C"/>
    <w:rsid w:val="0045532D"/>
    <w:rsid w:val="004557FA"/>
    <w:rsid w:val="004558E7"/>
    <w:rsid w:val="0045597F"/>
    <w:rsid w:val="00455ED0"/>
    <w:rsid w:val="0045693F"/>
    <w:rsid w:val="0045694B"/>
    <w:rsid w:val="00456FDF"/>
    <w:rsid w:val="00457184"/>
    <w:rsid w:val="004575CB"/>
    <w:rsid w:val="00457EAB"/>
    <w:rsid w:val="004600F2"/>
    <w:rsid w:val="00460251"/>
    <w:rsid w:val="00460436"/>
    <w:rsid w:val="004608B7"/>
    <w:rsid w:val="00460C51"/>
    <w:rsid w:val="00460F07"/>
    <w:rsid w:val="00461076"/>
    <w:rsid w:val="00461543"/>
    <w:rsid w:val="00461748"/>
    <w:rsid w:val="004617CD"/>
    <w:rsid w:val="00462F16"/>
    <w:rsid w:val="00464031"/>
    <w:rsid w:val="00464AC0"/>
    <w:rsid w:val="00464F55"/>
    <w:rsid w:val="00465525"/>
    <w:rsid w:val="00465619"/>
    <w:rsid w:val="0046631C"/>
    <w:rsid w:val="00467683"/>
    <w:rsid w:val="00467AC9"/>
    <w:rsid w:val="00467BDF"/>
    <w:rsid w:val="00467CC1"/>
    <w:rsid w:val="00470352"/>
    <w:rsid w:val="00470B97"/>
    <w:rsid w:val="004710C8"/>
    <w:rsid w:val="00471899"/>
    <w:rsid w:val="00472448"/>
    <w:rsid w:val="00473487"/>
    <w:rsid w:val="00473799"/>
    <w:rsid w:val="00473AFF"/>
    <w:rsid w:val="0047413E"/>
    <w:rsid w:val="00474218"/>
    <w:rsid w:val="00474E65"/>
    <w:rsid w:val="00474F17"/>
    <w:rsid w:val="00475E85"/>
    <w:rsid w:val="004766A6"/>
    <w:rsid w:val="004768DF"/>
    <w:rsid w:val="00476B6C"/>
    <w:rsid w:val="00480EA4"/>
    <w:rsid w:val="00481163"/>
    <w:rsid w:val="00481328"/>
    <w:rsid w:val="00481443"/>
    <w:rsid w:val="00481CA9"/>
    <w:rsid w:val="0048276F"/>
    <w:rsid w:val="00483611"/>
    <w:rsid w:val="004837DE"/>
    <w:rsid w:val="00483AAB"/>
    <w:rsid w:val="004841EE"/>
    <w:rsid w:val="004843D2"/>
    <w:rsid w:val="00484465"/>
    <w:rsid w:val="004849AD"/>
    <w:rsid w:val="00484C73"/>
    <w:rsid w:val="004850FF"/>
    <w:rsid w:val="00485299"/>
    <w:rsid w:val="00485850"/>
    <w:rsid w:val="00485AF8"/>
    <w:rsid w:val="00485EB0"/>
    <w:rsid w:val="004865A5"/>
    <w:rsid w:val="004867FB"/>
    <w:rsid w:val="00487542"/>
    <w:rsid w:val="004900D4"/>
    <w:rsid w:val="00490569"/>
    <w:rsid w:val="00490592"/>
    <w:rsid w:val="00490F4F"/>
    <w:rsid w:val="00490FC0"/>
    <w:rsid w:val="004912E0"/>
    <w:rsid w:val="00491330"/>
    <w:rsid w:val="00491369"/>
    <w:rsid w:val="00491581"/>
    <w:rsid w:val="0049197B"/>
    <w:rsid w:val="004934A8"/>
    <w:rsid w:val="00493EC3"/>
    <w:rsid w:val="00494419"/>
    <w:rsid w:val="00494C9A"/>
    <w:rsid w:val="00494E24"/>
    <w:rsid w:val="00495745"/>
    <w:rsid w:val="004960CB"/>
    <w:rsid w:val="004963AE"/>
    <w:rsid w:val="00496F13"/>
    <w:rsid w:val="00497526"/>
    <w:rsid w:val="00497663"/>
    <w:rsid w:val="00497ED2"/>
    <w:rsid w:val="004A0101"/>
    <w:rsid w:val="004A0158"/>
    <w:rsid w:val="004A08D1"/>
    <w:rsid w:val="004A10C6"/>
    <w:rsid w:val="004A1614"/>
    <w:rsid w:val="004A18BE"/>
    <w:rsid w:val="004A1FE3"/>
    <w:rsid w:val="004A3722"/>
    <w:rsid w:val="004A3D3A"/>
    <w:rsid w:val="004A3D86"/>
    <w:rsid w:val="004A43AE"/>
    <w:rsid w:val="004A44E2"/>
    <w:rsid w:val="004A5ABF"/>
    <w:rsid w:val="004A5C22"/>
    <w:rsid w:val="004A5CAD"/>
    <w:rsid w:val="004A5D52"/>
    <w:rsid w:val="004A5D59"/>
    <w:rsid w:val="004A67D7"/>
    <w:rsid w:val="004A7951"/>
    <w:rsid w:val="004B099A"/>
    <w:rsid w:val="004B0A39"/>
    <w:rsid w:val="004B26DF"/>
    <w:rsid w:val="004B3808"/>
    <w:rsid w:val="004B3951"/>
    <w:rsid w:val="004B3AB9"/>
    <w:rsid w:val="004B4F67"/>
    <w:rsid w:val="004B5273"/>
    <w:rsid w:val="004B72CF"/>
    <w:rsid w:val="004C0164"/>
    <w:rsid w:val="004C0EE7"/>
    <w:rsid w:val="004C0FCE"/>
    <w:rsid w:val="004C1532"/>
    <w:rsid w:val="004C25CB"/>
    <w:rsid w:val="004C28BB"/>
    <w:rsid w:val="004C2AB2"/>
    <w:rsid w:val="004C2FBF"/>
    <w:rsid w:val="004C3EFC"/>
    <w:rsid w:val="004C4282"/>
    <w:rsid w:val="004C43D4"/>
    <w:rsid w:val="004C4C17"/>
    <w:rsid w:val="004C58C3"/>
    <w:rsid w:val="004C5AF9"/>
    <w:rsid w:val="004C5D15"/>
    <w:rsid w:val="004C6089"/>
    <w:rsid w:val="004C72C3"/>
    <w:rsid w:val="004C77AE"/>
    <w:rsid w:val="004C7920"/>
    <w:rsid w:val="004D01E9"/>
    <w:rsid w:val="004D026C"/>
    <w:rsid w:val="004D02BC"/>
    <w:rsid w:val="004D0343"/>
    <w:rsid w:val="004D03E6"/>
    <w:rsid w:val="004D183B"/>
    <w:rsid w:val="004D2392"/>
    <w:rsid w:val="004D339D"/>
    <w:rsid w:val="004D3832"/>
    <w:rsid w:val="004D3DD1"/>
    <w:rsid w:val="004D3ECC"/>
    <w:rsid w:val="004D3FE4"/>
    <w:rsid w:val="004D40AC"/>
    <w:rsid w:val="004D4AC6"/>
    <w:rsid w:val="004D4B83"/>
    <w:rsid w:val="004D58EC"/>
    <w:rsid w:val="004D5B8E"/>
    <w:rsid w:val="004D607A"/>
    <w:rsid w:val="004D6581"/>
    <w:rsid w:val="004D67EF"/>
    <w:rsid w:val="004D7623"/>
    <w:rsid w:val="004D79FA"/>
    <w:rsid w:val="004E094E"/>
    <w:rsid w:val="004E22BF"/>
    <w:rsid w:val="004E22D5"/>
    <w:rsid w:val="004E2330"/>
    <w:rsid w:val="004E2421"/>
    <w:rsid w:val="004E2C11"/>
    <w:rsid w:val="004E2DE3"/>
    <w:rsid w:val="004E3D9D"/>
    <w:rsid w:val="004E407F"/>
    <w:rsid w:val="004E4669"/>
    <w:rsid w:val="004E4BCE"/>
    <w:rsid w:val="004E4D4E"/>
    <w:rsid w:val="004E63C0"/>
    <w:rsid w:val="004E6DD5"/>
    <w:rsid w:val="004E786C"/>
    <w:rsid w:val="004E7EBC"/>
    <w:rsid w:val="004F0449"/>
    <w:rsid w:val="004F103D"/>
    <w:rsid w:val="004F14E2"/>
    <w:rsid w:val="004F17F8"/>
    <w:rsid w:val="004F22E9"/>
    <w:rsid w:val="004F27EE"/>
    <w:rsid w:val="004F285C"/>
    <w:rsid w:val="004F31AE"/>
    <w:rsid w:val="004F44F9"/>
    <w:rsid w:val="004F59CA"/>
    <w:rsid w:val="004F6173"/>
    <w:rsid w:val="004F67A7"/>
    <w:rsid w:val="004F67BC"/>
    <w:rsid w:val="004F6EA2"/>
    <w:rsid w:val="004F76D4"/>
    <w:rsid w:val="005001AF"/>
    <w:rsid w:val="00500209"/>
    <w:rsid w:val="00501092"/>
    <w:rsid w:val="0050143D"/>
    <w:rsid w:val="00501ADA"/>
    <w:rsid w:val="00502054"/>
    <w:rsid w:val="00502635"/>
    <w:rsid w:val="00502AC3"/>
    <w:rsid w:val="0050368C"/>
    <w:rsid w:val="0050397F"/>
    <w:rsid w:val="005043B2"/>
    <w:rsid w:val="005046E0"/>
    <w:rsid w:val="0050568D"/>
    <w:rsid w:val="00505F72"/>
    <w:rsid w:val="005065CE"/>
    <w:rsid w:val="0050720A"/>
    <w:rsid w:val="0050759E"/>
    <w:rsid w:val="005075A4"/>
    <w:rsid w:val="00507C58"/>
    <w:rsid w:val="005103B7"/>
    <w:rsid w:val="00510E78"/>
    <w:rsid w:val="00511E7A"/>
    <w:rsid w:val="005123CC"/>
    <w:rsid w:val="00512BCE"/>
    <w:rsid w:val="00513306"/>
    <w:rsid w:val="00513845"/>
    <w:rsid w:val="00514213"/>
    <w:rsid w:val="00514660"/>
    <w:rsid w:val="0051494D"/>
    <w:rsid w:val="005154D8"/>
    <w:rsid w:val="005156A8"/>
    <w:rsid w:val="00515FBF"/>
    <w:rsid w:val="005165D6"/>
    <w:rsid w:val="00517467"/>
    <w:rsid w:val="005175FF"/>
    <w:rsid w:val="00517B26"/>
    <w:rsid w:val="0052006C"/>
    <w:rsid w:val="00520D20"/>
    <w:rsid w:val="00520E0E"/>
    <w:rsid w:val="00522903"/>
    <w:rsid w:val="00522D4B"/>
    <w:rsid w:val="00523C90"/>
    <w:rsid w:val="0052423C"/>
    <w:rsid w:val="00524706"/>
    <w:rsid w:val="005265F8"/>
    <w:rsid w:val="005266EC"/>
    <w:rsid w:val="00526C40"/>
    <w:rsid w:val="005275ED"/>
    <w:rsid w:val="00530621"/>
    <w:rsid w:val="005306B0"/>
    <w:rsid w:val="00530725"/>
    <w:rsid w:val="00530838"/>
    <w:rsid w:val="00530FB7"/>
    <w:rsid w:val="005311BA"/>
    <w:rsid w:val="0053160F"/>
    <w:rsid w:val="00531B1F"/>
    <w:rsid w:val="00531B68"/>
    <w:rsid w:val="0053241E"/>
    <w:rsid w:val="005324AC"/>
    <w:rsid w:val="00532A0F"/>
    <w:rsid w:val="00532DAC"/>
    <w:rsid w:val="00532EE5"/>
    <w:rsid w:val="00534FC7"/>
    <w:rsid w:val="00535149"/>
    <w:rsid w:val="005354E5"/>
    <w:rsid w:val="00535C60"/>
    <w:rsid w:val="00536B83"/>
    <w:rsid w:val="00537CD0"/>
    <w:rsid w:val="00540017"/>
    <w:rsid w:val="005407D2"/>
    <w:rsid w:val="00540F77"/>
    <w:rsid w:val="00541306"/>
    <w:rsid w:val="00541CC8"/>
    <w:rsid w:val="00541F98"/>
    <w:rsid w:val="005420CF"/>
    <w:rsid w:val="00542BE3"/>
    <w:rsid w:val="00543791"/>
    <w:rsid w:val="0054399B"/>
    <w:rsid w:val="00544BBE"/>
    <w:rsid w:val="005455C4"/>
    <w:rsid w:val="00545F7F"/>
    <w:rsid w:val="0054729B"/>
    <w:rsid w:val="0054763C"/>
    <w:rsid w:val="00547EA3"/>
    <w:rsid w:val="005503B8"/>
    <w:rsid w:val="0055055C"/>
    <w:rsid w:val="00550979"/>
    <w:rsid w:val="00550FDD"/>
    <w:rsid w:val="005510B7"/>
    <w:rsid w:val="005518AA"/>
    <w:rsid w:val="00551E66"/>
    <w:rsid w:val="00551EFE"/>
    <w:rsid w:val="00552B07"/>
    <w:rsid w:val="00552BD2"/>
    <w:rsid w:val="00552D72"/>
    <w:rsid w:val="00552F07"/>
    <w:rsid w:val="00552F8D"/>
    <w:rsid w:val="00553EC5"/>
    <w:rsid w:val="00555422"/>
    <w:rsid w:val="005558BE"/>
    <w:rsid w:val="00555F95"/>
    <w:rsid w:val="005569E4"/>
    <w:rsid w:val="00556D34"/>
    <w:rsid w:val="005578E1"/>
    <w:rsid w:val="00557B9A"/>
    <w:rsid w:val="0056105E"/>
    <w:rsid w:val="00561330"/>
    <w:rsid w:val="00561B90"/>
    <w:rsid w:val="00562318"/>
    <w:rsid w:val="005624BF"/>
    <w:rsid w:val="0056256C"/>
    <w:rsid w:val="00562811"/>
    <w:rsid w:val="00563182"/>
    <w:rsid w:val="00563804"/>
    <w:rsid w:val="00564451"/>
    <w:rsid w:val="0056570C"/>
    <w:rsid w:val="00565F87"/>
    <w:rsid w:val="0056605A"/>
    <w:rsid w:val="00566288"/>
    <w:rsid w:val="0056650F"/>
    <w:rsid w:val="00567D3B"/>
    <w:rsid w:val="005704E9"/>
    <w:rsid w:val="005706AB"/>
    <w:rsid w:val="00570C5D"/>
    <w:rsid w:val="00570E99"/>
    <w:rsid w:val="0057106D"/>
    <w:rsid w:val="00571ACB"/>
    <w:rsid w:val="00571E16"/>
    <w:rsid w:val="00572B98"/>
    <w:rsid w:val="00572C6F"/>
    <w:rsid w:val="00572F51"/>
    <w:rsid w:val="00573310"/>
    <w:rsid w:val="00573B95"/>
    <w:rsid w:val="00573E04"/>
    <w:rsid w:val="00574306"/>
    <w:rsid w:val="00574E82"/>
    <w:rsid w:val="0057541D"/>
    <w:rsid w:val="00575539"/>
    <w:rsid w:val="00575CE0"/>
    <w:rsid w:val="00575DE9"/>
    <w:rsid w:val="00576C81"/>
    <w:rsid w:val="00576D45"/>
    <w:rsid w:val="005773A1"/>
    <w:rsid w:val="00577ADB"/>
    <w:rsid w:val="0058051C"/>
    <w:rsid w:val="005807C4"/>
    <w:rsid w:val="0058090E"/>
    <w:rsid w:val="00580BE8"/>
    <w:rsid w:val="00580E3A"/>
    <w:rsid w:val="00581045"/>
    <w:rsid w:val="005810C9"/>
    <w:rsid w:val="005813CF"/>
    <w:rsid w:val="0058270F"/>
    <w:rsid w:val="00582E30"/>
    <w:rsid w:val="00582E7B"/>
    <w:rsid w:val="00583165"/>
    <w:rsid w:val="0058333E"/>
    <w:rsid w:val="0058440D"/>
    <w:rsid w:val="00584819"/>
    <w:rsid w:val="00584C05"/>
    <w:rsid w:val="005856B2"/>
    <w:rsid w:val="00586188"/>
    <w:rsid w:val="005861C8"/>
    <w:rsid w:val="005861CC"/>
    <w:rsid w:val="005861FB"/>
    <w:rsid w:val="00586687"/>
    <w:rsid w:val="00586688"/>
    <w:rsid w:val="00586725"/>
    <w:rsid w:val="00587539"/>
    <w:rsid w:val="0058786D"/>
    <w:rsid w:val="00587A9C"/>
    <w:rsid w:val="00590A79"/>
    <w:rsid w:val="00590FE0"/>
    <w:rsid w:val="00591336"/>
    <w:rsid w:val="005929C8"/>
    <w:rsid w:val="005937A1"/>
    <w:rsid w:val="005937D6"/>
    <w:rsid w:val="00593856"/>
    <w:rsid w:val="0059504A"/>
    <w:rsid w:val="005950C9"/>
    <w:rsid w:val="0059526B"/>
    <w:rsid w:val="005954EC"/>
    <w:rsid w:val="0059572A"/>
    <w:rsid w:val="005959C0"/>
    <w:rsid w:val="00595D85"/>
    <w:rsid w:val="00595E89"/>
    <w:rsid w:val="00596D4C"/>
    <w:rsid w:val="0059710E"/>
    <w:rsid w:val="005971B9"/>
    <w:rsid w:val="00597442"/>
    <w:rsid w:val="00597499"/>
    <w:rsid w:val="005977B9"/>
    <w:rsid w:val="00597AC1"/>
    <w:rsid w:val="005A0486"/>
    <w:rsid w:val="005A0ABF"/>
    <w:rsid w:val="005A2780"/>
    <w:rsid w:val="005A36AD"/>
    <w:rsid w:val="005A3795"/>
    <w:rsid w:val="005A3873"/>
    <w:rsid w:val="005A3A75"/>
    <w:rsid w:val="005A3E7F"/>
    <w:rsid w:val="005A51A9"/>
    <w:rsid w:val="005A566C"/>
    <w:rsid w:val="005A570F"/>
    <w:rsid w:val="005A5CFE"/>
    <w:rsid w:val="005A5FE5"/>
    <w:rsid w:val="005A6F5F"/>
    <w:rsid w:val="005A70FC"/>
    <w:rsid w:val="005A716E"/>
    <w:rsid w:val="005A7770"/>
    <w:rsid w:val="005A7D23"/>
    <w:rsid w:val="005B0D74"/>
    <w:rsid w:val="005B1BAE"/>
    <w:rsid w:val="005B240E"/>
    <w:rsid w:val="005B29A2"/>
    <w:rsid w:val="005B44CD"/>
    <w:rsid w:val="005B4A8D"/>
    <w:rsid w:val="005B5546"/>
    <w:rsid w:val="005B57B9"/>
    <w:rsid w:val="005B5A50"/>
    <w:rsid w:val="005B613A"/>
    <w:rsid w:val="005B6161"/>
    <w:rsid w:val="005B6581"/>
    <w:rsid w:val="005B65CB"/>
    <w:rsid w:val="005B779B"/>
    <w:rsid w:val="005B7887"/>
    <w:rsid w:val="005B7A32"/>
    <w:rsid w:val="005B7C1C"/>
    <w:rsid w:val="005B7EC7"/>
    <w:rsid w:val="005C00D1"/>
    <w:rsid w:val="005C026A"/>
    <w:rsid w:val="005C03BF"/>
    <w:rsid w:val="005C20AE"/>
    <w:rsid w:val="005C233E"/>
    <w:rsid w:val="005C24BF"/>
    <w:rsid w:val="005C2CE8"/>
    <w:rsid w:val="005C2FE7"/>
    <w:rsid w:val="005C3C7C"/>
    <w:rsid w:val="005C3CFA"/>
    <w:rsid w:val="005C3F57"/>
    <w:rsid w:val="005C40CB"/>
    <w:rsid w:val="005C4878"/>
    <w:rsid w:val="005C554F"/>
    <w:rsid w:val="005C576A"/>
    <w:rsid w:val="005C584B"/>
    <w:rsid w:val="005C5F73"/>
    <w:rsid w:val="005C6858"/>
    <w:rsid w:val="005C7497"/>
    <w:rsid w:val="005C78EE"/>
    <w:rsid w:val="005C7B46"/>
    <w:rsid w:val="005C7D3B"/>
    <w:rsid w:val="005D01B6"/>
    <w:rsid w:val="005D04DF"/>
    <w:rsid w:val="005D1008"/>
    <w:rsid w:val="005D1169"/>
    <w:rsid w:val="005D1275"/>
    <w:rsid w:val="005D13B5"/>
    <w:rsid w:val="005D1AC3"/>
    <w:rsid w:val="005D1C06"/>
    <w:rsid w:val="005D2671"/>
    <w:rsid w:val="005D26A6"/>
    <w:rsid w:val="005D2AE0"/>
    <w:rsid w:val="005D2C3C"/>
    <w:rsid w:val="005D4708"/>
    <w:rsid w:val="005D4F75"/>
    <w:rsid w:val="005D5616"/>
    <w:rsid w:val="005D5D0A"/>
    <w:rsid w:val="005D725B"/>
    <w:rsid w:val="005D72CA"/>
    <w:rsid w:val="005D772A"/>
    <w:rsid w:val="005D7772"/>
    <w:rsid w:val="005D791A"/>
    <w:rsid w:val="005D7A61"/>
    <w:rsid w:val="005D7A9F"/>
    <w:rsid w:val="005D7EF7"/>
    <w:rsid w:val="005D7EF9"/>
    <w:rsid w:val="005E0362"/>
    <w:rsid w:val="005E03E6"/>
    <w:rsid w:val="005E0D32"/>
    <w:rsid w:val="005E0F6E"/>
    <w:rsid w:val="005E0FFA"/>
    <w:rsid w:val="005E216A"/>
    <w:rsid w:val="005E24CC"/>
    <w:rsid w:val="005E2AA2"/>
    <w:rsid w:val="005E32B1"/>
    <w:rsid w:val="005E3B96"/>
    <w:rsid w:val="005E3DC5"/>
    <w:rsid w:val="005E4401"/>
    <w:rsid w:val="005E45CC"/>
    <w:rsid w:val="005E573B"/>
    <w:rsid w:val="005E5DD2"/>
    <w:rsid w:val="005E5E52"/>
    <w:rsid w:val="005E6301"/>
    <w:rsid w:val="005E6D67"/>
    <w:rsid w:val="005E71AB"/>
    <w:rsid w:val="005E71FA"/>
    <w:rsid w:val="005E7E2A"/>
    <w:rsid w:val="005F08BF"/>
    <w:rsid w:val="005F1853"/>
    <w:rsid w:val="005F1D0B"/>
    <w:rsid w:val="005F1FD1"/>
    <w:rsid w:val="005F2FCD"/>
    <w:rsid w:val="005F4E67"/>
    <w:rsid w:val="005F54C5"/>
    <w:rsid w:val="005F6689"/>
    <w:rsid w:val="005F6796"/>
    <w:rsid w:val="005F692D"/>
    <w:rsid w:val="005F6DF1"/>
    <w:rsid w:val="005F6FCE"/>
    <w:rsid w:val="005F74F6"/>
    <w:rsid w:val="005F765A"/>
    <w:rsid w:val="005F79CB"/>
    <w:rsid w:val="005F7B48"/>
    <w:rsid w:val="005F7E25"/>
    <w:rsid w:val="005F7F13"/>
    <w:rsid w:val="00600614"/>
    <w:rsid w:val="0060094E"/>
    <w:rsid w:val="00601181"/>
    <w:rsid w:val="0060271F"/>
    <w:rsid w:val="00603637"/>
    <w:rsid w:val="00603645"/>
    <w:rsid w:val="00603825"/>
    <w:rsid w:val="00603F27"/>
    <w:rsid w:val="0060535E"/>
    <w:rsid w:val="006059DF"/>
    <w:rsid w:val="00605B79"/>
    <w:rsid w:val="006066C8"/>
    <w:rsid w:val="00606B45"/>
    <w:rsid w:val="00606C88"/>
    <w:rsid w:val="00606EBF"/>
    <w:rsid w:val="00607006"/>
    <w:rsid w:val="00607063"/>
    <w:rsid w:val="0060713E"/>
    <w:rsid w:val="006073A9"/>
    <w:rsid w:val="0060781E"/>
    <w:rsid w:val="00607D91"/>
    <w:rsid w:val="00607E91"/>
    <w:rsid w:val="00610C30"/>
    <w:rsid w:val="006115B6"/>
    <w:rsid w:val="006116CF"/>
    <w:rsid w:val="00611BE5"/>
    <w:rsid w:val="00611DD0"/>
    <w:rsid w:val="00612135"/>
    <w:rsid w:val="006130BC"/>
    <w:rsid w:val="006136DF"/>
    <w:rsid w:val="00613E2D"/>
    <w:rsid w:val="00613FF9"/>
    <w:rsid w:val="00614512"/>
    <w:rsid w:val="00614F7B"/>
    <w:rsid w:val="006153DF"/>
    <w:rsid w:val="006156A1"/>
    <w:rsid w:val="00615710"/>
    <w:rsid w:val="00615A8C"/>
    <w:rsid w:val="00616359"/>
    <w:rsid w:val="006163B7"/>
    <w:rsid w:val="006164FC"/>
    <w:rsid w:val="00616CA4"/>
    <w:rsid w:val="006200BF"/>
    <w:rsid w:val="006215F3"/>
    <w:rsid w:val="00621BC3"/>
    <w:rsid w:val="006232FE"/>
    <w:rsid w:val="00623745"/>
    <w:rsid w:val="00623821"/>
    <w:rsid w:val="0062396A"/>
    <w:rsid w:val="006240F2"/>
    <w:rsid w:val="00624155"/>
    <w:rsid w:val="006246CA"/>
    <w:rsid w:val="00624A16"/>
    <w:rsid w:val="00624F32"/>
    <w:rsid w:val="00625EAD"/>
    <w:rsid w:val="006273CF"/>
    <w:rsid w:val="0062767F"/>
    <w:rsid w:val="0063016B"/>
    <w:rsid w:val="00630F0A"/>
    <w:rsid w:val="00632859"/>
    <w:rsid w:val="00633061"/>
    <w:rsid w:val="00633186"/>
    <w:rsid w:val="006336F5"/>
    <w:rsid w:val="0063382C"/>
    <w:rsid w:val="00633860"/>
    <w:rsid w:val="00633993"/>
    <w:rsid w:val="00634102"/>
    <w:rsid w:val="00634302"/>
    <w:rsid w:val="006344BD"/>
    <w:rsid w:val="0063451C"/>
    <w:rsid w:val="006346EF"/>
    <w:rsid w:val="00634B93"/>
    <w:rsid w:val="00635715"/>
    <w:rsid w:val="006363FD"/>
    <w:rsid w:val="00636F84"/>
    <w:rsid w:val="00636F8A"/>
    <w:rsid w:val="00637011"/>
    <w:rsid w:val="00637CE2"/>
    <w:rsid w:val="0064008E"/>
    <w:rsid w:val="00640D01"/>
    <w:rsid w:val="006421D3"/>
    <w:rsid w:val="0064389B"/>
    <w:rsid w:val="0064396E"/>
    <w:rsid w:val="00643FA2"/>
    <w:rsid w:val="006441A4"/>
    <w:rsid w:val="00644868"/>
    <w:rsid w:val="00644F39"/>
    <w:rsid w:val="006458E6"/>
    <w:rsid w:val="00646445"/>
    <w:rsid w:val="0064701A"/>
    <w:rsid w:val="00647FC0"/>
    <w:rsid w:val="0065004E"/>
    <w:rsid w:val="0065046B"/>
    <w:rsid w:val="00651004"/>
    <w:rsid w:val="006511C7"/>
    <w:rsid w:val="00651886"/>
    <w:rsid w:val="00651C08"/>
    <w:rsid w:val="00652023"/>
    <w:rsid w:val="00652A4B"/>
    <w:rsid w:val="0065381C"/>
    <w:rsid w:val="006538A9"/>
    <w:rsid w:val="0065485A"/>
    <w:rsid w:val="00654892"/>
    <w:rsid w:val="00654C59"/>
    <w:rsid w:val="006557B6"/>
    <w:rsid w:val="00656574"/>
    <w:rsid w:val="006573E9"/>
    <w:rsid w:val="00657A36"/>
    <w:rsid w:val="00657F87"/>
    <w:rsid w:val="0066041A"/>
    <w:rsid w:val="006604EA"/>
    <w:rsid w:val="00660AB2"/>
    <w:rsid w:val="00660AC1"/>
    <w:rsid w:val="00660BE9"/>
    <w:rsid w:val="00660DC2"/>
    <w:rsid w:val="00660E4E"/>
    <w:rsid w:val="006625F5"/>
    <w:rsid w:val="006628E5"/>
    <w:rsid w:val="00663536"/>
    <w:rsid w:val="006635B0"/>
    <w:rsid w:val="006639C6"/>
    <w:rsid w:val="006645CA"/>
    <w:rsid w:val="0066468E"/>
    <w:rsid w:val="00664D3D"/>
    <w:rsid w:val="00664E01"/>
    <w:rsid w:val="00665873"/>
    <w:rsid w:val="00666FCD"/>
    <w:rsid w:val="006673C4"/>
    <w:rsid w:val="00667E89"/>
    <w:rsid w:val="00670213"/>
    <w:rsid w:val="00673A94"/>
    <w:rsid w:val="00673E31"/>
    <w:rsid w:val="0067450A"/>
    <w:rsid w:val="006747FB"/>
    <w:rsid w:val="006753E1"/>
    <w:rsid w:val="00675508"/>
    <w:rsid w:val="00675A26"/>
    <w:rsid w:val="00675A80"/>
    <w:rsid w:val="006763CA"/>
    <w:rsid w:val="00677642"/>
    <w:rsid w:val="0067797D"/>
    <w:rsid w:val="00677AE2"/>
    <w:rsid w:val="00677F07"/>
    <w:rsid w:val="00680500"/>
    <w:rsid w:val="00680736"/>
    <w:rsid w:val="00680B7E"/>
    <w:rsid w:val="0068135C"/>
    <w:rsid w:val="0068172D"/>
    <w:rsid w:val="00681757"/>
    <w:rsid w:val="006817E4"/>
    <w:rsid w:val="00681976"/>
    <w:rsid w:val="00681BEC"/>
    <w:rsid w:val="00681CE5"/>
    <w:rsid w:val="00681E6A"/>
    <w:rsid w:val="0068213C"/>
    <w:rsid w:val="00682552"/>
    <w:rsid w:val="00682660"/>
    <w:rsid w:val="00683700"/>
    <w:rsid w:val="00683904"/>
    <w:rsid w:val="00683F7C"/>
    <w:rsid w:val="0068449C"/>
    <w:rsid w:val="006846E3"/>
    <w:rsid w:val="00684847"/>
    <w:rsid w:val="00684955"/>
    <w:rsid w:val="006855B8"/>
    <w:rsid w:val="006859C0"/>
    <w:rsid w:val="0068637C"/>
    <w:rsid w:val="006864D1"/>
    <w:rsid w:val="00686CE2"/>
    <w:rsid w:val="0068745E"/>
    <w:rsid w:val="006901F3"/>
    <w:rsid w:val="00690A1A"/>
    <w:rsid w:val="00691096"/>
    <w:rsid w:val="0069191F"/>
    <w:rsid w:val="00691B4B"/>
    <w:rsid w:val="0069244B"/>
    <w:rsid w:val="0069266B"/>
    <w:rsid w:val="00692D15"/>
    <w:rsid w:val="00693F30"/>
    <w:rsid w:val="00694D4A"/>
    <w:rsid w:val="00694ECB"/>
    <w:rsid w:val="00695470"/>
    <w:rsid w:val="00695E5E"/>
    <w:rsid w:val="006974C3"/>
    <w:rsid w:val="00697B87"/>
    <w:rsid w:val="006A043D"/>
    <w:rsid w:val="006A07B4"/>
    <w:rsid w:val="006A09A8"/>
    <w:rsid w:val="006A2786"/>
    <w:rsid w:val="006A2898"/>
    <w:rsid w:val="006A2961"/>
    <w:rsid w:val="006A2C3C"/>
    <w:rsid w:val="006A2CCD"/>
    <w:rsid w:val="006A2E1F"/>
    <w:rsid w:val="006A30B9"/>
    <w:rsid w:val="006A3D94"/>
    <w:rsid w:val="006A4500"/>
    <w:rsid w:val="006A4890"/>
    <w:rsid w:val="006A570E"/>
    <w:rsid w:val="006A5D5F"/>
    <w:rsid w:val="006A5F50"/>
    <w:rsid w:val="006A619E"/>
    <w:rsid w:val="006A6726"/>
    <w:rsid w:val="006A7567"/>
    <w:rsid w:val="006A75BC"/>
    <w:rsid w:val="006A75CF"/>
    <w:rsid w:val="006A7B0A"/>
    <w:rsid w:val="006B0963"/>
    <w:rsid w:val="006B1DBD"/>
    <w:rsid w:val="006B1EED"/>
    <w:rsid w:val="006B204D"/>
    <w:rsid w:val="006B2114"/>
    <w:rsid w:val="006B26CC"/>
    <w:rsid w:val="006B30F9"/>
    <w:rsid w:val="006B3166"/>
    <w:rsid w:val="006B39E4"/>
    <w:rsid w:val="006B4B94"/>
    <w:rsid w:val="006B5005"/>
    <w:rsid w:val="006B547B"/>
    <w:rsid w:val="006B5567"/>
    <w:rsid w:val="006B5609"/>
    <w:rsid w:val="006B5BD6"/>
    <w:rsid w:val="006B5C13"/>
    <w:rsid w:val="006B6293"/>
    <w:rsid w:val="006B65D7"/>
    <w:rsid w:val="006B6DA4"/>
    <w:rsid w:val="006B7704"/>
    <w:rsid w:val="006B78C8"/>
    <w:rsid w:val="006C04C9"/>
    <w:rsid w:val="006C0777"/>
    <w:rsid w:val="006C14F2"/>
    <w:rsid w:val="006C193A"/>
    <w:rsid w:val="006C2A4C"/>
    <w:rsid w:val="006C3941"/>
    <w:rsid w:val="006C3BE8"/>
    <w:rsid w:val="006C3F34"/>
    <w:rsid w:val="006C4798"/>
    <w:rsid w:val="006C47B8"/>
    <w:rsid w:val="006C4970"/>
    <w:rsid w:val="006C4DEE"/>
    <w:rsid w:val="006C4F5B"/>
    <w:rsid w:val="006C5289"/>
    <w:rsid w:val="006C550E"/>
    <w:rsid w:val="006C5BF6"/>
    <w:rsid w:val="006C649C"/>
    <w:rsid w:val="006C6936"/>
    <w:rsid w:val="006C6B23"/>
    <w:rsid w:val="006C6D61"/>
    <w:rsid w:val="006C7541"/>
    <w:rsid w:val="006D0590"/>
    <w:rsid w:val="006D0C3A"/>
    <w:rsid w:val="006D1153"/>
    <w:rsid w:val="006D21EF"/>
    <w:rsid w:val="006D2665"/>
    <w:rsid w:val="006D2D69"/>
    <w:rsid w:val="006D30B8"/>
    <w:rsid w:val="006D385E"/>
    <w:rsid w:val="006D4682"/>
    <w:rsid w:val="006D4950"/>
    <w:rsid w:val="006D4F0F"/>
    <w:rsid w:val="006D4F89"/>
    <w:rsid w:val="006D5CFA"/>
    <w:rsid w:val="006D6996"/>
    <w:rsid w:val="006D6FCA"/>
    <w:rsid w:val="006D77C0"/>
    <w:rsid w:val="006D7B56"/>
    <w:rsid w:val="006D7D11"/>
    <w:rsid w:val="006E01C8"/>
    <w:rsid w:val="006E041A"/>
    <w:rsid w:val="006E109D"/>
    <w:rsid w:val="006E278A"/>
    <w:rsid w:val="006E2A90"/>
    <w:rsid w:val="006E3789"/>
    <w:rsid w:val="006E3AFA"/>
    <w:rsid w:val="006E3D10"/>
    <w:rsid w:val="006E42AF"/>
    <w:rsid w:val="006E48BD"/>
    <w:rsid w:val="006E494B"/>
    <w:rsid w:val="006E5782"/>
    <w:rsid w:val="006E5B35"/>
    <w:rsid w:val="006E6159"/>
    <w:rsid w:val="006E640D"/>
    <w:rsid w:val="006E6615"/>
    <w:rsid w:val="006E6A42"/>
    <w:rsid w:val="006E6D57"/>
    <w:rsid w:val="006E6EDE"/>
    <w:rsid w:val="006F079B"/>
    <w:rsid w:val="006F11C0"/>
    <w:rsid w:val="006F1706"/>
    <w:rsid w:val="006F19A0"/>
    <w:rsid w:val="006F1B6E"/>
    <w:rsid w:val="006F2200"/>
    <w:rsid w:val="006F231E"/>
    <w:rsid w:val="006F331F"/>
    <w:rsid w:val="006F3F06"/>
    <w:rsid w:val="006F43F6"/>
    <w:rsid w:val="006F4FE5"/>
    <w:rsid w:val="006F513A"/>
    <w:rsid w:val="006F53D6"/>
    <w:rsid w:val="006F565C"/>
    <w:rsid w:val="006F5C1B"/>
    <w:rsid w:val="006F6015"/>
    <w:rsid w:val="006F614E"/>
    <w:rsid w:val="006F6D21"/>
    <w:rsid w:val="006F7096"/>
    <w:rsid w:val="006F7390"/>
    <w:rsid w:val="006F74A5"/>
    <w:rsid w:val="006F7FEF"/>
    <w:rsid w:val="0070059E"/>
    <w:rsid w:val="007020F7"/>
    <w:rsid w:val="00703EE6"/>
    <w:rsid w:val="0070440C"/>
    <w:rsid w:val="007047BB"/>
    <w:rsid w:val="0070511F"/>
    <w:rsid w:val="0070523B"/>
    <w:rsid w:val="007053FE"/>
    <w:rsid w:val="00705EF9"/>
    <w:rsid w:val="00706992"/>
    <w:rsid w:val="00707544"/>
    <w:rsid w:val="00707D9B"/>
    <w:rsid w:val="00710F55"/>
    <w:rsid w:val="007117F5"/>
    <w:rsid w:val="00711A65"/>
    <w:rsid w:val="00713406"/>
    <w:rsid w:val="00714666"/>
    <w:rsid w:val="007150DB"/>
    <w:rsid w:val="00715859"/>
    <w:rsid w:val="00715874"/>
    <w:rsid w:val="00715E7D"/>
    <w:rsid w:val="00716321"/>
    <w:rsid w:val="007168F5"/>
    <w:rsid w:val="00717099"/>
    <w:rsid w:val="00717A7C"/>
    <w:rsid w:val="00717AED"/>
    <w:rsid w:val="00721B5C"/>
    <w:rsid w:val="00722543"/>
    <w:rsid w:val="00723226"/>
    <w:rsid w:val="00723ACB"/>
    <w:rsid w:val="00723D3A"/>
    <w:rsid w:val="007247E6"/>
    <w:rsid w:val="00724964"/>
    <w:rsid w:val="0072502F"/>
    <w:rsid w:val="007251D6"/>
    <w:rsid w:val="00725F97"/>
    <w:rsid w:val="00726029"/>
    <w:rsid w:val="007265B8"/>
    <w:rsid w:val="00727655"/>
    <w:rsid w:val="00727B9C"/>
    <w:rsid w:val="00727CAB"/>
    <w:rsid w:val="00730350"/>
    <w:rsid w:val="00730907"/>
    <w:rsid w:val="00730B13"/>
    <w:rsid w:val="00731121"/>
    <w:rsid w:val="00731192"/>
    <w:rsid w:val="0073129F"/>
    <w:rsid w:val="0073163D"/>
    <w:rsid w:val="0073192E"/>
    <w:rsid w:val="007321F5"/>
    <w:rsid w:val="0073245F"/>
    <w:rsid w:val="00732A06"/>
    <w:rsid w:val="00732C20"/>
    <w:rsid w:val="00732CB6"/>
    <w:rsid w:val="00732D8B"/>
    <w:rsid w:val="00732DE9"/>
    <w:rsid w:val="007336AD"/>
    <w:rsid w:val="00733AF3"/>
    <w:rsid w:val="00733B59"/>
    <w:rsid w:val="0073460C"/>
    <w:rsid w:val="0073476D"/>
    <w:rsid w:val="0073499E"/>
    <w:rsid w:val="00734F3A"/>
    <w:rsid w:val="00735975"/>
    <w:rsid w:val="00735ACA"/>
    <w:rsid w:val="00735AF2"/>
    <w:rsid w:val="00736CD6"/>
    <w:rsid w:val="00736FE8"/>
    <w:rsid w:val="00737083"/>
    <w:rsid w:val="00737A7F"/>
    <w:rsid w:val="00737E91"/>
    <w:rsid w:val="0074020D"/>
    <w:rsid w:val="007409D0"/>
    <w:rsid w:val="00740F66"/>
    <w:rsid w:val="0074146B"/>
    <w:rsid w:val="007416C6"/>
    <w:rsid w:val="00742A9F"/>
    <w:rsid w:val="00742C45"/>
    <w:rsid w:val="0074496D"/>
    <w:rsid w:val="0074497E"/>
    <w:rsid w:val="00744A90"/>
    <w:rsid w:val="007451DA"/>
    <w:rsid w:val="007456A3"/>
    <w:rsid w:val="00745AE1"/>
    <w:rsid w:val="00746952"/>
    <w:rsid w:val="00747B17"/>
    <w:rsid w:val="00747D6E"/>
    <w:rsid w:val="00750156"/>
    <w:rsid w:val="00750157"/>
    <w:rsid w:val="00750712"/>
    <w:rsid w:val="00751772"/>
    <w:rsid w:val="007517BD"/>
    <w:rsid w:val="00751844"/>
    <w:rsid w:val="0075203E"/>
    <w:rsid w:val="00752F1B"/>
    <w:rsid w:val="00753372"/>
    <w:rsid w:val="0075438D"/>
    <w:rsid w:val="00754875"/>
    <w:rsid w:val="00754C75"/>
    <w:rsid w:val="007557CD"/>
    <w:rsid w:val="00755A2A"/>
    <w:rsid w:val="00755F6D"/>
    <w:rsid w:val="007561B0"/>
    <w:rsid w:val="00756309"/>
    <w:rsid w:val="0075671B"/>
    <w:rsid w:val="00756FBB"/>
    <w:rsid w:val="00757465"/>
    <w:rsid w:val="007575C1"/>
    <w:rsid w:val="007576AE"/>
    <w:rsid w:val="00757A33"/>
    <w:rsid w:val="00757CBF"/>
    <w:rsid w:val="00757D27"/>
    <w:rsid w:val="00761025"/>
    <w:rsid w:val="007612D2"/>
    <w:rsid w:val="00761323"/>
    <w:rsid w:val="0076309A"/>
    <w:rsid w:val="007632D8"/>
    <w:rsid w:val="007637C4"/>
    <w:rsid w:val="00763D5A"/>
    <w:rsid w:val="007640F8"/>
    <w:rsid w:val="007651B7"/>
    <w:rsid w:val="0076520B"/>
    <w:rsid w:val="00765482"/>
    <w:rsid w:val="00765D78"/>
    <w:rsid w:val="00766A92"/>
    <w:rsid w:val="00767AFF"/>
    <w:rsid w:val="00767FAA"/>
    <w:rsid w:val="00770935"/>
    <w:rsid w:val="00770AB8"/>
    <w:rsid w:val="007720B2"/>
    <w:rsid w:val="00772CD0"/>
    <w:rsid w:val="007737EF"/>
    <w:rsid w:val="00773D6F"/>
    <w:rsid w:val="007745E3"/>
    <w:rsid w:val="00775F0C"/>
    <w:rsid w:val="00776253"/>
    <w:rsid w:val="007766B6"/>
    <w:rsid w:val="0077732B"/>
    <w:rsid w:val="00777E87"/>
    <w:rsid w:val="00777F71"/>
    <w:rsid w:val="00780B58"/>
    <w:rsid w:val="00781241"/>
    <w:rsid w:val="00782201"/>
    <w:rsid w:val="007825EC"/>
    <w:rsid w:val="00782796"/>
    <w:rsid w:val="007828FD"/>
    <w:rsid w:val="00783265"/>
    <w:rsid w:val="00783849"/>
    <w:rsid w:val="00784C66"/>
    <w:rsid w:val="007851EC"/>
    <w:rsid w:val="00785687"/>
    <w:rsid w:val="00785CBA"/>
    <w:rsid w:val="00785EEA"/>
    <w:rsid w:val="0078637A"/>
    <w:rsid w:val="0078642F"/>
    <w:rsid w:val="007865F2"/>
    <w:rsid w:val="00786BC3"/>
    <w:rsid w:val="00786FE7"/>
    <w:rsid w:val="0078720B"/>
    <w:rsid w:val="00787918"/>
    <w:rsid w:val="00787ECD"/>
    <w:rsid w:val="00787F23"/>
    <w:rsid w:val="00790181"/>
    <w:rsid w:val="00790246"/>
    <w:rsid w:val="00790692"/>
    <w:rsid w:val="00790E30"/>
    <w:rsid w:val="00792045"/>
    <w:rsid w:val="00793647"/>
    <w:rsid w:val="00793B5F"/>
    <w:rsid w:val="00794104"/>
    <w:rsid w:val="00794BFC"/>
    <w:rsid w:val="00794D39"/>
    <w:rsid w:val="00795687"/>
    <w:rsid w:val="0079570E"/>
    <w:rsid w:val="00796B68"/>
    <w:rsid w:val="00797885"/>
    <w:rsid w:val="00797D1F"/>
    <w:rsid w:val="00797F7F"/>
    <w:rsid w:val="007A0ED0"/>
    <w:rsid w:val="007A10E0"/>
    <w:rsid w:val="007A1DBF"/>
    <w:rsid w:val="007A2D19"/>
    <w:rsid w:val="007A309D"/>
    <w:rsid w:val="007A3615"/>
    <w:rsid w:val="007A37F5"/>
    <w:rsid w:val="007A44A2"/>
    <w:rsid w:val="007A488B"/>
    <w:rsid w:val="007A4EEC"/>
    <w:rsid w:val="007A51FB"/>
    <w:rsid w:val="007A5C9C"/>
    <w:rsid w:val="007A616E"/>
    <w:rsid w:val="007A66FB"/>
    <w:rsid w:val="007A6ABA"/>
    <w:rsid w:val="007A71DD"/>
    <w:rsid w:val="007A7526"/>
    <w:rsid w:val="007A7FCF"/>
    <w:rsid w:val="007B07C4"/>
    <w:rsid w:val="007B13DE"/>
    <w:rsid w:val="007B17E0"/>
    <w:rsid w:val="007B1930"/>
    <w:rsid w:val="007B2159"/>
    <w:rsid w:val="007B2D76"/>
    <w:rsid w:val="007B3471"/>
    <w:rsid w:val="007B3BC8"/>
    <w:rsid w:val="007B3E25"/>
    <w:rsid w:val="007B3E36"/>
    <w:rsid w:val="007B429D"/>
    <w:rsid w:val="007B4875"/>
    <w:rsid w:val="007B5546"/>
    <w:rsid w:val="007B59F3"/>
    <w:rsid w:val="007B5F04"/>
    <w:rsid w:val="007B6005"/>
    <w:rsid w:val="007B621E"/>
    <w:rsid w:val="007B7184"/>
    <w:rsid w:val="007B75F8"/>
    <w:rsid w:val="007B7B5A"/>
    <w:rsid w:val="007C0095"/>
    <w:rsid w:val="007C02FA"/>
    <w:rsid w:val="007C3901"/>
    <w:rsid w:val="007C3ED2"/>
    <w:rsid w:val="007C5E46"/>
    <w:rsid w:val="007C6113"/>
    <w:rsid w:val="007C73D6"/>
    <w:rsid w:val="007D0108"/>
    <w:rsid w:val="007D0153"/>
    <w:rsid w:val="007D0160"/>
    <w:rsid w:val="007D09F2"/>
    <w:rsid w:val="007D0B6D"/>
    <w:rsid w:val="007D1A91"/>
    <w:rsid w:val="007D1D8E"/>
    <w:rsid w:val="007D23A4"/>
    <w:rsid w:val="007D24CD"/>
    <w:rsid w:val="007D353B"/>
    <w:rsid w:val="007D3647"/>
    <w:rsid w:val="007D42F8"/>
    <w:rsid w:val="007D48DC"/>
    <w:rsid w:val="007D490F"/>
    <w:rsid w:val="007D5036"/>
    <w:rsid w:val="007D5045"/>
    <w:rsid w:val="007D5397"/>
    <w:rsid w:val="007D53B2"/>
    <w:rsid w:val="007D58F8"/>
    <w:rsid w:val="007D6036"/>
    <w:rsid w:val="007D604F"/>
    <w:rsid w:val="007D63D4"/>
    <w:rsid w:val="007D684E"/>
    <w:rsid w:val="007D6D71"/>
    <w:rsid w:val="007D74CB"/>
    <w:rsid w:val="007E042E"/>
    <w:rsid w:val="007E049B"/>
    <w:rsid w:val="007E0B0C"/>
    <w:rsid w:val="007E0DCB"/>
    <w:rsid w:val="007E1C44"/>
    <w:rsid w:val="007E272D"/>
    <w:rsid w:val="007E3516"/>
    <w:rsid w:val="007E5083"/>
    <w:rsid w:val="007E5124"/>
    <w:rsid w:val="007E5B1D"/>
    <w:rsid w:val="007E64B4"/>
    <w:rsid w:val="007E6BEA"/>
    <w:rsid w:val="007E7743"/>
    <w:rsid w:val="007E78C7"/>
    <w:rsid w:val="007E7DED"/>
    <w:rsid w:val="007E7F8B"/>
    <w:rsid w:val="007F0E15"/>
    <w:rsid w:val="007F2652"/>
    <w:rsid w:val="007F31B4"/>
    <w:rsid w:val="007F322C"/>
    <w:rsid w:val="007F326C"/>
    <w:rsid w:val="007F3739"/>
    <w:rsid w:val="007F398B"/>
    <w:rsid w:val="007F3F2E"/>
    <w:rsid w:val="007F4316"/>
    <w:rsid w:val="007F49D3"/>
    <w:rsid w:val="007F554B"/>
    <w:rsid w:val="007F6056"/>
    <w:rsid w:val="007F61B5"/>
    <w:rsid w:val="007F620E"/>
    <w:rsid w:val="007F6844"/>
    <w:rsid w:val="007F6AF0"/>
    <w:rsid w:val="007F6DDC"/>
    <w:rsid w:val="007F7186"/>
    <w:rsid w:val="007F73BB"/>
    <w:rsid w:val="007F75E3"/>
    <w:rsid w:val="008002B7"/>
    <w:rsid w:val="008004D6"/>
    <w:rsid w:val="00800687"/>
    <w:rsid w:val="008009CC"/>
    <w:rsid w:val="00800ABE"/>
    <w:rsid w:val="00800E54"/>
    <w:rsid w:val="008022A3"/>
    <w:rsid w:val="008033DD"/>
    <w:rsid w:val="00803C1C"/>
    <w:rsid w:val="00803E36"/>
    <w:rsid w:val="008049FF"/>
    <w:rsid w:val="00804D94"/>
    <w:rsid w:val="008051D8"/>
    <w:rsid w:val="0080524D"/>
    <w:rsid w:val="00805744"/>
    <w:rsid w:val="00805B17"/>
    <w:rsid w:val="008060C7"/>
    <w:rsid w:val="00806613"/>
    <w:rsid w:val="00806655"/>
    <w:rsid w:val="0080692D"/>
    <w:rsid w:val="00806966"/>
    <w:rsid w:val="00806FB2"/>
    <w:rsid w:val="008079A3"/>
    <w:rsid w:val="00807EEE"/>
    <w:rsid w:val="00810504"/>
    <w:rsid w:val="0081225D"/>
    <w:rsid w:val="0081289D"/>
    <w:rsid w:val="00812A24"/>
    <w:rsid w:val="00812C0B"/>
    <w:rsid w:val="00814C5B"/>
    <w:rsid w:val="008157FD"/>
    <w:rsid w:val="00815EF5"/>
    <w:rsid w:val="00816053"/>
    <w:rsid w:val="00817818"/>
    <w:rsid w:val="00817A8D"/>
    <w:rsid w:val="00817E18"/>
    <w:rsid w:val="00817F81"/>
    <w:rsid w:val="00820BC0"/>
    <w:rsid w:val="0082180E"/>
    <w:rsid w:val="00822499"/>
    <w:rsid w:val="008229E1"/>
    <w:rsid w:val="00822DFA"/>
    <w:rsid w:val="0082309A"/>
    <w:rsid w:val="008234A3"/>
    <w:rsid w:val="008239DD"/>
    <w:rsid w:val="00823A10"/>
    <w:rsid w:val="00823CBC"/>
    <w:rsid w:val="00823CE3"/>
    <w:rsid w:val="0082443A"/>
    <w:rsid w:val="00824FCC"/>
    <w:rsid w:val="008251F3"/>
    <w:rsid w:val="0082556E"/>
    <w:rsid w:val="0082584C"/>
    <w:rsid w:val="0082670D"/>
    <w:rsid w:val="008270AE"/>
    <w:rsid w:val="008303CA"/>
    <w:rsid w:val="008303F9"/>
    <w:rsid w:val="00830724"/>
    <w:rsid w:val="008309C9"/>
    <w:rsid w:val="008318C5"/>
    <w:rsid w:val="00831C6E"/>
    <w:rsid w:val="00831E33"/>
    <w:rsid w:val="00832346"/>
    <w:rsid w:val="00832ECD"/>
    <w:rsid w:val="0083313C"/>
    <w:rsid w:val="0083320D"/>
    <w:rsid w:val="0083368A"/>
    <w:rsid w:val="00833B95"/>
    <w:rsid w:val="008340FD"/>
    <w:rsid w:val="00834285"/>
    <w:rsid w:val="00834B3A"/>
    <w:rsid w:val="00835986"/>
    <w:rsid w:val="0083631D"/>
    <w:rsid w:val="00836BA8"/>
    <w:rsid w:val="00836C21"/>
    <w:rsid w:val="0084067C"/>
    <w:rsid w:val="0084069A"/>
    <w:rsid w:val="0084079F"/>
    <w:rsid w:val="00840B9C"/>
    <w:rsid w:val="00840D12"/>
    <w:rsid w:val="0084137D"/>
    <w:rsid w:val="00841983"/>
    <w:rsid w:val="00841E83"/>
    <w:rsid w:val="00843304"/>
    <w:rsid w:val="00843C87"/>
    <w:rsid w:val="00844079"/>
    <w:rsid w:val="008444D0"/>
    <w:rsid w:val="00845536"/>
    <w:rsid w:val="00845827"/>
    <w:rsid w:val="00845916"/>
    <w:rsid w:val="008461C3"/>
    <w:rsid w:val="00846205"/>
    <w:rsid w:val="0084627E"/>
    <w:rsid w:val="008463D7"/>
    <w:rsid w:val="008477DD"/>
    <w:rsid w:val="008478D5"/>
    <w:rsid w:val="008502A5"/>
    <w:rsid w:val="0085040D"/>
    <w:rsid w:val="00851597"/>
    <w:rsid w:val="00851B3C"/>
    <w:rsid w:val="00851F07"/>
    <w:rsid w:val="008526BE"/>
    <w:rsid w:val="00852B73"/>
    <w:rsid w:val="0085320C"/>
    <w:rsid w:val="008532FB"/>
    <w:rsid w:val="00853C34"/>
    <w:rsid w:val="00853D48"/>
    <w:rsid w:val="008545E5"/>
    <w:rsid w:val="008546FC"/>
    <w:rsid w:val="00854C1F"/>
    <w:rsid w:val="00855637"/>
    <w:rsid w:val="0085585E"/>
    <w:rsid w:val="00856AE4"/>
    <w:rsid w:val="00856F26"/>
    <w:rsid w:val="00856FE4"/>
    <w:rsid w:val="0086014F"/>
    <w:rsid w:val="00860B60"/>
    <w:rsid w:val="00861206"/>
    <w:rsid w:val="008616EC"/>
    <w:rsid w:val="00861828"/>
    <w:rsid w:val="00862E9F"/>
    <w:rsid w:val="0086347C"/>
    <w:rsid w:val="00863600"/>
    <w:rsid w:val="00863785"/>
    <w:rsid w:val="00863DF9"/>
    <w:rsid w:val="00864236"/>
    <w:rsid w:val="00864390"/>
    <w:rsid w:val="008657C7"/>
    <w:rsid w:val="00866C89"/>
    <w:rsid w:val="00866CC4"/>
    <w:rsid w:val="00866E9B"/>
    <w:rsid w:val="00866F8C"/>
    <w:rsid w:val="008700DC"/>
    <w:rsid w:val="0087024D"/>
    <w:rsid w:val="008705AD"/>
    <w:rsid w:val="0087138B"/>
    <w:rsid w:val="0087183A"/>
    <w:rsid w:val="0087338F"/>
    <w:rsid w:val="0087568F"/>
    <w:rsid w:val="008757B9"/>
    <w:rsid w:val="0087598C"/>
    <w:rsid w:val="00875B99"/>
    <w:rsid w:val="00875C04"/>
    <w:rsid w:val="008761F0"/>
    <w:rsid w:val="00876251"/>
    <w:rsid w:val="00876838"/>
    <w:rsid w:val="008768B9"/>
    <w:rsid w:val="008779BF"/>
    <w:rsid w:val="00877EF5"/>
    <w:rsid w:val="00880FA4"/>
    <w:rsid w:val="00881193"/>
    <w:rsid w:val="00881391"/>
    <w:rsid w:val="008813F6"/>
    <w:rsid w:val="0088150D"/>
    <w:rsid w:val="00881C72"/>
    <w:rsid w:val="0088282C"/>
    <w:rsid w:val="00882954"/>
    <w:rsid w:val="008831B3"/>
    <w:rsid w:val="008838EE"/>
    <w:rsid w:val="00883F83"/>
    <w:rsid w:val="008843EB"/>
    <w:rsid w:val="0088459B"/>
    <w:rsid w:val="0088461B"/>
    <w:rsid w:val="00884813"/>
    <w:rsid w:val="00884BA6"/>
    <w:rsid w:val="00885404"/>
    <w:rsid w:val="00885B83"/>
    <w:rsid w:val="00885D5A"/>
    <w:rsid w:val="008865CC"/>
    <w:rsid w:val="00886903"/>
    <w:rsid w:val="00886945"/>
    <w:rsid w:val="008879FE"/>
    <w:rsid w:val="00887A94"/>
    <w:rsid w:val="0089030C"/>
    <w:rsid w:val="00890477"/>
    <w:rsid w:val="00890D7E"/>
    <w:rsid w:val="00890FBC"/>
    <w:rsid w:val="00891021"/>
    <w:rsid w:val="008917D4"/>
    <w:rsid w:val="0089219C"/>
    <w:rsid w:val="00892524"/>
    <w:rsid w:val="008944D9"/>
    <w:rsid w:val="00894B74"/>
    <w:rsid w:val="00894C35"/>
    <w:rsid w:val="0089577D"/>
    <w:rsid w:val="008957DF"/>
    <w:rsid w:val="00895B1E"/>
    <w:rsid w:val="00895D53"/>
    <w:rsid w:val="008973F8"/>
    <w:rsid w:val="00897814"/>
    <w:rsid w:val="00897E56"/>
    <w:rsid w:val="00897F78"/>
    <w:rsid w:val="008A0103"/>
    <w:rsid w:val="008A02FA"/>
    <w:rsid w:val="008A137F"/>
    <w:rsid w:val="008A13A5"/>
    <w:rsid w:val="008A196E"/>
    <w:rsid w:val="008A312C"/>
    <w:rsid w:val="008A3F45"/>
    <w:rsid w:val="008A447A"/>
    <w:rsid w:val="008A45E5"/>
    <w:rsid w:val="008A4C1F"/>
    <w:rsid w:val="008A4CC8"/>
    <w:rsid w:val="008A50F9"/>
    <w:rsid w:val="008A540B"/>
    <w:rsid w:val="008A5B62"/>
    <w:rsid w:val="008A768F"/>
    <w:rsid w:val="008B01C5"/>
    <w:rsid w:val="008B128D"/>
    <w:rsid w:val="008B1E5A"/>
    <w:rsid w:val="008B2114"/>
    <w:rsid w:val="008B211C"/>
    <w:rsid w:val="008B2142"/>
    <w:rsid w:val="008B219E"/>
    <w:rsid w:val="008B2497"/>
    <w:rsid w:val="008B263E"/>
    <w:rsid w:val="008B2917"/>
    <w:rsid w:val="008B3175"/>
    <w:rsid w:val="008B31C0"/>
    <w:rsid w:val="008B32B5"/>
    <w:rsid w:val="008B383A"/>
    <w:rsid w:val="008B48E5"/>
    <w:rsid w:val="008B5836"/>
    <w:rsid w:val="008B5A81"/>
    <w:rsid w:val="008B5C3A"/>
    <w:rsid w:val="008B6879"/>
    <w:rsid w:val="008B6CAC"/>
    <w:rsid w:val="008B7C56"/>
    <w:rsid w:val="008C0055"/>
    <w:rsid w:val="008C0161"/>
    <w:rsid w:val="008C02BF"/>
    <w:rsid w:val="008C038A"/>
    <w:rsid w:val="008C1574"/>
    <w:rsid w:val="008C15B7"/>
    <w:rsid w:val="008C262D"/>
    <w:rsid w:val="008C2724"/>
    <w:rsid w:val="008C27A4"/>
    <w:rsid w:val="008C2DAA"/>
    <w:rsid w:val="008C3441"/>
    <w:rsid w:val="008C36D2"/>
    <w:rsid w:val="008C37F0"/>
    <w:rsid w:val="008C39A5"/>
    <w:rsid w:val="008C4CDA"/>
    <w:rsid w:val="008C50CF"/>
    <w:rsid w:val="008C510F"/>
    <w:rsid w:val="008C5D0D"/>
    <w:rsid w:val="008C5E1B"/>
    <w:rsid w:val="008C5F80"/>
    <w:rsid w:val="008C68E9"/>
    <w:rsid w:val="008C6986"/>
    <w:rsid w:val="008C79B0"/>
    <w:rsid w:val="008C7ABE"/>
    <w:rsid w:val="008D08D6"/>
    <w:rsid w:val="008D0EBA"/>
    <w:rsid w:val="008D1160"/>
    <w:rsid w:val="008D1490"/>
    <w:rsid w:val="008D1891"/>
    <w:rsid w:val="008D18BE"/>
    <w:rsid w:val="008D21D8"/>
    <w:rsid w:val="008D279C"/>
    <w:rsid w:val="008D2A31"/>
    <w:rsid w:val="008D3C34"/>
    <w:rsid w:val="008D539B"/>
    <w:rsid w:val="008D6AA8"/>
    <w:rsid w:val="008D743B"/>
    <w:rsid w:val="008D7E26"/>
    <w:rsid w:val="008D7EBF"/>
    <w:rsid w:val="008E057B"/>
    <w:rsid w:val="008E0A3E"/>
    <w:rsid w:val="008E0D11"/>
    <w:rsid w:val="008E11E2"/>
    <w:rsid w:val="008E1D50"/>
    <w:rsid w:val="008E1D8D"/>
    <w:rsid w:val="008E209F"/>
    <w:rsid w:val="008E2289"/>
    <w:rsid w:val="008E27C5"/>
    <w:rsid w:val="008E2E3E"/>
    <w:rsid w:val="008E35DD"/>
    <w:rsid w:val="008E3697"/>
    <w:rsid w:val="008E38BB"/>
    <w:rsid w:val="008E42ED"/>
    <w:rsid w:val="008E43FF"/>
    <w:rsid w:val="008E47D4"/>
    <w:rsid w:val="008E4C0A"/>
    <w:rsid w:val="008E5385"/>
    <w:rsid w:val="008E5884"/>
    <w:rsid w:val="008E58C4"/>
    <w:rsid w:val="008E5BA9"/>
    <w:rsid w:val="008E63C8"/>
    <w:rsid w:val="008E647D"/>
    <w:rsid w:val="008E69A6"/>
    <w:rsid w:val="008F0099"/>
    <w:rsid w:val="008F0128"/>
    <w:rsid w:val="008F0136"/>
    <w:rsid w:val="008F0239"/>
    <w:rsid w:val="008F09B2"/>
    <w:rsid w:val="008F0B21"/>
    <w:rsid w:val="008F0BE6"/>
    <w:rsid w:val="008F0DE7"/>
    <w:rsid w:val="008F0E32"/>
    <w:rsid w:val="008F15D0"/>
    <w:rsid w:val="008F1B53"/>
    <w:rsid w:val="008F1DEF"/>
    <w:rsid w:val="008F1E2E"/>
    <w:rsid w:val="008F2FCD"/>
    <w:rsid w:val="008F39A9"/>
    <w:rsid w:val="008F39EE"/>
    <w:rsid w:val="008F46B9"/>
    <w:rsid w:val="008F5589"/>
    <w:rsid w:val="008F5DA8"/>
    <w:rsid w:val="008F5E7C"/>
    <w:rsid w:val="008F6579"/>
    <w:rsid w:val="008F6CCD"/>
    <w:rsid w:val="008F75CD"/>
    <w:rsid w:val="008F7830"/>
    <w:rsid w:val="008F792B"/>
    <w:rsid w:val="00900164"/>
    <w:rsid w:val="00900FD7"/>
    <w:rsid w:val="00901431"/>
    <w:rsid w:val="0090193C"/>
    <w:rsid w:val="00901CF3"/>
    <w:rsid w:val="00901E01"/>
    <w:rsid w:val="00901F0D"/>
    <w:rsid w:val="00902031"/>
    <w:rsid w:val="00902759"/>
    <w:rsid w:val="00902A7E"/>
    <w:rsid w:val="00903202"/>
    <w:rsid w:val="00903ACF"/>
    <w:rsid w:val="00904489"/>
    <w:rsid w:val="009045BC"/>
    <w:rsid w:val="009048EB"/>
    <w:rsid w:val="0090492A"/>
    <w:rsid w:val="00904CD3"/>
    <w:rsid w:val="0090546D"/>
    <w:rsid w:val="00905571"/>
    <w:rsid w:val="009059F2"/>
    <w:rsid w:val="00906198"/>
    <w:rsid w:val="0090665E"/>
    <w:rsid w:val="00906D1B"/>
    <w:rsid w:val="00910288"/>
    <w:rsid w:val="009117DA"/>
    <w:rsid w:val="00911AEC"/>
    <w:rsid w:val="00911E4F"/>
    <w:rsid w:val="00912456"/>
    <w:rsid w:val="00912617"/>
    <w:rsid w:val="00913998"/>
    <w:rsid w:val="00913D59"/>
    <w:rsid w:val="009142D5"/>
    <w:rsid w:val="00914326"/>
    <w:rsid w:val="00914E46"/>
    <w:rsid w:val="0091509F"/>
    <w:rsid w:val="00915A13"/>
    <w:rsid w:val="0091669C"/>
    <w:rsid w:val="00916809"/>
    <w:rsid w:val="009168A5"/>
    <w:rsid w:val="00916A31"/>
    <w:rsid w:val="00916C3B"/>
    <w:rsid w:val="00916C78"/>
    <w:rsid w:val="00916D8A"/>
    <w:rsid w:val="009170A7"/>
    <w:rsid w:val="00917B1D"/>
    <w:rsid w:val="00920418"/>
    <w:rsid w:val="009204B3"/>
    <w:rsid w:val="00921021"/>
    <w:rsid w:val="009214EE"/>
    <w:rsid w:val="00921718"/>
    <w:rsid w:val="00921D78"/>
    <w:rsid w:val="0092280E"/>
    <w:rsid w:val="00923071"/>
    <w:rsid w:val="00923ABF"/>
    <w:rsid w:val="00923E05"/>
    <w:rsid w:val="00923F8C"/>
    <w:rsid w:val="0092407C"/>
    <w:rsid w:val="009241FF"/>
    <w:rsid w:val="00924DB9"/>
    <w:rsid w:val="00925209"/>
    <w:rsid w:val="00925260"/>
    <w:rsid w:val="009257EC"/>
    <w:rsid w:val="0092588B"/>
    <w:rsid w:val="00927308"/>
    <w:rsid w:val="009276A6"/>
    <w:rsid w:val="00930026"/>
    <w:rsid w:val="00930270"/>
    <w:rsid w:val="009303E1"/>
    <w:rsid w:val="00932ECD"/>
    <w:rsid w:val="009333E9"/>
    <w:rsid w:val="00933B6A"/>
    <w:rsid w:val="00933D35"/>
    <w:rsid w:val="00934202"/>
    <w:rsid w:val="0093423C"/>
    <w:rsid w:val="00935505"/>
    <w:rsid w:val="00935C48"/>
    <w:rsid w:val="00935D28"/>
    <w:rsid w:val="009362F1"/>
    <w:rsid w:val="00936362"/>
    <w:rsid w:val="0093697B"/>
    <w:rsid w:val="0093700B"/>
    <w:rsid w:val="009371C1"/>
    <w:rsid w:val="009376A8"/>
    <w:rsid w:val="00940DB9"/>
    <w:rsid w:val="00940F68"/>
    <w:rsid w:val="0094117E"/>
    <w:rsid w:val="009416C1"/>
    <w:rsid w:val="00943353"/>
    <w:rsid w:val="00944885"/>
    <w:rsid w:val="0094558C"/>
    <w:rsid w:val="00945605"/>
    <w:rsid w:val="00946B80"/>
    <w:rsid w:val="00946BBD"/>
    <w:rsid w:val="00947987"/>
    <w:rsid w:val="00947ADE"/>
    <w:rsid w:val="00947E0E"/>
    <w:rsid w:val="00950081"/>
    <w:rsid w:val="00950953"/>
    <w:rsid w:val="00950B16"/>
    <w:rsid w:val="00951110"/>
    <w:rsid w:val="00951549"/>
    <w:rsid w:val="009517E1"/>
    <w:rsid w:val="00952048"/>
    <w:rsid w:val="00952CFC"/>
    <w:rsid w:val="00952E4D"/>
    <w:rsid w:val="00953350"/>
    <w:rsid w:val="009538E7"/>
    <w:rsid w:val="00954140"/>
    <w:rsid w:val="0095484C"/>
    <w:rsid w:val="00954B6D"/>
    <w:rsid w:val="00956961"/>
    <w:rsid w:val="00956D31"/>
    <w:rsid w:val="00957573"/>
    <w:rsid w:val="00957A4F"/>
    <w:rsid w:val="009606AB"/>
    <w:rsid w:val="009606BE"/>
    <w:rsid w:val="009620C8"/>
    <w:rsid w:val="00963385"/>
    <w:rsid w:val="00963450"/>
    <w:rsid w:val="009646C5"/>
    <w:rsid w:val="00964C0A"/>
    <w:rsid w:val="00966955"/>
    <w:rsid w:val="0096790C"/>
    <w:rsid w:val="00970E63"/>
    <w:rsid w:val="009715DA"/>
    <w:rsid w:val="0097252E"/>
    <w:rsid w:val="00972EEA"/>
    <w:rsid w:val="00973630"/>
    <w:rsid w:val="00973FDD"/>
    <w:rsid w:val="00974062"/>
    <w:rsid w:val="009755F3"/>
    <w:rsid w:val="00975655"/>
    <w:rsid w:val="0097641C"/>
    <w:rsid w:val="00977E71"/>
    <w:rsid w:val="00980276"/>
    <w:rsid w:val="00980853"/>
    <w:rsid w:val="00982737"/>
    <w:rsid w:val="00982D4F"/>
    <w:rsid w:val="00982DAD"/>
    <w:rsid w:val="00983208"/>
    <w:rsid w:val="009836A5"/>
    <w:rsid w:val="00983DE9"/>
    <w:rsid w:val="00984FD9"/>
    <w:rsid w:val="00985D7C"/>
    <w:rsid w:val="0098611F"/>
    <w:rsid w:val="009871C4"/>
    <w:rsid w:val="00987365"/>
    <w:rsid w:val="00987F46"/>
    <w:rsid w:val="009904BC"/>
    <w:rsid w:val="00991020"/>
    <w:rsid w:val="00991514"/>
    <w:rsid w:val="00991E20"/>
    <w:rsid w:val="00992217"/>
    <w:rsid w:val="009923F2"/>
    <w:rsid w:val="009924BA"/>
    <w:rsid w:val="009925CF"/>
    <w:rsid w:val="00993A72"/>
    <w:rsid w:val="00993C4C"/>
    <w:rsid w:val="00993C71"/>
    <w:rsid w:val="00993E28"/>
    <w:rsid w:val="0099459C"/>
    <w:rsid w:val="0099469A"/>
    <w:rsid w:val="009948A5"/>
    <w:rsid w:val="009956AE"/>
    <w:rsid w:val="009960B9"/>
    <w:rsid w:val="00996707"/>
    <w:rsid w:val="009977A8"/>
    <w:rsid w:val="009A027F"/>
    <w:rsid w:val="009A059C"/>
    <w:rsid w:val="009A177D"/>
    <w:rsid w:val="009A1A12"/>
    <w:rsid w:val="009A2360"/>
    <w:rsid w:val="009A26E2"/>
    <w:rsid w:val="009A3E7C"/>
    <w:rsid w:val="009A41F5"/>
    <w:rsid w:val="009A4272"/>
    <w:rsid w:val="009A4375"/>
    <w:rsid w:val="009A4BA6"/>
    <w:rsid w:val="009A5AE0"/>
    <w:rsid w:val="009A6917"/>
    <w:rsid w:val="009A69A8"/>
    <w:rsid w:val="009A6B4D"/>
    <w:rsid w:val="009A6D40"/>
    <w:rsid w:val="009A6ED5"/>
    <w:rsid w:val="009A6EF4"/>
    <w:rsid w:val="009A7CFC"/>
    <w:rsid w:val="009A7FCD"/>
    <w:rsid w:val="009B03D7"/>
    <w:rsid w:val="009B041E"/>
    <w:rsid w:val="009B1092"/>
    <w:rsid w:val="009B161D"/>
    <w:rsid w:val="009B1645"/>
    <w:rsid w:val="009B1934"/>
    <w:rsid w:val="009B1A00"/>
    <w:rsid w:val="009B1D75"/>
    <w:rsid w:val="009B2006"/>
    <w:rsid w:val="009B2064"/>
    <w:rsid w:val="009B4176"/>
    <w:rsid w:val="009B49D1"/>
    <w:rsid w:val="009B4CCA"/>
    <w:rsid w:val="009B536D"/>
    <w:rsid w:val="009B59FD"/>
    <w:rsid w:val="009B5FD4"/>
    <w:rsid w:val="009B629F"/>
    <w:rsid w:val="009B6767"/>
    <w:rsid w:val="009B7865"/>
    <w:rsid w:val="009B797E"/>
    <w:rsid w:val="009B7FFA"/>
    <w:rsid w:val="009C0170"/>
    <w:rsid w:val="009C0A2B"/>
    <w:rsid w:val="009C0FFA"/>
    <w:rsid w:val="009C1405"/>
    <w:rsid w:val="009C19EF"/>
    <w:rsid w:val="009C22C8"/>
    <w:rsid w:val="009C29BB"/>
    <w:rsid w:val="009C2E67"/>
    <w:rsid w:val="009C3543"/>
    <w:rsid w:val="009C3B2A"/>
    <w:rsid w:val="009C3BB2"/>
    <w:rsid w:val="009C4FE6"/>
    <w:rsid w:val="009C5347"/>
    <w:rsid w:val="009C53A1"/>
    <w:rsid w:val="009C551C"/>
    <w:rsid w:val="009C5B80"/>
    <w:rsid w:val="009C5BC9"/>
    <w:rsid w:val="009C6316"/>
    <w:rsid w:val="009C688F"/>
    <w:rsid w:val="009C7827"/>
    <w:rsid w:val="009C7C57"/>
    <w:rsid w:val="009C7EAA"/>
    <w:rsid w:val="009D0A42"/>
    <w:rsid w:val="009D108C"/>
    <w:rsid w:val="009D1FCC"/>
    <w:rsid w:val="009D2077"/>
    <w:rsid w:val="009D26C7"/>
    <w:rsid w:val="009D3304"/>
    <w:rsid w:val="009D33EC"/>
    <w:rsid w:val="009D340D"/>
    <w:rsid w:val="009D342A"/>
    <w:rsid w:val="009D3542"/>
    <w:rsid w:val="009D3595"/>
    <w:rsid w:val="009D3674"/>
    <w:rsid w:val="009D3A49"/>
    <w:rsid w:val="009D3C61"/>
    <w:rsid w:val="009D3F6E"/>
    <w:rsid w:val="009D4169"/>
    <w:rsid w:val="009D4175"/>
    <w:rsid w:val="009D4988"/>
    <w:rsid w:val="009D4ACE"/>
    <w:rsid w:val="009D50E7"/>
    <w:rsid w:val="009D56AE"/>
    <w:rsid w:val="009D61E3"/>
    <w:rsid w:val="009D63A6"/>
    <w:rsid w:val="009D6BD8"/>
    <w:rsid w:val="009D6EF5"/>
    <w:rsid w:val="009D7569"/>
    <w:rsid w:val="009D7AF1"/>
    <w:rsid w:val="009D7F2D"/>
    <w:rsid w:val="009E0BCC"/>
    <w:rsid w:val="009E191F"/>
    <w:rsid w:val="009E1BB2"/>
    <w:rsid w:val="009E1C17"/>
    <w:rsid w:val="009E210F"/>
    <w:rsid w:val="009E2E08"/>
    <w:rsid w:val="009E3049"/>
    <w:rsid w:val="009E3190"/>
    <w:rsid w:val="009E3D99"/>
    <w:rsid w:val="009E3E1E"/>
    <w:rsid w:val="009E3E2E"/>
    <w:rsid w:val="009E42B7"/>
    <w:rsid w:val="009E4BBE"/>
    <w:rsid w:val="009E5728"/>
    <w:rsid w:val="009E5944"/>
    <w:rsid w:val="009E5ED3"/>
    <w:rsid w:val="009E644A"/>
    <w:rsid w:val="009E65D1"/>
    <w:rsid w:val="009E6980"/>
    <w:rsid w:val="009E6AF6"/>
    <w:rsid w:val="009E6C4E"/>
    <w:rsid w:val="009E7843"/>
    <w:rsid w:val="009E7D30"/>
    <w:rsid w:val="009E7E52"/>
    <w:rsid w:val="009F00A3"/>
    <w:rsid w:val="009F01EC"/>
    <w:rsid w:val="009F0310"/>
    <w:rsid w:val="009F0C13"/>
    <w:rsid w:val="009F0F62"/>
    <w:rsid w:val="009F265B"/>
    <w:rsid w:val="009F28CF"/>
    <w:rsid w:val="009F2EAF"/>
    <w:rsid w:val="009F5220"/>
    <w:rsid w:val="009F7110"/>
    <w:rsid w:val="009F7844"/>
    <w:rsid w:val="009F7A8A"/>
    <w:rsid w:val="009F7BBA"/>
    <w:rsid w:val="009F7C0E"/>
    <w:rsid w:val="00A00585"/>
    <w:rsid w:val="00A00A2B"/>
    <w:rsid w:val="00A01436"/>
    <w:rsid w:val="00A016A6"/>
    <w:rsid w:val="00A01A8C"/>
    <w:rsid w:val="00A02417"/>
    <w:rsid w:val="00A03E2C"/>
    <w:rsid w:val="00A049B9"/>
    <w:rsid w:val="00A04EE0"/>
    <w:rsid w:val="00A050D8"/>
    <w:rsid w:val="00A05E2C"/>
    <w:rsid w:val="00A06307"/>
    <w:rsid w:val="00A0682D"/>
    <w:rsid w:val="00A06D31"/>
    <w:rsid w:val="00A07230"/>
    <w:rsid w:val="00A07E10"/>
    <w:rsid w:val="00A07FB5"/>
    <w:rsid w:val="00A10062"/>
    <w:rsid w:val="00A10F86"/>
    <w:rsid w:val="00A11E37"/>
    <w:rsid w:val="00A127E2"/>
    <w:rsid w:val="00A127F0"/>
    <w:rsid w:val="00A1443A"/>
    <w:rsid w:val="00A14D14"/>
    <w:rsid w:val="00A14EA0"/>
    <w:rsid w:val="00A15C37"/>
    <w:rsid w:val="00A17179"/>
    <w:rsid w:val="00A172B7"/>
    <w:rsid w:val="00A1736C"/>
    <w:rsid w:val="00A2019A"/>
    <w:rsid w:val="00A20822"/>
    <w:rsid w:val="00A224E1"/>
    <w:rsid w:val="00A23042"/>
    <w:rsid w:val="00A23639"/>
    <w:rsid w:val="00A2367E"/>
    <w:rsid w:val="00A237DA"/>
    <w:rsid w:val="00A23E31"/>
    <w:rsid w:val="00A24876"/>
    <w:rsid w:val="00A2527B"/>
    <w:rsid w:val="00A264D6"/>
    <w:rsid w:val="00A26E6B"/>
    <w:rsid w:val="00A2703A"/>
    <w:rsid w:val="00A270A6"/>
    <w:rsid w:val="00A27DEA"/>
    <w:rsid w:val="00A3089C"/>
    <w:rsid w:val="00A30BB8"/>
    <w:rsid w:val="00A3152F"/>
    <w:rsid w:val="00A3208E"/>
    <w:rsid w:val="00A328EB"/>
    <w:rsid w:val="00A32988"/>
    <w:rsid w:val="00A32D11"/>
    <w:rsid w:val="00A32D75"/>
    <w:rsid w:val="00A330F1"/>
    <w:rsid w:val="00A3333C"/>
    <w:rsid w:val="00A33647"/>
    <w:rsid w:val="00A33664"/>
    <w:rsid w:val="00A337BF"/>
    <w:rsid w:val="00A33B66"/>
    <w:rsid w:val="00A33C30"/>
    <w:rsid w:val="00A34285"/>
    <w:rsid w:val="00A342D4"/>
    <w:rsid w:val="00A345A7"/>
    <w:rsid w:val="00A34B7A"/>
    <w:rsid w:val="00A34EFB"/>
    <w:rsid w:val="00A356D1"/>
    <w:rsid w:val="00A36EB1"/>
    <w:rsid w:val="00A371B5"/>
    <w:rsid w:val="00A378D4"/>
    <w:rsid w:val="00A37C17"/>
    <w:rsid w:val="00A400D3"/>
    <w:rsid w:val="00A4092D"/>
    <w:rsid w:val="00A40D1D"/>
    <w:rsid w:val="00A40D23"/>
    <w:rsid w:val="00A40F56"/>
    <w:rsid w:val="00A40FAD"/>
    <w:rsid w:val="00A4138E"/>
    <w:rsid w:val="00A41450"/>
    <w:rsid w:val="00A41D71"/>
    <w:rsid w:val="00A423FA"/>
    <w:rsid w:val="00A4290F"/>
    <w:rsid w:val="00A440D8"/>
    <w:rsid w:val="00A44171"/>
    <w:rsid w:val="00A45706"/>
    <w:rsid w:val="00A45F7D"/>
    <w:rsid w:val="00A45F8E"/>
    <w:rsid w:val="00A466CA"/>
    <w:rsid w:val="00A471A0"/>
    <w:rsid w:val="00A47F4E"/>
    <w:rsid w:val="00A50D37"/>
    <w:rsid w:val="00A5130A"/>
    <w:rsid w:val="00A5187F"/>
    <w:rsid w:val="00A519C5"/>
    <w:rsid w:val="00A52C20"/>
    <w:rsid w:val="00A52E15"/>
    <w:rsid w:val="00A53C83"/>
    <w:rsid w:val="00A53CF5"/>
    <w:rsid w:val="00A53EDC"/>
    <w:rsid w:val="00A53F3E"/>
    <w:rsid w:val="00A542EC"/>
    <w:rsid w:val="00A547EC"/>
    <w:rsid w:val="00A548DE"/>
    <w:rsid w:val="00A55316"/>
    <w:rsid w:val="00A5544E"/>
    <w:rsid w:val="00A558A1"/>
    <w:rsid w:val="00A56DFE"/>
    <w:rsid w:val="00A57176"/>
    <w:rsid w:val="00A57496"/>
    <w:rsid w:val="00A57AE2"/>
    <w:rsid w:val="00A57B60"/>
    <w:rsid w:val="00A57BD8"/>
    <w:rsid w:val="00A60C69"/>
    <w:rsid w:val="00A60D74"/>
    <w:rsid w:val="00A61F2E"/>
    <w:rsid w:val="00A62E1A"/>
    <w:rsid w:val="00A62F5D"/>
    <w:rsid w:val="00A634D2"/>
    <w:rsid w:val="00A63697"/>
    <w:rsid w:val="00A63CF7"/>
    <w:rsid w:val="00A63D30"/>
    <w:rsid w:val="00A6475C"/>
    <w:rsid w:val="00A65699"/>
    <w:rsid w:val="00A65938"/>
    <w:rsid w:val="00A660A0"/>
    <w:rsid w:val="00A666FE"/>
    <w:rsid w:val="00A6680B"/>
    <w:rsid w:val="00A676D3"/>
    <w:rsid w:val="00A676EE"/>
    <w:rsid w:val="00A67DCE"/>
    <w:rsid w:val="00A70B82"/>
    <w:rsid w:val="00A70DD9"/>
    <w:rsid w:val="00A71355"/>
    <w:rsid w:val="00A71518"/>
    <w:rsid w:val="00A715BC"/>
    <w:rsid w:val="00A71CE0"/>
    <w:rsid w:val="00A7239A"/>
    <w:rsid w:val="00A7254B"/>
    <w:rsid w:val="00A726DD"/>
    <w:rsid w:val="00A726DE"/>
    <w:rsid w:val="00A72FB1"/>
    <w:rsid w:val="00A73087"/>
    <w:rsid w:val="00A7382A"/>
    <w:rsid w:val="00A73A5C"/>
    <w:rsid w:val="00A741AE"/>
    <w:rsid w:val="00A75290"/>
    <w:rsid w:val="00A75ADB"/>
    <w:rsid w:val="00A76186"/>
    <w:rsid w:val="00A7699B"/>
    <w:rsid w:val="00A77E1B"/>
    <w:rsid w:val="00A77EB2"/>
    <w:rsid w:val="00A80165"/>
    <w:rsid w:val="00A80CB9"/>
    <w:rsid w:val="00A810BA"/>
    <w:rsid w:val="00A813D7"/>
    <w:rsid w:val="00A818DA"/>
    <w:rsid w:val="00A82119"/>
    <w:rsid w:val="00A82293"/>
    <w:rsid w:val="00A832BC"/>
    <w:rsid w:val="00A83445"/>
    <w:rsid w:val="00A83A3E"/>
    <w:rsid w:val="00A84127"/>
    <w:rsid w:val="00A846E4"/>
    <w:rsid w:val="00A848E4"/>
    <w:rsid w:val="00A850AC"/>
    <w:rsid w:val="00A85447"/>
    <w:rsid w:val="00A85E6E"/>
    <w:rsid w:val="00A85F73"/>
    <w:rsid w:val="00A86040"/>
    <w:rsid w:val="00A8626E"/>
    <w:rsid w:val="00A864D7"/>
    <w:rsid w:val="00A8663F"/>
    <w:rsid w:val="00A86692"/>
    <w:rsid w:val="00A86855"/>
    <w:rsid w:val="00A86AA5"/>
    <w:rsid w:val="00A91763"/>
    <w:rsid w:val="00A9182B"/>
    <w:rsid w:val="00A91BDF"/>
    <w:rsid w:val="00A91EB0"/>
    <w:rsid w:val="00A9282E"/>
    <w:rsid w:val="00A92913"/>
    <w:rsid w:val="00A93105"/>
    <w:rsid w:val="00A93A9F"/>
    <w:rsid w:val="00A93AC3"/>
    <w:rsid w:val="00A9425D"/>
    <w:rsid w:val="00A94288"/>
    <w:rsid w:val="00A9430E"/>
    <w:rsid w:val="00A9489E"/>
    <w:rsid w:val="00A95730"/>
    <w:rsid w:val="00A95A59"/>
    <w:rsid w:val="00A964C4"/>
    <w:rsid w:val="00A96853"/>
    <w:rsid w:val="00A97A92"/>
    <w:rsid w:val="00A97D21"/>
    <w:rsid w:val="00AA0861"/>
    <w:rsid w:val="00AA0A62"/>
    <w:rsid w:val="00AA0BD8"/>
    <w:rsid w:val="00AA0F5E"/>
    <w:rsid w:val="00AA190A"/>
    <w:rsid w:val="00AA1AA4"/>
    <w:rsid w:val="00AA28E6"/>
    <w:rsid w:val="00AA2BE8"/>
    <w:rsid w:val="00AA3FD1"/>
    <w:rsid w:val="00AA4696"/>
    <w:rsid w:val="00AA46EC"/>
    <w:rsid w:val="00AA4930"/>
    <w:rsid w:val="00AA4A1A"/>
    <w:rsid w:val="00AA5079"/>
    <w:rsid w:val="00AA5194"/>
    <w:rsid w:val="00AA561D"/>
    <w:rsid w:val="00AA58DC"/>
    <w:rsid w:val="00AA5E9B"/>
    <w:rsid w:val="00AA60F9"/>
    <w:rsid w:val="00AA6241"/>
    <w:rsid w:val="00AA658A"/>
    <w:rsid w:val="00AA6774"/>
    <w:rsid w:val="00AA69B8"/>
    <w:rsid w:val="00AA76D1"/>
    <w:rsid w:val="00AB05E8"/>
    <w:rsid w:val="00AB0FC2"/>
    <w:rsid w:val="00AB1456"/>
    <w:rsid w:val="00AB21CD"/>
    <w:rsid w:val="00AB38D5"/>
    <w:rsid w:val="00AB3F01"/>
    <w:rsid w:val="00AB4E9B"/>
    <w:rsid w:val="00AB6E4F"/>
    <w:rsid w:val="00AC0CC8"/>
    <w:rsid w:val="00AC10A3"/>
    <w:rsid w:val="00AC12BD"/>
    <w:rsid w:val="00AC198D"/>
    <w:rsid w:val="00AC1CDC"/>
    <w:rsid w:val="00AC230F"/>
    <w:rsid w:val="00AC2966"/>
    <w:rsid w:val="00AC2EBE"/>
    <w:rsid w:val="00AC3308"/>
    <w:rsid w:val="00AC33BA"/>
    <w:rsid w:val="00AC3B1F"/>
    <w:rsid w:val="00AC3C5C"/>
    <w:rsid w:val="00AC42FE"/>
    <w:rsid w:val="00AC44E1"/>
    <w:rsid w:val="00AC4672"/>
    <w:rsid w:val="00AC4EC0"/>
    <w:rsid w:val="00AC4F2B"/>
    <w:rsid w:val="00AC5247"/>
    <w:rsid w:val="00AC6046"/>
    <w:rsid w:val="00AC6234"/>
    <w:rsid w:val="00AC6517"/>
    <w:rsid w:val="00AC6A2B"/>
    <w:rsid w:val="00AC7682"/>
    <w:rsid w:val="00AC770A"/>
    <w:rsid w:val="00AD017A"/>
    <w:rsid w:val="00AD036F"/>
    <w:rsid w:val="00AD0B06"/>
    <w:rsid w:val="00AD182E"/>
    <w:rsid w:val="00AD1D7C"/>
    <w:rsid w:val="00AD20F3"/>
    <w:rsid w:val="00AD26B0"/>
    <w:rsid w:val="00AD2C89"/>
    <w:rsid w:val="00AD34B1"/>
    <w:rsid w:val="00AD372A"/>
    <w:rsid w:val="00AD3A56"/>
    <w:rsid w:val="00AD3EE5"/>
    <w:rsid w:val="00AD424C"/>
    <w:rsid w:val="00AD4415"/>
    <w:rsid w:val="00AD4638"/>
    <w:rsid w:val="00AD4B0C"/>
    <w:rsid w:val="00AD5450"/>
    <w:rsid w:val="00AD6640"/>
    <w:rsid w:val="00AD698E"/>
    <w:rsid w:val="00AD6A94"/>
    <w:rsid w:val="00AD6B32"/>
    <w:rsid w:val="00AD7435"/>
    <w:rsid w:val="00AD7936"/>
    <w:rsid w:val="00AD7B2C"/>
    <w:rsid w:val="00AE0052"/>
    <w:rsid w:val="00AE056F"/>
    <w:rsid w:val="00AE0761"/>
    <w:rsid w:val="00AE1152"/>
    <w:rsid w:val="00AE134C"/>
    <w:rsid w:val="00AE1403"/>
    <w:rsid w:val="00AE176B"/>
    <w:rsid w:val="00AE1E9D"/>
    <w:rsid w:val="00AE226A"/>
    <w:rsid w:val="00AE234A"/>
    <w:rsid w:val="00AE2C0E"/>
    <w:rsid w:val="00AE2F83"/>
    <w:rsid w:val="00AE32E8"/>
    <w:rsid w:val="00AE34F6"/>
    <w:rsid w:val="00AE364A"/>
    <w:rsid w:val="00AE415A"/>
    <w:rsid w:val="00AE4818"/>
    <w:rsid w:val="00AE4BA8"/>
    <w:rsid w:val="00AE57BC"/>
    <w:rsid w:val="00AE5D9D"/>
    <w:rsid w:val="00AE5DCE"/>
    <w:rsid w:val="00AE5FC0"/>
    <w:rsid w:val="00AE65A3"/>
    <w:rsid w:val="00AE6BAF"/>
    <w:rsid w:val="00AE6D39"/>
    <w:rsid w:val="00AE71F0"/>
    <w:rsid w:val="00AE7375"/>
    <w:rsid w:val="00AE7578"/>
    <w:rsid w:val="00AE7793"/>
    <w:rsid w:val="00AF0DB8"/>
    <w:rsid w:val="00AF10AC"/>
    <w:rsid w:val="00AF28B3"/>
    <w:rsid w:val="00AF2A8F"/>
    <w:rsid w:val="00AF3502"/>
    <w:rsid w:val="00AF3690"/>
    <w:rsid w:val="00AF3BD8"/>
    <w:rsid w:val="00AF3BD9"/>
    <w:rsid w:val="00AF3E5B"/>
    <w:rsid w:val="00AF43DF"/>
    <w:rsid w:val="00AF48EF"/>
    <w:rsid w:val="00AF509E"/>
    <w:rsid w:val="00AF5618"/>
    <w:rsid w:val="00AF5C60"/>
    <w:rsid w:val="00AF5F07"/>
    <w:rsid w:val="00AF652E"/>
    <w:rsid w:val="00AF67E6"/>
    <w:rsid w:val="00AF69E7"/>
    <w:rsid w:val="00B00103"/>
    <w:rsid w:val="00B00D14"/>
    <w:rsid w:val="00B019AE"/>
    <w:rsid w:val="00B023B5"/>
    <w:rsid w:val="00B029C9"/>
    <w:rsid w:val="00B02E0E"/>
    <w:rsid w:val="00B0348B"/>
    <w:rsid w:val="00B03A1A"/>
    <w:rsid w:val="00B03E51"/>
    <w:rsid w:val="00B03F8B"/>
    <w:rsid w:val="00B041A0"/>
    <w:rsid w:val="00B043B8"/>
    <w:rsid w:val="00B04F5D"/>
    <w:rsid w:val="00B055FC"/>
    <w:rsid w:val="00B05BE9"/>
    <w:rsid w:val="00B0745D"/>
    <w:rsid w:val="00B07676"/>
    <w:rsid w:val="00B1003F"/>
    <w:rsid w:val="00B100BA"/>
    <w:rsid w:val="00B101FF"/>
    <w:rsid w:val="00B10209"/>
    <w:rsid w:val="00B1027B"/>
    <w:rsid w:val="00B10E4A"/>
    <w:rsid w:val="00B11704"/>
    <w:rsid w:val="00B11826"/>
    <w:rsid w:val="00B11F7C"/>
    <w:rsid w:val="00B12729"/>
    <w:rsid w:val="00B1396C"/>
    <w:rsid w:val="00B13D9E"/>
    <w:rsid w:val="00B146E0"/>
    <w:rsid w:val="00B14A4D"/>
    <w:rsid w:val="00B15555"/>
    <w:rsid w:val="00B161A6"/>
    <w:rsid w:val="00B16F37"/>
    <w:rsid w:val="00B171D7"/>
    <w:rsid w:val="00B175EB"/>
    <w:rsid w:val="00B20C94"/>
    <w:rsid w:val="00B2115F"/>
    <w:rsid w:val="00B211EC"/>
    <w:rsid w:val="00B214D3"/>
    <w:rsid w:val="00B21CB0"/>
    <w:rsid w:val="00B22C88"/>
    <w:rsid w:val="00B23167"/>
    <w:rsid w:val="00B2425D"/>
    <w:rsid w:val="00B24426"/>
    <w:rsid w:val="00B246F0"/>
    <w:rsid w:val="00B24B28"/>
    <w:rsid w:val="00B24C91"/>
    <w:rsid w:val="00B24F5E"/>
    <w:rsid w:val="00B25BF7"/>
    <w:rsid w:val="00B26F87"/>
    <w:rsid w:val="00B27726"/>
    <w:rsid w:val="00B279C2"/>
    <w:rsid w:val="00B30158"/>
    <w:rsid w:val="00B30C2E"/>
    <w:rsid w:val="00B30E6F"/>
    <w:rsid w:val="00B31724"/>
    <w:rsid w:val="00B31D4E"/>
    <w:rsid w:val="00B324D6"/>
    <w:rsid w:val="00B34A96"/>
    <w:rsid w:val="00B34B83"/>
    <w:rsid w:val="00B35351"/>
    <w:rsid w:val="00B355DE"/>
    <w:rsid w:val="00B35807"/>
    <w:rsid w:val="00B35910"/>
    <w:rsid w:val="00B359E7"/>
    <w:rsid w:val="00B35A7D"/>
    <w:rsid w:val="00B37137"/>
    <w:rsid w:val="00B376BB"/>
    <w:rsid w:val="00B40120"/>
    <w:rsid w:val="00B404AF"/>
    <w:rsid w:val="00B43551"/>
    <w:rsid w:val="00B43D42"/>
    <w:rsid w:val="00B44576"/>
    <w:rsid w:val="00B44815"/>
    <w:rsid w:val="00B454A6"/>
    <w:rsid w:val="00B4569C"/>
    <w:rsid w:val="00B45843"/>
    <w:rsid w:val="00B45A3A"/>
    <w:rsid w:val="00B45A8E"/>
    <w:rsid w:val="00B4627C"/>
    <w:rsid w:val="00B463A1"/>
    <w:rsid w:val="00B468B2"/>
    <w:rsid w:val="00B46BFC"/>
    <w:rsid w:val="00B46C75"/>
    <w:rsid w:val="00B46E94"/>
    <w:rsid w:val="00B4702D"/>
    <w:rsid w:val="00B47144"/>
    <w:rsid w:val="00B47C47"/>
    <w:rsid w:val="00B47F0B"/>
    <w:rsid w:val="00B51509"/>
    <w:rsid w:val="00B525F6"/>
    <w:rsid w:val="00B528FF"/>
    <w:rsid w:val="00B53913"/>
    <w:rsid w:val="00B5429A"/>
    <w:rsid w:val="00B54510"/>
    <w:rsid w:val="00B5459F"/>
    <w:rsid w:val="00B5499B"/>
    <w:rsid w:val="00B54B7C"/>
    <w:rsid w:val="00B55328"/>
    <w:rsid w:val="00B55640"/>
    <w:rsid w:val="00B558B8"/>
    <w:rsid w:val="00B56455"/>
    <w:rsid w:val="00B5768D"/>
    <w:rsid w:val="00B57DBF"/>
    <w:rsid w:val="00B57F0D"/>
    <w:rsid w:val="00B60C4C"/>
    <w:rsid w:val="00B60F5D"/>
    <w:rsid w:val="00B615A5"/>
    <w:rsid w:val="00B6258A"/>
    <w:rsid w:val="00B62727"/>
    <w:rsid w:val="00B63C83"/>
    <w:rsid w:val="00B63C9C"/>
    <w:rsid w:val="00B645DF"/>
    <w:rsid w:val="00B64654"/>
    <w:rsid w:val="00B64A49"/>
    <w:rsid w:val="00B64BDC"/>
    <w:rsid w:val="00B64BEA"/>
    <w:rsid w:val="00B6586F"/>
    <w:rsid w:val="00B67732"/>
    <w:rsid w:val="00B703A9"/>
    <w:rsid w:val="00B704E2"/>
    <w:rsid w:val="00B7098F"/>
    <w:rsid w:val="00B70CC1"/>
    <w:rsid w:val="00B717B8"/>
    <w:rsid w:val="00B71861"/>
    <w:rsid w:val="00B71B90"/>
    <w:rsid w:val="00B71BA7"/>
    <w:rsid w:val="00B724F9"/>
    <w:rsid w:val="00B73A32"/>
    <w:rsid w:val="00B73C2E"/>
    <w:rsid w:val="00B74108"/>
    <w:rsid w:val="00B74521"/>
    <w:rsid w:val="00B74841"/>
    <w:rsid w:val="00B7507E"/>
    <w:rsid w:val="00B76477"/>
    <w:rsid w:val="00B76EA9"/>
    <w:rsid w:val="00B77366"/>
    <w:rsid w:val="00B77FFC"/>
    <w:rsid w:val="00B80A10"/>
    <w:rsid w:val="00B80FE8"/>
    <w:rsid w:val="00B8195B"/>
    <w:rsid w:val="00B826F6"/>
    <w:rsid w:val="00B8284B"/>
    <w:rsid w:val="00B82B75"/>
    <w:rsid w:val="00B83275"/>
    <w:rsid w:val="00B83565"/>
    <w:rsid w:val="00B843ED"/>
    <w:rsid w:val="00B848CB"/>
    <w:rsid w:val="00B85485"/>
    <w:rsid w:val="00B86105"/>
    <w:rsid w:val="00B8764E"/>
    <w:rsid w:val="00B87DE0"/>
    <w:rsid w:val="00B9009D"/>
    <w:rsid w:val="00B9040D"/>
    <w:rsid w:val="00B90735"/>
    <w:rsid w:val="00B90A64"/>
    <w:rsid w:val="00B90F08"/>
    <w:rsid w:val="00B91433"/>
    <w:rsid w:val="00B91614"/>
    <w:rsid w:val="00B91F47"/>
    <w:rsid w:val="00B920CF"/>
    <w:rsid w:val="00B928F7"/>
    <w:rsid w:val="00B93A68"/>
    <w:rsid w:val="00B943A5"/>
    <w:rsid w:val="00B94783"/>
    <w:rsid w:val="00B94A58"/>
    <w:rsid w:val="00B95672"/>
    <w:rsid w:val="00B95EC7"/>
    <w:rsid w:val="00B9629A"/>
    <w:rsid w:val="00B96694"/>
    <w:rsid w:val="00BA08FA"/>
    <w:rsid w:val="00BA0D08"/>
    <w:rsid w:val="00BA13D0"/>
    <w:rsid w:val="00BA17FB"/>
    <w:rsid w:val="00BA1AC4"/>
    <w:rsid w:val="00BA1B12"/>
    <w:rsid w:val="00BA2087"/>
    <w:rsid w:val="00BA3A7E"/>
    <w:rsid w:val="00BA403B"/>
    <w:rsid w:val="00BA5313"/>
    <w:rsid w:val="00BA5DB4"/>
    <w:rsid w:val="00BA5F36"/>
    <w:rsid w:val="00BA654E"/>
    <w:rsid w:val="00BA6582"/>
    <w:rsid w:val="00BA75CD"/>
    <w:rsid w:val="00BA7865"/>
    <w:rsid w:val="00BA7FEC"/>
    <w:rsid w:val="00BB02C1"/>
    <w:rsid w:val="00BB0BE7"/>
    <w:rsid w:val="00BB1D32"/>
    <w:rsid w:val="00BB2005"/>
    <w:rsid w:val="00BB21DD"/>
    <w:rsid w:val="00BB29AE"/>
    <w:rsid w:val="00BB29EF"/>
    <w:rsid w:val="00BB3602"/>
    <w:rsid w:val="00BB373B"/>
    <w:rsid w:val="00BB3F42"/>
    <w:rsid w:val="00BB423C"/>
    <w:rsid w:val="00BB4351"/>
    <w:rsid w:val="00BB4F9C"/>
    <w:rsid w:val="00BB5185"/>
    <w:rsid w:val="00BB7014"/>
    <w:rsid w:val="00BB702B"/>
    <w:rsid w:val="00BB7350"/>
    <w:rsid w:val="00BC0F19"/>
    <w:rsid w:val="00BC1618"/>
    <w:rsid w:val="00BC19F0"/>
    <w:rsid w:val="00BC20B1"/>
    <w:rsid w:val="00BC230C"/>
    <w:rsid w:val="00BC275E"/>
    <w:rsid w:val="00BC2A98"/>
    <w:rsid w:val="00BC2BD5"/>
    <w:rsid w:val="00BC2EE4"/>
    <w:rsid w:val="00BC3425"/>
    <w:rsid w:val="00BC43F5"/>
    <w:rsid w:val="00BC4D70"/>
    <w:rsid w:val="00BC4FA8"/>
    <w:rsid w:val="00BC5512"/>
    <w:rsid w:val="00BC5B43"/>
    <w:rsid w:val="00BC5C23"/>
    <w:rsid w:val="00BC6DFA"/>
    <w:rsid w:val="00BC7069"/>
    <w:rsid w:val="00BC742D"/>
    <w:rsid w:val="00BC748E"/>
    <w:rsid w:val="00BC7BB4"/>
    <w:rsid w:val="00BD16A2"/>
    <w:rsid w:val="00BD27FB"/>
    <w:rsid w:val="00BD2AFB"/>
    <w:rsid w:val="00BD3A73"/>
    <w:rsid w:val="00BD5A58"/>
    <w:rsid w:val="00BD5EE0"/>
    <w:rsid w:val="00BD6457"/>
    <w:rsid w:val="00BD74E9"/>
    <w:rsid w:val="00BD7EA7"/>
    <w:rsid w:val="00BE01DA"/>
    <w:rsid w:val="00BE02E2"/>
    <w:rsid w:val="00BE0AD7"/>
    <w:rsid w:val="00BE1307"/>
    <w:rsid w:val="00BE1A11"/>
    <w:rsid w:val="00BE2004"/>
    <w:rsid w:val="00BE209E"/>
    <w:rsid w:val="00BE2315"/>
    <w:rsid w:val="00BE25C2"/>
    <w:rsid w:val="00BE3408"/>
    <w:rsid w:val="00BE3707"/>
    <w:rsid w:val="00BE3D99"/>
    <w:rsid w:val="00BE4640"/>
    <w:rsid w:val="00BE46F8"/>
    <w:rsid w:val="00BE4888"/>
    <w:rsid w:val="00BE5146"/>
    <w:rsid w:val="00BE54F2"/>
    <w:rsid w:val="00BE5BCB"/>
    <w:rsid w:val="00BE61CB"/>
    <w:rsid w:val="00BE78B1"/>
    <w:rsid w:val="00BE7B52"/>
    <w:rsid w:val="00BE7E14"/>
    <w:rsid w:val="00BF0558"/>
    <w:rsid w:val="00BF0C69"/>
    <w:rsid w:val="00BF14E4"/>
    <w:rsid w:val="00BF1BC6"/>
    <w:rsid w:val="00BF1EF0"/>
    <w:rsid w:val="00BF25FC"/>
    <w:rsid w:val="00BF2C08"/>
    <w:rsid w:val="00BF2EB9"/>
    <w:rsid w:val="00BF38D3"/>
    <w:rsid w:val="00BF3A6A"/>
    <w:rsid w:val="00BF3AFF"/>
    <w:rsid w:val="00BF4FC0"/>
    <w:rsid w:val="00BF512A"/>
    <w:rsid w:val="00BF5D4C"/>
    <w:rsid w:val="00BF5D57"/>
    <w:rsid w:val="00BF5E49"/>
    <w:rsid w:val="00BF5F5B"/>
    <w:rsid w:val="00BF692B"/>
    <w:rsid w:val="00BF6EA9"/>
    <w:rsid w:val="00BF7015"/>
    <w:rsid w:val="00BF7447"/>
    <w:rsid w:val="00C0012D"/>
    <w:rsid w:val="00C00A03"/>
    <w:rsid w:val="00C00BFA"/>
    <w:rsid w:val="00C00E8D"/>
    <w:rsid w:val="00C01264"/>
    <w:rsid w:val="00C01B1D"/>
    <w:rsid w:val="00C01DE8"/>
    <w:rsid w:val="00C02339"/>
    <w:rsid w:val="00C02981"/>
    <w:rsid w:val="00C02B15"/>
    <w:rsid w:val="00C02C58"/>
    <w:rsid w:val="00C02DEB"/>
    <w:rsid w:val="00C02EAF"/>
    <w:rsid w:val="00C030CD"/>
    <w:rsid w:val="00C03E67"/>
    <w:rsid w:val="00C04EC7"/>
    <w:rsid w:val="00C05300"/>
    <w:rsid w:val="00C056D2"/>
    <w:rsid w:val="00C06005"/>
    <w:rsid w:val="00C0693E"/>
    <w:rsid w:val="00C0703E"/>
    <w:rsid w:val="00C071A7"/>
    <w:rsid w:val="00C075B5"/>
    <w:rsid w:val="00C077C3"/>
    <w:rsid w:val="00C07A4E"/>
    <w:rsid w:val="00C10BA1"/>
    <w:rsid w:val="00C10C73"/>
    <w:rsid w:val="00C11EBF"/>
    <w:rsid w:val="00C1211F"/>
    <w:rsid w:val="00C126C9"/>
    <w:rsid w:val="00C12992"/>
    <w:rsid w:val="00C12A1A"/>
    <w:rsid w:val="00C12FA0"/>
    <w:rsid w:val="00C13C23"/>
    <w:rsid w:val="00C146D0"/>
    <w:rsid w:val="00C15790"/>
    <w:rsid w:val="00C15B76"/>
    <w:rsid w:val="00C15CB1"/>
    <w:rsid w:val="00C16828"/>
    <w:rsid w:val="00C16FC4"/>
    <w:rsid w:val="00C1799C"/>
    <w:rsid w:val="00C20003"/>
    <w:rsid w:val="00C20349"/>
    <w:rsid w:val="00C20B11"/>
    <w:rsid w:val="00C2117D"/>
    <w:rsid w:val="00C21510"/>
    <w:rsid w:val="00C21624"/>
    <w:rsid w:val="00C2185A"/>
    <w:rsid w:val="00C21D97"/>
    <w:rsid w:val="00C22F0C"/>
    <w:rsid w:val="00C2318D"/>
    <w:rsid w:val="00C23413"/>
    <w:rsid w:val="00C23505"/>
    <w:rsid w:val="00C238CE"/>
    <w:rsid w:val="00C245DF"/>
    <w:rsid w:val="00C249ED"/>
    <w:rsid w:val="00C24D9E"/>
    <w:rsid w:val="00C24F9F"/>
    <w:rsid w:val="00C25A1C"/>
    <w:rsid w:val="00C25AA2"/>
    <w:rsid w:val="00C25AAD"/>
    <w:rsid w:val="00C25AF9"/>
    <w:rsid w:val="00C25D83"/>
    <w:rsid w:val="00C2640E"/>
    <w:rsid w:val="00C268E2"/>
    <w:rsid w:val="00C26F28"/>
    <w:rsid w:val="00C2724C"/>
    <w:rsid w:val="00C278A3"/>
    <w:rsid w:val="00C278C8"/>
    <w:rsid w:val="00C30189"/>
    <w:rsid w:val="00C308AA"/>
    <w:rsid w:val="00C318A1"/>
    <w:rsid w:val="00C31A59"/>
    <w:rsid w:val="00C31C05"/>
    <w:rsid w:val="00C31D1A"/>
    <w:rsid w:val="00C32571"/>
    <w:rsid w:val="00C328A5"/>
    <w:rsid w:val="00C330B1"/>
    <w:rsid w:val="00C33CE9"/>
    <w:rsid w:val="00C34076"/>
    <w:rsid w:val="00C343B9"/>
    <w:rsid w:val="00C348D8"/>
    <w:rsid w:val="00C34B8B"/>
    <w:rsid w:val="00C34ED8"/>
    <w:rsid w:val="00C35ECD"/>
    <w:rsid w:val="00C368D9"/>
    <w:rsid w:val="00C36A52"/>
    <w:rsid w:val="00C36C2C"/>
    <w:rsid w:val="00C37041"/>
    <w:rsid w:val="00C4096A"/>
    <w:rsid w:val="00C40D1E"/>
    <w:rsid w:val="00C41010"/>
    <w:rsid w:val="00C41F44"/>
    <w:rsid w:val="00C422B0"/>
    <w:rsid w:val="00C424E9"/>
    <w:rsid w:val="00C42A8A"/>
    <w:rsid w:val="00C436A8"/>
    <w:rsid w:val="00C439F1"/>
    <w:rsid w:val="00C43E09"/>
    <w:rsid w:val="00C43F84"/>
    <w:rsid w:val="00C441D1"/>
    <w:rsid w:val="00C4459A"/>
    <w:rsid w:val="00C44F6B"/>
    <w:rsid w:val="00C450E4"/>
    <w:rsid w:val="00C4542D"/>
    <w:rsid w:val="00C4596C"/>
    <w:rsid w:val="00C45C31"/>
    <w:rsid w:val="00C46145"/>
    <w:rsid w:val="00C46BF7"/>
    <w:rsid w:val="00C46CE3"/>
    <w:rsid w:val="00C47B2C"/>
    <w:rsid w:val="00C5117B"/>
    <w:rsid w:val="00C519D3"/>
    <w:rsid w:val="00C51EA3"/>
    <w:rsid w:val="00C52063"/>
    <w:rsid w:val="00C5218A"/>
    <w:rsid w:val="00C52A79"/>
    <w:rsid w:val="00C53218"/>
    <w:rsid w:val="00C53483"/>
    <w:rsid w:val="00C534D4"/>
    <w:rsid w:val="00C5365F"/>
    <w:rsid w:val="00C536E2"/>
    <w:rsid w:val="00C5458B"/>
    <w:rsid w:val="00C54BD4"/>
    <w:rsid w:val="00C55486"/>
    <w:rsid w:val="00C55D2D"/>
    <w:rsid w:val="00C56748"/>
    <w:rsid w:val="00C5698E"/>
    <w:rsid w:val="00C57B24"/>
    <w:rsid w:val="00C60C16"/>
    <w:rsid w:val="00C60DF9"/>
    <w:rsid w:val="00C60E5E"/>
    <w:rsid w:val="00C614B8"/>
    <w:rsid w:val="00C61820"/>
    <w:rsid w:val="00C62A7B"/>
    <w:rsid w:val="00C62E2A"/>
    <w:rsid w:val="00C62F0F"/>
    <w:rsid w:val="00C62FF8"/>
    <w:rsid w:val="00C631EB"/>
    <w:rsid w:val="00C64091"/>
    <w:rsid w:val="00C65320"/>
    <w:rsid w:val="00C6638E"/>
    <w:rsid w:val="00C669D7"/>
    <w:rsid w:val="00C66B7F"/>
    <w:rsid w:val="00C66C84"/>
    <w:rsid w:val="00C67282"/>
    <w:rsid w:val="00C67EAE"/>
    <w:rsid w:val="00C707CE"/>
    <w:rsid w:val="00C70BAA"/>
    <w:rsid w:val="00C70F17"/>
    <w:rsid w:val="00C7146C"/>
    <w:rsid w:val="00C71E57"/>
    <w:rsid w:val="00C7219C"/>
    <w:rsid w:val="00C72618"/>
    <w:rsid w:val="00C72792"/>
    <w:rsid w:val="00C72828"/>
    <w:rsid w:val="00C72941"/>
    <w:rsid w:val="00C73892"/>
    <w:rsid w:val="00C74423"/>
    <w:rsid w:val="00C74815"/>
    <w:rsid w:val="00C7539B"/>
    <w:rsid w:val="00C754E8"/>
    <w:rsid w:val="00C76347"/>
    <w:rsid w:val="00C7673F"/>
    <w:rsid w:val="00C7694C"/>
    <w:rsid w:val="00C76C30"/>
    <w:rsid w:val="00C7789C"/>
    <w:rsid w:val="00C778F0"/>
    <w:rsid w:val="00C77DED"/>
    <w:rsid w:val="00C80270"/>
    <w:rsid w:val="00C80EB0"/>
    <w:rsid w:val="00C815CB"/>
    <w:rsid w:val="00C81698"/>
    <w:rsid w:val="00C819B1"/>
    <w:rsid w:val="00C82C44"/>
    <w:rsid w:val="00C82D8B"/>
    <w:rsid w:val="00C83835"/>
    <w:rsid w:val="00C84052"/>
    <w:rsid w:val="00C8500C"/>
    <w:rsid w:val="00C85C73"/>
    <w:rsid w:val="00C8603C"/>
    <w:rsid w:val="00C8617A"/>
    <w:rsid w:val="00C866A2"/>
    <w:rsid w:val="00C866B1"/>
    <w:rsid w:val="00C8681D"/>
    <w:rsid w:val="00C86EBD"/>
    <w:rsid w:val="00C87C60"/>
    <w:rsid w:val="00C902DF"/>
    <w:rsid w:val="00C9047C"/>
    <w:rsid w:val="00C906E1"/>
    <w:rsid w:val="00C9117B"/>
    <w:rsid w:val="00C9134B"/>
    <w:rsid w:val="00C91464"/>
    <w:rsid w:val="00C91830"/>
    <w:rsid w:val="00C92D7C"/>
    <w:rsid w:val="00C93290"/>
    <w:rsid w:val="00C936B0"/>
    <w:rsid w:val="00C93CE0"/>
    <w:rsid w:val="00C93F6B"/>
    <w:rsid w:val="00C94775"/>
    <w:rsid w:val="00C95273"/>
    <w:rsid w:val="00C95374"/>
    <w:rsid w:val="00C95AD8"/>
    <w:rsid w:val="00C95E47"/>
    <w:rsid w:val="00C96984"/>
    <w:rsid w:val="00C96A18"/>
    <w:rsid w:val="00C96C69"/>
    <w:rsid w:val="00C9787A"/>
    <w:rsid w:val="00CA0806"/>
    <w:rsid w:val="00CA0B0F"/>
    <w:rsid w:val="00CA0B32"/>
    <w:rsid w:val="00CA0ED8"/>
    <w:rsid w:val="00CA116E"/>
    <w:rsid w:val="00CA153C"/>
    <w:rsid w:val="00CA1CE3"/>
    <w:rsid w:val="00CA213B"/>
    <w:rsid w:val="00CA22DE"/>
    <w:rsid w:val="00CA297B"/>
    <w:rsid w:val="00CA31DD"/>
    <w:rsid w:val="00CA3997"/>
    <w:rsid w:val="00CA4310"/>
    <w:rsid w:val="00CA44E5"/>
    <w:rsid w:val="00CA4CF1"/>
    <w:rsid w:val="00CA562C"/>
    <w:rsid w:val="00CA5B49"/>
    <w:rsid w:val="00CA5BEB"/>
    <w:rsid w:val="00CA6338"/>
    <w:rsid w:val="00CA6A20"/>
    <w:rsid w:val="00CA7039"/>
    <w:rsid w:val="00CA7730"/>
    <w:rsid w:val="00CB0B2A"/>
    <w:rsid w:val="00CB2000"/>
    <w:rsid w:val="00CB2006"/>
    <w:rsid w:val="00CB235A"/>
    <w:rsid w:val="00CB30F5"/>
    <w:rsid w:val="00CB386A"/>
    <w:rsid w:val="00CB3C18"/>
    <w:rsid w:val="00CB3D23"/>
    <w:rsid w:val="00CB3FF4"/>
    <w:rsid w:val="00CB46BE"/>
    <w:rsid w:val="00CB48B9"/>
    <w:rsid w:val="00CB4D61"/>
    <w:rsid w:val="00CB6E42"/>
    <w:rsid w:val="00CB7523"/>
    <w:rsid w:val="00CB7F94"/>
    <w:rsid w:val="00CC008E"/>
    <w:rsid w:val="00CC11AA"/>
    <w:rsid w:val="00CC12D5"/>
    <w:rsid w:val="00CC1C85"/>
    <w:rsid w:val="00CC23AE"/>
    <w:rsid w:val="00CC2A6E"/>
    <w:rsid w:val="00CC323F"/>
    <w:rsid w:val="00CC366C"/>
    <w:rsid w:val="00CC3793"/>
    <w:rsid w:val="00CC3F41"/>
    <w:rsid w:val="00CC56BD"/>
    <w:rsid w:val="00CC5EFF"/>
    <w:rsid w:val="00CC66E4"/>
    <w:rsid w:val="00CC69FE"/>
    <w:rsid w:val="00CC6E96"/>
    <w:rsid w:val="00CC74C3"/>
    <w:rsid w:val="00CC7ED1"/>
    <w:rsid w:val="00CD0305"/>
    <w:rsid w:val="00CD06F0"/>
    <w:rsid w:val="00CD11CF"/>
    <w:rsid w:val="00CD1604"/>
    <w:rsid w:val="00CD1F9F"/>
    <w:rsid w:val="00CD1FA4"/>
    <w:rsid w:val="00CD1FA8"/>
    <w:rsid w:val="00CD2F3B"/>
    <w:rsid w:val="00CD33B5"/>
    <w:rsid w:val="00CD378D"/>
    <w:rsid w:val="00CD47FF"/>
    <w:rsid w:val="00CD5C6D"/>
    <w:rsid w:val="00CD5FAB"/>
    <w:rsid w:val="00CD6436"/>
    <w:rsid w:val="00CD65B4"/>
    <w:rsid w:val="00CD7B3B"/>
    <w:rsid w:val="00CE03AF"/>
    <w:rsid w:val="00CE04F3"/>
    <w:rsid w:val="00CE094E"/>
    <w:rsid w:val="00CE1EEC"/>
    <w:rsid w:val="00CE2B95"/>
    <w:rsid w:val="00CE2D18"/>
    <w:rsid w:val="00CE2EBE"/>
    <w:rsid w:val="00CE4C88"/>
    <w:rsid w:val="00CE5874"/>
    <w:rsid w:val="00CE599F"/>
    <w:rsid w:val="00CE5D55"/>
    <w:rsid w:val="00CE5F8C"/>
    <w:rsid w:val="00CE608F"/>
    <w:rsid w:val="00CE62D9"/>
    <w:rsid w:val="00CE6445"/>
    <w:rsid w:val="00CE66A4"/>
    <w:rsid w:val="00CE7B06"/>
    <w:rsid w:val="00CF0436"/>
    <w:rsid w:val="00CF0BB7"/>
    <w:rsid w:val="00CF2332"/>
    <w:rsid w:val="00CF29FB"/>
    <w:rsid w:val="00CF2E3C"/>
    <w:rsid w:val="00CF398A"/>
    <w:rsid w:val="00CF41F3"/>
    <w:rsid w:val="00CF44E2"/>
    <w:rsid w:val="00CF49AC"/>
    <w:rsid w:val="00CF4C6F"/>
    <w:rsid w:val="00CF4CD8"/>
    <w:rsid w:val="00CF4DE8"/>
    <w:rsid w:val="00CF4F8B"/>
    <w:rsid w:val="00CF521F"/>
    <w:rsid w:val="00CF567E"/>
    <w:rsid w:val="00CF5CD2"/>
    <w:rsid w:val="00CF659A"/>
    <w:rsid w:val="00CF722D"/>
    <w:rsid w:val="00CF7896"/>
    <w:rsid w:val="00CF7E55"/>
    <w:rsid w:val="00D00384"/>
    <w:rsid w:val="00D006AD"/>
    <w:rsid w:val="00D0083B"/>
    <w:rsid w:val="00D00B2A"/>
    <w:rsid w:val="00D00E4C"/>
    <w:rsid w:val="00D011B7"/>
    <w:rsid w:val="00D02103"/>
    <w:rsid w:val="00D02BB9"/>
    <w:rsid w:val="00D03A1E"/>
    <w:rsid w:val="00D049FD"/>
    <w:rsid w:val="00D0515A"/>
    <w:rsid w:val="00D05333"/>
    <w:rsid w:val="00D0601C"/>
    <w:rsid w:val="00D074F7"/>
    <w:rsid w:val="00D0794E"/>
    <w:rsid w:val="00D07FE8"/>
    <w:rsid w:val="00D10A55"/>
    <w:rsid w:val="00D10A62"/>
    <w:rsid w:val="00D1113E"/>
    <w:rsid w:val="00D11646"/>
    <w:rsid w:val="00D11FDD"/>
    <w:rsid w:val="00D124E8"/>
    <w:rsid w:val="00D1263C"/>
    <w:rsid w:val="00D127F8"/>
    <w:rsid w:val="00D128EE"/>
    <w:rsid w:val="00D1366D"/>
    <w:rsid w:val="00D13DC3"/>
    <w:rsid w:val="00D14157"/>
    <w:rsid w:val="00D15B24"/>
    <w:rsid w:val="00D16BFB"/>
    <w:rsid w:val="00D17FB7"/>
    <w:rsid w:val="00D201D1"/>
    <w:rsid w:val="00D20318"/>
    <w:rsid w:val="00D206CD"/>
    <w:rsid w:val="00D21970"/>
    <w:rsid w:val="00D21B20"/>
    <w:rsid w:val="00D21EB3"/>
    <w:rsid w:val="00D22663"/>
    <w:rsid w:val="00D227BF"/>
    <w:rsid w:val="00D22EA4"/>
    <w:rsid w:val="00D23623"/>
    <w:rsid w:val="00D23658"/>
    <w:rsid w:val="00D2380F"/>
    <w:rsid w:val="00D243D8"/>
    <w:rsid w:val="00D24626"/>
    <w:rsid w:val="00D24CCA"/>
    <w:rsid w:val="00D25687"/>
    <w:rsid w:val="00D26387"/>
    <w:rsid w:val="00D2667E"/>
    <w:rsid w:val="00D26FF0"/>
    <w:rsid w:val="00D2764C"/>
    <w:rsid w:val="00D30205"/>
    <w:rsid w:val="00D307FC"/>
    <w:rsid w:val="00D309E7"/>
    <w:rsid w:val="00D31F40"/>
    <w:rsid w:val="00D322CB"/>
    <w:rsid w:val="00D32ABB"/>
    <w:rsid w:val="00D32D8F"/>
    <w:rsid w:val="00D33BC0"/>
    <w:rsid w:val="00D34150"/>
    <w:rsid w:val="00D3468C"/>
    <w:rsid w:val="00D34965"/>
    <w:rsid w:val="00D350D4"/>
    <w:rsid w:val="00D360BC"/>
    <w:rsid w:val="00D361B3"/>
    <w:rsid w:val="00D365C0"/>
    <w:rsid w:val="00D36FDE"/>
    <w:rsid w:val="00D37115"/>
    <w:rsid w:val="00D3718B"/>
    <w:rsid w:val="00D37805"/>
    <w:rsid w:val="00D37AE6"/>
    <w:rsid w:val="00D40787"/>
    <w:rsid w:val="00D41B19"/>
    <w:rsid w:val="00D41B30"/>
    <w:rsid w:val="00D41BCB"/>
    <w:rsid w:val="00D421E7"/>
    <w:rsid w:val="00D428E3"/>
    <w:rsid w:val="00D42DB3"/>
    <w:rsid w:val="00D43257"/>
    <w:rsid w:val="00D43290"/>
    <w:rsid w:val="00D43666"/>
    <w:rsid w:val="00D446A5"/>
    <w:rsid w:val="00D44A1A"/>
    <w:rsid w:val="00D45A8C"/>
    <w:rsid w:val="00D45EAA"/>
    <w:rsid w:val="00D46078"/>
    <w:rsid w:val="00D46337"/>
    <w:rsid w:val="00D4641D"/>
    <w:rsid w:val="00D4697E"/>
    <w:rsid w:val="00D50792"/>
    <w:rsid w:val="00D5118A"/>
    <w:rsid w:val="00D5119C"/>
    <w:rsid w:val="00D5131D"/>
    <w:rsid w:val="00D5140E"/>
    <w:rsid w:val="00D516A6"/>
    <w:rsid w:val="00D518ED"/>
    <w:rsid w:val="00D52513"/>
    <w:rsid w:val="00D5252B"/>
    <w:rsid w:val="00D526EA"/>
    <w:rsid w:val="00D530E5"/>
    <w:rsid w:val="00D54650"/>
    <w:rsid w:val="00D54911"/>
    <w:rsid w:val="00D54D8D"/>
    <w:rsid w:val="00D55CA4"/>
    <w:rsid w:val="00D55FDF"/>
    <w:rsid w:val="00D57046"/>
    <w:rsid w:val="00D570CE"/>
    <w:rsid w:val="00D6014F"/>
    <w:rsid w:val="00D601D9"/>
    <w:rsid w:val="00D6031B"/>
    <w:rsid w:val="00D603CD"/>
    <w:rsid w:val="00D60631"/>
    <w:rsid w:val="00D6185E"/>
    <w:rsid w:val="00D61BAD"/>
    <w:rsid w:val="00D62BA5"/>
    <w:rsid w:val="00D62EE1"/>
    <w:rsid w:val="00D63576"/>
    <w:rsid w:val="00D63755"/>
    <w:rsid w:val="00D63EB4"/>
    <w:rsid w:val="00D644A8"/>
    <w:rsid w:val="00D646C6"/>
    <w:rsid w:val="00D64A89"/>
    <w:rsid w:val="00D65FD9"/>
    <w:rsid w:val="00D66491"/>
    <w:rsid w:val="00D66848"/>
    <w:rsid w:val="00D66D6C"/>
    <w:rsid w:val="00D66E88"/>
    <w:rsid w:val="00D673D1"/>
    <w:rsid w:val="00D710F0"/>
    <w:rsid w:val="00D718F5"/>
    <w:rsid w:val="00D71AA3"/>
    <w:rsid w:val="00D72883"/>
    <w:rsid w:val="00D73067"/>
    <w:rsid w:val="00D737D6"/>
    <w:rsid w:val="00D73C11"/>
    <w:rsid w:val="00D7493B"/>
    <w:rsid w:val="00D74A7D"/>
    <w:rsid w:val="00D75169"/>
    <w:rsid w:val="00D761B4"/>
    <w:rsid w:val="00D76238"/>
    <w:rsid w:val="00D769BF"/>
    <w:rsid w:val="00D773E6"/>
    <w:rsid w:val="00D774B9"/>
    <w:rsid w:val="00D774DE"/>
    <w:rsid w:val="00D778B8"/>
    <w:rsid w:val="00D805CD"/>
    <w:rsid w:val="00D80B6A"/>
    <w:rsid w:val="00D81437"/>
    <w:rsid w:val="00D8150C"/>
    <w:rsid w:val="00D82730"/>
    <w:rsid w:val="00D82E95"/>
    <w:rsid w:val="00D82FE4"/>
    <w:rsid w:val="00D8330F"/>
    <w:rsid w:val="00D83393"/>
    <w:rsid w:val="00D83850"/>
    <w:rsid w:val="00D84351"/>
    <w:rsid w:val="00D84D39"/>
    <w:rsid w:val="00D85518"/>
    <w:rsid w:val="00D86D42"/>
    <w:rsid w:val="00D878FB"/>
    <w:rsid w:val="00D87DB9"/>
    <w:rsid w:val="00D903EB"/>
    <w:rsid w:val="00D905C4"/>
    <w:rsid w:val="00D90B48"/>
    <w:rsid w:val="00D90C9D"/>
    <w:rsid w:val="00D91993"/>
    <w:rsid w:val="00D91CF6"/>
    <w:rsid w:val="00D91D58"/>
    <w:rsid w:val="00D91ED3"/>
    <w:rsid w:val="00D920B2"/>
    <w:rsid w:val="00D926DE"/>
    <w:rsid w:val="00D9309C"/>
    <w:rsid w:val="00D943AA"/>
    <w:rsid w:val="00D945A1"/>
    <w:rsid w:val="00D947AA"/>
    <w:rsid w:val="00D949B0"/>
    <w:rsid w:val="00D95322"/>
    <w:rsid w:val="00D96B10"/>
    <w:rsid w:val="00D97129"/>
    <w:rsid w:val="00D9750E"/>
    <w:rsid w:val="00DA102C"/>
    <w:rsid w:val="00DA1312"/>
    <w:rsid w:val="00DA192C"/>
    <w:rsid w:val="00DA1CD0"/>
    <w:rsid w:val="00DA1F5F"/>
    <w:rsid w:val="00DA203F"/>
    <w:rsid w:val="00DA28D6"/>
    <w:rsid w:val="00DA31D7"/>
    <w:rsid w:val="00DA44A4"/>
    <w:rsid w:val="00DA4697"/>
    <w:rsid w:val="00DA4993"/>
    <w:rsid w:val="00DA4DB2"/>
    <w:rsid w:val="00DA4E43"/>
    <w:rsid w:val="00DA5EB3"/>
    <w:rsid w:val="00DA6186"/>
    <w:rsid w:val="00DA69DA"/>
    <w:rsid w:val="00DA7893"/>
    <w:rsid w:val="00DB086A"/>
    <w:rsid w:val="00DB0D48"/>
    <w:rsid w:val="00DB1081"/>
    <w:rsid w:val="00DB129B"/>
    <w:rsid w:val="00DB186E"/>
    <w:rsid w:val="00DB1D76"/>
    <w:rsid w:val="00DB2473"/>
    <w:rsid w:val="00DB25CB"/>
    <w:rsid w:val="00DB290A"/>
    <w:rsid w:val="00DB2F5D"/>
    <w:rsid w:val="00DB33EE"/>
    <w:rsid w:val="00DB34BF"/>
    <w:rsid w:val="00DB352F"/>
    <w:rsid w:val="00DB378B"/>
    <w:rsid w:val="00DB3E8C"/>
    <w:rsid w:val="00DB430E"/>
    <w:rsid w:val="00DB4852"/>
    <w:rsid w:val="00DB5226"/>
    <w:rsid w:val="00DB53A7"/>
    <w:rsid w:val="00DB608A"/>
    <w:rsid w:val="00DB645B"/>
    <w:rsid w:val="00DB736E"/>
    <w:rsid w:val="00DB7423"/>
    <w:rsid w:val="00DB7768"/>
    <w:rsid w:val="00DB7C7C"/>
    <w:rsid w:val="00DC005F"/>
    <w:rsid w:val="00DC02F4"/>
    <w:rsid w:val="00DC10AB"/>
    <w:rsid w:val="00DC2259"/>
    <w:rsid w:val="00DC2339"/>
    <w:rsid w:val="00DC2378"/>
    <w:rsid w:val="00DC2B46"/>
    <w:rsid w:val="00DC2B9E"/>
    <w:rsid w:val="00DC315E"/>
    <w:rsid w:val="00DC317B"/>
    <w:rsid w:val="00DC321B"/>
    <w:rsid w:val="00DC3337"/>
    <w:rsid w:val="00DC343B"/>
    <w:rsid w:val="00DC3930"/>
    <w:rsid w:val="00DC4A42"/>
    <w:rsid w:val="00DC4CD8"/>
    <w:rsid w:val="00DC4CEC"/>
    <w:rsid w:val="00DC4DA3"/>
    <w:rsid w:val="00DC5117"/>
    <w:rsid w:val="00DC57CC"/>
    <w:rsid w:val="00DC6BE9"/>
    <w:rsid w:val="00DC6C13"/>
    <w:rsid w:val="00DC6E4F"/>
    <w:rsid w:val="00DC7885"/>
    <w:rsid w:val="00DD0BCC"/>
    <w:rsid w:val="00DD0E24"/>
    <w:rsid w:val="00DD25A9"/>
    <w:rsid w:val="00DD2697"/>
    <w:rsid w:val="00DD2BF6"/>
    <w:rsid w:val="00DD2F2E"/>
    <w:rsid w:val="00DD3AA6"/>
    <w:rsid w:val="00DD3F36"/>
    <w:rsid w:val="00DD4027"/>
    <w:rsid w:val="00DD42CA"/>
    <w:rsid w:val="00DD4331"/>
    <w:rsid w:val="00DD4973"/>
    <w:rsid w:val="00DD52ED"/>
    <w:rsid w:val="00DD537F"/>
    <w:rsid w:val="00DD5E11"/>
    <w:rsid w:val="00DD713C"/>
    <w:rsid w:val="00DD7E6B"/>
    <w:rsid w:val="00DE09CC"/>
    <w:rsid w:val="00DE12F4"/>
    <w:rsid w:val="00DE21D2"/>
    <w:rsid w:val="00DE2EC2"/>
    <w:rsid w:val="00DE3224"/>
    <w:rsid w:val="00DE37E7"/>
    <w:rsid w:val="00DE3D89"/>
    <w:rsid w:val="00DE4511"/>
    <w:rsid w:val="00DE49C4"/>
    <w:rsid w:val="00DE4BF9"/>
    <w:rsid w:val="00DE51F1"/>
    <w:rsid w:val="00DE5A61"/>
    <w:rsid w:val="00DE5BA7"/>
    <w:rsid w:val="00DE63DF"/>
    <w:rsid w:val="00DE675E"/>
    <w:rsid w:val="00DE67F9"/>
    <w:rsid w:val="00DE7311"/>
    <w:rsid w:val="00DF017C"/>
    <w:rsid w:val="00DF0281"/>
    <w:rsid w:val="00DF091E"/>
    <w:rsid w:val="00DF0AA3"/>
    <w:rsid w:val="00DF15D0"/>
    <w:rsid w:val="00DF1634"/>
    <w:rsid w:val="00DF1F82"/>
    <w:rsid w:val="00DF2103"/>
    <w:rsid w:val="00DF22E7"/>
    <w:rsid w:val="00DF269C"/>
    <w:rsid w:val="00DF3244"/>
    <w:rsid w:val="00DF3702"/>
    <w:rsid w:val="00DF37BA"/>
    <w:rsid w:val="00DF398A"/>
    <w:rsid w:val="00DF3AAA"/>
    <w:rsid w:val="00DF3B47"/>
    <w:rsid w:val="00DF3C5D"/>
    <w:rsid w:val="00DF3D77"/>
    <w:rsid w:val="00DF3FC4"/>
    <w:rsid w:val="00DF42C5"/>
    <w:rsid w:val="00DF4E74"/>
    <w:rsid w:val="00DF5976"/>
    <w:rsid w:val="00DF5ABB"/>
    <w:rsid w:val="00DF5D88"/>
    <w:rsid w:val="00DF6124"/>
    <w:rsid w:val="00DF78A9"/>
    <w:rsid w:val="00DF7B30"/>
    <w:rsid w:val="00DF7EC5"/>
    <w:rsid w:val="00E0005D"/>
    <w:rsid w:val="00E001F2"/>
    <w:rsid w:val="00E00659"/>
    <w:rsid w:val="00E0066C"/>
    <w:rsid w:val="00E00AC5"/>
    <w:rsid w:val="00E00D6E"/>
    <w:rsid w:val="00E01398"/>
    <w:rsid w:val="00E0286B"/>
    <w:rsid w:val="00E02AD6"/>
    <w:rsid w:val="00E03729"/>
    <w:rsid w:val="00E039C7"/>
    <w:rsid w:val="00E03D44"/>
    <w:rsid w:val="00E04702"/>
    <w:rsid w:val="00E056C1"/>
    <w:rsid w:val="00E06049"/>
    <w:rsid w:val="00E0662E"/>
    <w:rsid w:val="00E06A39"/>
    <w:rsid w:val="00E06AC4"/>
    <w:rsid w:val="00E072AE"/>
    <w:rsid w:val="00E07666"/>
    <w:rsid w:val="00E10120"/>
    <w:rsid w:val="00E10547"/>
    <w:rsid w:val="00E10B1F"/>
    <w:rsid w:val="00E10F6D"/>
    <w:rsid w:val="00E11AE2"/>
    <w:rsid w:val="00E11D18"/>
    <w:rsid w:val="00E12225"/>
    <w:rsid w:val="00E129FE"/>
    <w:rsid w:val="00E12D0E"/>
    <w:rsid w:val="00E12E3E"/>
    <w:rsid w:val="00E137B8"/>
    <w:rsid w:val="00E14D60"/>
    <w:rsid w:val="00E14E2A"/>
    <w:rsid w:val="00E14F87"/>
    <w:rsid w:val="00E1512E"/>
    <w:rsid w:val="00E15788"/>
    <w:rsid w:val="00E1620A"/>
    <w:rsid w:val="00E16E4A"/>
    <w:rsid w:val="00E17ADD"/>
    <w:rsid w:val="00E17D3A"/>
    <w:rsid w:val="00E17EC3"/>
    <w:rsid w:val="00E209BB"/>
    <w:rsid w:val="00E209C9"/>
    <w:rsid w:val="00E214FE"/>
    <w:rsid w:val="00E220AE"/>
    <w:rsid w:val="00E22D9A"/>
    <w:rsid w:val="00E248B4"/>
    <w:rsid w:val="00E24F07"/>
    <w:rsid w:val="00E25708"/>
    <w:rsid w:val="00E25733"/>
    <w:rsid w:val="00E2589D"/>
    <w:rsid w:val="00E26A8B"/>
    <w:rsid w:val="00E270AE"/>
    <w:rsid w:val="00E27BD2"/>
    <w:rsid w:val="00E27BDF"/>
    <w:rsid w:val="00E27C46"/>
    <w:rsid w:val="00E27D78"/>
    <w:rsid w:val="00E30A47"/>
    <w:rsid w:val="00E3141D"/>
    <w:rsid w:val="00E31641"/>
    <w:rsid w:val="00E32691"/>
    <w:rsid w:val="00E32EEA"/>
    <w:rsid w:val="00E32F31"/>
    <w:rsid w:val="00E32F54"/>
    <w:rsid w:val="00E33B82"/>
    <w:rsid w:val="00E34420"/>
    <w:rsid w:val="00E34827"/>
    <w:rsid w:val="00E35257"/>
    <w:rsid w:val="00E3542A"/>
    <w:rsid w:val="00E3641A"/>
    <w:rsid w:val="00E36631"/>
    <w:rsid w:val="00E36F0A"/>
    <w:rsid w:val="00E37058"/>
    <w:rsid w:val="00E373A4"/>
    <w:rsid w:val="00E373ED"/>
    <w:rsid w:val="00E37A21"/>
    <w:rsid w:val="00E37B11"/>
    <w:rsid w:val="00E40537"/>
    <w:rsid w:val="00E419AF"/>
    <w:rsid w:val="00E41BE2"/>
    <w:rsid w:val="00E41EDC"/>
    <w:rsid w:val="00E43301"/>
    <w:rsid w:val="00E43C04"/>
    <w:rsid w:val="00E43FD2"/>
    <w:rsid w:val="00E4418F"/>
    <w:rsid w:val="00E4430B"/>
    <w:rsid w:val="00E4480B"/>
    <w:rsid w:val="00E449AB"/>
    <w:rsid w:val="00E44AFD"/>
    <w:rsid w:val="00E44F03"/>
    <w:rsid w:val="00E45647"/>
    <w:rsid w:val="00E45C49"/>
    <w:rsid w:val="00E46DFD"/>
    <w:rsid w:val="00E5003F"/>
    <w:rsid w:val="00E50F12"/>
    <w:rsid w:val="00E510E6"/>
    <w:rsid w:val="00E51144"/>
    <w:rsid w:val="00E512D3"/>
    <w:rsid w:val="00E51C1F"/>
    <w:rsid w:val="00E524B5"/>
    <w:rsid w:val="00E52D0E"/>
    <w:rsid w:val="00E53A23"/>
    <w:rsid w:val="00E54057"/>
    <w:rsid w:val="00E542DC"/>
    <w:rsid w:val="00E54513"/>
    <w:rsid w:val="00E55B8F"/>
    <w:rsid w:val="00E55EB8"/>
    <w:rsid w:val="00E56085"/>
    <w:rsid w:val="00E5621C"/>
    <w:rsid w:val="00E5681C"/>
    <w:rsid w:val="00E56D54"/>
    <w:rsid w:val="00E57B6D"/>
    <w:rsid w:val="00E57CA8"/>
    <w:rsid w:val="00E6083D"/>
    <w:rsid w:val="00E6093E"/>
    <w:rsid w:val="00E60D17"/>
    <w:rsid w:val="00E61B1B"/>
    <w:rsid w:val="00E624A4"/>
    <w:rsid w:val="00E62D2F"/>
    <w:rsid w:val="00E630A4"/>
    <w:rsid w:val="00E63276"/>
    <w:rsid w:val="00E63DB8"/>
    <w:rsid w:val="00E63EE6"/>
    <w:rsid w:val="00E64D70"/>
    <w:rsid w:val="00E6566B"/>
    <w:rsid w:val="00E658FC"/>
    <w:rsid w:val="00E6639F"/>
    <w:rsid w:val="00E6640B"/>
    <w:rsid w:val="00E66506"/>
    <w:rsid w:val="00E66B94"/>
    <w:rsid w:val="00E675AB"/>
    <w:rsid w:val="00E67655"/>
    <w:rsid w:val="00E67AA9"/>
    <w:rsid w:val="00E67B3E"/>
    <w:rsid w:val="00E701F4"/>
    <w:rsid w:val="00E705D9"/>
    <w:rsid w:val="00E70F13"/>
    <w:rsid w:val="00E715CE"/>
    <w:rsid w:val="00E71752"/>
    <w:rsid w:val="00E72217"/>
    <w:rsid w:val="00E7245D"/>
    <w:rsid w:val="00E72771"/>
    <w:rsid w:val="00E7282E"/>
    <w:rsid w:val="00E72FE3"/>
    <w:rsid w:val="00E73526"/>
    <w:rsid w:val="00E73979"/>
    <w:rsid w:val="00E73F73"/>
    <w:rsid w:val="00E74E8E"/>
    <w:rsid w:val="00E75A77"/>
    <w:rsid w:val="00E75E1B"/>
    <w:rsid w:val="00E761A4"/>
    <w:rsid w:val="00E76731"/>
    <w:rsid w:val="00E7792D"/>
    <w:rsid w:val="00E77E67"/>
    <w:rsid w:val="00E8068A"/>
    <w:rsid w:val="00E8068D"/>
    <w:rsid w:val="00E80A06"/>
    <w:rsid w:val="00E80FF6"/>
    <w:rsid w:val="00E81992"/>
    <w:rsid w:val="00E819DE"/>
    <w:rsid w:val="00E82193"/>
    <w:rsid w:val="00E8264C"/>
    <w:rsid w:val="00E83677"/>
    <w:rsid w:val="00E83B4F"/>
    <w:rsid w:val="00E841AD"/>
    <w:rsid w:val="00E845DE"/>
    <w:rsid w:val="00E84C59"/>
    <w:rsid w:val="00E84D26"/>
    <w:rsid w:val="00E852B8"/>
    <w:rsid w:val="00E8536D"/>
    <w:rsid w:val="00E85560"/>
    <w:rsid w:val="00E8579E"/>
    <w:rsid w:val="00E85D23"/>
    <w:rsid w:val="00E86072"/>
    <w:rsid w:val="00E86168"/>
    <w:rsid w:val="00E86976"/>
    <w:rsid w:val="00E86FBA"/>
    <w:rsid w:val="00E8741C"/>
    <w:rsid w:val="00E874E5"/>
    <w:rsid w:val="00E87628"/>
    <w:rsid w:val="00E8782B"/>
    <w:rsid w:val="00E878FE"/>
    <w:rsid w:val="00E87E20"/>
    <w:rsid w:val="00E87FCF"/>
    <w:rsid w:val="00E900D3"/>
    <w:rsid w:val="00E9012C"/>
    <w:rsid w:val="00E9129B"/>
    <w:rsid w:val="00E912F3"/>
    <w:rsid w:val="00E92641"/>
    <w:rsid w:val="00E92E13"/>
    <w:rsid w:val="00E93325"/>
    <w:rsid w:val="00E93666"/>
    <w:rsid w:val="00E9371E"/>
    <w:rsid w:val="00E94823"/>
    <w:rsid w:val="00E94F11"/>
    <w:rsid w:val="00E951A6"/>
    <w:rsid w:val="00E95853"/>
    <w:rsid w:val="00E958E0"/>
    <w:rsid w:val="00E96649"/>
    <w:rsid w:val="00E96929"/>
    <w:rsid w:val="00E969F7"/>
    <w:rsid w:val="00E96A7C"/>
    <w:rsid w:val="00E97069"/>
    <w:rsid w:val="00EA059A"/>
    <w:rsid w:val="00EA0705"/>
    <w:rsid w:val="00EA0D5C"/>
    <w:rsid w:val="00EA0EFE"/>
    <w:rsid w:val="00EA11BB"/>
    <w:rsid w:val="00EA3B6F"/>
    <w:rsid w:val="00EA4029"/>
    <w:rsid w:val="00EA4CC5"/>
    <w:rsid w:val="00EA4CFA"/>
    <w:rsid w:val="00EA54F9"/>
    <w:rsid w:val="00EA5869"/>
    <w:rsid w:val="00EA5ADA"/>
    <w:rsid w:val="00EA69DA"/>
    <w:rsid w:val="00EA6CC4"/>
    <w:rsid w:val="00EA6FDE"/>
    <w:rsid w:val="00EA75FE"/>
    <w:rsid w:val="00EA768B"/>
    <w:rsid w:val="00EA7852"/>
    <w:rsid w:val="00EB0F61"/>
    <w:rsid w:val="00EB1541"/>
    <w:rsid w:val="00EB2201"/>
    <w:rsid w:val="00EB245E"/>
    <w:rsid w:val="00EB28FE"/>
    <w:rsid w:val="00EB343A"/>
    <w:rsid w:val="00EB3880"/>
    <w:rsid w:val="00EB3F0E"/>
    <w:rsid w:val="00EB3F4C"/>
    <w:rsid w:val="00EB4C4F"/>
    <w:rsid w:val="00EB4EAE"/>
    <w:rsid w:val="00EB5153"/>
    <w:rsid w:val="00EB54F3"/>
    <w:rsid w:val="00EB56D0"/>
    <w:rsid w:val="00EB60FA"/>
    <w:rsid w:val="00EB61AB"/>
    <w:rsid w:val="00EB67CF"/>
    <w:rsid w:val="00EB727F"/>
    <w:rsid w:val="00EB785E"/>
    <w:rsid w:val="00EB7CD5"/>
    <w:rsid w:val="00EB7EC5"/>
    <w:rsid w:val="00EB7FE0"/>
    <w:rsid w:val="00EC03CD"/>
    <w:rsid w:val="00EC0782"/>
    <w:rsid w:val="00EC0D1A"/>
    <w:rsid w:val="00EC0D38"/>
    <w:rsid w:val="00EC1270"/>
    <w:rsid w:val="00EC17D8"/>
    <w:rsid w:val="00EC1C5F"/>
    <w:rsid w:val="00EC2F56"/>
    <w:rsid w:val="00EC30D9"/>
    <w:rsid w:val="00EC3264"/>
    <w:rsid w:val="00EC3BA6"/>
    <w:rsid w:val="00EC3FB7"/>
    <w:rsid w:val="00EC5561"/>
    <w:rsid w:val="00EC5768"/>
    <w:rsid w:val="00EC585E"/>
    <w:rsid w:val="00EC5A85"/>
    <w:rsid w:val="00EC5BA7"/>
    <w:rsid w:val="00EC5C66"/>
    <w:rsid w:val="00EC6127"/>
    <w:rsid w:val="00EC6213"/>
    <w:rsid w:val="00EC6539"/>
    <w:rsid w:val="00EC6678"/>
    <w:rsid w:val="00EC6A69"/>
    <w:rsid w:val="00EC6D55"/>
    <w:rsid w:val="00EC7407"/>
    <w:rsid w:val="00EC7AE4"/>
    <w:rsid w:val="00EC7B3F"/>
    <w:rsid w:val="00EC7F96"/>
    <w:rsid w:val="00ED05D3"/>
    <w:rsid w:val="00ED11C0"/>
    <w:rsid w:val="00ED1A58"/>
    <w:rsid w:val="00ED23A9"/>
    <w:rsid w:val="00ED245A"/>
    <w:rsid w:val="00ED27B8"/>
    <w:rsid w:val="00ED31AF"/>
    <w:rsid w:val="00ED3ACE"/>
    <w:rsid w:val="00ED3CD6"/>
    <w:rsid w:val="00ED4190"/>
    <w:rsid w:val="00ED489C"/>
    <w:rsid w:val="00ED4A45"/>
    <w:rsid w:val="00ED4FC4"/>
    <w:rsid w:val="00ED64E1"/>
    <w:rsid w:val="00ED6772"/>
    <w:rsid w:val="00ED6B81"/>
    <w:rsid w:val="00ED6F5E"/>
    <w:rsid w:val="00ED70A7"/>
    <w:rsid w:val="00ED725B"/>
    <w:rsid w:val="00ED777D"/>
    <w:rsid w:val="00ED7910"/>
    <w:rsid w:val="00EE03C4"/>
    <w:rsid w:val="00EE070D"/>
    <w:rsid w:val="00EE0E9C"/>
    <w:rsid w:val="00EE0F15"/>
    <w:rsid w:val="00EE1395"/>
    <w:rsid w:val="00EE15AF"/>
    <w:rsid w:val="00EE1A7E"/>
    <w:rsid w:val="00EE1C70"/>
    <w:rsid w:val="00EE294B"/>
    <w:rsid w:val="00EE2C17"/>
    <w:rsid w:val="00EE3F84"/>
    <w:rsid w:val="00EE4020"/>
    <w:rsid w:val="00EE4A2A"/>
    <w:rsid w:val="00EE588C"/>
    <w:rsid w:val="00EE5BC4"/>
    <w:rsid w:val="00EE5D00"/>
    <w:rsid w:val="00EE5DE8"/>
    <w:rsid w:val="00EE62C9"/>
    <w:rsid w:val="00EE69B6"/>
    <w:rsid w:val="00EE6BA0"/>
    <w:rsid w:val="00EF04D0"/>
    <w:rsid w:val="00EF17B0"/>
    <w:rsid w:val="00EF204E"/>
    <w:rsid w:val="00EF21D7"/>
    <w:rsid w:val="00EF223C"/>
    <w:rsid w:val="00EF22F1"/>
    <w:rsid w:val="00EF23D8"/>
    <w:rsid w:val="00EF2630"/>
    <w:rsid w:val="00EF2705"/>
    <w:rsid w:val="00EF281D"/>
    <w:rsid w:val="00EF2D28"/>
    <w:rsid w:val="00EF2F2C"/>
    <w:rsid w:val="00EF3477"/>
    <w:rsid w:val="00EF4361"/>
    <w:rsid w:val="00EF4628"/>
    <w:rsid w:val="00EF48DE"/>
    <w:rsid w:val="00EF6C87"/>
    <w:rsid w:val="00EF718D"/>
    <w:rsid w:val="00EF7EED"/>
    <w:rsid w:val="00F0042A"/>
    <w:rsid w:val="00F0076D"/>
    <w:rsid w:val="00F00868"/>
    <w:rsid w:val="00F00AC2"/>
    <w:rsid w:val="00F00B95"/>
    <w:rsid w:val="00F00BA2"/>
    <w:rsid w:val="00F00C8D"/>
    <w:rsid w:val="00F011D2"/>
    <w:rsid w:val="00F01D2B"/>
    <w:rsid w:val="00F0253A"/>
    <w:rsid w:val="00F0301E"/>
    <w:rsid w:val="00F033EB"/>
    <w:rsid w:val="00F0353E"/>
    <w:rsid w:val="00F03FA5"/>
    <w:rsid w:val="00F048C2"/>
    <w:rsid w:val="00F05939"/>
    <w:rsid w:val="00F06328"/>
    <w:rsid w:val="00F064F6"/>
    <w:rsid w:val="00F065B8"/>
    <w:rsid w:val="00F06BBD"/>
    <w:rsid w:val="00F06EE2"/>
    <w:rsid w:val="00F06F5B"/>
    <w:rsid w:val="00F06FEB"/>
    <w:rsid w:val="00F07FAD"/>
    <w:rsid w:val="00F105FF"/>
    <w:rsid w:val="00F10A1F"/>
    <w:rsid w:val="00F10EB3"/>
    <w:rsid w:val="00F115EC"/>
    <w:rsid w:val="00F11718"/>
    <w:rsid w:val="00F11CEB"/>
    <w:rsid w:val="00F1297D"/>
    <w:rsid w:val="00F12B2B"/>
    <w:rsid w:val="00F12D60"/>
    <w:rsid w:val="00F130A2"/>
    <w:rsid w:val="00F1316A"/>
    <w:rsid w:val="00F13B4D"/>
    <w:rsid w:val="00F1436C"/>
    <w:rsid w:val="00F1540C"/>
    <w:rsid w:val="00F1548C"/>
    <w:rsid w:val="00F15BD6"/>
    <w:rsid w:val="00F15C0E"/>
    <w:rsid w:val="00F16772"/>
    <w:rsid w:val="00F168EA"/>
    <w:rsid w:val="00F16D4C"/>
    <w:rsid w:val="00F16F65"/>
    <w:rsid w:val="00F1715D"/>
    <w:rsid w:val="00F20CBB"/>
    <w:rsid w:val="00F20E60"/>
    <w:rsid w:val="00F20F9F"/>
    <w:rsid w:val="00F2351E"/>
    <w:rsid w:val="00F23DB0"/>
    <w:rsid w:val="00F24184"/>
    <w:rsid w:val="00F2427C"/>
    <w:rsid w:val="00F24623"/>
    <w:rsid w:val="00F24722"/>
    <w:rsid w:val="00F247AE"/>
    <w:rsid w:val="00F2679B"/>
    <w:rsid w:val="00F267B2"/>
    <w:rsid w:val="00F26D5F"/>
    <w:rsid w:val="00F27D40"/>
    <w:rsid w:val="00F27D48"/>
    <w:rsid w:val="00F30289"/>
    <w:rsid w:val="00F30509"/>
    <w:rsid w:val="00F305A2"/>
    <w:rsid w:val="00F3103B"/>
    <w:rsid w:val="00F315B9"/>
    <w:rsid w:val="00F31B02"/>
    <w:rsid w:val="00F32077"/>
    <w:rsid w:val="00F32B81"/>
    <w:rsid w:val="00F32F04"/>
    <w:rsid w:val="00F32F2B"/>
    <w:rsid w:val="00F33485"/>
    <w:rsid w:val="00F33562"/>
    <w:rsid w:val="00F33BF0"/>
    <w:rsid w:val="00F33C77"/>
    <w:rsid w:val="00F33DEC"/>
    <w:rsid w:val="00F33F7B"/>
    <w:rsid w:val="00F34306"/>
    <w:rsid w:val="00F348E5"/>
    <w:rsid w:val="00F3512B"/>
    <w:rsid w:val="00F354F9"/>
    <w:rsid w:val="00F35EEA"/>
    <w:rsid w:val="00F36041"/>
    <w:rsid w:val="00F3604E"/>
    <w:rsid w:val="00F362E1"/>
    <w:rsid w:val="00F3665E"/>
    <w:rsid w:val="00F36722"/>
    <w:rsid w:val="00F379BD"/>
    <w:rsid w:val="00F41ADE"/>
    <w:rsid w:val="00F422A6"/>
    <w:rsid w:val="00F42619"/>
    <w:rsid w:val="00F429A2"/>
    <w:rsid w:val="00F43760"/>
    <w:rsid w:val="00F4388D"/>
    <w:rsid w:val="00F4465C"/>
    <w:rsid w:val="00F44ABC"/>
    <w:rsid w:val="00F44CDB"/>
    <w:rsid w:val="00F45F50"/>
    <w:rsid w:val="00F46969"/>
    <w:rsid w:val="00F46A0B"/>
    <w:rsid w:val="00F46A10"/>
    <w:rsid w:val="00F4759C"/>
    <w:rsid w:val="00F47C71"/>
    <w:rsid w:val="00F47D7C"/>
    <w:rsid w:val="00F500AD"/>
    <w:rsid w:val="00F508A7"/>
    <w:rsid w:val="00F50FE2"/>
    <w:rsid w:val="00F51A4A"/>
    <w:rsid w:val="00F53915"/>
    <w:rsid w:val="00F53CED"/>
    <w:rsid w:val="00F543A8"/>
    <w:rsid w:val="00F544E2"/>
    <w:rsid w:val="00F54CF3"/>
    <w:rsid w:val="00F54FE6"/>
    <w:rsid w:val="00F558F0"/>
    <w:rsid w:val="00F56226"/>
    <w:rsid w:val="00F56769"/>
    <w:rsid w:val="00F56BE7"/>
    <w:rsid w:val="00F57822"/>
    <w:rsid w:val="00F57BDA"/>
    <w:rsid w:val="00F60178"/>
    <w:rsid w:val="00F604E8"/>
    <w:rsid w:val="00F60C02"/>
    <w:rsid w:val="00F6165E"/>
    <w:rsid w:val="00F616B6"/>
    <w:rsid w:val="00F6194C"/>
    <w:rsid w:val="00F620CA"/>
    <w:rsid w:val="00F62393"/>
    <w:rsid w:val="00F631B7"/>
    <w:rsid w:val="00F63A22"/>
    <w:rsid w:val="00F6496C"/>
    <w:rsid w:val="00F64A73"/>
    <w:rsid w:val="00F652EE"/>
    <w:rsid w:val="00F65772"/>
    <w:rsid w:val="00F658F5"/>
    <w:rsid w:val="00F66DE7"/>
    <w:rsid w:val="00F66FF2"/>
    <w:rsid w:val="00F67038"/>
    <w:rsid w:val="00F67837"/>
    <w:rsid w:val="00F679AA"/>
    <w:rsid w:val="00F67E58"/>
    <w:rsid w:val="00F703F2"/>
    <w:rsid w:val="00F709F8"/>
    <w:rsid w:val="00F70AB3"/>
    <w:rsid w:val="00F70E36"/>
    <w:rsid w:val="00F7108B"/>
    <w:rsid w:val="00F71B2C"/>
    <w:rsid w:val="00F72044"/>
    <w:rsid w:val="00F7278E"/>
    <w:rsid w:val="00F72A33"/>
    <w:rsid w:val="00F72E5C"/>
    <w:rsid w:val="00F73284"/>
    <w:rsid w:val="00F73A99"/>
    <w:rsid w:val="00F73BFA"/>
    <w:rsid w:val="00F73D36"/>
    <w:rsid w:val="00F73E3B"/>
    <w:rsid w:val="00F74E5E"/>
    <w:rsid w:val="00F76083"/>
    <w:rsid w:val="00F77AE0"/>
    <w:rsid w:val="00F804A3"/>
    <w:rsid w:val="00F80742"/>
    <w:rsid w:val="00F80C0E"/>
    <w:rsid w:val="00F8142E"/>
    <w:rsid w:val="00F830E2"/>
    <w:rsid w:val="00F83C1E"/>
    <w:rsid w:val="00F83CE5"/>
    <w:rsid w:val="00F83FDE"/>
    <w:rsid w:val="00F84053"/>
    <w:rsid w:val="00F84FBF"/>
    <w:rsid w:val="00F85EA6"/>
    <w:rsid w:val="00F86C81"/>
    <w:rsid w:val="00F8724E"/>
    <w:rsid w:val="00F87945"/>
    <w:rsid w:val="00F87A17"/>
    <w:rsid w:val="00F87ADE"/>
    <w:rsid w:val="00F90702"/>
    <w:rsid w:val="00F90867"/>
    <w:rsid w:val="00F909F8"/>
    <w:rsid w:val="00F90B9E"/>
    <w:rsid w:val="00F915C5"/>
    <w:rsid w:val="00F9165A"/>
    <w:rsid w:val="00F91D7A"/>
    <w:rsid w:val="00F93ABC"/>
    <w:rsid w:val="00F95243"/>
    <w:rsid w:val="00F9564F"/>
    <w:rsid w:val="00F95B12"/>
    <w:rsid w:val="00F95D84"/>
    <w:rsid w:val="00F96459"/>
    <w:rsid w:val="00F96FBE"/>
    <w:rsid w:val="00F978A5"/>
    <w:rsid w:val="00FA0838"/>
    <w:rsid w:val="00FA0955"/>
    <w:rsid w:val="00FA0B13"/>
    <w:rsid w:val="00FA0F37"/>
    <w:rsid w:val="00FA1283"/>
    <w:rsid w:val="00FA187D"/>
    <w:rsid w:val="00FA18DF"/>
    <w:rsid w:val="00FA2477"/>
    <w:rsid w:val="00FA24E9"/>
    <w:rsid w:val="00FA3271"/>
    <w:rsid w:val="00FA3711"/>
    <w:rsid w:val="00FA3883"/>
    <w:rsid w:val="00FA3C53"/>
    <w:rsid w:val="00FA4187"/>
    <w:rsid w:val="00FA46DB"/>
    <w:rsid w:val="00FA4887"/>
    <w:rsid w:val="00FA4CEC"/>
    <w:rsid w:val="00FA53F8"/>
    <w:rsid w:val="00FA6B7B"/>
    <w:rsid w:val="00FA7534"/>
    <w:rsid w:val="00FA7927"/>
    <w:rsid w:val="00FA7B9D"/>
    <w:rsid w:val="00FB0C9F"/>
    <w:rsid w:val="00FB0F55"/>
    <w:rsid w:val="00FB11C9"/>
    <w:rsid w:val="00FB1DF2"/>
    <w:rsid w:val="00FB26CA"/>
    <w:rsid w:val="00FB27E1"/>
    <w:rsid w:val="00FB3314"/>
    <w:rsid w:val="00FB3AA6"/>
    <w:rsid w:val="00FB3DC9"/>
    <w:rsid w:val="00FB3E02"/>
    <w:rsid w:val="00FB4339"/>
    <w:rsid w:val="00FB46EE"/>
    <w:rsid w:val="00FB47DF"/>
    <w:rsid w:val="00FB4BF3"/>
    <w:rsid w:val="00FB4D59"/>
    <w:rsid w:val="00FB5774"/>
    <w:rsid w:val="00FB5D3D"/>
    <w:rsid w:val="00FB5D99"/>
    <w:rsid w:val="00FB66DD"/>
    <w:rsid w:val="00FB6893"/>
    <w:rsid w:val="00FB6A06"/>
    <w:rsid w:val="00FB7461"/>
    <w:rsid w:val="00FB74DB"/>
    <w:rsid w:val="00FB74F2"/>
    <w:rsid w:val="00FC04D2"/>
    <w:rsid w:val="00FC0EAE"/>
    <w:rsid w:val="00FC133E"/>
    <w:rsid w:val="00FC32D1"/>
    <w:rsid w:val="00FC33AB"/>
    <w:rsid w:val="00FC35C2"/>
    <w:rsid w:val="00FC3A7E"/>
    <w:rsid w:val="00FC3C71"/>
    <w:rsid w:val="00FC414C"/>
    <w:rsid w:val="00FC5B21"/>
    <w:rsid w:val="00FC5BD7"/>
    <w:rsid w:val="00FC5EBA"/>
    <w:rsid w:val="00FC6A0A"/>
    <w:rsid w:val="00FC6A0F"/>
    <w:rsid w:val="00FC6F8C"/>
    <w:rsid w:val="00FC7DE0"/>
    <w:rsid w:val="00FD0262"/>
    <w:rsid w:val="00FD037E"/>
    <w:rsid w:val="00FD1452"/>
    <w:rsid w:val="00FD1AE9"/>
    <w:rsid w:val="00FD1FE1"/>
    <w:rsid w:val="00FD221B"/>
    <w:rsid w:val="00FD26C1"/>
    <w:rsid w:val="00FD3009"/>
    <w:rsid w:val="00FD4C01"/>
    <w:rsid w:val="00FD518A"/>
    <w:rsid w:val="00FD53AB"/>
    <w:rsid w:val="00FD6429"/>
    <w:rsid w:val="00FD6B3A"/>
    <w:rsid w:val="00FD7143"/>
    <w:rsid w:val="00FD73B2"/>
    <w:rsid w:val="00FD74F4"/>
    <w:rsid w:val="00FD76EE"/>
    <w:rsid w:val="00FD79E2"/>
    <w:rsid w:val="00FE0C50"/>
    <w:rsid w:val="00FE0D0B"/>
    <w:rsid w:val="00FE0E40"/>
    <w:rsid w:val="00FE1936"/>
    <w:rsid w:val="00FE1D9D"/>
    <w:rsid w:val="00FE26E0"/>
    <w:rsid w:val="00FE2F50"/>
    <w:rsid w:val="00FE34C4"/>
    <w:rsid w:val="00FE3DCD"/>
    <w:rsid w:val="00FE4A00"/>
    <w:rsid w:val="00FE4C13"/>
    <w:rsid w:val="00FE4D03"/>
    <w:rsid w:val="00FE52DA"/>
    <w:rsid w:val="00FE640C"/>
    <w:rsid w:val="00FE6D54"/>
    <w:rsid w:val="00FE6ED8"/>
    <w:rsid w:val="00FE7CBD"/>
    <w:rsid w:val="00FF0C83"/>
    <w:rsid w:val="00FF1086"/>
    <w:rsid w:val="00FF18B7"/>
    <w:rsid w:val="00FF1F9F"/>
    <w:rsid w:val="00FF2C9A"/>
    <w:rsid w:val="00FF3526"/>
    <w:rsid w:val="00FF35A9"/>
    <w:rsid w:val="00FF3D15"/>
    <w:rsid w:val="00FF4067"/>
    <w:rsid w:val="00FF59F8"/>
    <w:rsid w:val="00FF5FF5"/>
    <w:rsid w:val="00FF62D9"/>
    <w:rsid w:val="00FF64FE"/>
    <w:rsid w:val="00FF671C"/>
    <w:rsid w:val="00FF6CD4"/>
    <w:rsid w:val="00FF740C"/>
    <w:rsid w:val="00FF759D"/>
    <w:rsid w:val="00FF7C46"/>
    <w:rsid w:val="00FF7D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fillcolor="none [3212]" strokecolor="none [1614]">
      <v:fill color="none [3212]"/>
      <v:stroke color="none [1614]" weight="1.25pt"/>
      <v:textbox inset="14.4pt,36pt,14.4pt,5.76pt"/>
      <o:colormru v:ext="edit" colors="#f1f0ef,#f9f1eb,#edebe7,#f5f4f1"/>
    </o:shapedefaults>
    <o:shapelayout v:ext="edit">
      <o:idmap v:ext="edit" data="2"/>
    </o:shapelayout>
  </w:shapeDefaults>
  <w:decimalSymbol w:val="."/>
  <w:listSeparator w:val=","/>
  <w14:docId w14:val="3C47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D8F"/>
    <w:pPr>
      <w:spacing w:line="252" w:lineRule="auto"/>
      <w:jc w:val="both"/>
    </w:pPr>
    <w:rPr>
      <w:rFonts w:ascii="Cambria" w:hAnsi="Cambria"/>
      <w:sz w:val="20"/>
    </w:rPr>
  </w:style>
  <w:style w:type="paragraph" w:styleId="Heading1">
    <w:name w:val="heading 1"/>
    <w:basedOn w:val="Normal"/>
    <w:next w:val="Normal"/>
    <w:link w:val="Heading1Char"/>
    <w:uiPriority w:val="9"/>
    <w:qFormat/>
    <w:rsid w:val="001350A6"/>
    <w:pPr>
      <w:keepNext/>
      <w:keepLines/>
      <w:pBdr>
        <w:bottom w:val="single" w:sz="12" w:space="1" w:color="5B2413" w:themeColor="accent3" w:themeShade="80"/>
      </w:pBdr>
      <w:spacing w:before="480" w:after="360"/>
      <w:jc w:val="center"/>
      <w:outlineLvl w:val="0"/>
    </w:pPr>
    <w:rPr>
      <w:rFonts w:asciiTheme="majorHAnsi" w:eastAsiaTheme="majorEastAsia" w:hAnsiTheme="majorHAnsi" w:cstheme="majorBidi"/>
      <w:b/>
      <w:smallCaps/>
      <w:color w:val="851C00" w:themeColor="accent6" w:themeShade="BF"/>
      <w:sz w:val="32"/>
      <w:szCs w:val="32"/>
    </w:rPr>
  </w:style>
  <w:style w:type="paragraph" w:styleId="Heading2">
    <w:name w:val="heading 2"/>
    <w:basedOn w:val="Normal"/>
    <w:next w:val="Normal"/>
    <w:link w:val="Heading2Char"/>
    <w:uiPriority w:val="9"/>
    <w:qFormat/>
    <w:rsid w:val="001350A6"/>
    <w:pPr>
      <w:keepNext/>
      <w:keepLines/>
      <w:spacing w:before="240" w:after="160"/>
      <w:jc w:val="center"/>
      <w:outlineLvl w:val="1"/>
    </w:pPr>
    <w:rPr>
      <w:rFonts w:asciiTheme="majorHAnsi" w:eastAsiaTheme="majorEastAsia" w:hAnsiTheme="majorHAnsi" w:cstheme="majorBidi"/>
      <w:b/>
      <w:color w:val="851C00" w:themeColor="accent6" w:themeShade="BF"/>
      <w:sz w:val="26"/>
      <w:szCs w:val="26"/>
      <w:u w:val="single"/>
    </w:rPr>
  </w:style>
  <w:style w:type="paragraph" w:styleId="Heading3">
    <w:name w:val="heading 3"/>
    <w:basedOn w:val="Normal"/>
    <w:next w:val="Normal"/>
    <w:link w:val="Heading3Char"/>
    <w:uiPriority w:val="9"/>
    <w:qFormat/>
    <w:rsid w:val="001D3BD0"/>
    <w:pPr>
      <w:keepNext/>
      <w:keepLines/>
      <w:spacing w:before="300" w:after="160"/>
      <w:outlineLvl w:val="2"/>
    </w:pPr>
    <w:rPr>
      <w:rFonts w:asciiTheme="majorHAnsi" w:eastAsiaTheme="majorEastAsia" w:hAnsiTheme="majorHAnsi" w:cstheme="majorBidi"/>
      <w:b/>
      <w:color w:val="851C00" w:themeColor="accent6" w:themeShade="BF"/>
      <w:sz w:val="22"/>
      <w:szCs w:val="24"/>
      <w:u w:val="single"/>
    </w:rPr>
  </w:style>
  <w:style w:type="paragraph" w:styleId="Heading4">
    <w:name w:val="heading 4"/>
    <w:basedOn w:val="Normal"/>
    <w:next w:val="Normal"/>
    <w:link w:val="Heading4Char"/>
    <w:uiPriority w:val="9"/>
    <w:qFormat/>
    <w:rsid w:val="00133447"/>
    <w:pPr>
      <w:keepNext/>
      <w:keepLines/>
      <w:spacing w:before="160" w:after="80"/>
      <w:outlineLvl w:val="3"/>
    </w:pPr>
    <w:rPr>
      <w:rFonts w:asciiTheme="majorHAnsi" w:eastAsiaTheme="majorEastAsia" w:hAnsiTheme="majorHAnsi" w:cstheme="majorBidi"/>
      <w:iCs/>
      <w:color w:val="851C00" w:themeColor="accent6" w:themeShade="BF"/>
    </w:rPr>
  </w:style>
  <w:style w:type="paragraph" w:styleId="Heading5">
    <w:name w:val="heading 5"/>
    <w:basedOn w:val="Normal"/>
    <w:next w:val="Normal"/>
    <w:link w:val="Heading5Char"/>
    <w:uiPriority w:val="9"/>
    <w:qFormat/>
    <w:rsid w:val="0065004E"/>
    <w:pPr>
      <w:keepNext/>
      <w:keepLines/>
      <w:spacing w:before="120" w:after="80"/>
      <w:outlineLvl w:val="4"/>
    </w:pPr>
    <w:rPr>
      <w:rFonts w:eastAsiaTheme="majorEastAsia" w:cstheme="majorBidi"/>
      <w:i/>
      <w:color w:val="5B2413" w:themeColor="accent3" w:themeShade="80"/>
    </w:rPr>
  </w:style>
  <w:style w:type="paragraph" w:styleId="Heading6">
    <w:name w:val="heading 6"/>
    <w:basedOn w:val="Normal"/>
    <w:next w:val="Normal"/>
    <w:link w:val="Heading6Char"/>
    <w:uiPriority w:val="9"/>
    <w:rsid w:val="00745AE1"/>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9"/>
    <w:rsid w:val="00745AE1"/>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9"/>
    <w:rsid w:val="00745A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020"/>
    <w:pPr>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EE4020"/>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1350A6"/>
    <w:rPr>
      <w:rFonts w:asciiTheme="majorHAnsi" w:eastAsiaTheme="majorEastAsia" w:hAnsiTheme="majorHAnsi" w:cstheme="majorBidi"/>
      <w:b/>
      <w:smallCaps/>
      <w:color w:val="851C00" w:themeColor="accent6" w:themeShade="BF"/>
      <w:sz w:val="32"/>
      <w:szCs w:val="32"/>
    </w:rPr>
  </w:style>
  <w:style w:type="character" w:customStyle="1" w:styleId="Heading2Char">
    <w:name w:val="Heading 2 Char"/>
    <w:basedOn w:val="DefaultParagraphFont"/>
    <w:link w:val="Heading2"/>
    <w:uiPriority w:val="9"/>
    <w:rsid w:val="001350A6"/>
    <w:rPr>
      <w:rFonts w:asciiTheme="majorHAnsi" w:eastAsiaTheme="majorEastAsia" w:hAnsiTheme="majorHAnsi" w:cstheme="majorBidi"/>
      <w:b/>
      <w:color w:val="851C00" w:themeColor="accent6" w:themeShade="BF"/>
      <w:sz w:val="26"/>
      <w:szCs w:val="26"/>
      <w:u w:val="single"/>
    </w:rPr>
  </w:style>
  <w:style w:type="character" w:customStyle="1" w:styleId="Heading3Char">
    <w:name w:val="Heading 3 Char"/>
    <w:basedOn w:val="DefaultParagraphFont"/>
    <w:link w:val="Heading3"/>
    <w:uiPriority w:val="9"/>
    <w:rsid w:val="001D3BD0"/>
    <w:rPr>
      <w:rFonts w:asciiTheme="majorHAnsi" w:eastAsiaTheme="majorEastAsia" w:hAnsiTheme="majorHAnsi" w:cstheme="majorBidi"/>
      <w:b/>
      <w:color w:val="851C00" w:themeColor="accent6" w:themeShade="BF"/>
      <w:szCs w:val="24"/>
      <w:u w:val="single"/>
    </w:rPr>
  </w:style>
  <w:style w:type="character" w:customStyle="1" w:styleId="Heading4Char">
    <w:name w:val="Heading 4 Char"/>
    <w:basedOn w:val="DefaultParagraphFont"/>
    <w:link w:val="Heading4"/>
    <w:uiPriority w:val="9"/>
    <w:rsid w:val="00133447"/>
    <w:rPr>
      <w:rFonts w:asciiTheme="majorHAnsi" w:eastAsiaTheme="majorEastAsia" w:hAnsiTheme="majorHAnsi" w:cstheme="majorBidi"/>
      <w:iCs/>
      <w:color w:val="851C00" w:themeColor="accent6" w:themeShade="BF"/>
      <w:sz w:val="20"/>
    </w:rPr>
  </w:style>
  <w:style w:type="character" w:customStyle="1" w:styleId="Heading5Char">
    <w:name w:val="Heading 5 Char"/>
    <w:basedOn w:val="DefaultParagraphFont"/>
    <w:link w:val="Heading5"/>
    <w:uiPriority w:val="9"/>
    <w:rsid w:val="0065004E"/>
    <w:rPr>
      <w:rFonts w:ascii="Tisa Offc Serif Pro" w:eastAsiaTheme="majorEastAsia" w:hAnsi="Tisa Offc Serif Pro" w:cstheme="majorBidi"/>
      <w:i/>
      <w:color w:val="5B2413" w:themeColor="accent3" w:themeShade="80"/>
      <w:sz w:val="20"/>
    </w:rPr>
  </w:style>
  <w:style w:type="character" w:customStyle="1" w:styleId="Heading6Char">
    <w:name w:val="Heading 6 Char"/>
    <w:basedOn w:val="DefaultParagraphFont"/>
    <w:link w:val="Heading6"/>
    <w:uiPriority w:val="9"/>
    <w:rsid w:val="00745AE1"/>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rsid w:val="00745AE1"/>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sz w:val="20"/>
    </w:rPr>
  </w:style>
  <w:style w:type="character" w:styleId="Hyperlink">
    <w:name w:val="Hyperlink"/>
    <w:basedOn w:val="DefaultParagraphFont"/>
    <w:uiPriority w:val="99"/>
    <w:unhideWhenUsed/>
    <w:rsid w:val="00DB7768"/>
    <w:rPr>
      <w:color w:val="C00000"/>
      <w:u w:val="single"/>
    </w:rPr>
  </w:style>
  <w:style w:type="character" w:styleId="UnresolvedMention">
    <w:name w:val="Unresolved Mention"/>
    <w:basedOn w:val="DefaultParagraphFont"/>
    <w:uiPriority w:val="99"/>
    <w:semiHidden/>
    <w:unhideWhenUsed/>
    <w:rsid w:val="000134CF"/>
    <w:rPr>
      <w:color w:val="605E5C"/>
      <w:shd w:val="clear" w:color="auto" w:fill="E1DFDD"/>
    </w:rPr>
  </w:style>
  <w:style w:type="paragraph" w:styleId="FootnoteText">
    <w:name w:val="footnote text"/>
    <w:basedOn w:val="Normal"/>
    <w:link w:val="FootnoteTextChar"/>
    <w:uiPriority w:val="99"/>
    <w:unhideWhenUsed/>
    <w:rsid w:val="003D658A"/>
    <w:pPr>
      <w:spacing w:after="80" w:line="192" w:lineRule="auto"/>
      <w:jc w:val="left"/>
    </w:pPr>
    <w:rPr>
      <w:sz w:val="18"/>
      <w:szCs w:val="20"/>
    </w:rPr>
  </w:style>
  <w:style w:type="character" w:customStyle="1" w:styleId="FootnoteTextChar">
    <w:name w:val="Footnote Text Char"/>
    <w:basedOn w:val="DefaultParagraphFont"/>
    <w:link w:val="FootnoteText"/>
    <w:uiPriority w:val="99"/>
    <w:rsid w:val="003D658A"/>
    <w:rPr>
      <w:rFonts w:ascii="Tisa Offc Serif Pro" w:hAnsi="Tisa Offc Serif Pro"/>
      <w:sz w:val="18"/>
      <w:szCs w:val="20"/>
    </w:rPr>
  </w:style>
  <w:style w:type="character" w:styleId="FootnoteReference">
    <w:name w:val="footnote reference"/>
    <w:basedOn w:val="DefaultParagraphFont"/>
    <w:uiPriority w:val="99"/>
    <w:semiHidden/>
    <w:unhideWhenUsed/>
    <w:rsid w:val="00F804A3"/>
    <w:rPr>
      <w:vertAlign w:val="superscript"/>
    </w:rPr>
  </w:style>
  <w:style w:type="paragraph" w:styleId="ListParagraph">
    <w:name w:val="List Paragraph"/>
    <w:basedOn w:val="Normal"/>
    <w:uiPriority w:val="34"/>
    <w:unhideWhenUsed/>
    <w:qFormat/>
    <w:rsid w:val="004C77AE"/>
    <w:pPr>
      <w:ind w:left="720"/>
      <w:contextualSpacing/>
    </w:pPr>
  </w:style>
  <w:style w:type="paragraph" w:styleId="EndnoteText">
    <w:name w:val="endnote text"/>
    <w:basedOn w:val="Normal"/>
    <w:link w:val="EndnoteTextChar"/>
    <w:uiPriority w:val="99"/>
    <w:semiHidden/>
    <w:unhideWhenUsed/>
    <w:rsid w:val="004047E0"/>
    <w:pPr>
      <w:spacing w:after="0"/>
    </w:pPr>
    <w:rPr>
      <w:szCs w:val="20"/>
    </w:rPr>
  </w:style>
  <w:style w:type="character" w:customStyle="1" w:styleId="EndnoteTextChar">
    <w:name w:val="Endnote Text Char"/>
    <w:basedOn w:val="DefaultParagraphFont"/>
    <w:link w:val="EndnoteText"/>
    <w:uiPriority w:val="99"/>
    <w:semiHidden/>
    <w:rsid w:val="004047E0"/>
    <w:rPr>
      <w:sz w:val="20"/>
      <w:szCs w:val="20"/>
    </w:rPr>
  </w:style>
  <w:style w:type="character" w:styleId="EndnoteReference">
    <w:name w:val="endnote reference"/>
    <w:basedOn w:val="DefaultParagraphFont"/>
    <w:uiPriority w:val="99"/>
    <w:semiHidden/>
    <w:unhideWhenUsed/>
    <w:rsid w:val="004047E0"/>
    <w:rPr>
      <w:vertAlign w:val="superscript"/>
    </w:rPr>
  </w:style>
  <w:style w:type="paragraph" w:styleId="TOCHeading">
    <w:name w:val="TOC Heading"/>
    <w:basedOn w:val="Heading1"/>
    <w:next w:val="Normal"/>
    <w:uiPriority w:val="39"/>
    <w:unhideWhenUsed/>
    <w:qFormat/>
    <w:rsid w:val="003D6E30"/>
    <w:pPr>
      <w:spacing w:before="240" w:after="0" w:line="259" w:lineRule="auto"/>
      <w:outlineLvl w:val="9"/>
    </w:pPr>
    <w:rPr>
      <w:b w:val="0"/>
      <w:color w:val="B43412" w:themeColor="accent1" w:themeShade="BF"/>
    </w:rPr>
  </w:style>
  <w:style w:type="paragraph" w:styleId="TOC1">
    <w:name w:val="toc 1"/>
    <w:basedOn w:val="Normal"/>
    <w:next w:val="Normal"/>
    <w:autoRedefine/>
    <w:uiPriority w:val="39"/>
    <w:unhideWhenUsed/>
    <w:rsid w:val="00464AC0"/>
    <w:pPr>
      <w:tabs>
        <w:tab w:val="right" w:leader="dot" w:pos="9350"/>
      </w:tabs>
      <w:spacing w:after="100"/>
    </w:pPr>
    <w:rPr>
      <w:b/>
      <w:bCs/>
      <w:color w:val="88361C" w:themeColor="accent3" w:themeShade="BF"/>
      <w:sz w:val="28"/>
      <w:szCs w:val="32"/>
    </w:rPr>
  </w:style>
  <w:style w:type="paragraph" w:styleId="TOC3">
    <w:name w:val="toc 3"/>
    <w:basedOn w:val="Normal"/>
    <w:next w:val="Normal"/>
    <w:autoRedefine/>
    <w:uiPriority w:val="39"/>
    <w:unhideWhenUsed/>
    <w:rsid w:val="00DB290A"/>
    <w:pPr>
      <w:tabs>
        <w:tab w:val="right" w:leader="dot" w:pos="9350"/>
      </w:tabs>
      <w:spacing w:after="100"/>
      <w:ind w:left="480"/>
    </w:pPr>
  </w:style>
  <w:style w:type="paragraph" w:styleId="TOC2">
    <w:name w:val="toc 2"/>
    <w:basedOn w:val="Normal"/>
    <w:next w:val="Normal"/>
    <w:autoRedefine/>
    <w:uiPriority w:val="39"/>
    <w:unhideWhenUsed/>
    <w:rsid w:val="003D6E30"/>
    <w:pPr>
      <w:spacing w:after="100"/>
      <w:ind w:left="240"/>
    </w:pPr>
  </w:style>
  <w:style w:type="paragraph" w:styleId="NoSpacing">
    <w:name w:val="No Spacing"/>
    <w:link w:val="NoSpacingChar"/>
    <w:uiPriority w:val="1"/>
    <w:qFormat/>
    <w:rsid w:val="00EE5D00"/>
    <w:pPr>
      <w:spacing w:after="0" w:line="240" w:lineRule="auto"/>
    </w:pPr>
    <w:rPr>
      <w:rFonts w:eastAsiaTheme="minorEastAsia"/>
    </w:rPr>
  </w:style>
  <w:style w:type="character" w:customStyle="1" w:styleId="NoSpacingChar">
    <w:name w:val="No Spacing Char"/>
    <w:basedOn w:val="DefaultParagraphFont"/>
    <w:link w:val="NoSpacing"/>
    <w:uiPriority w:val="1"/>
    <w:rsid w:val="00EE5D00"/>
    <w:rPr>
      <w:rFonts w:eastAsiaTheme="minorEastAsia"/>
    </w:rPr>
  </w:style>
  <w:style w:type="numbering" w:customStyle="1" w:styleId="Style1">
    <w:name w:val="Style1"/>
    <w:uiPriority w:val="99"/>
    <w:rsid w:val="00A75290"/>
    <w:pPr>
      <w:numPr>
        <w:numId w:val="2"/>
      </w:numPr>
    </w:pPr>
  </w:style>
  <w:style w:type="paragraph" w:styleId="Header">
    <w:name w:val="header"/>
    <w:basedOn w:val="Normal"/>
    <w:link w:val="HeaderChar"/>
    <w:uiPriority w:val="99"/>
    <w:unhideWhenUsed/>
    <w:rsid w:val="00817E18"/>
    <w:pPr>
      <w:tabs>
        <w:tab w:val="center" w:pos="4680"/>
        <w:tab w:val="right" w:pos="9360"/>
      </w:tabs>
      <w:spacing w:after="0"/>
    </w:pPr>
  </w:style>
  <w:style w:type="character" w:customStyle="1" w:styleId="HeaderChar">
    <w:name w:val="Header Char"/>
    <w:basedOn w:val="DefaultParagraphFont"/>
    <w:link w:val="Header"/>
    <w:uiPriority w:val="99"/>
    <w:rsid w:val="00817E18"/>
    <w:rPr>
      <w:rFonts w:ascii="Tisa Offc Serif Pro" w:hAnsi="Tisa Offc Serif Pro"/>
      <w:sz w:val="20"/>
    </w:rPr>
  </w:style>
  <w:style w:type="paragraph" w:styleId="Footer">
    <w:name w:val="footer"/>
    <w:basedOn w:val="Normal"/>
    <w:link w:val="FooterChar"/>
    <w:uiPriority w:val="99"/>
    <w:unhideWhenUsed/>
    <w:rsid w:val="00817E18"/>
    <w:pPr>
      <w:tabs>
        <w:tab w:val="center" w:pos="4680"/>
        <w:tab w:val="right" w:pos="9360"/>
      </w:tabs>
      <w:spacing w:after="0"/>
    </w:pPr>
  </w:style>
  <w:style w:type="character" w:customStyle="1" w:styleId="FooterChar">
    <w:name w:val="Footer Char"/>
    <w:basedOn w:val="DefaultParagraphFont"/>
    <w:link w:val="Footer"/>
    <w:uiPriority w:val="99"/>
    <w:rsid w:val="00817E18"/>
    <w:rPr>
      <w:rFonts w:ascii="Tisa Offc Serif Pro" w:hAnsi="Tisa Offc Serif Pro"/>
      <w:sz w:val="20"/>
    </w:rPr>
  </w:style>
  <w:style w:type="paragraph" w:styleId="Revision">
    <w:name w:val="Revision"/>
    <w:hidden/>
    <w:uiPriority w:val="99"/>
    <w:semiHidden/>
    <w:rsid w:val="00EC0D38"/>
    <w:pPr>
      <w:spacing w:after="0" w:line="240" w:lineRule="auto"/>
    </w:pPr>
    <w:rPr>
      <w:rFonts w:ascii="Tisa Offc Serif Pro" w:hAnsi="Tisa Offc Serif Pro"/>
      <w:sz w:val="20"/>
    </w:rPr>
  </w:style>
  <w:style w:type="table" w:styleId="TableGrid">
    <w:name w:val="Table Grid"/>
    <w:basedOn w:val="TableNormal"/>
    <w:uiPriority w:val="59"/>
    <w:rsid w:val="00C4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13E"/>
    <w:rPr>
      <w:sz w:val="16"/>
      <w:szCs w:val="16"/>
    </w:rPr>
  </w:style>
  <w:style w:type="paragraph" w:styleId="CommentText">
    <w:name w:val="annotation text"/>
    <w:basedOn w:val="Normal"/>
    <w:link w:val="CommentTextChar"/>
    <w:uiPriority w:val="99"/>
    <w:unhideWhenUsed/>
    <w:rsid w:val="0047413E"/>
    <w:rPr>
      <w:rFonts w:ascii="Tisa Offc Serif Pro" w:hAnsi="Tisa Offc Serif Pro"/>
      <w:szCs w:val="20"/>
    </w:rPr>
  </w:style>
  <w:style w:type="character" w:customStyle="1" w:styleId="CommentTextChar">
    <w:name w:val="Comment Text Char"/>
    <w:basedOn w:val="DefaultParagraphFont"/>
    <w:link w:val="CommentText"/>
    <w:uiPriority w:val="99"/>
    <w:rsid w:val="0047413E"/>
    <w:rPr>
      <w:rFonts w:ascii="Tisa Offc Serif Pro" w:hAnsi="Tisa Offc Serif Pro"/>
      <w:sz w:val="20"/>
      <w:szCs w:val="20"/>
    </w:rPr>
  </w:style>
  <w:style w:type="paragraph" w:styleId="CommentSubject">
    <w:name w:val="annotation subject"/>
    <w:basedOn w:val="CommentText"/>
    <w:next w:val="CommentText"/>
    <w:link w:val="CommentSubjectChar"/>
    <w:uiPriority w:val="99"/>
    <w:semiHidden/>
    <w:unhideWhenUsed/>
    <w:rsid w:val="00244380"/>
    <w:rPr>
      <w:rFonts w:ascii="Cambria" w:hAnsi="Cambria"/>
      <w:b/>
      <w:bCs/>
    </w:rPr>
  </w:style>
  <w:style w:type="character" w:customStyle="1" w:styleId="CommentSubjectChar">
    <w:name w:val="Comment Subject Char"/>
    <w:basedOn w:val="CommentTextChar"/>
    <w:link w:val="CommentSubject"/>
    <w:uiPriority w:val="99"/>
    <w:semiHidden/>
    <w:rsid w:val="00244380"/>
    <w:rPr>
      <w:rFonts w:ascii="Cambria" w:hAnsi="Cambria"/>
      <w:b/>
      <w:bCs/>
      <w:sz w:val="20"/>
      <w:szCs w:val="20"/>
    </w:rPr>
  </w:style>
  <w:style w:type="character" w:styleId="HTMLCite">
    <w:name w:val="HTML Cite"/>
    <w:basedOn w:val="DefaultParagraphFont"/>
    <w:uiPriority w:val="99"/>
    <w:semiHidden/>
    <w:unhideWhenUsed/>
    <w:rsid w:val="00FD1452"/>
    <w:rPr>
      <w:i/>
      <w:iCs/>
    </w:rPr>
  </w:style>
  <w:style w:type="character" w:styleId="FollowedHyperlink">
    <w:name w:val="FollowedHyperlink"/>
    <w:basedOn w:val="DefaultParagraphFont"/>
    <w:uiPriority w:val="99"/>
    <w:semiHidden/>
    <w:unhideWhenUsed/>
    <w:rsid w:val="005B6581"/>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487">
      <w:bodyDiv w:val="1"/>
      <w:marLeft w:val="0"/>
      <w:marRight w:val="0"/>
      <w:marTop w:val="0"/>
      <w:marBottom w:val="0"/>
      <w:divBdr>
        <w:top w:val="none" w:sz="0" w:space="0" w:color="auto"/>
        <w:left w:val="none" w:sz="0" w:space="0" w:color="auto"/>
        <w:bottom w:val="none" w:sz="0" w:space="0" w:color="auto"/>
        <w:right w:val="none" w:sz="0" w:space="0" w:color="auto"/>
      </w:divBdr>
      <w:divsChild>
        <w:div w:id="144977336">
          <w:marLeft w:val="0"/>
          <w:marRight w:val="0"/>
          <w:marTop w:val="0"/>
          <w:marBottom w:val="0"/>
          <w:divBdr>
            <w:top w:val="none" w:sz="0" w:space="0" w:color="auto"/>
            <w:left w:val="none" w:sz="0" w:space="0" w:color="auto"/>
            <w:bottom w:val="none" w:sz="0" w:space="0" w:color="auto"/>
            <w:right w:val="none" w:sz="0" w:space="0" w:color="auto"/>
          </w:divBdr>
          <w:divsChild>
            <w:div w:id="1601403996">
              <w:marLeft w:val="0"/>
              <w:marRight w:val="0"/>
              <w:marTop w:val="0"/>
              <w:marBottom w:val="0"/>
              <w:divBdr>
                <w:top w:val="none" w:sz="0" w:space="0" w:color="auto"/>
                <w:left w:val="none" w:sz="0" w:space="0" w:color="auto"/>
                <w:bottom w:val="none" w:sz="0" w:space="0" w:color="auto"/>
                <w:right w:val="none" w:sz="0" w:space="0" w:color="auto"/>
              </w:divBdr>
            </w:div>
          </w:divsChild>
        </w:div>
        <w:div w:id="2111851621">
          <w:marLeft w:val="0"/>
          <w:marRight w:val="0"/>
          <w:marTop w:val="0"/>
          <w:marBottom w:val="150"/>
          <w:divBdr>
            <w:top w:val="none" w:sz="0" w:space="0" w:color="auto"/>
            <w:left w:val="none" w:sz="0" w:space="0" w:color="auto"/>
            <w:bottom w:val="none" w:sz="0" w:space="0" w:color="auto"/>
            <w:right w:val="none" w:sz="0" w:space="0" w:color="auto"/>
          </w:divBdr>
          <w:divsChild>
            <w:div w:id="16555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2905">
      <w:bodyDiv w:val="1"/>
      <w:marLeft w:val="0"/>
      <w:marRight w:val="0"/>
      <w:marTop w:val="0"/>
      <w:marBottom w:val="0"/>
      <w:divBdr>
        <w:top w:val="none" w:sz="0" w:space="0" w:color="auto"/>
        <w:left w:val="none" w:sz="0" w:space="0" w:color="auto"/>
        <w:bottom w:val="none" w:sz="0" w:space="0" w:color="auto"/>
        <w:right w:val="none" w:sz="0" w:space="0" w:color="auto"/>
      </w:divBdr>
      <w:divsChild>
        <w:div w:id="832600970">
          <w:marLeft w:val="0"/>
          <w:marRight w:val="0"/>
          <w:marTop w:val="210"/>
          <w:marBottom w:val="210"/>
          <w:divBdr>
            <w:top w:val="none" w:sz="0" w:space="0" w:color="auto"/>
            <w:left w:val="none" w:sz="0" w:space="0" w:color="auto"/>
            <w:bottom w:val="none" w:sz="0" w:space="0" w:color="auto"/>
            <w:right w:val="none" w:sz="0" w:space="0" w:color="auto"/>
          </w:divBdr>
          <w:divsChild>
            <w:div w:id="467472717">
              <w:marLeft w:val="0"/>
              <w:marRight w:val="0"/>
              <w:marTop w:val="210"/>
              <w:marBottom w:val="210"/>
              <w:divBdr>
                <w:top w:val="none" w:sz="0" w:space="0" w:color="auto"/>
                <w:left w:val="none" w:sz="0" w:space="0" w:color="auto"/>
                <w:bottom w:val="none" w:sz="0" w:space="0" w:color="auto"/>
                <w:right w:val="none" w:sz="0" w:space="0" w:color="auto"/>
              </w:divBdr>
              <w:divsChild>
                <w:div w:id="1452743239">
                  <w:marLeft w:val="0"/>
                  <w:marRight w:val="0"/>
                  <w:marTop w:val="210"/>
                  <w:marBottom w:val="210"/>
                  <w:divBdr>
                    <w:top w:val="none" w:sz="0" w:space="0" w:color="auto"/>
                    <w:left w:val="none" w:sz="0" w:space="0" w:color="auto"/>
                    <w:bottom w:val="none" w:sz="0" w:space="0" w:color="auto"/>
                    <w:right w:val="none" w:sz="0" w:space="0" w:color="auto"/>
                  </w:divBdr>
                  <w:divsChild>
                    <w:div w:id="476725768">
                      <w:marLeft w:val="0"/>
                      <w:marRight w:val="0"/>
                      <w:marTop w:val="210"/>
                      <w:marBottom w:val="210"/>
                      <w:divBdr>
                        <w:top w:val="none" w:sz="0" w:space="0" w:color="auto"/>
                        <w:left w:val="none" w:sz="0" w:space="0" w:color="auto"/>
                        <w:bottom w:val="none" w:sz="0" w:space="0" w:color="auto"/>
                        <w:right w:val="none" w:sz="0" w:space="0" w:color="auto"/>
                      </w:divBdr>
                    </w:div>
                  </w:divsChild>
                </w:div>
                <w:div w:id="1476992526">
                  <w:marLeft w:val="0"/>
                  <w:marRight w:val="0"/>
                  <w:marTop w:val="210"/>
                  <w:marBottom w:val="210"/>
                  <w:divBdr>
                    <w:top w:val="none" w:sz="0" w:space="0" w:color="auto"/>
                    <w:left w:val="none" w:sz="0" w:space="0" w:color="auto"/>
                    <w:bottom w:val="none" w:sz="0" w:space="0" w:color="auto"/>
                    <w:right w:val="none" w:sz="0" w:space="0" w:color="auto"/>
                  </w:divBdr>
                  <w:divsChild>
                    <w:div w:id="7711254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3940793">
      <w:bodyDiv w:val="1"/>
      <w:marLeft w:val="0"/>
      <w:marRight w:val="0"/>
      <w:marTop w:val="0"/>
      <w:marBottom w:val="0"/>
      <w:divBdr>
        <w:top w:val="none" w:sz="0" w:space="0" w:color="auto"/>
        <w:left w:val="none" w:sz="0" w:space="0" w:color="auto"/>
        <w:bottom w:val="none" w:sz="0" w:space="0" w:color="auto"/>
        <w:right w:val="none" w:sz="0" w:space="0" w:color="auto"/>
      </w:divBdr>
      <w:divsChild>
        <w:div w:id="588393315">
          <w:marLeft w:val="0"/>
          <w:marRight w:val="0"/>
          <w:marTop w:val="210"/>
          <w:marBottom w:val="210"/>
          <w:divBdr>
            <w:top w:val="none" w:sz="0" w:space="0" w:color="auto"/>
            <w:left w:val="none" w:sz="0" w:space="0" w:color="auto"/>
            <w:bottom w:val="none" w:sz="0" w:space="0" w:color="auto"/>
            <w:right w:val="none" w:sz="0" w:space="0" w:color="auto"/>
          </w:divBdr>
        </w:div>
        <w:div w:id="1317761742">
          <w:marLeft w:val="420"/>
          <w:marRight w:val="0"/>
          <w:marTop w:val="210"/>
          <w:marBottom w:val="210"/>
          <w:divBdr>
            <w:top w:val="none" w:sz="0" w:space="0" w:color="auto"/>
            <w:left w:val="none" w:sz="0" w:space="0" w:color="auto"/>
            <w:bottom w:val="none" w:sz="0" w:space="0" w:color="auto"/>
            <w:right w:val="none" w:sz="0" w:space="0" w:color="auto"/>
          </w:divBdr>
          <w:divsChild>
            <w:div w:id="2029717356">
              <w:marLeft w:val="0"/>
              <w:marRight w:val="0"/>
              <w:marTop w:val="210"/>
              <w:marBottom w:val="210"/>
              <w:divBdr>
                <w:top w:val="none" w:sz="0" w:space="0" w:color="auto"/>
                <w:left w:val="none" w:sz="0" w:space="0" w:color="auto"/>
                <w:bottom w:val="none" w:sz="0" w:space="0" w:color="auto"/>
                <w:right w:val="none" w:sz="0" w:space="0" w:color="auto"/>
              </w:divBdr>
            </w:div>
          </w:divsChild>
        </w:div>
        <w:div w:id="1987203511">
          <w:marLeft w:val="420"/>
          <w:marRight w:val="0"/>
          <w:marTop w:val="210"/>
          <w:marBottom w:val="210"/>
          <w:divBdr>
            <w:top w:val="none" w:sz="0" w:space="0" w:color="auto"/>
            <w:left w:val="none" w:sz="0" w:space="0" w:color="auto"/>
            <w:bottom w:val="none" w:sz="0" w:space="0" w:color="auto"/>
            <w:right w:val="none" w:sz="0" w:space="0" w:color="auto"/>
          </w:divBdr>
          <w:divsChild>
            <w:div w:id="20905421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7072305">
      <w:bodyDiv w:val="1"/>
      <w:marLeft w:val="0"/>
      <w:marRight w:val="0"/>
      <w:marTop w:val="0"/>
      <w:marBottom w:val="0"/>
      <w:divBdr>
        <w:top w:val="none" w:sz="0" w:space="0" w:color="auto"/>
        <w:left w:val="none" w:sz="0" w:space="0" w:color="auto"/>
        <w:bottom w:val="none" w:sz="0" w:space="0" w:color="auto"/>
        <w:right w:val="none" w:sz="0" w:space="0" w:color="auto"/>
      </w:divBdr>
      <w:divsChild>
        <w:div w:id="2050642333">
          <w:marLeft w:val="420"/>
          <w:marRight w:val="0"/>
          <w:marTop w:val="210"/>
          <w:marBottom w:val="210"/>
          <w:divBdr>
            <w:top w:val="none" w:sz="0" w:space="0" w:color="auto"/>
            <w:left w:val="none" w:sz="0" w:space="0" w:color="auto"/>
            <w:bottom w:val="none" w:sz="0" w:space="0" w:color="auto"/>
            <w:right w:val="none" w:sz="0" w:space="0" w:color="auto"/>
          </w:divBdr>
          <w:divsChild>
            <w:div w:id="1814833498">
              <w:marLeft w:val="0"/>
              <w:marRight w:val="0"/>
              <w:marTop w:val="210"/>
              <w:marBottom w:val="210"/>
              <w:divBdr>
                <w:top w:val="none" w:sz="0" w:space="0" w:color="auto"/>
                <w:left w:val="none" w:sz="0" w:space="0" w:color="auto"/>
                <w:bottom w:val="none" w:sz="0" w:space="0" w:color="auto"/>
                <w:right w:val="none" w:sz="0" w:space="0" w:color="auto"/>
              </w:divBdr>
              <w:divsChild>
                <w:div w:id="448859924">
                  <w:marLeft w:val="0"/>
                  <w:marRight w:val="0"/>
                  <w:marTop w:val="210"/>
                  <w:marBottom w:val="210"/>
                  <w:divBdr>
                    <w:top w:val="none" w:sz="0" w:space="0" w:color="auto"/>
                    <w:left w:val="none" w:sz="0" w:space="0" w:color="auto"/>
                    <w:bottom w:val="none" w:sz="0" w:space="0" w:color="auto"/>
                    <w:right w:val="none" w:sz="0" w:space="0" w:color="auto"/>
                  </w:divBdr>
                  <w:divsChild>
                    <w:div w:id="45841968">
                      <w:marLeft w:val="900"/>
                      <w:marRight w:val="1350"/>
                      <w:marTop w:val="150"/>
                      <w:marBottom w:val="150"/>
                      <w:divBdr>
                        <w:top w:val="dotted" w:sz="6" w:space="1" w:color="BBBBBB"/>
                        <w:left w:val="none" w:sz="0" w:space="0" w:color="BBBBBB"/>
                        <w:bottom w:val="dotted" w:sz="6" w:space="1" w:color="BBBBBB"/>
                        <w:right w:val="none" w:sz="0" w:space="0" w:color="BBBBBB"/>
                      </w:divBdr>
                      <w:divsChild>
                        <w:div w:id="488325725">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93755066">
          <w:marLeft w:val="420"/>
          <w:marRight w:val="0"/>
          <w:marTop w:val="210"/>
          <w:marBottom w:val="210"/>
          <w:divBdr>
            <w:top w:val="none" w:sz="0" w:space="0" w:color="auto"/>
            <w:left w:val="none" w:sz="0" w:space="0" w:color="auto"/>
            <w:bottom w:val="none" w:sz="0" w:space="0" w:color="auto"/>
            <w:right w:val="none" w:sz="0" w:space="0" w:color="auto"/>
          </w:divBdr>
        </w:div>
      </w:divsChild>
    </w:div>
    <w:div w:id="167209886">
      <w:bodyDiv w:val="1"/>
      <w:marLeft w:val="0"/>
      <w:marRight w:val="0"/>
      <w:marTop w:val="0"/>
      <w:marBottom w:val="0"/>
      <w:divBdr>
        <w:top w:val="none" w:sz="0" w:space="0" w:color="auto"/>
        <w:left w:val="none" w:sz="0" w:space="0" w:color="auto"/>
        <w:bottom w:val="none" w:sz="0" w:space="0" w:color="auto"/>
        <w:right w:val="none" w:sz="0" w:space="0" w:color="auto"/>
      </w:divBdr>
      <w:divsChild>
        <w:div w:id="824127108">
          <w:marLeft w:val="600"/>
          <w:marRight w:val="0"/>
          <w:marTop w:val="264"/>
          <w:marBottom w:val="264"/>
          <w:divBdr>
            <w:top w:val="none" w:sz="0" w:space="0" w:color="auto"/>
            <w:left w:val="none" w:sz="0" w:space="0" w:color="auto"/>
            <w:bottom w:val="none" w:sz="0" w:space="0" w:color="auto"/>
            <w:right w:val="none" w:sz="0" w:space="0" w:color="auto"/>
          </w:divBdr>
        </w:div>
      </w:divsChild>
    </w:div>
    <w:div w:id="205683646">
      <w:bodyDiv w:val="1"/>
      <w:marLeft w:val="0"/>
      <w:marRight w:val="0"/>
      <w:marTop w:val="0"/>
      <w:marBottom w:val="0"/>
      <w:divBdr>
        <w:top w:val="none" w:sz="0" w:space="0" w:color="auto"/>
        <w:left w:val="none" w:sz="0" w:space="0" w:color="auto"/>
        <w:bottom w:val="none" w:sz="0" w:space="0" w:color="auto"/>
        <w:right w:val="none" w:sz="0" w:space="0" w:color="auto"/>
      </w:divBdr>
    </w:div>
    <w:div w:id="377625795">
      <w:bodyDiv w:val="1"/>
      <w:marLeft w:val="0"/>
      <w:marRight w:val="0"/>
      <w:marTop w:val="0"/>
      <w:marBottom w:val="0"/>
      <w:divBdr>
        <w:top w:val="none" w:sz="0" w:space="0" w:color="auto"/>
        <w:left w:val="none" w:sz="0" w:space="0" w:color="auto"/>
        <w:bottom w:val="none" w:sz="0" w:space="0" w:color="auto"/>
        <w:right w:val="none" w:sz="0" w:space="0" w:color="auto"/>
      </w:divBdr>
      <w:divsChild>
        <w:div w:id="1333025597">
          <w:marLeft w:val="240"/>
          <w:marRight w:val="0"/>
          <w:marTop w:val="60"/>
          <w:marBottom w:val="60"/>
          <w:divBdr>
            <w:top w:val="none" w:sz="0" w:space="0" w:color="auto"/>
            <w:left w:val="none" w:sz="0" w:space="0" w:color="auto"/>
            <w:bottom w:val="none" w:sz="0" w:space="0" w:color="auto"/>
            <w:right w:val="none" w:sz="0" w:space="0" w:color="auto"/>
          </w:divBdr>
          <w:divsChild>
            <w:div w:id="17896574">
              <w:marLeft w:val="240"/>
              <w:marRight w:val="0"/>
              <w:marTop w:val="60"/>
              <w:marBottom w:val="60"/>
              <w:divBdr>
                <w:top w:val="none" w:sz="0" w:space="0" w:color="auto"/>
                <w:left w:val="none" w:sz="0" w:space="0" w:color="auto"/>
                <w:bottom w:val="none" w:sz="0" w:space="0" w:color="auto"/>
                <w:right w:val="none" w:sz="0" w:space="0" w:color="auto"/>
              </w:divBdr>
              <w:divsChild>
                <w:div w:id="1379665717">
                  <w:marLeft w:val="0"/>
                  <w:marRight w:val="0"/>
                  <w:marTop w:val="0"/>
                  <w:marBottom w:val="0"/>
                  <w:divBdr>
                    <w:top w:val="none" w:sz="0" w:space="0" w:color="auto"/>
                    <w:left w:val="none" w:sz="0" w:space="0" w:color="auto"/>
                    <w:bottom w:val="none" w:sz="0" w:space="0" w:color="auto"/>
                    <w:right w:val="none" w:sz="0" w:space="0" w:color="auto"/>
                  </w:divBdr>
                </w:div>
              </w:divsChild>
            </w:div>
            <w:div w:id="259996451">
              <w:marLeft w:val="462"/>
              <w:marRight w:val="0"/>
              <w:marTop w:val="0"/>
              <w:marBottom w:val="0"/>
              <w:divBdr>
                <w:top w:val="none" w:sz="0" w:space="0" w:color="auto"/>
                <w:left w:val="none" w:sz="0" w:space="0" w:color="auto"/>
                <w:bottom w:val="none" w:sz="0" w:space="0" w:color="auto"/>
                <w:right w:val="none" w:sz="0" w:space="0" w:color="auto"/>
              </w:divBdr>
            </w:div>
            <w:div w:id="462502602">
              <w:marLeft w:val="240"/>
              <w:marRight w:val="0"/>
              <w:marTop w:val="60"/>
              <w:marBottom w:val="60"/>
              <w:divBdr>
                <w:top w:val="none" w:sz="0" w:space="0" w:color="auto"/>
                <w:left w:val="none" w:sz="0" w:space="0" w:color="auto"/>
                <w:bottom w:val="none" w:sz="0" w:space="0" w:color="auto"/>
                <w:right w:val="none" w:sz="0" w:space="0" w:color="auto"/>
              </w:divBdr>
              <w:divsChild>
                <w:div w:id="1661691972">
                  <w:marLeft w:val="0"/>
                  <w:marRight w:val="0"/>
                  <w:marTop w:val="0"/>
                  <w:marBottom w:val="0"/>
                  <w:divBdr>
                    <w:top w:val="none" w:sz="0" w:space="0" w:color="auto"/>
                    <w:left w:val="none" w:sz="0" w:space="0" w:color="auto"/>
                    <w:bottom w:val="none" w:sz="0" w:space="0" w:color="auto"/>
                    <w:right w:val="none" w:sz="0" w:space="0" w:color="auto"/>
                  </w:divBdr>
                </w:div>
              </w:divsChild>
            </w:div>
            <w:div w:id="569577749">
              <w:marLeft w:val="240"/>
              <w:marRight w:val="0"/>
              <w:marTop w:val="60"/>
              <w:marBottom w:val="60"/>
              <w:divBdr>
                <w:top w:val="none" w:sz="0" w:space="0" w:color="auto"/>
                <w:left w:val="none" w:sz="0" w:space="0" w:color="auto"/>
                <w:bottom w:val="none" w:sz="0" w:space="0" w:color="auto"/>
                <w:right w:val="none" w:sz="0" w:space="0" w:color="auto"/>
              </w:divBdr>
              <w:divsChild>
                <w:div w:id="581569324">
                  <w:marLeft w:val="0"/>
                  <w:marRight w:val="0"/>
                  <w:marTop w:val="0"/>
                  <w:marBottom w:val="0"/>
                  <w:divBdr>
                    <w:top w:val="none" w:sz="0" w:space="0" w:color="auto"/>
                    <w:left w:val="none" w:sz="0" w:space="0" w:color="auto"/>
                    <w:bottom w:val="none" w:sz="0" w:space="0" w:color="auto"/>
                    <w:right w:val="none" w:sz="0" w:space="0" w:color="auto"/>
                  </w:divBdr>
                </w:div>
              </w:divsChild>
            </w:div>
            <w:div w:id="831213028">
              <w:marLeft w:val="240"/>
              <w:marRight w:val="0"/>
              <w:marTop w:val="60"/>
              <w:marBottom w:val="60"/>
              <w:divBdr>
                <w:top w:val="none" w:sz="0" w:space="0" w:color="auto"/>
                <w:left w:val="none" w:sz="0" w:space="0" w:color="auto"/>
                <w:bottom w:val="none" w:sz="0" w:space="0" w:color="auto"/>
                <w:right w:val="none" w:sz="0" w:space="0" w:color="auto"/>
              </w:divBdr>
              <w:divsChild>
                <w:div w:id="2083675861">
                  <w:marLeft w:val="0"/>
                  <w:marRight w:val="0"/>
                  <w:marTop w:val="0"/>
                  <w:marBottom w:val="0"/>
                  <w:divBdr>
                    <w:top w:val="none" w:sz="0" w:space="0" w:color="auto"/>
                    <w:left w:val="none" w:sz="0" w:space="0" w:color="auto"/>
                    <w:bottom w:val="none" w:sz="0" w:space="0" w:color="auto"/>
                    <w:right w:val="none" w:sz="0" w:space="0" w:color="auto"/>
                  </w:divBdr>
                </w:div>
              </w:divsChild>
            </w:div>
            <w:div w:id="1279950024">
              <w:marLeft w:val="240"/>
              <w:marRight w:val="0"/>
              <w:marTop w:val="60"/>
              <w:marBottom w:val="60"/>
              <w:divBdr>
                <w:top w:val="none" w:sz="0" w:space="0" w:color="auto"/>
                <w:left w:val="none" w:sz="0" w:space="0" w:color="auto"/>
                <w:bottom w:val="none" w:sz="0" w:space="0" w:color="auto"/>
                <w:right w:val="none" w:sz="0" w:space="0" w:color="auto"/>
              </w:divBdr>
              <w:divsChild>
                <w:div w:id="748038325">
                  <w:marLeft w:val="0"/>
                  <w:marRight w:val="0"/>
                  <w:marTop w:val="0"/>
                  <w:marBottom w:val="0"/>
                  <w:divBdr>
                    <w:top w:val="none" w:sz="0" w:space="0" w:color="auto"/>
                    <w:left w:val="none" w:sz="0" w:space="0" w:color="auto"/>
                    <w:bottom w:val="none" w:sz="0" w:space="0" w:color="auto"/>
                    <w:right w:val="none" w:sz="0" w:space="0" w:color="auto"/>
                  </w:divBdr>
                </w:div>
              </w:divsChild>
            </w:div>
            <w:div w:id="1282961263">
              <w:marLeft w:val="240"/>
              <w:marRight w:val="0"/>
              <w:marTop w:val="60"/>
              <w:marBottom w:val="60"/>
              <w:divBdr>
                <w:top w:val="none" w:sz="0" w:space="0" w:color="auto"/>
                <w:left w:val="none" w:sz="0" w:space="0" w:color="auto"/>
                <w:bottom w:val="none" w:sz="0" w:space="0" w:color="auto"/>
                <w:right w:val="none" w:sz="0" w:space="0" w:color="auto"/>
              </w:divBdr>
              <w:divsChild>
                <w:div w:id="997732304">
                  <w:marLeft w:val="0"/>
                  <w:marRight w:val="0"/>
                  <w:marTop w:val="0"/>
                  <w:marBottom w:val="0"/>
                  <w:divBdr>
                    <w:top w:val="none" w:sz="0" w:space="0" w:color="auto"/>
                    <w:left w:val="none" w:sz="0" w:space="0" w:color="auto"/>
                    <w:bottom w:val="none" w:sz="0" w:space="0" w:color="auto"/>
                    <w:right w:val="none" w:sz="0" w:space="0" w:color="auto"/>
                  </w:divBdr>
                </w:div>
              </w:divsChild>
            </w:div>
            <w:div w:id="1729986330">
              <w:marLeft w:val="240"/>
              <w:marRight w:val="0"/>
              <w:marTop w:val="60"/>
              <w:marBottom w:val="60"/>
              <w:divBdr>
                <w:top w:val="none" w:sz="0" w:space="0" w:color="auto"/>
                <w:left w:val="none" w:sz="0" w:space="0" w:color="auto"/>
                <w:bottom w:val="none" w:sz="0" w:space="0" w:color="auto"/>
                <w:right w:val="none" w:sz="0" w:space="0" w:color="auto"/>
              </w:divBdr>
              <w:divsChild>
                <w:div w:id="1079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87037">
          <w:marLeft w:val="240"/>
          <w:marRight w:val="0"/>
          <w:marTop w:val="60"/>
          <w:marBottom w:val="60"/>
          <w:divBdr>
            <w:top w:val="none" w:sz="0" w:space="0" w:color="auto"/>
            <w:left w:val="none" w:sz="0" w:space="0" w:color="auto"/>
            <w:bottom w:val="none" w:sz="0" w:space="0" w:color="auto"/>
            <w:right w:val="none" w:sz="0" w:space="0" w:color="auto"/>
          </w:divBdr>
        </w:div>
      </w:divsChild>
    </w:div>
    <w:div w:id="418603748">
      <w:bodyDiv w:val="1"/>
      <w:marLeft w:val="0"/>
      <w:marRight w:val="0"/>
      <w:marTop w:val="0"/>
      <w:marBottom w:val="0"/>
      <w:divBdr>
        <w:top w:val="none" w:sz="0" w:space="0" w:color="auto"/>
        <w:left w:val="none" w:sz="0" w:space="0" w:color="auto"/>
        <w:bottom w:val="none" w:sz="0" w:space="0" w:color="auto"/>
        <w:right w:val="none" w:sz="0" w:space="0" w:color="auto"/>
      </w:divBdr>
      <w:divsChild>
        <w:div w:id="626158957">
          <w:marLeft w:val="1260"/>
          <w:marRight w:val="0"/>
          <w:marTop w:val="210"/>
          <w:marBottom w:val="210"/>
          <w:divBdr>
            <w:top w:val="none" w:sz="0" w:space="0" w:color="auto"/>
            <w:left w:val="none" w:sz="0" w:space="0" w:color="auto"/>
            <w:bottom w:val="none" w:sz="0" w:space="0" w:color="auto"/>
            <w:right w:val="none" w:sz="0" w:space="0" w:color="auto"/>
          </w:divBdr>
        </w:div>
        <w:div w:id="639729008">
          <w:marLeft w:val="1260"/>
          <w:marRight w:val="0"/>
          <w:marTop w:val="210"/>
          <w:marBottom w:val="210"/>
          <w:divBdr>
            <w:top w:val="none" w:sz="0" w:space="0" w:color="auto"/>
            <w:left w:val="none" w:sz="0" w:space="0" w:color="auto"/>
            <w:bottom w:val="none" w:sz="0" w:space="0" w:color="auto"/>
            <w:right w:val="none" w:sz="0" w:space="0" w:color="auto"/>
          </w:divBdr>
        </w:div>
        <w:div w:id="1147552196">
          <w:marLeft w:val="840"/>
          <w:marRight w:val="0"/>
          <w:marTop w:val="210"/>
          <w:marBottom w:val="210"/>
          <w:divBdr>
            <w:top w:val="none" w:sz="0" w:space="0" w:color="auto"/>
            <w:left w:val="none" w:sz="0" w:space="0" w:color="auto"/>
            <w:bottom w:val="none" w:sz="0" w:space="0" w:color="auto"/>
            <w:right w:val="none" w:sz="0" w:space="0" w:color="auto"/>
          </w:divBdr>
        </w:div>
        <w:div w:id="1341275214">
          <w:marLeft w:val="1260"/>
          <w:marRight w:val="0"/>
          <w:marTop w:val="210"/>
          <w:marBottom w:val="210"/>
          <w:divBdr>
            <w:top w:val="none" w:sz="0" w:space="0" w:color="auto"/>
            <w:left w:val="none" w:sz="0" w:space="0" w:color="auto"/>
            <w:bottom w:val="none" w:sz="0" w:space="0" w:color="auto"/>
            <w:right w:val="none" w:sz="0" w:space="0" w:color="auto"/>
          </w:divBdr>
        </w:div>
      </w:divsChild>
    </w:div>
    <w:div w:id="526023495">
      <w:bodyDiv w:val="1"/>
      <w:marLeft w:val="0"/>
      <w:marRight w:val="0"/>
      <w:marTop w:val="0"/>
      <w:marBottom w:val="0"/>
      <w:divBdr>
        <w:top w:val="none" w:sz="0" w:space="0" w:color="auto"/>
        <w:left w:val="none" w:sz="0" w:space="0" w:color="auto"/>
        <w:bottom w:val="none" w:sz="0" w:space="0" w:color="auto"/>
        <w:right w:val="none" w:sz="0" w:space="0" w:color="auto"/>
      </w:divBdr>
    </w:div>
    <w:div w:id="555092084">
      <w:bodyDiv w:val="1"/>
      <w:marLeft w:val="0"/>
      <w:marRight w:val="0"/>
      <w:marTop w:val="0"/>
      <w:marBottom w:val="0"/>
      <w:divBdr>
        <w:top w:val="none" w:sz="0" w:space="0" w:color="auto"/>
        <w:left w:val="none" w:sz="0" w:space="0" w:color="auto"/>
        <w:bottom w:val="none" w:sz="0" w:space="0" w:color="auto"/>
        <w:right w:val="none" w:sz="0" w:space="0" w:color="auto"/>
      </w:divBdr>
    </w:div>
    <w:div w:id="609315311">
      <w:bodyDiv w:val="1"/>
      <w:marLeft w:val="0"/>
      <w:marRight w:val="0"/>
      <w:marTop w:val="0"/>
      <w:marBottom w:val="0"/>
      <w:divBdr>
        <w:top w:val="none" w:sz="0" w:space="0" w:color="auto"/>
        <w:left w:val="none" w:sz="0" w:space="0" w:color="auto"/>
        <w:bottom w:val="none" w:sz="0" w:space="0" w:color="auto"/>
        <w:right w:val="none" w:sz="0" w:space="0" w:color="auto"/>
      </w:divBdr>
    </w:div>
    <w:div w:id="618488197">
      <w:bodyDiv w:val="1"/>
      <w:marLeft w:val="0"/>
      <w:marRight w:val="0"/>
      <w:marTop w:val="0"/>
      <w:marBottom w:val="0"/>
      <w:divBdr>
        <w:top w:val="none" w:sz="0" w:space="0" w:color="auto"/>
        <w:left w:val="none" w:sz="0" w:space="0" w:color="auto"/>
        <w:bottom w:val="none" w:sz="0" w:space="0" w:color="auto"/>
        <w:right w:val="none" w:sz="0" w:space="0" w:color="auto"/>
      </w:divBdr>
      <w:divsChild>
        <w:div w:id="1646931600">
          <w:marLeft w:val="240"/>
          <w:marRight w:val="0"/>
          <w:marTop w:val="60"/>
          <w:marBottom w:val="60"/>
          <w:divBdr>
            <w:top w:val="none" w:sz="0" w:space="0" w:color="auto"/>
            <w:left w:val="none" w:sz="0" w:space="0" w:color="auto"/>
            <w:bottom w:val="none" w:sz="0" w:space="0" w:color="auto"/>
            <w:right w:val="none" w:sz="0" w:space="0" w:color="auto"/>
          </w:divBdr>
          <w:divsChild>
            <w:div w:id="1002783347">
              <w:marLeft w:val="0"/>
              <w:marRight w:val="0"/>
              <w:marTop w:val="0"/>
              <w:marBottom w:val="0"/>
              <w:divBdr>
                <w:top w:val="none" w:sz="0" w:space="0" w:color="auto"/>
                <w:left w:val="none" w:sz="0" w:space="0" w:color="auto"/>
                <w:bottom w:val="none" w:sz="0" w:space="0" w:color="auto"/>
                <w:right w:val="none" w:sz="0" w:space="0" w:color="auto"/>
              </w:divBdr>
            </w:div>
          </w:divsChild>
        </w:div>
        <w:div w:id="1760367171">
          <w:marLeft w:val="240"/>
          <w:marRight w:val="0"/>
          <w:marTop w:val="60"/>
          <w:marBottom w:val="60"/>
          <w:divBdr>
            <w:top w:val="none" w:sz="0" w:space="0" w:color="auto"/>
            <w:left w:val="none" w:sz="0" w:space="0" w:color="auto"/>
            <w:bottom w:val="none" w:sz="0" w:space="0" w:color="auto"/>
            <w:right w:val="none" w:sz="0" w:space="0" w:color="auto"/>
          </w:divBdr>
          <w:divsChild>
            <w:div w:id="854537843">
              <w:marLeft w:val="240"/>
              <w:marRight w:val="0"/>
              <w:marTop w:val="60"/>
              <w:marBottom w:val="60"/>
              <w:divBdr>
                <w:top w:val="none" w:sz="0" w:space="0" w:color="auto"/>
                <w:left w:val="none" w:sz="0" w:space="0" w:color="auto"/>
                <w:bottom w:val="none" w:sz="0" w:space="0" w:color="auto"/>
                <w:right w:val="none" w:sz="0" w:space="0" w:color="auto"/>
              </w:divBdr>
              <w:divsChild>
                <w:div w:id="1661696387">
                  <w:marLeft w:val="0"/>
                  <w:marRight w:val="0"/>
                  <w:marTop w:val="0"/>
                  <w:marBottom w:val="0"/>
                  <w:divBdr>
                    <w:top w:val="none" w:sz="0" w:space="0" w:color="auto"/>
                    <w:left w:val="none" w:sz="0" w:space="0" w:color="auto"/>
                    <w:bottom w:val="none" w:sz="0" w:space="0" w:color="auto"/>
                    <w:right w:val="none" w:sz="0" w:space="0" w:color="auto"/>
                  </w:divBdr>
                </w:div>
              </w:divsChild>
            </w:div>
            <w:div w:id="73402581">
              <w:marLeft w:val="240"/>
              <w:marRight w:val="0"/>
              <w:marTop w:val="60"/>
              <w:marBottom w:val="60"/>
              <w:divBdr>
                <w:top w:val="none" w:sz="0" w:space="0" w:color="auto"/>
                <w:left w:val="none" w:sz="0" w:space="0" w:color="auto"/>
                <w:bottom w:val="none" w:sz="0" w:space="0" w:color="auto"/>
                <w:right w:val="none" w:sz="0" w:space="0" w:color="auto"/>
              </w:divBdr>
              <w:divsChild>
                <w:div w:id="17784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6149">
      <w:bodyDiv w:val="1"/>
      <w:marLeft w:val="0"/>
      <w:marRight w:val="0"/>
      <w:marTop w:val="0"/>
      <w:marBottom w:val="0"/>
      <w:divBdr>
        <w:top w:val="none" w:sz="0" w:space="0" w:color="auto"/>
        <w:left w:val="none" w:sz="0" w:space="0" w:color="auto"/>
        <w:bottom w:val="none" w:sz="0" w:space="0" w:color="auto"/>
        <w:right w:val="none" w:sz="0" w:space="0" w:color="auto"/>
      </w:divBdr>
    </w:div>
    <w:div w:id="925043002">
      <w:bodyDiv w:val="1"/>
      <w:marLeft w:val="0"/>
      <w:marRight w:val="0"/>
      <w:marTop w:val="0"/>
      <w:marBottom w:val="0"/>
      <w:divBdr>
        <w:top w:val="none" w:sz="0" w:space="0" w:color="auto"/>
        <w:left w:val="none" w:sz="0" w:space="0" w:color="auto"/>
        <w:bottom w:val="none" w:sz="0" w:space="0" w:color="auto"/>
        <w:right w:val="none" w:sz="0" w:space="0" w:color="auto"/>
      </w:divBdr>
      <w:divsChild>
        <w:div w:id="173307546">
          <w:marLeft w:val="240"/>
          <w:marRight w:val="0"/>
          <w:marTop w:val="60"/>
          <w:marBottom w:val="60"/>
          <w:divBdr>
            <w:top w:val="none" w:sz="0" w:space="0" w:color="auto"/>
            <w:left w:val="none" w:sz="0" w:space="0" w:color="auto"/>
            <w:bottom w:val="none" w:sz="0" w:space="0" w:color="auto"/>
            <w:right w:val="none" w:sz="0" w:space="0" w:color="auto"/>
          </w:divBdr>
          <w:divsChild>
            <w:div w:id="501630904">
              <w:marLeft w:val="240"/>
              <w:marRight w:val="0"/>
              <w:marTop w:val="60"/>
              <w:marBottom w:val="60"/>
              <w:divBdr>
                <w:top w:val="none" w:sz="0" w:space="0" w:color="auto"/>
                <w:left w:val="none" w:sz="0" w:space="0" w:color="auto"/>
                <w:bottom w:val="none" w:sz="0" w:space="0" w:color="auto"/>
                <w:right w:val="none" w:sz="0" w:space="0" w:color="auto"/>
              </w:divBdr>
              <w:divsChild>
                <w:div w:id="1709376580">
                  <w:marLeft w:val="0"/>
                  <w:marRight w:val="0"/>
                  <w:marTop w:val="0"/>
                  <w:marBottom w:val="0"/>
                  <w:divBdr>
                    <w:top w:val="none" w:sz="0" w:space="0" w:color="auto"/>
                    <w:left w:val="none" w:sz="0" w:space="0" w:color="auto"/>
                    <w:bottom w:val="none" w:sz="0" w:space="0" w:color="auto"/>
                    <w:right w:val="none" w:sz="0" w:space="0" w:color="auto"/>
                  </w:divBdr>
                </w:div>
              </w:divsChild>
            </w:div>
            <w:div w:id="530873645">
              <w:marLeft w:val="240"/>
              <w:marRight w:val="0"/>
              <w:marTop w:val="60"/>
              <w:marBottom w:val="60"/>
              <w:divBdr>
                <w:top w:val="none" w:sz="0" w:space="0" w:color="auto"/>
                <w:left w:val="none" w:sz="0" w:space="0" w:color="auto"/>
                <w:bottom w:val="none" w:sz="0" w:space="0" w:color="auto"/>
                <w:right w:val="none" w:sz="0" w:space="0" w:color="auto"/>
              </w:divBdr>
              <w:divsChild>
                <w:div w:id="5497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4929">
          <w:marLeft w:val="416"/>
          <w:marRight w:val="0"/>
          <w:marTop w:val="0"/>
          <w:marBottom w:val="0"/>
          <w:divBdr>
            <w:top w:val="none" w:sz="0" w:space="0" w:color="auto"/>
            <w:left w:val="none" w:sz="0" w:space="0" w:color="auto"/>
            <w:bottom w:val="none" w:sz="0" w:space="0" w:color="auto"/>
            <w:right w:val="none" w:sz="0" w:space="0" w:color="auto"/>
          </w:divBdr>
        </w:div>
        <w:div w:id="1832869739">
          <w:marLeft w:val="240"/>
          <w:marRight w:val="0"/>
          <w:marTop w:val="60"/>
          <w:marBottom w:val="60"/>
          <w:divBdr>
            <w:top w:val="none" w:sz="0" w:space="0" w:color="auto"/>
            <w:left w:val="none" w:sz="0" w:space="0" w:color="auto"/>
            <w:bottom w:val="none" w:sz="0" w:space="0" w:color="auto"/>
            <w:right w:val="none" w:sz="0" w:space="0" w:color="auto"/>
          </w:divBdr>
          <w:divsChild>
            <w:div w:id="4075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1166">
      <w:bodyDiv w:val="1"/>
      <w:marLeft w:val="0"/>
      <w:marRight w:val="0"/>
      <w:marTop w:val="0"/>
      <w:marBottom w:val="0"/>
      <w:divBdr>
        <w:top w:val="none" w:sz="0" w:space="0" w:color="auto"/>
        <w:left w:val="none" w:sz="0" w:space="0" w:color="auto"/>
        <w:bottom w:val="none" w:sz="0" w:space="0" w:color="auto"/>
        <w:right w:val="none" w:sz="0" w:space="0" w:color="auto"/>
      </w:divBdr>
      <w:divsChild>
        <w:div w:id="247617944">
          <w:marLeft w:val="240"/>
          <w:marRight w:val="0"/>
          <w:marTop w:val="60"/>
          <w:marBottom w:val="60"/>
          <w:divBdr>
            <w:top w:val="none" w:sz="0" w:space="0" w:color="auto"/>
            <w:left w:val="none" w:sz="0" w:space="0" w:color="auto"/>
            <w:bottom w:val="none" w:sz="0" w:space="0" w:color="auto"/>
            <w:right w:val="none" w:sz="0" w:space="0" w:color="auto"/>
          </w:divBdr>
          <w:divsChild>
            <w:div w:id="1443724290">
              <w:marLeft w:val="240"/>
              <w:marRight w:val="0"/>
              <w:marTop w:val="60"/>
              <w:marBottom w:val="60"/>
              <w:divBdr>
                <w:top w:val="none" w:sz="0" w:space="0" w:color="auto"/>
                <w:left w:val="none" w:sz="0" w:space="0" w:color="auto"/>
                <w:bottom w:val="none" w:sz="0" w:space="0" w:color="auto"/>
                <w:right w:val="none" w:sz="0" w:space="0" w:color="auto"/>
              </w:divBdr>
              <w:divsChild>
                <w:div w:id="1179932016">
                  <w:marLeft w:val="0"/>
                  <w:marRight w:val="0"/>
                  <w:marTop w:val="0"/>
                  <w:marBottom w:val="0"/>
                  <w:divBdr>
                    <w:top w:val="none" w:sz="0" w:space="0" w:color="auto"/>
                    <w:left w:val="none" w:sz="0" w:space="0" w:color="auto"/>
                    <w:bottom w:val="none" w:sz="0" w:space="0" w:color="auto"/>
                    <w:right w:val="none" w:sz="0" w:space="0" w:color="auto"/>
                  </w:divBdr>
                </w:div>
              </w:divsChild>
            </w:div>
            <w:div w:id="1619067197">
              <w:marLeft w:val="240"/>
              <w:marRight w:val="0"/>
              <w:marTop w:val="60"/>
              <w:marBottom w:val="60"/>
              <w:divBdr>
                <w:top w:val="none" w:sz="0" w:space="0" w:color="auto"/>
                <w:left w:val="none" w:sz="0" w:space="0" w:color="auto"/>
                <w:bottom w:val="none" w:sz="0" w:space="0" w:color="auto"/>
                <w:right w:val="none" w:sz="0" w:space="0" w:color="auto"/>
              </w:divBdr>
              <w:divsChild>
                <w:div w:id="1691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3982">
          <w:marLeft w:val="240"/>
          <w:marRight w:val="0"/>
          <w:marTop w:val="60"/>
          <w:marBottom w:val="60"/>
          <w:divBdr>
            <w:top w:val="none" w:sz="0" w:space="0" w:color="auto"/>
            <w:left w:val="none" w:sz="0" w:space="0" w:color="auto"/>
            <w:bottom w:val="none" w:sz="0" w:space="0" w:color="auto"/>
            <w:right w:val="none" w:sz="0" w:space="0" w:color="auto"/>
          </w:divBdr>
          <w:divsChild>
            <w:div w:id="974213520">
              <w:marLeft w:val="0"/>
              <w:marRight w:val="0"/>
              <w:marTop w:val="0"/>
              <w:marBottom w:val="0"/>
              <w:divBdr>
                <w:top w:val="none" w:sz="0" w:space="0" w:color="auto"/>
                <w:left w:val="none" w:sz="0" w:space="0" w:color="auto"/>
                <w:bottom w:val="none" w:sz="0" w:space="0" w:color="auto"/>
                <w:right w:val="none" w:sz="0" w:space="0" w:color="auto"/>
              </w:divBdr>
            </w:div>
          </w:divsChild>
        </w:div>
        <w:div w:id="1751925392">
          <w:marLeft w:val="416"/>
          <w:marRight w:val="0"/>
          <w:marTop w:val="0"/>
          <w:marBottom w:val="0"/>
          <w:divBdr>
            <w:top w:val="none" w:sz="0" w:space="0" w:color="auto"/>
            <w:left w:val="none" w:sz="0" w:space="0" w:color="auto"/>
            <w:bottom w:val="none" w:sz="0" w:space="0" w:color="auto"/>
            <w:right w:val="none" w:sz="0" w:space="0" w:color="auto"/>
          </w:divBdr>
        </w:div>
      </w:divsChild>
    </w:div>
    <w:div w:id="1084491075">
      <w:bodyDiv w:val="1"/>
      <w:marLeft w:val="0"/>
      <w:marRight w:val="0"/>
      <w:marTop w:val="0"/>
      <w:marBottom w:val="0"/>
      <w:divBdr>
        <w:top w:val="none" w:sz="0" w:space="0" w:color="auto"/>
        <w:left w:val="none" w:sz="0" w:space="0" w:color="auto"/>
        <w:bottom w:val="none" w:sz="0" w:space="0" w:color="auto"/>
        <w:right w:val="none" w:sz="0" w:space="0" w:color="auto"/>
      </w:divBdr>
    </w:div>
    <w:div w:id="1230116241">
      <w:bodyDiv w:val="1"/>
      <w:marLeft w:val="0"/>
      <w:marRight w:val="0"/>
      <w:marTop w:val="0"/>
      <w:marBottom w:val="0"/>
      <w:divBdr>
        <w:top w:val="none" w:sz="0" w:space="0" w:color="auto"/>
        <w:left w:val="none" w:sz="0" w:space="0" w:color="auto"/>
        <w:bottom w:val="none" w:sz="0" w:space="0" w:color="auto"/>
        <w:right w:val="none" w:sz="0" w:space="0" w:color="auto"/>
      </w:divBdr>
    </w:div>
    <w:div w:id="1261914661">
      <w:bodyDiv w:val="1"/>
      <w:marLeft w:val="0"/>
      <w:marRight w:val="0"/>
      <w:marTop w:val="0"/>
      <w:marBottom w:val="0"/>
      <w:divBdr>
        <w:top w:val="none" w:sz="0" w:space="0" w:color="auto"/>
        <w:left w:val="none" w:sz="0" w:space="0" w:color="auto"/>
        <w:bottom w:val="none" w:sz="0" w:space="0" w:color="auto"/>
        <w:right w:val="none" w:sz="0" w:space="0" w:color="auto"/>
      </w:divBdr>
      <w:divsChild>
        <w:div w:id="27266037">
          <w:marLeft w:val="0"/>
          <w:marRight w:val="0"/>
          <w:marTop w:val="0"/>
          <w:marBottom w:val="150"/>
          <w:divBdr>
            <w:top w:val="single" w:sz="6" w:space="5" w:color="DDDDDD"/>
            <w:left w:val="single" w:sz="6" w:space="5" w:color="DDDDDD"/>
            <w:bottom w:val="single" w:sz="6" w:space="5" w:color="DDDDDD"/>
            <w:right w:val="single" w:sz="6" w:space="5" w:color="DDDDDD"/>
          </w:divBdr>
          <w:divsChild>
            <w:div w:id="124395642">
              <w:marLeft w:val="0"/>
              <w:marRight w:val="0"/>
              <w:marTop w:val="0"/>
              <w:marBottom w:val="0"/>
              <w:divBdr>
                <w:top w:val="none" w:sz="0" w:space="0" w:color="auto"/>
                <w:left w:val="none" w:sz="0" w:space="0" w:color="auto"/>
                <w:bottom w:val="none" w:sz="0" w:space="0" w:color="auto"/>
                <w:right w:val="none" w:sz="0" w:space="0" w:color="auto"/>
              </w:divBdr>
              <w:divsChild>
                <w:div w:id="1623027283">
                  <w:marLeft w:val="0"/>
                  <w:marRight w:val="0"/>
                  <w:marTop w:val="0"/>
                  <w:marBottom w:val="0"/>
                  <w:divBdr>
                    <w:top w:val="none" w:sz="0" w:space="0" w:color="auto"/>
                    <w:left w:val="none" w:sz="0" w:space="0" w:color="auto"/>
                    <w:bottom w:val="none" w:sz="0" w:space="0" w:color="auto"/>
                    <w:right w:val="none" w:sz="0" w:space="0" w:color="auto"/>
                  </w:divBdr>
                </w:div>
                <w:div w:id="18407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484">
      <w:bodyDiv w:val="1"/>
      <w:marLeft w:val="0"/>
      <w:marRight w:val="0"/>
      <w:marTop w:val="0"/>
      <w:marBottom w:val="0"/>
      <w:divBdr>
        <w:top w:val="none" w:sz="0" w:space="0" w:color="auto"/>
        <w:left w:val="none" w:sz="0" w:space="0" w:color="auto"/>
        <w:bottom w:val="none" w:sz="0" w:space="0" w:color="auto"/>
        <w:right w:val="none" w:sz="0" w:space="0" w:color="auto"/>
      </w:divBdr>
      <w:divsChild>
        <w:div w:id="679628300">
          <w:marLeft w:val="0"/>
          <w:marRight w:val="0"/>
          <w:marTop w:val="210"/>
          <w:marBottom w:val="210"/>
          <w:divBdr>
            <w:top w:val="none" w:sz="0" w:space="0" w:color="auto"/>
            <w:left w:val="none" w:sz="0" w:space="0" w:color="auto"/>
            <w:bottom w:val="none" w:sz="0" w:space="0" w:color="auto"/>
            <w:right w:val="none" w:sz="0" w:space="0" w:color="auto"/>
          </w:divBdr>
          <w:divsChild>
            <w:div w:id="8799481">
              <w:marLeft w:val="0"/>
              <w:marRight w:val="0"/>
              <w:marTop w:val="210"/>
              <w:marBottom w:val="210"/>
              <w:divBdr>
                <w:top w:val="none" w:sz="0" w:space="0" w:color="auto"/>
                <w:left w:val="none" w:sz="0" w:space="0" w:color="auto"/>
                <w:bottom w:val="none" w:sz="0" w:space="0" w:color="auto"/>
                <w:right w:val="none" w:sz="0" w:space="0" w:color="auto"/>
              </w:divBdr>
              <w:divsChild>
                <w:div w:id="362706091">
                  <w:marLeft w:val="0"/>
                  <w:marRight w:val="0"/>
                  <w:marTop w:val="210"/>
                  <w:marBottom w:val="210"/>
                  <w:divBdr>
                    <w:top w:val="none" w:sz="0" w:space="0" w:color="auto"/>
                    <w:left w:val="none" w:sz="0" w:space="0" w:color="auto"/>
                    <w:bottom w:val="none" w:sz="0" w:space="0" w:color="auto"/>
                    <w:right w:val="none" w:sz="0" w:space="0" w:color="auto"/>
                  </w:divBdr>
                  <w:divsChild>
                    <w:div w:id="1808887606">
                      <w:marLeft w:val="0"/>
                      <w:marRight w:val="0"/>
                      <w:marTop w:val="210"/>
                      <w:marBottom w:val="210"/>
                      <w:divBdr>
                        <w:top w:val="none" w:sz="0" w:space="0" w:color="auto"/>
                        <w:left w:val="none" w:sz="0" w:space="0" w:color="auto"/>
                        <w:bottom w:val="none" w:sz="0" w:space="0" w:color="auto"/>
                        <w:right w:val="none" w:sz="0" w:space="0" w:color="auto"/>
                      </w:divBdr>
                    </w:div>
                  </w:divsChild>
                </w:div>
                <w:div w:id="934097796">
                  <w:marLeft w:val="0"/>
                  <w:marRight w:val="0"/>
                  <w:marTop w:val="210"/>
                  <w:marBottom w:val="210"/>
                  <w:divBdr>
                    <w:top w:val="none" w:sz="0" w:space="0" w:color="auto"/>
                    <w:left w:val="none" w:sz="0" w:space="0" w:color="auto"/>
                    <w:bottom w:val="none" w:sz="0" w:space="0" w:color="auto"/>
                    <w:right w:val="none" w:sz="0" w:space="0" w:color="auto"/>
                  </w:divBdr>
                  <w:divsChild>
                    <w:div w:id="18408484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13759021">
      <w:bodyDiv w:val="1"/>
      <w:marLeft w:val="0"/>
      <w:marRight w:val="0"/>
      <w:marTop w:val="0"/>
      <w:marBottom w:val="0"/>
      <w:divBdr>
        <w:top w:val="none" w:sz="0" w:space="0" w:color="auto"/>
        <w:left w:val="none" w:sz="0" w:space="0" w:color="auto"/>
        <w:bottom w:val="none" w:sz="0" w:space="0" w:color="auto"/>
        <w:right w:val="none" w:sz="0" w:space="0" w:color="auto"/>
      </w:divBdr>
      <w:divsChild>
        <w:div w:id="251165905">
          <w:marLeft w:val="0"/>
          <w:marRight w:val="0"/>
          <w:marTop w:val="210"/>
          <w:marBottom w:val="210"/>
          <w:divBdr>
            <w:top w:val="none" w:sz="0" w:space="0" w:color="auto"/>
            <w:left w:val="none" w:sz="0" w:space="0" w:color="auto"/>
            <w:bottom w:val="none" w:sz="0" w:space="0" w:color="auto"/>
            <w:right w:val="none" w:sz="0" w:space="0" w:color="auto"/>
          </w:divBdr>
          <w:divsChild>
            <w:div w:id="885142145">
              <w:marLeft w:val="0"/>
              <w:marRight w:val="0"/>
              <w:marTop w:val="210"/>
              <w:marBottom w:val="210"/>
              <w:divBdr>
                <w:top w:val="none" w:sz="0" w:space="0" w:color="auto"/>
                <w:left w:val="none" w:sz="0" w:space="0" w:color="auto"/>
                <w:bottom w:val="none" w:sz="0" w:space="0" w:color="auto"/>
                <w:right w:val="none" w:sz="0" w:space="0" w:color="auto"/>
              </w:divBdr>
              <w:divsChild>
                <w:div w:id="1498301690">
                  <w:marLeft w:val="900"/>
                  <w:marRight w:val="1350"/>
                  <w:marTop w:val="150"/>
                  <w:marBottom w:val="150"/>
                  <w:divBdr>
                    <w:top w:val="dotted" w:sz="6" w:space="1" w:color="BBBBBB"/>
                    <w:left w:val="none" w:sz="0" w:space="0" w:color="BBBBBB"/>
                    <w:bottom w:val="dotted" w:sz="6" w:space="1" w:color="BBBBBB"/>
                    <w:right w:val="none" w:sz="0" w:space="0" w:color="BBBBBB"/>
                  </w:divBdr>
                  <w:divsChild>
                    <w:div w:id="2133938167">
                      <w:marLeft w:val="360"/>
                      <w:marRight w:val="0"/>
                      <w:marTop w:val="45"/>
                      <w:marBottom w:val="45"/>
                      <w:divBdr>
                        <w:top w:val="none" w:sz="0" w:space="0" w:color="auto"/>
                        <w:left w:val="none" w:sz="0" w:space="0" w:color="auto"/>
                        <w:bottom w:val="none" w:sz="0" w:space="0" w:color="auto"/>
                        <w:right w:val="none" w:sz="0" w:space="0" w:color="auto"/>
                      </w:divBdr>
                    </w:div>
                    <w:div w:id="1749156916">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924945404">
          <w:marLeft w:val="0"/>
          <w:marRight w:val="0"/>
          <w:marTop w:val="210"/>
          <w:marBottom w:val="210"/>
          <w:divBdr>
            <w:top w:val="none" w:sz="0" w:space="0" w:color="auto"/>
            <w:left w:val="none" w:sz="0" w:space="0" w:color="auto"/>
            <w:bottom w:val="none" w:sz="0" w:space="0" w:color="auto"/>
            <w:right w:val="none" w:sz="0" w:space="0" w:color="auto"/>
          </w:divBdr>
          <w:divsChild>
            <w:div w:id="269048581">
              <w:marLeft w:val="0"/>
              <w:marRight w:val="0"/>
              <w:marTop w:val="210"/>
              <w:marBottom w:val="210"/>
              <w:divBdr>
                <w:top w:val="none" w:sz="0" w:space="0" w:color="auto"/>
                <w:left w:val="none" w:sz="0" w:space="0" w:color="auto"/>
                <w:bottom w:val="none" w:sz="0" w:space="0" w:color="auto"/>
                <w:right w:val="none" w:sz="0" w:space="0" w:color="auto"/>
              </w:divBdr>
              <w:divsChild>
                <w:div w:id="1488936797">
                  <w:marLeft w:val="900"/>
                  <w:marRight w:val="1350"/>
                  <w:marTop w:val="150"/>
                  <w:marBottom w:val="150"/>
                  <w:divBdr>
                    <w:top w:val="dotted" w:sz="6" w:space="1" w:color="BBBBBB"/>
                    <w:left w:val="none" w:sz="0" w:space="0" w:color="BBBBBB"/>
                    <w:bottom w:val="dotted" w:sz="6" w:space="1" w:color="BBBBBB"/>
                    <w:right w:val="none" w:sz="0" w:space="0" w:color="BBBBBB"/>
                  </w:divBdr>
                  <w:divsChild>
                    <w:div w:id="2085450875">
                      <w:marLeft w:val="360"/>
                      <w:marRight w:val="0"/>
                      <w:marTop w:val="45"/>
                      <w:marBottom w:val="45"/>
                      <w:divBdr>
                        <w:top w:val="none" w:sz="0" w:space="0" w:color="auto"/>
                        <w:left w:val="none" w:sz="0" w:space="0" w:color="auto"/>
                        <w:bottom w:val="none" w:sz="0" w:space="0" w:color="auto"/>
                        <w:right w:val="none" w:sz="0" w:space="0" w:color="auto"/>
                      </w:divBdr>
                    </w:div>
                    <w:div w:id="932128960">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590192568">
          <w:marLeft w:val="0"/>
          <w:marRight w:val="0"/>
          <w:marTop w:val="210"/>
          <w:marBottom w:val="210"/>
          <w:divBdr>
            <w:top w:val="none" w:sz="0" w:space="0" w:color="auto"/>
            <w:left w:val="none" w:sz="0" w:space="0" w:color="auto"/>
            <w:bottom w:val="none" w:sz="0" w:space="0" w:color="auto"/>
            <w:right w:val="none" w:sz="0" w:space="0" w:color="auto"/>
          </w:divBdr>
          <w:divsChild>
            <w:div w:id="11185979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15452933">
      <w:bodyDiv w:val="1"/>
      <w:marLeft w:val="0"/>
      <w:marRight w:val="0"/>
      <w:marTop w:val="0"/>
      <w:marBottom w:val="0"/>
      <w:divBdr>
        <w:top w:val="none" w:sz="0" w:space="0" w:color="auto"/>
        <w:left w:val="none" w:sz="0" w:space="0" w:color="auto"/>
        <w:bottom w:val="none" w:sz="0" w:space="0" w:color="auto"/>
        <w:right w:val="none" w:sz="0" w:space="0" w:color="auto"/>
      </w:divBdr>
    </w:div>
    <w:div w:id="1354650884">
      <w:bodyDiv w:val="1"/>
      <w:marLeft w:val="0"/>
      <w:marRight w:val="0"/>
      <w:marTop w:val="0"/>
      <w:marBottom w:val="0"/>
      <w:divBdr>
        <w:top w:val="none" w:sz="0" w:space="0" w:color="auto"/>
        <w:left w:val="none" w:sz="0" w:space="0" w:color="auto"/>
        <w:bottom w:val="none" w:sz="0" w:space="0" w:color="auto"/>
        <w:right w:val="none" w:sz="0" w:space="0" w:color="auto"/>
      </w:divBdr>
      <w:divsChild>
        <w:div w:id="456416842">
          <w:marLeft w:val="240"/>
          <w:marRight w:val="0"/>
          <w:marTop w:val="60"/>
          <w:marBottom w:val="60"/>
          <w:divBdr>
            <w:top w:val="none" w:sz="0" w:space="0" w:color="auto"/>
            <w:left w:val="none" w:sz="0" w:space="0" w:color="auto"/>
            <w:bottom w:val="none" w:sz="0" w:space="0" w:color="auto"/>
            <w:right w:val="none" w:sz="0" w:space="0" w:color="auto"/>
          </w:divBdr>
        </w:div>
        <w:div w:id="1058095426">
          <w:marLeft w:val="240"/>
          <w:marRight w:val="0"/>
          <w:marTop w:val="60"/>
          <w:marBottom w:val="60"/>
          <w:divBdr>
            <w:top w:val="none" w:sz="0" w:space="0" w:color="auto"/>
            <w:left w:val="none" w:sz="0" w:space="0" w:color="auto"/>
            <w:bottom w:val="none" w:sz="0" w:space="0" w:color="auto"/>
            <w:right w:val="none" w:sz="0" w:space="0" w:color="auto"/>
          </w:divBdr>
          <w:divsChild>
            <w:div w:id="224529504">
              <w:marLeft w:val="240"/>
              <w:marRight w:val="0"/>
              <w:marTop w:val="60"/>
              <w:marBottom w:val="60"/>
              <w:divBdr>
                <w:top w:val="none" w:sz="0" w:space="0" w:color="auto"/>
                <w:left w:val="none" w:sz="0" w:space="0" w:color="auto"/>
                <w:bottom w:val="none" w:sz="0" w:space="0" w:color="auto"/>
                <w:right w:val="none" w:sz="0" w:space="0" w:color="auto"/>
              </w:divBdr>
              <w:divsChild>
                <w:div w:id="1642343998">
                  <w:marLeft w:val="0"/>
                  <w:marRight w:val="0"/>
                  <w:marTop w:val="0"/>
                  <w:marBottom w:val="0"/>
                  <w:divBdr>
                    <w:top w:val="none" w:sz="0" w:space="0" w:color="auto"/>
                    <w:left w:val="none" w:sz="0" w:space="0" w:color="auto"/>
                    <w:bottom w:val="none" w:sz="0" w:space="0" w:color="auto"/>
                    <w:right w:val="none" w:sz="0" w:space="0" w:color="auto"/>
                  </w:divBdr>
                </w:div>
              </w:divsChild>
            </w:div>
            <w:div w:id="252207814">
              <w:marLeft w:val="240"/>
              <w:marRight w:val="0"/>
              <w:marTop w:val="60"/>
              <w:marBottom w:val="60"/>
              <w:divBdr>
                <w:top w:val="none" w:sz="0" w:space="0" w:color="auto"/>
                <w:left w:val="none" w:sz="0" w:space="0" w:color="auto"/>
                <w:bottom w:val="none" w:sz="0" w:space="0" w:color="auto"/>
                <w:right w:val="none" w:sz="0" w:space="0" w:color="auto"/>
              </w:divBdr>
              <w:divsChild>
                <w:div w:id="2038921001">
                  <w:marLeft w:val="0"/>
                  <w:marRight w:val="0"/>
                  <w:marTop w:val="0"/>
                  <w:marBottom w:val="0"/>
                  <w:divBdr>
                    <w:top w:val="none" w:sz="0" w:space="0" w:color="auto"/>
                    <w:left w:val="none" w:sz="0" w:space="0" w:color="auto"/>
                    <w:bottom w:val="none" w:sz="0" w:space="0" w:color="auto"/>
                    <w:right w:val="none" w:sz="0" w:space="0" w:color="auto"/>
                  </w:divBdr>
                </w:div>
              </w:divsChild>
            </w:div>
            <w:div w:id="757992202">
              <w:marLeft w:val="240"/>
              <w:marRight w:val="0"/>
              <w:marTop w:val="60"/>
              <w:marBottom w:val="60"/>
              <w:divBdr>
                <w:top w:val="none" w:sz="0" w:space="0" w:color="auto"/>
                <w:left w:val="none" w:sz="0" w:space="0" w:color="auto"/>
                <w:bottom w:val="none" w:sz="0" w:space="0" w:color="auto"/>
                <w:right w:val="none" w:sz="0" w:space="0" w:color="auto"/>
              </w:divBdr>
              <w:divsChild>
                <w:div w:id="1622300662">
                  <w:marLeft w:val="0"/>
                  <w:marRight w:val="0"/>
                  <w:marTop w:val="0"/>
                  <w:marBottom w:val="0"/>
                  <w:divBdr>
                    <w:top w:val="none" w:sz="0" w:space="0" w:color="auto"/>
                    <w:left w:val="none" w:sz="0" w:space="0" w:color="auto"/>
                    <w:bottom w:val="none" w:sz="0" w:space="0" w:color="auto"/>
                    <w:right w:val="none" w:sz="0" w:space="0" w:color="auto"/>
                  </w:divBdr>
                </w:div>
              </w:divsChild>
            </w:div>
            <w:div w:id="872184683">
              <w:marLeft w:val="240"/>
              <w:marRight w:val="0"/>
              <w:marTop w:val="60"/>
              <w:marBottom w:val="60"/>
              <w:divBdr>
                <w:top w:val="none" w:sz="0" w:space="0" w:color="auto"/>
                <w:left w:val="none" w:sz="0" w:space="0" w:color="auto"/>
                <w:bottom w:val="none" w:sz="0" w:space="0" w:color="auto"/>
                <w:right w:val="none" w:sz="0" w:space="0" w:color="auto"/>
              </w:divBdr>
              <w:divsChild>
                <w:div w:id="469174637">
                  <w:marLeft w:val="0"/>
                  <w:marRight w:val="0"/>
                  <w:marTop w:val="0"/>
                  <w:marBottom w:val="0"/>
                  <w:divBdr>
                    <w:top w:val="none" w:sz="0" w:space="0" w:color="auto"/>
                    <w:left w:val="none" w:sz="0" w:space="0" w:color="auto"/>
                    <w:bottom w:val="none" w:sz="0" w:space="0" w:color="auto"/>
                    <w:right w:val="none" w:sz="0" w:space="0" w:color="auto"/>
                  </w:divBdr>
                </w:div>
              </w:divsChild>
            </w:div>
            <w:div w:id="1138916070">
              <w:marLeft w:val="240"/>
              <w:marRight w:val="0"/>
              <w:marTop w:val="60"/>
              <w:marBottom w:val="60"/>
              <w:divBdr>
                <w:top w:val="none" w:sz="0" w:space="0" w:color="auto"/>
                <w:left w:val="none" w:sz="0" w:space="0" w:color="auto"/>
                <w:bottom w:val="none" w:sz="0" w:space="0" w:color="auto"/>
                <w:right w:val="none" w:sz="0" w:space="0" w:color="auto"/>
              </w:divBdr>
              <w:divsChild>
                <w:div w:id="1571425433">
                  <w:marLeft w:val="0"/>
                  <w:marRight w:val="0"/>
                  <w:marTop w:val="0"/>
                  <w:marBottom w:val="0"/>
                  <w:divBdr>
                    <w:top w:val="none" w:sz="0" w:space="0" w:color="auto"/>
                    <w:left w:val="none" w:sz="0" w:space="0" w:color="auto"/>
                    <w:bottom w:val="none" w:sz="0" w:space="0" w:color="auto"/>
                    <w:right w:val="none" w:sz="0" w:space="0" w:color="auto"/>
                  </w:divBdr>
                </w:div>
              </w:divsChild>
            </w:div>
            <w:div w:id="1333920929">
              <w:marLeft w:val="240"/>
              <w:marRight w:val="0"/>
              <w:marTop w:val="60"/>
              <w:marBottom w:val="60"/>
              <w:divBdr>
                <w:top w:val="none" w:sz="0" w:space="0" w:color="auto"/>
                <w:left w:val="none" w:sz="0" w:space="0" w:color="auto"/>
                <w:bottom w:val="none" w:sz="0" w:space="0" w:color="auto"/>
                <w:right w:val="none" w:sz="0" w:space="0" w:color="auto"/>
              </w:divBdr>
              <w:divsChild>
                <w:div w:id="550382437">
                  <w:marLeft w:val="0"/>
                  <w:marRight w:val="0"/>
                  <w:marTop w:val="0"/>
                  <w:marBottom w:val="0"/>
                  <w:divBdr>
                    <w:top w:val="none" w:sz="0" w:space="0" w:color="auto"/>
                    <w:left w:val="none" w:sz="0" w:space="0" w:color="auto"/>
                    <w:bottom w:val="none" w:sz="0" w:space="0" w:color="auto"/>
                    <w:right w:val="none" w:sz="0" w:space="0" w:color="auto"/>
                  </w:divBdr>
                </w:div>
              </w:divsChild>
            </w:div>
            <w:div w:id="1413161984">
              <w:marLeft w:val="240"/>
              <w:marRight w:val="0"/>
              <w:marTop w:val="60"/>
              <w:marBottom w:val="60"/>
              <w:divBdr>
                <w:top w:val="none" w:sz="0" w:space="0" w:color="auto"/>
                <w:left w:val="none" w:sz="0" w:space="0" w:color="auto"/>
                <w:bottom w:val="none" w:sz="0" w:space="0" w:color="auto"/>
                <w:right w:val="none" w:sz="0" w:space="0" w:color="auto"/>
              </w:divBdr>
              <w:divsChild>
                <w:div w:id="1274706634">
                  <w:marLeft w:val="0"/>
                  <w:marRight w:val="0"/>
                  <w:marTop w:val="0"/>
                  <w:marBottom w:val="0"/>
                  <w:divBdr>
                    <w:top w:val="none" w:sz="0" w:space="0" w:color="auto"/>
                    <w:left w:val="none" w:sz="0" w:space="0" w:color="auto"/>
                    <w:bottom w:val="none" w:sz="0" w:space="0" w:color="auto"/>
                    <w:right w:val="none" w:sz="0" w:space="0" w:color="auto"/>
                  </w:divBdr>
                </w:div>
              </w:divsChild>
            </w:div>
            <w:div w:id="1726030275">
              <w:marLeft w:val="462"/>
              <w:marRight w:val="0"/>
              <w:marTop w:val="0"/>
              <w:marBottom w:val="0"/>
              <w:divBdr>
                <w:top w:val="none" w:sz="0" w:space="0" w:color="auto"/>
                <w:left w:val="none" w:sz="0" w:space="0" w:color="auto"/>
                <w:bottom w:val="none" w:sz="0" w:space="0" w:color="auto"/>
                <w:right w:val="none" w:sz="0" w:space="0" w:color="auto"/>
              </w:divBdr>
            </w:div>
          </w:divsChild>
        </w:div>
      </w:divsChild>
    </w:div>
    <w:div w:id="1404722010">
      <w:bodyDiv w:val="1"/>
      <w:marLeft w:val="0"/>
      <w:marRight w:val="0"/>
      <w:marTop w:val="0"/>
      <w:marBottom w:val="0"/>
      <w:divBdr>
        <w:top w:val="none" w:sz="0" w:space="0" w:color="auto"/>
        <w:left w:val="none" w:sz="0" w:space="0" w:color="auto"/>
        <w:bottom w:val="none" w:sz="0" w:space="0" w:color="auto"/>
        <w:right w:val="none" w:sz="0" w:space="0" w:color="auto"/>
      </w:divBdr>
      <w:divsChild>
        <w:div w:id="1729495941">
          <w:marLeft w:val="420"/>
          <w:marRight w:val="0"/>
          <w:marTop w:val="210"/>
          <w:marBottom w:val="210"/>
          <w:divBdr>
            <w:top w:val="none" w:sz="0" w:space="0" w:color="auto"/>
            <w:left w:val="none" w:sz="0" w:space="0" w:color="auto"/>
            <w:bottom w:val="none" w:sz="0" w:space="0" w:color="auto"/>
            <w:right w:val="none" w:sz="0" w:space="0" w:color="auto"/>
          </w:divBdr>
          <w:divsChild>
            <w:div w:id="848829885">
              <w:marLeft w:val="0"/>
              <w:marRight w:val="0"/>
              <w:marTop w:val="210"/>
              <w:marBottom w:val="210"/>
              <w:divBdr>
                <w:top w:val="none" w:sz="0" w:space="0" w:color="auto"/>
                <w:left w:val="none" w:sz="0" w:space="0" w:color="auto"/>
                <w:bottom w:val="none" w:sz="0" w:space="0" w:color="auto"/>
                <w:right w:val="none" w:sz="0" w:space="0" w:color="auto"/>
              </w:divBdr>
              <w:divsChild>
                <w:div w:id="1831553771">
                  <w:marLeft w:val="0"/>
                  <w:marRight w:val="0"/>
                  <w:marTop w:val="210"/>
                  <w:marBottom w:val="210"/>
                  <w:divBdr>
                    <w:top w:val="none" w:sz="0" w:space="0" w:color="auto"/>
                    <w:left w:val="none" w:sz="0" w:space="0" w:color="auto"/>
                    <w:bottom w:val="none" w:sz="0" w:space="0" w:color="auto"/>
                    <w:right w:val="none" w:sz="0" w:space="0" w:color="auto"/>
                  </w:divBdr>
                  <w:divsChild>
                    <w:div w:id="1860970188">
                      <w:marLeft w:val="900"/>
                      <w:marRight w:val="1350"/>
                      <w:marTop w:val="150"/>
                      <w:marBottom w:val="150"/>
                      <w:divBdr>
                        <w:top w:val="dotted" w:sz="6" w:space="1" w:color="BBBBBB"/>
                        <w:left w:val="none" w:sz="0" w:space="0" w:color="BBBBBB"/>
                        <w:bottom w:val="dotted" w:sz="6" w:space="1" w:color="BBBBBB"/>
                        <w:right w:val="none" w:sz="0" w:space="0" w:color="BBBBBB"/>
                      </w:divBdr>
                      <w:divsChild>
                        <w:div w:id="36634960">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122987412">
          <w:marLeft w:val="420"/>
          <w:marRight w:val="0"/>
          <w:marTop w:val="210"/>
          <w:marBottom w:val="210"/>
          <w:divBdr>
            <w:top w:val="none" w:sz="0" w:space="0" w:color="auto"/>
            <w:left w:val="none" w:sz="0" w:space="0" w:color="auto"/>
            <w:bottom w:val="none" w:sz="0" w:space="0" w:color="auto"/>
            <w:right w:val="none" w:sz="0" w:space="0" w:color="auto"/>
          </w:divBdr>
        </w:div>
      </w:divsChild>
    </w:div>
    <w:div w:id="1418746110">
      <w:bodyDiv w:val="1"/>
      <w:marLeft w:val="0"/>
      <w:marRight w:val="0"/>
      <w:marTop w:val="0"/>
      <w:marBottom w:val="0"/>
      <w:divBdr>
        <w:top w:val="none" w:sz="0" w:space="0" w:color="auto"/>
        <w:left w:val="none" w:sz="0" w:space="0" w:color="auto"/>
        <w:bottom w:val="none" w:sz="0" w:space="0" w:color="auto"/>
        <w:right w:val="none" w:sz="0" w:space="0" w:color="auto"/>
      </w:divBdr>
      <w:divsChild>
        <w:div w:id="1784612682">
          <w:marLeft w:val="0"/>
          <w:marRight w:val="0"/>
          <w:marTop w:val="210"/>
          <w:marBottom w:val="210"/>
          <w:divBdr>
            <w:top w:val="none" w:sz="0" w:space="0" w:color="auto"/>
            <w:left w:val="none" w:sz="0" w:space="0" w:color="auto"/>
            <w:bottom w:val="none" w:sz="0" w:space="0" w:color="auto"/>
            <w:right w:val="none" w:sz="0" w:space="0" w:color="auto"/>
          </w:divBdr>
          <w:divsChild>
            <w:div w:id="1283154430">
              <w:marLeft w:val="0"/>
              <w:marRight w:val="0"/>
              <w:marTop w:val="210"/>
              <w:marBottom w:val="210"/>
              <w:divBdr>
                <w:top w:val="none" w:sz="0" w:space="0" w:color="auto"/>
                <w:left w:val="none" w:sz="0" w:space="0" w:color="auto"/>
                <w:bottom w:val="none" w:sz="0" w:space="0" w:color="auto"/>
                <w:right w:val="none" w:sz="0" w:space="0" w:color="auto"/>
              </w:divBdr>
              <w:divsChild>
                <w:div w:id="1467043664">
                  <w:marLeft w:val="900"/>
                  <w:marRight w:val="1350"/>
                  <w:marTop w:val="150"/>
                  <w:marBottom w:val="150"/>
                  <w:divBdr>
                    <w:top w:val="dotted" w:sz="6" w:space="1" w:color="BBBBBB"/>
                    <w:left w:val="none" w:sz="0" w:space="0" w:color="BBBBBB"/>
                    <w:bottom w:val="dotted" w:sz="6" w:space="1" w:color="BBBBBB"/>
                    <w:right w:val="none" w:sz="0" w:space="0" w:color="BBBBBB"/>
                  </w:divBdr>
                  <w:divsChild>
                    <w:div w:id="110057144">
                      <w:marLeft w:val="360"/>
                      <w:marRight w:val="0"/>
                      <w:marTop w:val="45"/>
                      <w:marBottom w:val="45"/>
                      <w:divBdr>
                        <w:top w:val="none" w:sz="0" w:space="0" w:color="auto"/>
                        <w:left w:val="none" w:sz="0" w:space="0" w:color="auto"/>
                        <w:bottom w:val="none" w:sz="0" w:space="0" w:color="auto"/>
                        <w:right w:val="none" w:sz="0" w:space="0" w:color="auto"/>
                      </w:divBdr>
                    </w:div>
                    <w:div w:id="2064911206">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409112716">
          <w:marLeft w:val="0"/>
          <w:marRight w:val="0"/>
          <w:marTop w:val="210"/>
          <w:marBottom w:val="210"/>
          <w:divBdr>
            <w:top w:val="none" w:sz="0" w:space="0" w:color="auto"/>
            <w:left w:val="none" w:sz="0" w:space="0" w:color="auto"/>
            <w:bottom w:val="none" w:sz="0" w:space="0" w:color="auto"/>
            <w:right w:val="none" w:sz="0" w:space="0" w:color="auto"/>
          </w:divBdr>
          <w:divsChild>
            <w:div w:id="2059743925">
              <w:marLeft w:val="0"/>
              <w:marRight w:val="0"/>
              <w:marTop w:val="210"/>
              <w:marBottom w:val="210"/>
              <w:divBdr>
                <w:top w:val="none" w:sz="0" w:space="0" w:color="auto"/>
                <w:left w:val="none" w:sz="0" w:space="0" w:color="auto"/>
                <w:bottom w:val="none" w:sz="0" w:space="0" w:color="auto"/>
                <w:right w:val="none" w:sz="0" w:space="0" w:color="auto"/>
              </w:divBdr>
              <w:divsChild>
                <w:div w:id="1028023596">
                  <w:marLeft w:val="900"/>
                  <w:marRight w:val="1350"/>
                  <w:marTop w:val="150"/>
                  <w:marBottom w:val="150"/>
                  <w:divBdr>
                    <w:top w:val="dotted" w:sz="6" w:space="1" w:color="BBBBBB"/>
                    <w:left w:val="none" w:sz="0" w:space="0" w:color="BBBBBB"/>
                    <w:bottom w:val="dotted" w:sz="6" w:space="1" w:color="BBBBBB"/>
                    <w:right w:val="none" w:sz="0" w:space="0" w:color="BBBBBB"/>
                  </w:divBdr>
                  <w:divsChild>
                    <w:div w:id="465044931">
                      <w:marLeft w:val="360"/>
                      <w:marRight w:val="0"/>
                      <w:marTop w:val="45"/>
                      <w:marBottom w:val="45"/>
                      <w:divBdr>
                        <w:top w:val="none" w:sz="0" w:space="0" w:color="auto"/>
                        <w:left w:val="none" w:sz="0" w:space="0" w:color="auto"/>
                        <w:bottom w:val="none" w:sz="0" w:space="0" w:color="auto"/>
                        <w:right w:val="none" w:sz="0" w:space="0" w:color="auto"/>
                      </w:divBdr>
                    </w:div>
                    <w:div w:id="41100566">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643805710">
          <w:marLeft w:val="0"/>
          <w:marRight w:val="0"/>
          <w:marTop w:val="210"/>
          <w:marBottom w:val="210"/>
          <w:divBdr>
            <w:top w:val="none" w:sz="0" w:space="0" w:color="auto"/>
            <w:left w:val="none" w:sz="0" w:space="0" w:color="auto"/>
            <w:bottom w:val="none" w:sz="0" w:space="0" w:color="auto"/>
            <w:right w:val="none" w:sz="0" w:space="0" w:color="auto"/>
          </w:divBdr>
          <w:divsChild>
            <w:div w:id="16418866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92453638">
      <w:bodyDiv w:val="1"/>
      <w:marLeft w:val="0"/>
      <w:marRight w:val="0"/>
      <w:marTop w:val="0"/>
      <w:marBottom w:val="0"/>
      <w:divBdr>
        <w:top w:val="none" w:sz="0" w:space="0" w:color="auto"/>
        <w:left w:val="none" w:sz="0" w:space="0" w:color="auto"/>
        <w:bottom w:val="none" w:sz="0" w:space="0" w:color="auto"/>
        <w:right w:val="none" w:sz="0" w:space="0" w:color="auto"/>
      </w:divBdr>
      <w:divsChild>
        <w:div w:id="384179048">
          <w:marLeft w:val="0"/>
          <w:marRight w:val="0"/>
          <w:marTop w:val="210"/>
          <w:marBottom w:val="210"/>
          <w:divBdr>
            <w:top w:val="none" w:sz="0" w:space="0" w:color="auto"/>
            <w:left w:val="none" w:sz="0" w:space="0" w:color="auto"/>
            <w:bottom w:val="none" w:sz="0" w:space="0" w:color="auto"/>
            <w:right w:val="none" w:sz="0" w:space="0" w:color="auto"/>
          </w:divBdr>
          <w:divsChild>
            <w:div w:id="1478954919">
              <w:marLeft w:val="0"/>
              <w:marRight w:val="0"/>
              <w:marTop w:val="210"/>
              <w:marBottom w:val="210"/>
              <w:divBdr>
                <w:top w:val="none" w:sz="0" w:space="0" w:color="auto"/>
                <w:left w:val="none" w:sz="0" w:space="0" w:color="auto"/>
                <w:bottom w:val="none" w:sz="0" w:space="0" w:color="auto"/>
                <w:right w:val="none" w:sz="0" w:space="0" w:color="auto"/>
              </w:divBdr>
              <w:divsChild>
                <w:div w:id="1963998291">
                  <w:marLeft w:val="900"/>
                  <w:marRight w:val="1350"/>
                  <w:marTop w:val="150"/>
                  <w:marBottom w:val="150"/>
                  <w:divBdr>
                    <w:top w:val="dotted" w:sz="6" w:space="1" w:color="BBBBBB"/>
                    <w:left w:val="none" w:sz="0" w:space="0" w:color="BBBBBB"/>
                    <w:bottom w:val="dotted" w:sz="6" w:space="1" w:color="BBBBBB"/>
                    <w:right w:val="none" w:sz="0" w:space="0" w:color="BBBBBB"/>
                  </w:divBdr>
                  <w:divsChild>
                    <w:div w:id="1256862859">
                      <w:marLeft w:val="360"/>
                      <w:marRight w:val="0"/>
                      <w:marTop w:val="45"/>
                      <w:marBottom w:val="45"/>
                      <w:divBdr>
                        <w:top w:val="none" w:sz="0" w:space="0" w:color="auto"/>
                        <w:left w:val="none" w:sz="0" w:space="0" w:color="auto"/>
                        <w:bottom w:val="none" w:sz="0" w:space="0" w:color="auto"/>
                        <w:right w:val="none" w:sz="0" w:space="0" w:color="auto"/>
                      </w:divBdr>
                    </w:div>
                    <w:div w:id="1118523804">
                      <w:marLeft w:val="360"/>
                      <w:marRight w:val="0"/>
                      <w:marTop w:val="45"/>
                      <w:marBottom w:val="45"/>
                      <w:divBdr>
                        <w:top w:val="none" w:sz="0" w:space="0" w:color="auto"/>
                        <w:left w:val="none" w:sz="0" w:space="0" w:color="auto"/>
                        <w:bottom w:val="none" w:sz="0" w:space="0" w:color="auto"/>
                        <w:right w:val="none" w:sz="0" w:space="0" w:color="auto"/>
                      </w:divBdr>
                    </w:div>
                    <w:div w:id="1988048339">
                      <w:marLeft w:val="360"/>
                      <w:marRight w:val="0"/>
                      <w:marTop w:val="45"/>
                      <w:marBottom w:val="45"/>
                      <w:divBdr>
                        <w:top w:val="none" w:sz="0" w:space="0" w:color="auto"/>
                        <w:left w:val="none" w:sz="0" w:space="0" w:color="auto"/>
                        <w:bottom w:val="none" w:sz="0" w:space="0" w:color="auto"/>
                        <w:right w:val="none" w:sz="0" w:space="0" w:color="auto"/>
                      </w:divBdr>
                    </w:div>
                    <w:div w:id="2145544099">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37978357">
          <w:marLeft w:val="0"/>
          <w:marRight w:val="0"/>
          <w:marTop w:val="210"/>
          <w:marBottom w:val="210"/>
          <w:divBdr>
            <w:top w:val="none" w:sz="0" w:space="0" w:color="auto"/>
            <w:left w:val="none" w:sz="0" w:space="0" w:color="auto"/>
            <w:bottom w:val="none" w:sz="0" w:space="0" w:color="auto"/>
            <w:right w:val="none" w:sz="0" w:space="0" w:color="auto"/>
          </w:divBdr>
          <w:divsChild>
            <w:div w:id="16758402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25248510">
      <w:bodyDiv w:val="1"/>
      <w:marLeft w:val="0"/>
      <w:marRight w:val="0"/>
      <w:marTop w:val="0"/>
      <w:marBottom w:val="0"/>
      <w:divBdr>
        <w:top w:val="none" w:sz="0" w:space="0" w:color="auto"/>
        <w:left w:val="none" w:sz="0" w:space="0" w:color="auto"/>
        <w:bottom w:val="none" w:sz="0" w:space="0" w:color="auto"/>
        <w:right w:val="none" w:sz="0" w:space="0" w:color="auto"/>
      </w:divBdr>
      <w:divsChild>
        <w:div w:id="676688885">
          <w:marLeft w:val="240"/>
          <w:marRight w:val="0"/>
          <w:marTop w:val="60"/>
          <w:marBottom w:val="60"/>
          <w:divBdr>
            <w:top w:val="none" w:sz="0" w:space="0" w:color="auto"/>
            <w:left w:val="none" w:sz="0" w:space="0" w:color="auto"/>
            <w:bottom w:val="none" w:sz="0" w:space="0" w:color="auto"/>
            <w:right w:val="none" w:sz="0" w:space="0" w:color="auto"/>
          </w:divBdr>
          <w:divsChild>
            <w:div w:id="1842742123">
              <w:marLeft w:val="0"/>
              <w:marRight w:val="0"/>
              <w:marTop w:val="0"/>
              <w:marBottom w:val="0"/>
              <w:divBdr>
                <w:top w:val="none" w:sz="0" w:space="0" w:color="auto"/>
                <w:left w:val="none" w:sz="0" w:space="0" w:color="auto"/>
                <w:bottom w:val="none" w:sz="0" w:space="0" w:color="auto"/>
                <w:right w:val="none" w:sz="0" w:space="0" w:color="auto"/>
              </w:divBdr>
            </w:div>
          </w:divsChild>
        </w:div>
        <w:div w:id="1322343272">
          <w:marLeft w:val="240"/>
          <w:marRight w:val="0"/>
          <w:marTop w:val="60"/>
          <w:marBottom w:val="60"/>
          <w:divBdr>
            <w:top w:val="none" w:sz="0" w:space="0" w:color="auto"/>
            <w:left w:val="none" w:sz="0" w:space="0" w:color="auto"/>
            <w:bottom w:val="none" w:sz="0" w:space="0" w:color="auto"/>
            <w:right w:val="none" w:sz="0" w:space="0" w:color="auto"/>
          </w:divBdr>
          <w:divsChild>
            <w:div w:id="1652632746">
              <w:marLeft w:val="240"/>
              <w:marRight w:val="0"/>
              <w:marTop w:val="60"/>
              <w:marBottom w:val="60"/>
              <w:divBdr>
                <w:top w:val="none" w:sz="0" w:space="0" w:color="auto"/>
                <w:left w:val="none" w:sz="0" w:space="0" w:color="auto"/>
                <w:bottom w:val="none" w:sz="0" w:space="0" w:color="auto"/>
                <w:right w:val="none" w:sz="0" w:space="0" w:color="auto"/>
              </w:divBdr>
              <w:divsChild>
                <w:div w:id="564150072">
                  <w:marLeft w:val="0"/>
                  <w:marRight w:val="0"/>
                  <w:marTop w:val="0"/>
                  <w:marBottom w:val="0"/>
                  <w:divBdr>
                    <w:top w:val="none" w:sz="0" w:space="0" w:color="auto"/>
                    <w:left w:val="none" w:sz="0" w:space="0" w:color="auto"/>
                    <w:bottom w:val="none" w:sz="0" w:space="0" w:color="auto"/>
                    <w:right w:val="none" w:sz="0" w:space="0" w:color="auto"/>
                  </w:divBdr>
                </w:div>
              </w:divsChild>
            </w:div>
            <w:div w:id="369719723">
              <w:marLeft w:val="240"/>
              <w:marRight w:val="0"/>
              <w:marTop w:val="60"/>
              <w:marBottom w:val="60"/>
              <w:divBdr>
                <w:top w:val="none" w:sz="0" w:space="0" w:color="auto"/>
                <w:left w:val="none" w:sz="0" w:space="0" w:color="auto"/>
                <w:bottom w:val="none" w:sz="0" w:space="0" w:color="auto"/>
                <w:right w:val="none" w:sz="0" w:space="0" w:color="auto"/>
              </w:divBdr>
              <w:divsChild>
                <w:div w:id="3441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9852">
      <w:bodyDiv w:val="1"/>
      <w:marLeft w:val="0"/>
      <w:marRight w:val="0"/>
      <w:marTop w:val="0"/>
      <w:marBottom w:val="0"/>
      <w:divBdr>
        <w:top w:val="none" w:sz="0" w:space="0" w:color="auto"/>
        <w:left w:val="none" w:sz="0" w:space="0" w:color="auto"/>
        <w:bottom w:val="none" w:sz="0" w:space="0" w:color="auto"/>
        <w:right w:val="none" w:sz="0" w:space="0" w:color="auto"/>
      </w:divBdr>
      <w:divsChild>
        <w:div w:id="28990520">
          <w:marLeft w:val="420"/>
          <w:marRight w:val="0"/>
          <w:marTop w:val="210"/>
          <w:marBottom w:val="210"/>
          <w:divBdr>
            <w:top w:val="none" w:sz="0" w:space="0" w:color="auto"/>
            <w:left w:val="none" w:sz="0" w:space="0" w:color="auto"/>
            <w:bottom w:val="none" w:sz="0" w:space="0" w:color="auto"/>
            <w:right w:val="none" w:sz="0" w:space="0" w:color="auto"/>
          </w:divBdr>
          <w:divsChild>
            <w:div w:id="1211765321">
              <w:marLeft w:val="0"/>
              <w:marRight w:val="0"/>
              <w:marTop w:val="210"/>
              <w:marBottom w:val="210"/>
              <w:divBdr>
                <w:top w:val="none" w:sz="0" w:space="0" w:color="auto"/>
                <w:left w:val="none" w:sz="0" w:space="0" w:color="auto"/>
                <w:bottom w:val="none" w:sz="0" w:space="0" w:color="auto"/>
                <w:right w:val="none" w:sz="0" w:space="0" w:color="auto"/>
              </w:divBdr>
            </w:div>
          </w:divsChild>
        </w:div>
        <w:div w:id="121464898">
          <w:marLeft w:val="420"/>
          <w:marRight w:val="0"/>
          <w:marTop w:val="210"/>
          <w:marBottom w:val="210"/>
          <w:divBdr>
            <w:top w:val="none" w:sz="0" w:space="0" w:color="auto"/>
            <w:left w:val="none" w:sz="0" w:space="0" w:color="auto"/>
            <w:bottom w:val="none" w:sz="0" w:space="0" w:color="auto"/>
            <w:right w:val="none" w:sz="0" w:space="0" w:color="auto"/>
          </w:divBdr>
          <w:divsChild>
            <w:div w:id="1671177712">
              <w:marLeft w:val="0"/>
              <w:marRight w:val="0"/>
              <w:marTop w:val="210"/>
              <w:marBottom w:val="210"/>
              <w:divBdr>
                <w:top w:val="none" w:sz="0" w:space="0" w:color="auto"/>
                <w:left w:val="none" w:sz="0" w:space="0" w:color="auto"/>
                <w:bottom w:val="none" w:sz="0" w:space="0" w:color="auto"/>
                <w:right w:val="none" w:sz="0" w:space="0" w:color="auto"/>
              </w:divBdr>
            </w:div>
          </w:divsChild>
        </w:div>
        <w:div w:id="541329709">
          <w:marLeft w:val="420"/>
          <w:marRight w:val="0"/>
          <w:marTop w:val="210"/>
          <w:marBottom w:val="210"/>
          <w:divBdr>
            <w:top w:val="none" w:sz="0" w:space="0" w:color="auto"/>
            <w:left w:val="none" w:sz="0" w:space="0" w:color="auto"/>
            <w:bottom w:val="none" w:sz="0" w:space="0" w:color="auto"/>
            <w:right w:val="none" w:sz="0" w:space="0" w:color="auto"/>
          </w:divBdr>
          <w:divsChild>
            <w:div w:id="2058821148">
              <w:marLeft w:val="0"/>
              <w:marRight w:val="0"/>
              <w:marTop w:val="210"/>
              <w:marBottom w:val="210"/>
              <w:divBdr>
                <w:top w:val="none" w:sz="0" w:space="0" w:color="auto"/>
                <w:left w:val="none" w:sz="0" w:space="0" w:color="auto"/>
                <w:bottom w:val="none" w:sz="0" w:space="0" w:color="auto"/>
                <w:right w:val="none" w:sz="0" w:space="0" w:color="auto"/>
              </w:divBdr>
            </w:div>
          </w:divsChild>
        </w:div>
        <w:div w:id="994525405">
          <w:marLeft w:val="420"/>
          <w:marRight w:val="0"/>
          <w:marTop w:val="210"/>
          <w:marBottom w:val="210"/>
          <w:divBdr>
            <w:top w:val="none" w:sz="0" w:space="0" w:color="auto"/>
            <w:left w:val="none" w:sz="0" w:space="0" w:color="auto"/>
            <w:bottom w:val="none" w:sz="0" w:space="0" w:color="auto"/>
            <w:right w:val="none" w:sz="0" w:space="0" w:color="auto"/>
          </w:divBdr>
          <w:divsChild>
            <w:div w:id="1217543127">
              <w:marLeft w:val="0"/>
              <w:marRight w:val="0"/>
              <w:marTop w:val="210"/>
              <w:marBottom w:val="210"/>
              <w:divBdr>
                <w:top w:val="none" w:sz="0" w:space="0" w:color="auto"/>
                <w:left w:val="none" w:sz="0" w:space="0" w:color="auto"/>
                <w:bottom w:val="none" w:sz="0" w:space="0" w:color="auto"/>
                <w:right w:val="none" w:sz="0" w:space="0" w:color="auto"/>
              </w:divBdr>
            </w:div>
          </w:divsChild>
        </w:div>
        <w:div w:id="1429157263">
          <w:marLeft w:val="420"/>
          <w:marRight w:val="0"/>
          <w:marTop w:val="210"/>
          <w:marBottom w:val="210"/>
          <w:divBdr>
            <w:top w:val="none" w:sz="0" w:space="0" w:color="auto"/>
            <w:left w:val="none" w:sz="0" w:space="0" w:color="auto"/>
            <w:bottom w:val="none" w:sz="0" w:space="0" w:color="auto"/>
            <w:right w:val="none" w:sz="0" w:space="0" w:color="auto"/>
          </w:divBdr>
          <w:divsChild>
            <w:div w:id="216822918">
              <w:marLeft w:val="0"/>
              <w:marRight w:val="0"/>
              <w:marTop w:val="210"/>
              <w:marBottom w:val="210"/>
              <w:divBdr>
                <w:top w:val="none" w:sz="0" w:space="0" w:color="auto"/>
                <w:left w:val="none" w:sz="0" w:space="0" w:color="auto"/>
                <w:bottom w:val="none" w:sz="0" w:space="0" w:color="auto"/>
                <w:right w:val="none" w:sz="0" w:space="0" w:color="auto"/>
              </w:divBdr>
            </w:div>
          </w:divsChild>
        </w:div>
        <w:div w:id="1507136737">
          <w:marLeft w:val="420"/>
          <w:marRight w:val="0"/>
          <w:marTop w:val="210"/>
          <w:marBottom w:val="210"/>
          <w:divBdr>
            <w:top w:val="none" w:sz="0" w:space="0" w:color="auto"/>
            <w:left w:val="none" w:sz="0" w:space="0" w:color="auto"/>
            <w:bottom w:val="none" w:sz="0" w:space="0" w:color="auto"/>
            <w:right w:val="none" w:sz="0" w:space="0" w:color="auto"/>
          </w:divBdr>
          <w:divsChild>
            <w:div w:id="1089814108">
              <w:marLeft w:val="0"/>
              <w:marRight w:val="0"/>
              <w:marTop w:val="210"/>
              <w:marBottom w:val="210"/>
              <w:divBdr>
                <w:top w:val="none" w:sz="0" w:space="0" w:color="auto"/>
                <w:left w:val="none" w:sz="0" w:space="0" w:color="auto"/>
                <w:bottom w:val="none" w:sz="0" w:space="0" w:color="auto"/>
                <w:right w:val="none" w:sz="0" w:space="0" w:color="auto"/>
              </w:divBdr>
            </w:div>
          </w:divsChild>
        </w:div>
        <w:div w:id="1611080932">
          <w:marLeft w:val="420"/>
          <w:marRight w:val="0"/>
          <w:marTop w:val="210"/>
          <w:marBottom w:val="210"/>
          <w:divBdr>
            <w:top w:val="none" w:sz="0" w:space="0" w:color="auto"/>
            <w:left w:val="none" w:sz="0" w:space="0" w:color="auto"/>
            <w:bottom w:val="none" w:sz="0" w:space="0" w:color="auto"/>
            <w:right w:val="none" w:sz="0" w:space="0" w:color="auto"/>
          </w:divBdr>
          <w:divsChild>
            <w:div w:id="1540045750">
              <w:marLeft w:val="0"/>
              <w:marRight w:val="0"/>
              <w:marTop w:val="210"/>
              <w:marBottom w:val="210"/>
              <w:divBdr>
                <w:top w:val="none" w:sz="0" w:space="0" w:color="auto"/>
                <w:left w:val="none" w:sz="0" w:space="0" w:color="auto"/>
                <w:bottom w:val="none" w:sz="0" w:space="0" w:color="auto"/>
                <w:right w:val="none" w:sz="0" w:space="0" w:color="auto"/>
              </w:divBdr>
            </w:div>
          </w:divsChild>
        </w:div>
        <w:div w:id="1684824584">
          <w:marLeft w:val="420"/>
          <w:marRight w:val="0"/>
          <w:marTop w:val="210"/>
          <w:marBottom w:val="210"/>
          <w:divBdr>
            <w:top w:val="none" w:sz="0" w:space="0" w:color="auto"/>
            <w:left w:val="none" w:sz="0" w:space="0" w:color="auto"/>
            <w:bottom w:val="none" w:sz="0" w:space="0" w:color="auto"/>
            <w:right w:val="none" w:sz="0" w:space="0" w:color="auto"/>
          </w:divBdr>
          <w:divsChild>
            <w:div w:id="1696997447">
              <w:marLeft w:val="0"/>
              <w:marRight w:val="0"/>
              <w:marTop w:val="210"/>
              <w:marBottom w:val="210"/>
              <w:divBdr>
                <w:top w:val="none" w:sz="0" w:space="0" w:color="auto"/>
                <w:left w:val="none" w:sz="0" w:space="0" w:color="auto"/>
                <w:bottom w:val="none" w:sz="0" w:space="0" w:color="auto"/>
                <w:right w:val="none" w:sz="0" w:space="0" w:color="auto"/>
              </w:divBdr>
            </w:div>
          </w:divsChild>
        </w:div>
        <w:div w:id="1712800955">
          <w:marLeft w:val="420"/>
          <w:marRight w:val="0"/>
          <w:marTop w:val="210"/>
          <w:marBottom w:val="210"/>
          <w:divBdr>
            <w:top w:val="none" w:sz="0" w:space="0" w:color="auto"/>
            <w:left w:val="none" w:sz="0" w:space="0" w:color="auto"/>
            <w:bottom w:val="none" w:sz="0" w:space="0" w:color="auto"/>
            <w:right w:val="none" w:sz="0" w:space="0" w:color="auto"/>
          </w:divBdr>
          <w:divsChild>
            <w:div w:id="2025933568">
              <w:marLeft w:val="0"/>
              <w:marRight w:val="0"/>
              <w:marTop w:val="210"/>
              <w:marBottom w:val="210"/>
              <w:divBdr>
                <w:top w:val="none" w:sz="0" w:space="0" w:color="auto"/>
                <w:left w:val="none" w:sz="0" w:space="0" w:color="auto"/>
                <w:bottom w:val="none" w:sz="0" w:space="0" w:color="auto"/>
                <w:right w:val="none" w:sz="0" w:space="0" w:color="auto"/>
              </w:divBdr>
            </w:div>
          </w:divsChild>
        </w:div>
        <w:div w:id="2037924760">
          <w:marLeft w:val="420"/>
          <w:marRight w:val="0"/>
          <w:marTop w:val="210"/>
          <w:marBottom w:val="210"/>
          <w:divBdr>
            <w:top w:val="none" w:sz="0" w:space="0" w:color="auto"/>
            <w:left w:val="none" w:sz="0" w:space="0" w:color="auto"/>
            <w:bottom w:val="none" w:sz="0" w:space="0" w:color="auto"/>
            <w:right w:val="none" w:sz="0" w:space="0" w:color="auto"/>
          </w:divBdr>
          <w:divsChild>
            <w:div w:id="16433901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93272151">
      <w:bodyDiv w:val="1"/>
      <w:marLeft w:val="0"/>
      <w:marRight w:val="0"/>
      <w:marTop w:val="0"/>
      <w:marBottom w:val="0"/>
      <w:divBdr>
        <w:top w:val="none" w:sz="0" w:space="0" w:color="auto"/>
        <w:left w:val="none" w:sz="0" w:space="0" w:color="auto"/>
        <w:bottom w:val="none" w:sz="0" w:space="0" w:color="auto"/>
        <w:right w:val="none" w:sz="0" w:space="0" w:color="auto"/>
      </w:divBdr>
    </w:div>
    <w:div w:id="1693871220">
      <w:bodyDiv w:val="1"/>
      <w:marLeft w:val="0"/>
      <w:marRight w:val="0"/>
      <w:marTop w:val="0"/>
      <w:marBottom w:val="0"/>
      <w:divBdr>
        <w:top w:val="none" w:sz="0" w:space="0" w:color="auto"/>
        <w:left w:val="none" w:sz="0" w:space="0" w:color="auto"/>
        <w:bottom w:val="none" w:sz="0" w:space="0" w:color="auto"/>
        <w:right w:val="none" w:sz="0" w:space="0" w:color="auto"/>
      </w:divBdr>
    </w:div>
    <w:div w:id="1794857875">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9">
          <w:marLeft w:val="0"/>
          <w:marRight w:val="0"/>
          <w:marTop w:val="0"/>
          <w:marBottom w:val="150"/>
          <w:divBdr>
            <w:top w:val="none" w:sz="0" w:space="0" w:color="auto"/>
            <w:left w:val="none" w:sz="0" w:space="0" w:color="auto"/>
            <w:bottom w:val="none" w:sz="0" w:space="0" w:color="auto"/>
            <w:right w:val="none" w:sz="0" w:space="0" w:color="auto"/>
          </w:divBdr>
          <w:divsChild>
            <w:div w:id="1873571192">
              <w:marLeft w:val="0"/>
              <w:marRight w:val="0"/>
              <w:marTop w:val="0"/>
              <w:marBottom w:val="0"/>
              <w:divBdr>
                <w:top w:val="none" w:sz="0" w:space="0" w:color="auto"/>
                <w:left w:val="none" w:sz="0" w:space="0" w:color="auto"/>
                <w:bottom w:val="none" w:sz="0" w:space="0" w:color="auto"/>
                <w:right w:val="none" w:sz="0" w:space="0" w:color="auto"/>
              </w:divBdr>
            </w:div>
          </w:divsChild>
        </w:div>
        <w:div w:id="1474905823">
          <w:marLeft w:val="0"/>
          <w:marRight w:val="0"/>
          <w:marTop w:val="0"/>
          <w:marBottom w:val="0"/>
          <w:divBdr>
            <w:top w:val="none" w:sz="0" w:space="0" w:color="auto"/>
            <w:left w:val="none" w:sz="0" w:space="0" w:color="auto"/>
            <w:bottom w:val="none" w:sz="0" w:space="0" w:color="auto"/>
            <w:right w:val="none" w:sz="0" w:space="0" w:color="auto"/>
          </w:divBdr>
          <w:divsChild>
            <w:div w:id="11544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386">
      <w:bodyDiv w:val="1"/>
      <w:marLeft w:val="0"/>
      <w:marRight w:val="0"/>
      <w:marTop w:val="0"/>
      <w:marBottom w:val="0"/>
      <w:divBdr>
        <w:top w:val="none" w:sz="0" w:space="0" w:color="auto"/>
        <w:left w:val="none" w:sz="0" w:space="0" w:color="auto"/>
        <w:bottom w:val="none" w:sz="0" w:space="0" w:color="auto"/>
        <w:right w:val="none" w:sz="0" w:space="0" w:color="auto"/>
      </w:divBdr>
      <w:divsChild>
        <w:div w:id="1904214993">
          <w:marLeft w:val="600"/>
          <w:marRight w:val="0"/>
          <w:marTop w:val="264"/>
          <w:marBottom w:val="264"/>
          <w:divBdr>
            <w:top w:val="none" w:sz="0" w:space="0" w:color="auto"/>
            <w:left w:val="none" w:sz="0" w:space="0" w:color="auto"/>
            <w:bottom w:val="none" w:sz="0" w:space="0" w:color="auto"/>
            <w:right w:val="none" w:sz="0" w:space="0" w:color="auto"/>
          </w:divBdr>
        </w:div>
      </w:divsChild>
    </w:div>
    <w:div w:id="1951467698">
      <w:bodyDiv w:val="1"/>
      <w:marLeft w:val="0"/>
      <w:marRight w:val="0"/>
      <w:marTop w:val="0"/>
      <w:marBottom w:val="0"/>
      <w:divBdr>
        <w:top w:val="none" w:sz="0" w:space="0" w:color="auto"/>
        <w:left w:val="none" w:sz="0" w:space="0" w:color="auto"/>
        <w:bottom w:val="none" w:sz="0" w:space="0" w:color="auto"/>
        <w:right w:val="none" w:sz="0" w:space="0" w:color="auto"/>
      </w:divBdr>
      <w:divsChild>
        <w:div w:id="1815638720">
          <w:marLeft w:val="0"/>
          <w:marRight w:val="0"/>
          <w:marTop w:val="210"/>
          <w:marBottom w:val="210"/>
          <w:divBdr>
            <w:top w:val="none" w:sz="0" w:space="0" w:color="auto"/>
            <w:left w:val="none" w:sz="0" w:space="0" w:color="auto"/>
            <w:bottom w:val="none" w:sz="0" w:space="0" w:color="auto"/>
            <w:right w:val="none" w:sz="0" w:space="0" w:color="auto"/>
          </w:divBdr>
          <w:divsChild>
            <w:div w:id="259028206">
              <w:marLeft w:val="0"/>
              <w:marRight w:val="0"/>
              <w:marTop w:val="210"/>
              <w:marBottom w:val="210"/>
              <w:divBdr>
                <w:top w:val="none" w:sz="0" w:space="0" w:color="auto"/>
                <w:left w:val="none" w:sz="0" w:space="0" w:color="auto"/>
                <w:bottom w:val="none" w:sz="0" w:space="0" w:color="auto"/>
                <w:right w:val="none" w:sz="0" w:space="0" w:color="auto"/>
              </w:divBdr>
              <w:divsChild>
                <w:div w:id="525992090">
                  <w:marLeft w:val="900"/>
                  <w:marRight w:val="1350"/>
                  <w:marTop w:val="150"/>
                  <w:marBottom w:val="150"/>
                  <w:divBdr>
                    <w:top w:val="dotted" w:sz="6" w:space="1" w:color="BBBBBB"/>
                    <w:left w:val="none" w:sz="0" w:space="0" w:color="BBBBBB"/>
                    <w:bottom w:val="dotted" w:sz="6" w:space="1" w:color="BBBBBB"/>
                    <w:right w:val="none" w:sz="0" w:space="0" w:color="BBBBBB"/>
                  </w:divBdr>
                  <w:divsChild>
                    <w:div w:id="619800810">
                      <w:marLeft w:val="360"/>
                      <w:marRight w:val="0"/>
                      <w:marTop w:val="45"/>
                      <w:marBottom w:val="45"/>
                      <w:divBdr>
                        <w:top w:val="none" w:sz="0" w:space="0" w:color="auto"/>
                        <w:left w:val="none" w:sz="0" w:space="0" w:color="auto"/>
                        <w:bottom w:val="none" w:sz="0" w:space="0" w:color="auto"/>
                        <w:right w:val="none" w:sz="0" w:space="0" w:color="auto"/>
                      </w:divBdr>
                    </w:div>
                    <w:div w:id="2112702368">
                      <w:marLeft w:val="360"/>
                      <w:marRight w:val="0"/>
                      <w:marTop w:val="45"/>
                      <w:marBottom w:val="45"/>
                      <w:divBdr>
                        <w:top w:val="none" w:sz="0" w:space="0" w:color="auto"/>
                        <w:left w:val="none" w:sz="0" w:space="0" w:color="auto"/>
                        <w:bottom w:val="none" w:sz="0" w:space="0" w:color="auto"/>
                        <w:right w:val="none" w:sz="0" w:space="0" w:color="auto"/>
                      </w:divBdr>
                    </w:div>
                    <w:div w:id="1624965797">
                      <w:marLeft w:val="360"/>
                      <w:marRight w:val="0"/>
                      <w:marTop w:val="45"/>
                      <w:marBottom w:val="45"/>
                      <w:divBdr>
                        <w:top w:val="none" w:sz="0" w:space="0" w:color="auto"/>
                        <w:left w:val="none" w:sz="0" w:space="0" w:color="auto"/>
                        <w:bottom w:val="none" w:sz="0" w:space="0" w:color="auto"/>
                        <w:right w:val="none" w:sz="0" w:space="0" w:color="auto"/>
                      </w:divBdr>
                    </w:div>
                    <w:div w:id="2147047958">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038313025">
          <w:marLeft w:val="0"/>
          <w:marRight w:val="0"/>
          <w:marTop w:val="210"/>
          <w:marBottom w:val="210"/>
          <w:divBdr>
            <w:top w:val="none" w:sz="0" w:space="0" w:color="auto"/>
            <w:left w:val="none" w:sz="0" w:space="0" w:color="auto"/>
            <w:bottom w:val="none" w:sz="0" w:space="0" w:color="auto"/>
            <w:right w:val="none" w:sz="0" w:space="0" w:color="auto"/>
          </w:divBdr>
          <w:divsChild>
            <w:div w:id="16221028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80401731">
      <w:bodyDiv w:val="1"/>
      <w:marLeft w:val="0"/>
      <w:marRight w:val="0"/>
      <w:marTop w:val="0"/>
      <w:marBottom w:val="0"/>
      <w:divBdr>
        <w:top w:val="none" w:sz="0" w:space="0" w:color="auto"/>
        <w:left w:val="none" w:sz="0" w:space="0" w:color="auto"/>
        <w:bottom w:val="none" w:sz="0" w:space="0" w:color="auto"/>
        <w:right w:val="none" w:sz="0" w:space="0" w:color="auto"/>
      </w:divBdr>
      <w:divsChild>
        <w:div w:id="195000495">
          <w:marLeft w:val="0"/>
          <w:marRight w:val="0"/>
          <w:marTop w:val="0"/>
          <w:marBottom w:val="0"/>
          <w:divBdr>
            <w:top w:val="none" w:sz="0" w:space="0" w:color="auto"/>
            <w:left w:val="none" w:sz="0" w:space="0" w:color="auto"/>
            <w:bottom w:val="none" w:sz="0" w:space="0" w:color="auto"/>
            <w:right w:val="none" w:sz="0" w:space="0" w:color="auto"/>
          </w:divBdr>
        </w:div>
        <w:div w:id="2592164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customXml" Target="ink/ink3.xml"/><Relationship Id="rId39" Type="http://schemas.openxmlformats.org/officeDocument/2006/relationships/image" Target="media/image16.svg"/><Relationship Id="rId34" Type="http://schemas.openxmlformats.org/officeDocument/2006/relationships/customXml" Target="ink/ink7.xml"/><Relationship Id="rId42" Type="http://schemas.openxmlformats.org/officeDocument/2006/relationships/hyperlink" Target="https://www.mtc.gov/uniformity/project-on-state-taxation-of-partnerships/"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0.png"/><Relationship Id="rId41"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ink/ink2.xml"/><Relationship Id="rId32" Type="http://schemas.openxmlformats.org/officeDocument/2006/relationships/customXml" Target="ink/ink6.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customXml" Target="ink/ink4.xm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mailto:hhecht@mtc.gov" TargetMode="External"/><Relationship Id="rId31" Type="http://schemas.openxmlformats.org/officeDocument/2006/relationships/image" Target="media/image11.png"/><Relationship Id="rId44" Type="http://schemas.openxmlformats.org/officeDocument/2006/relationships/image" Target="media/image19.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customXml" Target="ink/ink5.xml"/><Relationship Id="rId35" Type="http://schemas.openxmlformats.org/officeDocument/2006/relationships/customXml" Target="ink/ink8.xml"/><Relationship Id="rId43" Type="http://schemas.openxmlformats.org/officeDocument/2006/relationships/hyperlink" Target="https://www.irs.gov/statistics/soi-tax-stats-partnership-statistic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em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uniformlaws.org/viewdocument/enactment-kit-73?CommunityKey=52456941-7883-47a5-91b6-d2f086d0bb44&amp;tab=librarydocuments" TargetMode="External"/><Relationship Id="rId1" Type="http://schemas.openxmlformats.org/officeDocument/2006/relationships/hyperlink" Target="https://www.mtc.gov/Uniformity/Project-Teams/Partnership-Ta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5.36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13 0,'-2'0,"-1"0</inkml:trace>
  <inkml:trace contextRef="#ctx0" brushRef="#br0" timeOffset="600.27">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4.23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80 146,'0'0</inkml:trace>
  <inkml:trace contextRef="#ctx0" brushRef="#br0" timeOffset="419.28">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3.5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12,'0'0</inkml:trace>
  <inkml:trace contextRef="#ctx0" brushRef="#br0" timeOffset="200.43">1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6.68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3.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6 1,'-2'0,"-1"0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1.61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315.86">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0.5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3.13">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19.5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6 1,'0'2,"0"3,-2 1,-1-1</inkml:trace>
</inkml:ink>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1EC8F-619B-4F51-989C-93F8A7A2C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21587</Words>
  <Characters>123047</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144346</CharactersWithSpaces>
  <SharedDoc>false</SharedDoc>
  <HLinks>
    <vt:vector size="426" baseType="variant">
      <vt:variant>
        <vt:i4>2097270</vt:i4>
      </vt:variant>
      <vt:variant>
        <vt:i4>399</vt:i4>
      </vt:variant>
      <vt:variant>
        <vt:i4>0</vt:i4>
      </vt:variant>
      <vt:variant>
        <vt:i4>5</vt:i4>
      </vt:variant>
      <vt:variant>
        <vt:lpwstr>https://www.irs.gov/statistics/soi-tax-stats-partnership-statistics</vt:lpwstr>
      </vt:variant>
      <vt:variant>
        <vt:lpwstr/>
      </vt:variant>
      <vt:variant>
        <vt:i4>5898317</vt:i4>
      </vt:variant>
      <vt:variant>
        <vt:i4>396</vt:i4>
      </vt:variant>
      <vt:variant>
        <vt:i4>0</vt:i4>
      </vt:variant>
      <vt:variant>
        <vt:i4>5</vt:i4>
      </vt:variant>
      <vt:variant>
        <vt:lpwstr>https://www.mtc.gov/Uniformity/Project-Teams/Partnership-Tax</vt:lpwstr>
      </vt:variant>
      <vt:variant>
        <vt:lpwstr/>
      </vt:variant>
      <vt:variant>
        <vt:i4>7471196</vt:i4>
      </vt:variant>
      <vt:variant>
        <vt:i4>393</vt:i4>
      </vt:variant>
      <vt:variant>
        <vt:i4>0</vt:i4>
      </vt:variant>
      <vt:variant>
        <vt:i4>5</vt:i4>
      </vt:variant>
      <vt:variant>
        <vt:lpwstr>mailto:hhecht@mtc.gov</vt:lpwstr>
      </vt:variant>
      <vt:variant>
        <vt:lpwstr/>
      </vt:variant>
      <vt:variant>
        <vt:i4>1114167</vt:i4>
      </vt:variant>
      <vt:variant>
        <vt:i4>386</vt:i4>
      </vt:variant>
      <vt:variant>
        <vt:i4>0</vt:i4>
      </vt:variant>
      <vt:variant>
        <vt:i4>5</vt:i4>
      </vt:variant>
      <vt:variant>
        <vt:lpwstr/>
      </vt:variant>
      <vt:variant>
        <vt:lpwstr>_Toc132631722</vt:lpwstr>
      </vt:variant>
      <vt:variant>
        <vt:i4>1114167</vt:i4>
      </vt:variant>
      <vt:variant>
        <vt:i4>380</vt:i4>
      </vt:variant>
      <vt:variant>
        <vt:i4>0</vt:i4>
      </vt:variant>
      <vt:variant>
        <vt:i4>5</vt:i4>
      </vt:variant>
      <vt:variant>
        <vt:lpwstr/>
      </vt:variant>
      <vt:variant>
        <vt:lpwstr>_Toc132631721</vt:lpwstr>
      </vt:variant>
      <vt:variant>
        <vt:i4>1114167</vt:i4>
      </vt:variant>
      <vt:variant>
        <vt:i4>374</vt:i4>
      </vt:variant>
      <vt:variant>
        <vt:i4>0</vt:i4>
      </vt:variant>
      <vt:variant>
        <vt:i4>5</vt:i4>
      </vt:variant>
      <vt:variant>
        <vt:lpwstr/>
      </vt:variant>
      <vt:variant>
        <vt:lpwstr>_Toc132631720</vt:lpwstr>
      </vt:variant>
      <vt:variant>
        <vt:i4>1179703</vt:i4>
      </vt:variant>
      <vt:variant>
        <vt:i4>368</vt:i4>
      </vt:variant>
      <vt:variant>
        <vt:i4>0</vt:i4>
      </vt:variant>
      <vt:variant>
        <vt:i4>5</vt:i4>
      </vt:variant>
      <vt:variant>
        <vt:lpwstr/>
      </vt:variant>
      <vt:variant>
        <vt:lpwstr>_Toc132631719</vt:lpwstr>
      </vt:variant>
      <vt:variant>
        <vt:i4>1179703</vt:i4>
      </vt:variant>
      <vt:variant>
        <vt:i4>362</vt:i4>
      </vt:variant>
      <vt:variant>
        <vt:i4>0</vt:i4>
      </vt:variant>
      <vt:variant>
        <vt:i4>5</vt:i4>
      </vt:variant>
      <vt:variant>
        <vt:lpwstr/>
      </vt:variant>
      <vt:variant>
        <vt:lpwstr>_Toc132631718</vt:lpwstr>
      </vt:variant>
      <vt:variant>
        <vt:i4>1179703</vt:i4>
      </vt:variant>
      <vt:variant>
        <vt:i4>356</vt:i4>
      </vt:variant>
      <vt:variant>
        <vt:i4>0</vt:i4>
      </vt:variant>
      <vt:variant>
        <vt:i4>5</vt:i4>
      </vt:variant>
      <vt:variant>
        <vt:lpwstr/>
      </vt:variant>
      <vt:variant>
        <vt:lpwstr>_Toc132631717</vt:lpwstr>
      </vt:variant>
      <vt:variant>
        <vt:i4>1179703</vt:i4>
      </vt:variant>
      <vt:variant>
        <vt:i4>350</vt:i4>
      </vt:variant>
      <vt:variant>
        <vt:i4>0</vt:i4>
      </vt:variant>
      <vt:variant>
        <vt:i4>5</vt:i4>
      </vt:variant>
      <vt:variant>
        <vt:lpwstr/>
      </vt:variant>
      <vt:variant>
        <vt:lpwstr>_Toc132631716</vt:lpwstr>
      </vt:variant>
      <vt:variant>
        <vt:i4>1179703</vt:i4>
      </vt:variant>
      <vt:variant>
        <vt:i4>344</vt:i4>
      </vt:variant>
      <vt:variant>
        <vt:i4>0</vt:i4>
      </vt:variant>
      <vt:variant>
        <vt:i4>5</vt:i4>
      </vt:variant>
      <vt:variant>
        <vt:lpwstr/>
      </vt:variant>
      <vt:variant>
        <vt:lpwstr>_Toc132631715</vt:lpwstr>
      </vt:variant>
      <vt:variant>
        <vt:i4>1179703</vt:i4>
      </vt:variant>
      <vt:variant>
        <vt:i4>338</vt:i4>
      </vt:variant>
      <vt:variant>
        <vt:i4>0</vt:i4>
      </vt:variant>
      <vt:variant>
        <vt:i4>5</vt:i4>
      </vt:variant>
      <vt:variant>
        <vt:lpwstr/>
      </vt:variant>
      <vt:variant>
        <vt:lpwstr>_Toc132631714</vt:lpwstr>
      </vt:variant>
      <vt:variant>
        <vt:i4>1179703</vt:i4>
      </vt:variant>
      <vt:variant>
        <vt:i4>332</vt:i4>
      </vt:variant>
      <vt:variant>
        <vt:i4>0</vt:i4>
      </vt:variant>
      <vt:variant>
        <vt:i4>5</vt:i4>
      </vt:variant>
      <vt:variant>
        <vt:lpwstr/>
      </vt:variant>
      <vt:variant>
        <vt:lpwstr>_Toc132631713</vt:lpwstr>
      </vt:variant>
      <vt:variant>
        <vt:i4>1179703</vt:i4>
      </vt:variant>
      <vt:variant>
        <vt:i4>326</vt:i4>
      </vt:variant>
      <vt:variant>
        <vt:i4>0</vt:i4>
      </vt:variant>
      <vt:variant>
        <vt:i4>5</vt:i4>
      </vt:variant>
      <vt:variant>
        <vt:lpwstr/>
      </vt:variant>
      <vt:variant>
        <vt:lpwstr>_Toc132631712</vt:lpwstr>
      </vt:variant>
      <vt:variant>
        <vt:i4>1179703</vt:i4>
      </vt:variant>
      <vt:variant>
        <vt:i4>320</vt:i4>
      </vt:variant>
      <vt:variant>
        <vt:i4>0</vt:i4>
      </vt:variant>
      <vt:variant>
        <vt:i4>5</vt:i4>
      </vt:variant>
      <vt:variant>
        <vt:lpwstr/>
      </vt:variant>
      <vt:variant>
        <vt:lpwstr>_Toc132631711</vt:lpwstr>
      </vt:variant>
      <vt:variant>
        <vt:i4>1179703</vt:i4>
      </vt:variant>
      <vt:variant>
        <vt:i4>314</vt:i4>
      </vt:variant>
      <vt:variant>
        <vt:i4>0</vt:i4>
      </vt:variant>
      <vt:variant>
        <vt:i4>5</vt:i4>
      </vt:variant>
      <vt:variant>
        <vt:lpwstr/>
      </vt:variant>
      <vt:variant>
        <vt:lpwstr>_Toc132631710</vt:lpwstr>
      </vt:variant>
      <vt:variant>
        <vt:i4>1245239</vt:i4>
      </vt:variant>
      <vt:variant>
        <vt:i4>308</vt:i4>
      </vt:variant>
      <vt:variant>
        <vt:i4>0</vt:i4>
      </vt:variant>
      <vt:variant>
        <vt:i4>5</vt:i4>
      </vt:variant>
      <vt:variant>
        <vt:lpwstr/>
      </vt:variant>
      <vt:variant>
        <vt:lpwstr>_Toc132631709</vt:lpwstr>
      </vt:variant>
      <vt:variant>
        <vt:i4>1245239</vt:i4>
      </vt:variant>
      <vt:variant>
        <vt:i4>302</vt:i4>
      </vt:variant>
      <vt:variant>
        <vt:i4>0</vt:i4>
      </vt:variant>
      <vt:variant>
        <vt:i4>5</vt:i4>
      </vt:variant>
      <vt:variant>
        <vt:lpwstr/>
      </vt:variant>
      <vt:variant>
        <vt:lpwstr>_Toc132631708</vt:lpwstr>
      </vt:variant>
      <vt:variant>
        <vt:i4>1245239</vt:i4>
      </vt:variant>
      <vt:variant>
        <vt:i4>296</vt:i4>
      </vt:variant>
      <vt:variant>
        <vt:i4>0</vt:i4>
      </vt:variant>
      <vt:variant>
        <vt:i4>5</vt:i4>
      </vt:variant>
      <vt:variant>
        <vt:lpwstr/>
      </vt:variant>
      <vt:variant>
        <vt:lpwstr>_Toc132631707</vt:lpwstr>
      </vt:variant>
      <vt:variant>
        <vt:i4>1245239</vt:i4>
      </vt:variant>
      <vt:variant>
        <vt:i4>290</vt:i4>
      </vt:variant>
      <vt:variant>
        <vt:i4>0</vt:i4>
      </vt:variant>
      <vt:variant>
        <vt:i4>5</vt:i4>
      </vt:variant>
      <vt:variant>
        <vt:lpwstr/>
      </vt:variant>
      <vt:variant>
        <vt:lpwstr>_Toc132631706</vt:lpwstr>
      </vt:variant>
      <vt:variant>
        <vt:i4>1245239</vt:i4>
      </vt:variant>
      <vt:variant>
        <vt:i4>284</vt:i4>
      </vt:variant>
      <vt:variant>
        <vt:i4>0</vt:i4>
      </vt:variant>
      <vt:variant>
        <vt:i4>5</vt:i4>
      </vt:variant>
      <vt:variant>
        <vt:lpwstr/>
      </vt:variant>
      <vt:variant>
        <vt:lpwstr>_Toc132631705</vt:lpwstr>
      </vt:variant>
      <vt:variant>
        <vt:i4>1245239</vt:i4>
      </vt:variant>
      <vt:variant>
        <vt:i4>278</vt:i4>
      </vt:variant>
      <vt:variant>
        <vt:i4>0</vt:i4>
      </vt:variant>
      <vt:variant>
        <vt:i4>5</vt:i4>
      </vt:variant>
      <vt:variant>
        <vt:lpwstr/>
      </vt:variant>
      <vt:variant>
        <vt:lpwstr>_Toc132631704</vt:lpwstr>
      </vt:variant>
      <vt:variant>
        <vt:i4>1245239</vt:i4>
      </vt:variant>
      <vt:variant>
        <vt:i4>272</vt:i4>
      </vt:variant>
      <vt:variant>
        <vt:i4>0</vt:i4>
      </vt:variant>
      <vt:variant>
        <vt:i4>5</vt:i4>
      </vt:variant>
      <vt:variant>
        <vt:lpwstr/>
      </vt:variant>
      <vt:variant>
        <vt:lpwstr>_Toc132631703</vt:lpwstr>
      </vt:variant>
      <vt:variant>
        <vt:i4>1245239</vt:i4>
      </vt:variant>
      <vt:variant>
        <vt:i4>266</vt:i4>
      </vt:variant>
      <vt:variant>
        <vt:i4>0</vt:i4>
      </vt:variant>
      <vt:variant>
        <vt:i4>5</vt:i4>
      </vt:variant>
      <vt:variant>
        <vt:lpwstr/>
      </vt:variant>
      <vt:variant>
        <vt:lpwstr>_Toc132631702</vt:lpwstr>
      </vt:variant>
      <vt:variant>
        <vt:i4>1245239</vt:i4>
      </vt:variant>
      <vt:variant>
        <vt:i4>260</vt:i4>
      </vt:variant>
      <vt:variant>
        <vt:i4>0</vt:i4>
      </vt:variant>
      <vt:variant>
        <vt:i4>5</vt:i4>
      </vt:variant>
      <vt:variant>
        <vt:lpwstr/>
      </vt:variant>
      <vt:variant>
        <vt:lpwstr>_Toc132631701</vt:lpwstr>
      </vt:variant>
      <vt:variant>
        <vt:i4>1245239</vt:i4>
      </vt:variant>
      <vt:variant>
        <vt:i4>254</vt:i4>
      </vt:variant>
      <vt:variant>
        <vt:i4>0</vt:i4>
      </vt:variant>
      <vt:variant>
        <vt:i4>5</vt:i4>
      </vt:variant>
      <vt:variant>
        <vt:lpwstr/>
      </vt:variant>
      <vt:variant>
        <vt:lpwstr>_Toc132631700</vt:lpwstr>
      </vt:variant>
      <vt:variant>
        <vt:i4>1703990</vt:i4>
      </vt:variant>
      <vt:variant>
        <vt:i4>248</vt:i4>
      </vt:variant>
      <vt:variant>
        <vt:i4>0</vt:i4>
      </vt:variant>
      <vt:variant>
        <vt:i4>5</vt:i4>
      </vt:variant>
      <vt:variant>
        <vt:lpwstr/>
      </vt:variant>
      <vt:variant>
        <vt:lpwstr>_Toc132631699</vt:lpwstr>
      </vt:variant>
      <vt:variant>
        <vt:i4>1703990</vt:i4>
      </vt:variant>
      <vt:variant>
        <vt:i4>242</vt:i4>
      </vt:variant>
      <vt:variant>
        <vt:i4>0</vt:i4>
      </vt:variant>
      <vt:variant>
        <vt:i4>5</vt:i4>
      </vt:variant>
      <vt:variant>
        <vt:lpwstr/>
      </vt:variant>
      <vt:variant>
        <vt:lpwstr>_Toc132631698</vt:lpwstr>
      </vt:variant>
      <vt:variant>
        <vt:i4>1703990</vt:i4>
      </vt:variant>
      <vt:variant>
        <vt:i4>236</vt:i4>
      </vt:variant>
      <vt:variant>
        <vt:i4>0</vt:i4>
      </vt:variant>
      <vt:variant>
        <vt:i4>5</vt:i4>
      </vt:variant>
      <vt:variant>
        <vt:lpwstr/>
      </vt:variant>
      <vt:variant>
        <vt:lpwstr>_Toc132631697</vt:lpwstr>
      </vt:variant>
      <vt:variant>
        <vt:i4>1703990</vt:i4>
      </vt:variant>
      <vt:variant>
        <vt:i4>230</vt:i4>
      </vt:variant>
      <vt:variant>
        <vt:i4>0</vt:i4>
      </vt:variant>
      <vt:variant>
        <vt:i4>5</vt:i4>
      </vt:variant>
      <vt:variant>
        <vt:lpwstr/>
      </vt:variant>
      <vt:variant>
        <vt:lpwstr>_Toc132631696</vt:lpwstr>
      </vt:variant>
      <vt:variant>
        <vt:i4>1703990</vt:i4>
      </vt:variant>
      <vt:variant>
        <vt:i4>224</vt:i4>
      </vt:variant>
      <vt:variant>
        <vt:i4>0</vt:i4>
      </vt:variant>
      <vt:variant>
        <vt:i4>5</vt:i4>
      </vt:variant>
      <vt:variant>
        <vt:lpwstr/>
      </vt:variant>
      <vt:variant>
        <vt:lpwstr>_Toc132631695</vt:lpwstr>
      </vt:variant>
      <vt:variant>
        <vt:i4>1703990</vt:i4>
      </vt:variant>
      <vt:variant>
        <vt:i4>218</vt:i4>
      </vt:variant>
      <vt:variant>
        <vt:i4>0</vt:i4>
      </vt:variant>
      <vt:variant>
        <vt:i4>5</vt:i4>
      </vt:variant>
      <vt:variant>
        <vt:lpwstr/>
      </vt:variant>
      <vt:variant>
        <vt:lpwstr>_Toc132631694</vt:lpwstr>
      </vt:variant>
      <vt:variant>
        <vt:i4>1703990</vt:i4>
      </vt:variant>
      <vt:variant>
        <vt:i4>212</vt:i4>
      </vt:variant>
      <vt:variant>
        <vt:i4>0</vt:i4>
      </vt:variant>
      <vt:variant>
        <vt:i4>5</vt:i4>
      </vt:variant>
      <vt:variant>
        <vt:lpwstr/>
      </vt:variant>
      <vt:variant>
        <vt:lpwstr>_Toc132631693</vt:lpwstr>
      </vt:variant>
      <vt:variant>
        <vt:i4>1703990</vt:i4>
      </vt:variant>
      <vt:variant>
        <vt:i4>206</vt:i4>
      </vt:variant>
      <vt:variant>
        <vt:i4>0</vt:i4>
      </vt:variant>
      <vt:variant>
        <vt:i4>5</vt:i4>
      </vt:variant>
      <vt:variant>
        <vt:lpwstr/>
      </vt:variant>
      <vt:variant>
        <vt:lpwstr>_Toc132631692</vt:lpwstr>
      </vt:variant>
      <vt:variant>
        <vt:i4>1703990</vt:i4>
      </vt:variant>
      <vt:variant>
        <vt:i4>200</vt:i4>
      </vt:variant>
      <vt:variant>
        <vt:i4>0</vt:i4>
      </vt:variant>
      <vt:variant>
        <vt:i4>5</vt:i4>
      </vt:variant>
      <vt:variant>
        <vt:lpwstr/>
      </vt:variant>
      <vt:variant>
        <vt:lpwstr>_Toc132631691</vt:lpwstr>
      </vt:variant>
      <vt:variant>
        <vt:i4>1703990</vt:i4>
      </vt:variant>
      <vt:variant>
        <vt:i4>194</vt:i4>
      </vt:variant>
      <vt:variant>
        <vt:i4>0</vt:i4>
      </vt:variant>
      <vt:variant>
        <vt:i4>5</vt:i4>
      </vt:variant>
      <vt:variant>
        <vt:lpwstr/>
      </vt:variant>
      <vt:variant>
        <vt:lpwstr>_Toc132631690</vt:lpwstr>
      </vt:variant>
      <vt:variant>
        <vt:i4>1769526</vt:i4>
      </vt:variant>
      <vt:variant>
        <vt:i4>188</vt:i4>
      </vt:variant>
      <vt:variant>
        <vt:i4>0</vt:i4>
      </vt:variant>
      <vt:variant>
        <vt:i4>5</vt:i4>
      </vt:variant>
      <vt:variant>
        <vt:lpwstr/>
      </vt:variant>
      <vt:variant>
        <vt:lpwstr>_Toc132631689</vt:lpwstr>
      </vt:variant>
      <vt:variant>
        <vt:i4>1769526</vt:i4>
      </vt:variant>
      <vt:variant>
        <vt:i4>182</vt:i4>
      </vt:variant>
      <vt:variant>
        <vt:i4>0</vt:i4>
      </vt:variant>
      <vt:variant>
        <vt:i4>5</vt:i4>
      </vt:variant>
      <vt:variant>
        <vt:lpwstr/>
      </vt:variant>
      <vt:variant>
        <vt:lpwstr>_Toc132631688</vt:lpwstr>
      </vt:variant>
      <vt:variant>
        <vt:i4>1769526</vt:i4>
      </vt:variant>
      <vt:variant>
        <vt:i4>176</vt:i4>
      </vt:variant>
      <vt:variant>
        <vt:i4>0</vt:i4>
      </vt:variant>
      <vt:variant>
        <vt:i4>5</vt:i4>
      </vt:variant>
      <vt:variant>
        <vt:lpwstr/>
      </vt:variant>
      <vt:variant>
        <vt:lpwstr>_Toc132631687</vt:lpwstr>
      </vt:variant>
      <vt:variant>
        <vt:i4>1769526</vt:i4>
      </vt:variant>
      <vt:variant>
        <vt:i4>170</vt:i4>
      </vt:variant>
      <vt:variant>
        <vt:i4>0</vt:i4>
      </vt:variant>
      <vt:variant>
        <vt:i4>5</vt:i4>
      </vt:variant>
      <vt:variant>
        <vt:lpwstr/>
      </vt:variant>
      <vt:variant>
        <vt:lpwstr>_Toc132631686</vt:lpwstr>
      </vt:variant>
      <vt:variant>
        <vt:i4>1769526</vt:i4>
      </vt:variant>
      <vt:variant>
        <vt:i4>164</vt:i4>
      </vt:variant>
      <vt:variant>
        <vt:i4>0</vt:i4>
      </vt:variant>
      <vt:variant>
        <vt:i4>5</vt:i4>
      </vt:variant>
      <vt:variant>
        <vt:lpwstr/>
      </vt:variant>
      <vt:variant>
        <vt:lpwstr>_Toc132631685</vt:lpwstr>
      </vt:variant>
      <vt:variant>
        <vt:i4>1769526</vt:i4>
      </vt:variant>
      <vt:variant>
        <vt:i4>158</vt:i4>
      </vt:variant>
      <vt:variant>
        <vt:i4>0</vt:i4>
      </vt:variant>
      <vt:variant>
        <vt:i4>5</vt:i4>
      </vt:variant>
      <vt:variant>
        <vt:lpwstr/>
      </vt:variant>
      <vt:variant>
        <vt:lpwstr>_Toc132631684</vt:lpwstr>
      </vt:variant>
      <vt:variant>
        <vt:i4>1769526</vt:i4>
      </vt:variant>
      <vt:variant>
        <vt:i4>152</vt:i4>
      </vt:variant>
      <vt:variant>
        <vt:i4>0</vt:i4>
      </vt:variant>
      <vt:variant>
        <vt:i4>5</vt:i4>
      </vt:variant>
      <vt:variant>
        <vt:lpwstr/>
      </vt:variant>
      <vt:variant>
        <vt:lpwstr>_Toc132631683</vt:lpwstr>
      </vt:variant>
      <vt:variant>
        <vt:i4>1769526</vt:i4>
      </vt:variant>
      <vt:variant>
        <vt:i4>146</vt:i4>
      </vt:variant>
      <vt:variant>
        <vt:i4>0</vt:i4>
      </vt:variant>
      <vt:variant>
        <vt:i4>5</vt:i4>
      </vt:variant>
      <vt:variant>
        <vt:lpwstr/>
      </vt:variant>
      <vt:variant>
        <vt:lpwstr>_Toc132631682</vt:lpwstr>
      </vt:variant>
      <vt:variant>
        <vt:i4>1769526</vt:i4>
      </vt:variant>
      <vt:variant>
        <vt:i4>140</vt:i4>
      </vt:variant>
      <vt:variant>
        <vt:i4>0</vt:i4>
      </vt:variant>
      <vt:variant>
        <vt:i4>5</vt:i4>
      </vt:variant>
      <vt:variant>
        <vt:lpwstr/>
      </vt:variant>
      <vt:variant>
        <vt:lpwstr>_Toc132631681</vt:lpwstr>
      </vt:variant>
      <vt:variant>
        <vt:i4>1769526</vt:i4>
      </vt:variant>
      <vt:variant>
        <vt:i4>134</vt:i4>
      </vt:variant>
      <vt:variant>
        <vt:i4>0</vt:i4>
      </vt:variant>
      <vt:variant>
        <vt:i4>5</vt:i4>
      </vt:variant>
      <vt:variant>
        <vt:lpwstr/>
      </vt:variant>
      <vt:variant>
        <vt:lpwstr>_Toc132631680</vt:lpwstr>
      </vt:variant>
      <vt:variant>
        <vt:i4>1310774</vt:i4>
      </vt:variant>
      <vt:variant>
        <vt:i4>128</vt:i4>
      </vt:variant>
      <vt:variant>
        <vt:i4>0</vt:i4>
      </vt:variant>
      <vt:variant>
        <vt:i4>5</vt:i4>
      </vt:variant>
      <vt:variant>
        <vt:lpwstr/>
      </vt:variant>
      <vt:variant>
        <vt:lpwstr>_Toc132631679</vt:lpwstr>
      </vt:variant>
      <vt:variant>
        <vt:i4>1310774</vt:i4>
      </vt:variant>
      <vt:variant>
        <vt:i4>122</vt:i4>
      </vt:variant>
      <vt:variant>
        <vt:i4>0</vt:i4>
      </vt:variant>
      <vt:variant>
        <vt:i4>5</vt:i4>
      </vt:variant>
      <vt:variant>
        <vt:lpwstr/>
      </vt:variant>
      <vt:variant>
        <vt:lpwstr>_Toc132631678</vt:lpwstr>
      </vt:variant>
      <vt:variant>
        <vt:i4>1310774</vt:i4>
      </vt:variant>
      <vt:variant>
        <vt:i4>116</vt:i4>
      </vt:variant>
      <vt:variant>
        <vt:i4>0</vt:i4>
      </vt:variant>
      <vt:variant>
        <vt:i4>5</vt:i4>
      </vt:variant>
      <vt:variant>
        <vt:lpwstr/>
      </vt:variant>
      <vt:variant>
        <vt:lpwstr>_Toc132631677</vt:lpwstr>
      </vt:variant>
      <vt:variant>
        <vt:i4>1310774</vt:i4>
      </vt:variant>
      <vt:variant>
        <vt:i4>110</vt:i4>
      </vt:variant>
      <vt:variant>
        <vt:i4>0</vt:i4>
      </vt:variant>
      <vt:variant>
        <vt:i4>5</vt:i4>
      </vt:variant>
      <vt:variant>
        <vt:lpwstr/>
      </vt:variant>
      <vt:variant>
        <vt:lpwstr>_Toc132631676</vt:lpwstr>
      </vt:variant>
      <vt:variant>
        <vt:i4>1310774</vt:i4>
      </vt:variant>
      <vt:variant>
        <vt:i4>104</vt:i4>
      </vt:variant>
      <vt:variant>
        <vt:i4>0</vt:i4>
      </vt:variant>
      <vt:variant>
        <vt:i4>5</vt:i4>
      </vt:variant>
      <vt:variant>
        <vt:lpwstr/>
      </vt:variant>
      <vt:variant>
        <vt:lpwstr>_Toc132631675</vt:lpwstr>
      </vt:variant>
      <vt:variant>
        <vt:i4>1310774</vt:i4>
      </vt:variant>
      <vt:variant>
        <vt:i4>98</vt:i4>
      </vt:variant>
      <vt:variant>
        <vt:i4>0</vt:i4>
      </vt:variant>
      <vt:variant>
        <vt:i4>5</vt:i4>
      </vt:variant>
      <vt:variant>
        <vt:lpwstr/>
      </vt:variant>
      <vt:variant>
        <vt:lpwstr>_Toc132631674</vt:lpwstr>
      </vt:variant>
      <vt:variant>
        <vt:i4>1310774</vt:i4>
      </vt:variant>
      <vt:variant>
        <vt:i4>92</vt:i4>
      </vt:variant>
      <vt:variant>
        <vt:i4>0</vt:i4>
      </vt:variant>
      <vt:variant>
        <vt:i4>5</vt:i4>
      </vt:variant>
      <vt:variant>
        <vt:lpwstr/>
      </vt:variant>
      <vt:variant>
        <vt:lpwstr>_Toc132631673</vt:lpwstr>
      </vt:variant>
      <vt:variant>
        <vt:i4>1310774</vt:i4>
      </vt:variant>
      <vt:variant>
        <vt:i4>86</vt:i4>
      </vt:variant>
      <vt:variant>
        <vt:i4>0</vt:i4>
      </vt:variant>
      <vt:variant>
        <vt:i4>5</vt:i4>
      </vt:variant>
      <vt:variant>
        <vt:lpwstr/>
      </vt:variant>
      <vt:variant>
        <vt:lpwstr>_Toc132631672</vt:lpwstr>
      </vt:variant>
      <vt:variant>
        <vt:i4>1310774</vt:i4>
      </vt:variant>
      <vt:variant>
        <vt:i4>80</vt:i4>
      </vt:variant>
      <vt:variant>
        <vt:i4>0</vt:i4>
      </vt:variant>
      <vt:variant>
        <vt:i4>5</vt:i4>
      </vt:variant>
      <vt:variant>
        <vt:lpwstr/>
      </vt:variant>
      <vt:variant>
        <vt:lpwstr>_Toc132631671</vt:lpwstr>
      </vt:variant>
      <vt:variant>
        <vt:i4>1310774</vt:i4>
      </vt:variant>
      <vt:variant>
        <vt:i4>74</vt:i4>
      </vt:variant>
      <vt:variant>
        <vt:i4>0</vt:i4>
      </vt:variant>
      <vt:variant>
        <vt:i4>5</vt:i4>
      </vt:variant>
      <vt:variant>
        <vt:lpwstr/>
      </vt:variant>
      <vt:variant>
        <vt:lpwstr>_Toc132631670</vt:lpwstr>
      </vt:variant>
      <vt:variant>
        <vt:i4>1376310</vt:i4>
      </vt:variant>
      <vt:variant>
        <vt:i4>68</vt:i4>
      </vt:variant>
      <vt:variant>
        <vt:i4>0</vt:i4>
      </vt:variant>
      <vt:variant>
        <vt:i4>5</vt:i4>
      </vt:variant>
      <vt:variant>
        <vt:lpwstr/>
      </vt:variant>
      <vt:variant>
        <vt:lpwstr>_Toc132631669</vt:lpwstr>
      </vt:variant>
      <vt:variant>
        <vt:i4>1376310</vt:i4>
      </vt:variant>
      <vt:variant>
        <vt:i4>62</vt:i4>
      </vt:variant>
      <vt:variant>
        <vt:i4>0</vt:i4>
      </vt:variant>
      <vt:variant>
        <vt:i4>5</vt:i4>
      </vt:variant>
      <vt:variant>
        <vt:lpwstr/>
      </vt:variant>
      <vt:variant>
        <vt:lpwstr>_Toc132631668</vt:lpwstr>
      </vt:variant>
      <vt:variant>
        <vt:i4>1376310</vt:i4>
      </vt:variant>
      <vt:variant>
        <vt:i4>56</vt:i4>
      </vt:variant>
      <vt:variant>
        <vt:i4>0</vt:i4>
      </vt:variant>
      <vt:variant>
        <vt:i4>5</vt:i4>
      </vt:variant>
      <vt:variant>
        <vt:lpwstr/>
      </vt:variant>
      <vt:variant>
        <vt:lpwstr>_Toc132631667</vt:lpwstr>
      </vt:variant>
      <vt:variant>
        <vt:i4>1376310</vt:i4>
      </vt:variant>
      <vt:variant>
        <vt:i4>50</vt:i4>
      </vt:variant>
      <vt:variant>
        <vt:i4>0</vt:i4>
      </vt:variant>
      <vt:variant>
        <vt:i4>5</vt:i4>
      </vt:variant>
      <vt:variant>
        <vt:lpwstr/>
      </vt:variant>
      <vt:variant>
        <vt:lpwstr>_Toc132631666</vt:lpwstr>
      </vt:variant>
      <vt:variant>
        <vt:i4>1376310</vt:i4>
      </vt:variant>
      <vt:variant>
        <vt:i4>44</vt:i4>
      </vt:variant>
      <vt:variant>
        <vt:i4>0</vt:i4>
      </vt:variant>
      <vt:variant>
        <vt:i4>5</vt:i4>
      </vt:variant>
      <vt:variant>
        <vt:lpwstr/>
      </vt:variant>
      <vt:variant>
        <vt:lpwstr>_Toc132631665</vt:lpwstr>
      </vt:variant>
      <vt:variant>
        <vt:i4>1376310</vt:i4>
      </vt:variant>
      <vt:variant>
        <vt:i4>38</vt:i4>
      </vt:variant>
      <vt:variant>
        <vt:i4>0</vt:i4>
      </vt:variant>
      <vt:variant>
        <vt:i4>5</vt:i4>
      </vt:variant>
      <vt:variant>
        <vt:lpwstr/>
      </vt:variant>
      <vt:variant>
        <vt:lpwstr>_Toc132631664</vt:lpwstr>
      </vt:variant>
      <vt:variant>
        <vt:i4>1376310</vt:i4>
      </vt:variant>
      <vt:variant>
        <vt:i4>32</vt:i4>
      </vt:variant>
      <vt:variant>
        <vt:i4>0</vt:i4>
      </vt:variant>
      <vt:variant>
        <vt:i4>5</vt:i4>
      </vt:variant>
      <vt:variant>
        <vt:lpwstr/>
      </vt:variant>
      <vt:variant>
        <vt:lpwstr>_Toc132631663</vt:lpwstr>
      </vt:variant>
      <vt:variant>
        <vt:i4>1376310</vt:i4>
      </vt:variant>
      <vt:variant>
        <vt:i4>26</vt:i4>
      </vt:variant>
      <vt:variant>
        <vt:i4>0</vt:i4>
      </vt:variant>
      <vt:variant>
        <vt:i4>5</vt:i4>
      </vt:variant>
      <vt:variant>
        <vt:lpwstr/>
      </vt:variant>
      <vt:variant>
        <vt:lpwstr>_Toc132631662</vt:lpwstr>
      </vt:variant>
      <vt:variant>
        <vt:i4>1376310</vt:i4>
      </vt:variant>
      <vt:variant>
        <vt:i4>20</vt:i4>
      </vt:variant>
      <vt:variant>
        <vt:i4>0</vt:i4>
      </vt:variant>
      <vt:variant>
        <vt:i4>5</vt:i4>
      </vt:variant>
      <vt:variant>
        <vt:lpwstr/>
      </vt:variant>
      <vt:variant>
        <vt:lpwstr>_Toc132631661</vt:lpwstr>
      </vt:variant>
      <vt:variant>
        <vt:i4>1376310</vt:i4>
      </vt:variant>
      <vt:variant>
        <vt:i4>14</vt:i4>
      </vt:variant>
      <vt:variant>
        <vt:i4>0</vt:i4>
      </vt:variant>
      <vt:variant>
        <vt:i4>5</vt:i4>
      </vt:variant>
      <vt:variant>
        <vt:lpwstr/>
      </vt:variant>
      <vt:variant>
        <vt:lpwstr>_Toc132631660</vt:lpwstr>
      </vt:variant>
      <vt:variant>
        <vt:i4>1441846</vt:i4>
      </vt:variant>
      <vt:variant>
        <vt:i4>8</vt:i4>
      </vt:variant>
      <vt:variant>
        <vt:i4>0</vt:i4>
      </vt:variant>
      <vt:variant>
        <vt:i4>5</vt:i4>
      </vt:variant>
      <vt:variant>
        <vt:lpwstr/>
      </vt:variant>
      <vt:variant>
        <vt:lpwstr>_Toc132631659</vt:lpwstr>
      </vt:variant>
      <vt:variant>
        <vt:i4>1441846</vt:i4>
      </vt:variant>
      <vt:variant>
        <vt:i4>2</vt:i4>
      </vt:variant>
      <vt:variant>
        <vt:i4>0</vt:i4>
      </vt:variant>
      <vt:variant>
        <vt:i4>5</vt:i4>
      </vt:variant>
      <vt:variant>
        <vt:lpwstr/>
      </vt:variant>
      <vt:variant>
        <vt:lpwstr>_Toc132631658</vt:lpwstr>
      </vt:variant>
      <vt:variant>
        <vt:i4>2162756</vt:i4>
      </vt:variant>
      <vt:variant>
        <vt:i4>6</vt:i4>
      </vt:variant>
      <vt:variant>
        <vt:i4>0</vt:i4>
      </vt:variant>
      <vt:variant>
        <vt:i4>5</vt:i4>
      </vt:variant>
      <vt:variant>
        <vt:lpwstr>https://www.irs.gov/pub/int_practice_units/jto_p_09_06_05_19.pdf</vt:lpwstr>
      </vt:variant>
      <vt:variant>
        <vt:lpwstr/>
      </vt:variant>
      <vt:variant>
        <vt:i4>327707</vt:i4>
      </vt:variant>
      <vt:variant>
        <vt:i4>3</vt:i4>
      </vt:variant>
      <vt:variant>
        <vt:i4>0</vt:i4>
      </vt:variant>
      <vt:variant>
        <vt:i4>5</vt:i4>
      </vt:variant>
      <vt:variant>
        <vt:lpwstr>https://www.uniformlaws.org/viewdocument/enactment-kit-73?CommunityKey=52456941-7883-47a5-91b6-d2f086d0bb44&amp;tab=librarydocuments</vt:lpwstr>
      </vt:variant>
      <vt:variant>
        <vt:lpwstr/>
      </vt:variant>
      <vt:variant>
        <vt:i4>5898317</vt:i4>
      </vt:variant>
      <vt:variant>
        <vt:i4>0</vt:i4>
      </vt:variant>
      <vt:variant>
        <vt:i4>0</vt:i4>
      </vt:variant>
      <vt:variant>
        <vt:i4>5</vt:i4>
      </vt:variant>
      <vt:variant>
        <vt:lpwstr>https://www.mtc.gov/Uniformity/Project-Teams/Partnership-Tax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2023-08-30T15:14:00Z</dcterms:created>
  <dcterms:modified xsi:type="dcterms:W3CDTF">2023-09-05T17:43:00Z</dcterms:modified>
</cp:coreProperties>
</file>