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06E6" w14:textId="732DDE02" w:rsidR="00EC7B3F" w:rsidRPr="000166D4" w:rsidRDefault="000166D4" w:rsidP="000166D4">
      <w:pPr>
        <w:jc w:val="center"/>
        <w:rPr>
          <w:b/>
          <w:bCs/>
          <w:i/>
          <w:iCs/>
        </w:rPr>
      </w:pPr>
      <w:r w:rsidRPr="000166D4">
        <w:rPr>
          <w:b/>
          <w:bCs/>
          <w:noProof/>
          <w:sz w:val="32"/>
          <w:szCs w:val="28"/>
        </w:rPr>
        <w:drawing>
          <wp:anchor distT="0" distB="0" distL="114300" distR="114300" simplePos="0" relativeHeight="251661312" behindDoc="0" locked="0" layoutInCell="1" allowOverlap="1" wp14:anchorId="5FE3EEFB" wp14:editId="16450883">
            <wp:simplePos x="0" y="0"/>
            <wp:positionH relativeFrom="column">
              <wp:posOffset>-19050</wp:posOffset>
            </wp:positionH>
            <wp:positionV relativeFrom="paragraph">
              <wp:posOffset>0</wp:posOffset>
            </wp:positionV>
            <wp:extent cx="1383665" cy="698500"/>
            <wp:effectExtent l="0" t="0" r="6985" b="6350"/>
            <wp:wrapSquare wrapText="bothSides"/>
            <wp:docPr id="1650188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3665" cy="6985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40087772"/>
      <w:r w:rsidR="008103AE" w:rsidRPr="000166D4">
        <w:rPr>
          <w:b/>
          <w:bCs/>
          <w:sz w:val="32"/>
          <w:szCs w:val="28"/>
        </w:rPr>
        <w:t xml:space="preserve">White Paper </w:t>
      </w:r>
      <w:r w:rsidR="001878A6" w:rsidRPr="000166D4">
        <w:rPr>
          <w:b/>
          <w:bCs/>
          <w:sz w:val="32"/>
          <w:szCs w:val="28"/>
        </w:rPr>
        <w:t>on Guaranteed Payments for Services</w:t>
      </w:r>
      <w:r w:rsidR="008103AE" w:rsidRPr="000166D4">
        <w:rPr>
          <w:b/>
          <w:bCs/>
          <w:sz w:val="32"/>
          <w:szCs w:val="28"/>
        </w:rPr>
        <w:br/>
        <w:t>Proposed Findings and Recommendations</w:t>
      </w:r>
      <w:r w:rsidR="00494248" w:rsidRPr="000166D4">
        <w:rPr>
          <w:b/>
          <w:bCs/>
          <w:sz w:val="28"/>
          <w:szCs w:val="24"/>
        </w:rPr>
        <w:br/>
      </w:r>
      <w:bookmarkEnd w:id="0"/>
      <w:r w:rsidR="003711E6" w:rsidRPr="000166D4">
        <w:rPr>
          <w:b/>
          <w:bCs/>
          <w:i/>
          <w:iCs/>
        </w:rPr>
        <w:t>Summary for Discussion Only</w:t>
      </w:r>
    </w:p>
    <w:p w14:paraId="4395DFAA" w14:textId="03616EC2" w:rsidR="00494248" w:rsidRPr="000166D4" w:rsidRDefault="000166D4" w:rsidP="000166D4">
      <w:pPr>
        <w:spacing w:line="228" w:lineRule="auto"/>
        <w:rPr>
          <w:sz w:val="26"/>
        </w:rPr>
      </w:pPr>
      <w:r>
        <w:rPr>
          <w:sz w:val="26"/>
        </w:rPr>
        <w:t xml:space="preserve">The </w:t>
      </w:r>
      <w:r w:rsidRPr="000166D4">
        <w:rPr>
          <w:sz w:val="26"/>
        </w:rPr>
        <w:t xml:space="preserve">basis for these </w:t>
      </w:r>
      <w:r>
        <w:rPr>
          <w:sz w:val="26"/>
        </w:rPr>
        <w:t xml:space="preserve">proposed </w:t>
      </w:r>
      <w:r w:rsidRPr="000166D4">
        <w:rPr>
          <w:sz w:val="26"/>
        </w:rPr>
        <w:t xml:space="preserve">findings and recommendations is set out in detail in the draft white paper, </w:t>
      </w:r>
      <w:r w:rsidR="003A705C">
        <w:rPr>
          <w:sz w:val="26"/>
        </w:rPr>
        <w:t xml:space="preserve">available </w:t>
      </w:r>
      <w:r w:rsidRPr="000166D4">
        <w:rPr>
          <w:sz w:val="26"/>
        </w:rPr>
        <w:t xml:space="preserve">here: </w:t>
      </w:r>
      <w:hyperlink r:id="rId8" w:history="1">
        <w:r w:rsidRPr="000166D4">
          <w:rPr>
            <w:rStyle w:val="Hyperlink"/>
            <w:sz w:val="26"/>
          </w:rPr>
          <w:t>https://www.mtc.gov/wp-content/uploads/2023/04/White-Paper-on-Guaranteed-Payments-Corrected-Draft-4-19-23.pdf</w:t>
        </w:r>
      </w:hyperlink>
      <w:r w:rsidR="00403098">
        <w:rPr>
          <w:sz w:val="26"/>
        </w:rPr>
        <w:t xml:space="preserve">, and </w:t>
      </w:r>
      <w:r>
        <w:rPr>
          <w:sz w:val="26"/>
        </w:rPr>
        <w:t>are limited to sourcing of guaranteed payments to direct, individual partners. Payments to other partners or made through tiered or related partnerships raise other issues not addressed in the white paper.</w:t>
      </w:r>
      <w:r w:rsidR="004F55F0" w:rsidRPr="000166D4">
        <w:rPr>
          <w:sz w:val="26"/>
        </w:rPr>
        <w:t xml:space="preserve"> </w:t>
      </w:r>
    </w:p>
    <w:p w14:paraId="0DB80834" w14:textId="412BDDD7" w:rsidR="004F55F0" w:rsidRPr="000166D4" w:rsidRDefault="000166D4" w:rsidP="00403098">
      <w:pPr>
        <w:spacing w:line="228" w:lineRule="auto"/>
        <w:rPr>
          <w:sz w:val="26"/>
          <w:u w:val="single"/>
        </w:rPr>
      </w:pPr>
      <w:r>
        <w:rPr>
          <w:sz w:val="26"/>
          <w:u w:val="single"/>
        </w:rPr>
        <w:t xml:space="preserve">Proposed </w:t>
      </w:r>
      <w:r w:rsidR="004F55F0" w:rsidRPr="000166D4">
        <w:rPr>
          <w:sz w:val="26"/>
          <w:u w:val="single"/>
        </w:rPr>
        <w:t>Findings</w:t>
      </w:r>
    </w:p>
    <w:p w14:paraId="63825944" w14:textId="7291B996" w:rsidR="00F65571" w:rsidRDefault="003A705C" w:rsidP="00F65571">
      <w:pPr>
        <w:pStyle w:val="ListParagraph"/>
        <w:numPr>
          <w:ilvl w:val="0"/>
          <w:numId w:val="2"/>
        </w:numPr>
        <w:spacing w:after="120" w:line="228" w:lineRule="auto"/>
        <w:ind w:left="864" w:right="576"/>
        <w:contextualSpacing w:val="0"/>
        <w:rPr>
          <w:sz w:val="26"/>
        </w:rPr>
      </w:pPr>
      <w:r>
        <w:rPr>
          <w:sz w:val="26"/>
        </w:rPr>
        <w:t xml:space="preserve">Under federal tax law or guidance: </w:t>
      </w:r>
    </w:p>
    <w:p w14:paraId="7A876B4D" w14:textId="2295AFB4" w:rsidR="003A705C" w:rsidRPr="00F65571" w:rsidRDefault="003A705C" w:rsidP="00F65571">
      <w:pPr>
        <w:pStyle w:val="ListParagraph"/>
        <w:numPr>
          <w:ilvl w:val="1"/>
          <w:numId w:val="2"/>
        </w:numPr>
        <w:spacing w:after="120" w:line="228" w:lineRule="auto"/>
        <w:ind w:right="576"/>
        <w:contextualSpacing w:val="0"/>
        <w:rPr>
          <w:sz w:val="26"/>
        </w:rPr>
      </w:pPr>
      <w:r w:rsidRPr="00F65571">
        <w:rPr>
          <w:sz w:val="26"/>
        </w:rPr>
        <w:t>G</w:t>
      </w:r>
      <w:r w:rsidR="003711E6" w:rsidRPr="00F65571">
        <w:rPr>
          <w:sz w:val="26"/>
        </w:rPr>
        <w:t xml:space="preserve">uaranteed payments </w:t>
      </w:r>
      <w:r w:rsidRPr="00F65571">
        <w:rPr>
          <w:sz w:val="26"/>
        </w:rPr>
        <w:t xml:space="preserve">are distinguished </w:t>
      </w:r>
      <w:r w:rsidR="00284E79" w:rsidRPr="00F65571">
        <w:rPr>
          <w:sz w:val="26"/>
        </w:rPr>
        <w:t>from regular distributive share</w:t>
      </w:r>
      <w:r w:rsidRPr="00F65571">
        <w:rPr>
          <w:sz w:val="26"/>
        </w:rPr>
        <w:t>;</w:t>
      </w:r>
    </w:p>
    <w:p w14:paraId="42C74AEA" w14:textId="230F6977" w:rsidR="00F65571" w:rsidRDefault="00F65571" w:rsidP="00F65571">
      <w:pPr>
        <w:pStyle w:val="ListParagraph"/>
        <w:numPr>
          <w:ilvl w:val="1"/>
          <w:numId w:val="2"/>
        </w:numPr>
        <w:spacing w:after="120" w:line="228" w:lineRule="auto"/>
        <w:ind w:right="576"/>
        <w:contextualSpacing w:val="0"/>
        <w:rPr>
          <w:sz w:val="26"/>
        </w:rPr>
      </w:pPr>
      <w:r>
        <w:rPr>
          <w:sz w:val="26"/>
        </w:rPr>
        <w:t>P</w:t>
      </w:r>
      <w:r w:rsidR="003A705C">
        <w:rPr>
          <w:sz w:val="26"/>
        </w:rPr>
        <w:t xml:space="preserve">ayments for services are distinguished from payments for capital; </w:t>
      </w:r>
    </w:p>
    <w:p w14:paraId="3A8B96A0" w14:textId="038331D3" w:rsidR="003711E6" w:rsidRPr="00F65571" w:rsidRDefault="00F65571" w:rsidP="00F65571">
      <w:pPr>
        <w:pStyle w:val="ListParagraph"/>
        <w:numPr>
          <w:ilvl w:val="1"/>
          <w:numId w:val="2"/>
        </w:numPr>
        <w:spacing w:line="228" w:lineRule="auto"/>
        <w:ind w:right="576"/>
        <w:contextualSpacing w:val="0"/>
        <w:rPr>
          <w:sz w:val="26"/>
        </w:rPr>
      </w:pPr>
      <w:r>
        <w:rPr>
          <w:sz w:val="26"/>
        </w:rPr>
        <w:t>P</w:t>
      </w:r>
      <w:r w:rsidR="004F55F0" w:rsidRPr="00F65571">
        <w:rPr>
          <w:sz w:val="26"/>
        </w:rPr>
        <w:t xml:space="preserve">ayments for services performed in a foreign </w:t>
      </w:r>
      <w:r w:rsidR="003711E6" w:rsidRPr="00F65571">
        <w:rPr>
          <w:sz w:val="26"/>
        </w:rPr>
        <w:t xml:space="preserve">jurisdiction </w:t>
      </w:r>
      <w:r w:rsidR="005974D2" w:rsidRPr="00F65571">
        <w:rPr>
          <w:sz w:val="26"/>
        </w:rPr>
        <w:t>are sourced to that jurisdiction, with some limitations</w:t>
      </w:r>
      <w:r w:rsidR="004F55F0" w:rsidRPr="00F65571">
        <w:rPr>
          <w:sz w:val="26"/>
        </w:rPr>
        <w:t xml:space="preserve">. </w:t>
      </w:r>
    </w:p>
    <w:p w14:paraId="342ED14C" w14:textId="10533481" w:rsidR="005974D2" w:rsidRPr="000166D4" w:rsidRDefault="005974D2" w:rsidP="00420336">
      <w:pPr>
        <w:pStyle w:val="ListParagraph"/>
        <w:numPr>
          <w:ilvl w:val="0"/>
          <w:numId w:val="2"/>
        </w:numPr>
        <w:spacing w:line="228" w:lineRule="auto"/>
        <w:ind w:left="864" w:right="576"/>
        <w:contextualSpacing w:val="0"/>
        <w:rPr>
          <w:sz w:val="26"/>
        </w:rPr>
      </w:pPr>
      <w:r w:rsidRPr="000166D4">
        <w:rPr>
          <w:sz w:val="26"/>
        </w:rPr>
        <w:t xml:space="preserve">Under federal </w:t>
      </w:r>
      <w:r w:rsidR="00F65571">
        <w:rPr>
          <w:sz w:val="26"/>
        </w:rPr>
        <w:t xml:space="preserve">pension </w:t>
      </w:r>
      <w:r w:rsidRPr="000166D4">
        <w:rPr>
          <w:sz w:val="26"/>
        </w:rPr>
        <w:t xml:space="preserve">law, </w:t>
      </w:r>
      <w:r w:rsidR="00F65571">
        <w:rPr>
          <w:sz w:val="26"/>
        </w:rPr>
        <w:t xml:space="preserve">certain </w:t>
      </w:r>
      <w:r w:rsidRPr="000166D4">
        <w:rPr>
          <w:sz w:val="26"/>
        </w:rPr>
        <w:t xml:space="preserve">guaranteed payments </w:t>
      </w:r>
      <w:r w:rsidR="00F65571">
        <w:rPr>
          <w:sz w:val="26"/>
        </w:rPr>
        <w:t xml:space="preserve">to </w:t>
      </w:r>
      <w:r w:rsidRPr="000166D4">
        <w:rPr>
          <w:sz w:val="26"/>
        </w:rPr>
        <w:t xml:space="preserve">retired partners </w:t>
      </w:r>
      <w:r w:rsidR="00F65571">
        <w:rPr>
          <w:sz w:val="26"/>
        </w:rPr>
        <w:t>can only be sourced by their state or residence</w:t>
      </w:r>
      <w:r w:rsidRPr="000166D4">
        <w:rPr>
          <w:sz w:val="26"/>
        </w:rPr>
        <w:t>.</w:t>
      </w:r>
    </w:p>
    <w:p w14:paraId="494BC62A" w14:textId="6311E4EB" w:rsidR="008103AE" w:rsidRPr="000166D4" w:rsidRDefault="008103AE" w:rsidP="003A705C">
      <w:pPr>
        <w:pStyle w:val="ListParagraph"/>
        <w:numPr>
          <w:ilvl w:val="0"/>
          <w:numId w:val="2"/>
        </w:numPr>
        <w:spacing w:line="228" w:lineRule="auto"/>
        <w:ind w:left="864" w:right="576"/>
        <w:contextualSpacing w:val="0"/>
        <w:rPr>
          <w:sz w:val="26"/>
        </w:rPr>
      </w:pPr>
      <w:r w:rsidRPr="000166D4">
        <w:rPr>
          <w:sz w:val="26"/>
        </w:rPr>
        <w:t>About half of the states have specifically addressed sourcing of guaranteed payments in their official guidance</w:t>
      </w:r>
      <w:r w:rsidR="003711E6" w:rsidRPr="000166D4">
        <w:rPr>
          <w:sz w:val="26"/>
        </w:rPr>
        <w:t>, including statutes</w:t>
      </w:r>
      <w:r w:rsidR="0021302C" w:rsidRPr="000166D4">
        <w:rPr>
          <w:sz w:val="26"/>
        </w:rPr>
        <w:t>,</w:t>
      </w:r>
      <w:r w:rsidR="003711E6" w:rsidRPr="000166D4">
        <w:rPr>
          <w:sz w:val="26"/>
        </w:rPr>
        <w:t xml:space="preserve"> regulations, or case law</w:t>
      </w:r>
      <w:r w:rsidRPr="000166D4">
        <w:rPr>
          <w:sz w:val="26"/>
        </w:rPr>
        <w:t>.</w:t>
      </w:r>
      <w:r w:rsidR="004F55F0" w:rsidRPr="000166D4">
        <w:rPr>
          <w:sz w:val="26"/>
        </w:rPr>
        <w:t xml:space="preserve"> </w:t>
      </w:r>
    </w:p>
    <w:p w14:paraId="76EF98BE" w14:textId="40880415" w:rsidR="008103AE" w:rsidRPr="000166D4" w:rsidRDefault="008103AE" w:rsidP="003A705C">
      <w:pPr>
        <w:pStyle w:val="ListParagraph"/>
        <w:numPr>
          <w:ilvl w:val="0"/>
          <w:numId w:val="2"/>
        </w:numPr>
        <w:spacing w:line="228" w:lineRule="auto"/>
        <w:ind w:left="864" w:right="576"/>
        <w:contextualSpacing w:val="0"/>
        <w:rPr>
          <w:sz w:val="26"/>
        </w:rPr>
      </w:pPr>
      <w:r w:rsidRPr="000166D4">
        <w:rPr>
          <w:sz w:val="26"/>
        </w:rPr>
        <w:t>The majority of those states source guaranteed payments as distributive share</w:t>
      </w:r>
      <w:r w:rsidR="004F55F0" w:rsidRPr="000166D4">
        <w:rPr>
          <w:sz w:val="26"/>
        </w:rPr>
        <w:t xml:space="preserve"> in all cases</w:t>
      </w:r>
      <w:r w:rsidRPr="000166D4">
        <w:rPr>
          <w:sz w:val="26"/>
        </w:rPr>
        <w:t>.</w:t>
      </w:r>
    </w:p>
    <w:p w14:paraId="11ECC01B" w14:textId="52D957BC" w:rsidR="00276D59" w:rsidRPr="000166D4" w:rsidRDefault="00276D59" w:rsidP="003A705C">
      <w:pPr>
        <w:pStyle w:val="ListParagraph"/>
        <w:numPr>
          <w:ilvl w:val="0"/>
          <w:numId w:val="2"/>
        </w:numPr>
        <w:spacing w:line="228" w:lineRule="auto"/>
        <w:ind w:left="864" w:right="576"/>
        <w:contextualSpacing w:val="0"/>
        <w:rPr>
          <w:sz w:val="26"/>
        </w:rPr>
      </w:pPr>
      <w:r w:rsidRPr="000166D4">
        <w:rPr>
          <w:sz w:val="26"/>
        </w:rPr>
        <w:t xml:space="preserve">A minority of states source </w:t>
      </w:r>
      <w:r w:rsidR="004F55F0" w:rsidRPr="000166D4">
        <w:rPr>
          <w:sz w:val="26"/>
        </w:rPr>
        <w:t xml:space="preserve">at least some </w:t>
      </w:r>
      <w:r w:rsidRPr="000166D4">
        <w:rPr>
          <w:sz w:val="26"/>
        </w:rPr>
        <w:t xml:space="preserve">guaranteed payments </w:t>
      </w:r>
      <w:r w:rsidR="004F55F0" w:rsidRPr="000166D4">
        <w:rPr>
          <w:sz w:val="26"/>
        </w:rPr>
        <w:t xml:space="preserve">for services </w:t>
      </w:r>
      <w:r w:rsidRPr="000166D4">
        <w:rPr>
          <w:sz w:val="26"/>
        </w:rPr>
        <w:t>as compensation</w:t>
      </w:r>
      <w:r w:rsidR="00F65571">
        <w:rPr>
          <w:sz w:val="26"/>
        </w:rPr>
        <w:t>, with certain limitations.</w:t>
      </w:r>
    </w:p>
    <w:p w14:paraId="23C75B79" w14:textId="77777777" w:rsidR="00F65571" w:rsidRDefault="00403098" w:rsidP="00F65571">
      <w:pPr>
        <w:pStyle w:val="ListParagraph"/>
        <w:numPr>
          <w:ilvl w:val="0"/>
          <w:numId w:val="2"/>
        </w:numPr>
        <w:spacing w:line="228" w:lineRule="auto"/>
        <w:ind w:left="864" w:right="576"/>
        <w:contextualSpacing w:val="0"/>
        <w:rPr>
          <w:sz w:val="26"/>
        </w:rPr>
      </w:pPr>
      <w:r w:rsidRPr="000166D4">
        <w:rPr>
          <w:sz w:val="26"/>
        </w:rPr>
        <w:t>Some states that provide PTE tax elections also include guaranteed payments in the PTE tax base and source them as distributive share.</w:t>
      </w:r>
    </w:p>
    <w:p w14:paraId="328D7F11" w14:textId="76AB46C8" w:rsidR="005974D2" w:rsidRPr="00F65571" w:rsidRDefault="005974D2" w:rsidP="00F65571">
      <w:pPr>
        <w:pStyle w:val="ListParagraph"/>
        <w:numPr>
          <w:ilvl w:val="0"/>
          <w:numId w:val="2"/>
        </w:numPr>
        <w:spacing w:after="120" w:line="228" w:lineRule="auto"/>
        <w:ind w:left="864" w:right="576"/>
        <w:contextualSpacing w:val="0"/>
        <w:rPr>
          <w:sz w:val="26"/>
        </w:rPr>
      </w:pPr>
      <w:r w:rsidRPr="00F65571">
        <w:rPr>
          <w:sz w:val="26"/>
        </w:rPr>
        <w:t>Sourcing guaranteed payments for services as compensation requires distinguishing:</w:t>
      </w:r>
    </w:p>
    <w:p w14:paraId="79507DD9" w14:textId="77777777" w:rsidR="005974D2" w:rsidRPr="00625EE5" w:rsidRDefault="005974D2" w:rsidP="003A705C">
      <w:pPr>
        <w:pStyle w:val="ListParagraph"/>
        <w:numPr>
          <w:ilvl w:val="1"/>
          <w:numId w:val="2"/>
        </w:numPr>
        <w:spacing w:after="80" w:line="228" w:lineRule="auto"/>
        <w:ind w:left="1368" w:right="576"/>
        <w:contextualSpacing w:val="0"/>
        <w:rPr>
          <w:sz w:val="26"/>
        </w:rPr>
      </w:pPr>
      <w:r w:rsidRPr="00625EE5">
        <w:rPr>
          <w:sz w:val="26"/>
        </w:rPr>
        <w:t>Guaranteed payments from special allocations (distributive share)</w:t>
      </w:r>
    </w:p>
    <w:p w14:paraId="6FB2D1BB" w14:textId="77777777" w:rsidR="003A705C" w:rsidRDefault="005974D2" w:rsidP="003A705C">
      <w:pPr>
        <w:pStyle w:val="ListParagraph"/>
        <w:numPr>
          <w:ilvl w:val="1"/>
          <w:numId w:val="2"/>
        </w:numPr>
        <w:spacing w:after="80" w:line="228" w:lineRule="auto"/>
        <w:ind w:left="1368" w:right="576"/>
        <w:contextualSpacing w:val="0"/>
        <w:rPr>
          <w:sz w:val="26"/>
        </w:rPr>
      </w:pPr>
      <w:r w:rsidRPr="00625EE5">
        <w:rPr>
          <w:sz w:val="26"/>
        </w:rPr>
        <w:t xml:space="preserve">Guaranteed payments for services from guaranteed payments for capital </w:t>
      </w:r>
    </w:p>
    <w:p w14:paraId="69742C5D" w14:textId="42F5EDDB" w:rsidR="003A705C" w:rsidRPr="003A705C" w:rsidRDefault="005974D2" w:rsidP="003A705C">
      <w:pPr>
        <w:pStyle w:val="ListParagraph"/>
        <w:numPr>
          <w:ilvl w:val="1"/>
          <w:numId w:val="2"/>
        </w:numPr>
        <w:spacing w:after="80" w:line="228" w:lineRule="auto"/>
        <w:ind w:left="1368" w:right="576"/>
        <w:contextualSpacing w:val="0"/>
        <w:rPr>
          <w:sz w:val="26"/>
        </w:rPr>
      </w:pPr>
      <w:r w:rsidRPr="003A705C">
        <w:rPr>
          <w:sz w:val="26"/>
        </w:rPr>
        <w:t xml:space="preserve">Guaranteed payments from payments to partners not acting as partners </w:t>
      </w:r>
    </w:p>
    <w:p w14:paraId="52AF3A56" w14:textId="72A2C533" w:rsidR="005974D2" w:rsidRPr="003A705C" w:rsidRDefault="005974D2" w:rsidP="003A705C">
      <w:pPr>
        <w:pStyle w:val="ListParagraph"/>
        <w:spacing w:before="120" w:line="228" w:lineRule="auto"/>
        <w:ind w:left="864" w:right="576"/>
        <w:contextualSpacing w:val="0"/>
        <w:rPr>
          <w:sz w:val="26"/>
        </w:rPr>
      </w:pPr>
      <w:r w:rsidRPr="00625EE5">
        <w:rPr>
          <w:sz w:val="26"/>
        </w:rPr>
        <w:t xml:space="preserve">Federal guidance needed </w:t>
      </w:r>
      <w:r w:rsidRPr="003A705C">
        <w:rPr>
          <w:sz w:val="26"/>
        </w:rPr>
        <w:t>to make these</w:t>
      </w:r>
      <w:r w:rsidRPr="00625EE5">
        <w:rPr>
          <w:sz w:val="26"/>
        </w:rPr>
        <w:t xml:space="preserve"> distinctions is underdeveloped and difficult to apply in practice. </w:t>
      </w:r>
    </w:p>
    <w:p w14:paraId="204021C2" w14:textId="0CAE6E67" w:rsidR="005974D2" w:rsidRPr="000166D4" w:rsidRDefault="005974D2" w:rsidP="003A705C">
      <w:pPr>
        <w:pStyle w:val="ListParagraph"/>
        <w:numPr>
          <w:ilvl w:val="0"/>
          <w:numId w:val="2"/>
        </w:numPr>
        <w:spacing w:line="228" w:lineRule="auto"/>
        <w:ind w:left="864" w:right="576"/>
        <w:contextualSpacing w:val="0"/>
        <w:rPr>
          <w:sz w:val="26"/>
        </w:rPr>
      </w:pPr>
      <w:r w:rsidRPr="00625EE5">
        <w:rPr>
          <w:sz w:val="26"/>
        </w:rPr>
        <w:t xml:space="preserve">Sourcing guaranteed payments as compensation may add administrative complexity to partnership-level reporting and withholding. </w:t>
      </w:r>
    </w:p>
    <w:p w14:paraId="3CB22FD6" w14:textId="0CF8BEF0" w:rsidR="00276D59" w:rsidRPr="000166D4" w:rsidRDefault="008103AE" w:rsidP="003A705C">
      <w:pPr>
        <w:pStyle w:val="ListParagraph"/>
        <w:numPr>
          <w:ilvl w:val="0"/>
          <w:numId w:val="2"/>
        </w:numPr>
        <w:spacing w:line="228" w:lineRule="auto"/>
        <w:ind w:left="864" w:right="576"/>
        <w:contextualSpacing w:val="0"/>
        <w:rPr>
          <w:sz w:val="26"/>
        </w:rPr>
      </w:pPr>
      <w:r w:rsidRPr="000166D4">
        <w:rPr>
          <w:sz w:val="26"/>
        </w:rPr>
        <w:lastRenderedPageBreak/>
        <w:t xml:space="preserve">Disparate sourcing of guaranteed payments may </w:t>
      </w:r>
      <w:r w:rsidR="003A705C">
        <w:rPr>
          <w:sz w:val="26"/>
        </w:rPr>
        <w:t>result in multiple taxation</w:t>
      </w:r>
      <w:r w:rsidR="00276D59" w:rsidRPr="000166D4">
        <w:rPr>
          <w:sz w:val="26"/>
        </w:rPr>
        <w:t>, however neither the states nor taxpayer</w:t>
      </w:r>
      <w:r w:rsidR="009F1FC6" w:rsidRPr="000166D4">
        <w:rPr>
          <w:sz w:val="26"/>
        </w:rPr>
        <w:t>s</w:t>
      </w:r>
      <w:r w:rsidR="00276D59" w:rsidRPr="000166D4">
        <w:rPr>
          <w:sz w:val="26"/>
        </w:rPr>
        <w:t xml:space="preserve"> or practitioner groups have indicated that disparate sourcing of guaranteed payments causes significant problems. </w:t>
      </w:r>
    </w:p>
    <w:p w14:paraId="42795C1F" w14:textId="1AE2C709" w:rsidR="004F55F0" w:rsidRPr="000166D4" w:rsidRDefault="00276D59" w:rsidP="003A705C">
      <w:pPr>
        <w:pStyle w:val="ListParagraph"/>
        <w:numPr>
          <w:ilvl w:val="0"/>
          <w:numId w:val="2"/>
        </w:numPr>
        <w:spacing w:line="228" w:lineRule="auto"/>
        <w:ind w:left="864" w:right="576"/>
        <w:contextualSpacing w:val="0"/>
        <w:rPr>
          <w:sz w:val="26"/>
        </w:rPr>
      </w:pPr>
      <w:r w:rsidRPr="000166D4">
        <w:rPr>
          <w:sz w:val="26"/>
        </w:rPr>
        <w:t xml:space="preserve">Because guaranteed payments are simply a matter of agreement between partners, applying a different sourcing method than that used for distributive share might result in </w:t>
      </w:r>
      <w:r w:rsidR="000166D4" w:rsidRPr="000166D4">
        <w:rPr>
          <w:sz w:val="26"/>
        </w:rPr>
        <w:t xml:space="preserve">“elective” sourcing, or </w:t>
      </w:r>
      <w:r w:rsidRPr="000166D4">
        <w:rPr>
          <w:sz w:val="26"/>
        </w:rPr>
        <w:t xml:space="preserve">income shifting.  </w:t>
      </w:r>
    </w:p>
    <w:p w14:paraId="6B9FA0DC" w14:textId="3878CB66" w:rsidR="004F55F0" w:rsidRPr="000166D4" w:rsidRDefault="000166D4" w:rsidP="00403098">
      <w:pPr>
        <w:spacing w:line="228" w:lineRule="auto"/>
        <w:rPr>
          <w:sz w:val="26"/>
          <w:u w:val="single"/>
        </w:rPr>
      </w:pPr>
      <w:r>
        <w:rPr>
          <w:sz w:val="26"/>
          <w:u w:val="single"/>
        </w:rPr>
        <w:t xml:space="preserve">Proposed </w:t>
      </w:r>
      <w:r w:rsidR="004F55F0" w:rsidRPr="000166D4">
        <w:rPr>
          <w:sz w:val="26"/>
          <w:u w:val="single"/>
        </w:rPr>
        <w:t>Recommendations</w:t>
      </w:r>
    </w:p>
    <w:p w14:paraId="4753FD77" w14:textId="77777777" w:rsidR="00F8401F" w:rsidRPr="000166D4" w:rsidRDefault="00276D59" w:rsidP="00403098">
      <w:pPr>
        <w:spacing w:line="228" w:lineRule="auto"/>
        <w:rPr>
          <w:sz w:val="26"/>
        </w:rPr>
      </w:pPr>
      <w:r w:rsidRPr="000166D4">
        <w:rPr>
          <w:sz w:val="26"/>
        </w:rPr>
        <w:t xml:space="preserve">This white paper does not recommend a uniform method of sourcing guaranteed payments but does recommend </w:t>
      </w:r>
      <w:r w:rsidR="00F8401F" w:rsidRPr="000166D4">
        <w:rPr>
          <w:sz w:val="26"/>
        </w:rPr>
        <w:t>the following:</w:t>
      </w:r>
    </w:p>
    <w:p w14:paraId="171C7067" w14:textId="77777777" w:rsidR="00403098" w:rsidRDefault="004F55F0" w:rsidP="003A705C">
      <w:pPr>
        <w:pStyle w:val="ListParagraph"/>
        <w:numPr>
          <w:ilvl w:val="0"/>
          <w:numId w:val="8"/>
        </w:numPr>
        <w:spacing w:line="228" w:lineRule="auto"/>
        <w:ind w:left="936" w:right="576"/>
        <w:contextualSpacing w:val="0"/>
        <w:rPr>
          <w:sz w:val="26"/>
        </w:rPr>
      </w:pPr>
      <w:r w:rsidRPr="000166D4">
        <w:rPr>
          <w:sz w:val="26"/>
        </w:rPr>
        <w:t xml:space="preserve">States </w:t>
      </w:r>
      <w:r w:rsidRPr="000166D4">
        <w:rPr>
          <w:sz w:val="26"/>
        </w:rPr>
        <w:t xml:space="preserve">should explicitly address </w:t>
      </w:r>
      <w:r w:rsidRPr="000166D4">
        <w:rPr>
          <w:sz w:val="26"/>
        </w:rPr>
        <w:t>the</w:t>
      </w:r>
      <w:r w:rsidRPr="000166D4">
        <w:rPr>
          <w:sz w:val="26"/>
        </w:rPr>
        <w:t xml:space="preserve"> sourcing </w:t>
      </w:r>
      <w:r w:rsidRPr="000166D4">
        <w:rPr>
          <w:sz w:val="26"/>
        </w:rPr>
        <w:t xml:space="preserve">of guaranteed payments </w:t>
      </w:r>
      <w:r w:rsidRPr="000166D4">
        <w:rPr>
          <w:sz w:val="26"/>
        </w:rPr>
        <w:t>in order to avoid uncertainty</w:t>
      </w:r>
      <w:r w:rsidR="00403098">
        <w:rPr>
          <w:sz w:val="26"/>
        </w:rPr>
        <w:t xml:space="preserve">. </w:t>
      </w:r>
    </w:p>
    <w:p w14:paraId="7787ABD9" w14:textId="77777777" w:rsidR="00403098" w:rsidRPr="000166D4" w:rsidRDefault="00403098" w:rsidP="003A705C">
      <w:pPr>
        <w:pStyle w:val="ListParagraph"/>
        <w:numPr>
          <w:ilvl w:val="0"/>
          <w:numId w:val="8"/>
        </w:numPr>
        <w:spacing w:line="228" w:lineRule="auto"/>
        <w:ind w:left="936" w:right="576"/>
        <w:contextualSpacing w:val="0"/>
        <w:rPr>
          <w:sz w:val="26"/>
        </w:rPr>
      </w:pPr>
      <w:r w:rsidRPr="000166D4">
        <w:rPr>
          <w:sz w:val="26"/>
        </w:rPr>
        <w:t xml:space="preserve">States should source guaranteed payments the same for individual taxation and for pass-through entity taxation. </w:t>
      </w:r>
    </w:p>
    <w:p w14:paraId="31FA2343" w14:textId="3899ABF4" w:rsidR="00403098" w:rsidRDefault="00403098" w:rsidP="003A705C">
      <w:pPr>
        <w:pStyle w:val="ListParagraph"/>
        <w:numPr>
          <w:ilvl w:val="0"/>
          <w:numId w:val="8"/>
        </w:numPr>
        <w:spacing w:line="228" w:lineRule="auto"/>
        <w:ind w:left="936" w:right="576"/>
        <w:contextualSpacing w:val="0"/>
        <w:rPr>
          <w:sz w:val="26"/>
        </w:rPr>
      </w:pPr>
      <w:r>
        <w:rPr>
          <w:sz w:val="26"/>
        </w:rPr>
        <w:t xml:space="preserve">States that provide guaranteed payments should be sourced as distributive share should </w:t>
      </w:r>
      <w:r w:rsidR="007065EC">
        <w:rPr>
          <w:sz w:val="26"/>
        </w:rPr>
        <w:t>also</w:t>
      </w:r>
      <w:r>
        <w:rPr>
          <w:sz w:val="26"/>
        </w:rPr>
        <w:t xml:space="preserve">: </w:t>
      </w:r>
    </w:p>
    <w:p w14:paraId="75FE1545" w14:textId="4C323C44" w:rsidR="00403098" w:rsidRPr="00403098" w:rsidRDefault="007065EC" w:rsidP="003A705C">
      <w:pPr>
        <w:pStyle w:val="ListParagraph"/>
        <w:numPr>
          <w:ilvl w:val="1"/>
          <w:numId w:val="9"/>
        </w:numPr>
        <w:spacing w:after="80" w:line="228" w:lineRule="auto"/>
        <w:ind w:left="1368" w:right="576"/>
        <w:contextualSpacing w:val="0"/>
        <w:rPr>
          <w:sz w:val="26"/>
        </w:rPr>
      </w:pPr>
      <w:r>
        <w:rPr>
          <w:sz w:val="26"/>
        </w:rPr>
        <w:t>Address w</w:t>
      </w:r>
      <w:r w:rsidR="00403098" w:rsidRPr="00403098">
        <w:rPr>
          <w:sz w:val="26"/>
        </w:rPr>
        <w:t xml:space="preserve">hether this applies to individuals working in foreign jurisdictions </w:t>
      </w:r>
      <w:r>
        <w:rPr>
          <w:sz w:val="26"/>
        </w:rPr>
        <w:t>who may</w:t>
      </w:r>
      <w:r w:rsidR="00403098" w:rsidRPr="00403098">
        <w:rPr>
          <w:sz w:val="26"/>
        </w:rPr>
        <w:t xml:space="preserve"> source the payments as compensation for federal purposes.</w:t>
      </w:r>
    </w:p>
    <w:p w14:paraId="3312AE3C" w14:textId="06B46A9C" w:rsidR="004F55F0" w:rsidRPr="000166D4" w:rsidRDefault="007065EC" w:rsidP="003A705C">
      <w:pPr>
        <w:pStyle w:val="ListParagraph"/>
        <w:numPr>
          <w:ilvl w:val="1"/>
          <w:numId w:val="9"/>
        </w:numPr>
        <w:spacing w:line="228" w:lineRule="auto"/>
        <w:ind w:left="1368" w:right="576"/>
        <w:contextualSpacing w:val="0"/>
        <w:rPr>
          <w:sz w:val="26"/>
        </w:rPr>
      </w:pPr>
      <w:r>
        <w:rPr>
          <w:sz w:val="26"/>
        </w:rPr>
        <w:t>Specify that this</w:t>
      </w:r>
      <w:r w:rsidR="00403098">
        <w:rPr>
          <w:sz w:val="26"/>
        </w:rPr>
        <w:t xml:space="preserve"> sourcing treatment does not apply to payments made to retired partners</w:t>
      </w:r>
      <w:r>
        <w:rPr>
          <w:sz w:val="26"/>
        </w:rPr>
        <w:t>,</w:t>
      </w:r>
      <w:r w:rsidR="00403098">
        <w:rPr>
          <w:sz w:val="26"/>
        </w:rPr>
        <w:t xml:space="preserve"> which are required to be sourced to residence. </w:t>
      </w:r>
    </w:p>
    <w:p w14:paraId="292EBB7C" w14:textId="03B3711A" w:rsidR="00FB476A" w:rsidRPr="000166D4" w:rsidRDefault="00BF40DD" w:rsidP="003A705C">
      <w:pPr>
        <w:pStyle w:val="ListParagraph"/>
        <w:numPr>
          <w:ilvl w:val="0"/>
          <w:numId w:val="8"/>
        </w:numPr>
        <w:spacing w:line="228" w:lineRule="auto"/>
        <w:ind w:left="936" w:right="576"/>
        <w:contextualSpacing w:val="0"/>
        <w:rPr>
          <w:sz w:val="26"/>
        </w:rPr>
      </w:pPr>
      <w:r w:rsidRPr="000166D4">
        <w:rPr>
          <w:sz w:val="26"/>
        </w:rPr>
        <w:t>S</w:t>
      </w:r>
      <w:r w:rsidR="00FB476A" w:rsidRPr="000166D4">
        <w:rPr>
          <w:sz w:val="26"/>
        </w:rPr>
        <w:t xml:space="preserve">tates that </w:t>
      </w:r>
      <w:r w:rsidR="00276D59" w:rsidRPr="000166D4">
        <w:rPr>
          <w:sz w:val="26"/>
        </w:rPr>
        <w:t xml:space="preserve">source the payments as compensation </w:t>
      </w:r>
      <w:r w:rsidR="001878A6" w:rsidRPr="000166D4">
        <w:rPr>
          <w:sz w:val="26"/>
        </w:rPr>
        <w:t xml:space="preserve">should </w:t>
      </w:r>
      <w:r w:rsidR="00276D59" w:rsidRPr="000166D4">
        <w:rPr>
          <w:sz w:val="26"/>
        </w:rPr>
        <w:t>impose appropriate limits</w:t>
      </w:r>
      <w:r w:rsidR="004F55F0" w:rsidRPr="000166D4">
        <w:rPr>
          <w:sz w:val="26"/>
        </w:rPr>
        <w:t xml:space="preserve"> to ensure that the payments are similar to compensation for services performed and to avoid income shifting.</w:t>
      </w:r>
      <w:r w:rsidR="00625EE5" w:rsidRPr="000166D4">
        <w:rPr>
          <w:sz w:val="26"/>
        </w:rPr>
        <w:t xml:space="preserve"> This also means distinguishing guaranteed payments for services from guaranteed payments for capital. </w:t>
      </w:r>
    </w:p>
    <w:p w14:paraId="3BD32B4D" w14:textId="3894A957" w:rsidR="00276D59" w:rsidRDefault="00DD2261" w:rsidP="003A705C">
      <w:pPr>
        <w:pStyle w:val="ListParagraph"/>
        <w:numPr>
          <w:ilvl w:val="0"/>
          <w:numId w:val="8"/>
        </w:numPr>
        <w:spacing w:after="120" w:line="228" w:lineRule="auto"/>
        <w:ind w:left="936" w:right="576"/>
        <w:contextualSpacing w:val="0"/>
        <w:rPr>
          <w:sz w:val="26"/>
        </w:rPr>
      </w:pPr>
      <w:r w:rsidRPr="000166D4">
        <w:rPr>
          <w:sz w:val="26"/>
        </w:rPr>
        <w:t>To mitigate the possibility of multiple taxation,</w:t>
      </w:r>
      <w:r w:rsidR="00276D59" w:rsidRPr="000166D4">
        <w:rPr>
          <w:sz w:val="26"/>
        </w:rPr>
        <w:t xml:space="preserve"> </w:t>
      </w:r>
      <w:r w:rsidR="00731C5B" w:rsidRPr="000166D4">
        <w:rPr>
          <w:sz w:val="26"/>
        </w:rPr>
        <w:t xml:space="preserve">that states </w:t>
      </w:r>
      <w:r w:rsidR="001878A6" w:rsidRPr="000166D4">
        <w:rPr>
          <w:sz w:val="26"/>
        </w:rPr>
        <w:t xml:space="preserve">should </w:t>
      </w:r>
      <w:r w:rsidR="00731C5B" w:rsidRPr="000166D4">
        <w:rPr>
          <w:sz w:val="26"/>
        </w:rPr>
        <w:t xml:space="preserve">consider provisions that might grant additional credits to residents who can show that they </w:t>
      </w:r>
      <w:r w:rsidRPr="000166D4">
        <w:rPr>
          <w:sz w:val="26"/>
        </w:rPr>
        <w:t>paid tax</w:t>
      </w:r>
      <w:r w:rsidR="00731C5B" w:rsidRPr="000166D4">
        <w:rPr>
          <w:sz w:val="26"/>
        </w:rPr>
        <w:t xml:space="preserve"> on more than 100% of their guaranteed payments. </w:t>
      </w:r>
    </w:p>
    <w:sectPr w:rsidR="00276D59" w:rsidSect="003A705C">
      <w:footerReference w:type="default" r:id="rId9"/>
      <w:pgSz w:w="12240" w:h="15840"/>
      <w:pgMar w:top="864" w:right="1152" w:bottom="1008" w:left="1152"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56D8" w14:textId="77777777" w:rsidR="00403098" w:rsidRDefault="00403098" w:rsidP="00403098">
      <w:pPr>
        <w:spacing w:after="0" w:line="240" w:lineRule="auto"/>
      </w:pPr>
      <w:r>
        <w:separator/>
      </w:r>
    </w:p>
  </w:endnote>
  <w:endnote w:type="continuationSeparator" w:id="0">
    <w:p w14:paraId="1C79B519" w14:textId="77777777" w:rsidR="00403098" w:rsidRDefault="00403098" w:rsidP="0040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86C34" w14:textId="6642F586" w:rsidR="00420336" w:rsidRDefault="00420336" w:rsidP="00420336">
    <w:pPr>
      <w:pStyle w:val="Footer"/>
    </w:pPr>
    <w:r>
      <w:t>White Paper on Guaranteed Payments for Services</w:t>
    </w:r>
    <w:r>
      <w:t xml:space="preserve"> - </w:t>
    </w:r>
    <w:r>
      <w:t>Proposed Findings and Recommendations</w:t>
    </w:r>
    <w:r>
      <w:t xml:space="preserve"> – P.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0617" w14:textId="77777777" w:rsidR="00403098" w:rsidRDefault="00403098" w:rsidP="00403098">
      <w:pPr>
        <w:spacing w:after="0" w:line="240" w:lineRule="auto"/>
      </w:pPr>
      <w:r>
        <w:separator/>
      </w:r>
    </w:p>
  </w:footnote>
  <w:footnote w:type="continuationSeparator" w:id="0">
    <w:p w14:paraId="63FA8622" w14:textId="77777777" w:rsidR="00403098" w:rsidRDefault="00403098" w:rsidP="00403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21F"/>
    <w:multiLevelType w:val="hybridMultilevel"/>
    <w:tmpl w:val="A97A2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DBE1320"/>
    <w:multiLevelType w:val="hybridMultilevel"/>
    <w:tmpl w:val="AE7E9B7E"/>
    <w:lvl w:ilvl="0" w:tplc="DE064252">
      <w:start w:val="1"/>
      <w:numFmt w:val="bullet"/>
      <w:lvlText w:val=""/>
      <w:lvlJc w:val="left"/>
      <w:pPr>
        <w:ind w:left="720" w:hanging="360"/>
      </w:pPr>
      <w:rPr>
        <w:rFonts w:ascii="Symbol" w:hAnsi="Symbol"/>
      </w:rPr>
    </w:lvl>
    <w:lvl w:ilvl="1" w:tplc="AFD05960">
      <w:start w:val="1"/>
      <w:numFmt w:val="bullet"/>
      <w:lvlText w:val=""/>
      <w:lvlJc w:val="left"/>
      <w:pPr>
        <w:ind w:left="720" w:hanging="360"/>
      </w:pPr>
      <w:rPr>
        <w:rFonts w:ascii="Symbol" w:hAnsi="Symbol"/>
      </w:rPr>
    </w:lvl>
    <w:lvl w:ilvl="2" w:tplc="4FFCF7A0">
      <w:start w:val="1"/>
      <w:numFmt w:val="bullet"/>
      <w:lvlText w:val=""/>
      <w:lvlJc w:val="left"/>
      <w:pPr>
        <w:ind w:left="720" w:hanging="360"/>
      </w:pPr>
      <w:rPr>
        <w:rFonts w:ascii="Symbol" w:hAnsi="Symbol"/>
      </w:rPr>
    </w:lvl>
    <w:lvl w:ilvl="3" w:tplc="7674D480">
      <w:start w:val="1"/>
      <w:numFmt w:val="bullet"/>
      <w:lvlText w:val=""/>
      <w:lvlJc w:val="left"/>
      <w:pPr>
        <w:ind w:left="720" w:hanging="360"/>
      </w:pPr>
      <w:rPr>
        <w:rFonts w:ascii="Symbol" w:hAnsi="Symbol"/>
      </w:rPr>
    </w:lvl>
    <w:lvl w:ilvl="4" w:tplc="F12A6724">
      <w:start w:val="1"/>
      <w:numFmt w:val="bullet"/>
      <w:lvlText w:val=""/>
      <w:lvlJc w:val="left"/>
      <w:pPr>
        <w:ind w:left="720" w:hanging="360"/>
      </w:pPr>
      <w:rPr>
        <w:rFonts w:ascii="Symbol" w:hAnsi="Symbol"/>
      </w:rPr>
    </w:lvl>
    <w:lvl w:ilvl="5" w:tplc="33A24772">
      <w:start w:val="1"/>
      <w:numFmt w:val="bullet"/>
      <w:lvlText w:val=""/>
      <w:lvlJc w:val="left"/>
      <w:pPr>
        <w:ind w:left="720" w:hanging="360"/>
      </w:pPr>
      <w:rPr>
        <w:rFonts w:ascii="Symbol" w:hAnsi="Symbol"/>
      </w:rPr>
    </w:lvl>
    <w:lvl w:ilvl="6" w:tplc="76B21CE0">
      <w:start w:val="1"/>
      <w:numFmt w:val="bullet"/>
      <w:lvlText w:val=""/>
      <w:lvlJc w:val="left"/>
      <w:pPr>
        <w:ind w:left="720" w:hanging="360"/>
      </w:pPr>
      <w:rPr>
        <w:rFonts w:ascii="Symbol" w:hAnsi="Symbol"/>
      </w:rPr>
    </w:lvl>
    <w:lvl w:ilvl="7" w:tplc="1EA03F12">
      <w:start w:val="1"/>
      <w:numFmt w:val="bullet"/>
      <w:lvlText w:val=""/>
      <w:lvlJc w:val="left"/>
      <w:pPr>
        <w:ind w:left="720" w:hanging="360"/>
      </w:pPr>
      <w:rPr>
        <w:rFonts w:ascii="Symbol" w:hAnsi="Symbol"/>
      </w:rPr>
    </w:lvl>
    <w:lvl w:ilvl="8" w:tplc="F3ACA9E6">
      <w:start w:val="1"/>
      <w:numFmt w:val="bullet"/>
      <w:lvlText w:val=""/>
      <w:lvlJc w:val="left"/>
      <w:pPr>
        <w:ind w:left="720" w:hanging="360"/>
      </w:pPr>
      <w:rPr>
        <w:rFonts w:ascii="Symbol" w:hAnsi="Symbol"/>
      </w:rPr>
    </w:lvl>
  </w:abstractNum>
  <w:abstractNum w:abstractNumId="2" w15:restartNumberingAfterBreak="0">
    <w:nsid w:val="31F408FA"/>
    <w:multiLevelType w:val="hybridMultilevel"/>
    <w:tmpl w:val="2FAC3346"/>
    <w:lvl w:ilvl="0" w:tplc="703ACB96">
      <w:start w:val="1"/>
      <w:numFmt w:val="bullet"/>
      <w:lvlText w:val=""/>
      <w:lvlJc w:val="left"/>
      <w:pPr>
        <w:ind w:left="720" w:hanging="360"/>
      </w:pPr>
      <w:rPr>
        <w:rFonts w:ascii="Symbol" w:hAnsi="Symbol"/>
      </w:rPr>
    </w:lvl>
    <w:lvl w:ilvl="1" w:tplc="DC5C7890">
      <w:start w:val="1"/>
      <w:numFmt w:val="bullet"/>
      <w:lvlText w:val=""/>
      <w:lvlJc w:val="left"/>
      <w:pPr>
        <w:ind w:left="720" w:hanging="360"/>
      </w:pPr>
      <w:rPr>
        <w:rFonts w:ascii="Symbol" w:hAnsi="Symbol"/>
      </w:rPr>
    </w:lvl>
    <w:lvl w:ilvl="2" w:tplc="92FEB06E">
      <w:start w:val="1"/>
      <w:numFmt w:val="bullet"/>
      <w:lvlText w:val=""/>
      <w:lvlJc w:val="left"/>
      <w:pPr>
        <w:ind w:left="720" w:hanging="360"/>
      </w:pPr>
      <w:rPr>
        <w:rFonts w:ascii="Symbol" w:hAnsi="Symbol"/>
      </w:rPr>
    </w:lvl>
    <w:lvl w:ilvl="3" w:tplc="FF20F3E2">
      <w:start w:val="1"/>
      <w:numFmt w:val="bullet"/>
      <w:lvlText w:val=""/>
      <w:lvlJc w:val="left"/>
      <w:pPr>
        <w:ind w:left="720" w:hanging="360"/>
      </w:pPr>
      <w:rPr>
        <w:rFonts w:ascii="Symbol" w:hAnsi="Symbol"/>
      </w:rPr>
    </w:lvl>
    <w:lvl w:ilvl="4" w:tplc="D0422286">
      <w:start w:val="1"/>
      <w:numFmt w:val="bullet"/>
      <w:lvlText w:val=""/>
      <w:lvlJc w:val="left"/>
      <w:pPr>
        <w:ind w:left="720" w:hanging="360"/>
      </w:pPr>
      <w:rPr>
        <w:rFonts w:ascii="Symbol" w:hAnsi="Symbol"/>
      </w:rPr>
    </w:lvl>
    <w:lvl w:ilvl="5" w:tplc="E35CEC4C">
      <w:start w:val="1"/>
      <w:numFmt w:val="bullet"/>
      <w:lvlText w:val=""/>
      <w:lvlJc w:val="left"/>
      <w:pPr>
        <w:ind w:left="720" w:hanging="360"/>
      </w:pPr>
      <w:rPr>
        <w:rFonts w:ascii="Symbol" w:hAnsi="Symbol"/>
      </w:rPr>
    </w:lvl>
    <w:lvl w:ilvl="6" w:tplc="BE7E9AA8">
      <w:start w:val="1"/>
      <w:numFmt w:val="bullet"/>
      <w:lvlText w:val=""/>
      <w:lvlJc w:val="left"/>
      <w:pPr>
        <w:ind w:left="720" w:hanging="360"/>
      </w:pPr>
      <w:rPr>
        <w:rFonts w:ascii="Symbol" w:hAnsi="Symbol"/>
      </w:rPr>
    </w:lvl>
    <w:lvl w:ilvl="7" w:tplc="A260C1D6">
      <w:start w:val="1"/>
      <w:numFmt w:val="bullet"/>
      <w:lvlText w:val=""/>
      <w:lvlJc w:val="left"/>
      <w:pPr>
        <w:ind w:left="720" w:hanging="360"/>
      </w:pPr>
      <w:rPr>
        <w:rFonts w:ascii="Symbol" w:hAnsi="Symbol"/>
      </w:rPr>
    </w:lvl>
    <w:lvl w:ilvl="8" w:tplc="C86C8DE8">
      <w:start w:val="1"/>
      <w:numFmt w:val="bullet"/>
      <w:lvlText w:val=""/>
      <w:lvlJc w:val="left"/>
      <w:pPr>
        <w:ind w:left="720" w:hanging="360"/>
      </w:pPr>
      <w:rPr>
        <w:rFonts w:ascii="Symbol" w:hAnsi="Symbol"/>
      </w:rPr>
    </w:lvl>
  </w:abstractNum>
  <w:abstractNum w:abstractNumId="3" w15:restartNumberingAfterBreak="0">
    <w:nsid w:val="39E665A6"/>
    <w:multiLevelType w:val="hybridMultilevel"/>
    <w:tmpl w:val="A7864086"/>
    <w:lvl w:ilvl="0" w:tplc="FFFFFFF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E94DA1"/>
    <w:multiLevelType w:val="hybridMultilevel"/>
    <w:tmpl w:val="AAFE8042"/>
    <w:lvl w:ilvl="0" w:tplc="C5B085AE">
      <w:start w:val="1"/>
      <w:numFmt w:val="bullet"/>
      <w:lvlText w:val=""/>
      <w:lvlJc w:val="left"/>
      <w:pPr>
        <w:ind w:left="720" w:hanging="360"/>
      </w:pPr>
      <w:rPr>
        <w:rFonts w:ascii="Symbol" w:hAnsi="Symbol"/>
      </w:rPr>
    </w:lvl>
    <w:lvl w:ilvl="1" w:tplc="C890EE50">
      <w:start w:val="1"/>
      <w:numFmt w:val="bullet"/>
      <w:lvlText w:val=""/>
      <w:lvlJc w:val="left"/>
      <w:pPr>
        <w:ind w:left="720" w:hanging="360"/>
      </w:pPr>
      <w:rPr>
        <w:rFonts w:ascii="Symbol" w:hAnsi="Symbol"/>
      </w:rPr>
    </w:lvl>
    <w:lvl w:ilvl="2" w:tplc="0D8AB3DE">
      <w:start w:val="1"/>
      <w:numFmt w:val="bullet"/>
      <w:lvlText w:val=""/>
      <w:lvlJc w:val="left"/>
      <w:pPr>
        <w:ind w:left="720" w:hanging="360"/>
      </w:pPr>
      <w:rPr>
        <w:rFonts w:ascii="Symbol" w:hAnsi="Symbol"/>
      </w:rPr>
    </w:lvl>
    <w:lvl w:ilvl="3" w:tplc="FFAACB70">
      <w:start w:val="1"/>
      <w:numFmt w:val="bullet"/>
      <w:lvlText w:val=""/>
      <w:lvlJc w:val="left"/>
      <w:pPr>
        <w:ind w:left="720" w:hanging="360"/>
      </w:pPr>
      <w:rPr>
        <w:rFonts w:ascii="Symbol" w:hAnsi="Symbol"/>
      </w:rPr>
    </w:lvl>
    <w:lvl w:ilvl="4" w:tplc="3D0C50F2">
      <w:start w:val="1"/>
      <w:numFmt w:val="bullet"/>
      <w:lvlText w:val=""/>
      <w:lvlJc w:val="left"/>
      <w:pPr>
        <w:ind w:left="720" w:hanging="360"/>
      </w:pPr>
      <w:rPr>
        <w:rFonts w:ascii="Symbol" w:hAnsi="Symbol"/>
      </w:rPr>
    </w:lvl>
    <w:lvl w:ilvl="5" w:tplc="EC5AB7B0">
      <w:start w:val="1"/>
      <w:numFmt w:val="bullet"/>
      <w:lvlText w:val=""/>
      <w:lvlJc w:val="left"/>
      <w:pPr>
        <w:ind w:left="720" w:hanging="360"/>
      </w:pPr>
      <w:rPr>
        <w:rFonts w:ascii="Symbol" w:hAnsi="Symbol"/>
      </w:rPr>
    </w:lvl>
    <w:lvl w:ilvl="6" w:tplc="53C8B1DE">
      <w:start w:val="1"/>
      <w:numFmt w:val="bullet"/>
      <w:lvlText w:val=""/>
      <w:lvlJc w:val="left"/>
      <w:pPr>
        <w:ind w:left="720" w:hanging="360"/>
      </w:pPr>
      <w:rPr>
        <w:rFonts w:ascii="Symbol" w:hAnsi="Symbol"/>
      </w:rPr>
    </w:lvl>
    <w:lvl w:ilvl="7" w:tplc="09F0ACE8">
      <w:start w:val="1"/>
      <w:numFmt w:val="bullet"/>
      <w:lvlText w:val=""/>
      <w:lvlJc w:val="left"/>
      <w:pPr>
        <w:ind w:left="720" w:hanging="360"/>
      </w:pPr>
      <w:rPr>
        <w:rFonts w:ascii="Symbol" w:hAnsi="Symbol"/>
      </w:rPr>
    </w:lvl>
    <w:lvl w:ilvl="8" w:tplc="BC56A084">
      <w:start w:val="1"/>
      <w:numFmt w:val="bullet"/>
      <w:lvlText w:val=""/>
      <w:lvlJc w:val="left"/>
      <w:pPr>
        <w:ind w:left="720" w:hanging="360"/>
      </w:pPr>
      <w:rPr>
        <w:rFonts w:ascii="Symbol" w:hAnsi="Symbol"/>
      </w:rPr>
    </w:lvl>
  </w:abstractNum>
  <w:abstractNum w:abstractNumId="5" w15:restartNumberingAfterBreak="0">
    <w:nsid w:val="3B26579D"/>
    <w:multiLevelType w:val="hybridMultilevel"/>
    <w:tmpl w:val="FA22983E"/>
    <w:lvl w:ilvl="0" w:tplc="15E667DE">
      <w:start w:val="1"/>
      <w:numFmt w:val="bullet"/>
      <w:lvlText w:val=""/>
      <w:lvlJc w:val="left"/>
      <w:pPr>
        <w:ind w:left="720" w:hanging="360"/>
      </w:pPr>
      <w:rPr>
        <w:rFonts w:ascii="Symbol" w:hAnsi="Symbol"/>
      </w:rPr>
    </w:lvl>
    <w:lvl w:ilvl="1" w:tplc="5032154E">
      <w:start w:val="1"/>
      <w:numFmt w:val="bullet"/>
      <w:lvlText w:val=""/>
      <w:lvlJc w:val="left"/>
      <w:pPr>
        <w:ind w:left="720" w:hanging="360"/>
      </w:pPr>
      <w:rPr>
        <w:rFonts w:ascii="Symbol" w:hAnsi="Symbol"/>
      </w:rPr>
    </w:lvl>
    <w:lvl w:ilvl="2" w:tplc="C8EA768C">
      <w:start w:val="1"/>
      <w:numFmt w:val="bullet"/>
      <w:lvlText w:val=""/>
      <w:lvlJc w:val="left"/>
      <w:pPr>
        <w:ind w:left="720" w:hanging="360"/>
      </w:pPr>
      <w:rPr>
        <w:rFonts w:ascii="Symbol" w:hAnsi="Symbol"/>
      </w:rPr>
    </w:lvl>
    <w:lvl w:ilvl="3" w:tplc="3544F626">
      <w:start w:val="1"/>
      <w:numFmt w:val="bullet"/>
      <w:lvlText w:val=""/>
      <w:lvlJc w:val="left"/>
      <w:pPr>
        <w:ind w:left="720" w:hanging="360"/>
      </w:pPr>
      <w:rPr>
        <w:rFonts w:ascii="Symbol" w:hAnsi="Symbol"/>
      </w:rPr>
    </w:lvl>
    <w:lvl w:ilvl="4" w:tplc="BC745A62">
      <w:start w:val="1"/>
      <w:numFmt w:val="bullet"/>
      <w:lvlText w:val=""/>
      <w:lvlJc w:val="left"/>
      <w:pPr>
        <w:ind w:left="720" w:hanging="360"/>
      </w:pPr>
      <w:rPr>
        <w:rFonts w:ascii="Symbol" w:hAnsi="Symbol"/>
      </w:rPr>
    </w:lvl>
    <w:lvl w:ilvl="5" w:tplc="CD98E1AA">
      <w:start w:val="1"/>
      <w:numFmt w:val="bullet"/>
      <w:lvlText w:val=""/>
      <w:lvlJc w:val="left"/>
      <w:pPr>
        <w:ind w:left="720" w:hanging="360"/>
      </w:pPr>
      <w:rPr>
        <w:rFonts w:ascii="Symbol" w:hAnsi="Symbol"/>
      </w:rPr>
    </w:lvl>
    <w:lvl w:ilvl="6" w:tplc="D8D286F0">
      <w:start w:val="1"/>
      <w:numFmt w:val="bullet"/>
      <w:lvlText w:val=""/>
      <w:lvlJc w:val="left"/>
      <w:pPr>
        <w:ind w:left="720" w:hanging="360"/>
      </w:pPr>
      <w:rPr>
        <w:rFonts w:ascii="Symbol" w:hAnsi="Symbol"/>
      </w:rPr>
    </w:lvl>
    <w:lvl w:ilvl="7" w:tplc="17A443C6">
      <w:start w:val="1"/>
      <w:numFmt w:val="bullet"/>
      <w:lvlText w:val=""/>
      <w:lvlJc w:val="left"/>
      <w:pPr>
        <w:ind w:left="720" w:hanging="360"/>
      </w:pPr>
      <w:rPr>
        <w:rFonts w:ascii="Symbol" w:hAnsi="Symbol"/>
      </w:rPr>
    </w:lvl>
    <w:lvl w:ilvl="8" w:tplc="8D603BC6">
      <w:start w:val="1"/>
      <w:numFmt w:val="bullet"/>
      <w:lvlText w:val=""/>
      <w:lvlJc w:val="left"/>
      <w:pPr>
        <w:ind w:left="720" w:hanging="360"/>
      </w:pPr>
      <w:rPr>
        <w:rFonts w:ascii="Symbol" w:hAnsi="Symbol"/>
      </w:rPr>
    </w:lvl>
  </w:abstractNum>
  <w:abstractNum w:abstractNumId="6" w15:restartNumberingAfterBreak="0">
    <w:nsid w:val="3F531068"/>
    <w:multiLevelType w:val="hybridMultilevel"/>
    <w:tmpl w:val="43080B8E"/>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E96C0E"/>
    <w:multiLevelType w:val="hybridMultilevel"/>
    <w:tmpl w:val="3940D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1275048">
    <w:abstractNumId w:val="8"/>
  </w:num>
  <w:num w:numId="2" w16cid:durableId="869757990">
    <w:abstractNumId w:val="6"/>
  </w:num>
  <w:num w:numId="3" w16cid:durableId="735710792">
    <w:abstractNumId w:val="0"/>
  </w:num>
  <w:num w:numId="4" w16cid:durableId="1089930131">
    <w:abstractNumId w:val="5"/>
  </w:num>
  <w:num w:numId="5" w16cid:durableId="1273587496">
    <w:abstractNumId w:val="2"/>
  </w:num>
  <w:num w:numId="6" w16cid:durableId="1161195551">
    <w:abstractNumId w:val="1"/>
  </w:num>
  <w:num w:numId="7" w16cid:durableId="715206576">
    <w:abstractNumId w:val="4"/>
  </w:num>
  <w:num w:numId="8" w16cid:durableId="160319778">
    <w:abstractNumId w:val="7"/>
  </w:num>
  <w:num w:numId="9" w16cid:durableId="1726374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AE"/>
    <w:rsid w:val="000166D4"/>
    <w:rsid w:val="00032E49"/>
    <w:rsid w:val="001878A6"/>
    <w:rsid w:val="0021302C"/>
    <w:rsid w:val="00276D59"/>
    <w:rsid w:val="00284E79"/>
    <w:rsid w:val="00343099"/>
    <w:rsid w:val="003711E6"/>
    <w:rsid w:val="003A705C"/>
    <w:rsid w:val="00403098"/>
    <w:rsid w:val="00420336"/>
    <w:rsid w:val="00494248"/>
    <w:rsid w:val="004E590C"/>
    <w:rsid w:val="004F55F0"/>
    <w:rsid w:val="005974D2"/>
    <w:rsid w:val="005D3D84"/>
    <w:rsid w:val="005E7988"/>
    <w:rsid w:val="0062385C"/>
    <w:rsid w:val="00625EE5"/>
    <w:rsid w:val="007065EC"/>
    <w:rsid w:val="00731C5B"/>
    <w:rsid w:val="00745AE1"/>
    <w:rsid w:val="007F398B"/>
    <w:rsid w:val="008103AE"/>
    <w:rsid w:val="00814F4D"/>
    <w:rsid w:val="009F1FC6"/>
    <w:rsid w:val="00A140F4"/>
    <w:rsid w:val="00A16327"/>
    <w:rsid w:val="00BF40DD"/>
    <w:rsid w:val="00C203EC"/>
    <w:rsid w:val="00DD2261"/>
    <w:rsid w:val="00E44F03"/>
    <w:rsid w:val="00E524B5"/>
    <w:rsid w:val="00EC7B3F"/>
    <w:rsid w:val="00F65571"/>
    <w:rsid w:val="00F8401F"/>
    <w:rsid w:val="00FB3DC9"/>
    <w:rsid w:val="00FB476A"/>
    <w:rsid w:val="00FE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E9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AE"/>
    <w:rPr>
      <w:sz w:val="24"/>
    </w:rPr>
  </w:style>
  <w:style w:type="paragraph" w:styleId="Heading1">
    <w:name w:val="heading 1"/>
    <w:basedOn w:val="Normal"/>
    <w:next w:val="Normal"/>
    <w:link w:val="Heading1Char"/>
    <w:uiPriority w:val="9"/>
    <w:qFormat/>
    <w:rsid w:val="00E524B5"/>
    <w:pPr>
      <w:keepNext/>
      <w:keepLines/>
      <w:spacing w:before="360" w:after="120"/>
      <w:outlineLvl w:val="0"/>
    </w:pPr>
    <w:rPr>
      <w:rFonts w:eastAsiaTheme="majorEastAsia" w:cstheme="majorBidi"/>
      <w:b/>
      <w:sz w:val="28"/>
      <w:szCs w:val="32"/>
      <w:u w:val="single"/>
    </w:rPr>
  </w:style>
  <w:style w:type="paragraph" w:styleId="Heading2">
    <w:name w:val="heading 2"/>
    <w:basedOn w:val="Normal"/>
    <w:next w:val="Normal"/>
    <w:link w:val="Heading2Char"/>
    <w:uiPriority w:val="9"/>
    <w:qFormat/>
    <w:rsid w:val="00E524B5"/>
    <w:pPr>
      <w:keepNext/>
      <w:keepLines/>
      <w:spacing w:before="360" w:after="120"/>
      <w:outlineLvl w:val="1"/>
    </w:pPr>
    <w:rPr>
      <w:rFonts w:eastAsiaTheme="majorEastAsia" w:cstheme="majorBidi"/>
      <w:b/>
      <w:sz w:val="26"/>
      <w:szCs w:val="26"/>
    </w:rPr>
  </w:style>
  <w:style w:type="paragraph" w:styleId="Heading3">
    <w:name w:val="heading 3"/>
    <w:basedOn w:val="Normal"/>
    <w:next w:val="Normal"/>
    <w:link w:val="Heading3Char"/>
    <w:uiPriority w:val="9"/>
    <w:qFormat/>
    <w:rsid w:val="00E524B5"/>
    <w:pPr>
      <w:keepNext/>
      <w:keepLines/>
      <w:spacing w:before="360" w:after="120"/>
      <w:outlineLvl w:val="2"/>
    </w:pPr>
    <w:rPr>
      <w:rFonts w:eastAsiaTheme="majorEastAsia" w:cstheme="majorBidi"/>
      <w:sz w:val="26"/>
      <w:szCs w:val="24"/>
      <w:u w:val="single"/>
    </w:rPr>
  </w:style>
  <w:style w:type="paragraph" w:styleId="Heading4">
    <w:name w:val="heading 4"/>
    <w:basedOn w:val="Normal"/>
    <w:next w:val="Normal"/>
    <w:link w:val="Heading4Char"/>
    <w:uiPriority w:val="9"/>
    <w:qFormat/>
    <w:rsid w:val="00745AE1"/>
    <w:pPr>
      <w:keepNext/>
      <w:keepLines/>
      <w:spacing w:before="240" w:after="120"/>
      <w:outlineLvl w:val="3"/>
    </w:pPr>
    <w:rPr>
      <w:rFonts w:eastAsiaTheme="majorEastAsia" w:cstheme="majorBidi"/>
      <w:i/>
      <w:iCs/>
    </w:rPr>
  </w:style>
  <w:style w:type="paragraph" w:styleId="Heading5">
    <w:name w:val="heading 5"/>
    <w:basedOn w:val="Normal"/>
    <w:next w:val="Normal"/>
    <w:link w:val="Heading5Char"/>
    <w:uiPriority w:val="9"/>
    <w:qFormat/>
    <w:rsid w:val="00E524B5"/>
    <w:pPr>
      <w:keepNext/>
      <w:keepLines/>
      <w:spacing w:before="120" w:after="0"/>
      <w:ind w:left="720"/>
      <w:outlineLvl w:val="4"/>
    </w:pPr>
    <w:rPr>
      <w:rFonts w:eastAsiaTheme="majorEastAsia" w:cstheme="majorBidi"/>
      <w:u w:val="single"/>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524B5"/>
    <w:pPr>
      <w:spacing w:after="480" w:line="240" w:lineRule="auto"/>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524B5"/>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E524B5"/>
    <w:rPr>
      <w:rFonts w:eastAsiaTheme="majorEastAsia" w:cstheme="majorBidi"/>
      <w:b/>
      <w:sz w:val="28"/>
      <w:szCs w:val="32"/>
      <w:u w:val="single"/>
    </w:rPr>
  </w:style>
  <w:style w:type="character" w:customStyle="1" w:styleId="Heading2Char">
    <w:name w:val="Heading 2 Char"/>
    <w:basedOn w:val="DefaultParagraphFont"/>
    <w:link w:val="Heading2"/>
    <w:uiPriority w:val="9"/>
    <w:rsid w:val="00E524B5"/>
    <w:rPr>
      <w:rFonts w:eastAsiaTheme="majorEastAsia" w:cstheme="majorBidi"/>
      <w:b/>
      <w:sz w:val="26"/>
      <w:szCs w:val="26"/>
    </w:rPr>
  </w:style>
  <w:style w:type="character" w:customStyle="1" w:styleId="Heading3Char">
    <w:name w:val="Heading 3 Char"/>
    <w:basedOn w:val="DefaultParagraphFont"/>
    <w:link w:val="Heading3"/>
    <w:uiPriority w:val="9"/>
    <w:rsid w:val="00E524B5"/>
    <w:rPr>
      <w:rFonts w:eastAsiaTheme="majorEastAsia" w:cstheme="majorBidi"/>
      <w:sz w:val="26"/>
      <w:szCs w:val="24"/>
      <w:u w:val="single"/>
    </w:rPr>
  </w:style>
  <w:style w:type="character" w:customStyle="1" w:styleId="Heading4Char">
    <w:name w:val="Heading 4 Char"/>
    <w:basedOn w:val="DefaultParagraphFont"/>
    <w:link w:val="Heading4"/>
    <w:uiPriority w:val="9"/>
    <w:rsid w:val="00745AE1"/>
    <w:rPr>
      <w:rFonts w:eastAsiaTheme="majorEastAsia" w:cstheme="majorBidi"/>
      <w:i/>
      <w:iCs/>
      <w:sz w:val="24"/>
    </w:rPr>
  </w:style>
  <w:style w:type="character" w:customStyle="1" w:styleId="Heading5Char">
    <w:name w:val="Heading 5 Char"/>
    <w:basedOn w:val="DefaultParagraphFont"/>
    <w:link w:val="Heading5"/>
    <w:uiPriority w:val="9"/>
    <w:rsid w:val="00E524B5"/>
    <w:rPr>
      <w:rFonts w:eastAsiaTheme="majorEastAsia" w:cstheme="majorBidi"/>
      <w:sz w:val="24"/>
      <w:u w:val="single"/>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style>
  <w:style w:type="paragraph" w:styleId="ListParagraph">
    <w:name w:val="List Paragraph"/>
    <w:basedOn w:val="Normal"/>
    <w:uiPriority w:val="34"/>
    <w:unhideWhenUsed/>
    <w:qFormat/>
    <w:rsid w:val="008103AE"/>
    <w:pPr>
      <w:ind w:left="720"/>
      <w:contextualSpacing/>
    </w:pPr>
  </w:style>
  <w:style w:type="paragraph" w:styleId="Revision">
    <w:name w:val="Revision"/>
    <w:hidden/>
    <w:uiPriority w:val="99"/>
    <w:semiHidden/>
    <w:rsid w:val="009F1FC6"/>
    <w:pPr>
      <w:spacing w:after="0" w:line="240" w:lineRule="auto"/>
    </w:pPr>
    <w:rPr>
      <w:sz w:val="24"/>
    </w:rPr>
  </w:style>
  <w:style w:type="character" w:styleId="CommentReference">
    <w:name w:val="annotation reference"/>
    <w:basedOn w:val="DefaultParagraphFont"/>
    <w:uiPriority w:val="99"/>
    <w:semiHidden/>
    <w:unhideWhenUsed/>
    <w:rsid w:val="009F1FC6"/>
    <w:rPr>
      <w:sz w:val="16"/>
      <w:szCs w:val="16"/>
    </w:rPr>
  </w:style>
  <w:style w:type="paragraph" w:styleId="CommentText">
    <w:name w:val="annotation text"/>
    <w:basedOn w:val="Normal"/>
    <w:link w:val="CommentTextChar"/>
    <w:uiPriority w:val="99"/>
    <w:unhideWhenUsed/>
    <w:rsid w:val="009F1FC6"/>
    <w:pPr>
      <w:spacing w:line="240" w:lineRule="auto"/>
    </w:pPr>
    <w:rPr>
      <w:sz w:val="20"/>
      <w:szCs w:val="20"/>
    </w:rPr>
  </w:style>
  <w:style w:type="character" w:customStyle="1" w:styleId="CommentTextChar">
    <w:name w:val="Comment Text Char"/>
    <w:basedOn w:val="DefaultParagraphFont"/>
    <w:link w:val="CommentText"/>
    <w:uiPriority w:val="99"/>
    <w:rsid w:val="009F1FC6"/>
    <w:rPr>
      <w:sz w:val="20"/>
      <w:szCs w:val="20"/>
    </w:rPr>
  </w:style>
  <w:style w:type="paragraph" w:styleId="CommentSubject">
    <w:name w:val="annotation subject"/>
    <w:basedOn w:val="CommentText"/>
    <w:next w:val="CommentText"/>
    <w:link w:val="CommentSubjectChar"/>
    <w:uiPriority w:val="99"/>
    <w:semiHidden/>
    <w:unhideWhenUsed/>
    <w:rsid w:val="009F1FC6"/>
    <w:rPr>
      <w:b/>
      <w:bCs/>
    </w:rPr>
  </w:style>
  <w:style w:type="character" w:customStyle="1" w:styleId="CommentSubjectChar">
    <w:name w:val="Comment Subject Char"/>
    <w:basedOn w:val="CommentTextChar"/>
    <w:link w:val="CommentSubject"/>
    <w:uiPriority w:val="99"/>
    <w:semiHidden/>
    <w:rsid w:val="009F1FC6"/>
    <w:rPr>
      <w:b/>
      <w:bCs/>
      <w:sz w:val="20"/>
      <w:szCs w:val="20"/>
    </w:rPr>
  </w:style>
  <w:style w:type="character" w:styleId="Hyperlink">
    <w:name w:val="Hyperlink"/>
    <w:basedOn w:val="DefaultParagraphFont"/>
    <w:uiPriority w:val="99"/>
    <w:unhideWhenUsed/>
    <w:rsid w:val="00494248"/>
    <w:rPr>
      <w:color w:val="0000FF" w:themeColor="hyperlink"/>
      <w:u w:val="single"/>
    </w:rPr>
  </w:style>
  <w:style w:type="character" w:styleId="UnresolvedMention">
    <w:name w:val="Unresolved Mention"/>
    <w:basedOn w:val="DefaultParagraphFont"/>
    <w:uiPriority w:val="99"/>
    <w:semiHidden/>
    <w:unhideWhenUsed/>
    <w:rsid w:val="00494248"/>
    <w:rPr>
      <w:color w:val="605E5C"/>
      <w:shd w:val="clear" w:color="auto" w:fill="E1DFDD"/>
    </w:rPr>
  </w:style>
  <w:style w:type="paragraph" w:styleId="Header">
    <w:name w:val="header"/>
    <w:basedOn w:val="Normal"/>
    <w:link w:val="HeaderChar"/>
    <w:uiPriority w:val="99"/>
    <w:unhideWhenUsed/>
    <w:rsid w:val="00403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098"/>
    <w:rPr>
      <w:sz w:val="24"/>
    </w:rPr>
  </w:style>
  <w:style w:type="paragraph" w:styleId="Footer">
    <w:name w:val="footer"/>
    <w:basedOn w:val="Normal"/>
    <w:link w:val="FooterChar"/>
    <w:uiPriority w:val="99"/>
    <w:unhideWhenUsed/>
    <w:rsid w:val="00403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09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c.gov/wp-content/uploads/2023/04/White-Paper-on-Guaranteed-Payments-Corrected-Draft-4-19-23.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3261</Characters>
  <Application>Microsoft Office Word</Application>
  <DocSecurity>0</DocSecurity>
  <Lines>27</Lines>
  <Paragraphs>7</Paragraphs>
  <ScaleCrop>false</ScaleCrop>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2023-07-13T00:55:00Z</dcterms:created>
  <dcterms:modified xsi:type="dcterms:W3CDTF">2023-07-13T00:56:00Z</dcterms:modified>
</cp:coreProperties>
</file>