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A9F0C" w14:textId="0900AEB8" w:rsidR="00BD6F91" w:rsidRDefault="00FB31EA">
      <w:pPr>
        <w:spacing w:after="0" w:line="481" w:lineRule="auto"/>
        <w:ind w:left="-15" w:firstLine="0"/>
        <w:rPr>
          <w:b/>
        </w:rPr>
      </w:pPr>
      <w:r w:rsidRPr="00FB31EA">
        <w:rPr>
          <w:b/>
          <w:highlight w:val="yellow"/>
        </w:rPr>
        <w:t>[</w:t>
      </w:r>
      <w:r w:rsidR="002139A9">
        <w:rPr>
          <w:b/>
          <w:highlight w:val="yellow"/>
        </w:rPr>
        <w:t xml:space="preserve">DISCUSSION </w:t>
      </w:r>
      <w:r w:rsidRPr="00FB31EA">
        <w:rPr>
          <w:b/>
          <w:highlight w:val="yellow"/>
        </w:rPr>
        <w:t>DRAFT  6</w:t>
      </w:r>
      <w:r w:rsidR="00B5527E">
        <w:rPr>
          <w:b/>
          <w:highlight w:val="yellow"/>
        </w:rPr>
        <w:t>/</w:t>
      </w:r>
      <w:r w:rsidRPr="00FB31EA">
        <w:rPr>
          <w:b/>
          <w:highlight w:val="yellow"/>
        </w:rPr>
        <w:t>7</w:t>
      </w:r>
      <w:r w:rsidR="00B5527E">
        <w:rPr>
          <w:b/>
          <w:highlight w:val="yellow"/>
        </w:rPr>
        <w:t>/</w:t>
      </w:r>
      <w:r w:rsidRPr="00FB31EA">
        <w:rPr>
          <w:b/>
          <w:highlight w:val="yellow"/>
        </w:rPr>
        <w:t>23]</w:t>
      </w:r>
    </w:p>
    <w:p w14:paraId="5FC0D0E3" w14:textId="77777777" w:rsidR="00D24080" w:rsidRDefault="00723590">
      <w:pPr>
        <w:spacing w:after="0" w:line="481" w:lineRule="auto"/>
        <w:ind w:left="-15" w:firstLine="0"/>
      </w:pPr>
      <w:r>
        <w:rPr>
          <w:b/>
        </w:rPr>
        <w:t>••• Reg. IV.18.(e).  Special Rules: Airlines.</w:t>
      </w:r>
      <w:r>
        <w:t xml:space="preserve">  [Adopted July 14, 1983] </w:t>
      </w:r>
    </w:p>
    <w:p w14:paraId="0D71A5EE" w14:textId="28A5126E" w:rsidR="00426830" w:rsidRDefault="00723590" w:rsidP="00D24080">
      <w:pPr>
        <w:spacing w:after="0" w:line="481" w:lineRule="auto"/>
        <w:ind w:left="-15" w:firstLine="360"/>
      </w:pPr>
      <w:r>
        <w:t>The following special rules are established with respect to airlines:</w:t>
      </w:r>
    </w:p>
    <w:p w14:paraId="5BF751C8" w14:textId="77777777" w:rsidR="00426830" w:rsidRDefault="00723590">
      <w:pPr>
        <w:numPr>
          <w:ilvl w:val="0"/>
          <w:numId w:val="1"/>
        </w:numPr>
        <w:ind w:right="0"/>
        <w:jc w:val="left"/>
      </w:pPr>
      <w:r>
        <w:rPr>
          <w:b/>
        </w:rPr>
        <w:t xml:space="preserve">In General. </w:t>
      </w:r>
      <w:r>
        <w:t xml:space="preserve">Where an airline has income from sources both within and without this </w:t>
      </w:r>
      <w:r>
        <w:t>state, the amount of business income from sources within this state shall be determined pursuant to Article IV. of the Multistate Tax Compact except as modified by this regulation.</w:t>
      </w:r>
    </w:p>
    <w:p w14:paraId="3A0959F2" w14:textId="77777777" w:rsidR="00426830" w:rsidRDefault="00723590">
      <w:pPr>
        <w:numPr>
          <w:ilvl w:val="0"/>
          <w:numId w:val="1"/>
        </w:numPr>
        <w:spacing w:after="257" w:line="259" w:lineRule="auto"/>
        <w:ind w:right="0"/>
        <w:jc w:val="left"/>
      </w:pPr>
      <w:r>
        <w:rPr>
          <w:b/>
        </w:rPr>
        <w:t>Apportionment of Business Income.</w:t>
      </w:r>
    </w:p>
    <w:p w14:paraId="13CC6F29" w14:textId="018B3F7D" w:rsidR="00426830" w:rsidRDefault="00723590">
      <w:pPr>
        <w:spacing w:after="257" w:line="259" w:lineRule="auto"/>
        <w:ind w:left="715" w:right="0" w:hanging="10"/>
        <w:jc w:val="left"/>
      </w:pPr>
      <w:r>
        <w:rPr>
          <w:b/>
        </w:rPr>
        <w:t xml:space="preserve">(i) </w:t>
      </w:r>
      <w:r w:rsidR="00212F2B">
        <w:rPr>
          <w:b/>
        </w:rPr>
        <w:t xml:space="preserve"> </w:t>
      </w:r>
      <w:r>
        <w:rPr>
          <w:b/>
        </w:rPr>
        <w:t>General Definitions</w:t>
      </w:r>
      <w:r>
        <w:rPr>
          <w:i/>
        </w:rPr>
        <w:t>.</w:t>
      </w:r>
    </w:p>
    <w:p w14:paraId="24D12DFF" w14:textId="77777777" w:rsidR="00426830" w:rsidRDefault="00723590">
      <w:pPr>
        <w:ind w:left="-15" w:right="0"/>
      </w:pPr>
      <w:r>
        <w:t>The following d</w:t>
      </w:r>
      <w:r>
        <w:t>efinitions are applicable to the terms used in the apportionment factor descriptions.</w:t>
      </w:r>
    </w:p>
    <w:p w14:paraId="07DE48A9" w14:textId="77777777" w:rsidR="00426830" w:rsidRDefault="00723590">
      <w:pPr>
        <w:numPr>
          <w:ilvl w:val="0"/>
          <w:numId w:val="2"/>
        </w:numPr>
        <w:ind w:right="0"/>
      </w:pPr>
      <w:r>
        <w:t>"Value" of owned real and tangible personal property shall mean its original cost.(See Article IV.11. and Regulation IV.11(a).)</w:t>
      </w:r>
    </w:p>
    <w:p w14:paraId="759637A2" w14:textId="03C673CE" w:rsidR="00426830" w:rsidRDefault="00723590">
      <w:pPr>
        <w:numPr>
          <w:ilvl w:val="0"/>
          <w:numId w:val="2"/>
        </w:numPr>
        <w:ind w:right="0"/>
      </w:pPr>
      <w:r>
        <w:t>"Cost of aircraft by type" means the avera</w:t>
      </w:r>
      <w:r>
        <w:t>ge original cost or value of aircraft by type</w:t>
      </w:r>
      <w:r w:rsidR="00725333">
        <w:t xml:space="preserve"> </w:t>
      </w:r>
      <w:r>
        <w:t>which are ready for flight.</w:t>
      </w:r>
    </w:p>
    <w:p w14:paraId="1EE1438E" w14:textId="6F555184" w:rsidR="00426830" w:rsidRDefault="00723590">
      <w:pPr>
        <w:numPr>
          <w:ilvl w:val="0"/>
          <w:numId w:val="2"/>
        </w:numPr>
        <w:ind w:right="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BDA3BC7" wp14:editId="7E344AC8">
                <wp:simplePos x="0" y="0"/>
                <wp:positionH relativeFrom="page">
                  <wp:posOffset>896112</wp:posOffset>
                </wp:positionH>
                <wp:positionV relativeFrom="page">
                  <wp:posOffset>829056</wp:posOffset>
                </wp:positionV>
                <wp:extent cx="5980176" cy="27432"/>
                <wp:effectExtent l="0" t="0" r="0" b="0"/>
                <wp:wrapTopAndBottom/>
                <wp:docPr id="3553" name="Group 3553"/>
                <wp:cNvGraphicFramePr/>
                <a:graphic xmlns:a="http://schemas.openxmlformats.org/drawingml/2006/main">
                  <a:graphicData uri="http://schemas.microsoft.com/office/word/2010/wordprocessingGroup">
                    <wpg:wgp>
                      <wpg:cNvGrpSpPr/>
                      <wpg:grpSpPr>
                        <a:xfrm>
                          <a:off x="0" y="0"/>
                          <a:ext cx="5980176" cy="27432"/>
                          <a:chOff x="0" y="0"/>
                          <a:chExt cx="5980176" cy="27432"/>
                        </a:xfrm>
                      </wpg:grpSpPr>
                      <wps:wsp>
                        <wps:cNvPr id="5492" name="Shape 5492"/>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3" name="Shape 5493"/>
                        <wps:cNvSpPr/>
                        <wps:spPr>
                          <a:xfrm>
                            <a:off x="0" y="18288"/>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3553" style="width:470.88pt;height:2.15997pt;position:absolute;mso-position-horizontal-relative:page;mso-position-horizontal:absolute;margin-left:70.56pt;mso-position-vertical-relative:page;margin-top:65.28pt;" coordsize="59801,274">
                <v:shape id="Shape 5494" style="position:absolute;width:59801;height:91;left:0;top:0;" coordsize="5980176,9144" path="m0,0l5980176,0l5980176,9144l0,9144l0,0">
                  <v:stroke weight="0pt" endcap="flat" joinstyle="miter" miterlimit="10" on="false" color="#000000" opacity="0"/>
                  <v:fill on="true" color="#000000"/>
                </v:shape>
                <v:shape id="Shape 5495" style="position:absolute;width:59801;height:91;left:0;top:182;" coordsize="5980176,9144" path="m0,0l5980176,0l5980176,9144l0,9144l0,0">
                  <v:stroke weight="0pt" endcap="flat" joinstyle="miter" miterlimit="10" on="false" color="#000000" opacity="0"/>
                  <v:fill on="true" color="#000000"/>
                </v:shape>
                <w10:wrap type="topAndBottom"/>
              </v:group>
            </w:pict>
          </mc:Fallback>
        </mc:AlternateContent>
      </w:r>
      <w:r>
        <w:t>"Original cost" means the initial federal tax basis of the property plus the value of</w:t>
      </w:r>
      <w:r w:rsidR="00725333">
        <w:t xml:space="preserve"> </w:t>
      </w:r>
      <w:r>
        <w:t xml:space="preserve">capital improvements to such property, except that, for this purpose, it shall be assumed that </w:t>
      </w:r>
      <w:r>
        <w:t>Safe Harbor Leases are not true leases and do not affect the original initial federal tax basis of the property.  (See Regulation IV.11(a).)</w:t>
      </w:r>
    </w:p>
    <w:p w14:paraId="42E9623F" w14:textId="3725312F" w:rsidR="00426830" w:rsidRDefault="00723590">
      <w:pPr>
        <w:numPr>
          <w:ilvl w:val="0"/>
          <w:numId w:val="2"/>
        </w:numPr>
        <w:ind w:right="0"/>
      </w:pPr>
      <w:r>
        <w:t>"Average value" of the property means the amount determined by averaging the</w:t>
      </w:r>
      <w:r w:rsidR="00725333">
        <w:t xml:space="preserve"> </w:t>
      </w:r>
      <w:r>
        <w:t xml:space="preserve">values at the beginning and ending of </w:t>
      </w:r>
      <w:r>
        <w:t>the income year, but the [insert here the appropriate title of the administrative agency] may  require the averaging of monthly values during the income year if such averaging is necessary to reflect properly the average value of the airline's property.  (</w:t>
      </w:r>
      <w:r>
        <w:t>See Article IV.12. and Regulation IV.12.)</w:t>
      </w:r>
    </w:p>
    <w:p w14:paraId="0E6AE58E" w14:textId="77777777" w:rsidR="00426830" w:rsidRDefault="00723590">
      <w:pPr>
        <w:numPr>
          <w:ilvl w:val="0"/>
          <w:numId w:val="2"/>
        </w:numPr>
        <w:spacing w:after="0" w:line="259" w:lineRule="auto"/>
        <w:ind w:right="0"/>
      </w:pPr>
      <w:r>
        <w:t>The "value" of rented real and tangible personal property means the product of eight</w:t>
      </w:r>
    </w:p>
    <w:p w14:paraId="35F523D2" w14:textId="77777777" w:rsidR="00426830" w:rsidRDefault="00723590">
      <w:pPr>
        <w:ind w:left="-15" w:right="0" w:firstLine="0"/>
      </w:pPr>
      <w:r>
        <w:t>(8) times the net annual rental rate.  (See Article IV.11. and Regulation IV.11(b).)</w:t>
      </w:r>
    </w:p>
    <w:p w14:paraId="186C01B7" w14:textId="77777777" w:rsidR="00426830" w:rsidRDefault="00723590">
      <w:pPr>
        <w:numPr>
          <w:ilvl w:val="0"/>
          <w:numId w:val="4"/>
        </w:numPr>
        <w:ind w:right="0"/>
      </w:pPr>
      <w:r>
        <w:t xml:space="preserve">"Net annual rental rate" means the </w:t>
      </w:r>
      <w:r>
        <w:t>annual rental rate paid by the taxpayer.</w:t>
      </w:r>
    </w:p>
    <w:p w14:paraId="028A7578" w14:textId="28DCB835" w:rsidR="00426830" w:rsidRDefault="00723590">
      <w:pPr>
        <w:numPr>
          <w:ilvl w:val="0"/>
          <w:numId w:val="4"/>
        </w:numPr>
        <w:ind w:right="0"/>
      </w:pPr>
      <w:r>
        <w:t>"Property used during the income year" includes property which is available for use in</w:t>
      </w:r>
      <w:r w:rsidR="00725333">
        <w:t xml:space="preserve"> </w:t>
      </w:r>
      <w:r>
        <w:t>the taxpayer's trade or business during the income year.</w:t>
      </w:r>
    </w:p>
    <w:p w14:paraId="14C9219C" w14:textId="77777777" w:rsidR="00426830" w:rsidRDefault="00723590">
      <w:pPr>
        <w:numPr>
          <w:ilvl w:val="0"/>
          <w:numId w:val="4"/>
        </w:numPr>
        <w:spacing w:after="351"/>
        <w:ind w:right="0"/>
      </w:pPr>
      <w:r>
        <w:t>"Aircraft ready for flight" means aircraft owned or acquired through re</w:t>
      </w:r>
      <w:r>
        <w:t>ntal or lease(but not interchange) which are in the possession of the taxpayer and are available for service on the taxpayer routes.</w:t>
      </w:r>
    </w:p>
    <w:p w14:paraId="44A0D71D" w14:textId="77777777" w:rsidR="00426830" w:rsidRDefault="00723590">
      <w:pPr>
        <w:spacing w:after="0" w:line="259" w:lineRule="auto"/>
        <w:ind w:right="7" w:firstLine="0"/>
        <w:jc w:val="right"/>
      </w:pPr>
      <w:r>
        <w:rPr>
          <w:rFonts w:ascii="Arial" w:eastAsia="Arial" w:hAnsi="Arial" w:cs="Arial"/>
          <w:sz w:val="21"/>
        </w:rPr>
        <w:lastRenderedPageBreak/>
        <w:t>1</w:t>
      </w:r>
    </w:p>
    <w:p w14:paraId="69693D1D" w14:textId="3693A4D1" w:rsidR="00426830" w:rsidRDefault="00723590">
      <w:pPr>
        <w:numPr>
          <w:ilvl w:val="0"/>
          <w:numId w:val="4"/>
        </w:numPr>
        <w:ind w:right="0"/>
      </w:pPr>
      <w:r>
        <w:t>"Revenue service" means the use of aircraft ready for flight for the production of</w:t>
      </w:r>
      <w:r w:rsidR="00725333">
        <w:t xml:space="preserve"> </w:t>
      </w:r>
      <w:r>
        <w:t>revenue.</w:t>
      </w:r>
    </w:p>
    <w:p w14:paraId="055A809E" w14:textId="5926BE6A" w:rsidR="00426830" w:rsidRPr="00725333" w:rsidRDefault="00723590">
      <w:pPr>
        <w:numPr>
          <w:ilvl w:val="0"/>
          <w:numId w:val="4"/>
        </w:numPr>
        <w:ind w:right="0"/>
        <w:rPr>
          <w:strike/>
        </w:rPr>
      </w:pPr>
      <w:r w:rsidRPr="00725333">
        <w:rPr>
          <w:strike/>
        </w:rPr>
        <w:t>"Transportation revenue" mean</w:t>
      </w:r>
      <w:r w:rsidRPr="00725333">
        <w:rPr>
          <w:strike/>
        </w:rPr>
        <w:t>s revenue earned by transporting passengers, freight and</w:t>
      </w:r>
      <w:r w:rsidR="00725333" w:rsidRPr="00725333">
        <w:rPr>
          <w:strike/>
        </w:rPr>
        <w:t xml:space="preserve"> </w:t>
      </w:r>
      <w:r w:rsidRPr="00725333">
        <w:rPr>
          <w:strike/>
        </w:rPr>
        <w:t>mail as well as revenue earned from liquor sales, pet crate rentals, etc.</w:t>
      </w:r>
    </w:p>
    <w:p w14:paraId="3E766366" w14:textId="77777777" w:rsidR="00725333" w:rsidRPr="00FB31EA" w:rsidRDefault="00725333" w:rsidP="00725333">
      <w:pPr>
        <w:ind w:left="710" w:right="0" w:firstLine="0"/>
        <w:rPr>
          <w:highlight w:val="yellow"/>
          <w:u w:val="single"/>
        </w:rPr>
      </w:pPr>
      <w:r w:rsidRPr="00FB31EA">
        <w:rPr>
          <w:highlight w:val="yellow"/>
          <w:u w:val="single"/>
        </w:rPr>
        <w:t>J. (a)  “Passenger transportation revenue” means revenue earned by an airline from:</w:t>
      </w:r>
    </w:p>
    <w:p w14:paraId="5ED00403" w14:textId="77777777" w:rsidR="00725333" w:rsidRPr="00FB31EA" w:rsidRDefault="00725333" w:rsidP="00725333">
      <w:pPr>
        <w:ind w:left="720" w:right="0" w:firstLine="720"/>
        <w:rPr>
          <w:highlight w:val="yellow"/>
          <w:u w:val="single"/>
        </w:rPr>
      </w:pPr>
      <w:r w:rsidRPr="00FB31EA">
        <w:rPr>
          <w:highlight w:val="yellow"/>
          <w:u w:val="single"/>
        </w:rPr>
        <w:t>I.  selling air transportation services to transport passengers and their baggage, including the sale of capacity to transport passengers on the airline’s aircraft to other parties; and</w:t>
      </w:r>
    </w:p>
    <w:p w14:paraId="6CE12A99" w14:textId="559E8F39" w:rsidR="00725333" w:rsidRPr="00FB31EA" w:rsidRDefault="00725333" w:rsidP="00725333">
      <w:pPr>
        <w:ind w:left="720" w:right="0" w:firstLine="720"/>
        <w:rPr>
          <w:highlight w:val="yellow"/>
          <w:u w:val="single"/>
        </w:rPr>
      </w:pPr>
      <w:r w:rsidRPr="00FB31EA">
        <w:rPr>
          <w:highlight w:val="yellow"/>
          <w:u w:val="single"/>
        </w:rPr>
        <w:t xml:space="preserve">II.  selling or renting property or services to be used or consumed by passengers during the course of  air transportation, including the sale of food or liquor, the sale of on-flight services such as entertainment and </w:t>
      </w:r>
      <w:r w:rsidR="00B46080" w:rsidRPr="00FB31EA">
        <w:rPr>
          <w:highlight w:val="yellow"/>
          <w:u w:val="single"/>
        </w:rPr>
        <w:t>Wi-Fi</w:t>
      </w:r>
      <w:r w:rsidRPr="00FB31EA">
        <w:rPr>
          <w:highlight w:val="yellow"/>
          <w:u w:val="single"/>
        </w:rPr>
        <w:t>, and the rental of pet crates,</w:t>
      </w:r>
    </w:p>
    <w:p w14:paraId="5A51CDDA" w14:textId="77777777" w:rsidR="00725333" w:rsidRPr="00FB31EA" w:rsidRDefault="00725333" w:rsidP="00725333">
      <w:pPr>
        <w:ind w:left="710" w:right="0" w:firstLine="0"/>
        <w:rPr>
          <w:highlight w:val="yellow"/>
          <w:u w:val="single"/>
        </w:rPr>
      </w:pPr>
      <w:r w:rsidRPr="00FB31EA">
        <w:rPr>
          <w:highlight w:val="yellow"/>
          <w:u w:val="single"/>
        </w:rPr>
        <w:t xml:space="preserve">whether or not the aircraft used to transport the passengers is owned or operated by the airline selling the transportation services.  </w:t>
      </w:r>
    </w:p>
    <w:p w14:paraId="01102C9B" w14:textId="77777777" w:rsidR="00725333" w:rsidRPr="00FB31EA" w:rsidRDefault="00725333" w:rsidP="00725333">
      <w:pPr>
        <w:ind w:left="710" w:right="0" w:firstLine="0"/>
        <w:rPr>
          <w:highlight w:val="yellow"/>
          <w:u w:val="single"/>
        </w:rPr>
      </w:pPr>
      <w:r w:rsidRPr="00FB31EA">
        <w:rPr>
          <w:highlight w:val="yellow"/>
          <w:u w:val="single"/>
        </w:rPr>
        <w:t>J. (b)  “Freight transportation revenue” means revenue earned by an airline from:</w:t>
      </w:r>
    </w:p>
    <w:p w14:paraId="648BE237" w14:textId="77777777" w:rsidR="00725333" w:rsidRPr="00FB31EA" w:rsidRDefault="00725333" w:rsidP="00725333">
      <w:pPr>
        <w:ind w:left="720" w:right="0" w:firstLine="720"/>
        <w:rPr>
          <w:highlight w:val="yellow"/>
          <w:u w:val="single"/>
        </w:rPr>
      </w:pPr>
      <w:r w:rsidRPr="00FB31EA">
        <w:rPr>
          <w:highlight w:val="yellow"/>
          <w:u w:val="single"/>
        </w:rPr>
        <w:t xml:space="preserve">I.  selling air transportation services to transport freight or mail, including the sale of capacity to transport freight on the airline’s aircraft to other parties; and </w:t>
      </w:r>
    </w:p>
    <w:p w14:paraId="657242C1" w14:textId="77777777" w:rsidR="00725333" w:rsidRPr="00FB31EA" w:rsidRDefault="00725333" w:rsidP="00725333">
      <w:pPr>
        <w:ind w:left="720" w:right="0" w:firstLine="720"/>
        <w:rPr>
          <w:highlight w:val="yellow"/>
          <w:u w:val="single"/>
        </w:rPr>
      </w:pPr>
      <w:r w:rsidRPr="00FB31EA">
        <w:rPr>
          <w:highlight w:val="yellow"/>
          <w:u w:val="single"/>
        </w:rPr>
        <w:t>II. selling or renting property or services to be consumed or used during the course of an aircraft flight,</w:t>
      </w:r>
    </w:p>
    <w:p w14:paraId="5CEE76C7" w14:textId="6B77C532" w:rsidR="00725333" w:rsidRPr="00725333" w:rsidRDefault="00725333" w:rsidP="00725333">
      <w:pPr>
        <w:ind w:left="710" w:right="0" w:firstLine="0"/>
        <w:rPr>
          <w:u w:val="single"/>
        </w:rPr>
      </w:pPr>
      <w:r w:rsidRPr="00FB31EA">
        <w:rPr>
          <w:highlight w:val="yellow"/>
          <w:u w:val="single"/>
        </w:rPr>
        <w:t>whether or not the aircraft used to transport the property is owned or operated by the airline selling the transportation services.</w:t>
      </w:r>
      <w:r w:rsidRPr="00725333">
        <w:rPr>
          <w:u w:val="single"/>
        </w:rPr>
        <w:t xml:space="preserve">  </w:t>
      </w:r>
    </w:p>
    <w:p w14:paraId="7C04E345" w14:textId="3E63D634" w:rsidR="00426830" w:rsidRDefault="00723590">
      <w:pPr>
        <w:numPr>
          <w:ilvl w:val="0"/>
          <w:numId w:val="4"/>
        </w:numPr>
        <w:ind w:right="0"/>
      </w:pPr>
      <w:r>
        <w:t>"Departures" means, for purposes of these regulations, all takeoffs, whether they be</w:t>
      </w:r>
      <w:r w:rsidR="00725333">
        <w:t xml:space="preserve"> </w:t>
      </w:r>
      <w:r>
        <w:t>regularly scheduled or charter flights, that occur during revenue service.</w:t>
      </w:r>
    </w:p>
    <w:p w14:paraId="628FBEE8" w14:textId="77777777" w:rsidR="00426830" w:rsidRDefault="00723590">
      <w:pPr>
        <w:numPr>
          <w:ilvl w:val="0"/>
          <w:numId w:val="3"/>
        </w:numPr>
        <w:spacing w:after="257" w:line="259" w:lineRule="auto"/>
        <w:ind w:right="0" w:hanging="424"/>
        <w:jc w:val="left"/>
      </w:pPr>
      <w:r>
        <w:rPr>
          <w:b/>
        </w:rPr>
        <w:t>Property Factor</w:t>
      </w:r>
    </w:p>
    <w:p w14:paraId="3F9BB966" w14:textId="77777777" w:rsidR="00426830" w:rsidRDefault="00723590">
      <w:pPr>
        <w:numPr>
          <w:ilvl w:val="0"/>
          <w:numId w:val="5"/>
        </w:numPr>
        <w:ind w:right="0"/>
      </w:pPr>
      <w:r>
        <w:rPr>
          <w:b/>
        </w:rPr>
        <w:t>Property valuation</w:t>
      </w:r>
      <w:r>
        <w:rPr>
          <w:b/>
          <w:i/>
        </w:rPr>
        <w:t>.</w:t>
      </w:r>
      <w:r>
        <w:t xml:space="preserve">  Owned aircraft shall be va</w:t>
      </w:r>
      <w:r>
        <w:t>lued at its original cost and rented aircraft shall be valued at eight (8) times the net annual rental rate in accordance with Article IV.11. and Regulation IV.11.  The use of the taxpayer's owned or rented aircraft in an interchange program with another a</w:t>
      </w:r>
      <w:r>
        <w:t>ir carrier will not constitute a rental of such aircraft by the airlines to the other participating airline.  Such aircraft shall be accounted for in the property factor of the owner.  Parts and other expendables, including parts for use in contract overha</w:t>
      </w:r>
      <w:r>
        <w:t>ul work, will be valued at cost.</w:t>
      </w:r>
    </w:p>
    <w:p w14:paraId="54246634" w14:textId="77777777" w:rsidR="00426830" w:rsidRDefault="00723590">
      <w:pPr>
        <w:numPr>
          <w:ilvl w:val="0"/>
          <w:numId w:val="5"/>
        </w:numPr>
        <w:ind w:right="0"/>
      </w:pPr>
      <w:r>
        <w:rPr>
          <w:b/>
        </w:rPr>
        <w:t>The denominator and numerator of the property factor</w:t>
      </w:r>
      <w:r>
        <w:rPr>
          <w:i/>
        </w:rPr>
        <w:t>.</w:t>
      </w:r>
      <w:r>
        <w:t xml:space="preserve">  The denominator of the property factor shall be the average value of all of the taxpayer's real and tangible personal </w:t>
      </w:r>
      <w:r>
        <w:lastRenderedPageBreak/>
        <w:t>property owned or rented and used during the income year.  The numerator of the property factor shall be the average value of the taxpay</w:t>
      </w:r>
      <w:r>
        <w:t>er's real and tangible personal property owned or rented and used in this state during the income year.</w:t>
      </w:r>
    </w:p>
    <w:p w14:paraId="1371C52A" w14:textId="77777777" w:rsidR="00426830" w:rsidRDefault="00723590">
      <w:pPr>
        <w:ind w:left="-15" w:right="0"/>
      </w:pPr>
      <w:r>
        <w:t>In determining the numerator of the property factor, all property except aircraft ready for flight shall be included in the numerator of the property fa</w:t>
      </w:r>
      <w:r>
        <w:t>ctor in accordance with Article IV.10.-.12, inclusive.  Aircraft ready for flight shall be included in the numerator of the property factor in the ratio calculated as follows:</w:t>
      </w:r>
    </w:p>
    <w:p w14:paraId="0EA5A1CB" w14:textId="77777777" w:rsidR="00426830" w:rsidRDefault="00723590">
      <w:pPr>
        <w:ind w:left="-15" w:right="0"/>
      </w:pPr>
      <w:r>
        <w:t xml:space="preserve">Departures of aircraft from locations in this state </w:t>
      </w:r>
      <w:proofErr w:type="gramStart"/>
      <w:r>
        <w:t>weighted as to</w:t>
      </w:r>
      <w:proofErr w:type="gramEnd"/>
      <w:r>
        <w:t xml:space="preserve"> the cost and </w:t>
      </w:r>
      <w:r>
        <w:t>value of aircraft by type compared to total departures similarly weighted.</w:t>
      </w:r>
    </w:p>
    <w:p w14:paraId="033CB1CE" w14:textId="77777777" w:rsidR="00426830" w:rsidRDefault="00723590">
      <w:pPr>
        <w:numPr>
          <w:ilvl w:val="0"/>
          <w:numId w:val="3"/>
        </w:numPr>
        <w:spacing w:after="257" w:line="259" w:lineRule="auto"/>
        <w:ind w:right="0" w:hanging="424"/>
        <w:jc w:val="left"/>
      </w:pPr>
      <w:r>
        <w:rPr>
          <w:b/>
        </w:rPr>
        <w:t>The Payroll Factor</w:t>
      </w:r>
    </w:p>
    <w:p w14:paraId="4A7DE322" w14:textId="77777777" w:rsidR="00426830" w:rsidRDefault="00723590">
      <w:pPr>
        <w:ind w:left="-15" w:right="0"/>
      </w:pPr>
      <w:r>
        <w:t xml:space="preserve">The denominator of the payroll factor is the total compensation paid everywhere by the taxpayer during the income year.  (See Article IV.13.-.14.)  The numerator </w:t>
      </w:r>
      <w:r>
        <w:t>of the payroll factor is the total amount paid in this state during the income year by the taxpayer for compensation. With respect to non-flight personnel, compensation paid to such employees shall be included in the numerator as provided in Article IV.13-</w:t>
      </w:r>
      <w:r>
        <w:t xml:space="preserve">.14. With respect to flight personnel (the air crew aboard an aircraft assisting in the operations of the aircraft or the welfare of passengers while in the air), compensation paid to such employees shall be included in the ratio of departures of aircraft </w:t>
      </w:r>
      <w:r>
        <w:t>from locations in this state, weighted as to the cost and value of aircraft by type compared to total departures similarly weighted, multiplied by the total flight personnel compensation.</w:t>
      </w:r>
    </w:p>
    <w:p w14:paraId="5A7F6B24" w14:textId="2EEC570F" w:rsidR="00426830" w:rsidRDefault="00723590">
      <w:pPr>
        <w:numPr>
          <w:ilvl w:val="0"/>
          <w:numId w:val="3"/>
        </w:numPr>
        <w:spacing w:after="257" w:line="259" w:lineRule="auto"/>
        <w:ind w:right="0" w:hanging="424"/>
        <w:jc w:val="left"/>
      </w:pPr>
      <w:r w:rsidRPr="00725333">
        <w:rPr>
          <w:b/>
          <w:strike/>
        </w:rPr>
        <w:t>Sales</w:t>
      </w:r>
      <w:r>
        <w:rPr>
          <w:b/>
        </w:rPr>
        <w:t xml:space="preserve"> </w:t>
      </w:r>
      <w:r w:rsidR="00725333">
        <w:rPr>
          <w:b/>
          <w:u w:val="single"/>
        </w:rPr>
        <w:t>Receipts</w:t>
      </w:r>
      <w:r w:rsidR="00725333">
        <w:rPr>
          <w:b/>
        </w:rPr>
        <w:t xml:space="preserve"> </w:t>
      </w:r>
      <w:r>
        <w:rPr>
          <w:b/>
        </w:rPr>
        <w:t>(Transportation Revenue) Factor</w:t>
      </w:r>
      <w:r>
        <w:rPr>
          <w:b/>
          <w:i/>
        </w:rPr>
        <w:t>.</w:t>
      </w:r>
    </w:p>
    <w:p w14:paraId="653E221C" w14:textId="77777777" w:rsidR="00426830" w:rsidRPr="00725333" w:rsidRDefault="00723590">
      <w:pPr>
        <w:ind w:left="-15" w:right="0"/>
        <w:rPr>
          <w:strike/>
        </w:rPr>
      </w:pPr>
      <w:r w:rsidRPr="00725333">
        <w:rPr>
          <w:strike/>
        </w:rPr>
        <w:t>The transportation r</w:t>
      </w:r>
      <w:r w:rsidRPr="00725333">
        <w:rPr>
          <w:strike/>
        </w:rPr>
        <w:t>evenue derived from transactions and activities in the regular course of the trade or business of the taxpayer and miscellaneous sales of merchandise, etc., are included in the denominator of the revenue factor.  (See Article IV.1. and Regulation IV.1.) Pa</w:t>
      </w:r>
      <w:r w:rsidRPr="00725333">
        <w:rPr>
          <w:strike/>
        </w:rPr>
        <w:t>ssive income items such as interest, rental income, dividends, etc., will not be included in the denominator nor will the proceeds or net gains or losses from the sale of aircraft be included. The numerator of the revenue factor is the total revenue of the</w:t>
      </w:r>
      <w:r w:rsidRPr="00725333">
        <w:rPr>
          <w:strike/>
        </w:rPr>
        <w:t xml:space="preserve"> taxpayer in this state during the income year.  The total revenue of the taxpayer in this state during the income year is the result of the following calculation:</w:t>
      </w:r>
    </w:p>
    <w:p w14:paraId="1BAF8ACE" w14:textId="77777777" w:rsidR="00426830" w:rsidRDefault="00723590">
      <w:pPr>
        <w:ind w:left="-15" w:right="0"/>
        <w:rPr>
          <w:strike/>
        </w:rPr>
      </w:pPr>
      <w:r w:rsidRPr="00725333">
        <w:rPr>
          <w:strike/>
        </w:rPr>
        <w:t xml:space="preserve">The ratio of departures of aircraft in this state </w:t>
      </w:r>
      <w:proofErr w:type="gramStart"/>
      <w:r w:rsidRPr="00725333">
        <w:rPr>
          <w:strike/>
        </w:rPr>
        <w:t>weighted</w:t>
      </w:r>
      <w:proofErr w:type="gramEnd"/>
      <w:r w:rsidRPr="00725333">
        <w:rPr>
          <w:strike/>
        </w:rPr>
        <w:t xml:space="preserve"> as to the cost and value of aircr</w:t>
      </w:r>
      <w:r w:rsidRPr="00725333">
        <w:rPr>
          <w:strike/>
        </w:rPr>
        <w:t>aft by type, as compared to total departures similarly weighted multiplied by the total transportation revenue.  The product of this calculation is to be added to any non-flight revenues directly attributable to this state.</w:t>
      </w:r>
    </w:p>
    <w:p w14:paraId="33310C76" w14:textId="77777777" w:rsidR="00725333" w:rsidRPr="00725333" w:rsidRDefault="00725333" w:rsidP="00725333">
      <w:pPr>
        <w:ind w:left="-15" w:right="0"/>
        <w:rPr>
          <w:u w:val="single"/>
        </w:rPr>
      </w:pPr>
      <w:r w:rsidRPr="00FB31EA">
        <w:rPr>
          <w:highlight w:val="yellow"/>
          <w:u w:val="single"/>
        </w:rPr>
        <w:t xml:space="preserve">A.   </w:t>
      </w:r>
      <w:r w:rsidRPr="00FB31EA">
        <w:rPr>
          <w:b/>
          <w:bCs/>
          <w:highlight w:val="yellow"/>
          <w:u w:val="single"/>
        </w:rPr>
        <w:t>Denominator</w:t>
      </w:r>
      <w:r w:rsidRPr="00FB31EA">
        <w:rPr>
          <w:highlight w:val="yellow"/>
          <w:u w:val="single"/>
        </w:rPr>
        <w:t>.  The denominator of the receipts factor consists of all passenger transportation revenue and all freight transportation revenue derived from transactions and activities in the regular course of the taxpayer’s trade or business, plus other receipts properly</w:t>
      </w:r>
      <w:r w:rsidRPr="00FB31EA">
        <w:rPr>
          <w:highlight w:val="yellow"/>
        </w:rPr>
        <w:t xml:space="preserve"> </w:t>
      </w:r>
      <w:r w:rsidRPr="00FB31EA">
        <w:rPr>
          <w:highlight w:val="yellow"/>
          <w:u w:val="single"/>
        </w:rPr>
        <w:t>included in the receipts factor.  (See Article IV.1. and Regulation IV.1.)  Passive income items such as interest, rental income, and dividends are not included in the denominator nor are proceeds or net gains or losses from the sale of aircraft included in the denominator.</w:t>
      </w:r>
    </w:p>
    <w:p w14:paraId="7BB7D68B" w14:textId="77777777" w:rsidR="00725333" w:rsidRPr="00FB31EA" w:rsidRDefault="00725333" w:rsidP="00725333">
      <w:pPr>
        <w:ind w:left="-15" w:right="0"/>
        <w:rPr>
          <w:highlight w:val="yellow"/>
          <w:u w:val="single"/>
        </w:rPr>
      </w:pPr>
      <w:r w:rsidRPr="00FB31EA">
        <w:rPr>
          <w:highlight w:val="yellow"/>
          <w:u w:val="single"/>
        </w:rPr>
        <w:t xml:space="preserve">B.    </w:t>
      </w:r>
      <w:r w:rsidRPr="00FB31EA">
        <w:rPr>
          <w:b/>
          <w:bCs/>
          <w:highlight w:val="yellow"/>
          <w:u w:val="single"/>
        </w:rPr>
        <w:t>Numerator</w:t>
      </w:r>
      <w:r w:rsidRPr="00FB31EA">
        <w:rPr>
          <w:highlight w:val="yellow"/>
          <w:u w:val="single"/>
        </w:rPr>
        <w:t xml:space="preserve">.  The numerator of the receipts factor consists of the total revenue of the taxpayer in this state during the income year.  The total revenue of the taxpayer in this state is the sum of: </w:t>
      </w:r>
    </w:p>
    <w:p w14:paraId="56AE7DDE" w14:textId="77777777" w:rsidR="00725333" w:rsidRPr="00FB31EA" w:rsidRDefault="00725333" w:rsidP="00725333">
      <w:pPr>
        <w:ind w:left="-15" w:right="0"/>
        <w:rPr>
          <w:highlight w:val="yellow"/>
          <w:u w:val="single"/>
        </w:rPr>
      </w:pPr>
      <w:r w:rsidRPr="00FB31EA">
        <w:rPr>
          <w:highlight w:val="yellow"/>
          <w:u w:val="single"/>
        </w:rPr>
        <w:tab/>
        <w:t>I. the taxpayer’s passenger transportation revenue in this state during the income year;</w:t>
      </w:r>
    </w:p>
    <w:p w14:paraId="7F1F92B9" w14:textId="77777777" w:rsidR="00725333" w:rsidRPr="00FB31EA" w:rsidRDefault="00725333" w:rsidP="00725333">
      <w:pPr>
        <w:ind w:left="-15" w:right="0"/>
        <w:rPr>
          <w:highlight w:val="yellow"/>
          <w:u w:val="single"/>
        </w:rPr>
      </w:pPr>
      <w:r w:rsidRPr="00FB31EA">
        <w:rPr>
          <w:highlight w:val="yellow"/>
          <w:u w:val="single"/>
        </w:rPr>
        <w:tab/>
        <w:t xml:space="preserve">II. the taxpayer’s freight transportation revenue in this state during the income year; and </w:t>
      </w:r>
    </w:p>
    <w:p w14:paraId="794CC4AE" w14:textId="77777777" w:rsidR="00725333" w:rsidRPr="00FB31EA" w:rsidRDefault="00725333" w:rsidP="00725333">
      <w:pPr>
        <w:ind w:left="-15" w:right="0"/>
        <w:rPr>
          <w:highlight w:val="yellow"/>
          <w:u w:val="single"/>
        </w:rPr>
      </w:pPr>
      <w:r w:rsidRPr="00FB31EA">
        <w:rPr>
          <w:highlight w:val="yellow"/>
          <w:u w:val="single"/>
        </w:rPr>
        <w:tab/>
        <w:t>III. any other receipts attributable to this state during the income year (see Art. IV.1 and Regulation IV.1).</w:t>
      </w:r>
    </w:p>
    <w:p w14:paraId="1122429F" w14:textId="7E8B57F2" w:rsidR="00725333" w:rsidRPr="00FB31EA" w:rsidRDefault="00725333" w:rsidP="00725333">
      <w:pPr>
        <w:ind w:left="-15" w:right="0"/>
        <w:rPr>
          <w:highlight w:val="yellow"/>
          <w:u w:val="single"/>
        </w:rPr>
      </w:pPr>
      <w:r w:rsidRPr="00FB31EA">
        <w:rPr>
          <w:highlight w:val="yellow"/>
          <w:u w:val="single"/>
        </w:rPr>
        <w:t>C.  The taxpayer’s transportation revenue in this state is determined as follows:</w:t>
      </w:r>
    </w:p>
    <w:p w14:paraId="6A628787" w14:textId="77777777" w:rsidR="00725333" w:rsidRPr="00FB31EA" w:rsidRDefault="00725333" w:rsidP="00725333">
      <w:pPr>
        <w:ind w:left="-15" w:right="0"/>
        <w:rPr>
          <w:highlight w:val="yellow"/>
          <w:u w:val="single"/>
        </w:rPr>
      </w:pPr>
      <w:r w:rsidRPr="00FB31EA">
        <w:rPr>
          <w:highlight w:val="yellow"/>
          <w:u w:val="single"/>
        </w:rPr>
        <w:t>I. If the taxpayer maintains records in the ordinary course of business that show receipts by passenger or item of freight transported, then the taxpayer may use these records to attribute revenue in this state based on the location of original departure by passengers or freight.</w:t>
      </w:r>
    </w:p>
    <w:p w14:paraId="60F647F8" w14:textId="77777777" w:rsidR="00725333" w:rsidRPr="00FB31EA" w:rsidRDefault="00725333" w:rsidP="00725333">
      <w:pPr>
        <w:ind w:left="-15" w:right="0"/>
        <w:rPr>
          <w:highlight w:val="yellow"/>
          <w:u w:val="single"/>
        </w:rPr>
      </w:pPr>
      <w:r w:rsidRPr="00FB31EA">
        <w:rPr>
          <w:highlight w:val="yellow"/>
          <w:u w:val="single"/>
        </w:rPr>
        <w:t xml:space="preserve">II. If the taxpayer does not maintain records sufficient to determine revenue by passenger or item of freight transported, then the taxpayer may reasonably approximate the revenue attributable to this state by: </w:t>
      </w:r>
    </w:p>
    <w:p w14:paraId="6333CD95" w14:textId="77777777" w:rsidR="00725333" w:rsidRPr="00FB31EA" w:rsidRDefault="00725333" w:rsidP="00725333">
      <w:pPr>
        <w:ind w:left="-15" w:right="0"/>
        <w:rPr>
          <w:highlight w:val="yellow"/>
          <w:u w:val="single"/>
        </w:rPr>
      </w:pPr>
      <w:r w:rsidRPr="00FB31EA">
        <w:rPr>
          <w:highlight w:val="yellow"/>
          <w:u w:val="single"/>
        </w:rPr>
        <w:t>multiplying its passenger transportation revenue everywhere by the ratio of the number of its originating passengers in this state to the number of its originating passengers everywhere, plus</w:t>
      </w:r>
    </w:p>
    <w:p w14:paraId="5562BAD3" w14:textId="77777777" w:rsidR="00725333" w:rsidRPr="00725333" w:rsidRDefault="00725333" w:rsidP="00725333">
      <w:pPr>
        <w:ind w:left="-15" w:right="0"/>
        <w:rPr>
          <w:u w:val="single"/>
        </w:rPr>
      </w:pPr>
      <w:r w:rsidRPr="00FB31EA">
        <w:rPr>
          <w:highlight w:val="yellow"/>
          <w:u w:val="single"/>
        </w:rPr>
        <w:t>multiplying its freight transportation revenue everywhere by the ratio of originating tons of freight in this state to originating tons of freight everywhere.</w:t>
      </w:r>
    </w:p>
    <w:p w14:paraId="386CB343" w14:textId="77777777" w:rsidR="00426830" w:rsidRDefault="00723590">
      <w:pPr>
        <w:spacing w:after="6783"/>
        <w:ind w:left="-15" w:right="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74ADDFD" wp14:editId="2E32EC3B">
                <wp:simplePos x="0" y="0"/>
                <wp:positionH relativeFrom="page">
                  <wp:posOffset>896112</wp:posOffset>
                </wp:positionH>
                <wp:positionV relativeFrom="page">
                  <wp:posOffset>960120</wp:posOffset>
                </wp:positionV>
                <wp:extent cx="5980176" cy="9144"/>
                <wp:effectExtent l="0" t="0" r="0" b="0"/>
                <wp:wrapTopAndBottom/>
                <wp:docPr id="3725" name="Group 3725"/>
                <wp:cNvGraphicFramePr/>
                <a:graphic xmlns:a="http://schemas.openxmlformats.org/drawingml/2006/main">
                  <a:graphicData uri="http://schemas.microsoft.com/office/word/2010/wordprocessingGroup">
                    <wpg:wgp>
                      <wpg:cNvGrpSpPr/>
                      <wpg:grpSpPr>
                        <a:xfrm>
                          <a:off x="0" y="0"/>
                          <a:ext cx="5980176" cy="9144"/>
                          <a:chOff x="0" y="0"/>
                          <a:chExt cx="5980176" cy="9144"/>
                        </a:xfrm>
                      </wpg:grpSpPr>
                      <wps:wsp>
                        <wps:cNvPr id="5526" name="Shape 5526"/>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3725" style="width:470.88pt;height:0.719971pt;position:absolute;mso-position-horizontal-relative:page;mso-position-horizontal:absolute;margin-left:70.56pt;mso-position-vertical-relative:page;margin-top:75.6pt;" coordsize="59801,91">
                <v:shape id="Shape 5527" style="position:absolute;width:59801;height:91;left:0;top:0;" coordsize="5980176,9144" path="m0,0l5980176,0l5980176,9144l0,9144l0,0">
                  <v:stroke weight="0pt" endcap="flat" joinstyle="miter" miterlimit="10" on="false" color="#000000" opacity="0"/>
                  <v:fill on="true" color="#000000"/>
                </v:shape>
                <w10:wrap type="topAndBottom"/>
              </v:group>
            </w:pict>
          </mc:Fallback>
        </mc:AlternateContent>
      </w:r>
      <w:r>
        <w:rPr>
          <w:b/>
        </w:rPr>
        <w:t>(3)</w:t>
      </w:r>
      <w:r>
        <w:t xml:space="preserve"> </w:t>
      </w:r>
      <w:r>
        <w:rPr>
          <w:b/>
        </w:rPr>
        <w:t>Records.</w:t>
      </w:r>
      <w:r>
        <w:t xml:space="preserve">  The taxpayer must maintain the records necessary to arrive at departures by type of aircraft as used in these regulations.  Such records are to be subject to review by the respective state taxing authorities or their agents.</w:t>
      </w:r>
    </w:p>
    <w:p w14:paraId="3D25F48C" w14:textId="77777777" w:rsidR="00426830" w:rsidRDefault="00723590">
      <w:pPr>
        <w:spacing w:after="20" w:line="259" w:lineRule="auto"/>
        <w:ind w:left="10" w:right="-15" w:hanging="10"/>
        <w:jc w:val="right"/>
      </w:pPr>
      <w:r>
        <w:rPr>
          <w:b/>
        </w:rPr>
        <w:t>3</w:t>
      </w:r>
    </w:p>
    <w:p w14:paraId="74236537" w14:textId="77777777" w:rsidR="00426830" w:rsidRDefault="00723590">
      <w:pPr>
        <w:spacing w:after="278" w:line="240" w:lineRule="auto"/>
        <w:ind w:right="0" w:firstLine="0"/>
        <w:jc w:val="center"/>
      </w:pPr>
      <w:r>
        <w:rPr>
          <w:b/>
        </w:rPr>
        <w:t xml:space="preserve">EXAMPLES OF THE </w:t>
      </w:r>
      <w:r>
        <w:rPr>
          <w:b/>
        </w:rPr>
        <w:t>MANNER IN WHICH THE MULTISTATE TAX COMMISSION AIRLINE REGULATION WOULD APPLY TO SPECIFIC FACT SITUATIONS</w:t>
      </w:r>
    </w:p>
    <w:p w14:paraId="0CEEDE54" w14:textId="77777777" w:rsidR="00426830" w:rsidRDefault="00723590">
      <w:pPr>
        <w:spacing w:after="298"/>
        <w:ind w:left="-15" w:right="0" w:firstLine="0"/>
      </w:pPr>
      <w:r>
        <w:rPr>
          <w:i/>
        </w:rPr>
        <w:t>Example 1:</w:t>
      </w:r>
      <w:r>
        <w:t xml:space="preserve">  Assume the following facts for an airline for a tax year:</w:t>
      </w:r>
    </w:p>
    <w:p w14:paraId="42D3ECFF" w14:textId="77777777" w:rsidR="00426830" w:rsidRDefault="00723590">
      <w:pPr>
        <w:numPr>
          <w:ilvl w:val="0"/>
          <w:numId w:val="6"/>
        </w:numPr>
        <w:spacing w:after="301"/>
        <w:ind w:right="0" w:hanging="360"/>
      </w:pPr>
      <w:r>
        <w:t>It has ten 747s ready for flight and in revenue service at an average cost per un</w:t>
      </w:r>
      <w:r>
        <w:t>it of $40,000,000 for nine of the aircraft.  It rents the tenth 747 from another airline for $9,000,000 per year.  At eight times rents, the latter is valued at $72,000,000 for apportionment purposes.  The total 747 valuation is, therefore, $432,000,000 fo</w:t>
      </w:r>
      <w:r>
        <w:t>r property factor denominator purposes.</w:t>
      </w:r>
    </w:p>
    <w:p w14:paraId="5737BA1E" w14:textId="77777777" w:rsidR="00426830" w:rsidRDefault="00723590">
      <w:pPr>
        <w:numPr>
          <w:ilvl w:val="0"/>
          <w:numId w:val="6"/>
        </w:numPr>
        <w:spacing w:after="301"/>
        <w:ind w:right="0" w:hanging="360"/>
      </w:pPr>
      <w:r>
        <w:t>It has twenty 727s ready for flight in revenue service at an average cost per unit of $20,000,000.  The total 727 valuation is, therefore, $400,000,000 for property factor denominator purposes.</w:t>
      </w:r>
    </w:p>
    <w:p w14:paraId="0FEBF5AE" w14:textId="77777777" w:rsidR="00426830" w:rsidRDefault="00723590">
      <w:pPr>
        <w:numPr>
          <w:ilvl w:val="0"/>
          <w:numId w:val="6"/>
        </w:numPr>
        <w:spacing w:after="304"/>
        <w:ind w:right="0" w:hanging="360"/>
      </w:pPr>
      <w:r>
        <w:t>It has nonflight tangi</w:t>
      </w:r>
      <w:r>
        <w:t>ble property (</w:t>
      </w:r>
      <w:proofErr w:type="spellStart"/>
      <w:r>
        <w:t>n.t.p</w:t>
      </w:r>
      <w:proofErr w:type="spellEnd"/>
      <w:r>
        <w:t>.) valued at an original cost of $200,000,000.</w:t>
      </w:r>
    </w:p>
    <w:p w14:paraId="6A3CD373" w14:textId="77777777" w:rsidR="00426830" w:rsidRDefault="00723590">
      <w:pPr>
        <w:numPr>
          <w:ilvl w:val="0"/>
          <w:numId w:val="6"/>
        </w:numPr>
        <w:spacing w:after="304"/>
        <w:ind w:right="0" w:hanging="360"/>
      </w:pPr>
      <w:r>
        <w:t>It has the following annual payroll:</w:t>
      </w:r>
    </w:p>
    <w:p w14:paraId="3A88C84E" w14:textId="77777777" w:rsidR="00426830" w:rsidRDefault="00723590">
      <w:pPr>
        <w:tabs>
          <w:tab w:val="center" w:pos="1145"/>
          <w:tab w:val="center" w:pos="7318"/>
        </w:tabs>
        <w:spacing w:after="9"/>
        <w:ind w:right="0" w:firstLine="0"/>
        <w:jc w:val="left"/>
      </w:pPr>
      <w:r>
        <w:rPr>
          <w:rFonts w:ascii="Calibri" w:eastAsia="Calibri" w:hAnsi="Calibri" w:cs="Calibri"/>
          <w:sz w:val="22"/>
        </w:rPr>
        <w:tab/>
      </w:r>
      <w:r>
        <w:t>Flight personnel</w:t>
      </w:r>
      <w:r>
        <w:tab/>
        <w:t>$60,000,000</w:t>
      </w:r>
    </w:p>
    <w:p w14:paraId="2C7936E6" w14:textId="77777777" w:rsidR="00426830" w:rsidRDefault="00723590">
      <w:pPr>
        <w:spacing w:after="9"/>
        <w:ind w:left="360" w:right="1450" w:firstLine="0"/>
      </w:pPr>
      <w:r>
        <w:rPr>
          <w:noProof/>
        </w:rPr>
        <w:drawing>
          <wp:anchor distT="0" distB="0" distL="114300" distR="114300" simplePos="0" relativeHeight="251660288" behindDoc="0" locked="0" layoutInCell="1" allowOverlap="0" wp14:anchorId="729D6B8C" wp14:editId="1C33CB14">
            <wp:simplePos x="0" y="0"/>
            <wp:positionH relativeFrom="column">
              <wp:posOffset>4188436</wp:posOffset>
            </wp:positionH>
            <wp:positionV relativeFrom="paragraph">
              <wp:posOffset>0</wp:posOffset>
            </wp:positionV>
            <wp:extent cx="838200" cy="307848"/>
            <wp:effectExtent l="0" t="0" r="0" b="0"/>
            <wp:wrapSquare wrapText="bothSides"/>
            <wp:docPr id="4974" name="Picture 4974"/>
            <wp:cNvGraphicFramePr/>
            <a:graphic xmlns:a="http://schemas.openxmlformats.org/drawingml/2006/main">
              <a:graphicData uri="http://schemas.openxmlformats.org/drawingml/2006/picture">
                <pic:pic xmlns:pic="http://schemas.openxmlformats.org/drawingml/2006/picture">
                  <pic:nvPicPr>
                    <pic:cNvPr id="4974" name="Picture 4974"/>
                    <pic:cNvPicPr/>
                  </pic:nvPicPr>
                  <pic:blipFill>
                    <a:blip r:embed="rId7"/>
                    <a:stretch>
                      <a:fillRect/>
                    </a:stretch>
                  </pic:blipFill>
                  <pic:spPr>
                    <a:xfrm>
                      <a:off x="0" y="0"/>
                      <a:ext cx="838200" cy="307848"/>
                    </a:xfrm>
                    <a:prstGeom prst="rect">
                      <a:avLst/>
                    </a:prstGeom>
                  </pic:spPr>
                </pic:pic>
              </a:graphicData>
            </a:graphic>
          </wp:anchor>
        </w:drawing>
      </w:r>
      <w:r>
        <w:t>Nonflight personnel</w:t>
      </w:r>
    </w:p>
    <w:p w14:paraId="413BD1DF" w14:textId="77777777" w:rsidR="00426830" w:rsidRDefault="00723590">
      <w:pPr>
        <w:spacing w:after="298"/>
        <w:ind w:left="360" w:right="1450" w:firstLine="0"/>
      </w:pPr>
      <w:r>
        <w:t>Total</w:t>
      </w:r>
    </w:p>
    <w:p w14:paraId="2EEF3A52" w14:textId="77777777" w:rsidR="00426830" w:rsidRDefault="00723590">
      <w:pPr>
        <w:numPr>
          <w:ilvl w:val="0"/>
          <w:numId w:val="6"/>
        </w:numPr>
        <w:spacing w:after="300"/>
        <w:ind w:right="0" w:hanging="360"/>
      </w:pPr>
      <w:r>
        <w:t>From its operations, it has total receipts of $50,000,000, business net income of $1,000,000, an</w:t>
      </w:r>
      <w:r>
        <w:t>d no nonbusiness income.</w:t>
      </w:r>
    </w:p>
    <w:p w14:paraId="2A9D1B41" w14:textId="77777777" w:rsidR="00426830" w:rsidRDefault="00723590">
      <w:pPr>
        <w:numPr>
          <w:ilvl w:val="0"/>
          <w:numId w:val="6"/>
        </w:numPr>
        <w:spacing w:after="50"/>
        <w:ind w:right="0" w:hanging="360"/>
      </w:pPr>
      <w:r>
        <w:t>It has the following within state X:</w:t>
      </w:r>
    </w:p>
    <w:tbl>
      <w:tblPr>
        <w:tblStyle w:val="TableGrid"/>
        <w:tblW w:w="7559" w:type="dxa"/>
        <w:tblInd w:w="360" w:type="dxa"/>
        <w:tblLook w:val="04A0" w:firstRow="1" w:lastRow="0" w:firstColumn="1" w:lastColumn="0" w:noHBand="0" w:noVBand="1"/>
      </w:tblPr>
      <w:tblGrid>
        <w:gridCol w:w="360"/>
        <w:gridCol w:w="5995"/>
        <w:gridCol w:w="1204"/>
      </w:tblGrid>
      <w:tr w:rsidR="00426830" w14:paraId="2AB8BC41" w14:textId="77777777">
        <w:trPr>
          <w:trHeight w:val="247"/>
        </w:trPr>
        <w:tc>
          <w:tcPr>
            <w:tcW w:w="360" w:type="dxa"/>
            <w:tcBorders>
              <w:top w:val="nil"/>
              <w:left w:val="nil"/>
              <w:bottom w:val="nil"/>
              <w:right w:val="nil"/>
            </w:tcBorders>
          </w:tcPr>
          <w:p w14:paraId="682B60AE" w14:textId="77777777" w:rsidR="00426830" w:rsidRDefault="00723590">
            <w:pPr>
              <w:spacing w:after="0" w:line="259" w:lineRule="auto"/>
              <w:ind w:right="0" w:firstLine="0"/>
              <w:jc w:val="left"/>
            </w:pPr>
            <w:r>
              <w:t>a.</w:t>
            </w:r>
          </w:p>
        </w:tc>
        <w:tc>
          <w:tcPr>
            <w:tcW w:w="5995" w:type="dxa"/>
            <w:tcBorders>
              <w:top w:val="nil"/>
              <w:left w:val="nil"/>
              <w:bottom w:val="nil"/>
              <w:right w:val="nil"/>
            </w:tcBorders>
          </w:tcPr>
          <w:p w14:paraId="6328EBC5" w14:textId="77777777" w:rsidR="00426830" w:rsidRDefault="00723590">
            <w:pPr>
              <w:spacing w:after="0" w:line="259" w:lineRule="auto"/>
              <w:ind w:right="0" w:firstLine="0"/>
              <w:jc w:val="left"/>
            </w:pPr>
            <w:r>
              <w:t>10% of its 747 flight departures (.10 x $432,000,000)</w:t>
            </w:r>
          </w:p>
        </w:tc>
        <w:tc>
          <w:tcPr>
            <w:tcW w:w="1204" w:type="dxa"/>
            <w:tcBorders>
              <w:top w:val="nil"/>
              <w:left w:val="nil"/>
              <w:bottom w:val="nil"/>
              <w:right w:val="nil"/>
            </w:tcBorders>
          </w:tcPr>
          <w:p w14:paraId="33E9C85F" w14:textId="77777777" w:rsidR="00426830" w:rsidRDefault="00723590">
            <w:pPr>
              <w:spacing w:after="0" w:line="259" w:lineRule="auto"/>
              <w:ind w:right="0" w:firstLine="0"/>
            </w:pPr>
            <w:r>
              <w:t>$43,200,000</w:t>
            </w:r>
          </w:p>
        </w:tc>
      </w:tr>
      <w:tr w:rsidR="00426830" w14:paraId="04665DD9" w14:textId="77777777">
        <w:trPr>
          <w:trHeight w:val="278"/>
        </w:trPr>
        <w:tc>
          <w:tcPr>
            <w:tcW w:w="360" w:type="dxa"/>
            <w:tcBorders>
              <w:top w:val="nil"/>
              <w:left w:val="nil"/>
              <w:bottom w:val="nil"/>
              <w:right w:val="nil"/>
            </w:tcBorders>
          </w:tcPr>
          <w:p w14:paraId="0C1AD7FE" w14:textId="77777777" w:rsidR="00426830" w:rsidRDefault="00723590">
            <w:pPr>
              <w:spacing w:after="0" w:line="259" w:lineRule="auto"/>
              <w:ind w:right="0" w:firstLine="0"/>
              <w:jc w:val="left"/>
            </w:pPr>
            <w:r>
              <w:t>b.</w:t>
            </w:r>
          </w:p>
        </w:tc>
        <w:tc>
          <w:tcPr>
            <w:tcW w:w="5995" w:type="dxa"/>
            <w:tcBorders>
              <w:top w:val="nil"/>
              <w:left w:val="nil"/>
              <w:bottom w:val="nil"/>
              <w:right w:val="nil"/>
            </w:tcBorders>
          </w:tcPr>
          <w:p w14:paraId="7CDCDE99" w14:textId="77777777" w:rsidR="00426830" w:rsidRDefault="00723590">
            <w:pPr>
              <w:spacing w:after="0" w:line="259" w:lineRule="auto"/>
              <w:ind w:right="0" w:firstLine="0"/>
              <w:jc w:val="left"/>
            </w:pPr>
            <w:r>
              <w:t>20% of its 727 flight departures (.20 x $400,000,000)</w:t>
            </w:r>
          </w:p>
        </w:tc>
        <w:tc>
          <w:tcPr>
            <w:tcW w:w="1204" w:type="dxa"/>
            <w:tcBorders>
              <w:top w:val="nil"/>
              <w:left w:val="nil"/>
              <w:bottom w:val="nil"/>
              <w:right w:val="nil"/>
            </w:tcBorders>
          </w:tcPr>
          <w:p w14:paraId="40547DAE" w14:textId="77777777" w:rsidR="00426830" w:rsidRDefault="00723590">
            <w:pPr>
              <w:spacing w:after="0" w:line="259" w:lineRule="auto"/>
              <w:ind w:right="0" w:firstLine="0"/>
            </w:pPr>
            <w:r>
              <w:t>$80,000,000</w:t>
            </w:r>
          </w:p>
        </w:tc>
      </w:tr>
      <w:tr w:rsidR="00426830" w14:paraId="15F748B1" w14:textId="77777777">
        <w:trPr>
          <w:trHeight w:val="278"/>
        </w:trPr>
        <w:tc>
          <w:tcPr>
            <w:tcW w:w="360" w:type="dxa"/>
            <w:tcBorders>
              <w:top w:val="nil"/>
              <w:left w:val="nil"/>
              <w:bottom w:val="nil"/>
              <w:right w:val="nil"/>
            </w:tcBorders>
          </w:tcPr>
          <w:p w14:paraId="662AF4F1" w14:textId="77777777" w:rsidR="00426830" w:rsidRDefault="00723590">
            <w:pPr>
              <w:spacing w:after="0" w:line="259" w:lineRule="auto"/>
              <w:ind w:right="0" w:firstLine="0"/>
              <w:jc w:val="left"/>
            </w:pPr>
            <w:r>
              <w:t>c.</w:t>
            </w:r>
          </w:p>
        </w:tc>
        <w:tc>
          <w:tcPr>
            <w:tcW w:w="5995" w:type="dxa"/>
            <w:tcBorders>
              <w:top w:val="nil"/>
              <w:left w:val="nil"/>
              <w:bottom w:val="nil"/>
              <w:right w:val="nil"/>
            </w:tcBorders>
          </w:tcPr>
          <w:p w14:paraId="1903BAB6" w14:textId="77777777" w:rsidR="00426830" w:rsidRDefault="00723590">
            <w:pPr>
              <w:spacing w:after="0" w:line="259" w:lineRule="auto"/>
              <w:ind w:right="0" w:firstLine="0"/>
              <w:jc w:val="left"/>
            </w:pPr>
            <w:r>
              <w:t xml:space="preserve">5% of its </w:t>
            </w:r>
            <w:proofErr w:type="spellStart"/>
            <w:r>
              <w:t>n.t.p</w:t>
            </w:r>
            <w:proofErr w:type="spellEnd"/>
            <w:r>
              <w:t>. (.05 x$200,000,000)</w:t>
            </w:r>
          </w:p>
        </w:tc>
        <w:tc>
          <w:tcPr>
            <w:tcW w:w="1204" w:type="dxa"/>
            <w:tcBorders>
              <w:top w:val="nil"/>
              <w:left w:val="nil"/>
              <w:bottom w:val="nil"/>
              <w:right w:val="nil"/>
            </w:tcBorders>
          </w:tcPr>
          <w:p w14:paraId="3F1EA6F1" w14:textId="77777777" w:rsidR="00426830" w:rsidRDefault="00723590">
            <w:pPr>
              <w:spacing w:after="0" w:line="259" w:lineRule="auto"/>
              <w:ind w:right="0" w:firstLine="0"/>
            </w:pPr>
            <w:r>
              <w:t>$10,000,000</w:t>
            </w:r>
          </w:p>
        </w:tc>
      </w:tr>
      <w:tr w:rsidR="00426830" w14:paraId="6E443592" w14:textId="77777777">
        <w:trPr>
          <w:trHeight w:val="247"/>
        </w:trPr>
        <w:tc>
          <w:tcPr>
            <w:tcW w:w="360" w:type="dxa"/>
            <w:tcBorders>
              <w:top w:val="nil"/>
              <w:left w:val="nil"/>
              <w:bottom w:val="nil"/>
              <w:right w:val="nil"/>
            </w:tcBorders>
          </w:tcPr>
          <w:p w14:paraId="4AAC594F" w14:textId="77777777" w:rsidR="00426830" w:rsidRDefault="00723590">
            <w:pPr>
              <w:spacing w:after="0" w:line="259" w:lineRule="auto"/>
              <w:ind w:right="0" w:firstLine="0"/>
              <w:jc w:val="left"/>
            </w:pPr>
            <w:r>
              <w:t>d.</w:t>
            </w:r>
          </w:p>
        </w:tc>
        <w:tc>
          <w:tcPr>
            <w:tcW w:w="5995" w:type="dxa"/>
            <w:tcBorders>
              <w:top w:val="nil"/>
              <w:left w:val="nil"/>
              <w:bottom w:val="nil"/>
              <w:right w:val="nil"/>
            </w:tcBorders>
          </w:tcPr>
          <w:p w14:paraId="50EB0F94" w14:textId="77777777" w:rsidR="00426830" w:rsidRDefault="00723590">
            <w:pPr>
              <w:spacing w:after="0" w:line="259" w:lineRule="auto"/>
              <w:ind w:right="0" w:firstLine="0"/>
              <w:jc w:val="left"/>
            </w:pPr>
            <w:r>
              <w:t xml:space="preserve">15% of its </w:t>
            </w:r>
            <w:proofErr w:type="spellStart"/>
            <w:r>
              <w:t>n.p.</w:t>
            </w:r>
            <w:proofErr w:type="spellEnd"/>
            <w:r>
              <w:t xml:space="preserve"> payroll (.15x$40,000,000)</w:t>
            </w:r>
          </w:p>
        </w:tc>
        <w:tc>
          <w:tcPr>
            <w:tcW w:w="1204" w:type="dxa"/>
            <w:tcBorders>
              <w:top w:val="nil"/>
              <w:left w:val="nil"/>
              <w:bottom w:val="nil"/>
              <w:right w:val="nil"/>
            </w:tcBorders>
          </w:tcPr>
          <w:p w14:paraId="64C17F79" w14:textId="77777777" w:rsidR="00426830" w:rsidRDefault="00723590">
            <w:pPr>
              <w:spacing w:after="0" w:line="259" w:lineRule="auto"/>
              <w:ind w:left="120" w:right="0" w:firstLine="0"/>
              <w:jc w:val="left"/>
            </w:pPr>
            <w:r>
              <w:t>$6,000,000</w:t>
            </w:r>
          </w:p>
        </w:tc>
      </w:tr>
    </w:tbl>
    <w:p w14:paraId="49C82277" w14:textId="77777777" w:rsidR="00426830" w:rsidRDefault="00723590">
      <w:pPr>
        <w:numPr>
          <w:ilvl w:val="0"/>
          <w:numId w:val="6"/>
        </w:numPr>
        <w:ind w:right="0" w:hanging="360"/>
      </w:pPr>
      <w:r>
        <w:t>State X has a corporate tax rate of 10%.</w:t>
      </w:r>
    </w:p>
    <w:p w14:paraId="1DDF15F6" w14:textId="77777777" w:rsidR="00426830" w:rsidRDefault="00723590">
      <w:pPr>
        <w:ind w:left="-15" w:right="0" w:firstLine="0"/>
      </w:pPr>
      <w:r>
        <w:t>The airline's tax liability to state X would be determined as follows:</w:t>
      </w:r>
    </w:p>
    <w:p w14:paraId="125A32F8" w14:textId="77777777" w:rsidR="00426830" w:rsidRDefault="00723590">
      <w:pPr>
        <w:spacing w:after="289" w:line="259" w:lineRule="auto"/>
        <w:ind w:left="10" w:right="0" w:hanging="10"/>
        <w:jc w:val="left"/>
      </w:pPr>
      <w:r>
        <w:rPr>
          <w:b/>
        </w:rPr>
        <w:t>Property Factor:</w:t>
      </w:r>
    </w:p>
    <w:p w14:paraId="29621B34" w14:textId="77777777" w:rsidR="00426830" w:rsidRDefault="00723590">
      <w:pPr>
        <w:pStyle w:val="Heading1"/>
        <w:tabs>
          <w:tab w:val="center" w:pos="3386"/>
          <w:tab w:val="center" w:pos="7527"/>
          <w:tab w:val="right" w:pos="9370"/>
        </w:tabs>
        <w:ind w:left="0" w:right="-5" w:firstLine="0"/>
        <w:jc w:val="left"/>
      </w:pPr>
      <w:r>
        <w:rPr>
          <w:rFonts w:ascii="Calibri" w:eastAsia="Calibri" w:hAnsi="Calibri" w:cs="Calibri"/>
          <w:sz w:val="22"/>
          <w:u w:val="none"/>
        </w:rPr>
        <w:tab/>
      </w:r>
      <w:r>
        <w:t xml:space="preserve"> 43,200,000  (747s)  +  80,000,000  (727s)  +  10,000,000 (</w:t>
      </w:r>
      <w:proofErr w:type="spellStart"/>
      <w:r>
        <w:t>n.t.p</w:t>
      </w:r>
      <w:proofErr w:type="spellEnd"/>
      <w:r>
        <w:t>.)</w:t>
      </w:r>
      <w:r>
        <w:tab/>
      </w:r>
      <w:r>
        <w:rPr>
          <w:u w:val="none"/>
        </w:rPr>
        <w:t>=</w:t>
      </w:r>
      <w:r>
        <w:t xml:space="preserve">   133,200,000</w:t>
      </w:r>
      <w:r>
        <w:tab/>
      </w:r>
      <w:r>
        <w:rPr>
          <w:u w:val="none"/>
        </w:rPr>
        <w:t>= .1291</w:t>
      </w:r>
    </w:p>
    <w:p w14:paraId="33BA5BD4" w14:textId="77777777" w:rsidR="00426830" w:rsidRDefault="00723590">
      <w:pPr>
        <w:tabs>
          <w:tab w:val="center" w:pos="838"/>
          <w:tab w:val="center" w:pos="2945"/>
          <w:tab w:val="center" w:pos="5105"/>
          <w:tab w:val="center" w:pos="7587"/>
        </w:tabs>
        <w:ind w:right="0" w:firstLine="0"/>
        <w:jc w:val="left"/>
      </w:pPr>
      <w:r>
        <w:rPr>
          <w:rFonts w:ascii="Calibri" w:eastAsia="Calibri" w:hAnsi="Calibri" w:cs="Calibri"/>
          <w:sz w:val="22"/>
        </w:rPr>
        <w:tab/>
      </w:r>
      <w:r>
        <w:t>432,000,000</w:t>
      </w:r>
      <w:r>
        <w:tab/>
        <w:t>+400,000,000</w:t>
      </w:r>
      <w:r>
        <w:tab/>
        <w:t>+200,000,000</w:t>
      </w:r>
      <w:r>
        <w:tab/>
        <w:t>1,032,000,000</w:t>
      </w:r>
    </w:p>
    <w:p w14:paraId="0F61A7DD" w14:textId="77777777" w:rsidR="00426830" w:rsidRDefault="00723590">
      <w:pPr>
        <w:spacing w:after="41" w:line="259" w:lineRule="auto"/>
        <w:ind w:left="10" w:right="0" w:hanging="1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A02836E" wp14:editId="1D78B92D">
                <wp:simplePos x="0" y="0"/>
                <wp:positionH relativeFrom="page">
                  <wp:posOffset>896112</wp:posOffset>
                </wp:positionH>
                <wp:positionV relativeFrom="page">
                  <wp:posOffset>960120</wp:posOffset>
                </wp:positionV>
                <wp:extent cx="5980176" cy="9144"/>
                <wp:effectExtent l="0" t="0" r="0" b="0"/>
                <wp:wrapTopAndBottom/>
                <wp:docPr id="3755" name="Group 3755"/>
                <wp:cNvGraphicFramePr/>
                <a:graphic xmlns:a="http://schemas.openxmlformats.org/drawingml/2006/main">
                  <a:graphicData uri="http://schemas.microsoft.com/office/word/2010/wordprocessingGroup">
                    <wpg:wgp>
                      <wpg:cNvGrpSpPr/>
                      <wpg:grpSpPr>
                        <a:xfrm>
                          <a:off x="0" y="0"/>
                          <a:ext cx="5980176" cy="9144"/>
                          <a:chOff x="0" y="0"/>
                          <a:chExt cx="5980176" cy="9144"/>
                        </a:xfrm>
                      </wpg:grpSpPr>
                      <wps:wsp>
                        <wps:cNvPr id="5528" name="Shape 5528"/>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3755" style="width:470.88pt;height:0.719971pt;position:absolute;mso-position-horizontal-relative:page;mso-position-horizontal:absolute;margin-left:70.56pt;mso-position-vertical-relative:page;margin-top:75.6pt;" coordsize="59801,91">
                <v:shape id="Shape 5529" style="position:absolute;width:59801;height:91;left:0;top:0;" coordsize="5980176,9144" path="m0,0l5980176,0l5980176,9144l0,9144l0,0">
                  <v:stroke weight="0pt" endcap="flat" joinstyle="miter" miterlimit="10" on="false" color="#000000" opacity="0"/>
                  <v:fill on="true" color="#000000"/>
                </v:shape>
                <w10:wrap type="topAndBottom"/>
              </v:group>
            </w:pict>
          </mc:Fallback>
        </mc:AlternateContent>
      </w:r>
      <w:r>
        <w:rPr>
          <w:b/>
        </w:rPr>
        <w:t>Sales Factor:</w:t>
      </w:r>
    </w:p>
    <w:tbl>
      <w:tblPr>
        <w:tblStyle w:val="TableGrid"/>
        <w:tblW w:w="9359" w:type="dxa"/>
        <w:tblInd w:w="0" w:type="dxa"/>
        <w:tblLook w:val="04A0" w:firstRow="1" w:lastRow="0" w:firstColumn="1" w:lastColumn="0" w:noHBand="0" w:noVBand="1"/>
      </w:tblPr>
      <w:tblGrid>
        <w:gridCol w:w="6596"/>
        <w:gridCol w:w="1977"/>
        <w:gridCol w:w="786"/>
      </w:tblGrid>
      <w:tr w:rsidR="00426830" w14:paraId="3B7A6590" w14:textId="77777777">
        <w:trPr>
          <w:trHeight w:val="2785"/>
        </w:trPr>
        <w:tc>
          <w:tcPr>
            <w:tcW w:w="9359" w:type="dxa"/>
            <w:gridSpan w:val="3"/>
            <w:tcBorders>
              <w:top w:val="nil"/>
              <w:left w:val="nil"/>
              <w:bottom w:val="nil"/>
              <w:right w:val="nil"/>
            </w:tcBorders>
          </w:tcPr>
          <w:p w14:paraId="30718694" w14:textId="77777777" w:rsidR="00426830" w:rsidRDefault="00723590">
            <w:pPr>
              <w:tabs>
                <w:tab w:val="center" w:pos="2306"/>
                <w:tab w:val="center" w:pos="7526"/>
                <w:tab w:val="right" w:pos="9359"/>
              </w:tabs>
              <w:spacing w:after="17" w:line="259" w:lineRule="auto"/>
              <w:ind w:right="0" w:firstLine="0"/>
              <w:jc w:val="left"/>
            </w:pPr>
            <w:r>
              <w:rPr>
                <w:rFonts w:ascii="Calibri" w:eastAsia="Calibri" w:hAnsi="Calibri" w:cs="Calibri"/>
                <w:sz w:val="22"/>
              </w:rPr>
              <w:tab/>
            </w:r>
            <w:r>
              <w:rPr>
                <w:u w:val="single" w:color="000000"/>
              </w:rPr>
              <w:t xml:space="preserve"> 43,200,000  (747s)  +  80,000,000  (727s)</w:t>
            </w:r>
            <w:r>
              <w:rPr>
                <w:u w:val="single" w:color="000000"/>
              </w:rPr>
              <w:tab/>
            </w:r>
            <w:r>
              <w:t>=</w:t>
            </w:r>
            <w:r>
              <w:rPr>
                <w:u w:val="single" w:color="000000"/>
              </w:rPr>
              <w:t xml:space="preserve">   123,200,000</w:t>
            </w:r>
            <w:r>
              <w:rPr>
                <w:u w:val="single" w:color="000000"/>
              </w:rPr>
              <w:tab/>
            </w:r>
            <w:r>
              <w:t>= .1481</w:t>
            </w:r>
          </w:p>
          <w:p w14:paraId="0E44A593" w14:textId="77777777" w:rsidR="00426830" w:rsidRDefault="00723590">
            <w:pPr>
              <w:tabs>
                <w:tab w:val="center" w:pos="837"/>
                <w:tab w:val="center" w:pos="2944"/>
                <w:tab w:val="center" w:pos="7678"/>
              </w:tabs>
              <w:spacing w:after="263" w:line="259" w:lineRule="auto"/>
              <w:ind w:right="0" w:firstLine="0"/>
              <w:jc w:val="left"/>
            </w:pPr>
            <w:r>
              <w:rPr>
                <w:rFonts w:ascii="Calibri" w:eastAsia="Calibri" w:hAnsi="Calibri" w:cs="Calibri"/>
                <w:sz w:val="22"/>
              </w:rPr>
              <w:tab/>
            </w:r>
            <w:r>
              <w:t>432,000,000</w:t>
            </w:r>
            <w:r>
              <w:tab/>
            </w:r>
            <w:r>
              <w:t>+400,000,000</w:t>
            </w:r>
            <w:r>
              <w:tab/>
              <w:t>832,000,000</w:t>
            </w:r>
          </w:p>
          <w:p w14:paraId="7A90A8A7" w14:textId="77777777" w:rsidR="00426830" w:rsidRDefault="00723590">
            <w:pPr>
              <w:spacing w:after="289" w:line="259" w:lineRule="auto"/>
              <w:ind w:right="0" w:firstLine="0"/>
              <w:jc w:val="left"/>
            </w:pPr>
            <w:r>
              <w:rPr>
                <w:b/>
              </w:rPr>
              <w:t>Payroll Factor</w:t>
            </w:r>
            <w:r>
              <w:t>:</w:t>
            </w:r>
          </w:p>
          <w:p w14:paraId="1AA30DF9" w14:textId="77777777" w:rsidR="00426830" w:rsidRDefault="00723590">
            <w:pPr>
              <w:tabs>
                <w:tab w:val="center" w:pos="3244"/>
                <w:tab w:val="center" w:pos="7526"/>
                <w:tab w:val="right" w:pos="9359"/>
              </w:tabs>
              <w:spacing w:after="16" w:line="259" w:lineRule="auto"/>
              <w:ind w:right="0" w:firstLine="0"/>
              <w:jc w:val="left"/>
            </w:pPr>
            <w:r>
              <w:rPr>
                <w:rFonts w:ascii="Calibri" w:eastAsia="Calibri" w:hAnsi="Calibri" w:cs="Calibri"/>
                <w:sz w:val="22"/>
              </w:rPr>
              <w:tab/>
            </w:r>
            <w:r>
              <w:rPr>
                <w:u w:val="single" w:color="000000"/>
              </w:rPr>
              <w:t xml:space="preserve"> 6,000,000 (</w:t>
            </w:r>
            <w:proofErr w:type="spellStart"/>
            <w:r>
              <w:rPr>
                <w:u w:val="single" w:color="000000"/>
              </w:rPr>
              <w:t>n.p.</w:t>
            </w:r>
            <w:proofErr w:type="spellEnd"/>
            <w:r>
              <w:rPr>
                <w:u w:val="single" w:color="000000"/>
              </w:rPr>
              <w:t>)     +    8,880,000(.148x60,000,000)(flight)</w:t>
            </w:r>
            <w:r>
              <w:rPr>
                <w:u w:val="single" w:color="000000"/>
              </w:rPr>
              <w:tab/>
            </w:r>
            <w:r>
              <w:t>=</w:t>
            </w:r>
            <w:r>
              <w:rPr>
                <w:u w:val="single" w:color="000000"/>
              </w:rPr>
              <w:t xml:space="preserve">   14,8800,000</w:t>
            </w:r>
            <w:r>
              <w:rPr>
                <w:u w:val="single" w:color="000000"/>
              </w:rPr>
              <w:tab/>
            </w:r>
            <w:r>
              <w:t>= .1488</w:t>
            </w:r>
          </w:p>
          <w:p w14:paraId="7C5BD44F" w14:textId="77777777" w:rsidR="00426830" w:rsidRDefault="00723590">
            <w:pPr>
              <w:tabs>
                <w:tab w:val="center" w:pos="3237"/>
                <w:tab w:val="center" w:pos="7677"/>
              </w:tabs>
              <w:spacing w:after="295" w:line="259" w:lineRule="auto"/>
              <w:ind w:right="0" w:firstLine="0"/>
              <w:jc w:val="left"/>
            </w:pPr>
            <w:r>
              <w:rPr>
                <w:rFonts w:ascii="Calibri" w:eastAsia="Calibri" w:hAnsi="Calibri" w:cs="Calibri"/>
                <w:sz w:val="22"/>
              </w:rPr>
              <w:tab/>
            </w:r>
            <w:r>
              <w:t>100,000,000</w:t>
            </w:r>
            <w:r>
              <w:tab/>
              <w:t>100,000,000</w:t>
            </w:r>
          </w:p>
          <w:p w14:paraId="69ECC625" w14:textId="77777777" w:rsidR="00426830" w:rsidRDefault="00723590">
            <w:pPr>
              <w:tabs>
                <w:tab w:val="center" w:pos="6462"/>
              </w:tabs>
              <w:spacing w:after="0" w:line="259" w:lineRule="auto"/>
              <w:ind w:right="0" w:firstLine="0"/>
              <w:jc w:val="left"/>
            </w:pPr>
            <w:r>
              <w:t>Average ratio:</w:t>
            </w:r>
            <w:r>
              <w:tab/>
              <w:t>(.1291 + .1481 + .1488)/3 = .4260/3 = .1420</w:t>
            </w:r>
          </w:p>
        </w:tc>
      </w:tr>
      <w:tr w:rsidR="00426830" w14:paraId="272BB3D6" w14:textId="77777777">
        <w:trPr>
          <w:trHeight w:val="1949"/>
        </w:trPr>
        <w:tc>
          <w:tcPr>
            <w:tcW w:w="8573" w:type="dxa"/>
            <w:gridSpan w:val="2"/>
            <w:tcBorders>
              <w:top w:val="nil"/>
              <w:left w:val="nil"/>
              <w:bottom w:val="nil"/>
              <w:right w:val="nil"/>
            </w:tcBorders>
          </w:tcPr>
          <w:p w14:paraId="61972345" w14:textId="77777777" w:rsidR="00426830" w:rsidRDefault="00723590">
            <w:pPr>
              <w:tabs>
                <w:tab w:val="center" w:pos="5836"/>
              </w:tabs>
              <w:spacing w:after="295" w:line="259" w:lineRule="auto"/>
              <w:ind w:right="0" w:firstLine="0"/>
              <w:jc w:val="left"/>
            </w:pPr>
            <w:r>
              <w:t>Taxable Income in State X:</w:t>
            </w:r>
            <w:r>
              <w:tab/>
              <w:t xml:space="preserve">.1420 x </w:t>
            </w:r>
            <w:r>
              <w:t>$1,000,000 = $142,000</w:t>
            </w:r>
          </w:p>
          <w:p w14:paraId="7E3105B9" w14:textId="77777777" w:rsidR="00426830" w:rsidRDefault="00723590">
            <w:pPr>
              <w:tabs>
                <w:tab w:val="center" w:pos="5565"/>
              </w:tabs>
              <w:spacing w:after="541" w:line="259" w:lineRule="auto"/>
              <w:ind w:right="0" w:firstLine="0"/>
              <w:jc w:val="left"/>
            </w:pPr>
            <w:r>
              <w:t>Tax Liability to State X:</w:t>
            </w:r>
            <w:r>
              <w:tab/>
              <w:t>.10 x $142,000 = $14,200</w:t>
            </w:r>
          </w:p>
          <w:p w14:paraId="39B58D7B" w14:textId="77777777" w:rsidR="00426830" w:rsidRDefault="00723590">
            <w:pPr>
              <w:spacing w:after="0" w:line="259" w:lineRule="auto"/>
              <w:ind w:right="0" w:firstLine="0"/>
              <w:jc w:val="left"/>
            </w:pPr>
            <w:r>
              <w:rPr>
                <w:i/>
              </w:rPr>
              <w:t>Example 2:</w:t>
            </w:r>
            <w:r>
              <w:rPr>
                <w:b/>
              </w:rPr>
              <w:t xml:space="preserve"> </w:t>
            </w:r>
            <w:r>
              <w:t>Same facts except that paragraphs 6 and 7 are changed to read:</w:t>
            </w:r>
          </w:p>
        </w:tc>
        <w:tc>
          <w:tcPr>
            <w:tcW w:w="786" w:type="dxa"/>
            <w:vMerge w:val="restart"/>
            <w:tcBorders>
              <w:top w:val="nil"/>
              <w:left w:val="nil"/>
              <w:bottom w:val="nil"/>
              <w:right w:val="nil"/>
            </w:tcBorders>
          </w:tcPr>
          <w:p w14:paraId="05018A85" w14:textId="77777777" w:rsidR="00426830" w:rsidRDefault="00426830">
            <w:pPr>
              <w:spacing w:after="160" w:line="259" w:lineRule="auto"/>
              <w:ind w:right="0" w:firstLine="0"/>
              <w:jc w:val="left"/>
            </w:pPr>
          </w:p>
        </w:tc>
      </w:tr>
      <w:tr w:rsidR="00426830" w14:paraId="19E2A2D6" w14:textId="77777777">
        <w:trPr>
          <w:trHeight w:val="386"/>
        </w:trPr>
        <w:tc>
          <w:tcPr>
            <w:tcW w:w="6596" w:type="dxa"/>
            <w:tcBorders>
              <w:top w:val="nil"/>
              <w:left w:val="nil"/>
              <w:bottom w:val="nil"/>
              <w:right w:val="nil"/>
            </w:tcBorders>
          </w:tcPr>
          <w:p w14:paraId="529ECFF7" w14:textId="77777777" w:rsidR="00426830" w:rsidRDefault="00723590">
            <w:pPr>
              <w:spacing w:after="0" w:line="259" w:lineRule="auto"/>
              <w:ind w:right="0" w:firstLine="0"/>
              <w:jc w:val="left"/>
            </w:pPr>
            <w:r>
              <w:t>6. It has the following within state Y:</w:t>
            </w:r>
          </w:p>
        </w:tc>
        <w:tc>
          <w:tcPr>
            <w:tcW w:w="1977" w:type="dxa"/>
            <w:tcBorders>
              <w:top w:val="nil"/>
              <w:left w:val="nil"/>
              <w:bottom w:val="nil"/>
              <w:right w:val="nil"/>
            </w:tcBorders>
          </w:tcPr>
          <w:p w14:paraId="319D0B8D" w14:textId="77777777" w:rsidR="00426830" w:rsidRDefault="00426830">
            <w:pPr>
              <w:spacing w:after="160" w:line="259" w:lineRule="auto"/>
              <w:ind w:right="0" w:firstLine="0"/>
              <w:jc w:val="left"/>
            </w:pPr>
          </w:p>
        </w:tc>
        <w:tc>
          <w:tcPr>
            <w:tcW w:w="0" w:type="auto"/>
            <w:vMerge/>
            <w:tcBorders>
              <w:top w:val="nil"/>
              <w:left w:val="nil"/>
              <w:bottom w:val="nil"/>
              <w:right w:val="nil"/>
            </w:tcBorders>
          </w:tcPr>
          <w:p w14:paraId="70D0EB60" w14:textId="77777777" w:rsidR="00426830" w:rsidRDefault="00426830">
            <w:pPr>
              <w:spacing w:after="160" w:line="259" w:lineRule="auto"/>
              <w:ind w:right="0" w:firstLine="0"/>
              <w:jc w:val="left"/>
            </w:pPr>
          </w:p>
        </w:tc>
      </w:tr>
      <w:tr w:rsidR="00426830" w14:paraId="65A49C8F" w14:textId="77777777">
        <w:trPr>
          <w:trHeight w:val="418"/>
        </w:trPr>
        <w:tc>
          <w:tcPr>
            <w:tcW w:w="6596" w:type="dxa"/>
            <w:tcBorders>
              <w:top w:val="nil"/>
              <w:left w:val="nil"/>
              <w:bottom w:val="nil"/>
              <w:right w:val="nil"/>
            </w:tcBorders>
            <w:vAlign w:val="bottom"/>
          </w:tcPr>
          <w:p w14:paraId="268DA105" w14:textId="77777777" w:rsidR="00426830" w:rsidRDefault="00723590">
            <w:pPr>
              <w:tabs>
                <w:tab w:val="center" w:pos="444"/>
                <w:tab w:val="center" w:pos="3178"/>
              </w:tabs>
              <w:spacing w:after="0" w:line="259" w:lineRule="auto"/>
              <w:ind w:right="0" w:firstLine="0"/>
              <w:jc w:val="left"/>
            </w:pPr>
            <w:r>
              <w:rPr>
                <w:rFonts w:ascii="Calibri" w:eastAsia="Calibri" w:hAnsi="Calibri" w:cs="Calibri"/>
                <w:sz w:val="22"/>
              </w:rPr>
              <w:tab/>
            </w:r>
            <w:r>
              <w:t>a.</w:t>
            </w:r>
            <w:r>
              <w:tab/>
              <w:t xml:space="preserve">6% of its 747 flight departures (.6 x </w:t>
            </w:r>
            <w:r>
              <w:t>$432,000,000)</w:t>
            </w:r>
          </w:p>
        </w:tc>
        <w:tc>
          <w:tcPr>
            <w:tcW w:w="1977" w:type="dxa"/>
            <w:tcBorders>
              <w:top w:val="nil"/>
              <w:left w:val="nil"/>
              <w:bottom w:val="nil"/>
              <w:right w:val="nil"/>
            </w:tcBorders>
            <w:vAlign w:val="bottom"/>
          </w:tcPr>
          <w:p w14:paraId="2266F5EA" w14:textId="77777777" w:rsidR="00426830" w:rsidRDefault="00723590">
            <w:pPr>
              <w:spacing w:after="0" w:line="259" w:lineRule="auto"/>
              <w:ind w:left="120" w:right="0" w:firstLine="0"/>
              <w:jc w:val="left"/>
            </w:pPr>
            <w:r>
              <w:t>$25,920,000</w:t>
            </w:r>
          </w:p>
        </w:tc>
        <w:tc>
          <w:tcPr>
            <w:tcW w:w="786" w:type="dxa"/>
            <w:tcBorders>
              <w:top w:val="nil"/>
              <w:left w:val="nil"/>
              <w:bottom w:val="nil"/>
              <w:right w:val="nil"/>
            </w:tcBorders>
          </w:tcPr>
          <w:p w14:paraId="62F4D537" w14:textId="77777777" w:rsidR="00426830" w:rsidRDefault="00426830">
            <w:pPr>
              <w:spacing w:after="160" w:line="259" w:lineRule="auto"/>
              <w:ind w:right="0" w:firstLine="0"/>
              <w:jc w:val="left"/>
            </w:pPr>
          </w:p>
        </w:tc>
      </w:tr>
      <w:tr w:rsidR="00426830" w14:paraId="552E7AE5" w14:textId="77777777">
        <w:trPr>
          <w:trHeight w:val="278"/>
        </w:trPr>
        <w:tc>
          <w:tcPr>
            <w:tcW w:w="6596" w:type="dxa"/>
            <w:tcBorders>
              <w:top w:val="nil"/>
              <w:left w:val="nil"/>
              <w:bottom w:val="nil"/>
              <w:right w:val="nil"/>
            </w:tcBorders>
          </w:tcPr>
          <w:p w14:paraId="77170445" w14:textId="77777777" w:rsidR="00426830" w:rsidRDefault="00723590">
            <w:pPr>
              <w:spacing w:after="0" w:line="259" w:lineRule="auto"/>
              <w:ind w:left="360" w:right="0" w:firstLine="0"/>
              <w:jc w:val="left"/>
            </w:pPr>
            <w:r>
              <w:t>b. 31% of its 727 flight departures (.31 x $400,000,000)</w:t>
            </w:r>
          </w:p>
        </w:tc>
        <w:tc>
          <w:tcPr>
            <w:tcW w:w="1977" w:type="dxa"/>
            <w:tcBorders>
              <w:top w:val="nil"/>
              <w:left w:val="nil"/>
              <w:bottom w:val="nil"/>
              <w:right w:val="nil"/>
            </w:tcBorders>
          </w:tcPr>
          <w:p w14:paraId="490BC19A" w14:textId="77777777" w:rsidR="00426830" w:rsidRDefault="00723590">
            <w:pPr>
              <w:spacing w:after="0" w:line="259" w:lineRule="auto"/>
              <w:ind w:right="0" w:firstLine="0"/>
              <w:jc w:val="left"/>
            </w:pPr>
            <w:r>
              <w:t>$124,000,000</w:t>
            </w:r>
          </w:p>
        </w:tc>
        <w:tc>
          <w:tcPr>
            <w:tcW w:w="786" w:type="dxa"/>
            <w:tcBorders>
              <w:top w:val="nil"/>
              <w:left w:val="nil"/>
              <w:bottom w:val="nil"/>
              <w:right w:val="nil"/>
            </w:tcBorders>
          </w:tcPr>
          <w:p w14:paraId="630F1892" w14:textId="77777777" w:rsidR="00426830" w:rsidRDefault="00426830">
            <w:pPr>
              <w:spacing w:after="160" w:line="259" w:lineRule="auto"/>
              <w:ind w:right="0" w:firstLine="0"/>
              <w:jc w:val="left"/>
            </w:pPr>
          </w:p>
        </w:tc>
      </w:tr>
      <w:tr w:rsidR="00426830" w14:paraId="0552A3E0" w14:textId="77777777">
        <w:trPr>
          <w:trHeight w:val="278"/>
        </w:trPr>
        <w:tc>
          <w:tcPr>
            <w:tcW w:w="6596" w:type="dxa"/>
            <w:tcBorders>
              <w:top w:val="nil"/>
              <w:left w:val="nil"/>
              <w:bottom w:val="nil"/>
              <w:right w:val="nil"/>
            </w:tcBorders>
          </w:tcPr>
          <w:p w14:paraId="732D8592" w14:textId="77777777" w:rsidR="00426830" w:rsidRDefault="00723590">
            <w:pPr>
              <w:tabs>
                <w:tab w:val="center" w:pos="444"/>
                <w:tab w:val="center" w:pos="2452"/>
              </w:tabs>
              <w:spacing w:after="0" w:line="259" w:lineRule="auto"/>
              <w:ind w:right="0" w:firstLine="0"/>
              <w:jc w:val="left"/>
            </w:pPr>
            <w:r>
              <w:rPr>
                <w:rFonts w:ascii="Calibri" w:eastAsia="Calibri" w:hAnsi="Calibri" w:cs="Calibri"/>
                <w:sz w:val="22"/>
              </w:rPr>
              <w:tab/>
            </w:r>
            <w:r>
              <w:t>c.</w:t>
            </w:r>
            <w:r>
              <w:tab/>
              <w:t xml:space="preserve">3% of its </w:t>
            </w:r>
            <w:proofErr w:type="spellStart"/>
            <w:r>
              <w:t>n.t.p</w:t>
            </w:r>
            <w:proofErr w:type="spellEnd"/>
            <w:r>
              <w:t>. (.03 x$200,000,000)</w:t>
            </w:r>
          </w:p>
        </w:tc>
        <w:tc>
          <w:tcPr>
            <w:tcW w:w="1977" w:type="dxa"/>
            <w:tcBorders>
              <w:top w:val="nil"/>
              <w:left w:val="nil"/>
              <w:bottom w:val="nil"/>
              <w:right w:val="nil"/>
            </w:tcBorders>
          </w:tcPr>
          <w:p w14:paraId="346A1ED6" w14:textId="77777777" w:rsidR="00426830" w:rsidRDefault="00723590">
            <w:pPr>
              <w:spacing w:after="0" w:line="259" w:lineRule="auto"/>
              <w:ind w:left="240" w:right="0" w:firstLine="0"/>
              <w:jc w:val="left"/>
            </w:pPr>
            <w:r>
              <w:t>$6,000,000</w:t>
            </w:r>
          </w:p>
        </w:tc>
        <w:tc>
          <w:tcPr>
            <w:tcW w:w="786" w:type="dxa"/>
            <w:tcBorders>
              <w:top w:val="nil"/>
              <w:left w:val="nil"/>
              <w:bottom w:val="nil"/>
              <w:right w:val="nil"/>
            </w:tcBorders>
          </w:tcPr>
          <w:p w14:paraId="662DC7B0" w14:textId="77777777" w:rsidR="00426830" w:rsidRDefault="00426830">
            <w:pPr>
              <w:spacing w:after="160" w:line="259" w:lineRule="auto"/>
              <w:ind w:right="0" w:firstLine="0"/>
              <w:jc w:val="left"/>
            </w:pPr>
          </w:p>
        </w:tc>
      </w:tr>
      <w:tr w:rsidR="00426830" w14:paraId="3197CDD2" w14:textId="77777777">
        <w:trPr>
          <w:trHeight w:val="2366"/>
        </w:trPr>
        <w:tc>
          <w:tcPr>
            <w:tcW w:w="6596" w:type="dxa"/>
            <w:tcBorders>
              <w:top w:val="nil"/>
              <w:left w:val="nil"/>
              <w:bottom w:val="nil"/>
              <w:right w:val="nil"/>
            </w:tcBorders>
          </w:tcPr>
          <w:p w14:paraId="4E65824B" w14:textId="77777777" w:rsidR="00426830" w:rsidRDefault="00723590">
            <w:pPr>
              <w:spacing w:after="295" w:line="259" w:lineRule="auto"/>
              <w:ind w:left="360" w:right="0" w:firstLine="0"/>
              <w:jc w:val="left"/>
            </w:pPr>
            <w:r>
              <w:t xml:space="preserve">d. 7% of its </w:t>
            </w:r>
            <w:proofErr w:type="spellStart"/>
            <w:r>
              <w:t>n.p.</w:t>
            </w:r>
            <w:proofErr w:type="spellEnd"/>
            <w:r>
              <w:t xml:space="preserve"> payroll (.07x$40,000,000)</w:t>
            </w:r>
          </w:p>
          <w:p w14:paraId="274460BF" w14:textId="77777777" w:rsidR="00426830" w:rsidRDefault="00723590">
            <w:pPr>
              <w:spacing w:after="541" w:line="259" w:lineRule="auto"/>
              <w:ind w:right="0" w:firstLine="0"/>
              <w:jc w:val="left"/>
            </w:pPr>
            <w:r>
              <w:t>7. State Y has a corporate tax rate of 6.5%.</w:t>
            </w:r>
          </w:p>
          <w:p w14:paraId="05404FA4" w14:textId="77777777" w:rsidR="00426830" w:rsidRDefault="00723590">
            <w:pPr>
              <w:spacing w:after="257" w:line="259" w:lineRule="auto"/>
              <w:ind w:right="0" w:firstLine="0"/>
            </w:pPr>
            <w:r>
              <w:t xml:space="preserve">The </w:t>
            </w:r>
            <w:r>
              <w:t>airline's tax liability to state Y would be determined as follows:</w:t>
            </w:r>
          </w:p>
          <w:p w14:paraId="0F3BE84D" w14:textId="77777777" w:rsidR="00426830" w:rsidRDefault="00723590">
            <w:pPr>
              <w:spacing w:after="0" w:line="259" w:lineRule="auto"/>
              <w:ind w:right="0" w:firstLine="0"/>
              <w:jc w:val="left"/>
            </w:pPr>
            <w:r>
              <w:rPr>
                <w:b/>
              </w:rPr>
              <w:t>Property Factor:</w:t>
            </w:r>
          </w:p>
        </w:tc>
        <w:tc>
          <w:tcPr>
            <w:tcW w:w="1977" w:type="dxa"/>
            <w:tcBorders>
              <w:top w:val="nil"/>
              <w:left w:val="nil"/>
              <w:bottom w:val="nil"/>
              <w:right w:val="nil"/>
            </w:tcBorders>
          </w:tcPr>
          <w:p w14:paraId="084B7B69" w14:textId="77777777" w:rsidR="00426830" w:rsidRDefault="00723590">
            <w:pPr>
              <w:spacing w:after="0" w:line="259" w:lineRule="auto"/>
              <w:ind w:left="240" w:right="0" w:firstLine="0"/>
              <w:jc w:val="left"/>
            </w:pPr>
            <w:r>
              <w:t>$2,800,000</w:t>
            </w:r>
          </w:p>
        </w:tc>
        <w:tc>
          <w:tcPr>
            <w:tcW w:w="786" w:type="dxa"/>
            <w:tcBorders>
              <w:top w:val="nil"/>
              <w:left w:val="nil"/>
              <w:bottom w:val="nil"/>
              <w:right w:val="nil"/>
            </w:tcBorders>
          </w:tcPr>
          <w:p w14:paraId="52CA2FC7" w14:textId="77777777" w:rsidR="00426830" w:rsidRDefault="00426830">
            <w:pPr>
              <w:spacing w:after="160" w:line="259" w:lineRule="auto"/>
              <w:ind w:right="0" w:firstLine="0"/>
              <w:jc w:val="left"/>
            </w:pPr>
          </w:p>
        </w:tc>
      </w:tr>
      <w:tr w:rsidR="00426830" w14:paraId="6382EBC7" w14:textId="77777777">
        <w:trPr>
          <w:trHeight w:val="418"/>
        </w:trPr>
        <w:tc>
          <w:tcPr>
            <w:tcW w:w="6596" w:type="dxa"/>
            <w:tcBorders>
              <w:top w:val="nil"/>
              <w:left w:val="nil"/>
              <w:bottom w:val="nil"/>
              <w:right w:val="nil"/>
            </w:tcBorders>
            <w:vAlign w:val="bottom"/>
          </w:tcPr>
          <w:p w14:paraId="27BFB3AD" w14:textId="77777777" w:rsidR="00426830" w:rsidRDefault="00723590">
            <w:pPr>
              <w:spacing w:after="0" w:line="259" w:lineRule="auto"/>
              <w:ind w:left="176" w:right="0" w:firstLine="0"/>
              <w:jc w:val="center"/>
            </w:pPr>
            <w:r>
              <w:rPr>
                <w:u w:val="single" w:color="000000"/>
              </w:rPr>
              <w:t xml:space="preserve"> 25,920,000  (747s)  +124,000,000  (727s)  +    6,000,000 (</w:t>
            </w:r>
            <w:proofErr w:type="spellStart"/>
            <w:r>
              <w:rPr>
                <w:u w:val="single" w:color="000000"/>
              </w:rPr>
              <w:t>n.t.p</w:t>
            </w:r>
            <w:proofErr w:type="spellEnd"/>
            <w:r>
              <w:rPr>
                <w:u w:val="single" w:color="000000"/>
              </w:rPr>
              <w:t>.)</w:t>
            </w:r>
          </w:p>
        </w:tc>
        <w:tc>
          <w:tcPr>
            <w:tcW w:w="1977" w:type="dxa"/>
            <w:tcBorders>
              <w:top w:val="nil"/>
              <w:left w:val="nil"/>
              <w:bottom w:val="nil"/>
              <w:right w:val="nil"/>
            </w:tcBorders>
            <w:vAlign w:val="bottom"/>
          </w:tcPr>
          <w:p w14:paraId="005CCB25" w14:textId="77777777" w:rsidR="00426830" w:rsidRDefault="00723590">
            <w:pPr>
              <w:spacing w:after="0" w:line="259" w:lineRule="auto"/>
              <w:ind w:left="178" w:right="0" w:firstLine="0"/>
              <w:jc w:val="left"/>
            </w:pPr>
            <w:r>
              <w:t>=</w:t>
            </w:r>
            <w:r>
              <w:rPr>
                <w:u w:val="single" w:color="000000"/>
              </w:rPr>
              <w:t xml:space="preserve">   155,920,000</w:t>
            </w:r>
          </w:p>
        </w:tc>
        <w:tc>
          <w:tcPr>
            <w:tcW w:w="786" w:type="dxa"/>
            <w:tcBorders>
              <w:top w:val="nil"/>
              <w:left w:val="nil"/>
              <w:bottom w:val="nil"/>
              <w:right w:val="nil"/>
            </w:tcBorders>
            <w:vAlign w:val="bottom"/>
          </w:tcPr>
          <w:p w14:paraId="02E9EF03" w14:textId="77777777" w:rsidR="00426830" w:rsidRDefault="00723590">
            <w:pPr>
              <w:spacing w:after="0" w:line="259" w:lineRule="auto"/>
              <w:ind w:right="0" w:firstLine="0"/>
            </w:pPr>
            <w:r>
              <w:t>= .1511</w:t>
            </w:r>
          </w:p>
        </w:tc>
      </w:tr>
      <w:tr w:rsidR="00426830" w14:paraId="4700E4EE" w14:textId="77777777">
        <w:trPr>
          <w:trHeight w:val="974"/>
        </w:trPr>
        <w:tc>
          <w:tcPr>
            <w:tcW w:w="6596" w:type="dxa"/>
            <w:tcBorders>
              <w:top w:val="nil"/>
              <w:left w:val="nil"/>
              <w:bottom w:val="nil"/>
              <w:right w:val="nil"/>
            </w:tcBorders>
          </w:tcPr>
          <w:p w14:paraId="309C2785" w14:textId="77777777" w:rsidR="00426830" w:rsidRDefault="00723590">
            <w:pPr>
              <w:tabs>
                <w:tab w:val="center" w:pos="837"/>
                <w:tab w:val="center" w:pos="2944"/>
                <w:tab w:val="center" w:pos="5105"/>
              </w:tabs>
              <w:spacing w:after="263" w:line="259" w:lineRule="auto"/>
              <w:ind w:right="0" w:firstLine="0"/>
              <w:jc w:val="left"/>
            </w:pPr>
            <w:r>
              <w:rPr>
                <w:rFonts w:ascii="Calibri" w:eastAsia="Calibri" w:hAnsi="Calibri" w:cs="Calibri"/>
                <w:sz w:val="22"/>
              </w:rPr>
              <w:tab/>
            </w:r>
            <w:r>
              <w:t>432,000,000</w:t>
            </w:r>
            <w:r>
              <w:tab/>
              <w:t>+400,000,000</w:t>
            </w:r>
            <w:r>
              <w:tab/>
              <w:t>+200,000,000</w:t>
            </w:r>
          </w:p>
          <w:p w14:paraId="71A4E4FE" w14:textId="77777777" w:rsidR="00426830" w:rsidRDefault="00723590">
            <w:pPr>
              <w:spacing w:after="0" w:line="259" w:lineRule="auto"/>
              <w:ind w:right="0" w:firstLine="0"/>
              <w:jc w:val="left"/>
            </w:pPr>
            <w:r>
              <w:rPr>
                <w:b/>
              </w:rPr>
              <w:t>Sales Factor:</w:t>
            </w:r>
          </w:p>
        </w:tc>
        <w:tc>
          <w:tcPr>
            <w:tcW w:w="1977" w:type="dxa"/>
            <w:tcBorders>
              <w:top w:val="nil"/>
              <w:left w:val="nil"/>
              <w:bottom w:val="nil"/>
              <w:right w:val="nil"/>
            </w:tcBorders>
          </w:tcPr>
          <w:p w14:paraId="5DF1CFA5" w14:textId="77777777" w:rsidR="00426830" w:rsidRDefault="00723590">
            <w:pPr>
              <w:spacing w:after="0" w:line="259" w:lineRule="auto"/>
              <w:ind w:left="4" w:right="0" w:firstLine="0"/>
              <w:jc w:val="center"/>
            </w:pPr>
            <w:r>
              <w:t>1,032,000,000</w:t>
            </w:r>
          </w:p>
        </w:tc>
        <w:tc>
          <w:tcPr>
            <w:tcW w:w="786" w:type="dxa"/>
            <w:tcBorders>
              <w:top w:val="nil"/>
              <w:left w:val="nil"/>
              <w:bottom w:val="nil"/>
              <w:right w:val="nil"/>
            </w:tcBorders>
          </w:tcPr>
          <w:p w14:paraId="20B7D206" w14:textId="77777777" w:rsidR="00426830" w:rsidRDefault="00426830">
            <w:pPr>
              <w:spacing w:after="160" w:line="259" w:lineRule="auto"/>
              <w:ind w:right="0" w:firstLine="0"/>
              <w:jc w:val="left"/>
            </w:pPr>
          </w:p>
        </w:tc>
      </w:tr>
      <w:tr w:rsidR="00426830" w14:paraId="6D551020" w14:textId="77777777">
        <w:trPr>
          <w:trHeight w:val="418"/>
        </w:trPr>
        <w:tc>
          <w:tcPr>
            <w:tcW w:w="6596" w:type="dxa"/>
            <w:tcBorders>
              <w:top w:val="nil"/>
              <w:left w:val="nil"/>
              <w:bottom w:val="nil"/>
              <w:right w:val="nil"/>
            </w:tcBorders>
            <w:vAlign w:val="bottom"/>
          </w:tcPr>
          <w:p w14:paraId="085B5382" w14:textId="77777777" w:rsidR="00426830" w:rsidRDefault="00723590">
            <w:pPr>
              <w:spacing w:after="0" w:line="259" w:lineRule="auto"/>
              <w:ind w:left="293" w:right="0" w:firstLine="0"/>
              <w:jc w:val="left"/>
            </w:pPr>
            <w:r>
              <w:rPr>
                <w:u w:val="single" w:color="000000"/>
              </w:rPr>
              <w:t xml:space="preserve"> 25,920,000  (747s)  +124,000,000  (727s)</w:t>
            </w:r>
          </w:p>
        </w:tc>
        <w:tc>
          <w:tcPr>
            <w:tcW w:w="1977" w:type="dxa"/>
            <w:tcBorders>
              <w:top w:val="nil"/>
              <w:left w:val="nil"/>
              <w:bottom w:val="nil"/>
              <w:right w:val="nil"/>
            </w:tcBorders>
            <w:vAlign w:val="bottom"/>
          </w:tcPr>
          <w:p w14:paraId="329F5BEC" w14:textId="77777777" w:rsidR="00426830" w:rsidRDefault="00723590">
            <w:pPr>
              <w:spacing w:after="0" w:line="259" w:lineRule="auto"/>
              <w:ind w:left="178" w:right="0" w:firstLine="0"/>
              <w:jc w:val="left"/>
            </w:pPr>
            <w:r>
              <w:t>=</w:t>
            </w:r>
            <w:r>
              <w:rPr>
                <w:u w:val="single" w:color="000000"/>
              </w:rPr>
              <w:t xml:space="preserve">   149,920,000</w:t>
            </w:r>
          </w:p>
        </w:tc>
        <w:tc>
          <w:tcPr>
            <w:tcW w:w="786" w:type="dxa"/>
            <w:tcBorders>
              <w:top w:val="nil"/>
              <w:left w:val="nil"/>
              <w:bottom w:val="nil"/>
              <w:right w:val="nil"/>
            </w:tcBorders>
            <w:vAlign w:val="bottom"/>
          </w:tcPr>
          <w:p w14:paraId="26964155" w14:textId="77777777" w:rsidR="00426830" w:rsidRDefault="00723590">
            <w:pPr>
              <w:spacing w:after="0" w:line="259" w:lineRule="auto"/>
              <w:ind w:right="0" w:firstLine="0"/>
            </w:pPr>
            <w:r>
              <w:t>= .1802</w:t>
            </w:r>
          </w:p>
        </w:tc>
      </w:tr>
      <w:tr w:rsidR="00426830" w14:paraId="5F8C3D67" w14:textId="77777777">
        <w:trPr>
          <w:trHeight w:val="247"/>
        </w:trPr>
        <w:tc>
          <w:tcPr>
            <w:tcW w:w="6596" w:type="dxa"/>
            <w:tcBorders>
              <w:top w:val="nil"/>
              <w:left w:val="nil"/>
              <w:bottom w:val="nil"/>
              <w:right w:val="nil"/>
            </w:tcBorders>
          </w:tcPr>
          <w:p w14:paraId="735888F1" w14:textId="77777777" w:rsidR="00426830" w:rsidRDefault="00723590">
            <w:pPr>
              <w:tabs>
                <w:tab w:val="center" w:pos="837"/>
                <w:tab w:val="center" w:pos="2944"/>
              </w:tabs>
              <w:spacing w:after="0" w:line="259" w:lineRule="auto"/>
              <w:ind w:right="0" w:firstLine="0"/>
              <w:jc w:val="left"/>
            </w:pPr>
            <w:r>
              <w:rPr>
                <w:rFonts w:ascii="Calibri" w:eastAsia="Calibri" w:hAnsi="Calibri" w:cs="Calibri"/>
                <w:sz w:val="22"/>
              </w:rPr>
              <w:tab/>
            </w:r>
            <w:r>
              <w:t>432,000,000</w:t>
            </w:r>
            <w:r>
              <w:tab/>
              <w:t>+400,000,000</w:t>
            </w:r>
          </w:p>
        </w:tc>
        <w:tc>
          <w:tcPr>
            <w:tcW w:w="1977" w:type="dxa"/>
            <w:tcBorders>
              <w:top w:val="nil"/>
              <w:left w:val="nil"/>
              <w:bottom w:val="nil"/>
              <w:right w:val="nil"/>
            </w:tcBorders>
          </w:tcPr>
          <w:p w14:paraId="268A865B" w14:textId="77777777" w:rsidR="00426830" w:rsidRDefault="00723590">
            <w:pPr>
              <w:spacing w:after="0" w:line="259" w:lineRule="auto"/>
              <w:ind w:left="187" w:right="0" w:firstLine="0"/>
              <w:jc w:val="center"/>
            </w:pPr>
            <w:r>
              <w:t>832,000,000</w:t>
            </w:r>
          </w:p>
        </w:tc>
        <w:tc>
          <w:tcPr>
            <w:tcW w:w="786" w:type="dxa"/>
            <w:tcBorders>
              <w:top w:val="nil"/>
              <w:left w:val="nil"/>
              <w:bottom w:val="nil"/>
              <w:right w:val="nil"/>
            </w:tcBorders>
          </w:tcPr>
          <w:p w14:paraId="2B510DD4" w14:textId="77777777" w:rsidR="00426830" w:rsidRDefault="00426830">
            <w:pPr>
              <w:spacing w:after="160" w:line="259" w:lineRule="auto"/>
              <w:ind w:right="0" w:firstLine="0"/>
              <w:jc w:val="left"/>
            </w:pPr>
          </w:p>
        </w:tc>
      </w:tr>
    </w:tbl>
    <w:p w14:paraId="221C8BE2" w14:textId="77777777" w:rsidR="00426830" w:rsidRDefault="00723590">
      <w:pPr>
        <w:spacing w:after="20" w:line="259" w:lineRule="auto"/>
        <w:ind w:left="10" w:right="-15" w:hanging="10"/>
        <w:jc w:val="right"/>
      </w:pPr>
      <w:r>
        <w:rPr>
          <w:b/>
        </w:rPr>
        <w:t>5</w:t>
      </w:r>
    </w:p>
    <w:p w14:paraId="3C2F336B" w14:textId="77777777" w:rsidR="00426830" w:rsidRDefault="00723590">
      <w:pPr>
        <w:spacing w:after="289" w:line="259" w:lineRule="auto"/>
        <w:ind w:left="10" w:right="0" w:hanging="10"/>
        <w:jc w:val="left"/>
      </w:pPr>
      <w:r>
        <w:rPr>
          <w:b/>
        </w:rPr>
        <w:t>Payroll Factor</w:t>
      </w:r>
      <w:r>
        <w:t>:</w:t>
      </w:r>
    </w:p>
    <w:p w14:paraId="79D4734C" w14:textId="77777777" w:rsidR="00426830" w:rsidRDefault="00723590">
      <w:pPr>
        <w:pStyle w:val="Heading1"/>
        <w:tabs>
          <w:tab w:val="center" w:pos="3304"/>
          <w:tab w:val="center" w:pos="7527"/>
          <w:tab w:val="right" w:pos="9370"/>
        </w:tabs>
        <w:ind w:left="0" w:right="-5" w:firstLine="0"/>
        <w:jc w:val="left"/>
      </w:pPr>
      <w:r>
        <w:rPr>
          <w:rFonts w:ascii="Calibri" w:eastAsia="Calibri" w:hAnsi="Calibri" w:cs="Calibri"/>
          <w:sz w:val="22"/>
          <w:u w:val="none"/>
        </w:rPr>
        <w:tab/>
      </w:r>
      <w:r>
        <w:t xml:space="preserve"> 2,800,000 (</w:t>
      </w:r>
      <w:proofErr w:type="spellStart"/>
      <w:r>
        <w:t>n.p.</w:t>
      </w:r>
      <w:proofErr w:type="spellEnd"/>
      <w:r>
        <w:t>)     +  10,812,000(.1802x60,000,000)(flight)</w:t>
      </w:r>
      <w:r>
        <w:tab/>
      </w:r>
      <w:r>
        <w:rPr>
          <w:u w:val="none"/>
        </w:rPr>
        <w:t>=</w:t>
      </w:r>
      <w:r>
        <w:t xml:space="preserve">     13,612,000</w:t>
      </w:r>
      <w:r>
        <w:tab/>
      </w:r>
      <w:r>
        <w:rPr>
          <w:u w:val="none"/>
        </w:rPr>
        <w:t>= .1361</w:t>
      </w:r>
    </w:p>
    <w:p w14:paraId="66582C3C" w14:textId="77777777" w:rsidR="00426830" w:rsidRDefault="00723590">
      <w:pPr>
        <w:tabs>
          <w:tab w:val="center" w:pos="3556"/>
          <w:tab w:val="center" w:pos="7678"/>
        </w:tabs>
        <w:spacing w:after="50"/>
        <w:ind w:right="0" w:firstLine="0"/>
        <w:jc w:val="left"/>
      </w:pPr>
      <w:r>
        <w:rPr>
          <w:rFonts w:ascii="Calibri" w:eastAsia="Calibri" w:hAnsi="Calibri" w:cs="Calibri"/>
          <w:sz w:val="22"/>
        </w:rPr>
        <w:tab/>
      </w:r>
      <w:r>
        <w:t xml:space="preserve">40,000,000 + </w:t>
      </w:r>
      <w:r>
        <w:t>60,000,000</w:t>
      </w:r>
      <w:r>
        <w:tab/>
        <w:t>100,000,000</w:t>
      </w:r>
    </w:p>
    <w:tbl>
      <w:tblPr>
        <w:tblStyle w:val="TableGrid"/>
        <w:tblW w:w="8604" w:type="dxa"/>
        <w:tblInd w:w="0" w:type="dxa"/>
        <w:tblLook w:val="04A0" w:firstRow="1" w:lastRow="0" w:firstColumn="1" w:lastColumn="0" w:noHBand="0" w:noVBand="1"/>
      </w:tblPr>
      <w:tblGrid>
        <w:gridCol w:w="4320"/>
        <w:gridCol w:w="4284"/>
      </w:tblGrid>
      <w:tr w:rsidR="00426830" w14:paraId="5BFF594C" w14:textId="77777777">
        <w:trPr>
          <w:trHeight w:val="386"/>
        </w:trPr>
        <w:tc>
          <w:tcPr>
            <w:tcW w:w="4320" w:type="dxa"/>
            <w:tcBorders>
              <w:top w:val="nil"/>
              <w:left w:val="nil"/>
              <w:bottom w:val="nil"/>
              <w:right w:val="nil"/>
            </w:tcBorders>
          </w:tcPr>
          <w:p w14:paraId="5FA5DCED" w14:textId="77777777" w:rsidR="00426830" w:rsidRDefault="00723590">
            <w:pPr>
              <w:spacing w:after="0" w:line="259" w:lineRule="auto"/>
              <w:ind w:right="0" w:firstLine="0"/>
              <w:jc w:val="left"/>
            </w:pPr>
            <w:r>
              <w:t>Average ratio:</w:t>
            </w:r>
          </w:p>
        </w:tc>
        <w:tc>
          <w:tcPr>
            <w:tcW w:w="4284" w:type="dxa"/>
            <w:tcBorders>
              <w:top w:val="nil"/>
              <w:left w:val="nil"/>
              <w:bottom w:val="nil"/>
              <w:right w:val="nil"/>
            </w:tcBorders>
          </w:tcPr>
          <w:p w14:paraId="791955D9" w14:textId="77777777" w:rsidR="00426830" w:rsidRDefault="00723590">
            <w:pPr>
              <w:spacing w:after="0" w:line="259" w:lineRule="auto"/>
              <w:ind w:right="0" w:firstLine="0"/>
            </w:pPr>
            <w:r>
              <w:t>(.1511 + .1802 + .1361)/3 = .4674/3 = .1558</w:t>
            </w:r>
          </w:p>
        </w:tc>
      </w:tr>
      <w:tr w:rsidR="00426830" w14:paraId="6CE56932" w14:textId="77777777">
        <w:trPr>
          <w:trHeight w:val="557"/>
        </w:trPr>
        <w:tc>
          <w:tcPr>
            <w:tcW w:w="4320" w:type="dxa"/>
            <w:tcBorders>
              <w:top w:val="nil"/>
              <w:left w:val="nil"/>
              <w:bottom w:val="nil"/>
              <w:right w:val="nil"/>
            </w:tcBorders>
            <w:vAlign w:val="center"/>
          </w:tcPr>
          <w:p w14:paraId="6E118F00" w14:textId="77777777" w:rsidR="00426830" w:rsidRDefault="00723590">
            <w:pPr>
              <w:spacing w:after="0" w:line="259" w:lineRule="auto"/>
              <w:ind w:right="0" w:firstLine="0"/>
              <w:jc w:val="left"/>
            </w:pPr>
            <w:r>
              <w:t>Taxable Income in State Y:</w:t>
            </w:r>
          </w:p>
        </w:tc>
        <w:tc>
          <w:tcPr>
            <w:tcW w:w="4284" w:type="dxa"/>
            <w:tcBorders>
              <w:top w:val="nil"/>
              <w:left w:val="nil"/>
              <w:bottom w:val="nil"/>
              <w:right w:val="nil"/>
            </w:tcBorders>
            <w:vAlign w:val="center"/>
          </w:tcPr>
          <w:p w14:paraId="32A7DD66" w14:textId="77777777" w:rsidR="00426830" w:rsidRDefault="00723590">
            <w:pPr>
              <w:spacing w:after="0" w:line="259" w:lineRule="auto"/>
              <w:ind w:right="0" w:firstLine="0"/>
              <w:jc w:val="left"/>
            </w:pPr>
            <w:r>
              <w:t>.1558 x $1,000,000 = $155,800</w:t>
            </w:r>
          </w:p>
        </w:tc>
      </w:tr>
      <w:tr w:rsidR="00426830" w14:paraId="65FCB783" w14:textId="77777777">
        <w:trPr>
          <w:trHeight w:val="386"/>
        </w:trPr>
        <w:tc>
          <w:tcPr>
            <w:tcW w:w="4320" w:type="dxa"/>
            <w:tcBorders>
              <w:top w:val="nil"/>
              <w:left w:val="nil"/>
              <w:bottom w:val="nil"/>
              <w:right w:val="nil"/>
            </w:tcBorders>
            <w:vAlign w:val="bottom"/>
          </w:tcPr>
          <w:p w14:paraId="38018685" w14:textId="77777777" w:rsidR="00426830" w:rsidRDefault="00723590">
            <w:pPr>
              <w:spacing w:after="0" w:line="259" w:lineRule="auto"/>
              <w:ind w:right="0" w:firstLine="0"/>
              <w:jc w:val="left"/>
            </w:pPr>
            <w:r>
              <w:t>Tax Liability to State Y:</w:t>
            </w:r>
          </w:p>
        </w:tc>
        <w:tc>
          <w:tcPr>
            <w:tcW w:w="4284" w:type="dxa"/>
            <w:tcBorders>
              <w:top w:val="nil"/>
              <w:left w:val="nil"/>
              <w:bottom w:val="nil"/>
              <w:right w:val="nil"/>
            </w:tcBorders>
            <w:vAlign w:val="bottom"/>
          </w:tcPr>
          <w:p w14:paraId="2D9270C3" w14:textId="77777777" w:rsidR="00426830" w:rsidRDefault="00723590">
            <w:pPr>
              <w:spacing w:after="0" w:line="259" w:lineRule="auto"/>
              <w:ind w:right="0" w:firstLine="0"/>
              <w:jc w:val="left"/>
            </w:pPr>
            <w:r>
              <w:t>.65 x $155,800 = $10,127</w:t>
            </w:r>
          </w:p>
        </w:tc>
      </w:tr>
    </w:tbl>
    <w:p w14:paraId="2B191227" w14:textId="77777777" w:rsidR="00056FFF" w:rsidRDefault="00056FFF"/>
    <w:sectPr w:rsidR="00056FFF">
      <w:headerReference w:type="even" r:id="rId8"/>
      <w:headerReference w:type="default" r:id="rId9"/>
      <w:footerReference w:type="even" r:id="rId10"/>
      <w:footerReference w:type="default" r:id="rId11"/>
      <w:headerReference w:type="first" r:id="rId12"/>
      <w:footerReference w:type="first" r:id="rId13"/>
      <w:pgSz w:w="12240" w:h="15840"/>
      <w:pgMar w:top="1981" w:right="1430" w:bottom="72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4B5C7" w14:textId="77777777" w:rsidR="006B6427" w:rsidRDefault="006B6427">
      <w:pPr>
        <w:spacing w:after="0" w:line="240" w:lineRule="auto"/>
      </w:pPr>
      <w:r>
        <w:separator/>
      </w:r>
    </w:p>
  </w:endnote>
  <w:endnote w:type="continuationSeparator" w:id="0">
    <w:p w14:paraId="2C9C7FDD" w14:textId="77777777" w:rsidR="006B6427" w:rsidRDefault="006B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BA0A" w14:textId="77777777" w:rsidR="00426830" w:rsidRDefault="00723590">
    <w:pPr>
      <w:tabs>
        <w:tab w:val="right" w:pos="9603"/>
      </w:tabs>
      <w:spacing w:after="0" w:line="259" w:lineRule="auto"/>
      <w:ind w:right="-233"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794D403" wp14:editId="73962DDC">
              <wp:simplePos x="0" y="0"/>
              <wp:positionH relativeFrom="page">
                <wp:posOffset>896112</wp:posOffset>
              </wp:positionH>
              <wp:positionV relativeFrom="page">
                <wp:posOffset>9387840</wp:posOffset>
              </wp:positionV>
              <wp:extent cx="5980176" cy="27432"/>
              <wp:effectExtent l="0" t="0" r="0" b="0"/>
              <wp:wrapSquare wrapText="bothSides"/>
              <wp:docPr id="5007" name="Group 5007"/>
              <wp:cNvGraphicFramePr/>
              <a:graphic xmlns:a="http://schemas.openxmlformats.org/drawingml/2006/main">
                <a:graphicData uri="http://schemas.microsoft.com/office/word/2010/wordprocessingGroup">
                  <wpg:wgp>
                    <wpg:cNvGrpSpPr/>
                    <wpg:grpSpPr>
                      <a:xfrm>
                        <a:off x="0" y="0"/>
                        <a:ext cx="5980176" cy="27432"/>
                        <a:chOff x="0" y="0"/>
                        <a:chExt cx="5980176" cy="27432"/>
                      </a:xfrm>
                    </wpg:grpSpPr>
                    <wps:wsp>
                      <wps:cNvPr id="5540" name="Shape 5540"/>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1" name="Shape 5541"/>
                      <wps:cNvSpPr/>
                      <wps:spPr>
                        <a:xfrm>
                          <a:off x="0" y="18288"/>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5007" style="width:470.88pt;height:2.15997pt;position:absolute;mso-position-horizontal-relative:page;mso-position-horizontal:absolute;margin-left:70.56pt;mso-position-vertical-relative:page;margin-top:739.2pt;" coordsize="59801,274">
              <v:shape id="Shape 5542" style="position:absolute;width:59801;height:91;left:0;top:0;" coordsize="5980176,9144" path="m0,0l5980176,0l5980176,9144l0,9144l0,0">
                <v:stroke weight="0pt" endcap="flat" joinstyle="miter" miterlimit="10" on="false" color="#000000" opacity="0"/>
                <v:fill on="true" color="#000000"/>
              </v:shape>
              <v:shape id="Shape 5543" style="position:absolute;width:59801;height:91;left:0;top:182;" coordsize="5980176,9144" path="m0,0l5980176,0l5980176,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b/>
      </w:rPr>
      <w:t>2</w:t>
    </w:r>
    <w:r>
      <w:rPr>
        <w:b/>
      </w:rPr>
      <w:fldChar w:fldCharType="end"/>
    </w:r>
    <w:r>
      <w:rPr>
        <w:b/>
      </w:rPr>
      <w:tab/>
      <w:t>Regulations, Statutes, and Guidelines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DEA4" w14:textId="77777777" w:rsidR="00426830" w:rsidRDefault="00723590">
    <w:pPr>
      <w:spacing w:after="0" w:line="259" w:lineRule="auto"/>
      <w:ind w:left="-1440" w:right="1081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36A48A8" wp14:editId="7F72390F">
              <wp:simplePos x="0" y="0"/>
              <wp:positionH relativeFrom="page">
                <wp:posOffset>896112</wp:posOffset>
              </wp:positionH>
              <wp:positionV relativeFrom="page">
                <wp:posOffset>9387840</wp:posOffset>
              </wp:positionV>
              <wp:extent cx="5980176" cy="27432"/>
              <wp:effectExtent l="0" t="0" r="0" b="0"/>
              <wp:wrapSquare wrapText="bothSides"/>
              <wp:docPr id="4986" name="Group 4986"/>
              <wp:cNvGraphicFramePr/>
              <a:graphic xmlns:a="http://schemas.openxmlformats.org/drawingml/2006/main">
                <a:graphicData uri="http://schemas.microsoft.com/office/word/2010/wordprocessingGroup">
                  <wpg:wgp>
                    <wpg:cNvGrpSpPr/>
                    <wpg:grpSpPr>
                      <a:xfrm>
                        <a:off x="0" y="0"/>
                        <a:ext cx="5980176" cy="27432"/>
                        <a:chOff x="0" y="0"/>
                        <a:chExt cx="5980176" cy="27432"/>
                      </a:xfrm>
                    </wpg:grpSpPr>
                    <wps:wsp>
                      <wps:cNvPr id="5536" name="Shape 5536"/>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7" name="Shape 5537"/>
                      <wps:cNvSpPr/>
                      <wps:spPr>
                        <a:xfrm>
                          <a:off x="0" y="18288"/>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4986" style="width:470.88pt;height:2.15997pt;position:absolute;mso-position-horizontal-relative:page;mso-position-horizontal:absolute;margin-left:70.56pt;mso-position-vertical-relative:page;margin-top:739.2pt;" coordsize="59801,274">
              <v:shape id="Shape 5538" style="position:absolute;width:59801;height:91;left:0;top:0;" coordsize="5980176,9144" path="m0,0l5980176,0l5980176,9144l0,9144l0,0">
                <v:stroke weight="0pt" endcap="flat" joinstyle="miter" miterlimit="10" on="false" color="#000000" opacity="0"/>
                <v:fill on="true" color="#000000"/>
              </v:shape>
              <v:shape id="Shape 5539" style="position:absolute;width:59801;height:91;left:0;top:182;" coordsize="5980176,9144" path="m0,0l5980176,0l5980176,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E06A" w14:textId="77777777" w:rsidR="00426830" w:rsidRDefault="00426830">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FDEDD" w14:textId="77777777" w:rsidR="006B6427" w:rsidRDefault="006B6427">
      <w:pPr>
        <w:spacing w:after="0" w:line="240" w:lineRule="auto"/>
      </w:pPr>
      <w:r>
        <w:separator/>
      </w:r>
    </w:p>
  </w:footnote>
  <w:footnote w:type="continuationSeparator" w:id="0">
    <w:p w14:paraId="0D2CB5C8" w14:textId="77777777" w:rsidR="006B6427" w:rsidRDefault="006B6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3916" w14:textId="77777777" w:rsidR="00426830" w:rsidRDefault="00723590">
    <w:pPr>
      <w:spacing w:after="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8EDCE40" wp14:editId="760E3DDF">
              <wp:simplePos x="0" y="0"/>
              <wp:positionH relativeFrom="page">
                <wp:posOffset>896112</wp:posOffset>
              </wp:positionH>
              <wp:positionV relativeFrom="page">
                <wp:posOffset>1014985</wp:posOffset>
              </wp:positionV>
              <wp:extent cx="5980176" cy="27432"/>
              <wp:effectExtent l="0" t="0" r="0" b="0"/>
              <wp:wrapSquare wrapText="bothSides"/>
              <wp:docPr id="4995" name="Group 4995"/>
              <wp:cNvGraphicFramePr/>
              <a:graphic xmlns:a="http://schemas.openxmlformats.org/drawingml/2006/main">
                <a:graphicData uri="http://schemas.microsoft.com/office/word/2010/wordprocessingGroup">
                  <wpg:wgp>
                    <wpg:cNvGrpSpPr/>
                    <wpg:grpSpPr>
                      <a:xfrm>
                        <a:off x="0" y="0"/>
                        <a:ext cx="5980176" cy="27432"/>
                        <a:chOff x="0" y="0"/>
                        <a:chExt cx="5980176" cy="27432"/>
                      </a:xfrm>
                    </wpg:grpSpPr>
                    <wps:wsp>
                      <wps:cNvPr id="5532" name="Shape 5532"/>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3" name="Shape 5533"/>
                      <wps:cNvSpPr/>
                      <wps:spPr>
                        <a:xfrm>
                          <a:off x="0" y="18288"/>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4995" style="width:470.88pt;height:2.15997pt;position:absolute;mso-position-horizontal-relative:page;mso-position-horizontal:absolute;margin-left:70.56pt;mso-position-vertical-relative:page;margin-top:79.92pt;" coordsize="59801,274">
              <v:shape id="Shape 5534" style="position:absolute;width:59801;height:91;left:0;top:0;" coordsize="5980176,9144" path="m0,0l5980176,0l5980176,9144l0,9144l0,0">
                <v:stroke weight="0pt" endcap="flat" joinstyle="miter" miterlimit="10" on="false" color="#000000" opacity="0"/>
                <v:fill on="true" color="#000000"/>
              </v:shape>
              <v:shape id="Shape 5535" style="position:absolute;width:59801;height:91;left:0;top:182;" coordsize="5980176,9144" path="m0,0l5980176,0l5980176,9144l0,9144l0,0">
                <v:stroke weight="0pt" endcap="flat" joinstyle="miter" miterlimit="10" on="false" color="#000000" opacity="0"/>
                <v:fill on="true" color="#000000"/>
              </v:shape>
              <w10:wrap type="square"/>
            </v:group>
          </w:pict>
        </mc:Fallback>
      </mc:AlternateContent>
    </w:r>
    <w:r>
      <w:rPr>
        <w:b/>
      </w:rPr>
      <w:t>Multistate Tax Commission</w:t>
    </w:r>
  </w:p>
  <w:p w14:paraId="4DCEDE94" w14:textId="77777777" w:rsidR="00426830" w:rsidRDefault="0072359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B687EF0" wp14:editId="12DA7875">
              <wp:simplePos x="0" y="0"/>
              <wp:positionH relativeFrom="page">
                <wp:posOffset>0</wp:posOffset>
              </wp:positionH>
              <wp:positionV relativeFrom="page">
                <wp:posOffset>0</wp:posOffset>
              </wp:positionV>
              <wp:extent cx="1" cy="1"/>
              <wp:effectExtent l="0" t="0" r="0" b="0"/>
              <wp:wrapNone/>
              <wp:docPr id="4998" name="Group 499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du="http://schemas.microsoft.com/office/word/2023/wordml/word16du">
          <w:pict>
            <v:group id="Group 4998"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4DA6" w14:textId="77777777" w:rsidR="00426830" w:rsidRDefault="0072359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24BEDFA" wp14:editId="15F588FB">
              <wp:simplePos x="0" y="0"/>
              <wp:positionH relativeFrom="page">
                <wp:posOffset>896112</wp:posOffset>
              </wp:positionH>
              <wp:positionV relativeFrom="page">
                <wp:posOffset>978409</wp:posOffset>
              </wp:positionV>
              <wp:extent cx="5980176" cy="9144"/>
              <wp:effectExtent l="0" t="0" r="0" b="0"/>
              <wp:wrapNone/>
              <wp:docPr id="4980" name="Group 4980"/>
              <wp:cNvGraphicFramePr/>
              <a:graphic xmlns:a="http://schemas.openxmlformats.org/drawingml/2006/main">
                <a:graphicData uri="http://schemas.microsoft.com/office/word/2010/wordprocessingGroup">
                  <wpg:wgp>
                    <wpg:cNvGrpSpPr/>
                    <wpg:grpSpPr>
                      <a:xfrm>
                        <a:off x="0" y="0"/>
                        <a:ext cx="5980176" cy="9144"/>
                        <a:chOff x="0" y="0"/>
                        <a:chExt cx="5980176" cy="9144"/>
                      </a:xfrm>
                    </wpg:grpSpPr>
                    <wps:wsp>
                      <wps:cNvPr id="5530" name="Shape 5530"/>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4980" style="width:470.88pt;height:0.719971pt;position:absolute;z-index:-2147483648;mso-position-horizontal-relative:page;mso-position-horizontal:absolute;margin-left:70.56pt;mso-position-vertical-relative:page;margin-top:77.04pt;" coordsize="59801,91">
              <v:shape id="Shape 5531" style="position:absolute;width:59801;height:91;left:0;top:0;" coordsize="5980176,9144" path="m0,0l5980176,0l5980176,9144l0,914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4E7B" w14:textId="77777777" w:rsidR="00426830" w:rsidRDefault="0072359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C03E118" wp14:editId="1BDF3E3F">
              <wp:simplePos x="0" y="0"/>
              <wp:positionH relativeFrom="page">
                <wp:posOffset>0</wp:posOffset>
              </wp:positionH>
              <wp:positionV relativeFrom="page">
                <wp:posOffset>0</wp:posOffset>
              </wp:positionV>
              <wp:extent cx="1" cy="1"/>
              <wp:effectExtent l="0" t="0" r="0" b="0"/>
              <wp:wrapNone/>
              <wp:docPr id="4977" name="Group 49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du="http://schemas.microsoft.com/office/word/2023/wordml/word16du">
          <w:pict>
            <v:group id="Group 4977"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15C03"/>
    <w:multiLevelType w:val="hybridMultilevel"/>
    <w:tmpl w:val="3BBABB32"/>
    <w:lvl w:ilvl="0" w:tplc="228C96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5016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3A25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A2D3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E46C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2EE7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E699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82A3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7024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C5745F"/>
    <w:multiLevelType w:val="hybridMultilevel"/>
    <w:tmpl w:val="5900BAD4"/>
    <w:lvl w:ilvl="0" w:tplc="C832B6AA">
      <w:start w:val="2"/>
      <w:numFmt w:val="lowerRoman"/>
      <w:lvlText w:val="(%1)"/>
      <w:lvlJc w:val="left"/>
      <w:pPr>
        <w:ind w:left="11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C0AEB7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5D48CC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59493B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ECB9B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AA79E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61C2AD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E68C2F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C4842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CD1636"/>
    <w:multiLevelType w:val="hybridMultilevel"/>
    <w:tmpl w:val="AE80EDF4"/>
    <w:lvl w:ilvl="0" w:tplc="3C563C7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886A72">
      <w:start w:val="1"/>
      <w:numFmt w:val="lowerLetter"/>
      <w:lvlText w:val="%2"/>
      <w:lvlJc w:val="left"/>
      <w:pPr>
        <w:ind w:left="14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24BEB2">
      <w:start w:val="1"/>
      <w:numFmt w:val="lowerRoman"/>
      <w:lvlText w:val="%3"/>
      <w:lvlJc w:val="left"/>
      <w:pPr>
        <w:ind w:left="2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B4935A">
      <w:start w:val="1"/>
      <w:numFmt w:val="decimal"/>
      <w:lvlText w:val="%4"/>
      <w:lvlJc w:val="left"/>
      <w:pPr>
        <w:ind w:left="2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98238E">
      <w:start w:val="1"/>
      <w:numFmt w:val="lowerLetter"/>
      <w:lvlText w:val="%5"/>
      <w:lvlJc w:val="left"/>
      <w:pPr>
        <w:ind w:left="3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A504246">
      <w:start w:val="1"/>
      <w:numFmt w:val="lowerRoman"/>
      <w:lvlText w:val="%6"/>
      <w:lvlJc w:val="left"/>
      <w:pPr>
        <w:ind w:left="4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0C6C8E">
      <w:start w:val="1"/>
      <w:numFmt w:val="decimal"/>
      <w:lvlText w:val="%7"/>
      <w:lvlJc w:val="left"/>
      <w:pPr>
        <w:ind w:left="5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15AC5FE">
      <w:start w:val="1"/>
      <w:numFmt w:val="lowerLetter"/>
      <w:lvlText w:val="%8"/>
      <w:lvlJc w:val="left"/>
      <w:pPr>
        <w:ind w:left="5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B04AB18">
      <w:start w:val="1"/>
      <w:numFmt w:val="lowerRoman"/>
      <w:lvlText w:val="%9"/>
      <w:lvlJc w:val="left"/>
      <w:pPr>
        <w:ind w:left="6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15E68DF"/>
    <w:multiLevelType w:val="hybridMultilevel"/>
    <w:tmpl w:val="01A42EFA"/>
    <w:lvl w:ilvl="0" w:tplc="A3986FD8">
      <w:start w:val="1"/>
      <w:numFmt w:val="upperLetter"/>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BAD2F6">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46A49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F2EE94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A4E58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F00CB3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7C4091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FADE0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12A6F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7F69C6"/>
    <w:multiLevelType w:val="hybridMultilevel"/>
    <w:tmpl w:val="31AE2EF8"/>
    <w:lvl w:ilvl="0" w:tplc="61380252">
      <w:start w:val="6"/>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1A06A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ACDCB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B814F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36542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6ED80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90AED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76950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462A9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957296"/>
    <w:multiLevelType w:val="hybridMultilevel"/>
    <w:tmpl w:val="89609604"/>
    <w:lvl w:ilvl="0" w:tplc="C158CB76">
      <w:start w:val="1"/>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DC8CD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3CB55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EEB9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68463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94231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F2D1F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E45D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0670A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36509746">
    <w:abstractNumId w:val="2"/>
  </w:num>
  <w:num w:numId="2" w16cid:durableId="1351376709">
    <w:abstractNumId w:val="5"/>
  </w:num>
  <w:num w:numId="3" w16cid:durableId="973103872">
    <w:abstractNumId w:val="1"/>
  </w:num>
  <w:num w:numId="4" w16cid:durableId="1163352842">
    <w:abstractNumId w:val="4"/>
  </w:num>
  <w:num w:numId="5" w16cid:durableId="1693071236">
    <w:abstractNumId w:val="3"/>
  </w:num>
  <w:num w:numId="6" w16cid:durableId="1257985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30"/>
    <w:rsid w:val="00056FFF"/>
    <w:rsid w:val="00212F2B"/>
    <w:rsid w:val="002139A9"/>
    <w:rsid w:val="00425BF0"/>
    <w:rsid w:val="00426830"/>
    <w:rsid w:val="00470FF2"/>
    <w:rsid w:val="006B6427"/>
    <w:rsid w:val="00723590"/>
    <w:rsid w:val="00725333"/>
    <w:rsid w:val="00A16386"/>
    <w:rsid w:val="00AE1321"/>
    <w:rsid w:val="00AF3B6A"/>
    <w:rsid w:val="00B025A5"/>
    <w:rsid w:val="00B055FE"/>
    <w:rsid w:val="00B46080"/>
    <w:rsid w:val="00B5527E"/>
    <w:rsid w:val="00BD6F91"/>
    <w:rsid w:val="00D24080"/>
    <w:rsid w:val="00FB3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89B9"/>
  <w15:docId w15:val="{EB343D99-E952-4183-9E41-63FA8478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50" w:lineRule="auto"/>
      <w:ind w:right="2201"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7"/>
      <w:ind w:left="10" w:right="10" w:hanging="10"/>
      <w:jc w:val="right"/>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1870</Words>
  <Characters>10661</Characters>
  <Application>Microsoft Office Word</Application>
  <DocSecurity>4</DocSecurity>
  <Lines>88</Lines>
  <Paragraphs>25</Paragraphs>
  <ScaleCrop>false</ScaleCrop>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Verma</dc:creator>
  <cp:keywords/>
  <cp:lastModifiedBy>Hecht</cp:lastModifiedBy>
  <cp:revision>2</cp:revision>
  <dcterms:created xsi:type="dcterms:W3CDTF">2023-06-14T19:07:00Z</dcterms:created>
  <dcterms:modified xsi:type="dcterms:W3CDTF">2023-06-14T19:07:00Z</dcterms:modified>
</cp:coreProperties>
</file>