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EFF0F" w14:textId="2AF18733" w:rsidR="00D9635F" w:rsidRPr="003817C0" w:rsidRDefault="00D9635F" w:rsidP="001F57AF">
      <w:pPr>
        <w:pStyle w:val="Title"/>
        <w:ind w:left="0"/>
        <w:rPr>
          <w:sz w:val="32"/>
          <w:szCs w:val="52"/>
        </w:rPr>
      </w:pPr>
      <w:proofErr w:type="spellStart"/>
      <w:r w:rsidRPr="003817C0">
        <w:rPr>
          <w:sz w:val="32"/>
          <w:szCs w:val="52"/>
        </w:rPr>
        <w:t>MTC</w:t>
      </w:r>
      <w:proofErr w:type="spellEnd"/>
      <w:r w:rsidRPr="003817C0">
        <w:rPr>
          <w:sz w:val="32"/>
          <w:szCs w:val="52"/>
        </w:rPr>
        <w:t xml:space="preserve"> </w:t>
      </w:r>
      <w:r w:rsidR="00140483" w:rsidRPr="003817C0">
        <w:rPr>
          <w:sz w:val="32"/>
          <w:szCs w:val="52"/>
        </w:rPr>
        <w:t xml:space="preserve">PROJECT </w:t>
      </w:r>
      <w:r w:rsidRPr="003817C0">
        <w:rPr>
          <w:sz w:val="32"/>
          <w:szCs w:val="52"/>
        </w:rPr>
        <w:t>– STATE TAXATION OF PARTNERSHIPS</w:t>
      </w:r>
    </w:p>
    <w:p w14:paraId="1E6C6D10" w14:textId="77777777" w:rsidR="001F57AF" w:rsidRPr="003817C0" w:rsidRDefault="00D9635F" w:rsidP="001F57AF">
      <w:pPr>
        <w:pStyle w:val="Title"/>
        <w:spacing w:after="240"/>
        <w:ind w:left="0"/>
        <w:rPr>
          <w:sz w:val="32"/>
          <w:szCs w:val="52"/>
        </w:rPr>
      </w:pPr>
      <w:r w:rsidRPr="003817C0">
        <w:rPr>
          <w:sz w:val="32"/>
          <w:szCs w:val="52"/>
        </w:rPr>
        <w:t>ISSUE</w:t>
      </w:r>
      <w:r w:rsidR="00AE1AAC" w:rsidRPr="003817C0">
        <w:rPr>
          <w:sz w:val="32"/>
          <w:szCs w:val="52"/>
        </w:rPr>
        <w:t xml:space="preserve"> OUTLINE</w:t>
      </w:r>
    </w:p>
    <w:p w14:paraId="06476676" w14:textId="77777777" w:rsidR="00467258" w:rsidRDefault="00677CA4" w:rsidP="00467258">
      <w:pPr>
        <w:pStyle w:val="Title"/>
        <w:spacing w:after="240"/>
        <w:ind w:left="0"/>
        <w:rPr>
          <w:b w:val="0"/>
          <w:bCs/>
          <w:sz w:val="24"/>
          <w:szCs w:val="44"/>
        </w:rPr>
      </w:pPr>
      <w:r w:rsidRPr="00467258">
        <w:rPr>
          <w:b w:val="0"/>
          <w:bCs/>
          <w:sz w:val="24"/>
          <w:szCs w:val="44"/>
        </w:rPr>
        <w:t xml:space="preserve">Current as of </w:t>
      </w:r>
      <w:r w:rsidR="001F57AF" w:rsidRPr="00467258">
        <w:rPr>
          <w:b w:val="0"/>
          <w:bCs/>
          <w:sz w:val="24"/>
          <w:szCs w:val="44"/>
        </w:rPr>
        <w:t>August 10</w:t>
      </w:r>
      <w:r w:rsidRPr="00467258">
        <w:rPr>
          <w:b w:val="0"/>
          <w:bCs/>
          <w:sz w:val="24"/>
          <w:szCs w:val="44"/>
        </w:rPr>
        <w:t>, 2021</w:t>
      </w:r>
    </w:p>
    <w:p w14:paraId="7ECFB968" w14:textId="782032BD" w:rsidR="00992D63" w:rsidRPr="00467258" w:rsidRDefault="00992D63" w:rsidP="00467258">
      <w:pPr>
        <w:pStyle w:val="Title"/>
        <w:spacing w:after="240"/>
        <w:ind w:left="0"/>
        <w:rPr>
          <w:b w:val="0"/>
          <w:bCs/>
          <w:color w:val="C00000"/>
          <w:sz w:val="22"/>
          <w:szCs w:val="40"/>
        </w:rPr>
      </w:pPr>
      <w:r w:rsidRPr="00467258">
        <w:rPr>
          <w:b w:val="0"/>
          <w:bCs/>
          <w:color w:val="C00000"/>
          <w:sz w:val="22"/>
          <w:szCs w:val="40"/>
        </w:rPr>
        <w:t>This issue outline is a working draft and is subject to change.</w:t>
      </w:r>
    </w:p>
    <w:p w14:paraId="7CF22DC1" w14:textId="27A78E89" w:rsidR="00992D63" w:rsidRPr="00191D39" w:rsidRDefault="00992D63" w:rsidP="003817C0">
      <w:pPr>
        <w:spacing w:before="240" w:after="80"/>
        <w:ind w:left="432"/>
        <w:rPr>
          <w:rFonts w:cstheme="minorHAnsi"/>
          <w:b/>
          <w:bCs/>
          <w:sz w:val="24"/>
          <w:szCs w:val="24"/>
          <w:u w:val="single"/>
        </w:rPr>
      </w:pPr>
      <w:r w:rsidRPr="00191D39">
        <w:rPr>
          <w:rFonts w:cstheme="minorHAnsi"/>
          <w:b/>
          <w:bCs/>
          <w:sz w:val="24"/>
          <w:szCs w:val="24"/>
          <w:u w:val="single"/>
        </w:rPr>
        <w:t>Introduction</w:t>
      </w:r>
    </w:p>
    <w:p w14:paraId="24E3B815" w14:textId="407AA2A9" w:rsidR="00904545" w:rsidRPr="00906E02" w:rsidRDefault="004540F4" w:rsidP="00DD3655">
      <w:pPr>
        <w:ind w:left="432"/>
        <w:rPr>
          <w:rFonts w:asciiTheme="majorHAnsi" w:hAnsiTheme="majorHAnsi" w:cstheme="minorHAnsi"/>
        </w:rPr>
      </w:pPr>
      <w:r w:rsidRPr="00906E02">
        <w:rPr>
          <w:rFonts w:asciiTheme="majorHAnsi" w:hAnsiTheme="majorHAnsi" w:cstheme="minorHAnsi"/>
        </w:rPr>
        <w:t xml:space="preserve">Most states conform to the federal partnership tax system. </w:t>
      </w:r>
      <w:r w:rsidR="00734CE4">
        <w:rPr>
          <w:rFonts w:asciiTheme="majorHAnsi" w:hAnsiTheme="majorHAnsi" w:cstheme="minorHAnsi"/>
        </w:rPr>
        <w:t>That system differs from the</w:t>
      </w:r>
      <w:r w:rsidR="003817C0">
        <w:rPr>
          <w:rFonts w:asciiTheme="majorHAnsi" w:hAnsiTheme="majorHAnsi" w:cstheme="minorHAnsi"/>
        </w:rPr>
        <w:t xml:space="preserve"> corporate tax system </w:t>
      </w:r>
      <w:r w:rsidR="00452B9B" w:rsidRPr="00906E02">
        <w:rPr>
          <w:rFonts w:asciiTheme="majorHAnsi" w:hAnsiTheme="majorHAnsi" w:cstheme="minorHAnsi"/>
        </w:rPr>
        <w:t>in three important ways</w:t>
      </w:r>
      <w:r w:rsidR="00904545" w:rsidRPr="00906E02">
        <w:rPr>
          <w:rFonts w:asciiTheme="majorHAnsi" w:hAnsiTheme="majorHAnsi" w:cstheme="minorHAnsi"/>
        </w:rPr>
        <w:t>.</w:t>
      </w:r>
      <w:r w:rsidR="002D106B" w:rsidRPr="00906E02">
        <w:rPr>
          <w:rFonts w:asciiTheme="majorHAnsi" w:hAnsiTheme="majorHAnsi" w:cstheme="minorHAnsi"/>
        </w:rPr>
        <w:t xml:space="preserve"> </w:t>
      </w:r>
    </w:p>
    <w:p w14:paraId="27C7EBE2" w14:textId="1C87D0DA" w:rsidR="00467258" w:rsidRDefault="00F55E09" w:rsidP="00192260">
      <w:pPr>
        <w:pStyle w:val="ListParagraph"/>
        <w:numPr>
          <w:ilvl w:val="0"/>
          <w:numId w:val="27"/>
        </w:numPr>
        <w:rPr>
          <w:rFonts w:cstheme="minorHAnsi"/>
        </w:rPr>
      </w:pPr>
      <w:r>
        <w:rPr>
          <w:rFonts w:cstheme="minorHAnsi"/>
        </w:rPr>
        <w:t>Partnerships</w:t>
      </w:r>
      <w:r w:rsidR="003817C0">
        <w:rPr>
          <w:rFonts w:cstheme="minorHAnsi"/>
        </w:rPr>
        <w:t xml:space="preserve"> are taxed on a passthrough basis</w:t>
      </w:r>
      <w:r w:rsidR="00917370">
        <w:rPr>
          <w:rFonts w:cstheme="minorHAnsi"/>
        </w:rPr>
        <w:t>. That means</w:t>
      </w:r>
      <w:r>
        <w:rPr>
          <w:rFonts w:cstheme="minorHAnsi"/>
        </w:rPr>
        <w:t xml:space="preserve"> </w:t>
      </w:r>
      <w:r w:rsidR="003817C0">
        <w:rPr>
          <w:rFonts w:cstheme="minorHAnsi"/>
        </w:rPr>
        <w:t xml:space="preserve">information </w:t>
      </w:r>
      <w:r w:rsidR="00917370">
        <w:rPr>
          <w:rFonts w:cstheme="minorHAnsi"/>
        </w:rPr>
        <w:t xml:space="preserve">essential to tax-reporting </w:t>
      </w:r>
      <w:r w:rsidR="003817C0">
        <w:rPr>
          <w:rFonts w:cstheme="minorHAnsi"/>
        </w:rPr>
        <w:t xml:space="preserve">is split between the entity and its owners. </w:t>
      </w:r>
    </w:p>
    <w:p w14:paraId="3DEDF6B1" w14:textId="69B82A3F" w:rsidR="004540F4" w:rsidRDefault="0004224E" w:rsidP="00E670B0">
      <w:pPr>
        <w:pStyle w:val="ListParagraph"/>
        <w:numPr>
          <w:ilvl w:val="0"/>
          <w:numId w:val="27"/>
        </w:numPr>
        <w:rPr>
          <w:rFonts w:cstheme="minorHAnsi"/>
        </w:rPr>
      </w:pPr>
      <w:r>
        <w:rPr>
          <w:rFonts w:cstheme="minorHAnsi"/>
        </w:rPr>
        <w:t>P</w:t>
      </w:r>
      <w:r w:rsidR="007D1CE2" w:rsidRPr="004540F4">
        <w:rPr>
          <w:rFonts w:cstheme="minorHAnsi"/>
        </w:rPr>
        <w:t>artners</w:t>
      </w:r>
      <w:r w:rsidR="003D2527" w:rsidRPr="004540F4">
        <w:rPr>
          <w:rFonts w:cstheme="minorHAnsi"/>
        </w:rPr>
        <w:t xml:space="preserve"> have flexibility</w:t>
      </w:r>
      <w:r w:rsidR="00844BEA">
        <w:rPr>
          <w:rFonts w:cstheme="minorHAnsi"/>
        </w:rPr>
        <w:t xml:space="preserve"> that corporate shareholders generally lack</w:t>
      </w:r>
      <w:r w:rsidR="009B7BE0">
        <w:rPr>
          <w:rFonts w:cstheme="minorHAnsi"/>
        </w:rPr>
        <w:t xml:space="preserve">—to </w:t>
      </w:r>
      <w:r w:rsidR="003B2B1C" w:rsidRPr="004540F4">
        <w:rPr>
          <w:rFonts w:cstheme="minorHAnsi"/>
        </w:rPr>
        <w:t>share</w:t>
      </w:r>
      <w:r w:rsidR="007D1CE2" w:rsidRPr="004540F4">
        <w:rPr>
          <w:rFonts w:cstheme="minorHAnsi"/>
        </w:rPr>
        <w:t xml:space="preserve"> partnership </w:t>
      </w:r>
      <w:r w:rsidR="009B7BE0">
        <w:rPr>
          <w:rFonts w:cstheme="minorHAnsi"/>
        </w:rPr>
        <w:t>items</w:t>
      </w:r>
      <w:r w:rsidR="007D1CE2" w:rsidRPr="004540F4">
        <w:rPr>
          <w:rFonts w:cstheme="minorHAnsi"/>
        </w:rPr>
        <w:t xml:space="preserve"> in proportions that differ from </w:t>
      </w:r>
      <w:r w:rsidR="009B7BE0">
        <w:rPr>
          <w:rFonts w:cstheme="minorHAnsi"/>
        </w:rPr>
        <w:t xml:space="preserve">other items and from </w:t>
      </w:r>
      <w:r w:rsidR="007D1CE2" w:rsidRPr="004540F4">
        <w:rPr>
          <w:rFonts w:cstheme="minorHAnsi"/>
        </w:rPr>
        <w:t xml:space="preserve">their ownership </w:t>
      </w:r>
      <w:r w:rsidR="003B2B1C" w:rsidRPr="004540F4">
        <w:rPr>
          <w:rFonts w:cstheme="minorHAnsi"/>
        </w:rPr>
        <w:t>interests</w:t>
      </w:r>
      <w:r w:rsidR="007D1CE2" w:rsidRPr="004540F4">
        <w:rPr>
          <w:rFonts w:cstheme="minorHAnsi"/>
        </w:rPr>
        <w:t xml:space="preserve">. </w:t>
      </w:r>
      <w:r w:rsidR="009B7BE0">
        <w:rPr>
          <w:rFonts w:cstheme="minorHAnsi"/>
        </w:rPr>
        <w:t>IRC Subchapter K allows this flexibility as well</w:t>
      </w:r>
      <w:r w:rsidR="007D1CE2" w:rsidRPr="004540F4">
        <w:rPr>
          <w:rFonts w:cstheme="minorHAnsi"/>
        </w:rPr>
        <w:t xml:space="preserve">. </w:t>
      </w:r>
    </w:p>
    <w:p w14:paraId="43909312" w14:textId="73E76C38" w:rsidR="007D1CE2" w:rsidRPr="004540F4" w:rsidRDefault="0004224E" w:rsidP="004540F4">
      <w:pPr>
        <w:pStyle w:val="ListParagraph"/>
        <w:numPr>
          <w:ilvl w:val="0"/>
          <w:numId w:val="27"/>
        </w:numPr>
        <w:rPr>
          <w:rFonts w:cstheme="minorHAnsi"/>
        </w:rPr>
      </w:pPr>
      <w:r>
        <w:rPr>
          <w:rFonts w:cstheme="minorHAnsi"/>
        </w:rPr>
        <w:t>P</w:t>
      </w:r>
      <w:r w:rsidR="007D1CE2" w:rsidRPr="004540F4">
        <w:rPr>
          <w:rFonts w:cstheme="minorHAnsi"/>
        </w:rPr>
        <w:t>artnership</w:t>
      </w:r>
      <w:r w:rsidR="000D3703" w:rsidRPr="004540F4">
        <w:rPr>
          <w:rFonts w:cstheme="minorHAnsi"/>
        </w:rPr>
        <w:t xml:space="preserve"> </w:t>
      </w:r>
      <w:r w:rsidR="00F55E09">
        <w:rPr>
          <w:rFonts w:cstheme="minorHAnsi"/>
        </w:rPr>
        <w:t>d</w:t>
      </w:r>
      <w:r w:rsidR="001E601C" w:rsidRPr="004540F4">
        <w:rPr>
          <w:rFonts w:cstheme="minorHAnsi"/>
        </w:rPr>
        <w:t>istributions (and gains from sale</w:t>
      </w:r>
      <w:r w:rsidR="004540F4">
        <w:rPr>
          <w:rFonts w:cstheme="minorHAnsi"/>
        </w:rPr>
        <w:t>s</w:t>
      </w:r>
      <w:r w:rsidR="001E601C" w:rsidRPr="004540F4">
        <w:rPr>
          <w:rFonts w:cstheme="minorHAnsi"/>
        </w:rPr>
        <w:t xml:space="preserve"> of partnership interests) </w:t>
      </w:r>
      <w:r w:rsidR="008C142F" w:rsidRPr="004540F4">
        <w:rPr>
          <w:rFonts w:cstheme="minorHAnsi"/>
        </w:rPr>
        <w:t xml:space="preserve">are excluded </w:t>
      </w:r>
      <w:r w:rsidR="00844BEA">
        <w:rPr>
          <w:rFonts w:cstheme="minorHAnsi"/>
        </w:rPr>
        <w:t xml:space="preserve">from tax </w:t>
      </w:r>
      <w:r w:rsidR="008C142F" w:rsidRPr="004540F4">
        <w:rPr>
          <w:rFonts w:cstheme="minorHAnsi"/>
        </w:rPr>
        <w:t xml:space="preserve">to the extent </w:t>
      </w:r>
      <w:r w:rsidR="00A013B4" w:rsidRPr="004540F4">
        <w:rPr>
          <w:rFonts w:cstheme="minorHAnsi"/>
        </w:rPr>
        <w:t xml:space="preserve">amounts received represent income </w:t>
      </w:r>
      <w:r w:rsidR="009B7BE0">
        <w:rPr>
          <w:rFonts w:cstheme="minorHAnsi"/>
        </w:rPr>
        <w:t>already taxed</w:t>
      </w:r>
      <w:r w:rsidR="00A013B4" w:rsidRPr="004540F4">
        <w:rPr>
          <w:rFonts w:cstheme="minorHAnsi"/>
        </w:rPr>
        <w:t xml:space="preserve">. </w:t>
      </w:r>
    </w:p>
    <w:p w14:paraId="489DFCF2" w14:textId="08E1CFA1" w:rsidR="008402AB" w:rsidRPr="008402AB" w:rsidRDefault="008402AB" w:rsidP="00DD3655">
      <w:pPr>
        <w:ind w:left="432"/>
        <w:rPr>
          <w:rFonts w:cstheme="minorHAnsi"/>
          <w:b/>
          <w:bCs/>
          <w:i/>
          <w:iCs/>
        </w:rPr>
      </w:pPr>
      <w:r w:rsidRPr="008402AB">
        <w:rPr>
          <w:rFonts w:cstheme="minorHAnsi"/>
          <w:b/>
          <w:bCs/>
          <w:i/>
          <w:iCs/>
        </w:rPr>
        <w:t xml:space="preserve">The </w:t>
      </w:r>
      <w:r w:rsidR="009B7BE0">
        <w:rPr>
          <w:rFonts w:cstheme="minorHAnsi"/>
          <w:b/>
          <w:bCs/>
          <w:i/>
          <w:iCs/>
        </w:rPr>
        <w:t xml:space="preserve">Reason for and </w:t>
      </w:r>
      <w:r w:rsidRPr="008402AB">
        <w:rPr>
          <w:rFonts w:cstheme="minorHAnsi"/>
          <w:b/>
          <w:bCs/>
          <w:i/>
          <w:iCs/>
        </w:rPr>
        <w:t>Problem with the Federal Tax System</w:t>
      </w:r>
    </w:p>
    <w:p w14:paraId="2BC3D877" w14:textId="1A3F6304" w:rsidR="009B7BE0" w:rsidRDefault="009B7BE0" w:rsidP="00DD3655">
      <w:pPr>
        <w:ind w:left="432"/>
        <w:rPr>
          <w:rFonts w:cstheme="minorHAnsi"/>
        </w:rPr>
      </w:pPr>
      <w:r>
        <w:rPr>
          <w:rFonts w:cstheme="minorHAnsi"/>
        </w:rPr>
        <w:t xml:space="preserve">By passing through the partnership’s tax items to the partners in a way that matches the true economic effects, the federal system attempts to ensure that </w:t>
      </w:r>
      <w:r w:rsidR="00977F93">
        <w:rPr>
          <w:rFonts w:cstheme="minorHAnsi"/>
        </w:rPr>
        <w:t>the creation of a partnership cannot be used to alter the tax-effects of those items on the partners</w:t>
      </w:r>
      <w:r>
        <w:rPr>
          <w:rFonts w:cstheme="minorHAnsi"/>
        </w:rPr>
        <w:t>. Different tax items may have significant effects on the federal tax owed by different partners—especially given the differences in federal tax rates.</w:t>
      </w:r>
    </w:p>
    <w:p w14:paraId="53FA9E58" w14:textId="68AB0CF3" w:rsidR="003B2B1C" w:rsidRDefault="009B7BE0" w:rsidP="00DD3655">
      <w:pPr>
        <w:ind w:left="432"/>
        <w:rPr>
          <w:rFonts w:cstheme="minorHAnsi"/>
        </w:rPr>
      </w:pPr>
      <w:r>
        <w:rPr>
          <w:rFonts w:cstheme="minorHAnsi"/>
        </w:rPr>
        <w:t>But t</w:t>
      </w:r>
      <w:r w:rsidR="0004224E">
        <w:rPr>
          <w:rFonts w:cstheme="minorHAnsi"/>
        </w:rPr>
        <w:t xml:space="preserve">hese </w:t>
      </w:r>
      <w:r w:rsidR="00977F93">
        <w:rPr>
          <w:rFonts w:cstheme="minorHAnsi"/>
        </w:rPr>
        <w:t xml:space="preserve">same </w:t>
      </w:r>
      <w:r w:rsidR="0004224E">
        <w:rPr>
          <w:rFonts w:cstheme="minorHAnsi"/>
        </w:rPr>
        <w:t xml:space="preserve">attributes of the federal </w:t>
      </w:r>
      <w:r w:rsidR="00734CE4">
        <w:rPr>
          <w:rFonts w:cstheme="minorHAnsi"/>
        </w:rPr>
        <w:t xml:space="preserve">partnership tax </w:t>
      </w:r>
      <w:r w:rsidR="0004224E">
        <w:rPr>
          <w:rFonts w:cstheme="minorHAnsi"/>
        </w:rPr>
        <w:t xml:space="preserve">system </w:t>
      </w:r>
      <w:r w:rsidR="00917370">
        <w:rPr>
          <w:rFonts w:cstheme="minorHAnsi"/>
        </w:rPr>
        <w:t xml:space="preserve">open the door to strategies that </w:t>
      </w:r>
      <w:r w:rsidR="0004224E">
        <w:rPr>
          <w:rFonts w:cstheme="minorHAnsi"/>
        </w:rPr>
        <w:t>artificial</w:t>
      </w:r>
      <w:r w:rsidR="00917370">
        <w:rPr>
          <w:rFonts w:cstheme="minorHAnsi"/>
        </w:rPr>
        <w:t>ly</w:t>
      </w:r>
      <w:r w:rsidR="003D2527">
        <w:rPr>
          <w:rFonts w:cstheme="minorHAnsi"/>
        </w:rPr>
        <w:t xml:space="preserve"> </w:t>
      </w:r>
      <w:r w:rsidR="007D1CE2" w:rsidRPr="007D1CE2">
        <w:rPr>
          <w:rFonts w:cstheme="minorHAnsi"/>
        </w:rPr>
        <w:t>shif</w:t>
      </w:r>
      <w:r w:rsidR="00917370">
        <w:rPr>
          <w:rFonts w:cstheme="minorHAnsi"/>
        </w:rPr>
        <w:t>t</w:t>
      </w:r>
      <w:r w:rsidR="007D1CE2" w:rsidRPr="007D1CE2">
        <w:rPr>
          <w:rFonts w:cstheme="minorHAnsi"/>
        </w:rPr>
        <w:t>, defer, or lower partners’ taxes. Subchapter K</w:t>
      </w:r>
      <w:r w:rsidR="00060984">
        <w:rPr>
          <w:rFonts w:cstheme="minorHAnsi"/>
        </w:rPr>
        <w:t>, therefore, has a number of anti-abuse rules as well as</w:t>
      </w:r>
      <w:r w:rsidR="007D1CE2" w:rsidRPr="007D1CE2">
        <w:rPr>
          <w:rFonts w:cstheme="minorHAnsi"/>
        </w:rPr>
        <w:t xml:space="preserve"> proxies</w:t>
      </w:r>
      <w:r w:rsidR="0004224E">
        <w:rPr>
          <w:rFonts w:cstheme="minorHAnsi"/>
        </w:rPr>
        <w:t xml:space="preserve"> </w:t>
      </w:r>
      <w:r w:rsidR="00060984">
        <w:rPr>
          <w:rFonts w:cstheme="minorHAnsi"/>
        </w:rPr>
        <w:t>for</w:t>
      </w:r>
      <w:r w:rsidR="00843975">
        <w:rPr>
          <w:rFonts w:cstheme="minorHAnsi"/>
        </w:rPr>
        <w:t xml:space="preserve"> track</w:t>
      </w:r>
      <w:r w:rsidR="00060984">
        <w:rPr>
          <w:rFonts w:cstheme="minorHAnsi"/>
        </w:rPr>
        <w:t>ing</w:t>
      </w:r>
      <w:r w:rsidR="00843975">
        <w:rPr>
          <w:rFonts w:cstheme="minorHAnsi"/>
        </w:rPr>
        <w:t xml:space="preserve"> and </w:t>
      </w:r>
      <w:r w:rsidR="007D1CE2" w:rsidRPr="007D1CE2">
        <w:rPr>
          <w:rFonts w:cstheme="minorHAnsi"/>
        </w:rPr>
        <w:t>test</w:t>
      </w:r>
      <w:r w:rsidR="00060984">
        <w:rPr>
          <w:rFonts w:cstheme="minorHAnsi"/>
        </w:rPr>
        <w:t>ing</w:t>
      </w:r>
      <w:r w:rsidR="007D1CE2" w:rsidRPr="007D1CE2">
        <w:rPr>
          <w:rFonts w:cstheme="minorHAnsi"/>
        </w:rPr>
        <w:t xml:space="preserve"> whether the tax match</w:t>
      </w:r>
      <w:r w:rsidR="00917370">
        <w:rPr>
          <w:rFonts w:cstheme="minorHAnsi"/>
        </w:rPr>
        <w:t>es</w:t>
      </w:r>
      <w:r w:rsidR="007D1CE2" w:rsidRPr="007D1CE2">
        <w:rPr>
          <w:rFonts w:cstheme="minorHAnsi"/>
        </w:rPr>
        <w:t xml:space="preserve"> the true economic results.</w:t>
      </w:r>
      <w:r w:rsidR="003B2B1C">
        <w:rPr>
          <w:rFonts w:cstheme="minorHAnsi"/>
        </w:rPr>
        <w:t xml:space="preserve"> </w:t>
      </w:r>
      <w:r w:rsidR="00917370">
        <w:rPr>
          <w:rFonts w:cstheme="minorHAnsi"/>
        </w:rPr>
        <w:t>Consequently</w:t>
      </w:r>
      <w:r w:rsidR="00407831">
        <w:rPr>
          <w:rFonts w:cstheme="minorHAnsi"/>
        </w:rPr>
        <w:t>, the federal pass</w:t>
      </w:r>
      <w:r w:rsidR="00192260">
        <w:rPr>
          <w:rFonts w:cstheme="minorHAnsi"/>
        </w:rPr>
        <w:t>-</w:t>
      </w:r>
      <w:r w:rsidR="00407831">
        <w:rPr>
          <w:rFonts w:cstheme="minorHAnsi"/>
        </w:rPr>
        <w:t>through system</w:t>
      </w:r>
      <w:r w:rsidR="00407831" w:rsidRPr="00904545">
        <w:rPr>
          <w:rFonts w:cstheme="minorHAnsi"/>
        </w:rPr>
        <w:t xml:space="preserve"> has “a well-earned reputation as one of the most complex areas of the tax law.”</w:t>
      </w:r>
      <w:r w:rsidR="00407831" w:rsidRPr="00904545">
        <w:rPr>
          <w:rFonts w:cstheme="minorHAnsi"/>
          <w:vertAlign w:val="superscript"/>
        </w:rPr>
        <w:footnoteReference w:id="1"/>
      </w:r>
      <w:r w:rsidR="00407831" w:rsidRPr="00904545">
        <w:rPr>
          <w:rFonts w:cstheme="minorHAnsi"/>
        </w:rPr>
        <w:t xml:space="preserve"> </w:t>
      </w:r>
    </w:p>
    <w:p w14:paraId="257674C3" w14:textId="3D825864" w:rsidR="008402AB" w:rsidRPr="008402AB" w:rsidRDefault="008402AB" w:rsidP="008402AB">
      <w:pPr>
        <w:ind w:left="432"/>
        <w:rPr>
          <w:rFonts w:cstheme="minorHAnsi"/>
          <w:b/>
          <w:bCs/>
          <w:i/>
          <w:iCs/>
        </w:rPr>
      </w:pPr>
      <w:r>
        <w:rPr>
          <w:rFonts w:cstheme="minorHAnsi"/>
          <w:b/>
          <w:bCs/>
          <w:i/>
          <w:iCs/>
        </w:rPr>
        <w:t>The Problem Affects States as Well</w:t>
      </w:r>
    </w:p>
    <w:p w14:paraId="0DC17583" w14:textId="4E6C73EB" w:rsidR="00734CE4" w:rsidRDefault="00917370" w:rsidP="008402AB">
      <w:pPr>
        <w:ind w:left="432"/>
        <w:rPr>
          <w:rFonts w:cstheme="minorHAnsi"/>
        </w:rPr>
      </w:pPr>
      <w:r>
        <w:rPr>
          <w:rFonts w:cstheme="minorHAnsi"/>
        </w:rPr>
        <w:t>S</w:t>
      </w:r>
      <w:r w:rsidR="00734CE4">
        <w:rPr>
          <w:rFonts w:cstheme="minorHAnsi"/>
        </w:rPr>
        <w:t xml:space="preserve">tates </w:t>
      </w:r>
      <w:r>
        <w:rPr>
          <w:rFonts w:cstheme="minorHAnsi"/>
        </w:rPr>
        <w:t xml:space="preserve">that </w:t>
      </w:r>
      <w:r w:rsidR="008402AB">
        <w:rPr>
          <w:rFonts w:cstheme="minorHAnsi"/>
        </w:rPr>
        <w:t>follow</w:t>
      </w:r>
      <w:r>
        <w:rPr>
          <w:rFonts w:cstheme="minorHAnsi"/>
        </w:rPr>
        <w:t xml:space="preserve"> the federal system must </w:t>
      </w:r>
      <w:r w:rsidR="00734CE4">
        <w:rPr>
          <w:rFonts w:cstheme="minorHAnsi"/>
        </w:rPr>
        <w:t>rely on the Internal Revenue Service to ensure partnership income is properly reporte</w:t>
      </w:r>
      <w:r>
        <w:rPr>
          <w:rFonts w:cstheme="minorHAnsi"/>
        </w:rPr>
        <w:t>d</w:t>
      </w:r>
      <w:r w:rsidR="00734CE4">
        <w:rPr>
          <w:rFonts w:cstheme="minorHAnsi"/>
        </w:rPr>
        <w:t xml:space="preserve">. But the IRS </w:t>
      </w:r>
      <w:r w:rsidR="00977F93">
        <w:rPr>
          <w:rFonts w:cstheme="minorHAnsi"/>
        </w:rPr>
        <w:t>has been</w:t>
      </w:r>
      <w:r w:rsidR="00734CE4">
        <w:rPr>
          <w:rFonts w:cstheme="minorHAnsi"/>
        </w:rPr>
        <w:t xml:space="preserve"> </w:t>
      </w:r>
      <w:r w:rsidR="00977F93">
        <w:rPr>
          <w:rFonts w:cstheme="minorHAnsi"/>
        </w:rPr>
        <w:t>un</w:t>
      </w:r>
      <w:r w:rsidR="00734CE4">
        <w:rPr>
          <w:rFonts w:cstheme="minorHAnsi"/>
        </w:rPr>
        <w:t xml:space="preserve">able to audit </w:t>
      </w:r>
      <w:r w:rsidR="00844BEA">
        <w:rPr>
          <w:rFonts w:cstheme="minorHAnsi"/>
        </w:rPr>
        <w:t xml:space="preserve">large </w:t>
      </w:r>
      <w:r w:rsidR="00734CE4">
        <w:rPr>
          <w:rFonts w:cstheme="minorHAnsi"/>
        </w:rPr>
        <w:t xml:space="preserve">partnerships and is just now </w:t>
      </w:r>
      <w:r w:rsidR="00977F93">
        <w:rPr>
          <w:rFonts w:cstheme="minorHAnsi"/>
        </w:rPr>
        <w:t>implementing its</w:t>
      </w:r>
      <w:r w:rsidR="00734CE4">
        <w:rPr>
          <w:rFonts w:cstheme="minorHAnsi"/>
        </w:rPr>
        <w:t xml:space="preserve"> new centralized partnership audit regime</w:t>
      </w:r>
      <w:r w:rsidR="00844BEA">
        <w:rPr>
          <w:rFonts w:cstheme="minorHAnsi"/>
        </w:rPr>
        <w:t xml:space="preserve">. </w:t>
      </w:r>
      <w:r w:rsidR="00977F93">
        <w:rPr>
          <w:rFonts w:cstheme="minorHAnsi"/>
        </w:rPr>
        <w:t>T</w:t>
      </w:r>
      <w:r>
        <w:rPr>
          <w:rFonts w:cstheme="minorHAnsi"/>
        </w:rPr>
        <w:t>he same attributes of the</w:t>
      </w:r>
      <w:r w:rsidR="00734CE4">
        <w:rPr>
          <w:rFonts w:cstheme="minorHAnsi"/>
        </w:rPr>
        <w:t xml:space="preserve"> federal partnership tax system </w:t>
      </w:r>
      <w:r w:rsidR="00977F93">
        <w:rPr>
          <w:rFonts w:cstheme="minorHAnsi"/>
        </w:rPr>
        <w:t>may</w:t>
      </w:r>
      <w:r w:rsidR="00734CE4">
        <w:rPr>
          <w:rFonts w:cstheme="minorHAnsi"/>
        </w:rPr>
        <w:t xml:space="preserve"> be used to artificially shift, defer, or lower </w:t>
      </w:r>
      <w:r w:rsidR="00734CE4" w:rsidRPr="008402AB">
        <w:rPr>
          <w:rFonts w:cstheme="minorHAnsi"/>
          <w:i/>
          <w:iCs/>
        </w:rPr>
        <w:t>state</w:t>
      </w:r>
      <w:r w:rsidR="00734CE4">
        <w:rPr>
          <w:rFonts w:cstheme="minorHAnsi"/>
        </w:rPr>
        <w:t xml:space="preserve"> taxes in ways that do not change federal tax liability</w:t>
      </w:r>
      <w:r>
        <w:rPr>
          <w:rFonts w:cstheme="minorHAnsi"/>
        </w:rPr>
        <w:t xml:space="preserve">—and will not, therefore, be addressed by this new </w:t>
      </w:r>
      <w:r w:rsidR="00977F93">
        <w:rPr>
          <w:rFonts w:cstheme="minorHAnsi"/>
        </w:rPr>
        <w:t xml:space="preserve">federal </w:t>
      </w:r>
      <w:r>
        <w:rPr>
          <w:rFonts w:cstheme="minorHAnsi"/>
        </w:rPr>
        <w:t>audit regime</w:t>
      </w:r>
      <w:r w:rsidR="00734CE4">
        <w:rPr>
          <w:rFonts w:cstheme="minorHAnsi"/>
        </w:rPr>
        <w:t>.</w:t>
      </w:r>
      <w:r w:rsidR="0009258A">
        <w:rPr>
          <w:rFonts w:cstheme="minorHAnsi"/>
        </w:rPr>
        <w:t xml:space="preserve"> These issues fall to the states to resolve.</w:t>
      </w:r>
      <w:r w:rsidR="00734CE4">
        <w:rPr>
          <w:rFonts w:cstheme="minorHAnsi"/>
        </w:rPr>
        <w:t xml:space="preserve"> </w:t>
      </w:r>
    </w:p>
    <w:p w14:paraId="44518FA6" w14:textId="152BE400" w:rsidR="008402AB" w:rsidRPr="008402AB" w:rsidRDefault="008402AB" w:rsidP="00DD3655">
      <w:pPr>
        <w:ind w:left="432"/>
        <w:rPr>
          <w:rFonts w:cstheme="minorHAnsi"/>
          <w:b/>
          <w:bCs/>
          <w:i/>
          <w:iCs/>
        </w:rPr>
      </w:pPr>
      <w:r>
        <w:rPr>
          <w:rFonts w:cstheme="minorHAnsi"/>
          <w:b/>
          <w:bCs/>
          <w:i/>
          <w:iCs/>
        </w:rPr>
        <w:t xml:space="preserve">Need for </w:t>
      </w:r>
      <w:r w:rsidR="00060984">
        <w:rPr>
          <w:rFonts w:cstheme="minorHAnsi"/>
          <w:b/>
          <w:bCs/>
          <w:i/>
          <w:iCs/>
        </w:rPr>
        <w:t xml:space="preserve">Clear </w:t>
      </w:r>
      <w:r>
        <w:rPr>
          <w:rFonts w:cstheme="minorHAnsi"/>
          <w:b/>
          <w:bCs/>
          <w:i/>
          <w:iCs/>
        </w:rPr>
        <w:t>Administrable Rules</w:t>
      </w:r>
    </w:p>
    <w:p w14:paraId="44D89842" w14:textId="6B10DEF0" w:rsidR="00734CE4" w:rsidRDefault="0009258A" w:rsidP="00DD3655">
      <w:pPr>
        <w:ind w:left="432"/>
        <w:rPr>
          <w:rFonts w:cstheme="minorHAnsi"/>
        </w:rPr>
      </w:pPr>
      <w:r>
        <w:rPr>
          <w:rFonts w:cstheme="minorHAnsi"/>
        </w:rPr>
        <w:t>This project is the result of a general recognition that there are gaps in existing state partnership tax rules. Filling these gaps will require wrestling with the complexity in the current system. It may also be that what works in theory is not practical</w:t>
      </w:r>
      <w:r w:rsidR="00060984">
        <w:rPr>
          <w:rFonts w:cstheme="minorHAnsi"/>
        </w:rPr>
        <w:t xml:space="preserve"> or </w:t>
      </w:r>
      <w:r>
        <w:rPr>
          <w:rFonts w:cstheme="minorHAnsi"/>
        </w:rPr>
        <w:t xml:space="preserve">will </w:t>
      </w:r>
      <w:r w:rsidR="00060984">
        <w:rPr>
          <w:rFonts w:cstheme="minorHAnsi"/>
        </w:rPr>
        <w:t xml:space="preserve">not </w:t>
      </w:r>
      <w:r>
        <w:rPr>
          <w:rFonts w:cstheme="minorHAnsi"/>
        </w:rPr>
        <w:t>suffice to address all potential for abuse</w:t>
      </w:r>
      <w:r w:rsidR="00060984">
        <w:rPr>
          <w:rFonts w:cstheme="minorHAnsi"/>
        </w:rPr>
        <w:t xml:space="preserve">.  </w:t>
      </w:r>
    </w:p>
    <w:p w14:paraId="7B79D038" w14:textId="4CC0248B" w:rsidR="008D128F" w:rsidRPr="00C21DBA" w:rsidRDefault="00AD0392" w:rsidP="00192260">
      <w:pPr>
        <w:spacing w:before="240"/>
        <w:ind w:left="432"/>
        <w:rPr>
          <w:rFonts w:cstheme="minorHAnsi"/>
          <w:b/>
          <w:bCs/>
          <w:i/>
          <w:iCs/>
        </w:rPr>
      </w:pPr>
      <w:r>
        <w:rPr>
          <w:rFonts w:cstheme="minorHAnsi"/>
          <w:b/>
          <w:bCs/>
          <w:i/>
          <w:iCs/>
        </w:rPr>
        <w:lastRenderedPageBreak/>
        <w:t>Current</w:t>
      </w:r>
      <w:r w:rsidR="006B256E">
        <w:rPr>
          <w:rFonts w:cstheme="minorHAnsi"/>
          <w:b/>
          <w:bCs/>
          <w:i/>
          <w:iCs/>
        </w:rPr>
        <w:t xml:space="preserve"> State Approaches to</w:t>
      </w:r>
      <w:r w:rsidR="00C21DBA">
        <w:rPr>
          <w:rFonts w:cstheme="minorHAnsi"/>
          <w:b/>
          <w:bCs/>
          <w:i/>
          <w:iCs/>
        </w:rPr>
        <w:t xml:space="preserve"> </w:t>
      </w:r>
      <w:r w:rsidR="00407831">
        <w:rPr>
          <w:rFonts w:cstheme="minorHAnsi"/>
          <w:b/>
          <w:bCs/>
          <w:i/>
          <w:iCs/>
        </w:rPr>
        <w:t>Taxation of Partnership Income</w:t>
      </w:r>
    </w:p>
    <w:p w14:paraId="1A2EEC6C" w14:textId="50159E80" w:rsidR="00E2346A" w:rsidRDefault="0004224E" w:rsidP="00DD3655">
      <w:pPr>
        <w:ind w:left="432"/>
        <w:rPr>
          <w:rFonts w:cstheme="minorHAnsi"/>
        </w:rPr>
      </w:pPr>
      <w:r>
        <w:rPr>
          <w:rFonts w:cstheme="minorHAnsi"/>
        </w:rPr>
        <w:t>States currently tax partnership income in three ways:</w:t>
      </w:r>
    </w:p>
    <w:p w14:paraId="340E244D" w14:textId="014586B1" w:rsidR="00F55E09" w:rsidRDefault="00F55E09" w:rsidP="00F55E09">
      <w:pPr>
        <w:pStyle w:val="ListParagraph"/>
        <w:numPr>
          <w:ilvl w:val="0"/>
          <w:numId w:val="22"/>
        </w:numPr>
        <w:ind w:left="1080"/>
        <w:rPr>
          <w:rFonts w:cstheme="minorHAnsi"/>
        </w:rPr>
      </w:pPr>
      <w:r>
        <w:rPr>
          <w:rFonts w:cstheme="minorHAnsi"/>
        </w:rPr>
        <w:t>On a passthrough basis with income sourced to residence or domicile of partners;</w:t>
      </w:r>
    </w:p>
    <w:p w14:paraId="3BF6EB42" w14:textId="32283D67" w:rsidR="004540F4" w:rsidRDefault="004540F4" w:rsidP="00192260">
      <w:pPr>
        <w:pStyle w:val="ListParagraph"/>
        <w:numPr>
          <w:ilvl w:val="0"/>
          <w:numId w:val="22"/>
        </w:numPr>
        <w:ind w:left="1080"/>
        <w:rPr>
          <w:rFonts w:cstheme="minorHAnsi"/>
        </w:rPr>
      </w:pPr>
      <w:r w:rsidRPr="00F84021">
        <w:rPr>
          <w:rFonts w:cstheme="minorHAnsi"/>
        </w:rPr>
        <w:t>On a passthrough basis</w:t>
      </w:r>
      <w:r>
        <w:rPr>
          <w:rFonts w:cstheme="minorHAnsi"/>
        </w:rPr>
        <w:t xml:space="preserve">, using apportionment for corporate </w:t>
      </w:r>
      <w:r w:rsidR="00060984">
        <w:rPr>
          <w:rFonts w:cstheme="minorHAnsi"/>
        </w:rPr>
        <w:t xml:space="preserve">and nonresident </w:t>
      </w:r>
      <w:r>
        <w:rPr>
          <w:rFonts w:cstheme="minorHAnsi"/>
        </w:rPr>
        <w:t xml:space="preserve">partners and a </w:t>
      </w:r>
      <w:r w:rsidR="00060984">
        <w:rPr>
          <w:rFonts w:cstheme="minorHAnsi"/>
        </w:rPr>
        <w:t>credit</w:t>
      </w:r>
      <w:r>
        <w:rPr>
          <w:rFonts w:cstheme="minorHAnsi"/>
        </w:rPr>
        <w:t xml:space="preserve"> system for </w:t>
      </w:r>
      <w:r w:rsidR="00060984">
        <w:rPr>
          <w:rFonts w:cstheme="minorHAnsi"/>
        </w:rPr>
        <w:t xml:space="preserve">resident </w:t>
      </w:r>
      <w:r>
        <w:rPr>
          <w:rFonts w:cstheme="minorHAnsi"/>
        </w:rPr>
        <w:t xml:space="preserve">partners; </w:t>
      </w:r>
    </w:p>
    <w:p w14:paraId="26CF1CBB" w14:textId="519B24CE" w:rsidR="00076AF8" w:rsidRDefault="00076AF8" w:rsidP="00192260">
      <w:pPr>
        <w:pStyle w:val="ListParagraph"/>
        <w:numPr>
          <w:ilvl w:val="0"/>
          <w:numId w:val="22"/>
        </w:numPr>
        <w:ind w:left="1080"/>
        <w:rPr>
          <w:rFonts w:cstheme="minorHAnsi"/>
        </w:rPr>
      </w:pPr>
      <w:r>
        <w:rPr>
          <w:rFonts w:cstheme="minorHAnsi"/>
        </w:rPr>
        <w:t>On an entity basis</w:t>
      </w:r>
      <w:r w:rsidR="00843975">
        <w:rPr>
          <w:rFonts w:cstheme="minorHAnsi"/>
        </w:rPr>
        <w:t>, apportioned, with</w:t>
      </w:r>
      <w:r>
        <w:rPr>
          <w:rFonts w:cstheme="minorHAnsi"/>
        </w:rPr>
        <w:t xml:space="preserve"> </w:t>
      </w:r>
      <w:r w:rsidR="002F0992">
        <w:rPr>
          <w:rFonts w:cstheme="minorHAnsi"/>
        </w:rPr>
        <w:t xml:space="preserve">offsets </w:t>
      </w:r>
      <w:r>
        <w:rPr>
          <w:rFonts w:cstheme="minorHAnsi"/>
        </w:rPr>
        <w:t>for partners.</w:t>
      </w:r>
    </w:p>
    <w:p w14:paraId="700A07A1" w14:textId="1AEAB370" w:rsidR="00E2346A" w:rsidRPr="002C25EF" w:rsidRDefault="004540F4" w:rsidP="00DD3655">
      <w:pPr>
        <w:ind w:left="432"/>
        <w:rPr>
          <w:rFonts w:cstheme="minorHAnsi"/>
        </w:rPr>
      </w:pPr>
      <w:r>
        <w:rPr>
          <w:rFonts w:cstheme="minorHAnsi"/>
        </w:rPr>
        <w:t xml:space="preserve">Method </w:t>
      </w:r>
      <w:r w:rsidR="00F55E09">
        <w:rPr>
          <w:rFonts w:cstheme="minorHAnsi"/>
        </w:rPr>
        <w:t>1</w:t>
      </w:r>
      <w:r>
        <w:rPr>
          <w:rFonts w:cstheme="minorHAnsi"/>
        </w:rPr>
        <w:t xml:space="preserve"> is the method most states used for income of investment partnerships. </w:t>
      </w:r>
      <w:r w:rsidR="00F55E09">
        <w:rPr>
          <w:rFonts w:cstheme="minorHAnsi"/>
        </w:rPr>
        <w:t xml:space="preserve">Method 2 is the method generally used for operating partnerships. </w:t>
      </w:r>
      <w:r>
        <w:rPr>
          <w:rFonts w:cstheme="minorHAnsi"/>
        </w:rPr>
        <w:t>M</w:t>
      </w:r>
      <w:r w:rsidR="00076AF8">
        <w:rPr>
          <w:rFonts w:cstheme="minorHAnsi"/>
        </w:rPr>
        <w:t xml:space="preserve">ethod 3 is </w:t>
      </w:r>
      <w:r w:rsidR="0004224E">
        <w:rPr>
          <w:rFonts w:cstheme="minorHAnsi"/>
        </w:rPr>
        <w:t xml:space="preserve">now </w:t>
      </w:r>
      <w:r w:rsidR="00076AF8">
        <w:rPr>
          <w:rFonts w:cstheme="minorHAnsi"/>
        </w:rPr>
        <w:t>being use</w:t>
      </w:r>
      <w:r>
        <w:rPr>
          <w:rFonts w:cstheme="minorHAnsi"/>
        </w:rPr>
        <w:t>d</w:t>
      </w:r>
      <w:r w:rsidR="00076AF8">
        <w:rPr>
          <w:rFonts w:cstheme="minorHAnsi"/>
        </w:rPr>
        <w:t xml:space="preserve"> for so-called SALT-cap workaround </w:t>
      </w:r>
      <w:r>
        <w:rPr>
          <w:rFonts w:cstheme="minorHAnsi"/>
        </w:rPr>
        <w:t>taxes</w:t>
      </w:r>
      <w:r w:rsidR="00076AF8">
        <w:rPr>
          <w:rFonts w:cstheme="minorHAnsi"/>
        </w:rPr>
        <w:t xml:space="preserve">. </w:t>
      </w:r>
      <w:r w:rsidR="002C25EF" w:rsidRPr="00C134A4">
        <w:rPr>
          <w:rFonts w:cstheme="minorHAnsi"/>
        </w:rPr>
        <w:t xml:space="preserve"> </w:t>
      </w:r>
      <w:r w:rsidR="00503B78" w:rsidRPr="002C25EF">
        <w:rPr>
          <w:rFonts w:cstheme="minorHAnsi"/>
        </w:rPr>
        <w:t xml:space="preserve"> </w:t>
      </w:r>
    </w:p>
    <w:p w14:paraId="22E2E2AD" w14:textId="21779028" w:rsidR="00223022" w:rsidRPr="00407831" w:rsidRDefault="00AD0392" w:rsidP="00192260">
      <w:pPr>
        <w:spacing w:before="240"/>
        <w:ind w:left="432"/>
        <w:rPr>
          <w:rFonts w:cstheme="minorHAnsi"/>
          <w:b/>
          <w:bCs/>
          <w:i/>
          <w:iCs/>
        </w:rPr>
      </w:pPr>
      <w:r>
        <w:rPr>
          <w:rFonts w:cstheme="minorHAnsi"/>
          <w:b/>
          <w:bCs/>
          <w:i/>
          <w:iCs/>
        </w:rPr>
        <w:t xml:space="preserve">Types of </w:t>
      </w:r>
      <w:r w:rsidR="00215F2A" w:rsidRPr="00407831">
        <w:rPr>
          <w:rFonts w:cstheme="minorHAnsi"/>
          <w:b/>
          <w:bCs/>
          <w:i/>
          <w:iCs/>
        </w:rPr>
        <w:t xml:space="preserve">Gaps in </w:t>
      </w:r>
      <w:r w:rsidR="00223022" w:rsidRPr="00407831">
        <w:rPr>
          <w:rFonts w:cstheme="minorHAnsi"/>
          <w:b/>
          <w:bCs/>
          <w:i/>
          <w:iCs/>
        </w:rPr>
        <w:t>State Partnership Tax Rules</w:t>
      </w:r>
      <w:r w:rsidR="00F8725B" w:rsidRPr="00407831">
        <w:rPr>
          <w:rFonts w:cstheme="minorHAnsi"/>
          <w:b/>
          <w:bCs/>
          <w:i/>
          <w:iCs/>
        </w:rPr>
        <w:t xml:space="preserve"> </w:t>
      </w:r>
    </w:p>
    <w:p w14:paraId="367E65B4" w14:textId="77777777" w:rsidR="0004224E" w:rsidRDefault="006F5D39" w:rsidP="0004224E">
      <w:pPr>
        <w:ind w:left="432"/>
        <w:rPr>
          <w:rFonts w:cstheme="minorHAnsi"/>
        </w:rPr>
      </w:pPr>
      <w:r>
        <w:rPr>
          <w:rFonts w:cstheme="minorHAnsi"/>
        </w:rPr>
        <w:t xml:space="preserve">The gaps in state partnership tax rules fall into two </w:t>
      </w:r>
      <w:r w:rsidR="00BE05A8">
        <w:rPr>
          <w:rFonts w:cstheme="minorHAnsi"/>
        </w:rPr>
        <w:t>broad</w:t>
      </w:r>
      <w:r>
        <w:rPr>
          <w:rFonts w:cstheme="minorHAnsi"/>
        </w:rPr>
        <w:t xml:space="preserve"> categories</w:t>
      </w:r>
      <w:r w:rsidR="0004224E">
        <w:rPr>
          <w:rFonts w:cstheme="minorHAnsi"/>
        </w:rPr>
        <w:t>:</w:t>
      </w:r>
      <w:r>
        <w:rPr>
          <w:rFonts w:cstheme="minorHAnsi"/>
        </w:rPr>
        <w:t xml:space="preserve"> </w:t>
      </w:r>
    </w:p>
    <w:p w14:paraId="74CC0A3C" w14:textId="2216E939" w:rsidR="0004224E" w:rsidRDefault="0004224E" w:rsidP="0004224E">
      <w:pPr>
        <w:pStyle w:val="ListParagraph"/>
        <w:numPr>
          <w:ilvl w:val="0"/>
          <w:numId w:val="44"/>
        </w:numPr>
        <w:rPr>
          <w:rFonts w:cstheme="minorHAnsi"/>
        </w:rPr>
      </w:pPr>
      <w:r>
        <w:rPr>
          <w:rFonts w:cstheme="minorHAnsi"/>
        </w:rPr>
        <w:t xml:space="preserve">Lack of Details: </w:t>
      </w:r>
      <w:r w:rsidR="00FB7CA4" w:rsidRPr="0004224E">
        <w:rPr>
          <w:rFonts w:cstheme="minorHAnsi"/>
        </w:rPr>
        <w:t>Most</w:t>
      </w:r>
      <w:r w:rsidR="008327C3" w:rsidRPr="0004224E">
        <w:rPr>
          <w:rFonts w:cstheme="minorHAnsi"/>
        </w:rPr>
        <w:t xml:space="preserve"> </w:t>
      </w:r>
      <w:r w:rsidR="00060984">
        <w:rPr>
          <w:rFonts w:cstheme="minorHAnsi"/>
        </w:rPr>
        <w:t xml:space="preserve">of the gaps </w:t>
      </w:r>
      <w:r w:rsidR="00AC67D5" w:rsidRPr="0004224E">
        <w:rPr>
          <w:rFonts w:cstheme="minorHAnsi"/>
        </w:rPr>
        <w:t>represent a</w:t>
      </w:r>
      <w:r w:rsidR="008327C3" w:rsidRPr="0004224E">
        <w:rPr>
          <w:rFonts w:cstheme="minorHAnsi"/>
        </w:rPr>
        <w:t xml:space="preserve"> lack of </w:t>
      </w:r>
      <w:r w:rsidR="00DF2170" w:rsidRPr="0004224E">
        <w:rPr>
          <w:rFonts w:cstheme="minorHAnsi"/>
        </w:rPr>
        <w:t xml:space="preserve">detailed </w:t>
      </w:r>
      <w:r w:rsidR="008327C3" w:rsidRPr="0004224E">
        <w:rPr>
          <w:rFonts w:cstheme="minorHAnsi"/>
        </w:rPr>
        <w:t xml:space="preserve">guidance on </w:t>
      </w:r>
      <w:r w:rsidR="00DF2170" w:rsidRPr="0004224E">
        <w:rPr>
          <w:rFonts w:cstheme="minorHAnsi"/>
        </w:rPr>
        <w:t>specific</w:t>
      </w:r>
      <w:r w:rsidR="008327C3" w:rsidRPr="0004224E">
        <w:rPr>
          <w:rFonts w:cstheme="minorHAnsi"/>
        </w:rPr>
        <w:t xml:space="preserve"> issues</w:t>
      </w:r>
      <w:r w:rsidR="006F5D39" w:rsidRPr="0004224E">
        <w:rPr>
          <w:rFonts w:cstheme="minorHAnsi"/>
        </w:rPr>
        <w:t xml:space="preserve"> or particular facts and circumstances where general provisions may not be </w:t>
      </w:r>
      <w:r w:rsidR="006D3777" w:rsidRPr="0004224E">
        <w:rPr>
          <w:rFonts w:cstheme="minorHAnsi"/>
        </w:rPr>
        <w:t>sufficient</w:t>
      </w:r>
      <w:r w:rsidR="008327C3" w:rsidRPr="0004224E">
        <w:rPr>
          <w:rFonts w:cstheme="minorHAnsi"/>
        </w:rPr>
        <w:t xml:space="preserve">. </w:t>
      </w:r>
      <w:r w:rsidR="004D101B" w:rsidRPr="0004224E">
        <w:rPr>
          <w:rFonts w:cstheme="minorHAnsi"/>
        </w:rPr>
        <w:t xml:space="preserve">For example, </w:t>
      </w:r>
      <w:r w:rsidR="009B51A4" w:rsidRPr="0004224E">
        <w:rPr>
          <w:rFonts w:cstheme="minorHAnsi"/>
        </w:rPr>
        <w:t>should built-in gains on contributed property be apportioned</w:t>
      </w:r>
      <w:r w:rsidR="003A7FED" w:rsidRPr="0004224E">
        <w:rPr>
          <w:rFonts w:cstheme="minorHAnsi"/>
        </w:rPr>
        <w:t xml:space="preserve"> </w:t>
      </w:r>
      <w:r w:rsidR="00742B17" w:rsidRPr="0004224E">
        <w:rPr>
          <w:rFonts w:cstheme="minorHAnsi"/>
        </w:rPr>
        <w:t xml:space="preserve">at the partnership level, </w:t>
      </w:r>
      <w:r w:rsidR="003A7FED" w:rsidRPr="0004224E">
        <w:rPr>
          <w:rFonts w:cstheme="minorHAnsi"/>
        </w:rPr>
        <w:t xml:space="preserve">or </w:t>
      </w:r>
      <w:r w:rsidR="00742B17" w:rsidRPr="0004224E">
        <w:rPr>
          <w:rFonts w:cstheme="minorHAnsi"/>
        </w:rPr>
        <w:t>sourced differently, given the gain accrued prior to the contribution to the partnership</w:t>
      </w:r>
      <w:r w:rsidR="009B51A4" w:rsidRPr="0004224E">
        <w:rPr>
          <w:rFonts w:cstheme="minorHAnsi"/>
        </w:rPr>
        <w:t xml:space="preserve">? </w:t>
      </w:r>
      <w:r w:rsidR="006B256E" w:rsidRPr="0004224E">
        <w:rPr>
          <w:rFonts w:cstheme="minorHAnsi"/>
        </w:rPr>
        <w:t>Or should the rules for sourcing guaranteed payments be different than for distributive shares of partnership income?</w:t>
      </w:r>
      <w:r w:rsidR="001B258E">
        <w:rPr>
          <w:rFonts w:cstheme="minorHAnsi"/>
        </w:rPr>
        <w:t xml:space="preserve"> </w:t>
      </w:r>
    </w:p>
    <w:p w14:paraId="7DB93ED8" w14:textId="511E7899" w:rsidR="00F8725B" w:rsidRPr="0004224E" w:rsidRDefault="0004224E" w:rsidP="0004224E">
      <w:pPr>
        <w:pStyle w:val="ListParagraph"/>
        <w:numPr>
          <w:ilvl w:val="0"/>
          <w:numId w:val="44"/>
        </w:numPr>
        <w:rPr>
          <w:rFonts w:cstheme="minorHAnsi"/>
        </w:rPr>
      </w:pPr>
      <w:r>
        <w:rPr>
          <w:rFonts w:cstheme="minorHAnsi"/>
        </w:rPr>
        <w:t xml:space="preserve">Fundamental Gaps: </w:t>
      </w:r>
      <w:r w:rsidR="00762021" w:rsidRPr="0004224E">
        <w:rPr>
          <w:rFonts w:cstheme="minorHAnsi"/>
        </w:rPr>
        <w:t>O</w:t>
      </w:r>
      <w:r w:rsidR="009B51A4" w:rsidRPr="0004224E">
        <w:rPr>
          <w:rFonts w:cstheme="minorHAnsi"/>
        </w:rPr>
        <w:t>ther</w:t>
      </w:r>
      <w:r w:rsidR="00F8725B" w:rsidRPr="0004224E">
        <w:rPr>
          <w:rFonts w:cstheme="minorHAnsi"/>
        </w:rPr>
        <w:t xml:space="preserve"> </w:t>
      </w:r>
      <w:r w:rsidR="008327C3" w:rsidRPr="0004224E">
        <w:rPr>
          <w:rFonts w:cstheme="minorHAnsi"/>
        </w:rPr>
        <w:t xml:space="preserve">gaps </w:t>
      </w:r>
      <w:r w:rsidR="006F5D39" w:rsidRPr="0004224E">
        <w:rPr>
          <w:rFonts w:cstheme="minorHAnsi"/>
        </w:rPr>
        <w:t xml:space="preserve">represent more </w:t>
      </w:r>
      <w:r w:rsidR="00F8725B" w:rsidRPr="0004224E">
        <w:rPr>
          <w:rFonts w:cstheme="minorHAnsi"/>
        </w:rPr>
        <w:t>fundamental</w:t>
      </w:r>
      <w:r w:rsidR="006F5D39" w:rsidRPr="0004224E">
        <w:rPr>
          <w:rFonts w:cstheme="minorHAnsi"/>
        </w:rPr>
        <w:t xml:space="preserve"> questions</w:t>
      </w:r>
      <w:r w:rsidR="00EE01B9" w:rsidRPr="0004224E">
        <w:rPr>
          <w:rFonts w:cstheme="minorHAnsi"/>
        </w:rPr>
        <w:t>, including</w:t>
      </w:r>
      <w:r w:rsidR="004642A7" w:rsidRPr="0004224E">
        <w:rPr>
          <w:rFonts w:cstheme="minorHAnsi"/>
        </w:rPr>
        <w:t xml:space="preserve"> constitutional issues</w:t>
      </w:r>
      <w:r w:rsidR="00EE01B9" w:rsidRPr="0004224E">
        <w:rPr>
          <w:rFonts w:cstheme="minorHAnsi"/>
        </w:rPr>
        <w:t xml:space="preserve">, </w:t>
      </w:r>
      <w:r w:rsidR="009B51A4" w:rsidRPr="0004224E">
        <w:rPr>
          <w:rFonts w:cstheme="minorHAnsi"/>
        </w:rPr>
        <w:t xml:space="preserve">which </w:t>
      </w:r>
      <w:r w:rsidR="00060984">
        <w:rPr>
          <w:rFonts w:cstheme="minorHAnsi"/>
        </w:rPr>
        <w:t>may only be fully addressed through the courts</w:t>
      </w:r>
      <w:r w:rsidR="004D101B" w:rsidRPr="0004224E">
        <w:rPr>
          <w:rFonts w:cstheme="minorHAnsi"/>
        </w:rPr>
        <w:t xml:space="preserve">. </w:t>
      </w:r>
      <w:r w:rsidR="006B256E" w:rsidRPr="0004224E">
        <w:rPr>
          <w:rFonts w:cstheme="minorHAnsi"/>
        </w:rPr>
        <w:t>W</w:t>
      </w:r>
      <w:r w:rsidR="009B51A4" w:rsidRPr="0004224E">
        <w:rPr>
          <w:rFonts w:cstheme="minorHAnsi"/>
        </w:rPr>
        <w:t xml:space="preserve">here such issues have been raised, </w:t>
      </w:r>
      <w:r w:rsidR="006B256E" w:rsidRPr="0004224E">
        <w:rPr>
          <w:rFonts w:cstheme="minorHAnsi"/>
        </w:rPr>
        <w:t xml:space="preserve">different </w:t>
      </w:r>
      <w:r w:rsidR="009B51A4" w:rsidRPr="0004224E">
        <w:rPr>
          <w:rFonts w:cstheme="minorHAnsi"/>
        </w:rPr>
        <w:t xml:space="preserve">courts may have </w:t>
      </w:r>
      <w:r w:rsidR="00742B17" w:rsidRPr="0004224E">
        <w:rPr>
          <w:rFonts w:cstheme="minorHAnsi"/>
        </w:rPr>
        <w:t>applied different reasoning or come to different results</w:t>
      </w:r>
      <w:r w:rsidR="009B51A4" w:rsidRPr="0004224E">
        <w:rPr>
          <w:rFonts w:cstheme="minorHAnsi"/>
        </w:rPr>
        <w:t xml:space="preserve">. </w:t>
      </w:r>
      <w:r w:rsidR="004D101B" w:rsidRPr="0004224E">
        <w:rPr>
          <w:rFonts w:cstheme="minorHAnsi"/>
        </w:rPr>
        <w:t>F</w:t>
      </w:r>
      <w:r w:rsidR="006F5D39" w:rsidRPr="0004224E">
        <w:rPr>
          <w:rFonts w:cstheme="minorHAnsi"/>
        </w:rPr>
        <w:t>or example,</w:t>
      </w:r>
      <w:r w:rsidR="000A2643" w:rsidRPr="0004224E">
        <w:rPr>
          <w:rFonts w:cstheme="minorHAnsi"/>
        </w:rPr>
        <w:t xml:space="preserve"> </w:t>
      </w:r>
      <w:r w:rsidR="004D101B" w:rsidRPr="0004224E">
        <w:rPr>
          <w:rFonts w:cstheme="minorHAnsi"/>
        </w:rPr>
        <w:t>if a partnership has no other connection to a state than a resident</w:t>
      </w:r>
      <w:r w:rsidR="00742B17" w:rsidRPr="0004224E">
        <w:rPr>
          <w:rFonts w:cstheme="minorHAnsi"/>
        </w:rPr>
        <w:t>, indirect</w:t>
      </w:r>
      <w:r w:rsidR="004D101B" w:rsidRPr="0004224E">
        <w:rPr>
          <w:rFonts w:cstheme="minorHAnsi"/>
        </w:rPr>
        <w:t xml:space="preserve"> limited partner, does the state have authority to compel that partnership to keep records and file information returns</w:t>
      </w:r>
      <w:r w:rsidR="009B51A4" w:rsidRPr="0004224E">
        <w:rPr>
          <w:rFonts w:cstheme="minorHAnsi"/>
        </w:rPr>
        <w:t>?</w:t>
      </w:r>
      <w:r w:rsidR="004D101B" w:rsidRPr="0004224E">
        <w:rPr>
          <w:rFonts w:cstheme="minorHAnsi"/>
        </w:rPr>
        <w:t xml:space="preserve"> And if a partnership does business in the state, does that state have </w:t>
      </w:r>
      <w:r w:rsidR="006F5D39" w:rsidRPr="0004224E">
        <w:rPr>
          <w:rFonts w:cstheme="minorHAnsi"/>
        </w:rPr>
        <w:t xml:space="preserve">jurisdiction </w:t>
      </w:r>
      <w:r w:rsidR="004D101B" w:rsidRPr="0004224E">
        <w:rPr>
          <w:rFonts w:cstheme="minorHAnsi"/>
        </w:rPr>
        <w:t>o</w:t>
      </w:r>
      <w:r w:rsidR="004642A7" w:rsidRPr="0004224E">
        <w:rPr>
          <w:rFonts w:cstheme="minorHAnsi"/>
        </w:rPr>
        <w:t>ver</w:t>
      </w:r>
      <w:r w:rsidR="004D101B" w:rsidRPr="0004224E">
        <w:rPr>
          <w:rFonts w:cstheme="minorHAnsi"/>
        </w:rPr>
        <w:t xml:space="preserve"> a </w:t>
      </w:r>
      <w:r w:rsidR="006F5D39" w:rsidRPr="0004224E">
        <w:rPr>
          <w:rFonts w:cstheme="minorHAnsi"/>
        </w:rPr>
        <w:t xml:space="preserve">nonresident </w:t>
      </w:r>
      <w:r w:rsidR="00DF2170" w:rsidRPr="0004224E">
        <w:rPr>
          <w:rFonts w:cstheme="minorHAnsi"/>
        </w:rPr>
        <w:t>indirect limited partner</w:t>
      </w:r>
      <w:r w:rsidR="009B51A4" w:rsidRPr="0004224E">
        <w:rPr>
          <w:rFonts w:cstheme="minorHAnsi"/>
        </w:rPr>
        <w:t>?</w:t>
      </w:r>
      <w:r w:rsidR="004D101B" w:rsidRPr="0004224E">
        <w:rPr>
          <w:rFonts w:cstheme="minorHAnsi"/>
        </w:rPr>
        <w:t xml:space="preserve"> </w:t>
      </w:r>
    </w:p>
    <w:p w14:paraId="330572D0" w14:textId="17AE4AA5" w:rsidR="00C20284" w:rsidRPr="00F55E09" w:rsidRDefault="0015109B" w:rsidP="00192260">
      <w:pPr>
        <w:ind w:left="432"/>
        <w:rPr>
          <w:rFonts w:cstheme="minorHAnsi"/>
          <w:b/>
          <w:bCs/>
          <w:i/>
          <w:iCs/>
          <w:sz w:val="24"/>
          <w:szCs w:val="24"/>
        </w:rPr>
      </w:pPr>
      <w:r w:rsidRPr="00F55E09">
        <w:rPr>
          <w:rFonts w:cstheme="minorHAnsi"/>
          <w:b/>
          <w:bCs/>
          <w:i/>
          <w:iCs/>
          <w:sz w:val="24"/>
          <w:szCs w:val="24"/>
        </w:rPr>
        <w:t xml:space="preserve">Approach to </w:t>
      </w:r>
      <w:r w:rsidR="00C20284" w:rsidRPr="00F55E09">
        <w:rPr>
          <w:rFonts w:cstheme="minorHAnsi"/>
          <w:b/>
          <w:bCs/>
          <w:i/>
          <w:iCs/>
          <w:sz w:val="24"/>
          <w:szCs w:val="24"/>
        </w:rPr>
        <w:t>the Project</w:t>
      </w:r>
    </w:p>
    <w:p w14:paraId="5217DF61" w14:textId="41BB9F3E" w:rsidR="0015109B" w:rsidRDefault="003A7FED" w:rsidP="00DD3655">
      <w:pPr>
        <w:ind w:left="432"/>
        <w:rPr>
          <w:rFonts w:cstheme="minorHAnsi"/>
        </w:rPr>
      </w:pPr>
      <w:r>
        <w:rPr>
          <w:rFonts w:cstheme="minorHAnsi"/>
        </w:rPr>
        <w:t>T</w:t>
      </w:r>
      <w:r w:rsidR="0015109B">
        <w:rPr>
          <w:rFonts w:cstheme="minorHAnsi"/>
        </w:rPr>
        <w:t>he project work group has outlined a general approach to the project:</w:t>
      </w:r>
    </w:p>
    <w:p w14:paraId="2837F14F" w14:textId="0A1B8C07" w:rsidR="0015109B" w:rsidRPr="0015109B" w:rsidRDefault="0015109B" w:rsidP="00AD0392">
      <w:pPr>
        <w:pStyle w:val="ListParagraph"/>
        <w:numPr>
          <w:ilvl w:val="0"/>
          <w:numId w:val="10"/>
        </w:numPr>
        <w:spacing w:before="60" w:after="60"/>
        <w:ind w:left="1080"/>
        <w:rPr>
          <w:rFonts w:cstheme="minorHAnsi"/>
        </w:rPr>
      </w:pPr>
      <w:r w:rsidRPr="0015109B">
        <w:rPr>
          <w:rFonts w:cstheme="minorHAnsi"/>
        </w:rPr>
        <w:t xml:space="preserve">Identify and generally describe a comprehensive list of potential issues. </w:t>
      </w:r>
    </w:p>
    <w:p w14:paraId="05311A67" w14:textId="5DD7A66F" w:rsidR="0015109B" w:rsidRPr="0015109B" w:rsidRDefault="0015109B" w:rsidP="00AD0392">
      <w:pPr>
        <w:pStyle w:val="ListParagraph"/>
        <w:numPr>
          <w:ilvl w:val="0"/>
          <w:numId w:val="10"/>
        </w:numPr>
        <w:spacing w:before="60" w:after="60"/>
        <w:ind w:left="1080"/>
        <w:rPr>
          <w:rFonts w:cstheme="minorHAnsi"/>
        </w:rPr>
      </w:pPr>
      <w:r w:rsidRPr="0015109B">
        <w:rPr>
          <w:rFonts w:cstheme="minorHAnsi"/>
        </w:rPr>
        <w:t xml:space="preserve">Note the important relationships between those issues. </w:t>
      </w:r>
    </w:p>
    <w:p w14:paraId="47CE8575" w14:textId="0BA74698" w:rsidR="0015109B" w:rsidRPr="0015109B" w:rsidRDefault="0015109B" w:rsidP="00AD0392">
      <w:pPr>
        <w:pStyle w:val="ListParagraph"/>
        <w:numPr>
          <w:ilvl w:val="0"/>
          <w:numId w:val="10"/>
        </w:numPr>
        <w:spacing w:before="60" w:after="60"/>
        <w:ind w:left="1080"/>
        <w:rPr>
          <w:rFonts w:cstheme="minorHAnsi"/>
        </w:rPr>
      </w:pPr>
      <w:r w:rsidRPr="0015109B">
        <w:rPr>
          <w:rFonts w:cstheme="minorHAnsi"/>
        </w:rPr>
        <w:t>Select a particular issue and develop generally recommended practices or positions.</w:t>
      </w:r>
    </w:p>
    <w:p w14:paraId="58E2C181" w14:textId="580F2DBC" w:rsidR="0015109B" w:rsidRPr="0015109B" w:rsidRDefault="0015109B" w:rsidP="00AD0392">
      <w:pPr>
        <w:pStyle w:val="ListParagraph"/>
        <w:numPr>
          <w:ilvl w:val="0"/>
          <w:numId w:val="10"/>
        </w:numPr>
        <w:spacing w:before="60" w:after="60"/>
        <w:ind w:left="1080"/>
        <w:rPr>
          <w:rFonts w:cstheme="minorHAnsi"/>
        </w:rPr>
      </w:pPr>
      <w:r w:rsidRPr="0015109B">
        <w:rPr>
          <w:rFonts w:cstheme="minorHAnsi"/>
        </w:rPr>
        <w:t xml:space="preserve">Repeat step 3 until all major issues have </w:t>
      </w:r>
      <w:r w:rsidR="00F55E09">
        <w:rPr>
          <w:rFonts w:cstheme="minorHAnsi"/>
        </w:rPr>
        <w:t xml:space="preserve">been addressed and </w:t>
      </w:r>
      <w:r w:rsidRPr="0015109B">
        <w:rPr>
          <w:rFonts w:cstheme="minorHAnsi"/>
        </w:rPr>
        <w:t>reconcile any differences.</w:t>
      </w:r>
    </w:p>
    <w:p w14:paraId="0E265034" w14:textId="7C22E652" w:rsidR="0015109B" w:rsidRPr="0015109B" w:rsidRDefault="0015109B" w:rsidP="00AD0392">
      <w:pPr>
        <w:pStyle w:val="ListParagraph"/>
        <w:numPr>
          <w:ilvl w:val="0"/>
          <w:numId w:val="10"/>
        </w:numPr>
        <w:spacing w:before="60" w:after="60"/>
        <w:ind w:left="1080"/>
        <w:rPr>
          <w:rFonts w:cstheme="minorHAnsi"/>
        </w:rPr>
      </w:pPr>
      <w:r w:rsidRPr="0015109B">
        <w:rPr>
          <w:rFonts w:cstheme="minorHAnsi"/>
        </w:rPr>
        <w:t>Agree on overall set of recommended practices/positions for all issues.</w:t>
      </w:r>
    </w:p>
    <w:p w14:paraId="6EDF824D" w14:textId="3A01BF10" w:rsidR="0015109B" w:rsidRDefault="0015109B" w:rsidP="00126BF5">
      <w:pPr>
        <w:pStyle w:val="ListParagraph"/>
        <w:numPr>
          <w:ilvl w:val="0"/>
          <w:numId w:val="10"/>
        </w:numPr>
        <w:ind w:left="1080"/>
        <w:rPr>
          <w:rFonts w:cstheme="minorHAnsi"/>
        </w:rPr>
      </w:pPr>
      <w:r w:rsidRPr="0015109B">
        <w:rPr>
          <w:rFonts w:cstheme="minorHAnsi"/>
        </w:rPr>
        <w:t>Begin creating draft models, etc., to carry out the recommended practices/positions.</w:t>
      </w:r>
    </w:p>
    <w:p w14:paraId="3E2E4F38" w14:textId="0A3913EB" w:rsidR="00EE65CD" w:rsidRDefault="00F55E09" w:rsidP="00DD3655">
      <w:pPr>
        <w:ind w:left="432"/>
        <w:rPr>
          <w:rFonts w:cstheme="minorHAnsi"/>
        </w:rPr>
      </w:pPr>
      <w:r>
        <w:rPr>
          <w:rFonts w:cstheme="minorHAnsi"/>
        </w:rPr>
        <w:t>T</w:t>
      </w:r>
      <w:r w:rsidR="0075008A">
        <w:rPr>
          <w:rFonts w:cstheme="minorHAnsi"/>
        </w:rPr>
        <w:t xml:space="preserve">he partnership work group </w:t>
      </w:r>
      <w:r w:rsidR="00175970">
        <w:rPr>
          <w:rFonts w:cstheme="minorHAnsi"/>
        </w:rPr>
        <w:t>may consider the following (or other similar criteria)</w:t>
      </w:r>
      <w:r w:rsidR="0075008A">
        <w:rPr>
          <w:rFonts w:cstheme="minorHAnsi"/>
        </w:rPr>
        <w:t xml:space="preserve">: </w:t>
      </w:r>
      <w:r w:rsidR="004536C4">
        <w:rPr>
          <w:rFonts w:cstheme="minorHAnsi"/>
        </w:rPr>
        <w:t xml:space="preserve">  </w:t>
      </w:r>
    </w:p>
    <w:p w14:paraId="0186E065" w14:textId="6DCDF571" w:rsidR="004536C4" w:rsidRPr="004536C4" w:rsidRDefault="00175970" w:rsidP="00AD0392">
      <w:pPr>
        <w:pStyle w:val="ListParagraph"/>
        <w:numPr>
          <w:ilvl w:val="0"/>
          <w:numId w:val="8"/>
        </w:numPr>
        <w:spacing w:before="60" w:after="60"/>
        <w:ind w:left="1080"/>
        <w:rPr>
          <w:rFonts w:cstheme="minorHAnsi"/>
        </w:rPr>
      </w:pPr>
      <w:r>
        <w:rPr>
          <w:rFonts w:cstheme="minorHAnsi"/>
        </w:rPr>
        <w:t>What</w:t>
      </w:r>
      <w:r w:rsidR="004536C4" w:rsidRPr="004536C4">
        <w:rPr>
          <w:rFonts w:cstheme="minorHAnsi"/>
        </w:rPr>
        <w:t xml:space="preserve"> states are currently doing</w:t>
      </w:r>
      <w:r w:rsidR="004642A7">
        <w:rPr>
          <w:rFonts w:cstheme="minorHAnsi"/>
        </w:rPr>
        <w:t>,</w:t>
      </w:r>
      <w:r w:rsidR="004536C4" w:rsidRPr="004536C4">
        <w:rPr>
          <w:rFonts w:cstheme="minorHAnsi"/>
        </w:rPr>
        <w:t xml:space="preserve"> </w:t>
      </w:r>
      <w:r w:rsidR="0075008A">
        <w:rPr>
          <w:rFonts w:cstheme="minorHAnsi"/>
        </w:rPr>
        <w:t>or any position</w:t>
      </w:r>
      <w:r w:rsidR="004536C4" w:rsidRPr="004536C4">
        <w:rPr>
          <w:rFonts w:cstheme="minorHAnsi"/>
        </w:rPr>
        <w:t xml:space="preserve"> taken on an issue</w:t>
      </w:r>
      <w:r w:rsidR="006D3777">
        <w:rPr>
          <w:rFonts w:cstheme="minorHAnsi"/>
        </w:rPr>
        <w:t xml:space="preserve">, </w:t>
      </w:r>
      <w:r w:rsidR="004536C4" w:rsidRPr="004536C4">
        <w:rPr>
          <w:rFonts w:cstheme="minorHAnsi"/>
        </w:rPr>
        <w:t>both majority and minority rules</w:t>
      </w:r>
      <w:r w:rsidR="006D3777">
        <w:rPr>
          <w:rFonts w:cstheme="minorHAnsi"/>
        </w:rPr>
        <w:t xml:space="preserve">, </w:t>
      </w:r>
      <w:r w:rsidR="004536C4" w:rsidRPr="004536C4">
        <w:rPr>
          <w:rFonts w:cstheme="minorHAnsi"/>
        </w:rPr>
        <w:t>to the extent the issue is addressed</w:t>
      </w:r>
      <w:r w:rsidR="0075008A">
        <w:rPr>
          <w:rFonts w:cstheme="minorHAnsi"/>
        </w:rPr>
        <w:t>;</w:t>
      </w:r>
    </w:p>
    <w:p w14:paraId="2E5B338C" w14:textId="114DE804" w:rsidR="004536C4" w:rsidRPr="004536C4" w:rsidRDefault="004642A7" w:rsidP="00AD0392">
      <w:pPr>
        <w:pStyle w:val="ListParagraph"/>
        <w:numPr>
          <w:ilvl w:val="0"/>
          <w:numId w:val="8"/>
        </w:numPr>
        <w:spacing w:before="60" w:after="60"/>
        <w:ind w:left="1080"/>
        <w:rPr>
          <w:rFonts w:cstheme="minorHAnsi"/>
        </w:rPr>
      </w:pPr>
      <w:r>
        <w:rPr>
          <w:rFonts w:cstheme="minorHAnsi"/>
        </w:rPr>
        <w:t>What the</w:t>
      </w:r>
      <w:r w:rsidR="0075008A">
        <w:rPr>
          <w:rFonts w:cstheme="minorHAnsi"/>
        </w:rPr>
        <w:t xml:space="preserve"> </w:t>
      </w:r>
      <w:r w:rsidR="004536C4" w:rsidRPr="004536C4">
        <w:rPr>
          <w:rFonts w:cstheme="minorHAnsi"/>
        </w:rPr>
        <w:t>federal or international approach may be to analogous issues</w:t>
      </w:r>
      <w:r w:rsidR="0075008A">
        <w:rPr>
          <w:rFonts w:cstheme="minorHAnsi"/>
        </w:rPr>
        <w:t>;</w:t>
      </w:r>
    </w:p>
    <w:p w14:paraId="7BD545D1" w14:textId="7DC38451" w:rsidR="004536C4" w:rsidRPr="004536C4" w:rsidRDefault="00175970" w:rsidP="00AD0392">
      <w:pPr>
        <w:pStyle w:val="ListParagraph"/>
        <w:numPr>
          <w:ilvl w:val="0"/>
          <w:numId w:val="8"/>
        </w:numPr>
        <w:spacing w:before="60" w:after="60"/>
        <w:ind w:left="1080"/>
        <w:rPr>
          <w:rFonts w:cstheme="minorHAnsi"/>
        </w:rPr>
      </w:pPr>
      <w:r>
        <w:rPr>
          <w:rFonts w:cstheme="minorHAnsi"/>
        </w:rPr>
        <w:t>How</w:t>
      </w:r>
      <w:r w:rsidR="004536C4" w:rsidRPr="004536C4">
        <w:rPr>
          <w:rFonts w:cstheme="minorHAnsi"/>
        </w:rPr>
        <w:t xml:space="preserve"> the issue would be treated in other contexts (</w:t>
      </w:r>
      <w:r w:rsidR="006D3777">
        <w:rPr>
          <w:rFonts w:cstheme="minorHAnsi"/>
        </w:rPr>
        <w:t xml:space="preserve">e.g. </w:t>
      </w:r>
      <w:r w:rsidR="004536C4" w:rsidRPr="004536C4">
        <w:rPr>
          <w:rFonts w:cstheme="minorHAnsi"/>
        </w:rPr>
        <w:t>proprietorships, corporations, etc.)</w:t>
      </w:r>
      <w:r w:rsidR="0075008A">
        <w:rPr>
          <w:rFonts w:cstheme="minorHAnsi"/>
        </w:rPr>
        <w:t>;</w:t>
      </w:r>
    </w:p>
    <w:p w14:paraId="3FE464F7" w14:textId="01B5488E" w:rsidR="004536C4" w:rsidRPr="004536C4" w:rsidRDefault="00175970" w:rsidP="00AD0392">
      <w:pPr>
        <w:pStyle w:val="ListParagraph"/>
        <w:numPr>
          <w:ilvl w:val="0"/>
          <w:numId w:val="8"/>
        </w:numPr>
        <w:spacing w:before="60" w:after="60"/>
        <w:ind w:left="1080"/>
        <w:rPr>
          <w:rFonts w:cstheme="minorHAnsi"/>
        </w:rPr>
      </w:pPr>
      <w:r>
        <w:rPr>
          <w:rFonts w:cstheme="minorHAnsi"/>
        </w:rPr>
        <w:t xml:space="preserve">Whether the approach to the issue is </w:t>
      </w:r>
      <w:r w:rsidR="004536C4" w:rsidRPr="004536C4">
        <w:rPr>
          <w:rFonts w:cstheme="minorHAnsi"/>
        </w:rPr>
        <w:t>administrable or enforceable</w:t>
      </w:r>
      <w:r w:rsidR="0075008A">
        <w:rPr>
          <w:rFonts w:cstheme="minorHAnsi"/>
        </w:rPr>
        <w:t>; and</w:t>
      </w:r>
    </w:p>
    <w:p w14:paraId="38022788" w14:textId="70BB189A" w:rsidR="004536C4" w:rsidRPr="004536C4" w:rsidRDefault="00175970" w:rsidP="00126BF5">
      <w:pPr>
        <w:pStyle w:val="ListParagraph"/>
        <w:numPr>
          <w:ilvl w:val="0"/>
          <w:numId w:val="8"/>
        </w:numPr>
        <w:ind w:left="1080"/>
        <w:rPr>
          <w:rFonts w:cstheme="minorHAnsi"/>
        </w:rPr>
      </w:pPr>
      <w:r>
        <w:rPr>
          <w:rFonts w:cstheme="minorHAnsi"/>
        </w:rPr>
        <w:t>E</w:t>
      </w:r>
      <w:r w:rsidR="004536C4" w:rsidRPr="004536C4">
        <w:rPr>
          <w:rFonts w:cstheme="minorHAnsi"/>
        </w:rPr>
        <w:t xml:space="preserve">xpressed policy </w:t>
      </w:r>
      <w:r>
        <w:rPr>
          <w:rFonts w:cstheme="minorHAnsi"/>
        </w:rPr>
        <w:t>reasons</w:t>
      </w:r>
      <w:r w:rsidR="004536C4" w:rsidRPr="004536C4">
        <w:rPr>
          <w:rFonts w:cstheme="minorHAnsi"/>
        </w:rPr>
        <w:t xml:space="preserve"> for different approaches to the issues</w:t>
      </w:r>
      <w:r w:rsidR="006D3777">
        <w:rPr>
          <w:rFonts w:cstheme="minorHAnsi"/>
        </w:rPr>
        <w:t>.</w:t>
      </w:r>
      <w:r w:rsidR="004536C4" w:rsidRPr="004536C4">
        <w:rPr>
          <w:rFonts w:cstheme="minorHAnsi"/>
        </w:rPr>
        <w:t xml:space="preserve"> </w:t>
      </w:r>
    </w:p>
    <w:p w14:paraId="65717EBE" w14:textId="66AC5130" w:rsidR="00D9635F" w:rsidRPr="00AD0392" w:rsidRDefault="00F55E09" w:rsidP="003A7FED">
      <w:pPr>
        <w:spacing w:after="200" w:line="276" w:lineRule="auto"/>
        <w:ind w:left="0"/>
        <w:rPr>
          <w:b/>
          <w:bCs/>
          <w:sz w:val="28"/>
          <w:szCs w:val="28"/>
          <w:u w:val="single"/>
        </w:rPr>
      </w:pPr>
      <w:r w:rsidRPr="00AD0392">
        <w:rPr>
          <w:b/>
          <w:bCs/>
          <w:noProof/>
          <w:sz w:val="28"/>
          <w:szCs w:val="28"/>
          <w:u w:val="single"/>
        </w:rPr>
        <w:lastRenderedPageBreak/>
        <w:drawing>
          <wp:anchor distT="0" distB="0" distL="114300" distR="114300" simplePos="0" relativeHeight="251658240" behindDoc="0" locked="0" layoutInCell="1" allowOverlap="1" wp14:anchorId="4EDEC96A" wp14:editId="0E6BF821">
            <wp:simplePos x="0" y="0"/>
            <wp:positionH relativeFrom="column">
              <wp:posOffset>3941445</wp:posOffset>
            </wp:positionH>
            <wp:positionV relativeFrom="paragraph">
              <wp:posOffset>50800</wp:posOffset>
            </wp:positionV>
            <wp:extent cx="2190115" cy="3211195"/>
            <wp:effectExtent l="0" t="0" r="635"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115" cy="3211195"/>
                    </a:xfrm>
                    <a:prstGeom prst="rect">
                      <a:avLst/>
                    </a:prstGeom>
                    <a:noFill/>
                  </pic:spPr>
                </pic:pic>
              </a:graphicData>
            </a:graphic>
            <wp14:sizeRelH relativeFrom="page">
              <wp14:pctWidth>0</wp14:pctWidth>
            </wp14:sizeRelH>
            <wp14:sizeRelV relativeFrom="page">
              <wp14:pctHeight>0</wp14:pctHeight>
            </wp14:sizeRelV>
          </wp:anchor>
        </w:drawing>
      </w:r>
      <w:r w:rsidRPr="00AD0392">
        <w:rPr>
          <w:b/>
          <w:bCs/>
          <w:noProof/>
          <w:sz w:val="28"/>
          <w:szCs w:val="28"/>
          <w:u w:val="single"/>
        </w:rPr>
        <w:t>ISSUE OUTLINE</w:t>
      </w:r>
    </w:p>
    <w:p w14:paraId="3B7F2329" w14:textId="681F7716" w:rsidR="00CB6A9E" w:rsidRDefault="00CB6A9E" w:rsidP="00682FC2">
      <w:pPr>
        <w:ind w:left="0"/>
      </w:pPr>
      <w:r>
        <w:t>The general structure of this outline is as follows:</w:t>
      </w:r>
    </w:p>
    <w:p w14:paraId="7EE56382" w14:textId="790DD86C" w:rsidR="00CB6A9E" w:rsidRDefault="00CB6A9E" w:rsidP="00AD0392">
      <w:pPr>
        <w:pStyle w:val="ListParagraph"/>
        <w:numPr>
          <w:ilvl w:val="0"/>
          <w:numId w:val="31"/>
        </w:numPr>
        <w:spacing w:before="60" w:after="60" w:line="240" w:lineRule="auto"/>
      </w:pPr>
      <w:r>
        <w:t>Terminology</w:t>
      </w:r>
    </w:p>
    <w:p w14:paraId="5CD9DF41" w14:textId="16FE8913" w:rsidR="0006026C" w:rsidRDefault="0006026C" w:rsidP="00AD0392">
      <w:pPr>
        <w:pStyle w:val="ListParagraph"/>
        <w:numPr>
          <w:ilvl w:val="0"/>
          <w:numId w:val="31"/>
        </w:numPr>
        <w:spacing w:before="60" w:after="60" w:line="240" w:lineRule="auto"/>
      </w:pPr>
      <w:r>
        <w:t xml:space="preserve">Taxation of </w:t>
      </w:r>
      <w:r w:rsidR="0027183F">
        <w:t xml:space="preserve">Partnership Income </w:t>
      </w:r>
      <w:r>
        <w:t>and</w:t>
      </w:r>
      <w:r w:rsidR="0027183F">
        <w:t xml:space="preserve"> Items</w:t>
      </w:r>
    </w:p>
    <w:p w14:paraId="693D7EA9" w14:textId="41F6FAF0" w:rsidR="0027183F" w:rsidRDefault="0006026C" w:rsidP="00AD0392">
      <w:pPr>
        <w:pStyle w:val="ListParagraph"/>
        <w:numPr>
          <w:ilvl w:val="0"/>
          <w:numId w:val="31"/>
        </w:numPr>
        <w:spacing w:before="60" w:after="60" w:line="240" w:lineRule="auto"/>
      </w:pPr>
      <w:r>
        <w:t>Taxation of</w:t>
      </w:r>
      <w:r w:rsidR="0027183F">
        <w:t xml:space="preserve"> Gain</w:t>
      </w:r>
      <w:r w:rsidR="00AA6757">
        <w:t xml:space="preserve"> (Loss)</w:t>
      </w:r>
      <w:r w:rsidR="0027183F">
        <w:t xml:space="preserve"> from Sale of Partnership Interest</w:t>
      </w:r>
    </w:p>
    <w:p w14:paraId="41AFE915" w14:textId="5E2CAB8E" w:rsidR="00CB6A9E" w:rsidRDefault="00CB6A9E" w:rsidP="00AD0392">
      <w:pPr>
        <w:pStyle w:val="ListParagraph"/>
        <w:numPr>
          <w:ilvl w:val="0"/>
          <w:numId w:val="31"/>
        </w:numPr>
        <w:spacing w:line="240" w:lineRule="auto"/>
        <w:contextualSpacing/>
      </w:pPr>
      <w:r>
        <w:t>Administrative and Enforcement</w:t>
      </w:r>
    </w:p>
    <w:p w14:paraId="0925786C" w14:textId="2124947D" w:rsidR="00E670B0" w:rsidRDefault="00E670B0" w:rsidP="00E670B0">
      <w:pPr>
        <w:ind w:left="0"/>
      </w:pPr>
      <w:r w:rsidRPr="00FA6CD0">
        <w:t xml:space="preserve">The </w:t>
      </w:r>
      <w:r>
        <w:t>diagram</w:t>
      </w:r>
      <w:r w:rsidRPr="00FA6CD0">
        <w:t xml:space="preserve"> </w:t>
      </w:r>
      <w:r>
        <w:t>here</w:t>
      </w:r>
      <w:r w:rsidRPr="00FA6CD0">
        <w:t xml:space="preserve"> depicts limited portions of partnership structures and relationships that will be referred to in the outline.</w:t>
      </w:r>
    </w:p>
    <w:p w14:paraId="2266FE01" w14:textId="1FD7D06C" w:rsidR="002F0992" w:rsidRPr="00E670B0" w:rsidRDefault="006D3777" w:rsidP="00CB6A9E">
      <w:pPr>
        <w:ind w:left="0"/>
        <w:rPr>
          <w:b/>
          <w:bCs/>
          <w:u w:val="single"/>
        </w:rPr>
      </w:pPr>
      <w:r w:rsidRPr="00E670B0">
        <w:rPr>
          <w:b/>
          <w:bCs/>
          <w:u w:val="single"/>
        </w:rPr>
        <w:t xml:space="preserve">Note on </w:t>
      </w:r>
      <w:r w:rsidR="002F0992" w:rsidRPr="00E670B0">
        <w:rPr>
          <w:b/>
          <w:bCs/>
          <w:u w:val="single"/>
        </w:rPr>
        <w:t xml:space="preserve">Corporate </w:t>
      </w:r>
      <w:r w:rsidR="00AD0392">
        <w:rPr>
          <w:b/>
          <w:bCs/>
          <w:u w:val="single"/>
        </w:rPr>
        <w:t>V</w:t>
      </w:r>
      <w:r w:rsidR="002F0992" w:rsidRPr="00E670B0">
        <w:rPr>
          <w:b/>
          <w:bCs/>
          <w:u w:val="single"/>
        </w:rPr>
        <w:t>ersus Individual Partners</w:t>
      </w:r>
    </w:p>
    <w:p w14:paraId="005389E9" w14:textId="36AD12D0" w:rsidR="003167D1" w:rsidRDefault="002F0992" w:rsidP="00CB6A9E">
      <w:pPr>
        <w:ind w:left="0"/>
      </w:pPr>
      <w:r>
        <w:t xml:space="preserve">States may tax partnership income to corporate and individual partners in somewhat different ways. Therefore, </w:t>
      </w:r>
      <w:r w:rsidR="002A2410">
        <w:t>t</w:t>
      </w:r>
      <w:r w:rsidR="003167D1" w:rsidRPr="003167D1">
        <w:t>h</w:t>
      </w:r>
      <w:r w:rsidR="002A2410">
        <w:t xml:space="preserve">is outline </w:t>
      </w:r>
      <w:r w:rsidR="0027183F">
        <w:t xml:space="preserve">may </w:t>
      </w:r>
      <w:r w:rsidR="002A2410">
        <w:t xml:space="preserve">divide </w:t>
      </w:r>
      <w:r w:rsidR="0027183F">
        <w:t>certain</w:t>
      </w:r>
      <w:r w:rsidR="002A2410">
        <w:t xml:space="preserve"> general substantive issues</w:t>
      </w:r>
      <w:r w:rsidR="0027183F">
        <w:t xml:space="preserve"> </w:t>
      </w:r>
      <w:r w:rsidR="003167D1" w:rsidRPr="003167D1">
        <w:t>between the</w:t>
      </w:r>
      <w:r w:rsidR="002A2410">
        <w:t xml:space="preserve">se </w:t>
      </w:r>
      <w:r w:rsidR="003167D1" w:rsidRPr="003167D1">
        <w:t>two main categories of taxpayer partners</w:t>
      </w:r>
      <w:r w:rsidR="00E501BA">
        <w:t xml:space="preserve"> and cover each separately</w:t>
      </w:r>
      <w:r w:rsidR="003167D1" w:rsidRPr="003167D1">
        <w:t xml:space="preserve">. </w:t>
      </w:r>
    </w:p>
    <w:p w14:paraId="3E40C70A" w14:textId="77777777" w:rsidR="00562E0A" w:rsidRDefault="00562E0A" w:rsidP="00CB6A9E">
      <w:pPr>
        <w:ind w:left="0"/>
      </w:pPr>
    </w:p>
    <w:p w14:paraId="400E7D4D" w14:textId="0CBEE58D" w:rsidR="00E006E3" w:rsidRDefault="00494A70" w:rsidP="002B59C8">
      <w:pPr>
        <w:pStyle w:val="Heading1"/>
      </w:pPr>
      <w:r>
        <w:t xml:space="preserve">General </w:t>
      </w:r>
      <w:r w:rsidR="00C565BF">
        <w:t xml:space="preserve">Terminology </w:t>
      </w:r>
    </w:p>
    <w:p w14:paraId="4BB449AD" w14:textId="28B77939" w:rsidR="00C61BEA" w:rsidRDefault="008C2B8A" w:rsidP="006F7A0E">
      <w:pPr>
        <w:ind w:left="0"/>
      </w:pPr>
      <w:r>
        <w:t xml:space="preserve">NOTE: </w:t>
      </w:r>
      <w:r w:rsidR="00A16606">
        <w:t xml:space="preserve">This outline will use the following terms as defined here. </w:t>
      </w:r>
      <w:r w:rsidR="00775D4A">
        <w:t>Unless otherwise noted, t</w:t>
      </w:r>
      <w:r w:rsidR="00406D01">
        <w:t>erms not defined will have the same general meaning as under IRC Subchapter K.</w:t>
      </w:r>
    </w:p>
    <w:p w14:paraId="7B63F726" w14:textId="05088F9F" w:rsidR="00C61BEA" w:rsidRDefault="00C61BEA" w:rsidP="00C61BEA">
      <w:pPr>
        <w:pStyle w:val="Heading2"/>
      </w:pPr>
      <w:r>
        <w:t>Terms Describing Partnerships</w:t>
      </w:r>
    </w:p>
    <w:p w14:paraId="279DA8F5" w14:textId="3A996733" w:rsidR="00C61BEA" w:rsidRDefault="00C61BEA" w:rsidP="00C61BEA">
      <w:pPr>
        <w:pStyle w:val="Heading3"/>
      </w:pPr>
      <w:r>
        <w:t>Partnership</w:t>
      </w:r>
    </w:p>
    <w:p w14:paraId="66677EFE" w14:textId="1B2CA2CB" w:rsidR="00C61BEA" w:rsidRDefault="00444965" w:rsidP="002C25EF">
      <w:pPr>
        <w:ind w:left="576"/>
      </w:pPr>
      <w:r>
        <w:t xml:space="preserve">Any </w:t>
      </w:r>
      <w:r w:rsidR="00C61BEA">
        <w:t xml:space="preserve">entity that is taxed under IRC Subchapter K including general partnerships, limited partnerships, limited liability partnerships, and limited liability companies (LLCs). </w:t>
      </w:r>
    </w:p>
    <w:p w14:paraId="04CFB396" w14:textId="2D10A2F0" w:rsidR="00C61BEA" w:rsidRDefault="00C61BEA" w:rsidP="00C61BEA">
      <w:pPr>
        <w:pStyle w:val="Heading3"/>
      </w:pPr>
      <w:r>
        <w:t>Investment Partnership</w:t>
      </w:r>
    </w:p>
    <w:p w14:paraId="158A4EFA" w14:textId="3DFCB24B" w:rsidR="00C61BEA" w:rsidRDefault="00444965" w:rsidP="002C25EF">
      <w:pPr>
        <w:ind w:left="576"/>
      </w:pPr>
      <w:r>
        <w:t>A</w:t>
      </w:r>
      <w:r w:rsidR="00C61BEA">
        <w:t xml:space="preserve"> </w:t>
      </w:r>
      <w:r>
        <w:t xml:space="preserve">general term referring to a </w:t>
      </w:r>
      <w:r w:rsidR="00C61BEA">
        <w:t xml:space="preserve">partnership that is primarily or exclusively engaged in investing the funds of the partnership in other entities. </w:t>
      </w:r>
    </w:p>
    <w:p w14:paraId="29584BA4" w14:textId="77777777" w:rsidR="00C61BEA" w:rsidRDefault="00C61BEA" w:rsidP="00C61BEA">
      <w:pPr>
        <w:pStyle w:val="Heading3"/>
      </w:pPr>
      <w:r>
        <w:t>Operating Partnership</w:t>
      </w:r>
    </w:p>
    <w:p w14:paraId="3B5A9557" w14:textId="15E84C30" w:rsidR="00C61BEA" w:rsidRDefault="00444965" w:rsidP="002C25EF">
      <w:pPr>
        <w:ind w:left="576"/>
      </w:pPr>
      <w:r>
        <w:t xml:space="preserve">A partnership other than </w:t>
      </w:r>
      <w:r w:rsidR="00C61BEA">
        <w:t>an investment partnership.</w:t>
      </w:r>
    </w:p>
    <w:p w14:paraId="404B01C0" w14:textId="77777777" w:rsidR="00AA17B6" w:rsidRDefault="00AA17B6" w:rsidP="00AA17B6">
      <w:pPr>
        <w:pStyle w:val="Heading3"/>
      </w:pPr>
      <w:r>
        <w:t>Lower-Tier and Upper-Tier Partnerships</w:t>
      </w:r>
    </w:p>
    <w:p w14:paraId="188EEB35" w14:textId="247969BF" w:rsidR="00AA17B6" w:rsidRPr="000D6947" w:rsidRDefault="00AA17B6" w:rsidP="00AA17B6">
      <w:pPr>
        <w:ind w:left="576"/>
      </w:pPr>
      <w:r>
        <w:t>“Lower-tier partnership” will refer to a particular partnership in which a tiered partner holds an interest, and “upper-tier partnership” will refer to that tiered partner. [Diagram – P1 is a lower-tier partnership and P3 is an upper-tier partnership. P2 is both. ]</w:t>
      </w:r>
    </w:p>
    <w:p w14:paraId="1A0E2032" w14:textId="77777777" w:rsidR="00C61BEA" w:rsidRPr="00C61BEA" w:rsidRDefault="00C61BEA" w:rsidP="00C61BEA">
      <w:pPr>
        <w:pStyle w:val="Heading3"/>
        <w:rPr>
          <w:bCs/>
        </w:rPr>
      </w:pPr>
      <w:r w:rsidRPr="00C61BEA">
        <w:rPr>
          <w:bCs/>
        </w:rPr>
        <w:t>K-1 Partnership</w:t>
      </w:r>
    </w:p>
    <w:p w14:paraId="3FC601D3" w14:textId="5F754770" w:rsidR="00C61BEA" w:rsidRDefault="00444965" w:rsidP="002C25EF">
      <w:pPr>
        <w:ind w:left="576"/>
      </w:pPr>
      <w:r>
        <w:t>T</w:t>
      </w:r>
      <w:r w:rsidR="00C61BEA" w:rsidRPr="00C61BEA">
        <w:t>he particular partnership that provided the K-1 to the partner</w:t>
      </w:r>
      <w:r>
        <w:t>—</w:t>
      </w:r>
      <w:r w:rsidR="00C61BEA" w:rsidRPr="00C61BEA">
        <w:t>that is, the partnership in which the partner directly owns a partnership interest</w:t>
      </w:r>
      <w:r>
        <w:t>—</w:t>
      </w:r>
      <w:r w:rsidR="00C61BEA" w:rsidRPr="00C61BEA">
        <w:t>whether or not some portion of the items allocated to the partner on the K-1 consist of items from lower-tier partnerships.</w:t>
      </w:r>
    </w:p>
    <w:p w14:paraId="47465017" w14:textId="77777777" w:rsidR="0063325F" w:rsidRDefault="0063325F" w:rsidP="0063325F">
      <w:pPr>
        <w:pStyle w:val="Heading3"/>
      </w:pPr>
      <w:r>
        <w:lastRenderedPageBreak/>
        <w:t>Recognizing Partnership</w:t>
      </w:r>
    </w:p>
    <w:p w14:paraId="6E4333F2" w14:textId="5A66D58F" w:rsidR="0063325F" w:rsidRDefault="00444965" w:rsidP="002C25EF">
      <w:pPr>
        <w:ind w:left="576"/>
      </w:pPr>
      <w:r>
        <w:t>Th</w:t>
      </w:r>
      <w:r w:rsidR="0063325F">
        <w:t>e particular partnership that recognized the tax item (</w:t>
      </w:r>
      <w:r>
        <w:t xml:space="preserve">e.g. </w:t>
      </w:r>
      <w:r w:rsidR="0063325F">
        <w:t>income, expense, gain, loss, etc.) in the first instance—whether or not that tax item is then passed through tiered partners prior to being subject to tax by one or more indirect taxpayer partners.</w:t>
      </w:r>
    </w:p>
    <w:p w14:paraId="35DE9229" w14:textId="1E95DF2A" w:rsidR="008C2B8A" w:rsidRPr="008C2B8A" w:rsidRDefault="00C61BEA" w:rsidP="00C61BEA">
      <w:pPr>
        <w:pStyle w:val="Heading2"/>
      </w:pPr>
      <w:r>
        <w:t>Terms Describing Partners</w:t>
      </w:r>
    </w:p>
    <w:p w14:paraId="17BAA3BF" w14:textId="77777777" w:rsidR="00C61BEA" w:rsidRDefault="00C61BEA" w:rsidP="00C61BEA">
      <w:pPr>
        <w:pStyle w:val="Heading3"/>
      </w:pPr>
      <w:r>
        <w:t>Partner</w:t>
      </w:r>
    </w:p>
    <w:p w14:paraId="6E288CEF" w14:textId="5EC25812" w:rsidR="00C61BEA" w:rsidRPr="00993E91" w:rsidRDefault="00444965" w:rsidP="002C25EF">
      <w:pPr>
        <w:ind w:left="576"/>
      </w:pPr>
      <w:r>
        <w:t>P</w:t>
      </w:r>
      <w:r w:rsidR="00C61BEA">
        <w:t>ersons who hold interests, directly or indirectly, in partnerships, including members of LLCs.</w:t>
      </w:r>
    </w:p>
    <w:p w14:paraId="63BC7904" w14:textId="77777777" w:rsidR="00C61BEA" w:rsidRDefault="00C61BEA" w:rsidP="00C61BEA">
      <w:pPr>
        <w:pStyle w:val="Heading3"/>
      </w:pPr>
      <w:r>
        <w:t>Corporate Partner</w:t>
      </w:r>
    </w:p>
    <w:p w14:paraId="507B74F4" w14:textId="1439F83F" w:rsidR="00C61BEA" w:rsidRDefault="00444965" w:rsidP="002C25EF">
      <w:pPr>
        <w:ind w:left="576"/>
      </w:pPr>
      <w:r>
        <w:t>A partner</w:t>
      </w:r>
      <w:r w:rsidR="00C61BEA">
        <w:t xml:space="preserve"> taxed under IRC Subchapter C. </w:t>
      </w:r>
    </w:p>
    <w:p w14:paraId="717E2920" w14:textId="77777777" w:rsidR="00C61BEA" w:rsidRDefault="00C61BEA" w:rsidP="0063325F">
      <w:pPr>
        <w:pStyle w:val="Heading3"/>
      </w:pPr>
      <w:r>
        <w:t>Individual Partner</w:t>
      </w:r>
    </w:p>
    <w:p w14:paraId="0FFC9E53" w14:textId="1F898CE7" w:rsidR="00C61BEA" w:rsidRDefault="00444965" w:rsidP="002C25EF">
      <w:pPr>
        <w:ind w:left="576"/>
      </w:pPr>
      <w:r>
        <w:t xml:space="preserve">A </w:t>
      </w:r>
      <w:r w:rsidR="00C61BEA">
        <w:t xml:space="preserve">partner taxed as an individual under state law, including taxing on a residency basis. </w:t>
      </w:r>
    </w:p>
    <w:p w14:paraId="746EC333" w14:textId="09F4FFEA" w:rsidR="00C61BEA" w:rsidRDefault="00C61BEA" w:rsidP="0063325F">
      <w:pPr>
        <w:pStyle w:val="Heading3"/>
      </w:pPr>
      <w:r>
        <w:t xml:space="preserve">Resident </w:t>
      </w:r>
      <w:r w:rsidR="00A905FE">
        <w:t xml:space="preserve">and Nonresident </w:t>
      </w:r>
      <w:r>
        <w:t>Partner</w:t>
      </w:r>
      <w:r w:rsidR="00A905FE">
        <w:t>s</w:t>
      </w:r>
    </w:p>
    <w:p w14:paraId="58437E33" w14:textId="06E2E2E9" w:rsidR="00C61BEA" w:rsidRDefault="00A905FE" w:rsidP="002C25EF">
      <w:pPr>
        <w:ind w:left="576"/>
      </w:pPr>
      <w:r>
        <w:t>An i</w:t>
      </w:r>
      <w:r w:rsidR="00444965">
        <w:t xml:space="preserve">ndividual partner </w:t>
      </w:r>
      <w:r w:rsidR="00C61BEA">
        <w:t>resident</w:t>
      </w:r>
      <w:r>
        <w:t>, or not resident,</w:t>
      </w:r>
      <w:r w:rsidR="00C61BEA">
        <w:t xml:space="preserve"> in the state for tax purposes. </w:t>
      </w:r>
    </w:p>
    <w:p w14:paraId="004B9B0D" w14:textId="170A6C22" w:rsidR="00C61BEA" w:rsidRDefault="00C61BEA" w:rsidP="00444965">
      <w:pPr>
        <w:pStyle w:val="Heading3"/>
      </w:pPr>
      <w:r>
        <w:t xml:space="preserve">Direct </w:t>
      </w:r>
      <w:r w:rsidR="00A905FE">
        <w:t xml:space="preserve">and Indirect </w:t>
      </w:r>
      <w:r>
        <w:t>Partner</w:t>
      </w:r>
      <w:r w:rsidR="00A905FE">
        <w:t>s</w:t>
      </w:r>
    </w:p>
    <w:p w14:paraId="42A28B4C" w14:textId="567BA75A" w:rsidR="00C61BEA" w:rsidRPr="000D6947" w:rsidRDefault="00444965" w:rsidP="00A905FE">
      <w:pPr>
        <w:ind w:left="576"/>
      </w:pPr>
      <w:r>
        <w:t>A</w:t>
      </w:r>
      <w:r w:rsidR="00C61BEA">
        <w:t xml:space="preserve"> </w:t>
      </w:r>
      <w:r w:rsidR="00A905FE">
        <w:t xml:space="preserve">direct </w:t>
      </w:r>
      <w:r w:rsidR="00C61BEA">
        <w:t>partner holds an interest in a particular partnership</w:t>
      </w:r>
      <w:r w:rsidR="00A905FE">
        <w:t xml:space="preserve"> whereas an indirect partner holds an interest in a tiered partner</w:t>
      </w:r>
      <w:r w:rsidR="00C61BEA">
        <w:t>. [</w:t>
      </w:r>
      <w:r>
        <w:t xml:space="preserve">Diagram – </w:t>
      </w:r>
      <w:r w:rsidR="00C61BEA">
        <w:t xml:space="preserve">Adams is a direct partner in </w:t>
      </w:r>
      <w:proofErr w:type="gramStart"/>
      <w:r w:rsidR="00C61BEA">
        <w:t>P</w:t>
      </w:r>
      <w:r w:rsidR="00AA17B6">
        <w:t>2</w:t>
      </w:r>
      <w:proofErr w:type="gramEnd"/>
      <w:r w:rsidR="00A905FE">
        <w:t xml:space="preserve"> and </w:t>
      </w:r>
      <w:r w:rsidR="00AA17B6">
        <w:t>Baker</w:t>
      </w:r>
      <w:r w:rsidR="00C61BEA">
        <w:t xml:space="preserve"> is an indirect partner in P1.] </w:t>
      </w:r>
    </w:p>
    <w:p w14:paraId="5F78648E" w14:textId="05E309B4" w:rsidR="00274D22" w:rsidRDefault="00274D22" w:rsidP="0063325F">
      <w:pPr>
        <w:pStyle w:val="Heading3"/>
      </w:pPr>
      <w:r>
        <w:t xml:space="preserve">Active </w:t>
      </w:r>
      <w:r w:rsidR="00A905FE">
        <w:t xml:space="preserve">and Passive </w:t>
      </w:r>
      <w:r>
        <w:t>Partner</w:t>
      </w:r>
      <w:r w:rsidR="00A905FE">
        <w:t>s</w:t>
      </w:r>
    </w:p>
    <w:p w14:paraId="4C230A28" w14:textId="116C49EA" w:rsidR="00C61BEA" w:rsidRDefault="00444965" w:rsidP="002C25EF">
      <w:pPr>
        <w:ind w:left="576"/>
      </w:pPr>
      <w:r>
        <w:t>A</w:t>
      </w:r>
      <w:r w:rsidR="00274D22">
        <w:t>ny partner who takes a role in carrying out the business of the partnership beyond merely investing in the partnership</w:t>
      </w:r>
      <w:r>
        <w:t xml:space="preserve">, </w:t>
      </w:r>
      <w:r w:rsidR="00A905FE">
        <w:t xml:space="preserve">is an active partner, </w:t>
      </w:r>
      <w:r>
        <w:t xml:space="preserve">even if the partner lacks the </w:t>
      </w:r>
      <w:r w:rsidR="00274D22">
        <w:t>authority to bind the partnership.</w:t>
      </w:r>
      <w:r w:rsidR="00A905FE">
        <w:t xml:space="preserve"> A passive partner’s role is limited to providing funding to the partnership. </w:t>
      </w:r>
    </w:p>
    <w:p w14:paraId="77497A98" w14:textId="77777777" w:rsidR="00C61BEA" w:rsidRDefault="00C61BEA" w:rsidP="0063325F">
      <w:pPr>
        <w:pStyle w:val="Heading3"/>
      </w:pPr>
      <w:r>
        <w:t>General Partner (GP) or Managing Member (MM)</w:t>
      </w:r>
    </w:p>
    <w:p w14:paraId="58F0FFCB" w14:textId="645830D0" w:rsidR="00C61BEA" w:rsidRPr="00C50928" w:rsidRDefault="00B36550" w:rsidP="002C25EF">
      <w:pPr>
        <w:ind w:left="576"/>
      </w:pPr>
      <w:r>
        <w:t>A p</w:t>
      </w:r>
      <w:r w:rsidR="00C61BEA">
        <w:t>artner or LLC member who ha</w:t>
      </w:r>
      <w:r>
        <w:t>s</w:t>
      </w:r>
      <w:r w:rsidR="00C61BEA">
        <w:t xml:space="preserve"> general </w:t>
      </w:r>
      <w:r>
        <w:t xml:space="preserve">authority for </w:t>
      </w:r>
      <w:r w:rsidR="00C61BEA">
        <w:t xml:space="preserve">management </w:t>
      </w:r>
      <w:r>
        <w:t>of</w:t>
      </w:r>
      <w:r w:rsidR="00C61BEA">
        <w:t xml:space="preserve"> the partnership or LLC, whether or not they have any general liability for partnership debts.</w:t>
      </w:r>
    </w:p>
    <w:p w14:paraId="47929047" w14:textId="025C41B2" w:rsidR="00C61BEA" w:rsidRDefault="00C61BEA" w:rsidP="0063325F">
      <w:pPr>
        <w:pStyle w:val="Heading3"/>
      </w:pPr>
      <w:r>
        <w:t>Limited Partner</w:t>
      </w:r>
    </w:p>
    <w:p w14:paraId="7871D0C9" w14:textId="003DD29D" w:rsidR="00A949B3" w:rsidRDefault="00B36550" w:rsidP="002C25EF">
      <w:pPr>
        <w:ind w:left="576"/>
      </w:pPr>
      <w:r>
        <w:t>A</w:t>
      </w:r>
      <w:r w:rsidR="00C61BEA">
        <w:t xml:space="preserve">ny type of partner who does not have general liability for partnership debts. </w:t>
      </w:r>
    </w:p>
    <w:p w14:paraId="6B5DD5A2" w14:textId="77777777" w:rsidR="00A949B3" w:rsidRDefault="00A949B3" w:rsidP="00A949B3">
      <w:pPr>
        <w:pStyle w:val="Heading3"/>
      </w:pPr>
      <w:r>
        <w:t>Majority Partner</w:t>
      </w:r>
    </w:p>
    <w:p w14:paraId="2A2BC5AC" w14:textId="5C0463C0" w:rsidR="00A949B3" w:rsidRDefault="00A949B3" w:rsidP="002C25EF">
      <w:pPr>
        <w:ind w:left="576"/>
      </w:pPr>
      <w:r>
        <w:t xml:space="preserve">A </w:t>
      </w:r>
      <w:r w:rsidR="00B36550">
        <w:t>partner that has,</w:t>
      </w:r>
      <w:r>
        <w:t xml:space="preserve"> directly or indirectly, </w:t>
      </w:r>
      <w:r w:rsidR="00B36550">
        <w:t xml:space="preserve">a </w:t>
      </w:r>
      <w:r>
        <w:t xml:space="preserve">controlling ownership </w:t>
      </w:r>
      <w:r w:rsidR="00B36550">
        <w:t xml:space="preserve">interest or voting rights in a </w:t>
      </w:r>
      <w:r>
        <w:t>partnership, applying general attribution rules.</w:t>
      </w:r>
      <w:r w:rsidR="00BB4B6C">
        <w:t xml:space="preserve"> </w:t>
      </w:r>
    </w:p>
    <w:p w14:paraId="5BFBC68C" w14:textId="77777777" w:rsidR="00A949B3" w:rsidRDefault="00A949B3" w:rsidP="00A949B3">
      <w:pPr>
        <w:pStyle w:val="Heading3"/>
      </w:pPr>
      <w:r>
        <w:t>Minority Partner</w:t>
      </w:r>
    </w:p>
    <w:p w14:paraId="4E6E6F4F" w14:textId="003CB258" w:rsidR="0063325F" w:rsidRDefault="00B36550" w:rsidP="002C25EF">
      <w:pPr>
        <w:ind w:left="576"/>
      </w:pPr>
      <w:r>
        <w:t>A</w:t>
      </w:r>
      <w:r w:rsidR="00A949B3">
        <w:t xml:space="preserve">ny partner other than a majority partner. </w:t>
      </w:r>
      <w:r w:rsidR="00C61BEA">
        <w:t xml:space="preserve"> </w:t>
      </w:r>
    </w:p>
    <w:p w14:paraId="0891C10D" w14:textId="77777777" w:rsidR="0063325F" w:rsidRDefault="0063325F" w:rsidP="0063325F">
      <w:pPr>
        <w:pStyle w:val="Heading3"/>
      </w:pPr>
      <w:r>
        <w:t>Taxpayer Partner</w:t>
      </w:r>
    </w:p>
    <w:p w14:paraId="5AA7CA77" w14:textId="24EF3024" w:rsidR="0063325F" w:rsidRDefault="00B36550" w:rsidP="002C25EF">
      <w:pPr>
        <w:ind w:left="576"/>
      </w:pPr>
      <w:r>
        <w:t>A</w:t>
      </w:r>
      <w:r w:rsidR="0063325F">
        <w:t xml:space="preserve"> direct or indirect partner that is subject to tax on </w:t>
      </w:r>
      <w:r>
        <w:t>a particular</w:t>
      </w:r>
      <w:r w:rsidR="0063325F">
        <w:t xml:space="preserve"> partnership</w:t>
      </w:r>
      <w:r>
        <w:t>’s</w:t>
      </w:r>
      <w:r w:rsidR="0063325F">
        <w:t xml:space="preserve"> income</w:t>
      </w:r>
      <w:r>
        <w:t>.</w:t>
      </w:r>
      <w:r w:rsidR="0063325F">
        <w:t xml:space="preserve"> </w:t>
      </w:r>
    </w:p>
    <w:p w14:paraId="720F20A7" w14:textId="77777777" w:rsidR="0063325F" w:rsidRDefault="0063325F" w:rsidP="0063325F">
      <w:pPr>
        <w:pStyle w:val="Heading3"/>
      </w:pPr>
      <w:r>
        <w:t>Tiered Partner</w:t>
      </w:r>
    </w:p>
    <w:p w14:paraId="3C1EE707" w14:textId="584D39C5" w:rsidR="0063325F" w:rsidRPr="00C50928" w:rsidRDefault="00B36550" w:rsidP="002C25EF">
      <w:pPr>
        <w:ind w:left="576"/>
      </w:pPr>
      <w:r>
        <w:t>A</w:t>
      </w:r>
      <w:r w:rsidR="0063325F">
        <w:t xml:space="preserve"> partnership or pass-through entity that is, itself, a partner in a particular partnership. [</w:t>
      </w:r>
      <w:r>
        <w:t xml:space="preserve">Diagram – </w:t>
      </w:r>
      <w:r w:rsidR="00FE1628">
        <w:t>P2 and P3 are tiered partners</w:t>
      </w:r>
      <w:r w:rsidR="0063325F">
        <w:t>.]</w:t>
      </w:r>
    </w:p>
    <w:p w14:paraId="17490330" w14:textId="60329A1C" w:rsidR="0063325F" w:rsidRDefault="0063325F" w:rsidP="0063325F">
      <w:pPr>
        <w:pStyle w:val="Heading2"/>
      </w:pPr>
      <w:r>
        <w:lastRenderedPageBreak/>
        <w:t>Other Terms</w:t>
      </w:r>
    </w:p>
    <w:p w14:paraId="43DFAEBD" w14:textId="7FAB0EB6" w:rsidR="0063325F" w:rsidRDefault="0063325F" w:rsidP="0063325F">
      <w:pPr>
        <w:pStyle w:val="Heading3"/>
      </w:pPr>
      <w:r>
        <w:t>Pas</w:t>
      </w:r>
      <w:r w:rsidR="00B36550">
        <w:t>sth</w:t>
      </w:r>
      <w:r>
        <w:t>rough Entity</w:t>
      </w:r>
    </w:p>
    <w:p w14:paraId="773F50AA" w14:textId="3DEB81C5" w:rsidR="0063325F" w:rsidRDefault="00B36550" w:rsidP="002C25EF">
      <w:pPr>
        <w:ind w:left="576"/>
      </w:pPr>
      <w:r>
        <w:t>A</w:t>
      </w:r>
      <w:r w:rsidR="0063325F">
        <w:t>ny entity that is not subject to tax, including partnerships, Subchapter S corporations, and certain trusts.</w:t>
      </w:r>
    </w:p>
    <w:p w14:paraId="5F862FB3" w14:textId="235BC899" w:rsidR="0063325F" w:rsidRDefault="0063325F" w:rsidP="0063325F">
      <w:pPr>
        <w:pStyle w:val="Heading3"/>
      </w:pPr>
      <w:r>
        <w:t>Pass</w:t>
      </w:r>
      <w:r w:rsidR="00B36550">
        <w:t>t</w:t>
      </w:r>
      <w:r>
        <w:t>hrough Taxation</w:t>
      </w:r>
    </w:p>
    <w:p w14:paraId="39E0E016" w14:textId="7D62C395" w:rsidR="0063325F" w:rsidRDefault="00B36550" w:rsidP="002C25EF">
      <w:pPr>
        <w:ind w:left="576"/>
      </w:pPr>
      <w:r>
        <w:t>The</w:t>
      </w:r>
      <w:r w:rsidR="0063325F">
        <w:t xml:space="preserve"> general method used under IRC Subchapter K where the elements of the income tax calculation—or partnership items—are determined at the partnership level and then passed through to partners who pay the tax on those items. </w:t>
      </w:r>
    </w:p>
    <w:p w14:paraId="293C3B0A" w14:textId="77777777" w:rsidR="00DE10BF" w:rsidRDefault="00DE10BF" w:rsidP="00DE10BF">
      <w:pPr>
        <w:pStyle w:val="Heading3"/>
      </w:pPr>
      <w:r>
        <w:t>Allocate/Allocation</w:t>
      </w:r>
    </w:p>
    <w:p w14:paraId="06B1B54B" w14:textId="77777777" w:rsidR="00DE10BF" w:rsidRDefault="00DE10BF" w:rsidP="00DE10BF">
      <w:pPr>
        <w:ind w:left="576"/>
      </w:pPr>
      <w:r>
        <w:t xml:space="preserve">The means by which the partnership determines the distributive share of partnership items for particular partners. For example—partnership A </w:t>
      </w:r>
      <w:r w:rsidRPr="00B05B68">
        <w:rPr>
          <w:i/>
          <w:iCs/>
        </w:rPr>
        <w:t>allocates</w:t>
      </w:r>
      <w:r>
        <w:t xml:space="preserve"> 50% of its income to Partner Smith. </w:t>
      </w:r>
    </w:p>
    <w:p w14:paraId="14A4A5C8" w14:textId="77777777" w:rsidR="0063325F" w:rsidRPr="00375FD1" w:rsidRDefault="0063325F" w:rsidP="0063325F">
      <w:pPr>
        <w:pStyle w:val="Heading3"/>
      </w:pPr>
      <w:r w:rsidRPr="00375FD1">
        <w:t>Information-Reporting Requirements</w:t>
      </w:r>
    </w:p>
    <w:p w14:paraId="595402DA" w14:textId="1153E0D4" w:rsidR="0063325F" w:rsidRDefault="0063325F" w:rsidP="002C25EF">
      <w:pPr>
        <w:ind w:left="576"/>
      </w:pPr>
      <w:r>
        <w:t xml:space="preserve">Information-reporting requirements generally include the filing of partnership returns (1065’s) and partner information reports (Schedule K-1s). For state purposes, this information would also include information </w:t>
      </w:r>
      <w:r w:rsidR="00B36550">
        <w:t>necessary to make state adjustments to income items, properly characterize</w:t>
      </w:r>
      <w:r>
        <w:t xml:space="preserve"> income as business</w:t>
      </w:r>
      <w:r w:rsidR="00B36550">
        <w:t>/nonbusiness,</w:t>
      </w:r>
      <w:r>
        <w:t xml:space="preserve"> and </w:t>
      </w:r>
      <w:r w:rsidR="00B36550">
        <w:t>information for sourcing</w:t>
      </w:r>
      <w:r>
        <w:t xml:space="preserve"> income.  </w:t>
      </w:r>
    </w:p>
    <w:p w14:paraId="2E0CED20" w14:textId="77777777" w:rsidR="0063325F" w:rsidRDefault="0063325F" w:rsidP="0063325F">
      <w:pPr>
        <w:pStyle w:val="Heading3"/>
      </w:pPr>
      <w:r>
        <w:t>Partnership Return (1065)</w:t>
      </w:r>
    </w:p>
    <w:p w14:paraId="40F1AE48" w14:textId="6974D6B5" w:rsidR="0063325F" w:rsidRDefault="00B05B68" w:rsidP="002C25EF">
      <w:pPr>
        <w:ind w:left="576"/>
      </w:pPr>
      <w:r>
        <w:t>T</w:t>
      </w:r>
      <w:r w:rsidR="0063325F">
        <w:t>he federal or state return filed by the entity in which it characterizes and determines the value of the partnership items of income, expense, gain, and loss (etc.) and reports other related information necessary for taxpayer partners to determine the federal or state taxes owed.</w:t>
      </w:r>
    </w:p>
    <w:p w14:paraId="0A067071" w14:textId="77777777" w:rsidR="0063325F" w:rsidRDefault="0063325F" w:rsidP="0063325F">
      <w:pPr>
        <w:pStyle w:val="Heading3"/>
      </w:pPr>
      <w:r>
        <w:t>Schedule K-1 (or K-1)</w:t>
      </w:r>
    </w:p>
    <w:p w14:paraId="341464A9" w14:textId="653D2E8D" w:rsidR="0063325F" w:rsidRPr="000F0F37" w:rsidRDefault="00B05B68" w:rsidP="002C25EF">
      <w:pPr>
        <w:ind w:left="576"/>
      </w:pPr>
      <w:r>
        <w:t>T</w:t>
      </w:r>
      <w:r w:rsidR="0063325F">
        <w:t>he federal or state information report provided by the partnership to the direct partners reporting their shares of partnership items and other information necessary for taxpayer partners to determine the federal or state taxes owed.</w:t>
      </w:r>
    </w:p>
    <w:p w14:paraId="35C13ED3" w14:textId="77777777" w:rsidR="0063325F" w:rsidRDefault="0063325F" w:rsidP="0063325F">
      <w:pPr>
        <w:pStyle w:val="Heading3"/>
      </w:pPr>
      <w:r>
        <w:t>Source and Income Sourcing</w:t>
      </w:r>
    </w:p>
    <w:p w14:paraId="5193F580" w14:textId="5571F42E" w:rsidR="0063325F" w:rsidRDefault="00B05B68" w:rsidP="002C25EF">
      <w:pPr>
        <w:ind w:left="576"/>
      </w:pPr>
      <w:r>
        <w:t>Determining the p</w:t>
      </w:r>
      <w:r w:rsidR="0063325F">
        <w:t>artnership income or items</w:t>
      </w:r>
      <w:r>
        <w:t>, or share of those items,</w:t>
      </w:r>
      <w:r w:rsidR="0063325F">
        <w:t xml:space="preserve"> </w:t>
      </w:r>
      <w:r>
        <w:t xml:space="preserve">that are </w:t>
      </w:r>
      <w:r w:rsidR="0063325F">
        <w:t xml:space="preserve">taxable in a state—using </w:t>
      </w:r>
      <w:r>
        <w:t>residency/domicile</w:t>
      </w:r>
      <w:r w:rsidR="00CF0357">
        <w:t>,</w:t>
      </w:r>
      <w:r>
        <w:t xml:space="preserve"> </w:t>
      </w:r>
      <w:r w:rsidR="00CF0357">
        <w:t>situs, or</w:t>
      </w:r>
      <w:r>
        <w:t xml:space="preserve"> apportionment, including </w:t>
      </w:r>
      <w:proofErr w:type="spellStart"/>
      <w:r w:rsidR="0063325F">
        <w:t>UDITPA</w:t>
      </w:r>
      <w:proofErr w:type="spellEnd"/>
      <w:r w:rsidR="0063325F">
        <w:t xml:space="preserve"> or other general state methods. </w:t>
      </w:r>
    </w:p>
    <w:p w14:paraId="2EA092C7" w14:textId="26EEFAF6" w:rsidR="002D629B" w:rsidRDefault="00E670B0" w:rsidP="0063325F">
      <w:pPr>
        <w:pStyle w:val="Heading3"/>
      </w:pPr>
      <w:r>
        <w:t>Partnership</w:t>
      </w:r>
      <w:r w:rsidR="002D629B">
        <w:t xml:space="preserve"> Sourcing</w:t>
      </w:r>
    </w:p>
    <w:p w14:paraId="014964DF" w14:textId="77777777" w:rsidR="00DE10BF" w:rsidRDefault="00E670B0" w:rsidP="002C25EF">
      <w:pPr>
        <w:ind w:left="576"/>
      </w:pPr>
      <w:r>
        <w:t>D</w:t>
      </w:r>
      <w:r w:rsidR="002D629B">
        <w:t xml:space="preserve">etermining the share of multistate </w:t>
      </w:r>
      <w:r>
        <w:t xml:space="preserve">partnership </w:t>
      </w:r>
      <w:r w:rsidR="002D629B">
        <w:t>income subject to tax in a particular state</w:t>
      </w:r>
      <w:r>
        <w:t xml:space="preserve"> using partnership information, in whole or in part, including apportionment factors or information for specific sourcing of items. </w:t>
      </w:r>
      <w:r w:rsidR="002D629B">
        <w:t xml:space="preserve">   </w:t>
      </w:r>
    </w:p>
    <w:p w14:paraId="127DFC40" w14:textId="77777777" w:rsidR="00DE10BF" w:rsidRDefault="00DE10BF" w:rsidP="00DE10BF">
      <w:pPr>
        <w:pStyle w:val="Heading3"/>
      </w:pPr>
      <w:r>
        <w:t>Situs</w:t>
      </w:r>
    </w:p>
    <w:p w14:paraId="612BB05D" w14:textId="72DAF3A4" w:rsidR="002D629B" w:rsidRDefault="00CF0357" w:rsidP="00CF0357">
      <w:pPr>
        <w:ind w:left="576"/>
      </w:pPr>
      <w:r>
        <w:t xml:space="preserve">Sourcing income or other items based on specific rules </w:t>
      </w:r>
      <w:r w:rsidR="005023F1">
        <w:t>for the particular income or item.</w:t>
      </w:r>
    </w:p>
    <w:p w14:paraId="2A9043D2" w14:textId="530AD91F" w:rsidR="005023F1" w:rsidRDefault="005023F1" w:rsidP="005023F1">
      <w:pPr>
        <w:pStyle w:val="Heading3"/>
      </w:pPr>
      <w:r>
        <w:t>Apportionment</w:t>
      </w:r>
    </w:p>
    <w:p w14:paraId="623857F5" w14:textId="30A3DBC0" w:rsidR="005023F1" w:rsidRDefault="005023F1" w:rsidP="005023F1">
      <w:pPr>
        <w:ind w:left="576"/>
      </w:pPr>
      <w:r>
        <w:t>Sourcing income or other items using apportionment factors.</w:t>
      </w:r>
    </w:p>
    <w:p w14:paraId="193212B8" w14:textId="77777777" w:rsidR="00F55E09" w:rsidRPr="005023F1" w:rsidRDefault="00F55E09" w:rsidP="00F55E09">
      <w:pPr>
        <w:pBdr>
          <w:bottom w:val="single" w:sz="4" w:space="1" w:color="auto"/>
        </w:pBdr>
        <w:ind w:left="576"/>
      </w:pPr>
    </w:p>
    <w:p w14:paraId="71707BE3" w14:textId="0B88D37C" w:rsidR="000E468B" w:rsidRDefault="0006026C" w:rsidP="00E501BA">
      <w:pPr>
        <w:pStyle w:val="Heading1"/>
      </w:pPr>
      <w:r>
        <w:t xml:space="preserve">Taxation of </w:t>
      </w:r>
      <w:r w:rsidR="000E468B">
        <w:t>Partnership Income</w:t>
      </w:r>
      <w:r>
        <w:t xml:space="preserve"> and Items</w:t>
      </w:r>
    </w:p>
    <w:p w14:paraId="150E2E58" w14:textId="7805C309" w:rsidR="0006026C" w:rsidRDefault="0006026C" w:rsidP="0006026C">
      <w:pPr>
        <w:pStyle w:val="Heading2"/>
      </w:pPr>
      <w:r>
        <w:lastRenderedPageBreak/>
        <w:t xml:space="preserve">Jurisdiction </w:t>
      </w:r>
      <w:r w:rsidR="009C3B11">
        <w:t>and Nexus Issues</w:t>
      </w:r>
      <w:r w:rsidR="0098498A">
        <w:t xml:space="preserve"> </w:t>
      </w:r>
    </w:p>
    <w:p w14:paraId="5C149027" w14:textId="157EF477" w:rsidR="0006026C" w:rsidRPr="00494A70" w:rsidRDefault="007F529D" w:rsidP="0006026C">
      <w:pPr>
        <w:ind w:left="720"/>
      </w:pPr>
      <w:r>
        <w:t xml:space="preserve">This section </w:t>
      </w:r>
      <w:r w:rsidR="000B1897">
        <w:t xml:space="preserve">2.1 </w:t>
      </w:r>
      <w:r>
        <w:t xml:space="preserve">addresses jurisdiction over the partnership </w:t>
      </w:r>
      <w:r w:rsidR="00562E0A">
        <w:t>to require</w:t>
      </w:r>
      <w:r>
        <w:t xml:space="preserve"> recordkeeping and reporting as well as nexus to tax the partnership income</w:t>
      </w:r>
      <w:r w:rsidR="000B1897">
        <w:t xml:space="preserve"> to the partners</w:t>
      </w:r>
      <w:r w:rsidR="0006026C">
        <w:t>.</w:t>
      </w:r>
    </w:p>
    <w:p w14:paraId="09E298CE" w14:textId="44F84F50" w:rsidR="00954787" w:rsidRDefault="0006026C" w:rsidP="0006026C">
      <w:pPr>
        <w:pStyle w:val="Heading3"/>
      </w:pPr>
      <w:r w:rsidRPr="00AA31A4">
        <w:t>Jurisdiction</w:t>
      </w:r>
      <w:r w:rsidR="000B1897">
        <w:t>/</w:t>
      </w:r>
      <w:r w:rsidR="00954787">
        <w:t xml:space="preserve">Nexus </w:t>
      </w:r>
      <w:r w:rsidR="000B1897">
        <w:t>Over</w:t>
      </w:r>
      <w:r w:rsidR="009C3B11">
        <w:t xml:space="preserve"> </w:t>
      </w:r>
      <w:r w:rsidRPr="00AA31A4">
        <w:t>Partnership</w:t>
      </w:r>
      <w:r w:rsidR="003A13C3">
        <w:t>s</w:t>
      </w:r>
      <w:r w:rsidRPr="00AA31A4">
        <w:t xml:space="preserve"> </w:t>
      </w:r>
      <w:r w:rsidR="00954787">
        <w:t>Doing Business in the State</w:t>
      </w:r>
    </w:p>
    <w:p w14:paraId="2912A9E3" w14:textId="66BCA699" w:rsidR="008275E8" w:rsidRDefault="008275E8" w:rsidP="008275E8">
      <w:pPr>
        <w:pStyle w:val="Heading4"/>
      </w:pPr>
      <w:r>
        <w:t>States may assert jurisdiction to impose reporting requirements on, and nexus to tax income of, partnerships doing business in the state.</w:t>
      </w:r>
    </w:p>
    <w:p w14:paraId="6EAA70AF" w14:textId="113E9624" w:rsidR="00954787" w:rsidRPr="00954787" w:rsidRDefault="00954787" w:rsidP="00954787">
      <w:pPr>
        <w:ind w:left="1080"/>
      </w:pPr>
      <w:r w:rsidRPr="00954787">
        <w:t xml:space="preserve">It is a generally accepted principle that states have </w:t>
      </w:r>
      <w:r>
        <w:t>jurisdiction</w:t>
      </w:r>
      <w:r w:rsidRPr="00954787">
        <w:t xml:space="preserve"> to require a partnership that is doing business in the state to comply with tax recordkeeping and information reporting requirements</w:t>
      </w:r>
      <w:r>
        <w:t xml:space="preserve"> and also have nexus to tax the income earned by the partnership.</w:t>
      </w:r>
    </w:p>
    <w:p w14:paraId="1BEB0C20" w14:textId="6159FB2F" w:rsidR="0006026C" w:rsidRPr="00AA31A4" w:rsidRDefault="00954787" w:rsidP="0006026C">
      <w:pPr>
        <w:pStyle w:val="Heading3"/>
      </w:pPr>
      <w:r>
        <w:t xml:space="preserve">Jurisdiction </w:t>
      </w:r>
      <w:r w:rsidR="000B1897">
        <w:t>to Require Reporting of</w:t>
      </w:r>
      <w:r>
        <w:t xml:space="preserve"> Partnerships Not Doing Business in the State</w:t>
      </w:r>
    </w:p>
    <w:p w14:paraId="233CE6F1" w14:textId="039B4BA3" w:rsidR="0006026C" w:rsidRPr="00AA31A4" w:rsidRDefault="0006026C" w:rsidP="0006026C">
      <w:pPr>
        <w:ind w:left="1080"/>
      </w:pPr>
      <w:r w:rsidRPr="00AA31A4">
        <w:t xml:space="preserve">The passthrough tax system relies on the entity to maintain and report information </w:t>
      </w:r>
      <w:r w:rsidR="00562E0A">
        <w:t xml:space="preserve">both </w:t>
      </w:r>
      <w:r w:rsidRPr="00AA31A4">
        <w:t>to taxpayer partners and to the state, enabling proper calculation of state tax. This tax-related information includes</w:t>
      </w:r>
      <w:r w:rsidR="00954787">
        <w:t xml:space="preserve"> not only </w:t>
      </w:r>
      <w:r w:rsidRPr="00AA31A4">
        <w:t>information necessary to source income (e.g. apportionment information)</w:t>
      </w:r>
      <w:r w:rsidR="00954787">
        <w:t>, but also</w:t>
      </w:r>
      <w:r w:rsidRPr="00AA31A4">
        <w:t xml:space="preserve"> any information necessary to adjust the </w:t>
      </w:r>
      <w:r w:rsidR="00954787">
        <w:t xml:space="preserve">federal </w:t>
      </w:r>
      <w:r w:rsidRPr="00AA31A4">
        <w:t xml:space="preserve">tax base for state purposes. </w:t>
      </w:r>
      <w:r w:rsidR="00954787">
        <w:t>As a result states may need to assert jurisdiction on the basis of resident partners—who are taxed on 100% of their income, wherever earned.</w:t>
      </w:r>
    </w:p>
    <w:p w14:paraId="69115338" w14:textId="454ED018" w:rsidR="0006026C" w:rsidRPr="00AA31A4" w:rsidRDefault="0006026C" w:rsidP="0006026C">
      <w:pPr>
        <w:pStyle w:val="Heading4"/>
      </w:pPr>
      <w:r w:rsidRPr="00AA31A4">
        <w:t xml:space="preserve">States impose </w:t>
      </w:r>
      <w:r w:rsidR="000B1897">
        <w:t xml:space="preserve">reporting </w:t>
      </w:r>
      <w:r w:rsidRPr="00AA31A4">
        <w:t xml:space="preserve">requirements on partnerships not doing business in the state if they have a direct partner in the state.  </w:t>
      </w:r>
    </w:p>
    <w:p w14:paraId="58B2712C" w14:textId="37A6FFE5" w:rsidR="0006026C" w:rsidRPr="00AA31A4" w:rsidRDefault="0006026C" w:rsidP="0006026C">
      <w:pPr>
        <w:ind w:left="1440"/>
      </w:pPr>
      <w:r w:rsidRPr="00AA31A4">
        <w:t xml:space="preserve">States generally assert authority to require a partnership to comply with tax recordkeeping and information reporting requirements even if the partnership is not doing business in the state, provided the partnership has a direct partner doing business in the state. </w:t>
      </w:r>
      <w:r w:rsidR="00562E0A">
        <w:t xml:space="preserve">This primarily affects the ability of </w:t>
      </w:r>
      <w:r w:rsidR="00954787">
        <w:t xml:space="preserve">resident </w:t>
      </w:r>
      <w:r w:rsidR="00562E0A">
        <w:t>partners to properly calculate the state tax base</w:t>
      </w:r>
      <w:r w:rsidRPr="00AA31A4">
        <w:t xml:space="preserve"> (e.g. where the state requires adjustments to the federal tax base). </w:t>
      </w:r>
    </w:p>
    <w:p w14:paraId="50AC790E" w14:textId="47DA51A3" w:rsidR="0006026C" w:rsidRPr="00AA31A4" w:rsidRDefault="0006026C" w:rsidP="0006026C">
      <w:pPr>
        <w:pStyle w:val="Heading4"/>
      </w:pPr>
      <w:r w:rsidRPr="00AA31A4">
        <w:t xml:space="preserve">Question – May a state impose </w:t>
      </w:r>
      <w:r w:rsidR="000B1897">
        <w:t xml:space="preserve">reporting </w:t>
      </w:r>
      <w:r w:rsidRPr="00AA31A4">
        <w:t xml:space="preserve">requirements on a partnership if its only connection to the state is an indirect </w:t>
      </w:r>
      <w:r w:rsidR="000B1897">
        <w:t xml:space="preserve">or limited/passive </w:t>
      </w:r>
      <w:r w:rsidRPr="00AA31A4">
        <w:t>partner?</w:t>
      </w:r>
    </w:p>
    <w:p w14:paraId="03ACE049" w14:textId="66B6F146" w:rsidR="0006026C" w:rsidRPr="00AA31A4" w:rsidRDefault="0006026C" w:rsidP="0006026C">
      <w:pPr>
        <w:ind w:left="1440"/>
      </w:pPr>
      <w:r w:rsidRPr="00AA31A4">
        <w:t xml:space="preserve">Whether states can and will enforce recordkeeping and information reporting requirements on a partnership solely due to the presence in the state of an indirect partner is uncertain. </w:t>
      </w:r>
      <w:r w:rsidR="000B1897">
        <w:t>Again, this primarily affects the ability of resident partners to properly calculate the state tax base.</w:t>
      </w:r>
    </w:p>
    <w:p w14:paraId="71ADF68B" w14:textId="0C8CB6EB" w:rsidR="0006026C" w:rsidRDefault="0006026C" w:rsidP="0006026C">
      <w:pPr>
        <w:pStyle w:val="Heading3"/>
      </w:pPr>
      <w:r>
        <w:t>Factor-</w:t>
      </w:r>
      <w:r w:rsidR="00CF0424">
        <w:t>P</w:t>
      </w:r>
      <w:r>
        <w:t xml:space="preserve">resence </w:t>
      </w:r>
      <w:r w:rsidR="00CF0424">
        <w:t>N</w:t>
      </w:r>
      <w:r>
        <w:t xml:space="preserve">exus </w:t>
      </w:r>
      <w:r w:rsidR="00CF0424">
        <w:t>S</w:t>
      </w:r>
      <w:r>
        <w:t>tandards</w:t>
      </w:r>
      <w:r w:rsidR="00CF0424">
        <w:t xml:space="preserve"> Applied to Partnerships</w:t>
      </w:r>
      <w:r>
        <w:t xml:space="preserve"> </w:t>
      </w:r>
    </w:p>
    <w:p w14:paraId="39D8328D" w14:textId="60013B9D" w:rsidR="0006026C" w:rsidRDefault="0006026C" w:rsidP="0006026C">
      <w:pPr>
        <w:pStyle w:val="Heading4"/>
      </w:pPr>
      <w:r>
        <w:t xml:space="preserve">States may apply factor-presence nexus standards at the </w:t>
      </w:r>
      <w:r w:rsidR="00CF0424">
        <w:t>entity</w:t>
      </w:r>
      <w:r>
        <w:t xml:space="preserve"> level. </w:t>
      </w:r>
    </w:p>
    <w:p w14:paraId="36180F09" w14:textId="77777777" w:rsidR="0006026C" w:rsidRDefault="0006026C" w:rsidP="0006026C">
      <w:pPr>
        <w:ind w:left="1440"/>
      </w:pPr>
      <w:r>
        <w:t xml:space="preserve">The </w:t>
      </w:r>
      <w:proofErr w:type="spellStart"/>
      <w:r>
        <w:t>MTC</w:t>
      </w:r>
      <w:proofErr w:type="spellEnd"/>
      <w:r>
        <w:t xml:space="preserve"> adopted a model factor presence nexus standard for partnerships that is applicable to partnerships as follows: </w:t>
      </w:r>
    </w:p>
    <w:p w14:paraId="54058E81" w14:textId="77777777" w:rsidR="0006026C" w:rsidRDefault="0006026C" w:rsidP="0006026C">
      <w:pPr>
        <w:ind w:left="1440"/>
      </w:pPr>
      <w:r>
        <w:t>“Pass-through entities, including, but not limited to, partnerships, limited liability companies, S corporations, and trusts, shall determine threshold amounts at the entity level. If property, payroll or sales of an entity in this State exceeds the nexus threshold, members, partners, owners, shareholders or beneficiaries of that pass-through entity are subject to tax on the portion of income earned in this State and passed through to them.”</w:t>
      </w:r>
    </w:p>
    <w:p w14:paraId="7438DA94" w14:textId="77777777" w:rsidR="0006026C" w:rsidRPr="00AA31A4" w:rsidRDefault="0006026C" w:rsidP="0006026C">
      <w:pPr>
        <w:pStyle w:val="Heading3"/>
      </w:pPr>
      <w:r w:rsidRPr="00AA31A4">
        <w:t xml:space="preserve">Application of </w:t>
      </w:r>
      <w:proofErr w:type="spellStart"/>
      <w:r w:rsidRPr="00AA31A4">
        <w:t>P.L</w:t>
      </w:r>
      <w:proofErr w:type="spellEnd"/>
      <w:r w:rsidRPr="00AA31A4">
        <w:t>. 86-272 to Partnership Income</w:t>
      </w:r>
    </w:p>
    <w:p w14:paraId="11D1A287" w14:textId="47F27642" w:rsidR="00CF0424" w:rsidRDefault="00CF0424" w:rsidP="00CF0424">
      <w:pPr>
        <w:pStyle w:val="Heading4"/>
      </w:pPr>
      <w:proofErr w:type="spellStart"/>
      <w:r>
        <w:t>P.L</w:t>
      </w:r>
      <w:proofErr w:type="spellEnd"/>
      <w:r>
        <w:t xml:space="preserve">. 86-272 generally applies to partnerships at the entity level. </w:t>
      </w:r>
    </w:p>
    <w:p w14:paraId="4426594D" w14:textId="7325F269" w:rsidR="0006026C" w:rsidRPr="00AA31A4" w:rsidRDefault="0006026C" w:rsidP="00CF0424">
      <w:pPr>
        <w:ind w:left="1440"/>
      </w:pPr>
      <w:r w:rsidRPr="00AA31A4">
        <w:lastRenderedPageBreak/>
        <w:t>The federal statutes limits the tax on “the income derived within such State by any person . . .” if certain conditions are met. These conditions apply to activities by or on behalf of the person. Therefore, the conditions apply to the activities of the partnership, including the activities of partners or others on behalf of the partnership.</w:t>
      </w:r>
    </w:p>
    <w:p w14:paraId="0E3CAA6E" w14:textId="2DCF5CE3" w:rsidR="0006026C" w:rsidRPr="00AA31A4" w:rsidRDefault="0006026C" w:rsidP="0006026C">
      <w:pPr>
        <w:pStyle w:val="Heading3"/>
      </w:pPr>
      <w:r w:rsidRPr="00AA31A4">
        <w:t xml:space="preserve">Nexus to Tax Partners </w:t>
      </w:r>
    </w:p>
    <w:p w14:paraId="4862EE11" w14:textId="4EEAAA11" w:rsidR="0006026C" w:rsidRPr="00AA31A4" w:rsidRDefault="000B1897" w:rsidP="0006026C">
      <w:pPr>
        <w:ind w:left="1080"/>
      </w:pPr>
      <w:r>
        <w:t>As noted above, s</w:t>
      </w:r>
      <w:r w:rsidR="0006026C" w:rsidRPr="00AA31A4">
        <w:t xml:space="preserve">tates </w:t>
      </w:r>
      <w:r>
        <w:t xml:space="preserve">clearly </w:t>
      </w:r>
      <w:r w:rsidR="007F529D">
        <w:t xml:space="preserve">have nexus </w:t>
      </w:r>
      <w:r w:rsidR="008275E8">
        <w:t xml:space="preserve">to tax the income of </w:t>
      </w:r>
      <w:r w:rsidR="007F529D">
        <w:t>partnerships doing business in the state</w:t>
      </w:r>
      <w:r w:rsidR="008275E8">
        <w:t xml:space="preserve">. But </w:t>
      </w:r>
      <w:r w:rsidR="007F529D">
        <w:t xml:space="preserve">if they </w:t>
      </w:r>
      <w:r w:rsidR="0006026C" w:rsidRPr="00AA31A4">
        <w:t>follow the passthrough system</w:t>
      </w:r>
      <w:r w:rsidR="007F529D">
        <w:t>, states</w:t>
      </w:r>
      <w:r w:rsidR="0006026C" w:rsidRPr="00AA31A4">
        <w:t xml:space="preserve"> must </w:t>
      </w:r>
      <w:r w:rsidR="008275E8">
        <w:t xml:space="preserve">also </w:t>
      </w:r>
      <w:r w:rsidR="0006026C" w:rsidRPr="00AA31A4">
        <w:t xml:space="preserve">consider </w:t>
      </w:r>
      <w:r w:rsidR="008275E8">
        <w:t xml:space="preserve">questions concerning </w:t>
      </w:r>
      <w:r w:rsidR="0006026C" w:rsidRPr="00AA31A4">
        <w:t xml:space="preserve">whether they have nexus to impose tax on </w:t>
      </w:r>
      <w:r w:rsidR="008275E8">
        <w:t xml:space="preserve">an </w:t>
      </w:r>
      <w:r w:rsidR="0006026C" w:rsidRPr="00AA31A4">
        <w:t xml:space="preserve">out-of-state partner whose only connection to the state is the partnership. </w:t>
      </w:r>
    </w:p>
    <w:p w14:paraId="1653CD2F" w14:textId="77777777" w:rsidR="0006026C" w:rsidRPr="00AA31A4" w:rsidRDefault="0006026C" w:rsidP="0006026C">
      <w:pPr>
        <w:pStyle w:val="Heading4"/>
      </w:pPr>
      <w:r w:rsidRPr="00AA31A4">
        <w:t>States assert nexus to tax partners based on partnership activities in the state.</w:t>
      </w:r>
    </w:p>
    <w:p w14:paraId="27F330BC" w14:textId="77777777" w:rsidR="0006026C" w:rsidRPr="00AA31A4" w:rsidRDefault="0006026C" w:rsidP="0006026C">
      <w:pPr>
        <w:ind w:left="1440"/>
      </w:pPr>
      <w:r w:rsidRPr="00AA31A4">
        <w:t xml:space="preserve">States generally assert nexus to tax direct partners of a partnership doing business in the state even if the partner has no other connection to the state. See Hellerstein, Hellerstein &amp; Swain, State Taxation  ¶16.12. </w:t>
      </w:r>
    </w:p>
    <w:p w14:paraId="37A159AA" w14:textId="77777777" w:rsidR="0006026C" w:rsidRPr="00AA31A4" w:rsidRDefault="0006026C" w:rsidP="0006026C">
      <w:pPr>
        <w:pStyle w:val="Heading4"/>
      </w:pPr>
      <w:r w:rsidRPr="00AA31A4">
        <w:t>Question – Does the nature of the partner affect the nexus to tax that partner?</w:t>
      </w:r>
    </w:p>
    <w:p w14:paraId="43F99F88" w14:textId="2CCF3F52" w:rsidR="0006026C" w:rsidRPr="00AA31A4" w:rsidRDefault="0006026C" w:rsidP="0006026C">
      <w:pPr>
        <w:ind w:left="1440"/>
      </w:pPr>
      <w:r w:rsidRPr="00AA31A4">
        <w:t xml:space="preserve">While state statutes and regulations may not make any specific exceptions concerning nexus to tax partners who derive income from a partnership doing business in the state, there is some uncertainty with respect to limited, passive, minority, or indirect partners, in part because existing authorities are split. </w:t>
      </w:r>
    </w:p>
    <w:p w14:paraId="5A69F6E7" w14:textId="77777777" w:rsidR="0006026C" w:rsidRPr="00AA31A4" w:rsidRDefault="0006026C" w:rsidP="0006026C">
      <w:pPr>
        <w:pStyle w:val="Heading5"/>
      </w:pPr>
      <w:r w:rsidRPr="00AA31A4">
        <w:t xml:space="preserve">Authorities indicating the state does have nexus: </w:t>
      </w:r>
    </w:p>
    <w:p w14:paraId="2E31D53C" w14:textId="77777777" w:rsidR="0006026C" w:rsidRPr="00AA31A4" w:rsidRDefault="0006026C" w:rsidP="0006026C">
      <w:pPr>
        <w:numPr>
          <w:ilvl w:val="0"/>
          <w:numId w:val="12"/>
        </w:numPr>
        <w:rPr>
          <w:bCs/>
        </w:rPr>
      </w:pPr>
      <w:r w:rsidRPr="00AA31A4">
        <w:rPr>
          <w:bCs/>
        </w:rPr>
        <w:t>See Hellerstein, Hellerstein &amp; Swain, State Taxation ¶ 20.08[2][a][ii] Limited Partners.</w:t>
      </w:r>
    </w:p>
    <w:p w14:paraId="48CE260E" w14:textId="77777777" w:rsidR="0006026C" w:rsidRPr="00AA31A4" w:rsidRDefault="0006026C" w:rsidP="0006026C">
      <w:pPr>
        <w:numPr>
          <w:ilvl w:val="0"/>
          <w:numId w:val="12"/>
        </w:numPr>
        <w:rPr>
          <w:bCs/>
        </w:rPr>
      </w:pPr>
      <w:r w:rsidRPr="00AA31A4">
        <w:rPr>
          <w:bCs/>
          <w:i/>
          <w:iCs/>
        </w:rPr>
        <w:t xml:space="preserve">Borden Chemicals &amp; Plastics, L.P. v. </w:t>
      </w:r>
      <w:proofErr w:type="spellStart"/>
      <w:r w:rsidRPr="00AA31A4">
        <w:rPr>
          <w:bCs/>
          <w:i/>
          <w:iCs/>
        </w:rPr>
        <w:t>Zehnde</w:t>
      </w:r>
      <w:proofErr w:type="spellEnd"/>
      <w:r w:rsidRPr="00AA31A4">
        <w:rPr>
          <w:bCs/>
        </w:rPr>
        <w:t>, 312 Ill. App. 3d 35, 726 N.E.2d 73 (App. 1st Dist. 2000) – holding that a nondomiciliary limited corporate partner could be taxed on the income of a partnership doing business in the state.</w:t>
      </w:r>
    </w:p>
    <w:p w14:paraId="2796B6F6" w14:textId="77777777" w:rsidR="0006026C" w:rsidRPr="00AA31A4" w:rsidRDefault="0006026C" w:rsidP="0006026C">
      <w:pPr>
        <w:numPr>
          <w:ilvl w:val="0"/>
          <w:numId w:val="12"/>
        </w:numPr>
        <w:rPr>
          <w:bCs/>
        </w:rPr>
      </w:pPr>
      <w:r w:rsidRPr="00AA31A4">
        <w:rPr>
          <w:bCs/>
          <w:i/>
          <w:iCs/>
        </w:rPr>
        <w:t xml:space="preserve">Prince v. State </w:t>
      </w:r>
      <w:proofErr w:type="spellStart"/>
      <w:r w:rsidRPr="00AA31A4">
        <w:rPr>
          <w:bCs/>
          <w:i/>
          <w:iCs/>
        </w:rPr>
        <w:t>Dep’t</w:t>
      </w:r>
      <w:proofErr w:type="spellEnd"/>
      <w:r w:rsidRPr="00AA31A4">
        <w:rPr>
          <w:bCs/>
          <w:i/>
          <w:iCs/>
        </w:rPr>
        <w:t xml:space="preserve"> of Revenue</w:t>
      </w:r>
      <w:r w:rsidRPr="00AA31A4">
        <w:rPr>
          <w:bCs/>
        </w:rPr>
        <w:t xml:space="preserve">, 55 So. 3d 273 (Ala. Civ. App. 2010) – distinguishing </w:t>
      </w:r>
      <w:proofErr w:type="spellStart"/>
      <w:r w:rsidRPr="00AA31A4">
        <w:rPr>
          <w:bCs/>
          <w:i/>
          <w:iCs/>
        </w:rPr>
        <w:t>Lanzi</w:t>
      </w:r>
      <w:proofErr w:type="spellEnd"/>
      <w:r w:rsidRPr="00AA31A4">
        <w:rPr>
          <w:bCs/>
          <w:i/>
          <w:iCs/>
        </w:rPr>
        <w:t xml:space="preserve"> </w:t>
      </w:r>
      <w:r w:rsidRPr="00AA31A4">
        <w:rPr>
          <w:bCs/>
        </w:rPr>
        <w:t>(below)</w:t>
      </w:r>
      <w:r w:rsidRPr="00AA31A4">
        <w:rPr>
          <w:bCs/>
          <w:i/>
          <w:iCs/>
        </w:rPr>
        <w:t xml:space="preserve"> </w:t>
      </w:r>
      <w:r w:rsidRPr="00AA31A4">
        <w:rPr>
          <w:bCs/>
        </w:rPr>
        <w:t>and ruling that a nonresident limited partner could be taxed on the gain on an IRC § 338 stock sale, treated as the sale of assets, of an S corporation that was doing business in Alabama.</w:t>
      </w:r>
    </w:p>
    <w:p w14:paraId="5BF5C6F8" w14:textId="77777777" w:rsidR="0006026C" w:rsidRPr="00AA31A4" w:rsidRDefault="0006026C" w:rsidP="0006026C">
      <w:pPr>
        <w:numPr>
          <w:ilvl w:val="0"/>
          <w:numId w:val="12"/>
        </w:numPr>
        <w:rPr>
          <w:bCs/>
        </w:rPr>
      </w:pPr>
      <w:r w:rsidRPr="00AA31A4">
        <w:rPr>
          <w:bCs/>
          <w:i/>
          <w:iCs/>
        </w:rPr>
        <w:t>Wirth v. Commonwealth</w:t>
      </w:r>
      <w:r w:rsidRPr="00AA31A4">
        <w:rPr>
          <w:bCs/>
        </w:rPr>
        <w:t xml:space="preserve">, 626 Pa. 124, 95 A.3d 822 (2014) – holding that nonresident limited partners with an indirect interest in a partnership that operated a skyscraper in Pittsburgh were subject to tax and distinguishing </w:t>
      </w:r>
      <w:proofErr w:type="spellStart"/>
      <w:r w:rsidRPr="00AA31A4">
        <w:rPr>
          <w:bCs/>
          <w:i/>
          <w:iCs/>
        </w:rPr>
        <w:t>Lanzi</w:t>
      </w:r>
      <w:proofErr w:type="spellEnd"/>
      <w:r w:rsidRPr="00AA31A4">
        <w:rPr>
          <w:bCs/>
        </w:rPr>
        <w:t xml:space="preserve"> (below) on the basis of the type of property owned. </w:t>
      </w:r>
    </w:p>
    <w:p w14:paraId="7EDEFC7F" w14:textId="77777777" w:rsidR="0006026C" w:rsidRPr="00AA31A4" w:rsidRDefault="0006026C" w:rsidP="0006026C">
      <w:pPr>
        <w:numPr>
          <w:ilvl w:val="0"/>
          <w:numId w:val="12"/>
        </w:numPr>
        <w:rPr>
          <w:bCs/>
        </w:rPr>
      </w:pPr>
      <w:r w:rsidRPr="00AA31A4">
        <w:rPr>
          <w:bCs/>
          <w:i/>
          <w:iCs/>
        </w:rPr>
        <w:t>Preserve II, Inc. v. Div. of Taxation</w:t>
      </w:r>
      <w:r w:rsidRPr="00AA31A4">
        <w:rPr>
          <w:bCs/>
        </w:rPr>
        <w:t>, 30 N.J. Tax 133, 2017 BL 363663 (Tax Ct. 2017) – holding that a 99% limited corporate partner could be taxed on income derived from a limited partnership doing business in the state (quoting Professor Hellerstein’s treatise and a separate treatise by Professor Swain for support).</w:t>
      </w:r>
    </w:p>
    <w:p w14:paraId="4B897D43" w14:textId="77777777" w:rsidR="0006026C" w:rsidRPr="00D3618D" w:rsidRDefault="0006026C" w:rsidP="0006026C">
      <w:pPr>
        <w:pStyle w:val="Heading5"/>
      </w:pPr>
      <w:r w:rsidRPr="00D3618D">
        <w:t xml:space="preserve">Authorities indicating the state does not have nexus: </w:t>
      </w:r>
    </w:p>
    <w:p w14:paraId="7497472F" w14:textId="77777777" w:rsidR="0006026C" w:rsidRPr="00AA31A4" w:rsidRDefault="0006026C" w:rsidP="0006026C">
      <w:pPr>
        <w:numPr>
          <w:ilvl w:val="0"/>
          <w:numId w:val="12"/>
        </w:numPr>
        <w:rPr>
          <w:bCs/>
        </w:rPr>
      </w:pPr>
      <w:proofErr w:type="spellStart"/>
      <w:r w:rsidRPr="00AA31A4">
        <w:rPr>
          <w:bCs/>
          <w:i/>
          <w:iCs/>
        </w:rPr>
        <w:t>Lanzi</w:t>
      </w:r>
      <w:proofErr w:type="spellEnd"/>
      <w:r w:rsidRPr="00AA31A4">
        <w:rPr>
          <w:bCs/>
          <w:i/>
          <w:iCs/>
        </w:rPr>
        <w:t xml:space="preserve"> v. Alabama </w:t>
      </w:r>
      <w:proofErr w:type="spellStart"/>
      <w:r w:rsidRPr="00AA31A4">
        <w:rPr>
          <w:bCs/>
          <w:i/>
          <w:iCs/>
        </w:rPr>
        <w:t>Dep’t</w:t>
      </w:r>
      <w:proofErr w:type="spellEnd"/>
      <w:r w:rsidRPr="00AA31A4">
        <w:rPr>
          <w:bCs/>
          <w:i/>
          <w:iCs/>
        </w:rPr>
        <w:t xml:space="preserve"> of Rev.</w:t>
      </w:r>
      <w:r w:rsidRPr="00AA31A4">
        <w:rPr>
          <w:bCs/>
        </w:rPr>
        <w:t xml:space="preserve"> (Ala. Civ. App. 2006) – a plurality opinion holding that the state did not have jurisdiction to tax a nonresident, passive, limited partner of a partnership managed in Alabama where the income came mainly from intangible assets.</w:t>
      </w:r>
    </w:p>
    <w:p w14:paraId="6A92B9BA" w14:textId="77777777" w:rsidR="0006026C" w:rsidRPr="00AA31A4" w:rsidRDefault="0006026C" w:rsidP="0006026C">
      <w:pPr>
        <w:numPr>
          <w:ilvl w:val="0"/>
          <w:numId w:val="12"/>
        </w:numPr>
        <w:rPr>
          <w:bCs/>
        </w:rPr>
      </w:pPr>
      <w:r w:rsidRPr="00AA31A4">
        <w:rPr>
          <w:bCs/>
          <w:i/>
          <w:iCs/>
        </w:rPr>
        <w:lastRenderedPageBreak/>
        <w:t>BIS LP v. Director, Div. of Taxation</w:t>
      </w:r>
      <w:r w:rsidRPr="00AA31A4">
        <w:rPr>
          <w:bCs/>
        </w:rPr>
        <w:t xml:space="preserve">, 26 N.J. Tax 489 (N.J. Super. Ct. App. Div. 2011) – holding that an “investment” partner (a limited partner whose only activity was investment) was not unitary with and could not be taxed on income from its 99% interest in a limited partnership doing business in the state. </w:t>
      </w:r>
    </w:p>
    <w:p w14:paraId="19EC04E4" w14:textId="77777777" w:rsidR="0006026C" w:rsidRPr="008275E8" w:rsidRDefault="0006026C" w:rsidP="0006026C">
      <w:pPr>
        <w:pStyle w:val="Heading5"/>
      </w:pPr>
      <w:r w:rsidRPr="008275E8">
        <w:t xml:space="preserve">Analysis of the authorities: </w:t>
      </w:r>
    </w:p>
    <w:p w14:paraId="0E845D06" w14:textId="29FD1736" w:rsidR="0006026C" w:rsidRDefault="0006026C" w:rsidP="0006026C">
      <w:pPr>
        <w:ind w:left="1944"/>
      </w:pPr>
      <w:r w:rsidRPr="00AA31A4">
        <w:t>The authorities above appear to focus on limited versus general partners—but it is not necessarily the fact that limited partners have protection from partnership liabilities that</w:t>
      </w:r>
      <w:r w:rsidR="0098498A">
        <w:t xml:space="preserve"> would seem to</w:t>
      </w:r>
      <w:r w:rsidRPr="00AA31A4">
        <w:t xml:space="preserve"> matter. Rather, what</w:t>
      </w:r>
      <w:r w:rsidR="0098498A">
        <w:t xml:space="preserve"> appears to</w:t>
      </w:r>
      <w:r w:rsidRPr="00AA31A4">
        <w:t xml:space="preserve"> matter is that limited partners often do not take an active role in the business. See Cal. </w:t>
      </w:r>
      <w:proofErr w:type="spellStart"/>
      <w:r w:rsidRPr="00AA31A4">
        <w:t>Franch</w:t>
      </w:r>
      <w:proofErr w:type="spellEnd"/>
      <w:r w:rsidRPr="00AA31A4">
        <w:t xml:space="preserve">. Tax Bd., Legal Ruling No. 2014-01 (July 22, 2014). </w:t>
      </w:r>
      <w:r w:rsidR="0098498A">
        <w:t xml:space="preserve">In the past, it was true that the only way a partner could maintain limited liability for partnership debts was to retain only a passive role in the partnership. But today, </w:t>
      </w:r>
      <w:r w:rsidR="00AE564D">
        <w:t xml:space="preserve">different </w:t>
      </w:r>
      <w:r w:rsidR="0098498A">
        <w:t>forms of partnerships in all states allow active, and even managing owners, to maintain limited liability.</w:t>
      </w:r>
    </w:p>
    <w:p w14:paraId="06F15985" w14:textId="0DADB345" w:rsidR="0006026C" w:rsidRDefault="0098498A" w:rsidP="0006026C">
      <w:pPr>
        <w:ind w:left="1944"/>
      </w:pPr>
      <w:r>
        <w:t>Also, s</w:t>
      </w:r>
      <w:r w:rsidR="0006026C">
        <w:t xml:space="preserve">tate rules may be clearer with respect to indirect corporate partners. See for example  Mich. Dept. of Treas., Rev. Admin. Bull. 2014-5 (Jan. 29, 2014), and Wis. Stat. § 71.22(1r) which assert nexus generally over any corporate partner, direct or indirect, for tax on income earned by a partnership and derived within the state. </w:t>
      </w:r>
    </w:p>
    <w:p w14:paraId="5BC322ED" w14:textId="7B45EBF7" w:rsidR="00AE564D" w:rsidRDefault="00AE564D" w:rsidP="0006026C">
      <w:pPr>
        <w:ind w:left="1944"/>
      </w:pPr>
      <w:r>
        <w:t>The authorities above have also focused on the nature of the income—whether it represents operational income of a business or purely investment income. States have generally addressed this through enactment of statutes and regulations that source the income of investment partnerships to the partner’s residence or domicile. Investment partnerships will be discussed in the section on sourcing of partnership income, below.</w:t>
      </w:r>
    </w:p>
    <w:p w14:paraId="7403E87A" w14:textId="1FA1ECB3" w:rsidR="0006026C" w:rsidRDefault="0006026C" w:rsidP="0052491B">
      <w:pPr>
        <w:pStyle w:val="Heading4"/>
      </w:pPr>
      <w:r>
        <w:t xml:space="preserve">General </w:t>
      </w:r>
      <w:r w:rsidR="00CF0424">
        <w:t>State-Law Exceptions to Tax Imposition</w:t>
      </w:r>
    </w:p>
    <w:p w14:paraId="330231D8" w14:textId="63822823" w:rsidR="0006026C" w:rsidRDefault="00AE564D" w:rsidP="0052491B">
      <w:pPr>
        <w:pStyle w:val="Heading5"/>
      </w:pPr>
      <w:r>
        <w:t>Whether or not states have constitutional authority to tax certain partnerships or partners, s</w:t>
      </w:r>
      <w:r w:rsidR="0006026C">
        <w:t xml:space="preserve">tates may </w:t>
      </w:r>
      <w:r>
        <w:t xml:space="preserve">also statutorily </w:t>
      </w:r>
      <w:r w:rsidR="0006026C">
        <w:t xml:space="preserve">exclude some types of partners </w:t>
      </w:r>
      <w:r>
        <w:t xml:space="preserve">or partnership activity </w:t>
      </w:r>
      <w:r w:rsidR="0006026C">
        <w:t xml:space="preserve">from their doing business or imposition provisions. </w:t>
      </w:r>
    </w:p>
    <w:p w14:paraId="763EE802" w14:textId="77777777" w:rsidR="0006026C" w:rsidRDefault="0006026C" w:rsidP="0052491B">
      <w:pPr>
        <w:ind w:left="1944"/>
      </w:pPr>
      <w:r>
        <w:t xml:space="preserve">See </w:t>
      </w:r>
      <w:r w:rsidRPr="007F529D">
        <w:rPr>
          <w:i/>
          <w:iCs/>
        </w:rPr>
        <w:t xml:space="preserve">Swart Enterprises Inc. v. California </w:t>
      </w:r>
      <w:proofErr w:type="spellStart"/>
      <w:r w:rsidRPr="007F529D">
        <w:rPr>
          <w:i/>
          <w:iCs/>
        </w:rPr>
        <w:t>Franch</w:t>
      </w:r>
      <w:proofErr w:type="spellEnd"/>
      <w:r w:rsidRPr="007F529D">
        <w:rPr>
          <w:i/>
          <w:iCs/>
        </w:rPr>
        <w:t>. Tax Bd</w:t>
      </w:r>
      <w:r>
        <w:t xml:space="preserve">., 7 Cal. App. 5th 497 (Cal. Ct. App. 2017) – holding that a purely passive corporate member of an LLC doing business in the states was not, itself, doing business.   </w:t>
      </w:r>
    </w:p>
    <w:p w14:paraId="5248F8B1" w14:textId="40CEF35C" w:rsidR="00F71C47" w:rsidRDefault="00F71C47" w:rsidP="000E468B">
      <w:pPr>
        <w:pStyle w:val="Heading2"/>
      </w:pPr>
      <w:r>
        <w:t>Det</w:t>
      </w:r>
      <w:r w:rsidR="0052491B">
        <w:t>ermining Tax Base</w:t>
      </w:r>
    </w:p>
    <w:p w14:paraId="33E4DAFD" w14:textId="6333B8E4" w:rsidR="000E468B" w:rsidRPr="000E468B" w:rsidRDefault="000E468B" w:rsidP="0052491B">
      <w:pPr>
        <w:pStyle w:val="Heading3"/>
      </w:pPr>
      <w:r w:rsidRPr="000E468B">
        <w:t>Federal Conformity</w:t>
      </w:r>
      <w:r w:rsidR="00AA6757">
        <w:t xml:space="preserve"> and State Adjustments</w:t>
      </w:r>
    </w:p>
    <w:p w14:paraId="670BA27D" w14:textId="3B35292E" w:rsidR="0006026C" w:rsidRDefault="00F55B09" w:rsidP="0052491B">
      <w:pPr>
        <w:pStyle w:val="Heading4"/>
      </w:pPr>
      <w:r>
        <w:t xml:space="preserve">Federal </w:t>
      </w:r>
      <w:r w:rsidR="0006026C" w:rsidRPr="000E468B">
        <w:t>Conformity</w:t>
      </w:r>
      <w:r w:rsidR="0006026C">
        <w:t xml:space="preserve"> </w:t>
      </w:r>
      <w:r w:rsidR="00047688">
        <w:t>–</w:t>
      </w:r>
      <w:r w:rsidR="0006026C">
        <w:t xml:space="preserve"> Generally</w:t>
      </w:r>
    </w:p>
    <w:p w14:paraId="68461967" w14:textId="1BDED92A" w:rsidR="00047688" w:rsidRDefault="00F55B09" w:rsidP="0052491B">
      <w:pPr>
        <w:ind w:left="1440"/>
      </w:pPr>
      <w:r>
        <w:t>There are four main elements of federal conformity that apply to state taxation of partnerships: conformity to the definition of a partnership; conformity to rules for calculating partnership income and items</w:t>
      </w:r>
      <w:r w:rsidR="002A5D7D">
        <w:t>;</w:t>
      </w:r>
      <w:r>
        <w:t xml:space="preserve"> conformity to Subchapter K</w:t>
      </w:r>
      <w:r w:rsidR="002A5D7D">
        <w:t>; and</w:t>
      </w:r>
      <w:r w:rsidR="002A5D7D" w:rsidRPr="002A5D7D">
        <w:t xml:space="preserve"> </w:t>
      </w:r>
      <w:r w:rsidR="002A5D7D">
        <w:t>conformity to individual or corporate tax rules for determining a partner’s taxable income</w:t>
      </w:r>
      <w:r>
        <w:t>. Differences in state rules may require the partnership, the partners, or both to make adjustments for state tax purposes.</w:t>
      </w:r>
    </w:p>
    <w:p w14:paraId="28C0A6E6" w14:textId="2F503B42" w:rsidR="00F55B09" w:rsidRDefault="00F55B09" w:rsidP="0052491B">
      <w:pPr>
        <w:pStyle w:val="Heading5"/>
      </w:pPr>
      <w:r>
        <w:t>Conformity to the Definition of a Partnership</w:t>
      </w:r>
    </w:p>
    <w:p w14:paraId="33FE172A" w14:textId="604F5678" w:rsidR="00F55B09" w:rsidRPr="00F55B09" w:rsidRDefault="00F55B09" w:rsidP="0052491B">
      <w:pPr>
        <w:ind w:left="1944"/>
      </w:pPr>
      <w:r>
        <w:lastRenderedPageBreak/>
        <w:t>States generally conform to the federal definition of what is a partnership including IRC § 761 the check-the-box rules of Reg. § 301.7701.</w:t>
      </w:r>
      <w:r w:rsidR="00DF6D85">
        <w:t xml:space="preserve"> Under § 761, parties to certain agreements for co-investment or co-ownership may elect out of partnership treatment if they can calculate their income without resort to Subchapter K. </w:t>
      </w:r>
      <w:r>
        <w:t xml:space="preserve"> </w:t>
      </w:r>
    </w:p>
    <w:p w14:paraId="1C0F5931" w14:textId="19C11793" w:rsidR="00F55B09" w:rsidRDefault="00F55B09" w:rsidP="0052491B">
      <w:pPr>
        <w:pStyle w:val="Heading5"/>
      </w:pPr>
      <w:r>
        <w:t>Conformity to Rules for Calculating Partnership Income and Items</w:t>
      </w:r>
      <w:r w:rsidR="00AE564D">
        <w:t xml:space="preserve"> and Treatment of Transactions with Partners</w:t>
      </w:r>
    </w:p>
    <w:p w14:paraId="2D691086" w14:textId="68166049" w:rsidR="00AE564D" w:rsidRDefault="00B76C20" w:rsidP="0052491B">
      <w:pPr>
        <w:ind w:left="1944"/>
      </w:pPr>
      <w:r>
        <w:t>At the federal level, p</w:t>
      </w:r>
      <w:r w:rsidR="00F55B09">
        <w:t xml:space="preserve">artnership income and items are generally </w:t>
      </w:r>
      <w:r>
        <w:t xml:space="preserve">characterized and valued </w:t>
      </w:r>
      <w:r w:rsidR="00F55B09">
        <w:t xml:space="preserve">using the </w:t>
      </w:r>
      <w:r>
        <w:t xml:space="preserve">tax </w:t>
      </w:r>
      <w:r w:rsidR="00DF6D85">
        <w:t>rules for individuals. See IRC § 70</w:t>
      </w:r>
      <w:r w:rsidR="00AE564D">
        <w:t>3</w:t>
      </w:r>
      <w:r w:rsidR="00DF6D85">
        <w:t xml:space="preserve">. </w:t>
      </w:r>
      <w:r w:rsidR="00AE564D">
        <w:t xml:space="preserve">And while </w:t>
      </w:r>
      <w:r w:rsidR="00202161">
        <w:t xml:space="preserve">distributions do not affect </w:t>
      </w:r>
      <w:r w:rsidR="00AE564D">
        <w:t>p</w:t>
      </w:r>
      <w:r>
        <w:t>artnership income</w:t>
      </w:r>
      <w:r w:rsidR="00AE564D">
        <w:t xml:space="preserve">, </w:t>
      </w:r>
      <w:r>
        <w:t xml:space="preserve">payments to partners for </w:t>
      </w:r>
      <w:r w:rsidR="00AE564D">
        <w:t xml:space="preserve">goods and </w:t>
      </w:r>
      <w:r>
        <w:t>services</w:t>
      </w:r>
      <w:r w:rsidR="00202161">
        <w:t xml:space="preserve"> will affect the calculation of that income. See </w:t>
      </w:r>
      <w:r w:rsidR="00AE564D">
        <w:t xml:space="preserve">IRC </w:t>
      </w:r>
      <w:r>
        <w:t xml:space="preserve">§ 707. </w:t>
      </w:r>
    </w:p>
    <w:p w14:paraId="716318AC" w14:textId="77777777" w:rsidR="00202161" w:rsidRDefault="00DF6D85" w:rsidP="0052491B">
      <w:pPr>
        <w:ind w:left="1944"/>
      </w:pPr>
      <w:r>
        <w:t>Most states that tax partnership income on a pass-through basis generally conform to these rules, but may require certain adjustments be made for state purposes. For example, a state may require that certain deductible expenses for federal purpose</w:t>
      </w:r>
      <w:r w:rsidR="002A5D7D">
        <w:t>s</w:t>
      </w:r>
      <w:r>
        <w:t xml:space="preserve"> be added back, or may subtract income subject to federal tax but not to state tax. </w:t>
      </w:r>
    </w:p>
    <w:p w14:paraId="5D081464" w14:textId="033065F9" w:rsidR="002A5D7D" w:rsidRDefault="00202161" w:rsidP="0052491B">
      <w:pPr>
        <w:ind w:left="1944"/>
      </w:pPr>
      <w:r>
        <w:t xml:space="preserve">It appears these adjustments affect should only the calculation of partnership income subject to tax in the state, and perhaps the basis in partnership assets, and would not affect the basis of the partners in their partnership interests.  </w:t>
      </w:r>
    </w:p>
    <w:p w14:paraId="1BACFD63" w14:textId="3131C10D" w:rsidR="002A5D7D" w:rsidRDefault="002A5D7D" w:rsidP="0052491B">
      <w:pPr>
        <w:pStyle w:val="Heading5"/>
      </w:pPr>
      <w:r>
        <w:t>Subchapter K Conformity</w:t>
      </w:r>
    </w:p>
    <w:p w14:paraId="5CC7E48A" w14:textId="57670B23" w:rsidR="00B76C20" w:rsidRPr="00B76C20" w:rsidRDefault="00B76C20" w:rsidP="0052491B">
      <w:pPr>
        <w:ind w:left="1944"/>
      </w:pPr>
      <w:r>
        <w:t>Once partnership income and items are determined, the effect on the partners must also be determined. This is controlled by Subchapter K</w:t>
      </w:r>
      <w:r w:rsidR="0042743B">
        <w:t xml:space="preserve">, which also controls the effects of other transactions between partners and the partnership. States generally conform to Subchapter K and its various rules for how partnership activities, income, and items will be reflected in the partners’ returns. </w:t>
      </w:r>
      <w:r>
        <w:t xml:space="preserve"> </w:t>
      </w:r>
    </w:p>
    <w:p w14:paraId="78AD3294" w14:textId="5CA61414" w:rsidR="002A5D7D" w:rsidRDefault="002A5D7D" w:rsidP="0052491B">
      <w:pPr>
        <w:pStyle w:val="Heading5"/>
      </w:pPr>
      <w:r>
        <w:t>Conformity to Individual and Corporate Tax Rules for Determining Partners</w:t>
      </w:r>
      <w:r w:rsidR="00202161">
        <w:t>’</w:t>
      </w:r>
      <w:r>
        <w:t xml:space="preserve"> Taxable Income</w:t>
      </w:r>
    </w:p>
    <w:p w14:paraId="144061B8" w14:textId="77777777" w:rsidR="00202161" w:rsidRDefault="002A5D7D" w:rsidP="0052491B">
      <w:pPr>
        <w:ind w:left="1944"/>
      </w:pPr>
      <w:r>
        <w:t>Partnership items that pass through to partners are then subject to federal rules for calculating the tax of the individual or corporate partner</w:t>
      </w:r>
      <w:r w:rsidR="00202161">
        <w:t>s</w:t>
      </w:r>
      <w:r>
        <w:t xml:space="preserve">. </w:t>
      </w:r>
      <w:r w:rsidR="0042743B">
        <w:t>Again, while states generally conform to these federal rules, states may require that adjustments be made to calculate a partner’s state income subject to tax.</w:t>
      </w:r>
      <w:r w:rsidR="009C3B11">
        <w:t xml:space="preserve"> </w:t>
      </w:r>
    </w:p>
    <w:p w14:paraId="251F456E" w14:textId="21BCCA4E" w:rsidR="002A5D7D" w:rsidRPr="002A5D7D" w:rsidRDefault="009C3B11" w:rsidP="0052491B">
      <w:pPr>
        <w:ind w:left="1944"/>
      </w:pPr>
      <w:r w:rsidRPr="009C3B11">
        <w:t xml:space="preserve">For example, net operating losses of partnerships flow through and may be used to offset gains or income from other sources to the extent not limited by </w:t>
      </w:r>
      <w:r>
        <w:t xml:space="preserve">federal </w:t>
      </w:r>
      <w:r w:rsidRPr="009C3B11">
        <w:t>passive or at-risk limitations.</w:t>
      </w:r>
      <w:r>
        <w:t xml:space="preserve"> But states may also impose limitations on </w:t>
      </w:r>
      <w:proofErr w:type="spellStart"/>
      <w:r>
        <w:t>NOL</w:t>
      </w:r>
      <w:proofErr w:type="spellEnd"/>
      <w:r>
        <w:t xml:space="preserve"> carryovers not imposed at the federal level. </w:t>
      </w:r>
      <w:r w:rsidR="00202161">
        <w:t xml:space="preserve">These types of adjustments typically do not affect the partnership’s determination of its tax items. </w:t>
      </w:r>
    </w:p>
    <w:p w14:paraId="0096BC94" w14:textId="67ECBF38" w:rsidR="000E468B" w:rsidRPr="00256D62" w:rsidRDefault="00256D62" w:rsidP="0006026C">
      <w:pPr>
        <w:pStyle w:val="Heading3"/>
      </w:pPr>
      <w:r>
        <w:t>Intercompany Transactions</w:t>
      </w:r>
      <w:r w:rsidR="00202161">
        <w:t xml:space="preserve">, Add-Back Statutes and </w:t>
      </w:r>
      <w:r w:rsidR="000E468B" w:rsidRPr="00256D62">
        <w:t>Transfer Pricing</w:t>
      </w:r>
    </w:p>
    <w:p w14:paraId="7BC775C8" w14:textId="75EF29FC" w:rsidR="0003163E" w:rsidRDefault="0003163E" w:rsidP="0003163E">
      <w:pPr>
        <w:pStyle w:val="Heading4"/>
      </w:pPr>
      <w:r>
        <w:t xml:space="preserve">Intercompany transactions may affect the </w:t>
      </w:r>
      <w:r w:rsidR="00202161">
        <w:t xml:space="preserve">partnership income and tax items. </w:t>
      </w:r>
    </w:p>
    <w:p w14:paraId="78B7C705" w14:textId="77777777" w:rsidR="00202161" w:rsidRDefault="00256D62" w:rsidP="0003163E">
      <w:pPr>
        <w:ind w:left="1440"/>
      </w:pPr>
      <w:r>
        <w:t xml:space="preserve">Because partnerships may be related but generally do not file combined returns, intercompany transactions may affect the </w:t>
      </w:r>
      <w:r w:rsidR="00202161">
        <w:t xml:space="preserve">income of partnerships, and the </w:t>
      </w:r>
      <w:r>
        <w:t>state tax base. Partners</w:t>
      </w:r>
      <w:r w:rsidR="0003163E">
        <w:t>’</w:t>
      </w:r>
      <w:r>
        <w:t xml:space="preserve"> transactions with the partnership will generally be treated as third-party transactions under Subchapter K</w:t>
      </w:r>
      <w:r w:rsidR="0003163E">
        <w:t xml:space="preserve"> whether done in the form of a third-party transaction under IRC § 707(a) or as a guaranteed payment to the partner under § 707(c)</w:t>
      </w:r>
      <w:r>
        <w:t xml:space="preserve">. </w:t>
      </w:r>
      <w:r w:rsidR="004166EF">
        <w:t>Indirect partners may also transact with partnerships in the same manner as third-parties.</w:t>
      </w:r>
    </w:p>
    <w:p w14:paraId="796A68CF" w14:textId="6E3F7F37" w:rsidR="0003163E" w:rsidRDefault="0003163E" w:rsidP="0003163E">
      <w:pPr>
        <w:pStyle w:val="Heading4"/>
      </w:pPr>
      <w:r>
        <w:lastRenderedPageBreak/>
        <w:t>IRC Sec. 482 which governs the transfer pricing of related-party transactions applies to partnerships.</w:t>
      </w:r>
    </w:p>
    <w:p w14:paraId="64734735" w14:textId="54AA0C36" w:rsidR="001B258E" w:rsidRDefault="0003163E" w:rsidP="001B258E">
      <w:pPr>
        <w:ind w:left="1440"/>
      </w:pPr>
      <w:r>
        <w:t>To the extent related-party transactions occur between partnerships, those transactions, like transactions between related corporations, are subject to IRC § 482 and related regulations. These transactions may not receive much scrutiny at the federal level, other than in the international context, but states that conform to § 482 may need to rely on it to determine fair arm’s-length pricing</w:t>
      </w:r>
      <w:r w:rsidR="00D317E4">
        <w:t xml:space="preserve"> when transactions might otherwise affect the amount of partnership income subject to tax</w:t>
      </w:r>
      <w:r>
        <w:t>.</w:t>
      </w:r>
      <w:r w:rsidR="009C3B11">
        <w:t xml:space="preserve"> This is especially the case for partnerships since</w:t>
      </w:r>
      <w:r w:rsidR="001B258E">
        <w:t>, unlike corporations,</w:t>
      </w:r>
      <w:r w:rsidR="009C3B11">
        <w:t xml:space="preserve"> states</w:t>
      </w:r>
      <w:r w:rsidR="001B258E">
        <w:t xml:space="preserve"> using the passthrough system</w:t>
      </w:r>
      <w:r w:rsidR="009C3B11">
        <w:t xml:space="preserve"> do not require combined filing </w:t>
      </w:r>
      <w:r w:rsidR="001B258E">
        <w:t>of related partnerships.</w:t>
      </w:r>
    </w:p>
    <w:p w14:paraId="1AA34D89" w14:textId="57EFABDE" w:rsidR="00255756" w:rsidRDefault="00255756" w:rsidP="00255756">
      <w:pPr>
        <w:pStyle w:val="Heading4"/>
      </w:pPr>
      <w:r>
        <w:t>Question: Do state add-back statutes for intercompany transactions apply to related partnerships and is guidance clear?</w:t>
      </w:r>
    </w:p>
    <w:p w14:paraId="48E5B93A" w14:textId="58A6D3D9" w:rsidR="000D5AB8" w:rsidRPr="00AA31A4" w:rsidRDefault="00AA6757" w:rsidP="00AA6757">
      <w:pPr>
        <w:pStyle w:val="Heading2"/>
      </w:pPr>
      <w:r>
        <w:t>S</w:t>
      </w:r>
      <w:r w:rsidR="00555D28" w:rsidRPr="00AA31A4">
        <w:t xml:space="preserve">ourcing of Partnership Income </w:t>
      </w:r>
    </w:p>
    <w:p w14:paraId="3F6F8116" w14:textId="11AA4FDB" w:rsidR="00E670B0" w:rsidRDefault="0027183F" w:rsidP="00AA6757">
      <w:pPr>
        <w:ind w:left="360"/>
      </w:pPr>
      <w:r w:rsidRPr="00AA31A4">
        <w:t>In general, th</w:t>
      </w:r>
      <w:r w:rsidR="00924C2A" w:rsidRPr="00AA31A4">
        <w:t xml:space="preserve">ere are different methods by which partnership income or items may be sourced. The method used may significantly change the result. Therefore, the effect of the method and its policy implications should be considered. Also, the method used may be subject to constitutional or practical constraints. </w:t>
      </w:r>
    </w:p>
    <w:p w14:paraId="4DC64BF7" w14:textId="79BB3416" w:rsidR="00494A70" w:rsidRDefault="00494A70" w:rsidP="00AA6757">
      <w:pPr>
        <w:pStyle w:val="Heading3"/>
      </w:pPr>
      <w:r>
        <w:t xml:space="preserve">Terms </w:t>
      </w:r>
      <w:r w:rsidR="003A13C3">
        <w:t>– Situs-Based and Apportionment-Based Sourcing</w:t>
      </w:r>
    </w:p>
    <w:p w14:paraId="6AF8A4A4" w14:textId="74C1366E" w:rsidR="00494A70" w:rsidRDefault="00494A70" w:rsidP="00AA6757">
      <w:pPr>
        <w:pStyle w:val="Heading4"/>
      </w:pPr>
      <w:r>
        <w:t>Situs</w:t>
      </w:r>
      <w:r w:rsidR="0083751E">
        <w:t>-Based Sourcing</w:t>
      </w:r>
    </w:p>
    <w:p w14:paraId="7CCDDA06" w14:textId="4947CBA4" w:rsidR="005233C9" w:rsidRPr="005233C9" w:rsidRDefault="00494A70" w:rsidP="00AA6757">
      <w:pPr>
        <w:numPr>
          <w:ilvl w:val="0"/>
          <w:numId w:val="32"/>
        </w:numPr>
      </w:pPr>
      <w:r>
        <w:t xml:space="preserve">The term “situs” </w:t>
      </w:r>
      <w:r w:rsidR="0083751E">
        <w:t xml:space="preserve">or situs-based sourcing </w:t>
      </w:r>
      <w:r>
        <w:t xml:space="preserve">will be used </w:t>
      </w:r>
      <w:r w:rsidR="0083751E">
        <w:t xml:space="preserve">here </w:t>
      </w:r>
      <w:r>
        <w:t xml:space="preserve">to refer </w:t>
      </w:r>
      <w:r w:rsidR="0083751E">
        <w:t xml:space="preserve">generally </w:t>
      </w:r>
      <w:r>
        <w:t>to sourcing of items of income</w:t>
      </w:r>
      <w:r w:rsidR="0083751E">
        <w:t>, most often</w:t>
      </w:r>
      <w:r>
        <w:t xml:space="preserve"> to a particular geographic location. </w:t>
      </w:r>
      <w:r w:rsidR="0083751E">
        <w:t xml:space="preserve">Under </w:t>
      </w:r>
      <w:proofErr w:type="spellStart"/>
      <w:r w:rsidR="0083751E">
        <w:t>UDITPA</w:t>
      </w:r>
      <w:proofErr w:type="spellEnd"/>
      <w:r w:rsidR="0083751E">
        <w:t xml:space="preserve">, for example, so-called nonbusiness (or </w:t>
      </w:r>
      <w:proofErr w:type="spellStart"/>
      <w:r w:rsidR="0083751E">
        <w:t>nonapportionable</w:t>
      </w:r>
      <w:proofErr w:type="spellEnd"/>
      <w:r w:rsidR="0083751E">
        <w:t xml:space="preserve">) income is sourced, or “allocated,” according to rules based on the nature of the income so that, </w:t>
      </w:r>
      <w:r>
        <w:t xml:space="preserve">for example, the sale of real property might be sourced to the location of the real property. </w:t>
      </w:r>
      <w:r w:rsidR="005233C9" w:rsidRPr="005233C9">
        <w:t xml:space="preserve">See </w:t>
      </w:r>
      <w:proofErr w:type="spellStart"/>
      <w:r w:rsidR="005233C9">
        <w:t>UDITPA</w:t>
      </w:r>
      <w:proofErr w:type="spellEnd"/>
      <w:r w:rsidR="005233C9">
        <w:t xml:space="preserve">, </w:t>
      </w:r>
      <w:r w:rsidR="005233C9" w:rsidRPr="005233C9">
        <w:t>Art. IV Sec. 2.</w:t>
      </w:r>
    </w:p>
    <w:p w14:paraId="433707DE" w14:textId="22349229" w:rsidR="00494A70" w:rsidRDefault="00494A70" w:rsidP="00AA6757">
      <w:pPr>
        <w:pStyle w:val="Heading4"/>
      </w:pPr>
      <w:r>
        <w:t>Apportionment</w:t>
      </w:r>
      <w:r w:rsidR="0083751E">
        <w:t>-Based Sourcing</w:t>
      </w:r>
    </w:p>
    <w:p w14:paraId="4D0430C3" w14:textId="28D61591" w:rsidR="00854597" w:rsidRDefault="00854597" w:rsidP="00AA6757">
      <w:pPr>
        <w:ind w:left="1080"/>
      </w:pPr>
      <w:r>
        <w:t>The terms “apporti</w:t>
      </w:r>
      <w:r w:rsidR="0083751E">
        <w:t>on</w:t>
      </w:r>
      <w:proofErr w:type="gramStart"/>
      <w:r>
        <w:t>”</w:t>
      </w:r>
      <w:proofErr w:type="gramEnd"/>
      <w:r>
        <w:t xml:space="preserve"> and “apportion</w:t>
      </w:r>
      <w:r w:rsidR="0083751E">
        <w:t>ment-based sourcing</w:t>
      </w:r>
      <w:r>
        <w:t xml:space="preserve">” will refer to sourcing of items of income </w:t>
      </w:r>
      <w:r w:rsidR="0083751E">
        <w:t>using</w:t>
      </w:r>
      <w:r>
        <w:t xml:space="preserve"> a formula </w:t>
      </w:r>
      <w:r w:rsidR="0083751E">
        <w:t xml:space="preserve">based on </w:t>
      </w:r>
      <w:r>
        <w:t xml:space="preserve">certain factors (property, payroll and/or sales) so that the item may divided between multiple locations. The term </w:t>
      </w:r>
      <w:r w:rsidR="0083751E">
        <w:t>“</w:t>
      </w:r>
      <w:r>
        <w:t>apportionment</w:t>
      </w:r>
      <w:r w:rsidR="0083751E">
        <w:t>” here</w:t>
      </w:r>
      <w:r>
        <w:t xml:space="preserve"> is used broadly to encompass the use of the income</w:t>
      </w:r>
      <w:r w:rsidR="0083751E">
        <w:t>-</w:t>
      </w:r>
      <w:r>
        <w:t xml:space="preserve">producer’s factors, the owner’s factors, or a combination of both.  </w:t>
      </w:r>
    </w:p>
    <w:p w14:paraId="65D15D3A" w14:textId="31B205F5" w:rsidR="0085675C" w:rsidRPr="00682855" w:rsidRDefault="0085675C" w:rsidP="0026013F">
      <w:pPr>
        <w:pStyle w:val="Heading3"/>
      </w:pPr>
      <w:r w:rsidRPr="005F65CF">
        <w:t>Differences Between Corporate and Individual Partners</w:t>
      </w:r>
    </w:p>
    <w:p w14:paraId="5086BC3E" w14:textId="636F9A3E" w:rsidR="00AC18CB" w:rsidRPr="00AA31A4" w:rsidRDefault="00BB72C9" w:rsidP="00AA6757">
      <w:pPr>
        <w:pStyle w:val="Heading3"/>
      </w:pPr>
      <w:r w:rsidRPr="00AA31A4">
        <w:t>Methods of Sourcing Partnership Income</w:t>
      </w:r>
      <w:r w:rsidR="005F65CF">
        <w:t xml:space="preserve"> - Generally</w:t>
      </w:r>
      <w:r w:rsidR="000D5AB8" w:rsidRPr="00AA31A4">
        <w:t xml:space="preserve"> </w:t>
      </w:r>
    </w:p>
    <w:p w14:paraId="0E5377B1" w14:textId="14D43C39" w:rsidR="00F04B5A" w:rsidRPr="00AA31A4" w:rsidRDefault="00B60896" w:rsidP="00AA6757">
      <w:pPr>
        <w:pStyle w:val="Heading4"/>
      </w:pPr>
      <w:r>
        <w:t>Situs-based sourcing</w:t>
      </w:r>
      <w:r w:rsidR="00DE10BF" w:rsidRPr="00AA31A4">
        <w:t xml:space="preserve"> – </w:t>
      </w:r>
      <w:r w:rsidR="00C02FE1" w:rsidRPr="00AA31A4">
        <w:t>using</w:t>
      </w:r>
      <w:r w:rsidR="00DE10BF" w:rsidRPr="00AA31A4">
        <w:t xml:space="preserve"> partnership information</w:t>
      </w:r>
      <w:r w:rsidR="0085703C" w:rsidRPr="00AA31A4">
        <w:t xml:space="preserve">. </w:t>
      </w:r>
    </w:p>
    <w:p w14:paraId="72C52224" w14:textId="1C95EAF5" w:rsidR="00F04B5A" w:rsidRPr="00AA31A4" w:rsidRDefault="0085703C" w:rsidP="00AA6757">
      <w:pPr>
        <w:pStyle w:val="Heading4"/>
      </w:pPr>
      <w:r w:rsidRPr="00AA31A4">
        <w:t>S</w:t>
      </w:r>
      <w:r w:rsidR="00B60896">
        <w:t>itus-based sourcing</w:t>
      </w:r>
      <w:r w:rsidRPr="00AA31A4">
        <w:t xml:space="preserve"> – </w:t>
      </w:r>
      <w:r w:rsidR="00C02FE1" w:rsidRPr="00AA31A4">
        <w:t>using</w:t>
      </w:r>
      <w:r w:rsidRPr="00AA31A4">
        <w:t xml:space="preserve"> partner information. </w:t>
      </w:r>
    </w:p>
    <w:p w14:paraId="318914C3" w14:textId="2FBC5DC0" w:rsidR="00F04B5A" w:rsidRPr="00AA31A4" w:rsidRDefault="00B60896" w:rsidP="00AA6757">
      <w:pPr>
        <w:pStyle w:val="Heading4"/>
      </w:pPr>
      <w:r>
        <w:t>Apportionment-based sourcing</w:t>
      </w:r>
      <w:r w:rsidR="0085703C" w:rsidRPr="00AA31A4">
        <w:t xml:space="preserve"> – </w:t>
      </w:r>
      <w:r w:rsidR="00C02FE1" w:rsidRPr="00AA31A4">
        <w:t>using</w:t>
      </w:r>
      <w:r w:rsidR="0085703C" w:rsidRPr="00AA31A4">
        <w:t xml:space="preserve"> partnership information. </w:t>
      </w:r>
    </w:p>
    <w:p w14:paraId="7E681EE0" w14:textId="1DE343B4" w:rsidR="00F04B5A" w:rsidRPr="00AA31A4" w:rsidRDefault="00B60896" w:rsidP="00AA6757">
      <w:pPr>
        <w:pStyle w:val="Heading4"/>
      </w:pPr>
      <w:r>
        <w:t>Apportionment-based sourcing</w:t>
      </w:r>
      <w:r w:rsidR="0085703C" w:rsidRPr="00AA31A4">
        <w:t xml:space="preserve"> – </w:t>
      </w:r>
      <w:r w:rsidR="00C02FE1" w:rsidRPr="00AA31A4">
        <w:t>using</w:t>
      </w:r>
      <w:r w:rsidR="0085703C" w:rsidRPr="00AA31A4">
        <w:t xml:space="preserve"> corporate partner information. </w:t>
      </w:r>
    </w:p>
    <w:p w14:paraId="63AA43D2" w14:textId="2C9EFDB1" w:rsidR="00F04B5A" w:rsidRPr="00AA31A4" w:rsidRDefault="00B60896" w:rsidP="00AA6757">
      <w:pPr>
        <w:pStyle w:val="Heading4"/>
      </w:pPr>
      <w:r>
        <w:t>A</w:t>
      </w:r>
      <w:r w:rsidR="0085703C" w:rsidRPr="00AA31A4">
        <w:t>pportionment</w:t>
      </w:r>
      <w:r>
        <w:t>-based sourcing</w:t>
      </w:r>
      <w:r w:rsidR="0085703C" w:rsidRPr="00AA31A4">
        <w:t xml:space="preserve"> – </w:t>
      </w:r>
      <w:r w:rsidR="00C02FE1" w:rsidRPr="00AA31A4">
        <w:t>using</w:t>
      </w:r>
      <w:r w:rsidR="0085703C" w:rsidRPr="00AA31A4">
        <w:t xml:space="preserve"> a combination of the partnership and corporate partner’s apportionment factors. </w:t>
      </w:r>
    </w:p>
    <w:p w14:paraId="330151B1" w14:textId="3477B015" w:rsidR="00E670B0" w:rsidRPr="00AA31A4" w:rsidRDefault="00906E02" w:rsidP="00AA6757">
      <w:pPr>
        <w:pStyle w:val="Heading3"/>
      </w:pPr>
      <w:r>
        <w:t>Effect of</w:t>
      </w:r>
      <w:r w:rsidR="00BB72C9" w:rsidRPr="00AA31A4">
        <w:t xml:space="preserve"> Tiered Partnership Structures</w:t>
      </w:r>
      <w:r>
        <w:t xml:space="preserve"> on Sourcing</w:t>
      </w:r>
      <w:r w:rsidR="00E670B0" w:rsidRPr="00AA31A4">
        <w:t xml:space="preserve"> </w:t>
      </w:r>
    </w:p>
    <w:p w14:paraId="61903A26" w14:textId="77777777" w:rsidR="00AA17B6" w:rsidRPr="00AA31A4" w:rsidRDefault="00AA17B6" w:rsidP="00AA6757">
      <w:pPr>
        <w:pStyle w:val="Heading4"/>
      </w:pPr>
      <w:r w:rsidRPr="00AA31A4">
        <w:t>Lower-tier passthrough sourcing.</w:t>
      </w:r>
    </w:p>
    <w:p w14:paraId="2509850C" w14:textId="77777777" w:rsidR="00E357B9" w:rsidRPr="00AA31A4" w:rsidRDefault="00E357B9" w:rsidP="00AA6757">
      <w:pPr>
        <w:pStyle w:val="Heading4"/>
      </w:pPr>
      <w:r w:rsidRPr="00AA31A4">
        <w:lastRenderedPageBreak/>
        <w:t>Upper-tier sourcing.</w:t>
      </w:r>
    </w:p>
    <w:p w14:paraId="2CAFC180" w14:textId="77777777" w:rsidR="00AA17B6" w:rsidRPr="00AA31A4" w:rsidRDefault="00AA17B6" w:rsidP="00AA6757">
      <w:pPr>
        <w:pStyle w:val="Heading4"/>
      </w:pPr>
      <w:r w:rsidRPr="00AA31A4">
        <w:t>Combination sourcing.</w:t>
      </w:r>
    </w:p>
    <w:p w14:paraId="78A0D2B2" w14:textId="6A773D73" w:rsidR="00CE0BF2" w:rsidRDefault="00CE0BF2" w:rsidP="00AA6757">
      <w:pPr>
        <w:pStyle w:val="Heading3"/>
      </w:pPr>
      <w:r>
        <w:t>Example</w:t>
      </w:r>
      <w:r w:rsidR="00613F91">
        <w:t xml:space="preserve"> – Differences in </w:t>
      </w:r>
      <w:r w:rsidR="003A13C3">
        <w:t xml:space="preserve">Results Between </w:t>
      </w:r>
      <w:r w:rsidR="00613F91">
        <w:t>Method</w:t>
      </w:r>
      <w:r w:rsidR="00B60896">
        <w:t>s</w:t>
      </w:r>
      <w:r w:rsidR="00613F91">
        <w:t xml:space="preserve"> Used</w:t>
      </w:r>
    </w:p>
    <w:p w14:paraId="7E39D905" w14:textId="6FFA787B" w:rsidR="00AB30B0" w:rsidRDefault="00953D8E" w:rsidP="00AA6757">
      <w:pPr>
        <w:pStyle w:val="Heading3"/>
      </w:pPr>
      <w:r>
        <w:t>Sourcing Methods - C</w:t>
      </w:r>
      <w:r w:rsidR="00906E02">
        <w:t xml:space="preserve">onstitutional </w:t>
      </w:r>
      <w:r w:rsidR="009F67B9">
        <w:t>Requirements</w:t>
      </w:r>
    </w:p>
    <w:p w14:paraId="0E06339F" w14:textId="108F2BEA" w:rsidR="001C53D8" w:rsidRDefault="009F67B9" w:rsidP="009F67B9">
      <w:pPr>
        <w:pStyle w:val="Heading3"/>
      </w:pPr>
      <w:r>
        <w:t>Sourcing Methods – Policy and Other Considerations</w:t>
      </w:r>
      <w:r w:rsidR="001C53D8">
        <w:t xml:space="preserve"> </w:t>
      </w:r>
    </w:p>
    <w:p w14:paraId="30D0E143" w14:textId="6D958A82" w:rsidR="00CF0424" w:rsidRDefault="001D0131" w:rsidP="00CF0424">
      <w:pPr>
        <w:pStyle w:val="Heading3"/>
      </w:pPr>
      <w:r w:rsidRPr="001D0131">
        <w:t xml:space="preserve">Application of </w:t>
      </w:r>
      <w:proofErr w:type="spellStart"/>
      <w:r w:rsidRPr="001D0131">
        <w:t>UDITPA</w:t>
      </w:r>
      <w:proofErr w:type="spellEnd"/>
      <w:r w:rsidR="007F529D">
        <w:t xml:space="preserve"> - Generally</w:t>
      </w:r>
    </w:p>
    <w:p w14:paraId="0FB2C037" w14:textId="0FB26297" w:rsidR="0044562C" w:rsidRDefault="005233C9" w:rsidP="0026013F">
      <w:pPr>
        <w:pStyle w:val="Heading3"/>
      </w:pPr>
      <w:bookmarkStart w:id="0" w:name="_Toc66686560"/>
      <w:r>
        <w:t>Sourcing</w:t>
      </w:r>
      <w:r w:rsidR="00643582">
        <w:t xml:space="preserve"> of </w:t>
      </w:r>
      <w:r w:rsidR="000E468B">
        <w:t>G</w:t>
      </w:r>
      <w:r w:rsidR="00643582">
        <w:t xml:space="preserve">uaranteed </w:t>
      </w:r>
      <w:r w:rsidR="000E468B">
        <w:t>P</w:t>
      </w:r>
      <w:r w:rsidR="00643582">
        <w:t>ayments.</w:t>
      </w:r>
      <w:bookmarkEnd w:id="0"/>
    </w:p>
    <w:p w14:paraId="6613EDA2" w14:textId="56F5297B" w:rsidR="00643582" w:rsidRPr="0044562C" w:rsidRDefault="0044562C" w:rsidP="0044562C">
      <w:pPr>
        <w:pStyle w:val="Heading2"/>
        <w:rPr>
          <w:bCs/>
        </w:rPr>
      </w:pPr>
      <w:r>
        <w:t>Credits for Taxes Paid</w:t>
      </w:r>
      <w:r w:rsidR="00643582">
        <w:t xml:space="preserve">     </w:t>
      </w:r>
    </w:p>
    <w:p w14:paraId="683FAAFF" w14:textId="679B02C1" w:rsidR="00F5063F" w:rsidRDefault="00AA6757" w:rsidP="000E468B">
      <w:pPr>
        <w:pStyle w:val="Heading1"/>
      </w:pPr>
      <w:r>
        <w:t>Taxation of Gain (Loss) from</w:t>
      </w:r>
      <w:r w:rsidR="000E468B">
        <w:t xml:space="preserve"> </w:t>
      </w:r>
      <w:r>
        <w:t xml:space="preserve">Sales of </w:t>
      </w:r>
      <w:r w:rsidR="000E468B">
        <w:t>Partnership Interest</w:t>
      </w:r>
    </w:p>
    <w:p w14:paraId="5C3E637B" w14:textId="72EC4AFE" w:rsidR="0006026C" w:rsidRPr="00F8344F" w:rsidRDefault="003A13C3" w:rsidP="00AA6757">
      <w:pPr>
        <w:pStyle w:val="Heading2"/>
      </w:pPr>
      <w:bookmarkStart w:id="1" w:name="_Toc66686566"/>
      <w:r>
        <w:t xml:space="preserve">Jurisdiction and </w:t>
      </w:r>
      <w:r w:rsidR="0006026C" w:rsidRPr="00F8344F">
        <w:t>Nexus</w:t>
      </w:r>
      <w:bookmarkEnd w:id="1"/>
      <w:r w:rsidR="009C3B11">
        <w:t xml:space="preserve"> Issues</w:t>
      </w:r>
    </w:p>
    <w:p w14:paraId="4745C6AF" w14:textId="6B5B7A36" w:rsidR="00AA6757" w:rsidRDefault="000E468B" w:rsidP="0026013F">
      <w:pPr>
        <w:pStyle w:val="Heading2"/>
      </w:pPr>
      <w:r>
        <w:t>Determination of Gain</w:t>
      </w:r>
      <w:r w:rsidR="00AA6757">
        <w:t xml:space="preserve"> (</w:t>
      </w:r>
      <w:r>
        <w:t>Loss</w:t>
      </w:r>
      <w:r w:rsidR="00AA6757">
        <w:t>)</w:t>
      </w:r>
    </w:p>
    <w:p w14:paraId="08800D0A" w14:textId="69922CD6" w:rsidR="00643582" w:rsidRDefault="00643582" w:rsidP="00AA6757">
      <w:pPr>
        <w:pStyle w:val="Heading2"/>
      </w:pPr>
      <w:bookmarkStart w:id="2" w:name="_Toc66686567"/>
      <w:r>
        <w:t xml:space="preserve">Sourcing </w:t>
      </w:r>
      <w:r w:rsidR="00AA6757">
        <w:t xml:space="preserve">of </w:t>
      </w:r>
      <w:r>
        <w:t>Gain</w:t>
      </w:r>
      <w:r w:rsidR="00AA6757">
        <w:t xml:space="preserve"> (</w:t>
      </w:r>
      <w:r>
        <w:t>Loss</w:t>
      </w:r>
      <w:r w:rsidR="00AA6757">
        <w:t>)</w:t>
      </w:r>
      <w:r>
        <w:t xml:space="preserve"> </w:t>
      </w:r>
      <w:bookmarkEnd w:id="2"/>
    </w:p>
    <w:p w14:paraId="75E84A41" w14:textId="16452F79" w:rsidR="00F5063F" w:rsidRPr="00AA31A4" w:rsidRDefault="00F5063F" w:rsidP="00AA6757">
      <w:pPr>
        <w:pStyle w:val="Heading2"/>
      </w:pPr>
      <w:r w:rsidRPr="00AA31A4">
        <w:t>Credits for Taxes Paid</w:t>
      </w:r>
      <w:r w:rsidR="007A7C84" w:rsidRPr="00AA31A4">
        <w:t xml:space="preserve"> </w:t>
      </w:r>
    </w:p>
    <w:p w14:paraId="38CDC42C" w14:textId="7FFBAF38" w:rsidR="007A7C84" w:rsidRPr="00AA31A4" w:rsidRDefault="007A7C84" w:rsidP="0063325F">
      <w:pPr>
        <w:pStyle w:val="Heading1"/>
      </w:pPr>
      <w:r w:rsidRPr="00AA31A4">
        <w:t>Administrative and Enforcement</w:t>
      </w:r>
    </w:p>
    <w:p w14:paraId="64108A64" w14:textId="248759D0" w:rsidR="00F5063F" w:rsidRPr="00AA31A4" w:rsidRDefault="00F5063F" w:rsidP="0063325F">
      <w:pPr>
        <w:pStyle w:val="Heading2"/>
      </w:pPr>
      <w:r w:rsidRPr="00AA31A4">
        <w:t xml:space="preserve">Information Reporting </w:t>
      </w:r>
      <w:r w:rsidR="003A13C3">
        <w:t>and</w:t>
      </w:r>
      <w:r w:rsidRPr="00AA31A4">
        <w:t xml:space="preserve"> Withholding</w:t>
      </w:r>
    </w:p>
    <w:p w14:paraId="7E553BC6" w14:textId="77777777" w:rsidR="009C3B11" w:rsidRPr="009C3B11" w:rsidRDefault="009C3B11" w:rsidP="009C3B11">
      <w:pPr>
        <w:pStyle w:val="Heading2"/>
      </w:pPr>
      <w:r w:rsidRPr="009C3B11">
        <w:t>Federal Procedural-Type Rules</w:t>
      </w:r>
    </w:p>
    <w:p w14:paraId="358C0792" w14:textId="222E1F7A" w:rsidR="0063325F" w:rsidRPr="00AA31A4" w:rsidRDefault="00CF0424" w:rsidP="0063325F">
      <w:pPr>
        <w:pStyle w:val="Heading2"/>
      </w:pPr>
      <w:r>
        <w:t xml:space="preserve">Composite and </w:t>
      </w:r>
      <w:r w:rsidR="0063325F" w:rsidRPr="00AA31A4">
        <w:t>Entity-Level Taxes</w:t>
      </w:r>
    </w:p>
    <w:sectPr w:rsidR="0063325F" w:rsidRPr="00AA31A4" w:rsidSect="00C5004E">
      <w:footerReference w:type="default" r:id="rId9"/>
      <w:pgSz w:w="12240" w:h="15840" w:code="1"/>
      <w:pgMar w:top="576" w:right="1440"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4F220" w14:textId="77777777" w:rsidR="003F2738" w:rsidRDefault="003F2738" w:rsidP="00223022">
      <w:r>
        <w:separator/>
      </w:r>
    </w:p>
  </w:endnote>
  <w:endnote w:type="continuationSeparator" w:id="0">
    <w:p w14:paraId="4AD2A337" w14:textId="77777777" w:rsidR="003F2738" w:rsidRDefault="003F2738" w:rsidP="002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D9B2" w14:textId="69E2B0E6" w:rsidR="00734CE4" w:rsidRPr="00C5004E" w:rsidRDefault="00734CE4" w:rsidP="00C5004E">
    <w:pPr>
      <w:pStyle w:val="Footer"/>
      <w:ind w:left="0"/>
      <w:rPr>
        <w:b/>
        <w:bCs/>
        <w:color w:val="632423" w:themeColor="accent2" w:themeShade="80"/>
      </w:rPr>
    </w:pPr>
    <w:r w:rsidRPr="00C5004E">
      <w:rPr>
        <w:b/>
        <w:bCs/>
        <w:noProof/>
        <w:color w:val="632423" w:themeColor="accent2" w:themeShade="80"/>
        <w:sz w:val="16"/>
        <w:szCs w:val="16"/>
      </w:rPr>
      <w:drawing>
        <wp:anchor distT="0" distB="0" distL="114300" distR="114300" simplePos="0" relativeHeight="251661824" behindDoc="0" locked="0" layoutInCell="1" allowOverlap="1" wp14:anchorId="5887B3A7" wp14:editId="711CB6FC">
          <wp:simplePos x="0" y="0"/>
          <wp:positionH relativeFrom="column">
            <wp:posOffset>5595830</wp:posOffset>
          </wp:positionH>
          <wp:positionV relativeFrom="paragraph">
            <wp:posOffset>66983</wp:posOffset>
          </wp:positionV>
          <wp:extent cx="526415" cy="264795"/>
          <wp:effectExtent l="0" t="0" r="6985"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6415" cy="2647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C5004E">
      <w:rPr>
        <w:b/>
        <w:bCs/>
        <w:color w:val="632423" w:themeColor="accent2" w:themeShade="80"/>
        <w:sz w:val="16"/>
        <w:szCs w:val="16"/>
      </w:rPr>
      <w:t>MTC</w:t>
    </w:r>
    <w:proofErr w:type="spellEnd"/>
    <w:r w:rsidRPr="00C5004E">
      <w:rPr>
        <w:b/>
        <w:bCs/>
        <w:color w:val="632423" w:themeColor="accent2" w:themeShade="80"/>
        <w:sz w:val="16"/>
        <w:szCs w:val="16"/>
      </w:rPr>
      <w:t xml:space="preserve"> – Partnership Issue Outline – </w:t>
    </w:r>
    <w:r w:rsidR="004A1E31">
      <w:rPr>
        <w:b/>
        <w:bCs/>
        <w:color w:val="632423" w:themeColor="accent2" w:themeShade="80"/>
        <w:sz w:val="16"/>
        <w:szCs w:val="16"/>
      </w:rPr>
      <w:t>August 10</w:t>
    </w:r>
    <w:r w:rsidRPr="00C5004E">
      <w:rPr>
        <w:b/>
        <w:bCs/>
        <w:color w:val="632423" w:themeColor="accent2" w:themeShade="80"/>
        <w:sz w:val="16"/>
        <w:szCs w:val="16"/>
      </w:rPr>
      <w:t xml:space="preserve">, 2021 P. </w:t>
    </w:r>
    <w:r w:rsidRPr="00C5004E">
      <w:rPr>
        <w:b/>
        <w:bCs/>
        <w:color w:val="632423" w:themeColor="accent2" w:themeShade="80"/>
        <w:sz w:val="16"/>
        <w:szCs w:val="16"/>
      </w:rPr>
      <w:fldChar w:fldCharType="begin"/>
    </w:r>
    <w:r w:rsidRPr="00C5004E">
      <w:rPr>
        <w:b/>
        <w:bCs/>
        <w:color w:val="632423" w:themeColor="accent2" w:themeShade="80"/>
        <w:sz w:val="16"/>
        <w:szCs w:val="16"/>
      </w:rPr>
      <w:instrText xml:space="preserve"> PAGE   \* MERGEFORMAT </w:instrText>
    </w:r>
    <w:r w:rsidRPr="00C5004E">
      <w:rPr>
        <w:b/>
        <w:bCs/>
        <w:color w:val="632423" w:themeColor="accent2" w:themeShade="80"/>
        <w:sz w:val="16"/>
        <w:szCs w:val="16"/>
      </w:rPr>
      <w:fldChar w:fldCharType="separate"/>
    </w:r>
    <w:r w:rsidRPr="00C5004E">
      <w:rPr>
        <w:b/>
        <w:bCs/>
        <w:noProof/>
        <w:color w:val="632423" w:themeColor="accent2" w:themeShade="80"/>
        <w:sz w:val="16"/>
        <w:szCs w:val="16"/>
      </w:rPr>
      <w:t>1</w:t>
    </w:r>
    <w:r w:rsidRPr="00C5004E">
      <w:rPr>
        <w:b/>
        <w:bCs/>
        <w:noProof/>
        <w:color w:val="632423" w:themeColor="accent2" w:themeShade="80"/>
        <w:sz w:val="16"/>
        <w:szCs w:val="16"/>
      </w:rPr>
      <w:fldChar w:fldCharType="end"/>
    </w:r>
    <w:r w:rsidRPr="00215F2A">
      <w:rPr>
        <w:b/>
        <w:bCs/>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50048" w14:textId="77777777" w:rsidR="003F2738" w:rsidRDefault="003F2738" w:rsidP="00223022">
      <w:r>
        <w:separator/>
      </w:r>
    </w:p>
  </w:footnote>
  <w:footnote w:type="continuationSeparator" w:id="0">
    <w:p w14:paraId="560DB895" w14:textId="77777777" w:rsidR="003F2738" w:rsidRDefault="003F2738" w:rsidP="00223022">
      <w:r>
        <w:continuationSeparator/>
      </w:r>
    </w:p>
  </w:footnote>
  <w:footnote w:id="1">
    <w:p w14:paraId="60A13CFD" w14:textId="77777777" w:rsidR="00734CE4" w:rsidRDefault="00734CE4" w:rsidP="00407831">
      <w:pPr>
        <w:pStyle w:val="FootnoteText"/>
        <w:ind w:left="0"/>
      </w:pPr>
      <w:r>
        <w:rPr>
          <w:rStyle w:val="FootnoteReference"/>
        </w:rPr>
        <w:footnoteRef/>
      </w:r>
      <w:r>
        <w:t xml:space="preserve"> </w:t>
      </w:r>
      <w:r w:rsidRPr="003D05BE">
        <w:t>The Logic of Subchapter K, A Conceptual Guide to the Taxation of Partnerships, 6th, Laura E. Cunningham and Noël B. Cunningham</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470BA"/>
    <w:multiLevelType w:val="hybridMultilevel"/>
    <w:tmpl w:val="DBD07B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A019C3"/>
    <w:multiLevelType w:val="hybridMultilevel"/>
    <w:tmpl w:val="FAB213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FD4497"/>
    <w:multiLevelType w:val="hybridMultilevel"/>
    <w:tmpl w:val="113466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562D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0E6213"/>
    <w:multiLevelType w:val="multilevel"/>
    <w:tmpl w:val="2C9EF2E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 w15:restartNumberingAfterBreak="0">
    <w:nsid w:val="18CE3B4E"/>
    <w:multiLevelType w:val="hybridMultilevel"/>
    <w:tmpl w:val="A65A7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BC0846"/>
    <w:multiLevelType w:val="hybridMultilevel"/>
    <w:tmpl w:val="3CFAB7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C8B2C84"/>
    <w:multiLevelType w:val="hybridMultilevel"/>
    <w:tmpl w:val="029A44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36D23"/>
    <w:multiLevelType w:val="hybridMultilevel"/>
    <w:tmpl w:val="ADE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D6838"/>
    <w:multiLevelType w:val="hybridMultilevel"/>
    <w:tmpl w:val="1018D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4E650A4"/>
    <w:multiLevelType w:val="hybridMultilevel"/>
    <w:tmpl w:val="C4C2C2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A86AC6"/>
    <w:multiLevelType w:val="hybridMultilevel"/>
    <w:tmpl w:val="F11695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057FA"/>
    <w:multiLevelType w:val="hybridMultilevel"/>
    <w:tmpl w:val="AAB09E0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2AFB2410"/>
    <w:multiLevelType w:val="multilevel"/>
    <w:tmpl w:val="2C9EF2E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15:restartNumberingAfterBreak="0">
    <w:nsid w:val="2B3E1C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A67706"/>
    <w:multiLevelType w:val="hybridMultilevel"/>
    <w:tmpl w:val="C720C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F5218"/>
    <w:multiLevelType w:val="hybridMultilevel"/>
    <w:tmpl w:val="3C58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852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E22210"/>
    <w:multiLevelType w:val="multilevel"/>
    <w:tmpl w:val="0409001F"/>
    <w:lvl w:ilvl="0">
      <w:start w:val="1"/>
      <w:numFmt w:val="decimal"/>
      <w:lvlText w:val="%1."/>
      <w:lvlJc w:val="left"/>
      <w:pPr>
        <w:ind w:left="360" w:hanging="360"/>
      </w:pPr>
    </w:lvl>
    <w:lvl w:ilvl="1">
      <w:start w:val="1"/>
      <w:numFmt w:val="decimal"/>
      <w:pStyle w:val="Norm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C92220"/>
    <w:multiLevelType w:val="hybridMultilevel"/>
    <w:tmpl w:val="BD5855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07B69"/>
    <w:multiLevelType w:val="hybridMultilevel"/>
    <w:tmpl w:val="62A8352C"/>
    <w:lvl w:ilvl="0" w:tplc="8F9236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2A4768"/>
    <w:multiLevelType w:val="hybridMultilevel"/>
    <w:tmpl w:val="4BFEE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523D10"/>
    <w:multiLevelType w:val="multilevel"/>
    <w:tmpl w:val="077208C0"/>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Heading3"/>
      <w:suff w:val="space"/>
      <w:lvlText w:val="%1.%2.%3."/>
      <w:lvlJc w:val="left"/>
      <w:pPr>
        <w:ind w:left="2124" w:hanging="504"/>
      </w:pPr>
      <w:rPr>
        <w:rFonts w:hint="default"/>
      </w:rPr>
    </w:lvl>
    <w:lvl w:ilvl="3">
      <w:start w:val="1"/>
      <w:numFmt w:val="decimal"/>
      <w:pStyle w:val="Heading4"/>
      <w:suff w:val="space"/>
      <w:lvlText w:val="%1.%2.%3.%4."/>
      <w:lvlJc w:val="left"/>
      <w:pPr>
        <w:ind w:left="1728" w:hanging="648"/>
      </w:pPr>
      <w:rPr>
        <w:rFonts w:hint="default"/>
      </w:rPr>
    </w:lvl>
    <w:lvl w:ilvl="4">
      <w:start w:val="1"/>
      <w:numFmt w:val="decimal"/>
      <w:pStyle w:val="Heading5"/>
      <w:suff w:val="space"/>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suff w:val="space"/>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0E0076"/>
    <w:multiLevelType w:val="hybridMultilevel"/>
    <w:tmpl w:val="2E0E2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573266"/>
    <w:multiLevelType w:val="hybridMultilevel"/>
    <w:tmpl w:val="5024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04459"/>
    <w:multiLevelType w:val="hybridMultilevel"/>
    <w:tmpl w:val="E71CA8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3B1498F"/>
    <w:multiLevelType w:val="hybridMultilevel"/>
    <w:tmpl w:val="B99C3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552A2"/>
    <w:multiLevelType w:val="hybridMultilevel"/>
    <w:tmpl w:val="BEBA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1024E7"/>
    <w:multiLevelType w:val="hybridMultilevel"/>
    <w:tmpl w:val="DB609F38"/>
    <w:lvl w:ilvl="0" w:tplc="7FEAAF3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1D51CE"/>
    <w:multiLevelType w:val="hybridMultilevel"/>
    <w:tmpl w:val="27401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796D30"/>
    <w:multiLevelType w:val="hybridMultilevel"/>
    <w:tmpl w:val="2DA0CF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64A468F"/>
    <w:multiLevelType w:val="hybridMultilevel"/>
    <w:tmpl w:val="99700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F7F3C"/>
    <w:multiLevelType w:val="multilevel"/>
    <w:tmpl w:val="2C9EF2E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15:restartNumberingAfterBreak="0">
    <w:nsid w:val="7DD703EF"/>
    <w:multiLevelType w:val="hybridMultilevel"/>
    <w:tmpl w:val="D91E0356"/>
    <w:lvl w:ilvl="0" w:tplc="83ACE6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E9730E"/>
    <w:multiLevelType w:val="hybridMultilevel"/>
    <w:tmpl w:val="63C640D4"/>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num w:numId="1">
    <w:abstractNumId w:val="27"/>
  </w:num>
  <w:num w:numId="2">
    <w:abstractNumId w:val="18"/>
  </w:num>
  <w:num w:numId="3">
    <w:abstractNumId w:val="14"/>
  </w:num>
  <w:num w:numId="4">
    <w:abstractNumId w:val="20"/>
  </w:num>
  <w:num w:numId="5">
    <w:abstractNumId w:val="17"/>
  </w:num>
  <w:num w:numId="6">
    <w:abstractNumId w:val="22"/>
  </w:num>
  <w:num w:numId="7">
    <w:abstractNumId w:val="3"/>
  </w:num>
  <w:num w:numId="8">
    <w:abstractNumId w:val="24"/>
  </w:num>
  <w:num w:numId="9">
    <w:abstractNumId w:val="16"/>
  </w:num>
  <w:num w:numId="10">
    <w:abstractNumId w:val="7"/>
  </w:num>
  <w:num w:numId="11">
    <w:abstractNumId w:val="31"/>
  </w:num>
  <w:num w:numId="12">
    <w:abstractNumId w:val="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1"/>
  </w:num>
  <w:num w:numId="23">
    <w:abstractNumId w:val="5"/>
  </w:num>
  <w:num w:numId="24">
    <w:abstractNumId w:val="1"/>
  </w:num>
  <w:num w:numId="25">
    <w:abstractNumId w:val="15"/>
  </w:num>
  <w:num w:numId="26">
    <w:abstractNumId w:val="8"/>
  </w:num>
  <w:num w:numId="27">
    <w:abstractNumId w:val="6"/>
  </w:num>
  <w:num w:numId="28">
    <w:abstractNumId w:val="21"/>
  </w:num>
  <w:num w:numId="29">
    <w:abstractNumId w:val="30"/>
  </w:num>
  <w:num w:numId="30">
    <w:abstractNumId w:val="28"/>
  </w:num>
  <w:num w:numId="31">
    <w:abstractNumId w:val="23"/>
  </w:num>
  <w:num w:numId="32">
    <w:abstractNumId w:val="10"/>
  </w:num>
  <w:num w:numId="33">
    <w:abstractNumId w:val="25"/>
  </w:num>
  <w:num w:numId="34">
    <w:abstractNumId w:val="4"/>
  </w:num>
  <w:num w:numId="35">
    <w:abstractNumId w:val="29"/>
  </w:num>
  <w:num w:numId="36">
    <w:abstractNumId w:val="0"/>
  </w:num>
  <w:num w:numId="37">
    <w:abstractNumId w:val="9"/>
  </w:num>
  <w:num w:numId="38">
    <w:abstractNumId w:val="34"/>
  </w:num>
  <w:num w:numId="39">
    <w:abstractNumId w:val="13"/>
  </w:num>
  <w:num w:numId="40">
    <w:abstractNumId w:val="32"/>
  </w:num>
  <w:num w:numId="41">
    <w:abstractNumId w:val="33"/>
  </w:num>
  <w:num w:numId="42">
    <w:abstractNumId w:val="19"/>
  </w:num>
  <w:num w:numId="43">
    <w:abstractNumId w:val="26"/>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autoHyphenation/>
  <w:hyphenationZone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063F"/>
    <w:rsid w:val="0003163E"/>
    <w:rsid w:val="00037562"/>
    <w:rsid w:val="00042003"/>
    <w:rsid w:val="0004224E"/>
    <w:rsid w:val="00047688"/>
    <w:rsid w:val="000508E3"/>
    <w:rsid w:val="0006026C"/>
    <w:rsid w:val="00060984"/>
    <w:rsid w:val="00073771"/>
    <w:rsid w:val="00073FEA"/>
    <w:rsid w:val="00076AF8"/>
    <w:rsid w:val="0009258A"/>
    <w:rsid w:val="00095B95"/>
    <w:rsid w:val="000A08F3"/>
    <w:rsid w:val="000A1D5D"/>
    <w:rsid w:val="000A2643"/>
    <w:rsid w:val="000A482D"/>
    <w:rsid w:val="000A4C67"/>
    <w:rsid w:val="000B1897"/>
    <w:rsid w:val="000B542B"/>
    <w:rsid w:val="000B5AB1"/>
    <w:rsid w:val="000B7D2D"/>
    <w:rsid w:val="000C5EC6"/>
    <w:rsid w:val="000D3703"/>
    <w:rsid w:val="000D5AB8"/>
    <w:rsid w:val="000D6947"/>
    <w:rsid w:val="000E468B"/>
    <w:rsid w:val="000F0F37"/>
    <w:rsid w:val="000F241D"/>
    <w:rsid w:val="00110E06"/>
    <w:rsid w:val="00120BD2"/>
    <w:rsid w:val="00121248"/>
    <w:rsid w:val="00124578"/>
    <w:rsid w:val="00126BF5"/>
    <w:rsid w:val="00133446"/>
    <w:rsid w:val="00136D17"/>
    <w:rsid w:val="00140483"/>
    <w:rsid w:val="0014140A"/>
    <w:rsid w:val="0014328A"/>
    <w:rsid w:val="0015109B"/>
    <w:rsid w:val="0017589D"/>
    <w:rsid w:val="00175970"/>
    <w:rsid w:val="00191D39"/>
    <w:rsid w:val="00192260"/>
    <w:rsid w:val="001A283E"/>
    <w:rsid w:val="001A2FF5"/>
    <w:rsid w:val="001B258E"/>
    <w:rsid w:val="001B2E02"/>
    <w:rsid w:val="001C443A"/>
    <w:rsid w:val="001C53D8"/>
    <w:rsid w:val="001C580D"/>
    <w:rsid w:val="001D0131"/>
    <w:rsid w:val="001D1F00"/>
    <w:rsid w:val="001E147A"/>
    <w:rsid w:val="001E601C"/>
    <w:rsid w:val="001F57AF"/>
    <w:rsid w:val="001F59AF"/>
    <w:rsid w:val="00202161"/>
    <w:rsid w:val="002022A6"/>
    <w:rsid w:val="002052FF"/>
    <w:rsid w:val="00215F2A"/>
    <w:rsid w:val="00223022"/>
    <w:rsid w:val="00255756"/>
    <w:rsid w:val="00256D62"/>
    <w:rsid w:val="0026013F"/>
    <w:rsid w:val="0027183F"/>
    <w:rsid w:val="00274D22"/>
    <w:rsid w:val="002824D0"/>
    <w:rsid w:val="002937B5"/>
    <w:rsid w:val="00297DB8"/>
    <w:rsid w:val="002A0CD9"/>
    <w:rsid w:val="002A2410"/>
    <w:rsid w:val="002A5D7D"/>
    <w:rsid w:val="002B18EC"/>
    <w:rsid w:val="002B59C8"/>
    <w:rsid w:val="002C2003"/>
    <w:rsid w:val="002C25EF"/>
    <w:rsid w:val="002C5E4C"/>
    <w:rsid w:val="002D106B"/>
    <w:rsid w:val="002D629B"/>
    <w:rsid w:val="002E588C"/>
    <w:rsid w:val="002E770E"/>
    <w:rsid w:val="002F0992"/>
    <w:rsid w:val="00304C11"/>
    <w:rsid w:val="003167D1"/>
    <w:rsid w:val="00330B7C"/>
    <w:rsid w:val="00331FA2"/>
    <w:rsid w:val="00336CCD"/>
    <w:rsid w:val="0036012F"/>
    <w:rsid w:val="0037359E"/>
    <w:rsid w:val="00375FD1"/>
    <w:rsid w:val="003817C0"/>
    <w:rsid w:val="003A13C3"/>
    <w:rsid w:val="003A7FED"/>
    <w:rsid w:val="003B2B1C"/>
    <w:rsid w:val="003B32A3"/>
    <w:rsid w:val="003C4A44"/>
    <w:rsid w:val="003D05BE"/>
    <w:rsid w:val="003D2527"/>
    <w:rsid w:val="003D5A5D"/>
    <w:rsid w:val="003E2001"/>
    <w:rsid w:val="003F2738"/>
    <w:rsid w:val="00404D60"/>
    <w:rsid w:val="004069AF"/>
    <w:rsid w:val="00406D01"/>
    <w:rsid w:val="00407831"/>
    <w:rsid w:val="004166EF"/>
    <w:rsid w:val="0042049B"/>
    <w:rsid w:val="00422A23"/>
    <w:rsid w:val="00424854"/>
    <w:rsid w:val="004260C9"/>
    <w:rsid w:val="0042743B"/>
    <w:rsid w:val="00437C14"/>
    <w:rsid w:val="00444965"/>
    <w:rsid w:val="0044562C"/>
    <w:rsid w:val="004511B7"/>
    <w:rsid w:val="00452B9B"/>
    <w:rsid w:val="004536C4"/>
    <w:rsid w:val="004540F4"/>
    <w:rsid w:val="0045617D"/>
    <w:rsid w:val="004642A7"/>
    <w:rsid w:val="00467258"/>
    <w:rsid w:val="004722DD"/>
    <w:rsid w:val="00481C4A"/>
    <w:rsid w:val="0049135A"/>
    <w:rsid w:val="00494A70"/>
    <w:rsid w:val="00494D78"/>
    <w:rsid w:val="004A1E31"/>
    <w:rsid w:val="004A45D2"/>
    <w:rsid w:val="004A6F6A"/>
    <w:rsid w:val="004D101B"/>
    <w:rsid w:val="004E4FD4"/>
    <w:rsid w:val="005023F1"/>
    <w:rsid w:val="00503B78"/>
    <w:rsid w:val="005047F0"/>
    <w:rsid w:val="00506AC9"/>
    <w:rsid w:val="0052169F"/>
    <w:rsid w:val="005233C9"/>
    <w:rsid w:val="0052491B"/>
    <w:rsid w:val="00533F18"/>
    <w:rsid w:val="005361F5"/>
    <w:rsid w:val="0055355D"/>
    <w:rsid w:val="00555D28"/>
    <w:rsid w:val="00557C64"/>
    <w:rsid w:val="00562E0A"/>
    <w:rsid w:val="005638FF"/>
    <w:rsid w:val="0059799D"/>
    <w:rsid w:val="005A2BD9"/>
    <w:rsid w:val="005C0ABF"/>
    <w:rsid w:val="005C4BEC"/>
    <w:rsid w:val="005C5713"/>
    <w:rsid w:val="005F65CF"/>
    <w:rsid w:val="0060718F"/>
    <w:rsid w:val="00613F91"/>
    <w:rsid w:val="006167A2"/>
    <w:rsid w:val="006173C8"/>
    <w:rsid w:val="0063325F"/>
    <w:rsid w:val="00633BD2"/>
    <w:rsid w:val="00640D93"/>
    <w:rsid w:val="0064214C"/>
    <w:rsid w:val="00643582"/>
    <w:rsid w:val="006508F6"/>
    <w:rsid w:val="00664D63"/>
    <w:rsid w:val="00677CA4"/>
    <w:rsid w:val="006813EE"/>
    <w:rsid w:val="00682855"/>
    <w:rsid w:val="00682FC2"/>
    <w:rsid w:val="00684210"/>
    <w:rsid w:val="006843FA"/>
    <w:rsid w:val="006B256E"/>
    <w:rsid w:val="006D0C3E"/>
    <w:rsid w:val="006D3777"/>
    <w:rsid w:val="006E34EA"/>
    <w:rsid w:val="006E52E3"/>
    <w:rsid w:val="006E74CD"/>
    <w:rsid w:val="006F151C"/>
    <w:rsid w:val="006F5D39"/>
    <w:rsid w:val="006F6235"/>
    <w:rsid w:val="006F7A0E"/>
    <w:rsid w:val="00704CBF"/>
    <w:rsid w:val="0071293E"/>
    <w:rsid w:val="00722EA0"/>
    <w:rsid w:val="007238CC"/>
    <w:rsid w:val="00734CCC"/>
    <w:rsid w:val="00734CE4"/>
    <w:rsid w:val="00737B04"/>
    <w:rsid w:val="00742B17"/>
    <w:rsid w:val="00745AE1"/>
    <w:rsid w:val="0075008A"/>
    <w:rsid w:val="00762021"/>
    <w:rsid w:val="00763007"/>
    <w:rsid w:val="00766320"/>
    <w:rsid w:val="00775D4A"/>
    <w:rsid w:val="0078297B"/>
    <w:rsid w:val="0079251C"/>
    <w:rsid w:val="007A7C84"/>
    <w:rsid w:val="007B2394"/>
    <w:rsid w:val="007C6020"/>
    <w:rsid w:val="007D1CE2"/>
    <w:rsid w:val="007D4A97"/>
    <w:rsid w:val="007E2B1A"/>
    <w:rsid w:val="007E4AA4"/>
    <w:rsid w:val="007F398B"/>
    <w:rsid w:val="007F529D"/>
    <w:rsid w:val="007F62DC"/>
    <w:rsid w:val="0080647F"/>
    <w:rsid w:val="00815829"/>
    <w:rsid w:val="00825A1E"/>
    <w:rsid w:val="008275E8"/>
    <w:rsid w:val="008327C3"/>
    <w:rsid w:val="0083751E"/>
    <w:rsid w:val="008402AB"/>
    <w:rsid w:val="008428E3"/>
    <w:rsid w:val="00842D9C"/>
    <w:rsid w:val="00843975"/>
    <w:rsid w:val="00844BEA"/>
    <w:rsid w:val="008451E2"/>
    <w:rsid w:val="008465C7"/>
    <w:rsid w:val="00851642"/>
    <w:rsid w:val="008516FA"/>
    <w:rsid w:val="00854597"/>
    <w:rsid w:val="0085675C"/>
    <w:rsid w:val="0085703C"/>
    <w:rsid w:val="0086188F"/>
    <w:rsid w:val="00875B53"/>
    <w:rsid w:val="008A3E5C"/>
    <w:rsid w:val="008C142F"/>
    <w:rsid w:val="008C2B8A"/>
    <w:rsid w:val="008C6C76"/>
    <w:rsid w:val="008C6E89"/>
    <w:rsid w:val="008D128F"/>
    <w:rsid w:val="008F01A7"/>
    <w:rsid w:val="00904545"/>
    <w:rsid w:val="00906E02"/>
    <w:rsid w:val="00917370"/>
    <w:rsid w:val="00924C2A"/>
    <w:rsid w:val="00924C4E"/>
    <w:rsid w:val="009463D4"/>
    <w:rsid w:val="00947D9E"/>
    <w:rsid w:val="00953D8E"/>
    <w:rsid w:val="00954787"/>
    <w:rsid w:val="00977F93"/>
    <w:rsid w:val="0098498A"/>
    <w:rsid w:val="00984D8F"/>
    <w:rsid w:val="00992D63"/>
    <w:rsid w:val="00993E91"/>
    <w:rsid w:val="00994CE3"/>
    <w:rsid w:val="009A019B"/>
    <w:rsid w:val="009B51A4"/>
    <w:rsid w:val="009B7BE0"/>
    <w:rsid w:val="009C3022"/>
    <w:rsid w:val="009C3B11"/>
    <w:rsid w:val="009C484D"/>
    <w:rsid w:val="009F3B77"/>
    <w:rsid w:val="009F67B9"/>
    <w:rsid w:val="00A013B4"/>
    <w:rsid w:val="00A04777"/>
    <w:rsid w:val="00A06B21"/>
    <w:rsid w:val="00A16606"/>
    <w:rsid w:val="00A24721"/>
    <w:rsid w:val="00A33DCE"/>
    <w:rsid w:val="00A54EA2"/>
    <w:rsid w:val="00A905FE"/>
    <w:rsid w:val="00A9370A"/>
    <w:rsid w:val="00A943F9"/>
    <w:rsid w:val="00A949B3"/>
    <w:rsid w:val="00AA17B6"/>
    <w:rsid w:val="00AA31A4"/>
    <w:rsid w:val="00AA3892"/>
    <w:rsid w:val="00AA6757"/>
    <w:rsid w:val="00AB30B0"/>
    <w:rsid w:val="00AB4B63"/>
    <w:rsid w:val="00AC0132"/>
    <w:rsid w:val="00AC18CB"/>
    <w:rsid w:val="00AC67D5"/>
    <w:rsid w:val="00AD0392"/>
    <w:rsid w:val="00AE1AAC"/>
    <w:rsid w:val="00AE564D"/>
    <w:rsid w:val="00AE79F9"/>
    <w:rsid w:val="00AF734B"/>
    <w:rsid w:val="00B00F82"/>
    <w:rsid w:val="00B05B68"/>
    <w:rsid w:val="00B05EE7"/>
    <w:rsid w:val="00B119F0"/>
    <w:rsid w:val="00B13783"/>
    <w:rsid w:val="00B36550"/>
    <w:rsid w:val="00B5456E"/>
    <w:rsid w:val="00B60896"/>
    <w:rsid w:val="00B67094"/>
    <w:rsid w:val="00B676C3"/>
    <w:rsid w:val="00B706A1"/>
    <w:rsid w:val="00B718B8"/>
    <w:rsid w:val="00B76C20"/>
    <w:rsid w:val="00B95D25"/>
    <w:rsid w:val="00BA45B8"/>
    <w:rsid w:val="00BB4B6C"/>
    <w:rsid w:val="00BB6D1A"/>
    <w:rsid w:val="00BB72C9"/>
    <w:rsid w:val="00BD5906"/>
    <w:rsid w:val="00BE05A8"/>
    <w:rsid w:val="00BF1C4F"/>
    <w:rsid w:val="00C02FE1"/>
    <w:rsid w:val="00C134A4"/>
    <w:rsid w:val="00C20284"/>
    <w:rsid w:val="00C21DBA"/>
    <w:rsid w:val="00C251CD"/>
    <w:rsid w:val="00C5004E"/>
    <w:rsid w:val="00C50928"/>
    <w:rsid w:val="00C565BF"/>
    <w:rsid w:val="00C56B52"/>
    <w:rsid w:val="00C5782D"/>
    <w:rsid w:val="00C61BEA"/>
    <w:rsid w:val="00C76C41"/>
    <w:rsid w:val="00C93C8B"/>
    <w:rsid w:val="00C9616D"/>
    <w:rsid w:val="00CA2DE9"/>
    <w:rsid w:val="00CB2AD4"/>
    <w:rsid w:val="00CB6A9E"/>
    <w:rsid w:val="00CD1C7F"/>
    <w:rsid w:val="00CE0BF2"/>
    <w:rsid w:val="00CE1D38"/>
    <w:rsid w:val="00CF0357"/>
    <w:rsid w:val="00CF0424"/>
    <w:rsid w:val="00CF24B2"/>
    <w:rsid w:val="00CF5BEB"/>
    <w:rsid w:val="00D034D4"/>
    <w:rsid w:val="00D101FA"/>
    <w:rsid w:val="00D21022"/>
    <w:rsid w:val="00D317E4"/>
    <w:rsid w:val="00D3618D"/>
    <w:rsid w:val="00D67DC1"/>
    <w:rsid w:val="00D9635F"/>
    <w:rsid w:val="00D966D2"/>
    <w:rsid w:val="00D97145"/>
    <w:rsid w:val="00DA0E23"/>
    <w:rsid w:val="00DB2764"/>
    <w:rsid w:val="00DC28B2"/>
    <w:rsid w:val="00DD3655"/>
    <w:rsid w:val="00DE10BF"/>
    <w:rsid w:val="00DE7DD9"/>
    <w:rsid w:val="00DF2170"/>
    <w:rsid w:val="00DF6D85"/>
    <w:rsid w:val="00DF7E40"/>
    <w:rsid w:val="00E006E3"/>
    <w:rsid w:val="00E01690"/>
    <w:rsid w:val="00E205BA"/>
    <w:rsid w:val="00E21CAE"/>
    <w:rsid w:val="00E226FD"/>
    <w:rsid w:val="00E2346A"/>
    <w:rsid w:val="00E23C84"/>
    <w:rsid w:val="00E26204"/>
    <w:rsid w:val="00E3368A"/>
    <w:rsid w:val="00E357B9"/>
    <w:rsid w:val="00E44F03"/>
    <w:rsid w:val="00E501BA"/>
    <w:rsid w:val="00E524B5"/>
    <w:rsid w:val="00E670B0"/>
    <w:rsid w:val="00E726E1"/>
    <w:rsid w:val="00E84843"/>
    <w:rsid w:val="00E85DB5"/>
    <w:rsid w:val="00EA7CC3"/>
    <w:rsid w:val="00EC7B3F"/>
    <w:rsid w:val="00EE01B9"/>
    <w:rsid w:val="00EE65CD"/>
    <w:rsid w:val="00EE7C1D"/>
    <w:rsid w:val="00EF21EF"/>
    <w:rsid w:val="00F04B5A"/>
    <w:rsid w:val="00F04EB2"/>
    <w:rsid w:val="00F4745A"/>
    <w:rsid w:val="00F5063F"/>
    <w:rsid w:val="00F543CB"/>
    <w:rsid w:val="00F55B09"/>
    <w:rsid w:val="00F55E09"/>
    <w:rsid w:val="00F60BAC"/>
    <w:rsid w:val="00F64C06"/>
    <w:rsid w:val="00F71C47"/>
    <w:rsid w:val="00F84021"/>
    <w:rsid w:val="00F8725B"/>
    <w:rsid w:val="00F87C29"/>
    <w:rsid w:val="00FA04E8"/>
    <w:rsid w:val="00FA0885"/>
    <w:rsid w:val="00FA2183"/>
    <w:rsid w:val="00FA6CD0"/>
    <w:rsid w:val="00FB3DC9"/>
    <w:rsid w:val="00FB7CA4"/>
    <w:rsid w:val="00FC6F0C"/>
    <w:rsid w:val="00FD5855"/>
    <w:rsid w:val="00FE0A82"/>
    <w:rsid w:val="00FE0D96"/>
    <w:rsid w:val="00FE1628"/>
    <w:rsid w:val="00FE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7F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260"/>
    <w:pPr>
      <w:spacing w:before="120" w:after="120" w:line="264" w:lineRule="auto"/>
      <w:ind w:left="2160"/>
    </w:pPr>
    <w:rPr>
      <w:rFonts w:ascii="Cambria" w:hAnsi="Cambria"/>
    </w:rPr>
  </w:style>
  <w:style w:type="paragraph" w:styleId="Heading1">
    <w:name w:val="heading 1"/>
    <w:basedOn w:val="Normal"/>
    <w:next w:val="Normal"/>
    <w:link w:val="Heading1Char"/>
    <w:uiPriority w:val="9"/>
    <w:qFormat/>
    <w:rsid w:val="007B2394"/>
    <w:pPr>
      <w:widowControl w:val="0"/>
      <w:numPr>
        <w:numId w:val="6"/>
      </w:numPr>
      <w:outlineLvl w:val="0"/>
    </w:pPr>
    <w:rPr>
      <w:rFonts w:eastAsiaTheme="majorEastAsia" w:cstheme="majorBidi"/>
      <w:b/>
      <w:sz w:val="26"/>
      <w:szCs w:val="32"/>
      <w:u w:val="single"/>
    </w:rPr>
  </w:style>
  <w:style w:type="paragraph" w:styleId="Heading2">
    <w:name w:val="heading 2"/>
    <w:basedOn w:val="Normal"/>
    <w:next w:val="Normal"/>
    <w:link w:val="Heading2Char"/>
    <w:uiPriority w:val="9"/>
    <w:qFormat/>
    <w:rsid w:val="00AF734B"/>
    <w:pPr>
      <w:keepNext/>
      <w:keepLines/>
      <w:numPr>
        <w:ilvl w:val="1"/>
        <w:numId w:val="6"/>
      </w:numPr>
      <w:ind w:left="720"/>
      <w:outlineLvl w:val="1"/>
    </w:pPr>
    <w:rPr>
      <w:rFonts w:eastAsiaTheme="majorEastAsia" w:cstheme="majorBidi"/>
      <w:b/>
      <w:sz w:val="24"/>
      <w:szCs w:val="26"/>
    </w:rPr>
  </w:style>
  <w:style w:type="paragraph" w:styleId="Heading3">
    <w:name w:val="heading 3"/>
    <w:basedOn w:val="Normal"/>
    <w:next w:val="Normal"/>
    <w:link w:val="Heading3Char"/>
    <w:uiPriority w:val="9"/>
    <w:qFormat/>
    <w:rsid w:val="005F65CF"/>
    <w:pPr>
      <w:keepNext/>
      <w:keepLines/>
      <w:numPr>
        <w:ilvl w:val="2"/>
        <w:numId w:val="6"/>
      </w:numPr>
      <w:spacing w:after="60"/>
      <w:ind w:left="1080"/>
      <w:outlineLvl w:val="2"/>
    </w:pPr>
    <w:rPr>
      <w:rFonts w:eastAsiaTheme="majorEastAsia" w:cstheme="majorBidi"/>
      <w:sz w:val="24"/>
      <w:szCs w:val="24"/>
      <w:u w:val="single"/>
    </w:rPr>
  </w:style>
  <w:style w:type="paragraph" w:styleId="Heading4">
    <w:name w:val="heading 4"/>
    <w:basedOn w:val="Normal"/>
    <w:next w:val="Normal"/>
    <w:link w:val="Heading4Char"/>
    <w:uiPriority w:val="9"/>
    <w:qFormat/>
    <w:rsid w:val="005F65CF"/>
    <w:pPr>
      <w:widowControl w:val="0"/>
      <w:numPr>
        <w:ilvl w:val="3"/>
        <w:numId w:val="6"/>
      </w:numPr>
      <w:spacing w:after="60"/>
      <w:ind w:left="1512"/>
      <w:outlineLvl w:val="3"/>
    </w:pPr>
    <w:rPr>
      <w:rFonts w:eastAsiaTheme="majorEastAsia" w:cstheme="majorBidi"/>
      <w:i/>
      <w:iCs/>
      <w:sz w:val="24"/>
    </w:rPr>
  </w:style>
  <w:style w:type="paragraph" w:styleId="Heading5">
    <w:name w:val="heading 5"/>
    <w:basedOn w:val="Normal"/>
    <w:next w:val="Normal"/>
    <w:link w:val="Heading5Char"/>
    <w:uiPriority w:val="9"/>
    <w:qFormat/>
    <w:rsid w:val="00AF734B"/>
    <w:pPr>
      <w:widowControl w:val="0"/>
      <w:numPr>
        <w:ilvl w:val="4"/>
        <w:numId w:val="6"/>
      </w:numPr>
      <w:spacing w:after="60"/>
      <w:ind w:left="1944"/>
      <w:outlineLvl w:val="4"/>
    </w:pPr>
    <w:rPr>
      <w:rFonts w:eastAsiaTheme="majorEastAsia" w:cstheme="majorBidi"/>
      <w:sz w:val="24"/>
    </w:rPr>
  </w:style>
  <w:style w:type="paragraph" w:styleId="Heading6">
    <w:name w:val="heading 6"/>
    <w:basedOn w:val="Normal"/>
    <w:next w:val="Normal"/>
    <w:link w:val="Heading6Char"/>
    <w:uiPriority w:val="9"/>
    <w:rsid w:val="00F4745A"/>
    <w:pPr>
      <w:widowControl w:val="0"/>
      <w:numPr>
        <w:ilvl w:val="5"/>
        <w:numId w:val="6"/>
      </w:numPr>
      <w:spacing w:after="60"/>
      <w:outlineLvl w:val="5"/>
    </w:pPr>
    <w:rPr>
      <w:rFonts w:asciiTheme="majorHAnsi" w:eastAsiaTheme="majorEastAsia" w:hAnsiTheme="majorHAnsi" w:cstheme="majorBidi"/>
    </w:rPr>
  </w:style>
  <w:style w:type="paragraph" w:styleId="Heading7">
    <w:name w:val="heading 7"/>
    <w:basedOn w:val="Normal"/>
    <w:next w:val="Normal"/>
    <w:link w:val="Heading7Char"/>
    <w:uiPriority w:val="9"/>
    <w:rsid w:val="00F4745A"/>
    <w:pPr>
      <w:widowControl w:val="0"/>
      <w:numPr>
        <w:ilvl w:val="6"/>
        <w:numId w:val="6"/>
      </w:numPr>
      <w:spacing w:after="6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rsid w:val="00745AE1"/>
    <w:pPr>
      <w:keepNext/>
      <w:keepLines/>
      <w:spacing w:before="4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18EC"/>
    <w:pPr>
      <w:spacing w:after="480"/>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2B18EC"/>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7B2394"/>
    <w:rPr>
      <w:rFonts w:eastAsiaTheme="majorEastAsia" w:cstheme="majorBidi"/>
      <w:b/>
      <w:sz w:val="26"/>
      <w:szCs w:val="32"/>
      <w:u w:val="single"/>
    </w:rPr>
  </w:style>
  <w:style w:type="character" w:customStyle="1" w:styleId="Heading2Char">
    <w:name w:val="Heading 2 Char"/>
    <w:basedOn w:val="DefaultParagraphFont"/>
    <w:link w:val="Heading2"/>
    <w:uiPriority w:val="9"/>
    <w:rsid w:val="00AF734B"/>
    <w:rPr>
      <w:rFonts w:eastAsiaTheme="majorEastAsia" w:cstheme="majorBidi"/>
      <w:b/>
      <w:sz w:val="24"/>
      <w:szCs w:val="26"/>
    </w:rPr>
  </w:style>
  <w:style w:type="character" w:customStyle="1" w:styleId="Heading3Char">
    <w:name w:val="Heading 3 Char"/>
    <w:basedOn w:val="DefaultParagraphFont"/>
    <w:link w:val="Heading3"/>
    <w:uiPriority w:val="9"/>
    <w:rsid w:val="005F65CF"/>
    <w:rPr>
      <w:rFonts w:ascii="Cambria" w:eastAsiaTheme="majorEastAsia" w:hAnsi="Cambria" w:cstheme="majorBidi"/>
      <w:sz w:val="24"/>
      <w:szCs w:val="24"/>
      <w:u w:val="single"/>
    </w:rPr>
  </w:style>
  <w:style w:type="character" w:customStyle="1" w:styleId="Heading4Char">
    <w:name w:val="Heading 4 Char"/>
    <w:basedOn w:val="DefaultParagraphFont"/>
    <w:link w:val="Heading4"/>
    <w:uiPriority w:val="9"/>
    <w:rsid w:val="005F65CF"/>
    <w:rPr>
      <w:rFonts w:ascii="Cambria" w:eastAsiaTheme="majorEastAsia" w:hAnsi="Cambria" w:cstheme="majorBidi"/>
      <w:i/>
      <w:iCs/>
      <w:sz w:val="24"/>
    </w:rPr>
  </w:style>
  <w:style w:type="character" w:customStyle="1" w:styleId="Heading5Char">
    <w:name w:val="Heading 5 Char"/>
    <w:basedOn w:val="DefaultParagraphFont"/>
    <w:link w:val="Heading5"/>
    <w:uiPriority w:val="9"/>
    <w:rsid w:val="00AF734B"/>
    <w:rPr>
      <w:rFonts w:eastAsiaTheme="majorEastAsia" w:cstheme="majorBidi"/>
      <w:sz w:val="24"/>
    </w:rPr>
  </w:style>
  <w:style w:type="character" w:customStyle="1" w:styleId="Heading6Char">
    <w:name w:val="Heading 6 Char"/>
    <w:basedOn w:val="DefaultParagraphFont"/>
    <w:link w:val="Heading6"/>
    <w:uiPriority w:val="9"/>
    <w:rsid w:val="00F4745A"/>
    <w:rPr>
      <w:rFonts w:asciiTheme="majorHAnsi" w:eastAsiaTheme="majorEastAsia" w:hAnsiTheme="majorHAnsi" w:cstheme="majorBidi"/>
    </w:rPr>
  </w:style>
  <w:style w:type="character" w:customStyle="1" w:styleId="Heading7Char">
    <w:name w:val="Heading 7 Char"/>
    <w:basedOn w:val="DefaultParagraphFont"/>
    <w:link w:val="Heading7"/>
    <w:uiPriority w:val="9"/>
    <w:rsid w:val="00F4745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style>
  <w:style w:type="paragraph" w:customStyle="1" w:styleId="Normal2">
    <w:name w:val="Normal 2"/>
    <w:basedOn w:val="Normal"/>
    <w:qFormat/>
    <w:rsid w:val="00C5782D"/>
    <w:pPr>
      <w:numPr>
        <w:ilvl w:val="1"/>
        <w:numId w:val="2"/>
      </w:numPr>
    </w:pPr>
  </w:style>
  <w:style w:type="paragraph" w:styleId="ListParagraph">
    <w:name w:val="List Paragraph"/>
    <w:basedOn w:val="Normal"/>
    <w:uiPriority w:val="34"/>
    <w:unhideWhenUsed/>
    <w:qFormat/>
    <w:rsid w:val="00422A23"/>
    <w:pPr>
      <w:ind w:left="1440"/>
    </w:pPr>
  </w:style>
  <w:style w:type="character" w:styleId="Hyperlink">
    <w:name w:val="Hyperlink"/>
    <w:basedOn w:val="DefaultParagraphFont"/>
    <w:uiPriority w:val="99"/>
    <w:unhideWhenUsed/>
    <w:rsid w:val="00851642"/>
    <w:rPr>
      <w:color w:val="0000FF" w:themeColor="hyperlink"/>
      <w:u w:val="single"/>
    </w:rPr>
  </w:style>
  <w:style w:type="character" w:styleId="UnresolvedMention">
    <w:name w:val="Unresolved Mention"/>
    <w:basedOn w:val="DefaultParagraphFont"/>
    <w:uiPriority w:val="99"/>
    <w:semiHidden/>
    <w:unhideWhenUsed/>
    <w:rsid w:val="00851642"/>
    <w:rPr>
      <w:color w:val="605E5C"/>
      <w:shd w:val="clear" w:color="auto" w:fill="E1DFDD"/>
    </w:rPr>
  </w:style>
  <w:style w:type="character" w:styleId="FollowedHyperlink">
    <w:name w:val="FollowedHyperlink"/>
    <w:basedOn w:val="DefaultParagraphFont"/>
    <w:uiPriority w:val="99"/>
    <w:semiHidden/>
    <w:unhideWhenUsed/>
    <w:rsid w:val="00851642"/>
    <w:rPr>
      <w:color w:val="800080" w:themeColor="followedHyperlink"/>
      <w:u w:val="single"/>
    </w:rPr>
  </w:style>
  <w:style w:type="paragraph" w:styleId="Header">
    <w:name w:val="header"/>
    <w:basedOn w:val="Normal"/>
    <w:link w:val="HeaderChar"/>
    <w:uiPriority w:val="99"/>
    <w:unhideWhenUsed/>
    <w:rsid w:val="00223022"/>
    <w:pPr>
      <w:tabs>
        <w:tab w:val="center" w:pos="4680"/>
        <w:tab w:val="right" w:pos="9360"/>
      </w:tabs>
    </w:pPr>
  </w:style>
  <w:style w:type="character" w:customStyle="1" w:styleId="HeaderChar">
    <w:name w:val="Header Char"/>
    <w:basedOn w:val="DefaultParagraphFont"/>
    <w:link w:val="Header"/>
    <w:uiPriority w:val="99"/>
    <w:rsid w:val="00223022"/>
  </w:style>
  <w:style w:type="paragraph" w:styleId="Footer">
    <w:name w:val="footer"/>
    <w:basedOn w:val="Normal"/>
    <w:link w:val="FooterChar"/>
    <w:uiPriority w:val="99"/>
    <w:unhideWhenUsed/>
    <w:rsid w:val="00223022"/>
    <w:pPr>
      <w:tabs>
        <w:tab w:val="center" w:pos="4680"/>
        <w:tab w:val="right" w:pos="9360"/>
      </w:tabs>
    </w:pPr>
  </w:style>
  <w:style w:type="character" w:customStyle="1" w:styleId="FooterChar">
    <w:name w:val="Footer Char"/>
    <w:basedOn w:val="DefaultParagraphFont"/>
    <w:link w:val="Footer"/>
    <w:uiPriority w:val="99"/>
    <w:rsid w:val="00223022"/>
  </w:style>
  <w:style w:type="paragraph" w:styleId="FootnoteText">
    <w:name w:val="footnote text"/>
    <w:basedOn w:val="Normal"/>
    <w:link w:val="FootnoteTextChar"/>
    <w:uiPriority w:val="99"/>
    <w:semiHidden/>
    <w:unhideWhenUsed/>
    <w:rsid w:val="00AE79F9"/>
    <w:rPr>
      <w:sz w:val="20"/>
      <w:szCs w:val="20"/>
    </w:rPr>
  </w:style>
  <w:style w:type="character" w:customStyle="1" w:styleId="FootnoteTextChar">
    <w:name w:val="Footnote Text Char"/>
    <w:basedOn w:val="DefaultParagraphFont"/>
    <w:link w:val="FootnoteText"/>
    <w:uiPriority w:val="99"/>
    <w:semiHidden/>
    <w:rsid w:val="00AE79F9"/>
    <w:rPr>
      <w:sz w:val="20"/>
      <w:szCs w:val="20"/>
    </w:rPr>
  </w:style>
  <w:style w:type="character" w:styleId="FootnoteReference">
    <w:name w:val="footnote reference"/>
    <w:basedOn w:val="DefaultParagraphFont"/>
    <w:uiPriority w:val="99"/>
    <w:semiHidden/>
    <w:unhideWhenUsed/>
    <w:rsid w:val="00AE79F9"/>
    <w:rPr>
      <w:vertAlign w:val="superscript"/>
    </w:rPr>
  </w:style>
  <w:style w:type="paragraph" w:styleId="NormalWeb">
    <w:name w:val="Normal (Web)"/>
    <w:basedOn w:val="Normal"/>
    <w:uiPriority w:val="99"/>
    <w:semiHidden/>
    <w:unhideWhenUsed/>
    <w:rsid w:val="00C134A4"/>
    <w:rPr>
      <w:rFonts w:ascii="Times New Roman" w:hAnsi="Times New Roman" w:cs="Times New Roman"/>
      <w:sz w:val="24"/>
      <w:szCs w:val="24"/>
    </w:rPr>
  </w:style>
  <w:style w:type="table" w:styleId="TableGrid">
    <w:name w:val="Table Grid"/>
    <w:basedOn w:val="TableNormal"/>
    <w:uiPriority w:val="59"/>
    <w:rsid w:val="005A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393200">
      <w:bodyDiv w:val="1"/>
      <w:marLeft w:val="0"/>
      <w:marRight w:val="0"/>
      <w:marTop w:val="0"/>
      <w:marBottom w:val="0"/>
      <w:divBdr>
        <w:top w:val="none" w:sz="0" w:space="0" w:color="auto"/>
        <w:left w:val="none" w:sz="0" w:space="0" w:color="auto"/>
        <w:bottom w:val="none" w:sz="0" w:space="0" w:color="auto"/>
        <w:right w:val="none" w:sz="0" w:space="0" w:color="auto"/>
      </w:divBdr>
    </w:div>
    <w:div w:id="613827630">
      <w:bodyDiv w:val="1"/>
      <w:marLeft w:val="0"/>
      <w:marRight w:val="0"/>
      <w:marTop w:val="0"/>
      <w:marBottom w:val="0"/>
      <w:divBdr>
        <w:top w:val="none" w:sz="0" w:space="0" w:color="auto"/>
        <w:left w:val="none" w:sz="0" w:space="0" w:color="auto"/>
        <w:bottom w:val="none" w:sz="0" w:space="0" w:color="auto"/>
        <w:right w:val="none" w:sz="0" w:space="0" w:color="auto"/>
      </w:divBdr>
    </w:div>
    <w:div w:id="672874340">
      <w:bodyDiv w:val="1"/>
      <w:marLeft w:val="0"/>
      <w:marRight w:val="0"/>
      <w:marTop w:val="0"/>
      <w:marBottom w:val="0"/>
      <w:divBdr>
        <w:top w:val="none" w:sz="0" w:space="0" w:color="auto"/>
        <w:left w:val="none" w:sz="0" w:space="0" w:color="auto"/>
        <w:bottom w:val="none" w:sz="0" w:space="0" w:color="auto"/>
        <w:right w:val="none" w:sz="0" w:space="0" w:color="auto"/>
      </w:divBdr>
    </w:div>
    <w:div w:id="737826368">
      <w:bodyDiv w:val="1"/>
      <w:marLeft w:val="0"/>
      <w:marRight w:val="0"/>
      <w:marTop w:val="0"/>
      <w:marBottom w:val="0"/>
      <w:divBdr>
        <w:top w:val="none" w:sz="0" w:space="0" w:color="auto"/>
        <w:left w:val="none" w:sz="0" w:space="0" w:color="auto"/>
        <w:bottom w:val="none" w:sz="0" w:space="0" w:color="auto"/>
        <w:right w:val="none" w:sz="0" w:space="0" w:color="auto"/>
      </w:divBdr>
    </w:div>
    <w:div w:id="815339364">
      <w:bodyDiv w:val="1"/>
      <w:marLeft w:val="0"/>
      <w:marRight w:val="0"/>
      <w:marTop w:val="0"/>
      <w:marBottom w:val="0"/>
      <w:divBdr>
        <w:top w:val="none" w:sz="0" w:space="0" w:color="auto"/>
        <w:left w:val="none" w:sz="0" w:space="0" w:color="auto"/>
        <w:bottom w:val="none" w:sz="0" w:space="0" w:color="auto"/>
        <w:right w:val="none" w:sz="0" w:space="0" w:color="auto"/>
      </w:divBdr>
    </w:div>
    <w:div w:id="1014916969">
      <w:bodyDiv w:val="1"/>
      <w:marLeft w:val="0"/>
      <w:marRight w:val="0"/>
      <w:marTop w:val="0"/>
      <w:marBottom w:val="0"/>
      <w:divBdr>
        <w:top w:val="none" w:sz="0" w:space="0" w:color="auto"/>
        <w:left w:val="none" w:sz="0" w:space="0" w:color="auto"/>
        <w:bottom w:val="none" w:sz="0" w:space="0" w:color="auto"/>
        <w:right w:val="none" w:sz="0" w:space="0" w:color="auto"/>
      </w:divBdr>
    </w:div>
    <w:div w:id="1081295347">
      <w:bodyDiv w:val="1"/>
      <w:marLeft w:val="0"/>
      <w:marRight w:val="0"/>
      <w:marTop w:val="0"/>
      <w:marBottom w:val="0"/>
      <w:divBdr>
        <w:top w:val="none" w:sz="0" w:space="0" w:color="auto"/>
        <w:left w:val="none" w:sz="0" w:space="0" w:color="auto"/>
        <w:bottom w:val="none" w:sz="0" w:space="0" w:color="auto"/>
        <w:right w:val="none" w:sz="0" w:space="0" w:color="auto"/>
      </w:divBdr>
    </w:div>
    <w:div w:id="1267077433">
      <w:bodyDiv w:val="1"/>
      <w:marLeft w:val="0"/>
      <w:marRight w:val="0"/>
      <w:marTop w:val="0"/>
      <w:marBottom w:val="0"/>
      <w:divBdr>
        <w:top w:val="none" w:sz="0" w:space="0" w:color="auto"/>
        <w:left w:val="none" w:sz="0" w:space="0" w:color="auto"/>
        <w:bottom w:val="none" w:sz="0" w:space="0" w:color="auto"/>
        <w:right w:val="none" w:sz="0" w:space="0" w:color="auto"/>
      </w:divBdr>
    </w:div>
    <w:div w:id="1366446793">
      <w:bodyDiv w:val="1"/>
      <w:marLeft w:val="0"/>
      <w:marRight w:val="0"/>
      <w:marTop w:val="0"/>
      <w:marBottom w:val="0"/>
      <w:divBdr>
        <w:top w:val="none" w:sz="0" w:space="0" w:color="auto"/>
        <w:left w:val="none" w:sz="0" w:space="0" w:color="auto"/>
        <w:bottom w:val="none" w:sz="0" w:space="0" w:color="auto"/>
        <w:right w:val="none" w:sz="0" w:space="0" w:color="auto"/>
      </w:divBdr>
    </w:div>
    <w:div w:id="1568610784">
      <w:bodyDiv w:val="1"/>
      <w:marLeft w:val="0"/>
      <w:marRight w:val="0"/>
      <w:marTop w:val="0"/>
      <w:marBottom w:val="0"/>
      <w:divBdr>
        <w:top w:val="none" w:sz="0" w:space="0" w:color="auto"/>
        <w:left w:val="none" w:sz="0" w:space="0" w:color="auto"/>
        <w:bottom w:val="none" w:sz="0" w:space="0" w:color="auto"/>
        <w:right w:val="none" w:sz="0" w:space="0" w:color="auto"/>
      </w:divBdr>
    </w:div>
    <w:div w:id="175632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D0122-D7E3-4B81-A4B6-692120A2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4038</Words>
  <Characters>23022</Characters>
  <Application>Microsoft Office Word</Application>
  <DocSecurity>0</DocSecurity>
  <Lines>191</Lines>
  <Paragraphs>54</Paragraphs>
  <ScaleCrop>false</ScaleCrop>
  <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2021-08-10T14:51:00Z</dcterms:created>
  <dcterms:modified xsi:type="dcterms:W3CDTF">2021-08-10T14:52:00Z</dcterms:modified>
</cp:coreProperties>
</file>