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C120" w14:textId="78FD683C" w:rsidR="007F4132" w:rsidRDefault="007F4132" w:rsidP="007F4132">
      <w:pPr>
        <w:pStyle w:val="Title"/>
      </w:pPr>
      <w:r>
        <w:rPr>
          <w:noProof/>
        </w:rPr>
        <w:drawing>
          <wp:anchor distT="0" distB="0" distL="114300" distR="114300" simplePos="0" relativeHeight="251658240" behindDoc="0" locked="0" layoutInCell="1" allowOverlap="1" wp14:anchorId="67A2E376" wp14:editId="25A2DED6">
            <wp:simplePos x="0" y="0"/>
            <wp:positionH relativeFrom="margin">
              <wp:align>center</wp:align>
            </wp:positionH>
            <wp:positionV relativeFrom="paragraph">
              <wp:posOffset>0</wp:posOffset>
            </wp:positionV>
            <wp:extent cx="1530350" cy="749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749300"/>
                    </a:xfrm>
                    <a:prstGeom prst="rect">
                      <a:avLst/>
                    </a:prstGeom>
                    <a:noFill/>
                  </pic:spPr>
                </pic:pic>
              </a:graphicData>
            </a:graphic>
            <wp14:sizeRelH relativeFrom="margin">
              <wp14:pctWidth>0</wp14:pctWidth>
            </wp14:sizeRelH>
            <wp14:sizeRelV relativeFrom="margin">
              <wp14:pctHeight>0</wp14:pctHeight>
            </wp14:sizeRelV>
          </wp:anchor>
        </w:drawing>
      </w:r>
    </w:p>
    <w:p w14:paraId="4839307A" w14:textId="77777777" w:rsidR="007F4132" w:rsidRPr="0092654C" w:rsidRDefault="007F4132" w:rsidP="007F4132">
      <w:pPr>
        <w:pStyle w:val="Title"/>
        <w:rPr>
          <w:sz w:val="24"/>
          <w:szCs w:val="44"/>
        </w:rPr>
      </w:pPr>
    </w:p>
    <w:p w14:paraId="26E681E0" w14:textId="77777777" w:rsidR="00997A5D" w:rsidRDefault="00997A5D" w:rsidP="00036600">
      <w:pPr>
        <w:pStyle w:val="Title"/>
        <w:spacing w:after="240"/>
      </w:pPr>
    </w:p>
    <w:p w14:paraId="37B31B6D" w14:textId="77777777" w:rsidR="00B43964" w:rsidRDefault="00B43964" w:rsidP="00036600">
      <w:pPr>
        <w:pStyle w:val="Title"/>
        <w:spacing w:after="0"/>
        <w:rPr>
          <w:rFonts w:ascii="Cambria Math" w:hAnsi="Cambria Math" w:cs="Aharoni"/>
          <w:sz w:val="44"/>
          <w:szCs w:val="96"/>
        </w:rPr>
      </w:pPr>
    </w:p>
    <w:p w14:paraId="5DA8D7E6" w14:textId="77777777" w:rsidR="00DD49E5" w:rsidRDefault="009F1D2B" w:rsidP="00DD49E5">
      <w:pPr>
        <w:pStyle w:val="Title"/>
        <w:spacing w:after="0"/>
        <w:rPr>
          <w:rFonts w:asciiTheme="majorHAnsi" w:hAnsiTheme="majorHAnsi"/>
          <w:b w:val="0"/>
          <w:bCs/>
          <w:i/>
          <w:iCs/>
          <w:sz w:val="20"/>
          <w:szCs w:val="18"/>
        </w:rPr>
      </w:pPr>
      <w:r w:rsidRPr="00DD49E5">
        <w:rPr>
          <w:rFonts w:ascii="Cambria Math" w:hAnsi="Cambria Math" w:cs="Aharoni"/>
          <w:sz w:val="40"/>
          <w:szCs w:val="72"/>
        </w:rPr>
        <w:t xml:space="preserve">Discussion Draft of Detailed Outline of a White Paper on Sales Taxation of Digital Products  </w:t>
      </w:r>
      <w:r w:rsidR="00997A5D" w:rsidRPr="00DD49E5">
        <w:rPr>
          <w:rFonts w:ascii="Aharoni" w:hAnsi="Aharoni" w:cs="Aharoni" w:hint="cs"/>
          <w:sz w:val="32"/>
          <w:szCs w:val="52"/>
        </w:rPr>
        <w:br/>
      </w:r>
    </w:p>
    <w:p w14:paraId="27FEC98A" w14:textId="7DE88E52" w:rsidR="009A3631" w:rsidRPr="00DD49E5" w:rsidRDefault="007F4132" w:rsidP="00DD49E5">
      <w:pPr>
        <w:pStyle w:val="Title"/>
        <w:spacing w:after="0"/>
        <w:rPr>
          <w:rFonts w:asciiTheme="majorHAnsi" w:hAnsiTheme="majorHAnsi"/>
          <w:b w:val="0"/>
          <w:bCs/>
          <w:i/>
          <w:iCs/>
          <w:sz w:val="20"/>
          <w:szCs w:val="18"/>
        </w:rPr>
      </w:pPr>
      <w:r w:rsidRPr="00DD49E5">
        <w:rPr>
          <w:rFonts w:asciiTheme="majorHAnsi" w:hAnsiTheme="majorHAnsi"/>
          <w:b w:val="0"/>
          <w:bCs/>
          <w:i/>
          <w:iCs/>
          <w:sz w:val="20"/>
          <w:szCs w:val="18"/>
        </w:rPr>
        <w:t xml:space="preserve">Prepared by </w:t>
      </w:r>
      <w:r w:rsidR="00485647" w:rsidRPr="00DD49E5">
        <w:rPr>
          <w:rFonts w:asciiTheme="majorHAnsi" w:hAnsiTheme="majorHAnsi"/>
          <w:b w:val="0"/>
          <w:bCs/>
          <w:i/>
          <w:iCs/>
          <w:sz w:val="20"/>
          <w:szCs w:val="18"/>
        </w:rPr>
        <w:t>s</w:t>
      </w:r>
      <w:r w:rsidRPr="00DD49E5">
        <w:rPr>
          <w:rFonts w:asciiTheme="majorHAnsi" w:hAnsiTheme="majorHAnsi"/>
          <w:b w:val="0"/>
          <w:bCs/>
          <w:i/>
          <w:iCs/>
          <w:sz w:val="20"/>
          <w:szCs w:val="18"/>
        </w:rPr>
        <w:t xml:space="preserve">taff of the Multistate Tax Commission for </w:t>
      </w:r>
      <w:r w:rsidR="0065548B" w:rsidRPr="00DD49E5">
        <w:rPr>
          <w:rFonts w:asciiTheme="majorHAnsi" w:hAnsiTheme="majorHAnsi"/>
          <w:b w:val="0"/>
          <w:bCs/>
          <w:i/>
          <w:iCs/>
          <w:sz w:val="20"/>
          <w:szCs w:val="18"/>
        </w:rPr>
        <w:t xml:space="preserve">discussion by </w:t>
      </w:r>
      <w:r w:rsidRPr="00DD49E5">
        <w:rPr>
          <w:rFonts w:asciiTheme="majorHAnsi" w:hAnsiTheme="majorHAnsi"/>
          <w:b w:val="0"/>
          <w:bCs/>
          <w:i/>
          <w:iCs/>
          <w:sz w:val="20"/>
          <w:szCs w:val="18"/>
        </w:rPr>
        <w:t xml:space="preserve">the </w:t>
      </w:r>
    </w:p>
    <w:p w14:paraId="4F05F10A" w14:textId="279EDD5B" w:rsidR="007F4132" w:rsidRDefault="007F4132" w:rsidP="007F4132">
      <w:pPr>
        <w:spacing w:after="0"/>
        <w:jc w:val="center"/>
        <w:rPr>
          <w:rFonts w:asciiTheme="majorHAnsi" w:hAnsiTheme="majorHAnsi"/>
          <w:bCs/>
          <w:i/>
          <w:iCs/>
          <w:szCs w:val="18"/>
        </w:rPr>
      </w:pPr>
      <w:r w:rsidRPr="00DD49E5">
        <w:rPr>
          <w:rFonts w:asciiTheme="majorHAnsi" w:hAnsiTheme="majorHAnsi"/>
          <w:bCs/>
          <w:i/>
          <w:iCs/>
          <w:szCs w:val="18"/>
        </w:rPr>
        <w:t>Uniformity Committee</w:t>
      </w:r>
      <w:r w:rsidR="0065548B" w:rsidRPr="00DD49E5">
        <w:rPr>
          <w:rFonts w:asciiTheme="majorHAnsi" w:hAnsiTheme="majorHAnsi"/>
          <w:bCs/>
          <w:i/>
          <w:iCs/>
          <w:szCs w:val="18"/>
        </w:rPr>
        <w:t xml:space="preserve"> meeting</w:t>
      </w:r>
      <w:r w:rsidR="009A3631" w:rsidRPr="00DD49E5">
        <w:rPr>
          <w:rFonts w:asciiTheme="majorHAnsi" w:hAnsiTheme="majorHAnsi"/>
          <w:bCs/>
          <w:i/>
          <w:iCs/>
          <w:szCs w:val="18"/>
        </w:rPr>
        <w:t xml:space="preserve">, </w:t>
      </w:r>
      <w:r w:rsidR="0065548B" w:rsidRPr="00DD49E5">
        <w:rPr>
          <w:rFonts w:asciiTheme="majorHAnsi" w:hAnsiTheme="majorHAnsi"/>
          <w:bCs/>
          <w:i/>
          <w:iCs/>
          <w:szCs w:val="18"/>
        </w:rPr>
        <w:t>August 2, 2022 in Anchorage</w:t>
      </w:r>
      <w:r w:rsidR="00D03194" w:rsidRPr="00DD49E5">
        <w:rPr>
          <w:rFonts w:asciiTheme="majorHAnsi" w:hAnsiTheme="majorHAnsi"/>
          <w:bCs/>
          <w:i/>
          <w:iCs/>
          <w:szCs w:val="18"/>
        </w:rPr>
        <w:t>,</w:t>
      </w:r>
      <w:r w:rsidR="0065548B" w:rsidRPr="00DD49E5">
        <w:rPr>
          <w:rFonts w:asciiTheme="majorHAnsi" w:hAnsiTheme="majorHAnsi"/>
          <w:bCs/>
          <w:i/>
          <w:iCs/>
          <w:szCs w:val="18"/>
        </w:rPr>
        <w:t xml:space="preserve"> Alaska</w:t>
      </w:r>
      <w:r w:rsidR="001C041F">
        <w:rPr>
          <w:rFonts w:asciiTheme="majorHAnsi" w:hAnsiTheme="majorHAnsi"/>
          <w:bCs/>
          <w:i/>
          <w:iCs/>
          <w:szCs w:val="18"/>
        </w:rPr>
        <w:t xml:space="preserve"> </w:t>
      </w:r>
      <w:r w:rsidR="001C041F" w:rsidRPr="001C041F">
        <w:rPr>
          <w:rFonts w:asciiTheme="majorHAnsi" w:hAnsiTheme="majorHAnsi"/>
          <w:bCs/>
          <w:i/>
          <w:iCs/>
          <w:szCs w:val="18"/>
          <w:highlight w:val="yellow"/>
        </w:rPr>
        <w:t>(updated Sept. 1, 2022)</w:t>
      </w:r>
    </w:p>
    <w:p w14:paraId="3F38B79B" w14:textId="77777777" w:rsidR="00DD49E5" w:rsidRPr="00DD49E5" w:rsidRDefault="00DD49E5" w:rsidP="007F4132">
      <w:pPr>
        <w:spacing w:after="0"/>
        <w:jc w:val="center"/>
        <w:rPr>
          <w:rFonts w:asciiTheme="majorHAnsi" w:hAnsiTheme="majorHAnsi"/>
          <w:bCs/>
          <w:i/>
          <w:iCs/>
          <w:szCs w:val="18"/>
        </w:rPr>
      </w:pPr>
    </w:p>
    <w:tbl>
      <w:tblPr>
        <w:tblStyle w:val="TableGrid"/>
        <w:tblW w:w="101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2"/>
        <w:gridCol w:w="3348"/>
      </w:tblGrid>
      <w:tr w:rsidR="003C1351" w14:paraId="7589DEA0" w14:textId="77777777" w:rsidTr="2E40B8A7">
        <w:tc>
          <w:tcPr>
            <w:tcW w:w="6822" w:type="dxa"/>
            <w:tcBorders>
              <w:top w:val="single" w:sz="4" w:space="0" w:color="auto"/>
            </w:tcBorders>
          </w:tcPr>
          <w:p w14:paraId="1B4B900B" w14:textId="735EB244" w:rsidR="009A3631" w:rsidRDefault="009A3631" w:rsidP="009A3631">
            <w:pPr>
              <w:pStyle w:val="Heading1"/>
              <w:outlineLvl w:val="0"/>
            </w:pPr>
            <w:r w:rsidRPr="009A3631">
              <w:t>Introduction</w:t>
            </w:r>
          </w:p>
          <w:p w14:paraId="29E69F8E" w14:textId="77777777" w:rsidR="00DD49E5" w:rsidRDefault="00B00F2C" w:rsidP="00DD49E5">
            <w:pPr>
              <w:ind w:right="288"/>
            </w:pPr>
            <w:r>
              <w:t xml:space="preserve">In response to a </w:t>
            </w:r>
            <w:r w:rsidR="000B6A51">
              <w:t>propos</w:t>
            </w:r>
            <w:r w:rsidR="00B622DE">
              <w:t>al to prepare a</w:t>
            </w:r>
            <w:r w:rsidR="000B6A51">
              <w:t xml:space="preserve"> </w:t>
            </w:r>
            <w:r>
              <w:t>white paper</w:t>
            </w:r>
            <w:r w:rsidR="00DD5621">
              <w:t xml:space="preserve"> on how states might best </w:t>
            </w:r>
            <w:r w:rsidR="00816C05">
              <w:t xml:space="preserve">adapt their </w:t>
            </w:r>
            <w:r w:rsidR="00DD5621">
              <w:t>sales tax</w:t>
            </w:r>
            <w:r w:rsidR="00816C05">
              <w:t xml:space="preserve"> to include digital products</w:t>
            </w:r>
            <w:r w:rsidR="00DD5621">
              <w:t>, t</w:t>
            </w:r>
            <w:r w:rsidR="00AC0F65">
              <w:t>he</w:t>
            </w:r>
            <w:r w:rsidR="00850928">
              <w:t xml:space="preserve"> </w:t>
            </w:r>
            <w:r w:rsidR="00816C05">
              <w:t xml:space="preserve">MTC </w:t>
            </w:r>
            <w:r w:rsidR="00850928">
              <w:t xml:space="preserve">Uniformity Committee </w:t>
            </w:r>
            <w:r w:rsidR="00AC0F65">
              <w:t xml:space="preserve">asked </w:t>
            </w:r>
            <w:r w:rsidR="00850928">
              <w:t xml:space="preserve">staff </w:t>
            </w:r>
            <w:r w:rsidR="00AC0F65">
              <w:t xml:space="preserve">to </w:t>
            </w:r>
            <w:r w:rsidR="00816C05">
              <w:t xml:space="preserve">talk to stakeholders, review </w:t>
            </w:r>
            <w:r w:rsidR="00036600">
              <w:t>the relevant</w:t>
            </w:r>
            <w:r w:rsidR="00816C05">
              <w:t xml:space="preserve"> research, and identify issues </w:t>
            </w:r>
            <w:r w:rsidR="00F33689">
              <w:t>to be include</w:t>
            </w:r>
            <w:r w:rsidR="00A2080E">
              <w:t>d</w:t>
            </w:r>
            <w:r w:rsidR="00F33689">
              <w:t xml:space="preserve"> in a</w:t>
            </w:r>
            <w:r w:rsidR="00816C05">
              <w:t xml:space="preserve"> detailed outline of that paper.</w:t>
            </w:r>
            <w:r w:rsidR="008B5311">
              <w:t xml:space="preserve"> This report provides </w:t>
            </w:r>
            <w:r w:rsidR="007A2AFB">
              <w:t xml:space="preserve">a first </w:t>
            </w:r>
            <w:r w:rsidR="00927D0A">
              <w:t xml:space="preserve">discussion </w:t>
            </w:r>
            <w:r w:rsidR="007A2AFB">
              <w:t xml:space="preserve">draft of </w:t>
            </w:r>
            <w:r w:rsidR="008B5311">
              <w:t>that detailed outline</w:t>
            </w:r>
            <w:r w:rsidR="00AB1191">
              <w:t xml:space="preserve">, which </w:t>
            </w:r>
            <w:r w:rsidR="00241E19">
              <w:t>is a working document that will change as the project continues</w:t>
            </w:r>
            <w:r w:rsidR="008B5311">
              <w:t>.</w:t>
            </w:r>
            <w:r w:rsidR="00816C05">
              <w:t xml:space="preserve"> </w:t>
            </w:r>
          </w:p>
          <w:p w14:paraId="7FD33DE7" w14:textId="1CF6E0E6" w:rsidR="00D03194" w:rsidRDefault="78E37E2A" w:rsidP="00DD49E5">
            <w:pPr>
              <w:ind w:right="288"/>
            </w:pPr>
            <w:r>
              <w:t xml:space="preserve">In the last year, </w:t>
            </w:r>
            <w:r w:rsidR="00D03194">
              <w:t xml:space="preserve">MTC staff conducted </w:t>
            </w:r>
            <w:r w:rsidR="00174A25">
              <w:t xml:space="preserve">43 </w:t>
            </w:r>
            <w:r w:rsidR="00D03194">
              <w:t xml:space="preserve">separate interviews of individuals or groups representing particular taxpayers, states, or other organizations, as well as practitioners and academics. </w:t>
            </w:r>
            <w:r w:rsidR="4B01CC06">
              <w:t xml:space="preserve">(See Appendix A). </w:t>
            </w:r>
            <w:r w:rsidR="228B3CAD">
              <w:t>They</w:t>
            </w:r>
            <w:r w:rsidR="1FB1212C">
              <w:t xml:space="preserve"> </w:t>
            </w:r>
            <w:r w:rsidR="00D03194">
              <w:t xml:space="preserve">surveyed other relevant </w:t>
            </w:r>
            <w:r w:rsidR="228B3CAD">
              <w:t>research</w:t>
            </w:r>
            <w:r w:rsidR="0FC4E091">
              <w:t>,</w:t>
            </w:r>
            <w:r w:rsidR="00D03194">
              <w:t xml:space="preserve"> including studies done by other groups, much of which </w:t>
            </w:r>
            <w:r w:rsidR="1FB1212C">
              <w:t xml:space="preserve">also </w:t>
            </w:r>
            <w:r w:rsidR="00D03194">
              <w:t xml:space="preserve">is cited throughout this outline. </w:t>
            </w:r>
            <w:r w:rsidR="0A11F7A2">
              <w:t xml:space="preserve">They also monitored work of the Streamlined Sales and Use Tax Governing Board (“Streamlined”) and the New Jersey Division of Taxation’s study on the taxation of the digital economy generally, which is being done in conjunction with Rutgers University. </w:t>
            </w:r>
            <w:r w:rsidR="00D03194">
              <w:t>See the project page on the MTC website for</w:t>
            </w:r>
            <w:r w:rsidR="0FC4E091">
              <w:t xml:space="preserve"> </w:t>
            </w:r>
            <w:r w:rsidR="00D03194">
              <w:t>additional information</w:t>
            </w:r>
            <w:r w:rsidR="00CF68F4">
              <w:t>.</w:t>
            </w:r>
            <w:r w:rsidR="00D03194">
              <w:t xml:space="preserve"> </w:t>
            </w:r>
          </w:p>
          <w:p w14:paraId="3000B7EF" w14:textId="192E24FC" w:rsidR="00F73C91" w:rsidRDefault="00036600" w:rsidP="00DD49E5">
            <w:pPr>
              <w:ind w:right="288"/>
            </w:pPr>
            <w:r>
              <w:t>A</w:t>
            </w:r>
            <w:r w:rsidR="00D03194">
              <w:t>mong stakeholders, administrators, and experts</w:t>
            </w:r>
            <w:r>
              <w:t xml:space="preserve">, </w:t>
            </w:r>
            <w:r w:rsidRPr="00036600">
              <w:t xml:space="preserve">it appears there is widespread agreement </w:t>
            </w:r>
            <w:r>
              <w:t>on some issues</w:t>
            </w:r>
            <w:r w:rsidR="00D03194">
              <w:t xml:space="preserve">. </w:t>
            </w:r>
            <w:r w:rsidR="00754AD7">
              <w:t xml:space="preserve">For example, there was almost unanimous agreement that the proposed white paper is a good idea. </w:t>
            </w:r>
            <w:r w:rsidR="00D03194">
              <w:t>On other</w:t>
            </w:r>
            <w:r w:rsidR="00754AD7">
              <w:t xml:space="preserve"> issues</w:t>
            </w:r>
            <w:r w:rsidR="00D03194">
              <w:t xml:space="preserve">, </w:t>
            </w:r>
            <w:r w:rsidR="00D44E40">
              <w:t xml:space="preserve">as might be expected, </w:t>
            </w:r>
            <w:r w:rsidR="00D03194">
              <w:t xml:space="preserve">viewpoints diverge. </w:t>
            </w:r>
            <w:r w:rsidR="008B5311">
              <w:t>Nevertheless, there is no doubt as to</w:t>
            </w:r>
            <w:r w:rsidR="00D03194">
              <w:t xml:space="preserve"> the significance of </w:t>
            </w:r>
            <w:r w:rsidR="00850928">
              <w:t xml:space="preserve">particular </w:t>
            </w:r>
            <w:r w:rsidR="00D03194">
              <w:t>issues</w:t>
            </w:r>
            <w:r w:rsidR="008B5311">
              <w:t xml:space="preserve"> and th</w:t>
            </w:r>
            <w:r w:rsidR="00CF68F4">
              <w:t>ose issues</w:t>
            </w:r>
            <w:r w:rsidR="008B5311">
              <w:t xml:space="preserve"> have been</w:t>
            </w:r>
            <w:r w:rsidR="00D03194">
              <w:t xml:space="preserve"> incorporated into th</w:t>
            </w:r>
            <w:r w:rsidR="008B5311">
              <w:t>e</w:t>
            </w:r>
            <w:r w:rsidR="00D03194">
              <w:t xml:space="preserve"> detailed outline along with </w:t>
            </w:r>
            <w:r w:rsidR="00D44E40">
              <w:t xml:space="preserve">the </w:t>
            </w:r>
            <w:r w:rsidR="00D03194">
              <w:t>related questions. A</w:t>
            </w:r>
            <w:r w:rsidR="008B5311">
              <w:t>lso,</w:t>
            </w:r>
            <w:r w:rsidR="00D03194">
              <w:t xml:space="preserve"> to aid in review of these issues</w:t>
            </w:r>
            <w:r w:rsidR="008B5311">
              <w:t xml:space="preserve"> and questions</w:t>
            </w:r>
            <w:r w:rsidR="00D03194">
              <w:t xml:space="preserve">, </w:t>
            </w:r>
            <w:r w:rsidR="008B5311">
              <w:t>this report</w:t>
            </w:r>
            <w:r w:rsidR="00D03194">
              <w:t xml:space="preserve"> provides a brief background section.</w:t>
            </w:r>
          </w:p>
        </w:tc>
        <w:tc>
          <w:tcPr>
            <w:tcW w:w="3348" w:type="dxa"/>
            <w:tcBorders>
              <w:top w:val="single" w:sz="4" w:space="0" w:color="auto"/>
            </w:tcBorders>
            <w:shd w:val="clear" w:color="auto" w:fill="404040" w:themeFill="text1" w:themeFillTint="BF"/>
          </w:tcPr>
          <w:p w14:paraId="4218EB15" w14:textId="77777777" w:rsidR="00572E19" w:rsidRPr="00DD49E5" w:rsidRDefault="00572E19" w:rsidP="00177770">
            <w:pPr>
              <w:spacing w:after="120"/>
              <w:rPr>
                <w:rFonts w:asciiTheme="minorHAnsi" w:hAnsiTheme="minorHAnsi" w:cstheme="minorHAnsi"/>
                <w:b/>
                <w:bCs/>
                <w:color w:val="FFFFFF" w:themeColor="background1"/>
                <w:sz w:val="18"/>
                <w:szCs w:val="18"/>
              </w:rPr>
            </w:pPr>
          </w:p>
          <w:p w14:paraId="2F386F3B" w14:textId="77777777" w:rsidR="009A3631" w:rsidRPr="00DD49E5" w:rsidRDefault="009A3631" w:rsidP="00B00F2C">
            <w:pPr>
              <w:spacing w:after="120"/>
              <w:ind w:left="144" w:right="144"/>
              <w:rPr>
                <w:rFonts w:asciiTheme="minorHAnsi" w:hAnsiTheme="minorHAnsi" w:cstheme="minorHAnsi"/>
                <w:b/>
                <w:bCs/>
                <w:color w:val="FFFFFF" w:themeColor="background1"/>
                <w:sz w:val="18"/>
                <w:szCs w:val="18"/>
              </w:rPr>
            </w:pPr>
          </w:p>
          <w:p w14:paraId="7FE1E40E" w14:textId="3C640F3E" w:rsidR="00850928" w:rsidRPr="00DD49E5" w:rsidRDefault="00B00F2C" w:rsidP="00036600">
            <w:pPr>
              <w:spacing w:after="120"/>
              <w:ind w:left="144" w:right="144"/>
              <w:jc w:val="center"/>
              <w:rPr>
                <w:rFonts w:asciiTheme="minorHAnsi" w:hAnsiTheme="minorHAnsi" w:cstheme="minorHAnsi"/>
                <w:b/>
                <w:bCs/>
                <w:color w:val="FFFFFF" w:themeColor="background1"/>
                <w:sz w:val="18"/>
                <w:szCs w:val="18"/>
              </w:rPr>
            </w:pPr>
            <w:r w:rsidRPr="00DD49E5">
              <w:rPr>
                <w:rFonts w:asciiTheme="minorHAnsi" w:hAnsiTheme="minorHAnsi" w:cstheme="minorHAnsi"/>
                <w:b/>
                <w:bCs/>
                <w:color w:val="FFFFFF" w:themeColor="background1"/>
                <w:sz w:val="18"/>
                <w:szCs w:val="18"/>
              </w:rPr>
              <w:t>Related Actions of the MTC</w:t>
            </w:r>
            <w:r w:rsidR="00035110" w:rsidRPr="00DD49E5">
              <w:rPr>
                <w:rFonts w:asciiTheme="minorHAnsi" w:hAnsiTheme="minorHAnsi" w:cstheme="minorHAnsi"/>
                <w:b/>
                <w:bCs/>
                <w:color w:val="FFFFFF" w:themeColor="background1"/>
                <w:sz w:val="18"/>
                <w:szCs w:val="18"/>
              </w:rPr>
              <w:t xml:space="preserve"> </w:t>
            </w:r>
            <w:r w:rsidR="00036600" w:rsidRPr="00DD49E5">
              <w:rPr>
                <w:rFonts w:asciiTheme="minorHAnsi" w:hAnsiTheme="minorHAnsi" w:cstheme="minorHAnsi"/>
                <w:b/>
                <w:bCs/>
                <w:color w:val="FFFFFF" w:themeColor="background1"/>
                <w:sz w:val="18"/>
                <w:szCs w:val="18"/>
              </w:rPr>
              <w:br/>
            </w:r>
            <w:r w:rsidR="00035110" w:rsidRPr="00DD49E5">
              <w:rPr>
                <w:rFonts w:asciiTheme="minorHAnsi" w:hAnsiTheme="minorHAnsi" w:cstheme="minorHAnsi"/>
                <w:b/>
                <w:bCs/>
                <w:color w:val="FFFFFF" w:themeColor="background1"/>
                <w:sz w:val="18"/>
                <w:szCs w:val="18"/>
              </w:rPr>
              <w:t>Uniformity Committee</w:t>
            </w:r>
            <w:r w:rsidR="00C305D3" w:rsidRPr="00DD49E5">
              <w:rPr>
                <w:rFonts w:asciiTheme="minorHAnsi" w:hAnsiTheme="minorHAnsi" w:cstheme="minorHAnsi"/>
                <w:b/>
                <w:bCs/>
                <w:color w:val="FFFFFF" w:themeColor="background1"/>
                <w:sz w:val="18"/>
                <w:szCs w:val="18"/>
              </w:rPr>
              <w:t>:</w:t>
            </w:r>
          </w:p>
          <w:p w14:paraId="2AB61E1E" w14:textId="77777777" w:rsidR="007946EE" w:rsidRPr="00DD49E5" w:rsidRDefault="007946EE" w:rsidP="00177770">
            <w:pPr>
              <w:spacing w:after="120"/>
              <w:ind w:left="144" w:right="144"/>
              <w:rPr>
                <w:rFonts w:asciiTheme="minorHAnsi" w:hAnsiTheme="minorHAnsi" w:cstheme="minorHAnsi"/>
                <w:b/>
                <w:bCs/>
                <w:color w:val="FFFFFF" w:themeColor="background1"/>
                <w:sz w:val="18"/>
                <w:szCs w:val="18"/>
              </w:rPr>
            </w:pPr>
          </w:p>
          <w:p w14:paraId="296F95ED" w14:textId="53410176" w:rsidR="00485647" w:rsidRPr="00DD49E5" w:rsidRDefault="003B4A3C" w:rsidP="00177770">
            <w:pPr>
              <w:spacing w:after="120"/>
              <w:ind w:left="144" w:right="144"/>
              <w:rPr>
                <w:rFonts w:asciiTheme="minorHAnsi" w:hAnsiTheme="minorHAnsi" w:cstheme="minorHAnsi"/>
                <w:b/>
                <w:bCs/>
                <w:color w:val="FFFFFF" w:themeColor="background1"/>
                <w:sz w:val="18"/>
                <w:szCs w:val="18"/>
              </w:rPr>
            </w:pPr>
            <w:r w:rsidRPr="00DD49E5">
              <w:rPr>
                <w:rFonts w:asciiTheme="minorHAnsi" w:hAnsiTheme="minorHAnsi" w:cstheme="minorHAnsi"/>
                <w:b/>
                <w:bCs/>
                <w:color w:val="FFFFFF" w:themeColor="background1"/>
                <w:sz w:val="18"/>
                <w:szCs w:val="18"/>
              </w:rPr>
              <w:t xml:space="preserve">April 28, 2021 – </w:t>
            </w:r>
          </w:p>
          <w:p w14:paraId="53E35508" w14:textId="53439747" w:rsidR="002310BB" w:rsidRPr="00DD49E5" w:rsidRDefault="002310BB" w:rsidP="00177770">
            <w:pPr>
              <w:ind w:left="144" w:right="144"/>
              <w:rPr>
                <w:rFonts w:asciiTheme="minorHAnsi" w:hAnsiTheme="minorHAnsi" w:cstheme="minorHAnsi"/>
                <w:b/>
                <w:bCs/>
                <w:color w:val="FFFFFF" w:themeColor="background1"/>
                <w:sz w:val="18"/>
                <w:szCs w:val="18"/>
              </w:rPr>
            </w:pPr>
            <w:r w:rsidRPr="00DD49E5">
              <w:rPr>
                <w:rFonts w:asciiTheme="minorHAnsi" w:hAnsiTheme="minorHAnsi" w:cstheme="minorHAnsi"/>
                <w:b/>
                <w:bCs/>
                <w:color w:val="FFFFFF" w:themeColor="background1"/>
                <w:sz w:val="18"/>
                <w:szCs w:val="18"/>
              </w:rPr>
              <w:t>Representatives from the Washington Department of Revenue gave</w:t>
            </w:r>
            <w:r w:rsidR="003B4A3C" w:rsidRPr="00DD49E5">
              <w:rPr>
                <w:rFonts w:asciiTheme="minorHAnsi" w:hAnsiTheme="minorHAnsi" w:cstheme="minorHAnsi"/>
                <w:b/>
                <w:bCs/>
                <w:color w:val="FFFFFF" w:themeColor="background1"/>
                <w:sz w:val="18"/>
                <w:szCs w:val="18"/>
              </w:rPr>
              <w:t xml:space="preserve"> a presentation </w:t>
            </w:r>
            <w:r w:rsidRPr="00DD49E5">
              <w:rPr>
                <w:rFonts w:asciiTheme="minorHAnsi" w:hAnsiTheme="minorHAnsi" w:cstheme="minorHAnsi"/>
                <w:b/>
                <w:bCs/>
                <w:color w:val="FFFFFF" w:themeColor="background1"/>
                <w:sz w:val="18"/>
                <w:szCs w:val="18"/>
              </w:rPr>
              <w:t xml:space="preserve">to the MTC Uniformity Committee </w:t>
            </w:r>
            <w:r w:rsidR="003B4A3C" w:rsidRPr="00DD49E5">
              <w:rPr>
                <w:rFonts w:asciiTheme="minorHAnsi" w:hAnsiTheme="minorHAnsi" w:cstheme="minorHAnsi"/>
                <w:b/>
                <w:bCs/>
                <w:color w:val="FFFFFF" w:themeColor="background1"/>
                <w:sz w:val="18"/>
                <w:szCs w:val="18"/>
              </w:rPr>
              <w:t>in which they described their state’s experience with imposing sales tax on digital products</w:t>
            </w:r>
            <w:r w:rsidRPr="00DD49E5">
              <w:rPr>
                <w:rFonts w:asciiTheme="minorHAnsi" w:hAnsiTheme="minorHAnsi" w:cstheme="minorHAnsi"/>
                <w:b/>
                <w:bCs/>
                <w:color w:val="FFFFFF" w:themeColor="background1"/>
                <w:sz w:val="18"/>
                <w:szCs w:val="18"/>
              </w:rPr>
              <w:t xml:space="preserve"> as well as the alternatives considered. They also </w:t>
            </w:r>
            <w:r w:rsidR="003B4A3C" w:rsidRPr="00DD49E5">
              <w:rPr>
                <w:rFonts w:asciiTheme="minorHAnsi" w:hAnsiTheme="minorHAnsi" w:cstheme="minorHAnsi"/>
                <w:b/>
                <w:bCs/>
                <w:color w:val="FFFFFF" w:themeColor="background1"/>
                <w:sz w:val="18"/>
                <w:szCs w:val="18"/>
              </w:rPr>
              <w:t xml:space="preserve">proposed </w:t>
            </w:r>
            <w:r w:rsidRPr="00DD49E5">
              <w:rPr>
                <w:rFonts w:asciiTheme="minorHAnsi" w:hAnsiTheme="minorHAnsi" w:cstheme="minorHAnsi"/>
                <w:b/>
                <w:bCs/>
                <w:color w:val="FFFFFF" w:themeColor="background1"/>
                <w:sz w:val="18"/>
                <w:szCs w:val="18"/>
              </w:rPr>
              <w:t xml:space="preserve">that </w:t>
            </w:r>
            <w:r w:rsidR="003B4A3C" w:rsidRPr="00DD49E5">
              <w:rPr>
                <w:rFonts w:asciiTheme="minorHAnsi" w:hAnsiTheme="minorHAnsi" w:cstheme="minorHAnsi"/>
                <w:b/>
                <w:bCs/>
                <w:color w:val="FFFFFF" w:themeColor="background1"/>
                <w:sz w:val="18"/>
                <w:szCs w:val="18"/>
              </w:rPr>
              <w:t>the Committee take up a pro</w:t>
            </w:r>
            <w:r w:rsidR="00485647" w:rsidRPr="00DD49E5">
              <w:rPr>
                <w:rFonts w:asciiTheme="minorHAnsi" w:hAnsiTheme="minorHAnsi" w:cstheme="minorHAnsi"/>
                <w:b/>
                <w:bCs/>
                <w:color w:val="FFFFFF" w:themeColor="background1"/>
                <w:sz w:val="18"/>
                <w:szCs w:val="18"/>
              </w:rPr>
              <w:t>j</w:t>
            </w:r>
            <w:r w:rsidR="003B4A3C" w:rsidRPr="00DD49E5">
              <w:rPr>
                <w:rFonts w:asciiTheme="minorHAnsi" w:hAnsiTheme="minorHAnsi" w:cstheme="minorHAnsi"/>
                <w:b/>
                <w:bCs/>
                <w:color w:val="FFFFFF" w:themeColor="background1"/>
                <w:sz w:val="18"/>
                <w:szCs w:val="18"/>
              </w:rPr>
              <w:t xml:space="preserve">ect to help states develop a simpler and more adaptable approach. The Committee asked the Standing Subcommittee to review the </w:t>
            </w:r>
            <w:r w:rsidR="006E6D2B" w:rsidRPr="00DD49E5">
              <w:rPr>
                <w:rFonts w:asciiTheme="minorHAnsi" w:hAnsiTheme="minorHAnsi" w:cstheme="minorHAnsi"/>
                <w:b/>
                <w:bCs/>
                <w:color w:val="FFFFFF" w:themeColor="background1"/>
                <w:sz w:val="18"/>
                <w:szCs w:val="18"/>
              </w:rPr>
              <w:t xml:space="preserve">project </w:t>
            </w:r>
            <w:r w:rsidR="003B4A3C" w:rsidRPr="00DD49E5">
              <w:rPr>
                <w:rFonts w:asciiTheme="minorHAnsi" w:hAnsiTheme="minorHAnsi" w:cstheme="minorHAnsi"/>
                <w:b/>
                <w:bCs/>
                <w:color w:val="FFFFFF" w:themeColor="background1"/>
                <w:sz w:val="18"/>
                <w:szCs w:val="18"/>
              </w:rPr>
              <w:t>proposal.</w:t>
            </w:r>
          </w:p>
          <w:p w14:paraId="1EFFB602" w14:textId="77777777" w:rsidR="00485647" w:rsidRPr="00DD49E5" w:rsidRDefault="00D03194" w:rsidP="00177770">
            <w:pPr>
              <w:spacing w:after="120"/>
              <w:ind w:left="144" w:right="144"/>
              <w:rPr>
                <w:rFonts w:asciiTheme="minorHAnsi" w:hAnsiTheme="minorHAnsi" w:cstheme="minorHAnsi"/>
                <w:b/>
                <w:bCs/>
                <w:color w:val="FFFFFF" w:themeColor="background1"/>
                <w:sz w:val="18"/>
                <w:szCs w:val="18"/>
              </w:rPr>
            </w:pPr>
            <w:r w:rsidRPr="00DD49E5">
              <w:rPr>
                <w:rFonts w:asciiTheme="minorHAnsi" w:hAnsiTheme="minorHAnsi" w:cstheme="minorHAnsi"/>
                <w:b/>
                <w:bCs/>
                <w:color w:val="FFFFFF" w:themeColor="background1"/>
                <w:sz w:val="18"/>
                <w:szCs w:val="18"/>
              </w:rPr>
              <w:t xml:space="preserve">July 28, 2021 – </w:t>
            </w:r>
          </w:p>
          <w:p w14:paraId="269D2464" w14:textId="4BFC287F" w:rsidR="003B4A3C" w:rsidRPr="00DD49E5" w:rsidRDefault="00485647" w:rsidP="00177770">
            <w:pPr>
              <w:spacing w:after="120"/>
              <w:ind w:left="144" w:right="144"/>
              <w:rPr>
                <w:color w:val="FFFFFF" w:themeColor="background1"/>
                <w:sz w:val="18"/>
                <w:szCs w:val="18"/>
              </w:rPr>
            </w:pPr>
            <w:r w:rsidRPr="00DD49E5">
              <w:rPr>
                <w:rFonts w:asciiTheme="minorHAnsi" w:hAnsiTheme="minorHAnsi" w:cstheme="minorHAnsi"/>
                <w:b/>
                <w:bCs/>
                <w:color w:val="FFFFFF" w:themeColor="background1"/>
                <w:sz w:val="18"/>
                <w:szCs w:val="18"/>
              </w:rPr>
              <w:t>T</w:t>
            </w:r>
            <w:r w:rsidR="00D03194" w:rsidRPr="00DD49E5">
              <w:rPr>
                <w:rFonts w:asciiTheme="minorHAnsi" w:hAnsiTheme="minorHAnsi" w:cstheme="minorHAnsi"/>
                <w:b/>
                <w:bCs/>
                <w:color w:val="FFFFFF" w:themeColor="background1"/>
                <w:sz w:val="18"/>
                <w:szCs w:val="18"/>
              </w:rPr>
              <w:t>he Standing Subcommittee recommended that a work group be formed to draft a white paper. The Uniformity Committee asked MTC staff to first solicit input from stakeholders and prepare a detailed outline of the white paper, identifying issues to be addressed.</w:t>
            </w:r>
            <w:r w:rsidR="00D03194" w:rsidRPr="00DD49E5">
              <w:rPr>
                <w:color w:val="FFFFFF" w:themeColor="background1"/>
                <w:sz w:val="18"/>
                <w:szCs w:val="18"/>
              </w:rPr>
              <w:t xml:space="preserve"> </w:t>
            </w:r>
          </w:p>
        </w:tc>
      </w:tr>
      <w:tr w:rsidR="00F73C91" w14:paraId="54E9431B" w14:textId="77777777" w:rsidTr="2E40B8A7">
        <w:tc>
          <w:tcPr>
            <w:tcW w:w="10170" w:type="dxa"/>
            <w:gridSpan w:val="2"/>
            <w:shd w:val="clear" w:color="auto" w:fill="B40000"/>
          </w:tcPr>
          <w:p w14:paraId="48648FB1" w14:textId="2BFB3657" w:rsidR="00494378" w:rsidRPr="00494378" w:rsidRDefault="00A06A6E" w:rsidP="00494378">
            <w:pPr>
              <w:spacing w:before="240"/>
              <w:jc w:val="center"/>
              <w:rPr>
                <w:rFonts w:asciiTheme="minorHAnsi" w:hAnsiTheme="minorHAnsi" w:cstheme="minorHAnsi"/>
                <w:b/>
                <w:bCs/>
                <w:color w:val="F2DBDB" w:themeColor="accent2" w:themeTint="33"/>
                <w:szCs w:val="18"/>
              </w:rPr>
            </w:pPr>
            <w:r w:rsidRPr="00494378">
              <w:rPr>
                <w:rFonts w:asciiTheme="minorHAnsi" w:hAnsiTheme="minorHAnsi" w:cstheme="minorHAnsi"/>
                <w:b/>
                <w:bCs/>
                <w:color w:val="FFFFFF" w:themeColor="background1"/>
                <w:sz w:val="18"/>
                <w:szCs w:val="16"/>
              </w:rPr>
              <w:t>The project page on the MTC website is here:</w:t>
            </w:r>
            <w:r w:rsidR="00C6291A" w:rsidRPr="00494378">
              <w:rPr>
                <w:sz w:val="24"/>
              </w:rPr>
              <w:t xml:space="preserve"> </w:t>
            </w:r>
            <w:hyperlink r:id="rId12" w:history="1">
              <w:r w:rsidR="00C6291A" w:rsidRPr="00494378">
                <w:rPr>
                  <w:rStyle w:val="Hyperlink"/>
                  <w:rFonts w:asciiTheme="minorHAnsi" w:hAnsiTheme="minorHAnsi" w:cstheme="minorHAnsi"/>
                  <w:b/>
                  <w:bCs/>
                  <w:color w:val="F2DBDB" w:themeColor="accent2" w:themeTint="33"/>
                  <w:sz w:val="18"/>
                  <w:szCs w:val="16"/>
                </w:rPr>
                <w:t>https://www.mtc.gov/Uniformity/Project-Teams/Sales-Tax-on-Digital-Products</w:t>
              </w:r>
            </w:hyperlink>
            <w:r w:rsidR="00C6291A" w:rsidRPr="00494378">
              <w:rPr>
                <w:rFonts w:asciiTheme="minorHAnsi" w:hAnsiTheme="minorHAnsi" w:cstheme="minorHAnsi"/>
                <w:b/>
                <w:bCs/>
                <w:color w:val="FFFFFF" w:themeColor="background1"/>
                <w:sz w:val="18"/>
                <w:szCs w:val="16"/>
              </w:rPr>
              <w:t xml:space="preserve">. </w:t>
            </w:r>
            <w:r w:rsidRPr="00494378">
              <w:rPr>
                <w:rFonts w:asciiTheme="minorHAnsi" w:hAnsiTheme="minorHAnsi" w:cstheme="minorHAnsi"/>
                <w:b/>
                <w:bCs/>
                <w:color w:val="FFFFFF" w:themeColor="background1"/>
                <w:sz w:val="18"/>
                <w:szCs w:val="16"/>
              </w:rPr>
              <w:t xml:space="preserve"> </w:t>
            </w:r>
            <w:r w:rsidR="00C6291A" w:rsidRPr="00494378">
              <w:rPr>
                <w:rFonts w:asciiTheme="minorHAnsi" w:hAnsiTheme="minorHAnsi" w:cstheme="minorHAnsi"/>
                <w:b/>
                <w:bCs/>
                <w:color w:val="FFFFFF" w:themeColor="background1"/>
                <w:sz w:val="18"/>
                <w:szCs w:val="16"/>
              </w:rPr>
              <w:br/>
            </w:r>
            <w:r w:rsidR="00F73C91" w:rsidRPr="00494378">
              <w:rPr>
                <w:rFonts w:asciiTheme="minorHAnsi" w:hAnsiTheme="minorHAnsi" w:cstheme="minorHAnsi"/>
                <w:b/>
                <w:bCs/>
                <w:color w:val="FFFFFF" w:themeColor="background1"/>
                <w:sz w:val="18"/>
                <w:szCs w:val="16"/>
              </w:rPr>
              <w:t xml:space="preserve">For questions or other information on this outline, please contact Helen Hecht, Uniformity Counsel, at </w:t>
            </w:r>
            <w:hyperlink r:id="rId13" w:history="1">
              <w:r w:rsidR="00F73C91" w:rsidRPr="00494378">
                <w:rPr>
                  <w:rStyle w:val="Hyperlink"/>
                  <w:rFonts w:asciiTheme="minorHAnsi" w:hAnsiTheme="minorHAnsi" w:cstheme="minorHAnsi"/>
                  <w:b/>
                  <w:bCs/>
                  <w:color w:val="F2DBDB" w:themeColor="accent2" w:themeTint="33"/>
                  <w:sz w:val="18"/>
                  <w:szCs w:val="16"/>
                </w:rPr>
                <w:t>hhecht@mtc.gov</w:t>
              </w:r>
            </w:hyperlink>
            <w:r w:rsidR="00F73C91" w:rsidRPr="009E126C">
              <w:rPr>
                <w:rFonts w:asciiTheme="minorHAnsi" w:hAnsiTheme="minorHAnsi" w:cstheme="minorHAnsi"/>
                <w:b/>
                <w:bCs/>
                <w:color w:val="F2DBDB" w:themeColor="accent2" w:themeTint="33"/>
                <w:szCs w:val="18"/>
              </w:rPr>
              <w:t>.</w:t>
            </w:r>
          </w:p>
        </w:tc>
      </w:tr>
    </w:tbl>
    <w:p w14:paraId="7F9D5EF2" w14:textId="2C1688AB" w:rsidR="00C8001E" w:rsidRPr="00C8001E" w:rsidRDefault="00572E19" w:rsidP="00B90BA7">
      <w:pPr>
        <w:pStyle w:val="Heading1"/>
        <w:spacing w:before="120"/>
      </w:pPr>
      <w:r>
        <w:br w:type="page"/>
      </w:r>
      <w:r w:rsidR="004B26A5">
        <w:lastRenderedPageBreak/>
        <w:t xml:space="preserve">State Sales Tax – </w:t>
      </w:r>
      <w:r w:rsidR="00C8001E" w:rsidRPr="00C8001E">
        <w:t>Background</w:t>
      </w:r>
      <w:r w:rsidR="009E1162">
        <w:t xml:space="preserve"> and Terminology</w:t>
      </w:r>
    </w:p>
    <w:p w14:paraId="5350568F" w14:textId="06D1D6BD" w:rsidR="00C8001E" w:rsidRDefault="004F05FC" w:rsidP="00C8001E">
      <w:r>
        <w:t xml:space="preserve">State </w:t>
      </w:r>
      <w:r w:rsidR="00C8001E" w:rsidRPr="00C8001E">
        <w:t>sales tax</w:t>
      </w:r>
      <w:r>
        <w:t>es</w:t>
      </w:r>
      <w:r w:rsidR="00C8001E" w:rsidRPr="00C8001E">
        <w:t xml:space="preserve"> share a common history and </w:t>
      </w:r>
      <w:r>
        <w:t xml:space="preserve">there are </w:t>
      </w:r>
      <w:r w:rsidR="00C8001E" w:rsidRPr="00C8001E">
        <w:t>many similarities</w:t>
      </w:r>
      <w:r>
        <w:t xml:space="preserve"> </w:t>
      </w:r>
      <w:r w:rsidR="00D63951">
        <w:t>across</w:t>
      </w:r>
      <w:r>
        <w:t xml:space="preserve"> </w:t>
      </w:r>
      <w:r w:rsidR="00BD3227">
        <w:t xml:space="preserve">state sales </w:t>
      </w:r>
      <w:r w:rsidR="00132CAD">
        <w:t>taxes</w:t>
      </w:r>
      <w:r w:rsidR="0043795A">
        <w:t>.</w:t>
      </w:r>
      <w:r w:rsidR="00C8001E" w:rsidRPr="00C8001E">
        <w:t xml:space="preserve"> </w:t>
      </w:r>
      <w:r w:rsidR="0043795A">
        <w:t>B</w:t>
      </w:r>
      <w:r w:rsidR="00C8001E" w:rsidRPr="00C8001E">
        <w:t>ut there are also important differences worth noting</w:t>
      </w:r>
      <w:r w:rsidR="00C9578C">
        <w:t xml:space="preserve"> </w:t>
      </w:r>
      <w:r w:rsidR="00704A4C">
        <w:t>when reviewing the detailed outline.</w:t>
      </w:r>
    </w:p>
    <w:p w14:paraId="6F9BBE3E" w14:textId="77777777" w:rsidR="00C9578C" w:rsidRPr="00C9578C" w:rsidRDefault="00C9578C" w:rsidP="00494378">
      <w:pPr>
        <w:spacing w:after="120"/>
      </w:pPr>
      <w:r w:rsidRPr="00C9578C">
        <w:t>NOTE on Terminology: The terms used to describe some types of taxes can be confusing. Therefore, this report uses the following terms in the following ways:</w:t>
      </w:r>
    </w:p>
    <w:p w14:paraId="591483E3" w14:textId="65DE8B89" w:rsidR="00DC3DA2" w:rsidRPr="00E155B9" w:rsidRDefault="00DC3DA2" w:rsidP="00494378">
      <w:pPr>
        <w:numPr>
          <w:ilvl w:val="0"/>
          <w:numId w:val="6"/>
        </w:numPr>
        <w:spacing w:after="160"/>
        <w:ind w:left="576" w:hanging="288"/>
      </w:pPr>
      <w:r w:rsidRPr="00E155B9">
        <w:rPr>
          <w:u w:val="single"/>
        </w:rPr>
        <w:t>Digital Products</w:t>
      </w:r>
      <w:r>
        <w:t xml:space="preserve"> </w:t>
      </w:r>
      <w:r w:rsidR="00552FBD">
        <w:t>–</w:t>
      </w:r>
      <w:r>
        <w:t xml:space="preserve"> </w:t>
      </w:r>
      <w:r w:rsidR="00552FBD">
        <w:t>We use this single term to mean dig</w:t>
      </w:r>
      <w:r w:rsidR="00DA19BB">
        <w:t xml:space="preserve">ital </w:t>
      </w:r>
      <w:r w:rsidR="00F31D31">
        <w:t>goods</w:t>
      </w:r>
      <w:r w:rsidR="009E1162">
        <w:t>,</w:t>
      </w:r>
      <w:r w:rsidR="00F31D31">
        <w:t xml:space="preserve"> d</w:t>
      </w:r>
      <w:r w:rsidR="0041308F">
        <w:t>igital</w:t>
      </w:r>
      <w:r w:rsidR="00F31D31">
        <w:t xml:space="preserve"> service</w:t>
      </w:r>
      <w:r w:rsidR="00ED5A24">
        <w:t>s</w:t>
      </w:r>
      <w:r w:rsidR="009E1162">
        <w:t>, or other items</w:t>
      </w:r>
      <w:r w:rsidR="00CA1E7E">
        <w:t>.</w:t>
      </w:r>
    </w:p>
    <w:p w14:paraId="44DE44AA" w14:textId="3B8ADB86" w:rsidR="00C9578C" w:rsidRPr="00C9578C" w:rsidRDefault="00C9578C" w:rsidP="00494378">
      <w:pPr>
        <w:numPr>
          <w:ilvl w:val="0"/>
          <w:numId w:val="6"/>
        </w:numPr>
        <w:spacing w:after="160"/>
        <w:ind w:left="576" w:hanging="288"/>
      </w:pPr>
      <w:r w:rsidRPr="00C9578C">
        <w:rPr>
          <w:u w:val="single"/>
        </w:rPr>
        <w:t>Sales Tax</w:t>
      </w:r>
      <w:r w:rsidRPr="00C9578C">
        <w:t xml:space="preserve"> – Often referred to as the “retail sales tax,” and which will be referred to </w:t>
      </w:r>
      <w:proofErr w:type="spellStart"/>
      <w:r w:rsidRPr="00C9578C">
        <w:t>here</w:t>
      </w:r>
      <w:proofErr w:type="spellEnd"/>
      <w:r w:rsidRPr="00C9578C">
        <w:t xml:space="preserve"> simply as the “sales tax,” these taxes may vary somewhat in the way they are imposed and the breadth of their base. A few are called “gross receipts taxes,” but they should be distinguished from business activity or true gross receipts taxes, as will be further discussed. </w:t>
      </w:r>
    </w:p>
    <w:p w14:paraId="1DFCF637" w14:textId="77777777" w:rsidR="00C9578C" w:rsidRPr="00C9578C" w:rsidRDefault="00C9578C" w:rsidP="00494378">
      <w:pPr>
        <w:numPr>
          <w:ilvl w:val="0"/>
          <w:numId w:val="6"/>
        </w:numPr>
        <w:spacing w:after="160"/>
        <w:ind w:left="576" w:hanging="288"/>
      </w:pPr>
      <w:r w:rsidRPr="00C9578C">
        <w:rPr>
          <w:u w:val="single"/>
        </w:rPr>
        <w:t>Business Activity or True Gross Receipts Taxes</w:t>
      </w:r>
      <w:r w:rsidRPr="00C9578C">
        <w:t xml:space="preserve"> – We refer to taxes on gross receipts or gross income that are distinct from typical sales taxes as “business activity taxes” or “true gross receipts taxes.”</w:t>
      </w:r>
    </w:p>
    <w:p w14:paraId="0C7E6843" w14:textId="09F9C8C0" w:rsidR="00C9578C" w:rsidRDefault="00C9578C" w:rsidP="00494378">
      <w:pPr>
        <w:numPr>
          <w:ilvl w:val="0"/>
          <w:numId w:val="6"/>
        </w:numPr>
        <w:spacing w:after="160"/>
        <w:ind w:left="576" w:hanging="288"/>
      </w:pPr>
      <w:r w:rsidRPr="00C9578C">
        <w:rPr>
          <w:u w:val="single"/>
        </w:rPr>
        <w:t>Excise Tax</w:t>
      </w:r>
      <w:r w:rsidRPr="00C9578C">
        <w:t xml:space="preserve"> - The sales tax can also be distinguished from other narrower excise taxes on specific goods and services which may be imposed by states or by local governments. </w:t>
      </w:r>
    </w:p>
    <w:p w14:paraId="4E971EFA" w14:textId="3EFF0C75" w:rsidR="00C9578C" w:rsidRPr="00C9578C" w:rsidRDefault="00A23362" w:rsidP="00494378">
      <w:pPr>
        <w:numPr>
          <w:ilvl w:val="0"/>
          <w:numId w:val="6"/>
        </w:numPr>
        <w:spacing w:after="160"/>
        <w:ind w:left="576" w:hanging="288"/>
      </w:pPr>
      <w:r>
        <w:rPr>
          <w:u w:val="single"/>
        </w:rPr>
        <w:t>“</w:t>
      </w:r>
      <w:r w:rsidR="00C9578C">
        <w:rPr>
          <w:u w:val="single"/>
        </w:rPr>
        <w:t>Seller</w:t>
      </w:r>
      <w:r>
        <w:rPr>
          <w:u w:val="single"/>
        </w:rPr>
        <w:t>”</w:t>
      </w:r>
      <w:r w:rsidR="009B1EFA">
        <w:rPr>
          <w:u w:val="single"/>
        </w:rPr>
        <w:t xml:space="preserve"> and </w:t>
      </w:r>
      <w:r>
        <w:rPr>
          <w:u w:val="single"/>
        </w:rPr>
        <w:t>“</w:t>
      </w:r>
      <w:r w:rsidR="009B1EFA">
        <w:rPr>
          <w:u w:val="single"/>
        </w:rPr>
        <w:t>Sale</w:t>
      </w:r>
      <w:r>
        <w:rPr>
          <w:u w:val="single"/>
        </w:rPr>
        <w:t>”</w:t>
      </w:r>
      <w:r w:rsidR="00C9578C">
        <w:t xml:space="preserve"> – The sales tax </w:t>
      </w:r>
      <w:r w:rsidR="00663ABB">
        <w:t xml:space="preserve">is typically imposed on </w:t>
      </w:r>
      <w:r w:rsidR="009B1EFA">
        <w:t>customers</w:t>
      </w:r>
      <w:r w:rsidR="00663ABB">
        <w:t xml:space="preserve"> but is collected </w:t>
      </w:r>
      <w:r w:rsidR="00C9578C">
        <w:t xml:space="preserve">by the person or business </w:t>
      </w:r>
      <w:r w:rsidR="00663ABB">
        <w:t>making the transaction</w:t>
      </w:r>
      <w:r w:rsidR="00C9578C">
        <w:t xml:space="preserve">. </w:t>
      </w:r>
      <w:r w:rsidR="00663ABB">
        <w:t>V</w:t>
      </w:r>
      <w:r w:rsidR="00961363">
        <w:t>arious types of transactions may be subject to the tax</w:t>
      </w:r>
      <w:r w:rsidR="00663ABB">
        <w:t>.</w:t>
      </w:r>
      <w:r w:rsidR="00C9578C">
        <w:t xml:space="preserve"> </w:t>
      </w:r>
      <w:r w:rsidR="00961363">
        <w:t xml:space="preserve">We will generally refer to the person or business collecting the tax as the “seller” and the transaction as the “sale.” </w:t>
      </w:r>
    </w:p>
    <w:p w14:paraId="290901D4" w14:textId="3437A580" w:rsidR="00D645DA" w:rsidRPr="00D645DA" w:rsidRDefault="00494378" w:rsidP="00B90BA7">
      <w:pPr>
        <w:pStyle w:val="Heading2"/>
      </w:pPr>
      <w:r w:rsidRPr="00D645DA">
        <w:rPr>
          <w:b w:val="0"/>
          <w:noProof/>
        </w:rPr>
        <mc:AlternateContent>
          <mc:Choice Requires="wpg">
            <w:drawing>
              <wp:anchor distT="0" distB="0" distL="228600" distR="228600" simplePos="0" relativeHeight="251658241" behindDoc="1" locked="0" layoutInCell="1" allowOverlap="1" wp14:anchorId="6D682446" wp14:editId="38D0E9B2">
                <wp:simplePos x="0" y="0"/>
                <wp:positionH relativeFrom="margin">
                  <wp:posOffset>-20955</wp:posOffset>
                </wp:positionH>
                <wp:positionV relativeFrom="margin">
                  <wp:posOffset>4050030</wp:posOffset>
                </wp:positionV>
                <wp:extent cx="1450975" cy="33909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450975" cy="3390900"/>
                          <a:chOff x="0" y="-67065"/>
                          <a:chExt cx="1828801" cy="6656537"/>
                        </a:xfrm>
                        <a:solidFill>
                          <a:srgbClr val="B40000"/>
                        </a:solidFill>
                      </wpg:grpSpPr>
                      <wps:wsp>
                        <wps:cNvPr id="202" name="Rectangle 202"/>
                        <wps:cNvSpPr/>
                        <wps:spPr>
                          <a:xfrm>
                            <a:off x="0" y="-67065"/>
                            <a:ext cx="1828799" cy="394762"/>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314287"/>
                            <a:ext cx="1828801" cy="52751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813962" w14:textId="0E15EB21" w:rsidR="008E627F" w:rsidRPr="007E4918" w:rsidRDefault="008E627F" w:rsidP="00494378">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1932 </w:t>
                              </w:r>
                              <w:r w:rsidR="00494378" w:rsidRPr="007E4918">
                                <w:rPr>
                                  <w:rFonts w:asciiTheme="minorHAnsi" w:hAnsiTheme="minorHAnsi" w:cstheme="minorHAnsi"/>
                                  <w:b/>
                                  <w:bCs/>
                                  <w:color w:val="FFFFFF" w:themeColor="background1"/>
                                  <w:sz w:val="18"/>
                                  <w:szCs w:val="18"/>
                                </w:rPr>
                                <w:t>–</w:t>
                              </w:r>
                              <w:r w:rsidR="00494378" w:rsidRPr="007E4918">
                                <w:rPr>
                                  <w:rFonts w:asciiTheme="minorHAnsi" w:hAnsiTheme="minorHAnsi" w:cstheme="minorHAnsi"/>
                                  <w:b/>
                                  <w:bCs/>
                                  <w:color w:val="FFFFFF" w:themeColor="background1"/>
                                  <w:sz w:val="18"/>
                                  <w:szCs w:val="18"/>
                                </w:rPr>
                                <w:br/>
                              </w:r>
                              <w:r w:rsidRPr="007E4918">
                                <w:rPr>
                                  <w:rFonts w:asciiTheme="minorHAnsi" w:hAnsiTheme="minorHAnsi" w:cstheme="minorHAnsi"/>
                                  <w:b/>
                                  <w:bCs/>
                                  <w:color w:val="FFFFFF" w:themeColor="background1"/>
                                  <w:sz w:val="18"/>
                                  <w:szCs w:val="18"/>
                                </w:rPr>
                                <w:t xml:space="preserve"> Mississippi adopts the first “modern” retail sales tax.</w:t>
                              </w:r>
                            </w:p>
                            <w:p w14:paraId="48BC4E10" w14:textId="77777777" w:rsidR="00586DC7" w:rsidRPr="007E4918" w:rsidRDefault="00586DC7" w:rsidP="008E627F">
                              <w:pPr>
                                <w:jc w:val="center"/>
                                <w:rPr>
                                  <w:rFonts w:asciiTheme="minorHAnsi" w:hAnsiTheme="minorHAnsi" w:cstheme="minorHAnsi"/>
                                  <w:b/>
                                  <w:bCs/>
                                  <w:color w:val="FFFFFF" w:themeColor="background1"/>
                                  <w:sz w:val="18"/>
                                  <w:szCs w:val="18"/>
                                </w:rPr>
                              </w:pPr>
                            </w:p>
                            <w:p w14:paraId="31F0E017" w14:textId="1228F7EF" w:rsidR="00361041" w:rsidRPr="007E4918" w:rsidRDefault="00361041" w:rsidP="008E627F">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The</w:t>
                              </w:r>
                              <w:r w:rsidR="008E627F" w:rsidRPr="007E4918">
                                <w:rPr>
                                  <w:rFonts w:asciiTheme="minorHAnsi" w:hAnsiTheme="minorHAnsi" w:cstheme="minorHAnsi"/>
                                  <w:b/>
                                  <w:bCs/>
                                  <w:color w:val="FFFFFF" w:themeColor="background1"/>
                                  <w:sz w:val="18"/>
                                  <w:szCs w:val="18"/>
                                </w:rPr>
                                <w:t xml:space="preserve"> </w:t>
                              </w:r>
                              <w:r w:rsidRPr="007E4918">
                                <w:rPr>
                                  <w:rFonts w:asciiTheme="minorHAnsi" w:hAnsiTheme="minorHAnsi" w:cstheme="minorHAnsi"/>
                                  <w:b/>
                                  <w:bCs/>
                                  <w:color w:val="FFFFFF" w:themeColor="background1"/>
                                  <w:sz w:val="18"/>
                                  <w:szCs w:val="18"/>
                                </w:rPr>
                                <w:t xml:space="preserve">Great Depression </w:t>
                              </w:r>
                              <w:r w:rsidR="008E627F" w:rsidRPr="007E4918">
                                <w:rPr>
                                  <w:rFonts w:asciiTheme="minorHAnsi" w:hAnsiTheme="minorHAnsi" w:cstheme="minorHAnsi"/>
                                  <w:b/>
                                  <w:bCs/>
                                  <w:color w:val="FFFFFF" w:themeColor="background1"/>
                                  <w:sz w:val="18"/>
                                  <w:szCs w:val="18"/>
                                </w:rPr>
                                <w:t>- S</w:t>
                              </w:r>
                              <w:r w:rsidRPr="007E4918">
                                <w:rPr>
                                  <w:rFonts w:asciiTheme="minorHAnsi" w:hAnsiTheme="minorHAnsi" w:cstheme="minorHAnsi"/>
                                  <w:b/>
                                  <w:bCs/>
                                  <w:color w:val="FFFFFF" w:themeColor="background1"/>
                                  <w:sz w:val="18"/>
                                  <w:szCs w:val="18"/>
                                </w:rPr>
                                <w:t xml:space="preserve">purred </w:t>
                              </w:r>
                              <w:r w:rsidR="008E627F" w:rsidRPr="007E4918">
                                <w:rPr>
                                  <w:rFonts w:asciiTheme="minorHAnsi" w:hAnsiTheme="minorHAnsi" w:cstheme="minorHAnsi"/>
                                  <w:b/>
                                  <w:bCs/>
                                  <w:color w:val="FFFFFF" w:themeColor="background1"/>
                                  <w:sz w:val="18"/>
                                  <w:szCs w:val="18"/>
                                </w:rPr>
                                <w:t xml:space="preserve">other </w:t>
                              </w:r>
                              <w:r w:rsidRPr="007E4918">
                                <w:rPr>
                                  <w:rFonts w:asciiTheme="minorHAnsi" w:hAnsiTheme="minorHAnsi" w:cstheme="minorHAnsi"/>
                                  <w:b/>
                                  <w:bCs/>
                                  <w:color w:val="FFFFFF" w:themeColor="background1"/>
                                  <w:sz w:val="18"/>
                                  <w:szCs w:val="18"/>
                                </w:rPr>
                                <w:t xml:space="preserve">states to </w:t>
                              </w:r>
                              <w:r w:rsidR="008E627F" w:rsidRPr="007E4918">
                                <w:rPr>
                                  <w:rFonts w:asciiTheme="minorHAnsi" w:hAnsiTheme="minorHAnsi" w:cstheme="minorHAnsi"/>
                                  <w:b/>
                                  <w:bCs/>
                                  <w:color w:val="FFFFFF" w:themeColor="background1"/>
                                  <w:sz w:val="18"/>
                                  <w:szCs w:val="18"/>
                                </w:rPr>
                                <w:t>also adopt these</w:t>
                              </w:r>
                              <w:r w:rsidRPr="007E4918">
                                <w:rPr>
                                  <w:rFonts w:asciiTheme="minorHAnsi" w:hAnsiTheme="minorHAnsi" w:cstheme="minorHAnsi"/>
                                  <w:b/>
                                  <w:bCs/>
                                  <w:color w:val="FFFFFF" w:themeColor="background1"/>
                                  <w:sz w:val="18"/>
                                  <w:szCs w:val="18"/>
                                </w:rPr>
                                <w:t xml:space="preserve"> </w:t>
                              </w:r>
                              <w:r w:rsidR="008E627F" w:rsidRPr="007E4918">
                                <w:rPr>
                                  <w:rFonts w:asciiTheme="minorHAnsi" w:hAnsiTheme="minorHAnsi" w:cstheme="minorHAnsi"/>
                                  <w:b/>
                                  <w:bCs/>
                                  <w:color w:val="FFFFFF" w:themeColor="background1"/>
                                  <w:sz w:val="18"/>
                                  <w:szCs w:val="18"/>
                                </w:rPr>
                                <w:t xml:space="preserve">and other </w:t>
                              </w:r>
                              <w:r w:rsidRPr="007E4918">
                                <w:rPr>
                                  <w:rFonts w:asciiTheme="minorHAnsi" w:hAnsiTheme="minorHAnsi" w:cstheme="minorHAnsi"/>
                                  <w:b/>
                                  <w:bCs/>
                                  <w:color w:val="FFFFFF" w:themeColor="background1"/>
                                  <w:sz w:val="18"/>
                                  <w:szCs w:val="18"/>
                                </w:rPr>
                                <w:t>new forms of taxation</w:t>
                              </w:r>
                              <w:r w:rsidR="008E627F" w:rsidRPr="007E4918">
                                <w:rPr>
                                  <w:rFonts w:asciiTheme="minorHAnsi" w:hAnsiTheme="minorHAnsi" w:cstheme="minorHAnsi"/>
                                  <w:b/>
                                  <w:bCs/>
                                  <w:color w:val="FFFFFF" w:themeColor="background1"/>
                                  <w:sz w:val="18"/>
                                  <w:szCs w:val="18"/>
                                </w:rPr>
                                <w:t xml:space="preserve">, </w:t>
                              </w:r>
                              <w:r w:rsidRPr="007E4918">
                                <w:rPr>
                                  <w:rFonts w:asciiTheme="minorHAnsi" w:hAnsiTheme="minorHAnsi" w:cstheme="minorHAnsi"/>
                                  <w:b/>
                                  <w:bCs/>
                                  <w:color w:val="FFFFFF" w:themeColor="background1"/>
                                  <w:sz w:val="18"/>
                                  <w:szCs w:val="18"/>
                                </w:rPr>
                                <w:t xml:space="preserve">including </w:t>
                              </w:r>
                              <w:r w:rsidR="008E627F" w:rsidRPr="007E4918">
                                <w:rPr>
                                  <w:rFonts w:asciiTheme="minorHAnsi" w:hAnsiTheme="minorHAnsi" w:cstheme="minorHAnsi"/>
                                  <w:b/>
                                  <w:bCs/>
                                  <w:color w:val="FFFFFF" w:themeColor="background1"/>
                                  <w:sz w:val="18"/>
                                  <w:szCs w:val="18"/>
                                </w:rPr>
                                <w:t xml:space="preserve">specific </w:t>
                              </w:r>
                              <w:r w:rsidRPr="007E4918">
                                <w:rPr>
                                  <w:rFonts w:asciiTheme="minorHAnsi" w:hAnsiTheme="minorHAnsi" w:cstheme="minorHAnsi"/>
                                  <w:b/>
                                  <w:bCs/>
                                  <w:color w:val="FFFFFF" w:themeColor="background1"/>
                                  <w:sz w:val="18"/>
                                  <w:szCs w:val="18"/>
                                </w:rPr>
                                <w:t>excise taxes.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354014"/>
                            <a:ext cx="1828800" cy="92111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B9FF4" w14:textId="3C31932F" w:rsidR="00D645DA" w:rsidRPr="00C305D3" w:rsidRDefault="00D645DA">
                              <w:pPr>
                                <w:pStyle w:val="NoSpacing"/>
                                <w:jc w:val="center"/>
                                <w:rPr>
                                  <w:rFonts w:eastAsiaTheme="majorEastAsia" w:cstheme="minorHAnsi"/>
                                  <w:b/>
                                  <w:bCs/>
                                  <w:caps/>
                                  <w:color w:val="FFFFFF" w:themeColor="background1"/>
                                  <w:sz w:val="18"/>
                                  <w:szCs w:val="18"/>
                                </w:rPr>
                              </w:pPr>
                              <w:r w:rsidRPr="00C305D3">
                                <w:rPr>
                                  <w:rFonts w:eastAsiaTheme="majorEastAsia" w:cstheme="minorHAnsi"/>
                                  <w:b/>
                                  <w:bCs/>
                                  <w:caps/>
                                  <w:color w:val="FFFFFF" w:themeColor="background1"/>
                                  <w:sz w:val="18"/>
                                  <w:szCs w:val="18"/>
                                </w:rPr>
                                <w:t>NOtable Events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82446" id="Group 201" o:spid="_x0000_s1026" style="position:absolute;left:0;text-align:left;margin-left:-1.65pt;margin-top:318.9pt;width:114.25pt;height:267pt;z-index:-251658239;mso-wrap-distance-left:18pt;mso-wrap-distance-right:18pt;mso-position-horizontal-relative:margin;mso-position-vertical-relative:margin;mso-width-relative:margin;mso-height-relative:margin" coordorigin=",-670" coordsize="18288,6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RzAgQAADoPAAAOAAAAZHJzL2Uyb0RvYy54bWzsV21v2zYQ/j5g/4Hg98aSLPkNUYo0XYIB&#10;WRs0KfqZpqgXTCI5ko6V/fodSVF2PLcLPCwdsPmDzJe74/Hh3cPj+du+a9EjU7oRPMfxWYQR41QU&#10;Da9y/Pnh+s0CI20IL0grOMvxE9P47cWPP5xv5YolohZtwRQCI1yvtjLHtTFyNZloWrOO6DMhGYfJ&#10;UqiOGOiqalIosgXrXTtJomg22QpVSCUo0xpG3/tJfOHslyWj5mNZamZQm2Pwzbivct+1/U4uzsmq&#10;UkTWDR3cICd40ZGGw6KjqffEELRRzZ9MdQ1VQovSnFHRTURZNpS5PcBu4uhgNzdKbKTbS7XaVnKE&#10;CaA9wOlks/TD442S9/JOARJbWQEWrmf30peqs//gJeodZE8jZKw3iMJgnGbRcp5hRGFuOl1Gy2gA&#10;ldaA/E7vzWwezTKPN61/CuqLZLGIYq8+m2WzbDq3MpPd6lq0TXHdtK11RatqfdUq9EjgPN+lEfwG&#10;8T2xybN9bCVElt6Bp/8eePc1kcydiV4BeHcKNUWOkyjBiJMOIvwTxBzhVcuQHXSoOskRY73SAPdX&#10;Ad4HakQZYJovlwPKy3Q+c5b3UJJKmxsmOmQbOVbghItH8nirjQc0iDgcn4Fqk42NsJo+dqrtpvtF&#10;FB7qRTYgTVYwbA/WnUAchsETl7LWiju9veMAFW7X5MKeovfFjsAxBShcyzy1zMq1/BMrAVWIrsQ5&#10;Mlr2ixJKGTfeR12Tgvlh68oYDGFHzhdn0FouYf3R9mAgSD637b0c5K0qc1wyKkffcswrjxpuZcHN&#10;qNw1XKhjBlrY1bCylw8geWgsSmtRPEHMKeGZTEt63cCJ3xJt7ogC6gKSAzo2H+FTtmKbYzG0MKqF&#10;+v3YuJWHpIBZjLZAhTnWv22IYhi1P3NIl2WcppY7XSfN5gl01P7Men+Gb7orAdkJSQ3euaaVN21o&#10;lkp0X4C1L+2qMEU4hbVzTI0KnSvjKRp4n7LLSycGfCmJueX3klrjFlUb0Q/9F6LkEPYGEuaDCClK&#10;VgfR72WtJheXGyPKxqXGDtcBb6ALS4avwhvTY7wxPYE34mmcAktYTQjXY/yaJfMsXjgOfj3mmAeK&#10;eM4cSRj+nzkgVwKl/ZPMYfp1D/Z3wf4dSSR2135gkRgqiATqRE8jSbKYAZGjk3nE/AdZJA0s8mAz&#10;/53oofhID0gEmR4mLHcOYfDNMmSapVHsTByyCZyNLfaWSRzH4cINpWKoMV5YhlRKDjWBvfYR3Faz&#10;aebv1sNqIVzBQzljw9j771pHaocXXNHHC4MXKL52YVD8+peFgU1vV4qOx/vdS4WhbjhSKgwzJ6f4&#10;v6xUcA8OeKC5anN4TNoX4H7flRa7J+/FHwAAAP//AwBQSwMEFAAGAAgAAAAhAG5E3mbhAAAACwEA&#10;AA8AAABkcnMvZG93bnJldi54bWxMj8tqwzAQRfeF/oOYQneJ/CAPXMshhLarUGhSKN1NrIltYknG&#10;Umzn7ztdNcthDveem28m04qBet84qyCeRyDIlk43tlLwdXybrUH4gFZj6ywpuJGHTfH4kGOm3Wg/&#10;aTiESnCI9RkqqEPoMil9WZNBP3cdWf6dXW8w8NlXUvc4crhpZRJFS2mwsdxQY0e7msrL4WoUvI84&#10;btP4ddhfzrvbz3Hx8b2PSannp2n7AiLQFP5h+NNndSjY6eSuVnvRKpilKZMKlumKJzCQJIsExInJ&#10;eBWvQRa5vN9Q/AIAAP//AwBQSwECLQAUAAYACAAAACEAtoM4kv4AAADhAQAAEwAAAAAAAAAAAAAA&#10;AAAAAAAAW0NvbnRlbnRfVHlwZXNdLnhtbFBLAQItABQABgAIAAAAIQA4/SH/1gAAAJQBAAALAAAA&#10;AAAAAAAAAAAAAC8BAABfcmVscy8ucmVsc1BLAQItABQABgAIAAAAIQAserRzAgQAADoPAAAOAAAA&#10;AAAAAAAAAAAAAC4CAABkcnMvZTJvRG9jLnhtbFBLAQItABQABgAIAAAAIQBuRN5m4QAAAAsBAAAP&#10;AAAAAAAAAAAAAAAAAFwGAABkcnMvZG93bnJldi54bWxQSwUGAAAAAAQABADzAAAAagcAAAAA&#10;">
                <v:rect id="Rectangle 202" o:spid="_x0000_s1027" style="position:absolute;top:-670;width:18287;height:3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HLxAAAANwAAAAPAAAAZHJzL2Rvd25yZXYueG1sRI9BawIx&#10;FITvBf9DeIKXotku0spqFLHVeq3rweNj89ysbl7CJtX13zeFQo/DzHzDLFa9bcWNutA4VvAyyUAQ&#10;V043XCs4ltvxDESIyBpbx6TgQQFWy8HTAgvt7vxFt0OsRYJwKFCBidEXUobKkMUwcZ44eWfXWYxJ&#10;drXUHd4T3LYyz7JXabHhtGDQ08ZQdT18WwWfu8fp7XLVz8aesZ5++HLv30ulRsN+PQcRqY//4b/2&#10;XivIsxx+z6QjIJc/AAAA//8DAFBLAQItABQABgAIAAAAIQDb4fbL7gAAAIUBAAATAAAAAAAAAAAA&#10;AAAAAAAAAABbQ29udGVudF9UeXBlc10ueG1sUEsBAi0AFAAGAAgAAAAhAFr0LFu/AAAAFQEAAAsA&#10;AAAAAAAAAAAAAAAAHwEAAF9yZWxzLy5yZWxzUEsBAi0AFAAGAAgAAAAhAENkAcvEAAAA3AAAAA8A&#10;AAAAAAAAAAAAAAAABwIAAGRycy9kb3ducmV2LnhtbFBLBQYAAAAAAwADALcAAAD4AgAAAAA=&#10;" fillcolor="#272727 [2749]" stroked="f" strokeweight="2pt"/>
                <v:rect id="Rectangle 203" o:spid="_x0000_s1028" style="position:absolute;top:13142;width:18288;height:5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ARwwAAANwAAAAPAAAAZHJzL2Rvd25yZXYueG1sRI/disIw&#10;FITvF/YdwhG8WxOrSK1G2ZVVvBL8eYBDc2yLzUlpoq1vb4SFvRxm5htmue5tLR7U+sqxhvFIgSDO&#10;nam40HA5b79SED4gG6wdk4YneVivPj+WmBnX8ZEep1CICGGfoYYyhCaT0uclWfQj1xBH7+paiyHK&#10;tpCmxS7CbS0TpWbSYsVxocSGNiXlt9Pdarin86mSv93PZTOtDz3vn7s8qbQeDvrvBYhAffgP/7X3&#10;RkOiJvA+E4+AXL0AAAD//wMAUEsBAi0AFAAGAAgAAAAhANvh9svuAAAAhQEAABMAAAAAAAAAAAAA&#10;AAAAAAAAAFtDb250ZW50X1R5cGVzXS54bWxQSwECLQAUAAYACAAAACEAWvQsW78AAAAVAQAACwAA&#10;AAAAAAAAAAAAAAAfAQAAX3JlbHMvLnJlbHNQSwECLQAUAAYACAAAACEA53QQEcMAAADcAAAADwAA&#10;AAAAAAAAAAAAAAAHAgAAZHJzL2Rvd25yZXYueG1sUEsFBgAAAAADAAMAtwAAAPcCAAAAAA==&#10;" fillcolor="#404040 [2429]" stroked="f" strokeweight="2pt">
                  <v:textbox inset=",14.4pt,8.64pt,18pt">
                    <w:txbxContent>
                      <w:p w14:paraId="36813962" w14:textId="0E15EB21" w:rsidR="008E627F" w:rsidRPr="007E4918" w:rsidRDefault="008E627F" w:rsidP="00494378">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1932 </w:t>
                        </w:r>
                        <w:r w:rsidR="00494378" w:rsidRPr="007E4918">
                          <w:rPr>
                            <w:rFonts w:asciiTheme="minorHAnsi" w:hAnsiTheme="minorHAnsi" w:cstheme="minorHAnsi"/>
                            <w:b/>
                            <w:bCs/>
                            <w:color w:val="FFFFFF" w:themeColor="background1"/>
                            <w:sz w:val="18"/>
                            <w:szCs w:val="18"/>
                          </w:rPr>
                          <w:t>–</w:t>
                        </w:r>
                        <w:r w:rsidR="00494378" w:rsidRPr="007E4918">
                          <w:rPr>
                            <w:rFonts w:asciiTheme="minorHAnsi" w:hAnsiTheme="minorHAnsi" w:cstheme="minorHAnsi"/>
                            <w:b/>
                            <w:bCs/>
                            <w:color w:val="FFFFFF" w:themeColor="background1"/>
                            <w:sz w:val="18"/>
                            <w:szCs w:val="18"/>
                          </w:rPr>
                          <w:br/>
                        </w:r>
                        <w:r w:rsidRPr="007E4918">
                          <w:rPr>
                            <w:rFonts w:asciiTheme="minorHAnsi" w:hAnsiTheme="minorHAnsi" w:cstheme="minorHAnsi"/>
                            <w:b/>
                            <w:bCs/>
                            <w:color w:val="FFFFFF" w:themeColor="background1"/>
                            <w:sz w:val="18"/>
                            <w:szCs w:val="18"/>
                          </w:rPr>
                          <w:t xml:space="preserve"> Mississippi adopts the first “modern” retail sales tax.</w:t>
                        </w:r>
                      </w:p>
                      <w:p w14:paraId="48BC4E10" w14:textId="77777777" w:rsidR="00586DC7" w:rsidRPr="007E4918" w:rsidRDefault="00586DC7" w:rsidP="008E627F">
                        <w:pPr>
                          <w:jc w:val="center"/>
                          <w:rPr>
                            <w:rFonts w:asciiTheme="minorHAnsi" w:hAnsiTheme="minorHAnsi" w:cstheme="minorHAnsi"/>
                            <w:b/>
                            <w:bCs/>
                            <w:color w:val="FFFFFF" w:themeColor="background1"/>
                            <w:sz w:val="18"/>
                            <w:szCs w:val="18"/>
                          </w:rPr>
                        </w:pPr>
                      </w:p>
                      <w:p w14:paraId="31F0E017" w14:textId="1228F7EF" w:rsidR="00361041" w:rsidRPr="007E4918" w:rsidRDefault="00361041" w:rsidP="008E627F">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The</w:t>
                        </w:r>
                        <w:r w:rsidR="008E627F" w:rsidRPr="007E4918">
                          <w:rPr>
                            <w:rFonts w:asciiTheme="minorHAnsi" w:hAnsiTheme="minorHAnsi" w:cstheme="minorHAnsi"/>
                            <w:b/>
                            <w:bCs/>
                            <w:color w:val="FFFFFF" w:themeColor="background1"/>
                            <w:sz w:val="18"/>
                            <w:szCs w:val="18"/>
                          </w:rPr>
                          <w:t xml:space="preserve"> </w:t>
                        </w:r>
                        <w:r w:rsidRPr="007E4918">
                          <w:rPr>
                            <w:rFonts w:asciiTheme="minorHAnsi" w:hAnsiTheme="minorHAnsi" w:cstheme="minorHAnsi"/>
                            <w:b/>
                            <w:bCs/>
                            <w:color w:val="FFFFFF" w:themeColor="background1"/>
                            <w:sz w:val="18"/>
                            <w:szCs w:val="18"/>
                          </w:rPr>
                          <w:t xml:space="preserve">Great Depression </w:t>
                        </w:r>
                        <w:r w:rsidR="008E627F" w:rsidRPr="007E4918">
                          <w:rPr>
                            <w:rFonts w:asciiTheme="minorHAnsi" w:hAnsiTheme="minorHAnsi" w:cstheme="minorHAnsi"/>
                            <w:b/>
                            <w:bCs/>
                            <w:color w:val="FFFFFF" w:themeColor="background1"/>
                            <w:sz w:val="18"/>
                            <w:szCs w:val="18"/>
                          </w:rPr>
                          <w:t>- S</w:t>
                        </w:r>
                        <w:r w:rsidRPr="007E4918">
                          <w:rPr>
                            <w:rFonts w:asciiTheme="minorHAnsi" w:hAnsiTheme="minorHAnsi" w:cstheme="minorHAnsi"/>
                            <w:b/>
                            <w:bCs/>
                            <w:color w:val="FFFFFF" w:themeColor="background1"/>
                            <w:sz w:val="18"/>
                            <w:szCs w:val="18"/>
                          </w:rPr>
                          <w:t xml:space="preserve">purred </w:t>
                        </w:r>
                        <w:r w:rsidR="008E627F" w:rsidRPr="007E4918">
                          <w:rPr>
                            <w:rFonts w:asciiTheme="minorHAnsi" w:hAnsiTheme="minorHAnsi" w:cstheme="minorHAnsi"/>
                            <w:b/>
                            <w:bCs/>
                            <w:color w:val="FFFFFF" w:themeColor="background1"/>
                            <w:sz w:val="18"/>
                            <w:szCs w:val="18"/>
                          </w:rPr>
                          <w:t xml:space="preserve">other </w:t>
                        </w:r>
                        <w:r w:rsidRPr="007E4918">
                          <w:rPr>
                            <w:rFonts w:asciiTheme="minorHAnsi" w:hAnsiTheme="minorHAnsi" w:cstheme="minorHAnsi"/>
                            <w:b/>
                            <w:bCs/>
                            <w:color w:val="FFFFFF" w:themeColor="background1"/>
                            <w:sz w:val="18"/>
                            <w:szCs w:val="18"/>
                          </w:rPr>
                          <w:t xml:space="preserve">states to </w:t>
                        </w:r>
                        <w:r w:rsidR="008E627F" w:rsidRPr="007E4918">
                          <w:rPr>
                            <w:rFonts w:asciiTheme="minorHAnsi" w:hAnsiTheme="minorHAnsi" w:cstheme="minorHAnsi"/>
                            <w:b/>
                            <w:bCs/>
                            <w:color w:val="FFFFFF" w:themeColor="background1"/>
                            <w:sz w:val="18"/>
                            <w:szCs w:val="18"/>
                          </w:rPr>
                          <w:t>also adopt these</w:t>
                        </w:r>
                        <w:r w:rsidRPr="007E4918">
                          <w:rPr>
                            <w:rFonts w:asciiTheme="minorHAnsi" w:hAnsiTheme="minorHAnsi" w:cstheme="minorHAnsi"/>
                            <w:b/>
                            <w:bCs/>
                            <w:color w:val="FFFFFF" w:themeColor="background1"/>
                            <w:sz w:val="18"/>
                            <w:szCs w:val="18"/>
                          </w:rPr>
                          <w:t xml:space="preserve"> </w:t>
                        </w:r>
                        <w:r w:rsidR="008E627F" w:rsidRPr="007E4918">
                          <w:rPr>
                            <w:rFonts w:asciiTheme="minorHAnsi" w:hAnsiTheme="minorHAnsi" w:cstheme="minorHAnsi"/>
                            <w:b/>
                            <w:bCs/>
                            <w:color w:val="FFFFFF" w:themeColor="background1"/>
                            <w:sz w:val="18"/>
                            <w:szCs w:val="18"/>
                          </w:rPr>
                          <w:t xml:space="preserve">and other </w:t>
                        </w:r>
                        <w:r w:rsidRPr="007E4918">
                          <w:rPr>
                            <w:rFonts w:asciiTheme="minorHAnsi" w:hAnsiTheme="minorHAnsi" w:cstheme="minorHAnsi"/>
                            <w:b/>
                            <w:bCs/>
                            <w:color w:val="FFFFFF" w:themeColor="background1"/>
                            <w:sz w:val="18"/>
                            <w:szCs w:val="18"/>
                          </w:rPr>
                          <w:t>new forms of taxation</w:t>
                        </w:r>
                        <w:r w:rsidR="008E627F" w:rsidRPr="007E4918">
                          <w:rPr>
                            <w:rFonts w:asciiTheme="minorHAnsi" w:hAnsiTheme="minorHAnsi" w:cstheme="minorHAnsi"/>
                            <w:b/>
                            <w:bCs/>
                            <w:color w:val="FFFFFF" w:themeColor="background1"/>
                            <w:sz w:val="18"/>
                            <w:szCs w:val="18"/>
                          </w:rPr>
                          <w:t xml:space="preserve">, </w:t>
                        </w:r>
                        <w:r w:rsidRPr="007E4918">
                          <w:rPr>
                            <w:rFonts w:asciiTheme="minorHAnsi" w:hAnsiTheme="minorHAnsi" w:cstheme="minorHAnsi"/>
                            <w:b/>
                            <w:bCs/>
                            <w:color w:val="FFFFFF" w:themeColor="background1"/>
                            <w:sz w:val="18"/>
                            <w:szCs w:val="18"/>
                          </w:rPr>
                          <w:t xml:space="preserve">including </w:t>
                        </w:r>
                        <w:r w:rsidR="008E627F" w:rsidRPr="007E4918">
                          <w:rPr>
                            <w:rFonts w:asciiTheme="minorHAnsi" w:hAnsiTheme="minorHAnsi" w:cstheme="minorHAnsi"/>
                            <w:b/>
                            <w:bCs/>
                            <w:color w:val="FFFFFF" w:themeColor="background1"/>
                            <w:sz w:val="18"/>
                            <w:szCs w:val="18"/>
                          </w:rPr>
                          <w:t xml:space="preserve">specific </w:t>
                        </w:r>
                        <w:r w:rsidRPr="007E4918">
                          <w:rPr>
                            <w:rFonts w:asciiTheme="minorHAnsi" w:hAnsiTheme="minorHAnsi" w:cstheme="minorHAnsi"/>
                            <w:b/>
                            <w:bCs/>
                            <w:color w:val="FFFFFF" w:themeColor="background1"/>
                            <w:sz w:val="18"/>
                            <w:szCs w:val="18"/>
                          </w:rPr>
                          <w:t>excise taxes.</w:t>
                        </w:r>
                      </w:p>
                    </w:txbxContent>
                  </v:textbox>
                </v:rect>
                <v:shapetype id="_x0000_t202" coordsize="21600,21600" o:spt="202" path="m,l,21600r21600,l21600,xe">
                  <v:stroke joinstyle="miter"/>
                  <v:path gradientshapeok="t" o:connecttype="rect"/>
                </v:shapetype>
                <v:shape id="Text Box 204" o:spid="_x0000_s1029" type="#_x0000_t202" style="position:absolute;top:3540;width:18288;height:9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OxgAAANwAAAAPAAAAZHJzL2Rvd25yZXYueG1sRI9La8Mw&#10;EITvhfwHsYHcGikP2uJECcbk0UsLTQu5LtbGNrFWjqXEzr+PCoUeh5n5hlmue1uLG7W+cqxhMlYg&#10;iHNnKi40/Hxvn99A+IBssHZMGu7kYb0aPC0xMa7jL7odQiEihH2CGsoQmkRKn5dk0Y9dQxy9k2st&#10;hijbQpoWuwi3tZwq9SItVhwXSmwoKyk/H65WQzbfXLb73Ud6fe06N5OZ+jymZ61Hwz5dgAjUh//w&#10;X/vdaJiqOfyeiUdArh4AAAD//wMAUEsBAi0AFAAGAAgAAAAhANvh9svuAAAAhQEAABMAAAAAAAAA&#10;AAAAAAAAAAAAAFtDb250ZW50X1R5cGVzXS54bWxQSwECLQAUAAYACAAAACEAWvQsW78AAAAVAQAA&#10;CwAAAAAAAAAAAAAAAAAfAQAAX3JlbHMvLnJlbHNQSwECLQAUAAYACAAAACEAP5HSzsYAAADcAAAA&#10;DwAAAAAAAAAAAAAAAAAHAgAAZHJzL2Rvd25yZXYueG1sUEsFBgAAAAADAAMAtwAAAPoCAAAAAA==&#10;" filled="f" stroked="f" strokeweight=".5pt">
                  <v:textbox inset=",7.2pt,,7.2pt">
                    <w:txbxContent>
                      <w:p w14:paraId="13DB9FF4" w14:textId="3C31932F" w:rsidR="00D645DA" w:rsidRPr="00C305D3" w:rsidRDefault="00D645DA">
                        <w:pPr>
                          <w:pStyle w:val="NoSpacing"/>
                          <w:jc w:val="center"/>
                          <w:rPr>
                            <w:rFonts w:eastAsiaTheme="majorEastAsia" w:cstheme="minorHAnsi"/>
                            <w:b/>
                            <w:bCs/>
                            <w:caps/>
                            <w:color w:val="FFFFFF" w:themeColor="background1"/>
                            <w:sz w:val="18"/>
                            <w:szCs w:val="18"/>
                          </w:rPr>
                        </w:pPr>
                        <w:r w:rsidRPr="00C305D3">
                          <w:rPr>
                            <w:rFonts w:eastAsiaTheme="majorEastAsia" w:cstheme="minorHAnsi"/>
                            <w:b/>
                            <w:bCs/>
                            <w:caps/>
                            <w:color w:val="FFFFFF" w:themeColor="background1"/>
                            <w:sz w:val="18"/>
                            <w:szCs w:val="18"/>
                          </w:rPr>
                          <w:t>NOtable Events</w:t>
                        </w:r>
                      </w:p>
                    </w:txbxContent>
                  </v:textbox>
                </v:shape>
                <w10:wrap type="square" anchorx="margin" anchory="margin"/>
              </v:group>
            </w:pict>
          </mc:Fallback>
        </mc:AlternateContent>
      </w:r>
      <w:r w:rsidR="00D645DA" w:rsidRPr="00D645DA">
        <w:t>Sales Tax</w:t>
      </w:r>
      <w:r w:rsidR="000B51A7">
        <w:t xml:space="preserve"> – A Brief History</w:t>
      </w:r>
    </w:p>
    <w:p w14:paraId="5997D7E3" w14:textId="2C57828A" w:rsidR="00D645DA" w:rsidRPr="00D645DA" w:rsidRDefault="00D645DA" w:rsidP="00D645DA">
      <w:r w:rsidRPr="00D645DA">
        <w:t xml:space="preserve">The history of the </w:t>
      </w:r>
      <w:r w:rsidR="00663ABB">
        <w:t xml:space="preserve">sales </w:t>
      </w:r>
      <w:r w:rsidRPr="00D645DA">
        <w:t>tax has influenced its development</w:t>
      </w:r>
      <w:r w:rsidR="00663ABB">
        <w:t xml:space="preserve"> and particular events</w:t>
      </w:r>
      <w:r w:rsidRPr="00D645DA">
        <w:t xml:space="preserve"> may have stifled the expansion of the tax base as the economy has changed.</w:t>
      </w:r>
    </w:p>
    <w:p w14:paraId="3142104F" w14:textId="081496AA" w:rsidR="003E319F" w:rsidRPr="00D645DA" w:rsidRDefault="003E319F" w:rsidP="002428FE">
      <w:pPr>
        <w:pStyle w:val="Heading3"/>
      </w:pPr>
      <w:r w:rsidRPr="00D645DA">
        <w:t xml:space="preserve">Early </w:t>
      </w:r>
      <w:r w:rsidRPr="002428FE">
        <w:t>Years</w:t>
      </w:r>
    </w:p>
    <w:p w14:paraId="6108B529" w14:textId="445F609B" w:rsidR="004A6B7C" w:rsidRDefault="003E319F" w:rsidP="00D645DA">
      <w:r w:rsidRPr="00D645DA">
        <w:t xml:space="preserve">Most states adopted their sales tax in the 1930s and </w:t>
      </w:r>
      <w:r w:rsidR="00663ABB">
        <w:t>‘</w:t>
      </w:r>
      <w:r w:rsidR="00486677">
        <w:t>4</w:t>
      </w:r>
      <w:r w:rsidRPr="00D645DA">
        <w:t xml:space="preserve">0s. </w:t>
      </w:r>
      <w:r w:rsidR="00AD36EE" w:rsidRPr="00D645DA">
        <w:t xml:space="preserve">Mississippi </w:t>
      </w:r>
      <w:r w:rsidR="00AD36EE">
        <w:t xml:space="preserve">was the first, converting </w:t>
      </w:r>
      <w:r w:rsidR="00AD36EE" w:rsidRPr="00D645DA">
        <w:t xml:space="preserve">its </w:t>
      </w:r>
      <w:r w:rsidR="004A6B7C">
        <w:t>true</w:t>
      </w:r>
      <w:r w:rsidR="00AD36EE">
        <w:t xml:space="preserve"> gross receipts</w:t>
      </w:r>
      <w:r w:rsidR="00AD36EE" w:rsidRPr="00D645DA">
        <w:t xml:space="preserve"> </w:t>
      </w:r>
      <w:r w:rsidR="00D5092C">
        <w:t xml:space="preserve">tax </w:t>
      </w:r>
      <w:r w:rsidR="00AD36EE" w:rsidRPr="00D645DA">
        <w:t>into a tax with features of a modern retail sales tax in 1932</w:t>
      </w:r>
      <w:r w:rsidR="00AD36EE">
        <w:t>.</w:t>
      </w:r>
      <w:r w:rsidR="00AD36EE" w:rsidRPr="00D645DA">
        <w:t xml:space="preserve"> West Virginia </w:t>
      </w:r>
      <w:r w:rsidR="004A6B7C">
        <w:t xml:space="preserve">was next, enacting </w:t>
      </w:r>
      <w:r w:rsidR="00AD36EE" w:rsidRPr="00D645DA">
        <w:t>a freestanding retail sales tax in 1933</w:t>
      </w:r>
      <w:r w:rsidR="004A6B7C">
        <w:t xml:space="preserve"> and </w:t>
      </w:r>
      <w:r w:rsidR="00AD36EE" w:rsidRPr="00D645DA">
        <w:t>also a pure gross receipts tax, the business and occupation tax.</w:t>
      </w:r>
      <w:r w:rsidR="00AD36EE" w:rsidRPr="00685851">
        <w:rPr>
          <w:rStyle w:val="FootnoteReference"/>
        </w:rPr>
        <w:footnoteReference w:id="2"/>
      </w:r>
      <w:r w:rsidR="00AD36EE">
        <w:t xml:space="preserve"> </w:t>
      </w:r>
      <w:r w:rsidR="0043795A">
        <w:t>The s</w:t>
      </w:r>
      <w:r w:rsidR="00AD36EE">
        <w:t>tates with broad based sales taxes—Hawaii, New Mexico, South Dakota</w:t>
      </w:r>
      <w:r w:rsidR="00961363">
        <w:t>, and Washington</w:t>
      </w:r>
      <w:r w:rsidR="00AD36EE">
        <w:t>—</w:t>
      </w:r>
      <w:r w:rsidR="00586DC7">
        <w:t xml:space="preserve">also </w:t>
      </w:r>
      <w:r w:rsidR="00AD36EE">
        <w:t xml:space="preserve">enacted those taxes in the 1930s. </w:t>
      </w:r>
      <w:r w:rsidR="0075320E">
        <w:t xml:space="preserve">The latest state to adopt </w:t>
      </w:r>
      <w:r w:rsidRPr="00D645DA">
        <w:t xml:space="preserve">a sales tax </w:t>
      </w:r>
      <w:r w:rsidR="0075320E">
        <w:t xml:space="preserve">was Vermont </w:t>
      </w:r>
      <w:r w:rsidRPr="00D645DA">
        <w:t>in 1969.</w:t>
      </w:r>
      <w:r w:rsidRPr="00685851">
        <w:rPr>
          <w:rStyle w:val="FootnoteReference"/>
        </w:rPr>
        <w:footnoteReference w:id="3"/>
      </w:r>
      <w:r w:rsidRPr="00D645DA">
        <w:t xml:space="preserve"> </w:t>
      </w:r>
    </w:p>
    <w:p w14:paraId="4E786F4E" w14:textId="73479CD2" w:rsidR="00D645DA" w:rsidRPr="00D645DA" w:rsidRDefault="00586DC7" w:rsidP="00D645DA">
      <w:pPr>
        <w:spacing w:after="280"/>
      </w:pPr>
      <w:r>
        <w:t>In general, the 20</w:t>
      </w:r>
      <w:r w:rsidRPr="00586DC7">
        <w:rPr>
          <w:vertAlign w:val="superscript"/>
        </w:rPr>
        <w:t>th</w:t>
      </w:r>
      <w:r>
        <w:t xml:space="preserve"> Century saw a trend away from </w:t>
      </w:r>
      <w:r w:rsidR="0075320E">
        <w:t xml:space="preserve">early forms of </w:t>
      </w:r>
      <w:r>
        <w:t xml:space="preserve">true gross receipts taxes </w:t>
      </w:r>
      <w:r w:rsidR="0075320E">
        <w:t xml:space="preserve">and </w:t>
      </w:r>
      <w:r>
        <w:t>toward the sales tax. Most of these sales taxes</w:t>
      </w:r>
      <w:r w:rsidR="003E319F" w:rsidRPr="00D645DA">
        <w:t xml:space="preserve"> defined their base to include only sales or transactions involving tangible personal property</w:t>
      </w:r>
      <w:r w:rsidR="0043795A">
        <w:t>.</w:t>
      </w:r>
      <w:r w:rsidR="00923C65">
        <w:t xml:space="preserve"> </w:t>
      </w:r>
      <w:r w:rsidR="0043795A">
        <w:t>T</w:t>
      </w:r>
      <w:r w:rsidR="00923C65">
        <w:t xml:space="preserve">o the extent </w:t>
      </w:r>
      <w:r w:rsidR="0075320E">
        <w:t xml:space="preserve">taxes included </w:t>
      </w:r>
      <w:r w:rsidR="003E319F" w:rsidRPr="00D645DA">
        <w:t xml:space="preserve">other items, they </w:t>
      </w:r>
      <w:r w:rsidR="0075320E">
        <w:t xml:space="preserve">typically </w:t>
      </w:r>
      <w:r w:rsidR="003E319F" w:rsidRPr="00D645DA">
        <w:t>did so by describing and defining, or “</w:t>
      </w:r>
      <w:r w:rsidR="00923C65">
        <w:t xml:space="preserve">specifically </w:t>
      </w:r>
      <w:r w:rsidR="003E319F" w:rsidRPr="00D645DA">
        <w:t xml:space="preserve">enumerating,” those items. </w:t>
      </w:r>
      <w:r>
        <w:t>And, o</w:t>
      </w:r>
      <w:r w:rsidR="003E319F" w:rsidRPr="00D645DA">
        <w:t xml:space="preserve">ver the years, states have generally followed this same specific enumeration approach when expanding their sales tax base, with two exceptions. Florida and Massachusetts attempted to expand their tax to services </w:t>
      </w:r>
      <w:r w:rsidR="0075320E">
        <w:t>broadly</w:t>
      </w:r>
      <w:r w:rsidR="003E319F" w:rsidRPr="00D645DA">
        <w:t xml:space="preserve">, but </w:t>
      </w:r>
      <w:r w:rsidR="00923C65">
        <w:t xml:space="preserve">each </w:t>
      </w:r>
      <w:r w:rsidR="003E319F" w:rsidRPr="00D645DA">
        <w:t>soon repealed that expansion.</w:t>
      </w:r>
      <w:r w:rsidR="003E319F" w:rsidRPr="00685851">
        <w:rPr>
          <w:rStyle w:val="FootnoteReference"/>
        </w:rPr>
        <w:footnoteReference w:id="4"/>
      </w:r>
      <w:r w:rsidR="00D645DA" w:rsidRPr="00D645DA">
        <w:t xml:space="preserve"> </w:t>
      </w:r>
    </w:p>
    <w:p w14:paraId="6F0A385F" w14:textId="00835E17" w:rsidR="003E319F" w:rsidRPr="00D645DA" w:rsidRDefault="008E627F" w:rsidP="00C3746D">
      <w:pPr>
        <w:pStyle w:val="Heading3"/>
      </w:pPr>
      <w:r>
        <w:br w:type="page"/>
      </w:r>
      <w:r w:rsidR="000C2FDE" w:rsidRPr="00D645DA">
        <w:rPr>
          <w:b/>
          <w:noProof/>
        </w:rPr>
        <w:lastRenderedPageBreak/>
        <mc:AlternateContent>
          <mc:Choice Requires="wpg">
            <w:drawing>
              <wp:anchor distT="0" distB="0" distL="228600" distR="228600" simplePos="0" relativeHeight="251658242" behindDoc="1" locked="0" layoutInCell="1" allowOverlap="1" wp14:anchorId="4E1834C6" wp14:editId="5077E5EA">
                <wp:simplePos x="0" y="0"/>
                <wp:positionH relativeFrom="margin">
                  <wp:align>left</wp:align>
                </wp:positionH>
                <wp:positionV relativeFrom="margin">
                  <wp:posOffset>11430</wp:posOffset>
                </wp:positionV>
                <wp:extent cx="1657350" cy="625411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1657350" cy="6254115"/>
                          <a:chOff x="0" y="-51382"/>
                          <a:chExt cx="1828800" cy="8184213"/>
                        </a:xfrm>
                        <a:solidFill>
                          <a:srgbClr val="B40000"/>
                        </a:solidFill>
                      </wpg:grpSpPr>
                      <wps:wsp>
                        <wps:cNvPr id="4" name="Rectangle 4"/>
                        <wps:cNvSpPr/>
                        <wps:spPr>
                          <a:xfrm>
                            <a:off x="0" y="-51382"/>
                            <a:ext cx="1828800" cy="279983"/>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909072"/>
                            <a:ext cx="1828800" cy="7223759"/>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CBA71" w14:textId="7F695FC4" w:rsidR="001C471E" w:rsidRPr="007E4918" w:rsidRDefault="001C471E" w:rsidP="00CC7AB2">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1960s – The Willis Committee expands its study to sales taxes and recommends federal law</w:t>
                              </w:r>
                              <w:r w:rsidR="00042096" w:rsidRPr="007E4918">
                                <w:rPr>
                                  <w:rFonts w:asciiTheme="minorHAnsi" w:hAnsiTheme="minorHAnsi" w:cstheme="minorHAnsi"/>
                                  <w:b/>
                                  <w:bCs/>
                                  <w:color w:val="FFFFFF" w:themeColor="background1"/>
                                  <w:sz w:val="18"/>
                                  <w:szCs w:val="18"/>
                                </w:rPr>
                                <w:t>—states respond.</w:t>
                              </w:r>
                            </w:p>
                            <w:p w14:paraId="74D461C4" w14:textId="77777777" w:rsidR="001C471E" w:rsidRPr="007E4918" w:rsidRDefault="001C471E" w:rsidP="00CC7AB2">
                              <w:pPr>
                                <w:jc w:val="center"/>
                                <w:rPr>
                                  <w:rFonts w:asciiTheme="minorHAnsi" w:hAnsiTheme="minorHAnsi" w:cstheme="minorHAnsi"/>
                                  <w:b/>
                                  <w:bCs/>
                                  <w:color w:val="FFFFFF" w:themeColor="background1"/>
                                  <w:sz w:val="18"/>
                                  <w:szCs w:val="18"/>
                                </w:rPr>
                              </w:pPr>
                            </w:p>
                            <w:p w14:paraId="37B189FC" w14:textId="5DD94FB9" w:rsidR="000C2FDE" w:rsidRPr="007E4918" w:rsidRDefault="000C2FDE" w:rsidP="00CC7AB2">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1967 – The U.S. Supreme Court ruled in </w:t>
                              </w:r>
                              <w:r w:rsidRPr="007E4918">
                                <w:rPr>
                                  <w:rFonts w:asciiTheme="minorHAnsi" w:hAnsiTheme="minorHAnsi" w:cstheme="minorHAnsi"/>
                                  <w:b/>
                                  <w:bCs/>
                                  <w:i/>
                                  <w:iCs/>
                                  <w:color w:val="FFFFFF" w:themeColor="background1"/>
                                  <w:sz w:val="18"/>
                                  <w:szCs w:val="18"/>
                                </w:rPr>
                                <w:t xml:space="preserve">National </w:t>
                              </w:r>
                              <w:proofErr w:type="spellStart"/>
                              <w:r w:rsidRPr="007E4918">
                                <w:rPr>
                                  <w:rFonts w:asciiTheme="minorHAnsi" w:hAnsiTheme="minorHAnsi" w:cstheme="minorHAnsi"/>
                                  <w:b/>
                                  <w:bCs/>
                                  <w:i/>
                                  <w:iCs/>
                                  <w:color w:val="FFFFFF" w:themeColor="background1"/>
                                  <w:sz w:val="18"/>
                                  <w:szCs w:val="18"/>
                                </w:rPr>
                                <w:t>Bellas</w:t>
                              </w:r>
                              <w:proofErr w:type="spellEnd"/>
                              <w:r w:rsidRPr="007E4918">
                                <w:rPr>
                                  <w:rFonts w:asciiTheme="minorHAnsi" w:hAnsiTheme="minorHAnsi" w:cstheme="minorHAnsi"/>
                                  <w:b/>
                                  <w:bCs/>
                                  <w:i/>
                                  <w:iCs/>
                                  <w:color w:val="FFFFFF" w:themeColor="background1"/>
                                  <w:sz w:val="18"/>
                                  <w:szCs w:val="18"/>
                                </w:rPr>
                                <w:t xml:space="preserve"> Hess v. Department of Revenue</w:t>
                              </w:r>
                              <w:r w:rsidRPr="007E4918">
                                <w:rPr>
                                  <w:rFonts w:asciiTheme="minorHAnsi" w:hAnsiTheme="minorHAnsi" w:cstheme="minorHAnsi"/>
                                  <w:b/>
                                  <w:bCs/>
                                  <w:color w:val="FFFFFF" w:themeColor="background1"/>
                                  <w:sz w:val="18"/>
                                  <w:szCs w:val="18"/>
                                </w:rPr>
                                <w:t>, 386 U.S. 753 (1967).</w:t>
                              </w:r>
                            </w:p>
                            <w:p w14:paraId="47A4B492" w14:textId="77777777" w:rsidR="00777BD1" w:rsidRPr="007E4918" w:rsidRDefault="00777BD1" w:rsidP="00CC7AB2">
                              <w:pPr>
                                <w:jc w:val="center"/>
                                <w:rPr>
                                  <w:rFonts w:asciiTheme="minorHAnsi" w:hAnsiTheme="minorHAnsi" w:cstheme="minorHAnsi"/>
                                  <w:b/>
                                  <w:bCs/>
                                  <w:color w:val="FFFFFF" w:themeColor="background1"/>
                                  <w:sz w:val="18"/>
                                  <w:szCs w:val="18"/>
                                </w:rPr>
                              </w:pPr>
                            </w:p>
                            <w:p w14:paraId="0B0C1F06" w14:textId="2F674416" w:rsidR="00CC7AB2" w:rsidRPr="007E4918" w:rsidRDefault="00CC7AB2" w:rsidP="00CC7AB2">
                              <w:pPr>
                                <w:jc w:val="center"/>
                                <w:rPr>
                                  <w:rFonts w:asciiTheme="minorHAnsi" w:hAnsiTheme="minorHAnsi" w:cstheme="minorHAnsi"/>
                                  <w:b/>
                                  <w:bCs/>
                                  <w:i/>
                                  <w:iCs/>
                                  <w:color w:val="FFFFFF" w:themeColor="background1"/>
                                  <w:sz w:val="18"/>
                                  <w:szCs w:val="18"/>
                                </w:rPr>
                              </w:pPr>
                              <w:r w:rsidRPr="007E4918">
                                <w:rPr>
                                  <w:rFonts w:asciiTheme="minorHAnsi" w:hAnsiTheme="minorHAnsi" w:cstheme="minorHAnsi"/>
                                  <w:b/>
                                  <w:bCs/>
                                  <w:color w:val="FFFFFF" w:themeColor="background1"/>
                                  <w:sz w:val="18"/>
                                  <w:szCs w:val="18"/>
                                </w:rPr>
                                <w:t xml:space="preserve">Also in the 1960s, states began </w:t>
                              </w:r>
                              <w:r w:rsidR="00777BD1" w:rsidRPr="007E4918">
                                <w:rPr>
                                  <w:rFonts w:asciiTheme="minorHAnsi" w:hAnsiTheme="minorHAnsi" w:cstheme="minorHAnsi"/>
                                  <w:b/>
                                  <w:bCs/>
                                  <w:color w:val="FFFFFF" w:themeColor="background1"/>
                                  <w:sz w:val="18"/>
                                  <w:szCs w:val="18"/>
                                </w:rPr>
                                <w:t xml:space="preserve">to provide credits for sales taxes paid to other states and clarify acceptance of exemption certificates. </w:t>
                              </w:r>
                            </w:p>
                            <w:p w14:paraId="31075294" w14:textId="14B02600" w:rsidR="000C2FDE" w:rsidRPr="007E4918" w:rsidRDefault="000C2FDE" w:rsidP="000C2FDE">
                              <w:pPr>
                                <w:jc w:val="center"/>
                                <w:rPr>
                                  <w:rFonts w:asciiTheme="minorHAnsi" w:hAnsiTheme="minorHAnsi" w:cstheme="minorHAnsi"/>
                                  <w:b/>
                                  <w:bCs/>
                                  <w:color w:val="FFFFFF" w:themeColor="background1"/>
                                  <w:sz w:val="18"/>
                                  <w:szCs w:val="18"/>
                                </w:rPr>
                              </w:pPr>
                            </w:p>
                            <w:p w14:paraId="7812DF07" w14:textId="4708A66A" w:rsidR="000C2FDE" w:rsidRDefault="000C2FDE" w:rsidP="000C2FDE">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1992 – The U.S. Supreme Court ruled in </w:t>
                              </w:r>
                              <w:r w:rsidRPr="007E4918">
                                <w:rPr>
                                  <w:rFonts w:asciiTheme="minorHAnsi" w:hAnsiTheme="minorHAnsi" w:cstheme="minorHAnsi"/>
                                  <w:b/>
                                  <w:bCs/>
                                  <w:i/>
                                  <w:iCs/>
                                  <w:color w:val="FFFFFF" w:themeColor="background1"/>
                                  <w:sz w:val="18"/>
                                  <w:szCs w:val="18"/>
                                </w:rPr>
                                <w:t>Quill Corp. v. North Dakota</w:t>
                              </w:r>
                              <w:r w:rsidRPr="007E4918">
                                <w:rPr>
                                  <w:rFonts w:asciiTheme="minorHAnsi" w:hAnsiTheme="minorHAnsi" w:cstheme="minorHAnsi"/>
                                  <w:b/>
                                  <w:bCs/>
                                  <w:color w:val="FFFFFF" w:themeColor="background1"/>
                                  <w:sz w:val="18"/>
                                  <w:szCs w:val="18"/>
                                </w:rPr>
                                <w:t xml:space="preserve"> (91-0194), 504 U.S. 298 (1992).</w:t>
                              </w:r>
                            </w:p>
                            <w:p w14:paraId="31E4FB96" w14:textId="3894837B" w:rsidR="00B67FD2" w:rsidRDefault="00B67FD2" w:rsidP="000C2FDE">
                              <w:pPr>
                                <w:jc w:val="center"/>
                                <w:rPr>
                                  <w:rFonts w:asciiTheme="minorHAnsi" w:hAnsiTheme="minorHAnsi" w:cstheme="minorHAnsi"/>
                                  <w:b/>
                                  <w:bCs/>
                                  <w:color w:val="FFFFFF" w:themeColor="background1"/>
                                  <w:sz w:val="18"/>
                                  <w:szCs w:val="18"/>
                                </w:rPr>
                              </w:pPr>
                            </w:p>
                            <w:p w14:paraId="38DE7C82" w14:textId="77777777" w:rsidR="00B67FD2" w:rsidRPr="00B62A64" w:rsidRDefault="00B67FD2" w:rsidP="00B67FD2">
                              <w:pPr>
                                <w:jc w:val="center"/>
                                <w:rPr>
                                  <w:rFonts w:asciiTheme="minorHAnsi" w:hAnsiTheme="minorHAnsi" w:cstheme="minorHAnsi"/>
                                  <w:b/>
                                  <w:bCs/>
                                  <w:sz w:val="18"/>
                                  <w:szCs w:val="18"/>
                                </w:rPr>
                              </w:pPr>
                              <w:r w:rsidRPr="00B62A64">
                                <w:rPr>
                                  <w:rFonts w:asciiTheme="minorHAnsi" w:hAnsiTheme="minorHAnsi" w:cstheme="minorHAnsi"/>
                                  <w:b/>
                                  <w:bCs/>
                                  <w:sz w:val="18"/>
                                  <w:szCs w:val="18"/>
                                </w:rPr>
                                <w:t>1998 – Congress enacted the Internet Tax Freedom Act – 47 U.S.C § 151 note.</w:t>
                              </w:r>
                            </w:p>
                            <w:p w14:paraId="3484E54B" w14:textId="77777777" w:rsidR="00B67FD2" w:rsidRPr="007E4918" w:rsidRDefault="00B67FD2" w:rsidP="000C2FDE">
                              <w:pPr>
                                <w:jc w:val="center"/>
                                <w:rPr>
                                  <w:sz w:val="18"/>
                                  <w:szCs w:val="18"/>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Text Box 6"/>
                        <wps:cNvSpPr txBox="1"/>
                        <wps:spPr>
                          <a:xfrm>
                            <a:off x="0" y="249576"/>
                            <a:ext cx="1828800" cy="64596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FFF20" w14:textId="77777777" w:rsidR="000C2FDE" w:rsidRPr="00C305D3" w:rsidRDefault="000C2FDE" w:rsidP="000C2FDE">
                              <w:pPr>
                                <w:pStyle w:val="NoSpacing"/>
                                <w:jc w:val="center"/>
                                <w:rPr>
                                  <w:rFonts w:eastAsiaTheme="majorEastAsia" w:cstheme="minorHAnsi"/>
                                  <w:b/>
                                  <w:bCs/>
                                  <w:caps/>
                                  <w:color w:val="FFFFFF" w:themeColor="background1"/>
                                  <w:sz w:val="18"/>
                                  <w:szCs w:val="18"/>
                                </w:rPr>
                              </w:pPr>
                              <w:r w:rsidRPr="00C305D3">
                                <w:rPr>
                                  <w:rFonts w:eastAsiaTheme="majorEastAsia" w:cstheme="minorHAnsi"/>
                                  <w:b/>
                                  <w:bCs/>
                                  <w:caps/>
                                  <w:color w:val="FFFFFF" w:themeColor="background1"/>
                                  <w:sz w:val="18"/>
                                  <w:szCs w:val="18"/>
                                </w:rPr>
                                <w:t>NOtable Events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834C6" id="Group 3" o:spid="_x0000_s1030" style="position:absolute;left:0;text-align:left;margin-left:0;margin-top:.9pt;width:130.5pt;height:492.45pt;z-index:-251658238;mso-wrap-distance-left:18pt;mso-wrap-distance-right:18pt;mso-position-horizontal:left;mso-position-horizontal-relative:margin;mso-position-vertical-relative:margin;mso-width-relative:margin;mso-height-relative:margin" coordorigin=",-513" coordsize="18288,8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ys+gMAADQPAAAOAAAAZHJzL2Uyb0RvYy54bWzsV9tu3DYQfS/QfyD0Hq8k6w7LgePURgE3&#10;MWIXeeZSlFaoRLIk1yvn6zukRO0l2zRx4SRAsg9aXmaGw8OZw+HZy6Hv0AOVquWs9IIT30OUEV61&#10;rCm9P++vXmQeUhqzCnec0dJ7pMp7ef7rL2cbUdCQr3hXUYnACFPFRpTeSmtRLBaKrGiP1QkXlMFk&#10;zWWPNXRls6gk3oD1vluEvp8sNlxWQnJClYLR1+Okd27t1zUl+m1dK6pRV3rgm7Zfab9L812cn+Gi&#10;kVisWjK5gZ/gRY9bBovOpl5jjdFath+Z6lsiueK1PiG8X/C6bgm1e4DdBP7Bbq4lXwu7l6bYNGKG&#10;CaA9wOnJZsmbh2sp7sStBCQ2ogEsbM/sZahlb/7BSzRYyB5nyOigEYHBIInT0xiQJTCXhHEUBPEI&#10;KlkB8lu9F3FwmoVu6jennoVZ5k/qWZBFYXBqZBbb1RXv2uqq7TrjipLN8rKT6AHDeb6KfPhN4jti&#10;i719bAREltqCp/4feHcrLKg9E1UAeLcStVXpRR5iuIf4fgcRh1nTURQZx8ziIDXjqwoFUP8ruLsg&#10;zQjvQhSmeZ4dIiSk0teU98g0Sk+CCzYW8cON0iOYTsRiuAeoSTQ6Q6qHwKp26/4PXo0wZ/GEMi5g&#10;2ByqRT9ww3BWNl2NFXtyO0cBKsysybg5wdEXMwJH5KCwLf3YUSPXsXe0BkQhskLryGx5XBQTQpke&#10;fVQrXNFx2LgyB4LbkfXFGjSWa1h/tj0ZcJL7tkcvJ3mjSi2PzMr+pxwblWcNuzJnelbuW8blMQMd&#10;7GpaeZR3II3QGJSWvHqEeJN8ZDElyFULJ36Dlb7FEmgL8gioWL+FT93xTenxqeWhFZcfjo0beUgI&#10;mPXQBmiw9NTfayyph7rfGaRKHkSR4U3bieI0hI7cnVnuzrB1f8khMwMgfUFs08jrzjVryfv3wNgX&#10;ZlWYwozA2qVHtHSdSz3SM3A+oRcXVgy4UmB9w+4EMcYNqiai74f3WIop7DUkzBvu0hMXB9E/yhpN&#10;xi/WmtetTY0trhPeQBVj2j47Z8Qfc4alTuPSF3BG7ud+OhHrUc5Iw/A0jfMDWnWM8EykkTp22CeN&#10;0A3/JA1IE8dmz0kaelgO9oqyIbIN929II4G90RyPBH6ehlAljkQShlli6oEnM4n+4XgkcTxyb9L/&#10;FR9QclB6ID3AsGFOiDQTAp8sQsIoj1NrAq6+Y3VaEsV54q5bVyR+IZ80UkwVgbn0EdxViSkjR37e&#10;rxXcBTwVM1v/betI5fAZF/TxsuAzFL92WVD99Z9lwZzhti78LjJ8qhqOFArTzJPT+zsrFOxTA55m&#10;ttacnpHm7bfbt4XF9rF7/g8AAAD//wMAUEsDBBQABgAIAAAAIQAyw/sr3AAAAAYBAAAPAAAAZHJz&#10;L2Rvd25yZXYueG1sTI9BS8NAEIXvgv9hGcGb3aRibGM2pRT1VARbQXqbJtMkNDsbstsk/feOJz2+&#10;ecN738tWk23VQL1vHBuIZxEo4sKVDVcGvvZvDwtQPiCX2DomA1fysMpvbzJMSzfyJw27UCkJYZ+i&#10;gTqELtXaFzVZ9DPXEYt3cr3FILKvdNnjKOG21fMoSrTFhqWhxo42NRXn3cUaeB9xXD/Gr8P2fNpc&#10;D/unj+9tTMbc303rF1CBpvD3DL/4gg65MB3dhUuvWgMyJMhV8MWcJ7Hoo4HlInkGnWf6P37+AwAA&#10;//8DAFBLAQItABQABgAIAAAAIQC2gziS/gAAAOEBAAATAAAAAAAAAAAAAAAAAAAAAABbQ29udGVu&#10;dF9UeXBlc10ueG1sUEsBAi0AFAAGAAgAAAAhADj9If/WAAAAlAEAAAsAAAAAAAAAAAAAAAAALwEA&#10;AF9yZWxzLy5yZWxzUEsBAi0AFAAGAAgAAAAhAJvYTKz6AwAANA8AAA4AAAAAAAAAAAAAAAAALgIA&#10;AGRycy9lMm9Eb2MueG1sUEsBAi0AFAAGAAgAAAAhADLD+yvcAAAABgEAAA8AAAAAAAAAAAAAAAAA&#10;VAYAAGRycy9kb3ducmV2LnhtbFBLBQYAAAAABAAEAPMAAABdBwAAAAA=&#10;">
                <v:rect id="Rectangle 4" o:spid="_x0000_s1031" style="position:absolute;top:-513;width:18288;height:2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YrQwgAAANoAAAAPAAAAZHJzL2Rvd25yZXYueG1sRI9PawIx&#10;FMTvgt8hPMGL1GxFrGyNIrb+udb10ONj89xs3byETarrtzeFgsdhZn7DLFadbcSV2lA7VvA6zkAQ&#10;l07XXCk4FduXOYgQkTU2jknBnQKslv3eAnPtbvxF12OsRIJwyFGBidHnUobSkMUwdp44eWfXWoxJ&#10;tpXULd4S3DZykmUzabHmtGDQ08ZQeTn+WgX73f377eeiR8aesZp++uLgPwqlhoNu/Q4iUhef4f/2&#10;QSuYwt+VdAPk8gEAAP//AwBQSwECLQAUAAYACAAAACEA2+H2y+4AAACFAQAAEwAAAAAAAAAAAAAA&#10;AAAAAAAAW0NvbnRlbnRfVHlwZXNdLnhtbFBLAQItABQABgAIAAAAIQBa9CxbvwAAABUBAAALAAAA&#10;AAAAAAAAAAAAAB8BAABfcmVscy8ucmVsc1BLAQItABQABgAIAAAAIQB50YrQwgAAANoAAAAPAAAA&#10;AAAAAAAAAAAAAAcCAABkcnMvZG93bnJldi54bWxQSwUGAAAAAAMAAwC3AAAA9gIAAAAA&#10;" fillcolor="#272727 [2749]" stroked="f" strokeweight="2pt"/>
                <v:rect id="Rectangle 5" o:spid="_x0000_s1032" style="position:absolute;top:9090;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y9vgAAANoAAAAPAAAAZHJzL2Rvd25yZXYueG1sRI/NCsIw&#10;EITvgu8QVvCmqaKi1SgqKp4Efx5gada22GxKE219eyMIHoeZ+YZZrBpTiBdVLresYNCPQBAnVuec&#10;Krhd970pCOeRNRaWScGbHKyW7dYCY21rPtPr4lMRIOxiVJB5X8ZSuiQjg65vS+Lg3W1l0AdZpVJX&#10;WAe4KeQwiibSYM5hIcOSthklj8vTKHhOZ6NI7urNbTsqTg0f34dkmCvV7TTrOQhPjf+Hf+2jVjCG&#10;75VwA+TyAwAA//8DAFBLAQItABQABgAIAAAAIQDb4fbL7gAAAIUBAAATAAAAAAAAAAAAAAAAAAAA&#10;AABbQ29udGVudF9UeXBlc10ueG1sUEsBAi0AFAAGAAgAAAAhAFr0LFu/AAAAFQEAAAsAAAAAAAAA&#10;AAAAAAAAHwEAAF9yZWxzLy5yZWxzUEsBAi0AFAAGAAgAAAAhAGwUHL2+AAAA2gAAAA8AAAAAAAAA&#10;AAAAAAAABwIAAGRycy9kb3ducmV2LnhtbFBLBQYAAAAAAwADALcAAADyAgAAAAA=&#10;" fillcolor="#404040 [2429]" stroked="f" strokeweight="2pt">
                  <v:textbox inset=",14.4pt,8.64pt,18pt">
                    <w:txbxContent>
                      <w:p w14:paraId="1C8CBA71" w14:textId="7F695FC4" w:rsidR="001C471E" w:rsidRPr="007E4918" w:rsidRDefault="001C471E" w:rsidP="00CC7AB2">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1960s – The Willis Committee expands its study to sales taxes and recommends federal law</w:t>
                        </w:r>
                        <w:r w:rsidR="00042096" w:rsidRPr="007E4918">
                          <w:rPr>
                            <w:rFonts w:asciiTheme="minorHAnsi" w:hAnsiTheme="minorHAnsi" w:cstheme="minorHAnsi"/>
                            <w:b/>
                            <w:bCs/>
                            <w:color w:val="FFFFFF" w:themeColor="background1"/>
                            <w:sz w:val="18"/>
                            <w:szCs w:val="18"/>
                          </w:rPr>
                          <w:t>—states respond.</w:t>
                        </w:r>
                      </w:p>
                      <w:p w14:paraId="74D461C4" w14:textId="77777777" w:rsidR="001C471E" w:rsidRPr="007E4918" w:rsidRDefault="001C471E" w:rsidP="00CC7AB2">
                        <w:pPr>
                          <w:jc w:val="center"/>
                          <w:rPr>
                            <w:rFonts w:asciiTheme="minorHAnsi" w:hAnsiTheme="minorHAnsi" w:cstheme="minorHAnsi"/>
                            <w:b/>
                            <w:bCs/>
                            <w:color w:val="FFFFFF" w:themeColor="background1"/>
                            <w:sz w:val="18"/>
                            <w:szCs w:val="18"/>
                          </w:rPr>
                        </w:pPr>
                      </w:p>
                      <w:p w14:paraId="37B189FC" w14:textId="5DD94FB9" w:rsidR="000C2FDE" w:rsidRPr="007E4918" w:rsidRDefault="000C2FDE" w:rsidP="00CC7AB2">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1967 – The U.S. Supreme Court ruled in </w:t>
                        </w:r>
                        <w:r w:rsidRPr="007E4918">
                          <w:rPr>
                            <w:rFonts w:asciiTheme="minorHAnsi" w:hAnsiTheme="minorHAnsi" w:cstheme="minorHAnsi"/>
                            <w:b/>
                            <w:bCs/>
                            <w:i/>
                            <w:iCs/>
                            <w:color w:val="FFFFFF" w:themeColor="background1"/>
                            <w:sz w:val="18"/>
                            <w:szCs w:val="18"/>
                          </w:rPr>
                          <w:t xml:space="preserve">National </w:t>
                        </w:r>
                        <w:proofErr w:type="spellStart"/>
                        <w:r w:rsidRPr="007E4918">
                          <w:rPr>
                            <w:rFonts w:asciiTheme="minorHAnsi" w:hAnsiTheme="minorHAnsi" w:cstheme="minorHAnsi"/>
                            <w:b/>
                            <w:bCs/>
                            <w:i/>
                            <w:iCs/>
                            <w:color w:val="FFFFFF" w:themeColor="background1"/>
                            <w:sz w:val="18"/>
                            <w:szCs w:val="18"/>
                          </w:rPr>
                          <w:t>Bellas</w:t>
                        </w:r>
                        <w:proofErr w:type="spellEnd"/>
                        <w:r w:rsidRPr="007E4918">
                          <w:rPr>
                            <w:rFonts w:asciiTheme="minorHAnsi" w:hAnsiTheme="minorHAnsi" w:cstheme="minorHAnsi"/>
                            <w:b/>
                            <w:bCs/>
                            <w:i/>
                            <w:iCs/>
                            <w:color w:val="FFFFFF" w:themeColor="background1"/>
                            <w:sz w:val="18"/>
                            <w:szCs w:val="18"/>
                          </w:rPr>
                          <w:t xml:space="preserve"> Hess v. Department of Revenue</w:t>
                        </w:r>
                        <w:r w:rsidRPr="007E4918">
                          <w:rPr>
                            <w:rFonts w:asciiTheme="minorHAnsi" w:hAnsiTheme="minorHAnsi" w:cstheme="minorHAnsi"/>
                            <w:b/>
                            <w:bCs/>
                            <w:color w:val="FFFFFF" w:themeColor="background1"/>
                            <w:sz w:val="18"/>
                            <w:szCs w:val="18"/>
                          </w:rPr>
                          <w:t>, 386 U.S. 753 (1967).</w:t>
                        </w:r>
                      </w:p>
                      <w:p w14:paraId="47A4B492" w14:textId="77777777" w:rsidR="00777BD1" w:rsidRPr="007E4918" w:rsidRDefault="00777BD1" w:rsidP="00CC7AB2">
                        <w:pPr>
                          <w:jc w:val="center"/>
                          <w:rPr>
                            <w:rFonts w:asciiTheme="minorHAnsi" w:hAnsiTheme="minorHAnsi" w:cstheme="minorHAnsi"/>
                            <w:b/>
                            <w:bCs/>
                            <w:color w:val="FFFFFF" w:themeColor="background1"/>
                            <w:sz w:val="18"/>
                            <w:szCs w:val="18"/>
                          </w:rPr>
                        </w:pPr>
                      </w:p>
                      <w:p w14:paraId="0B0C1F06" w14:textId="2F674416" w:rsidR="00CC7AB2" w:rsidRPr="007E4918" w:rsidRDefault="00CC7AB2" w:rsidP="00CC7AB2">
                        <w:pPr>
                          <w:jc w:val="center"/>
                          <w:rPr>
                            <w:rFonts w:asciiTheme="minorHAnsi" w:hAnsiTheme="minorHAnsi" w:cstheme="minorHAnsi"/>
                            <w:b/>
                            <w:bCs/>
                            <w:i/>
                            <w:iCs/>
                            <w:color w:val="FFFFFF" w:themeColor="background1"/>
                            <w:sz w:val="18"/>
                            <w:szCs w:val="18"/>
                          </w:rPr>
                        </w:pPr>
                        <w:r w:rsidRPr="007E4918">
                          <w:rPr>
                            <w:rFonts w:asciiTheme="minorHAnsi" w:hAnsiTheme="minorHAnsi" w:cstheme="minorHAnsi"/>
                            <w:b/>
                            <w:bCs/>
                            <w:color w:val="FFFFFF" w:themeColor="background1"/>
                            <w:sz w:val="18"/>
                            <w:szCs w:val="18"/>
                          </w:rPr>
                          <w:t xml:space="preserve">Also in the 1960s, states began </w:t>
                        </w:r>
                        <w:r w:rsidR="00777BD1" w:rsidRPr="007E4918">
                          <w:rPr>
                            <w:rFonts w:asciiTheme="minorHAnsi" w:hAnsiTheme="minorHAnsi" w:cstheme="minorHAnsi"/>
                            <w:b/>
                            <w:bCs/>
                            <w:color w:val="FFFFFF" w:themeColor="background1"/>
                            <w:sz w:val="18"/>
                            <w:szCs w:val="18"/>
                          </w:rPr>
                          <w:t xml:space="preserve">to provide credits for sales taxes paid to other states and clarify acceptance of exemption certificates. </w:t>
                        </w:r>
                      </w:p>
                      <w:p w14:paraId="31075294" w14:textId="14B02600" w:rsidR="000C2FDE" w:rsidRPr="007E4918" w:rsidRDefault="000C2FDE" w:rsidP="000C2FDE">
                        <w:pPr>
                          <w:jc w:val="center"/>
                          <w:rPr>
                            <w:rFonts w:asciiTheme="minorHAnsi" w:hAnsiTheme="minorHAnsi" w:cstheme="minorHAnsi"/>
                            <w:b/>
                            <w:bCs/>
                            <w:color w:val="FFFFFF" w:themeColor="background1"/>
                            <w:sz w:val="18"/>
                            <w:szCs w:val="18"/>
                          </w:rPr>
                        </w:pPr>
                      </w:p>
                      <w:p w14:paraId="7812DF07" w14:textId="4708A66A" w:rsidR="000C2FDE" w:rsidRDefault="000C2FDE" w:rsidP="000C2FDE">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1992 – The U.S. Supreme Court ruled in </w:t>
                        </w:r>
                        <w:r w:rsidRPr="007E4918">
                          <w:rPr>
                            <w:rFonts w:asciiTheme="minorHAnsi" w:hAnsiTheme="minorHAnsi" w:cstheme="minorHAnsi"/>
                            <w:b/>
                            <w:bCs/>
                            <w:i/>
                            <w:iCs/>
                            <w:color w:val="FFFFFF" w:themeColor="background1"/>
                            <w:sz w:val="18"/>
                            <w:szCs w:val="18"/>
                          </w:rPr>
                          <w:t>Quill Corp. v. North Dakota</w:t>
                        </w:r>
                        <w:r w:rsidRPr="007E4918">
                          <w:rPr>
                            <w:rFonts w:asciiTheme="minorHAnsi" w:hAnsiTheme="minorHAnsi" w:cstheme="minorHAnsi"/>
                            <w:b/>
                            <w:bCs/>
                            <w:color w:val="FFFFFF" w:themeColor="background1"/>
                            <w:sz w:val="18"/>
                            <w:szCs w:val="18"/>
                          </w:rPr>
                          <w:t xml:space="preserve"> (91-0194), 504 U.S. 298 (1992).</w:t>
                        </w:r>
                      </w:p>
                      <w:p w14:paraId="31E4FB96" w14:textId="3894837B" w:rsidR="00B67FD2" w:rsidRDefault="00B67FD2" w:rsidP="000C2FDE">
                        <w:pPr>
                          <w:jc w:val="center"/>
                          <w:rPr>
                            <w:rFonts w:asciiTheme="minorHAnsi" w:hAnsiTheme="minorHAnsi" w:cstheme="minorHAnsi"/>
                            <w:b/>
                            <w:bCs/>
                            <w:color w:val="FFFFFF" w:themeColor="background1"/>
                            <w:sz w:val="18"/>
                            <w:szCs w:val="18"/>
                          </w:rPr>
                        </w:pPr>
                      </w:p>
                      <w:p w14:paraId="38DE7C82" w14:textId="77777777" w:rsidR="00B67FD2" w:rsidRPr="00B62A64" w:rsidRDefault="00B67FD2" w:rsidP="00B67FD2">
                        <w:pPr>
                          <w:jc w:val="center"/>
                          <w:rPr>
                            <w:rFonts w:asciiTheme="minorHAnsi" w:hAnsiTheme="minorHAnsi" w:cstheme="minorHAnsi"/>
                            <w:b/>
                            <w:bCs/>
                            <w:sz w:val="18"/>
                            <w:szCs w:val="18"/>
                          </w:rPr>
                        </w:pPr>
                        <w:r w:rsidRPr="00B62A64">
                          <w:rPr>
                            <w:rFonts w:asciiTheme="minorHAnsi" w:hAnsiTheme="minorHAnsi" w:cstheme="minorHAnsi"/>
                            <w:b/>
                            <w:bCs/>
                            <w:sz w:val="18"/>
                            <w:szCs w:val="18"/>
                          </w:rPr>
                          <w:t>1998 – Congress enacted the Internet Tax Freedom Act – 47 U.S.C § 151 note.</w:t>
                        </w:r>
                      </w:p>
                      <w:p w14:paraId="3484E54B" w14:textId="77777777" w:rsidR="00B67FD2" w:rsidRPr="007E4918" w:rsidRDefault="00B67FD2" w:rsidP="000C2FDE">
                        <w:pPr>
                          <w:jc w:val="center"/>
                          <w:rPr>
                            <w:sz w:val="18"/>
                            <w:szCs w:val="18"/>
                          </w:rPr>
                        </w:pPr>
                      </w:p>
                    </w:txbxContent>
                  </v:textbox>
                </v:rect>
                <v:shape id="Text Box 6" o:spid="_x0000_s1033" type="#_x0000_t202" style="position:absolute;top:2495;width:18288;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RFwwAAANoAAAAPAAAAZHJzL2Rvd25yZXYueG1sRI9ba8JA&#10;FITfC/0Pyyn4ppvWohJdJQRvLxW8gK+H7DEJZs/G7GrSf+8WhD4OM/MNM1t0phIPalxpWcHnIAJB&#10;nFldcq7gdFz1JyCcR9ZYWSYFv+RgMX9/m2Gsbct7ehx8LgKEXYwKCu/rWEqXFWTQDWxNHLyLbQz6&#10;IJtc6gbbADeV/IqikTRYclgosKa0oOx6uBsF6ffyttqsf5L7uG3tUKbR7pxclep9dMkUhKfO/4df&#10;7a1WMIK/K+EGyPkTAAD//wMAUEsBAi0AFAAGAAgAAAAhANvh9svuAAAAhQEAABMAAAAAAAAAAAAA&#10;AAAAAAAAAFtDb250ZW50X1R5cGVzXS54bWxQSwECLQAUAAYACAAAACEAWvQsW78AAAAVAQAACwAA&#10;AAAAAAAAAAAAAAAfAQAAX3JlbHMvLnJlbHNQSwECLQAUAAYACAAAACEAxgM0RcMAAADaAAAADwAA&#10;AAAAAAAAAAAAAAAHAgAAZHJzL2Rvd25yZXYueG1sUEsFBgAAAAADAAMAtwAAAPcCAAAAAA==&#10;" filled="f" stroked="f" strokeweight=".5pt">
                  <v:textbox inset=",7.2pt,,7.2pt">
                    <w:txbxContent>
                      <w:p w14:paraId="6F3FFF20" w14:textId="77777777" w:rsidR="000C2FDE" w:rsidRPr="00C305D3" w:rsidRDefault="000C2FDE" w:rsidP="000C2FDE">
                        <w:pPr>
                          <w:pStyle w:val="NoSpacing"/>
                          <w:jc w:val="center"/>
                          <w:rPr>
                            <w:rFonts w:eastAsiaTheme="majorEastAsia" w:cstheme="minorHAnsi"/>
                            <w:b/>
                            <w:bCs/>
                            <w:caps/>
                            <w:color w:val="FFFFFF" w:themeColor="background1"/>
                            <w:sz w:val="18"/>
                            <w:szCs w:val="18"/>
                          </w:rPr>
                        </w:pPr>
                        <w:r w:rsidRPr="00C305D3">
                          <w:rPr>
                            <w:rFonts w:eastAsiaTheme="majorEastAsia" w:cstheme="minorHAnsi"/>
                            <w:b/>
                            <w:bCs/>
                            <w:caps/>
                            <w:color w:val="FFFFFF" w:themeColor="background1"/>
                            <w:sz w:val="18"/>
                            <w:szCs w:val="18"/>
                          </w:rPr>
                          <w:t>NOtable Events</w:t>
                        </w:r>
                      </w:p>
                    </w:txbxContent>
                  </v:textbox>
                </v:shape>
                <w10:wrap type="square" anchorx="margin" anchory="margin"/>
              </v:group>
            </w:pict>
          </mc:Fallback>
        </mc:AlternateContent>
      </w:r>
      <w:r w:rsidR="0075320E">
        <w:t>Mid-20</w:t>
      </w:r>
      <w:r w:rsidR="0075320E" w:rsidRPr="0075320E">
        <w:rPr>
          <w:vertAlign w:val="superscript"/>
        </w:rPr>
        <w:t>th</w:t>
      </w:r>
      <w:r w:rsidR="0075320E">
        <w:t xml:space="preserve"> Century - </w:t>
      </w:r>
      <w:r w:rsidR="003E319F" w:rsidRPr="00C3746D">
        <w:t>Federal</w:t>
      </w:r>
      <w:r w:rsidR="003E319F" w:rsidRPr="00D645DA">
        <w:t xml:space="preserve"> Restrictions</w:t>
      </w:r>
      <w:r w:rsidR="00D645DA" w:rsidRPr="00D645DA">
        <w:t xml:space="preserve"> on Sales Tax</w:t>
      </w:r>
      <w:r w:rsidR="00C925AA">
        <w:t>es</w:t>
      </w:r>
    </w:p>
    <w:p w14:paraId="1CFDFF3D" w14:textId="33536F4A" w:rsidR="00042096" w:rsidRDefault="00D645DA" w:rsidP="00D645DA">
      <w:r w:rsidRPr="00D645DA">
        <w:t xml:space="preserve">State sales taxes long faced both real and potential </w:t>
      </w:r>
      <w:r w:rsidR="0075320E">
        <w:t xml:space="preserve">federal </w:t>
      </w:r>
      <w:r w:rsidRPr="00D645DA">
        <w:t>limits</w:t>
      </w:r>
      <w:r w:rsidR="0075320E">
        <w:t xml:space="preserve">, </w:t>
      </w:r>
      <w:r w:rsidR="00C3746D">
        <w:t xml:space="preserve">both </w:t>
      </w:r>
      <w:r w:rsidR="00777F62">
        <w:t>from</w:t>
      </w:r>
      <w:r w:rsidR="00C305D3">
        <w:t xml:space="preserve"> </w:t>
      </w:r>
      <w:r w:rsidR="001C471E">
        <w:t xml:space="preserve">interpretations of </w:t>
      </w:r>
      <w:r w:rsidRPr="00D645DA">
        <w:t xml:space="preserve">the federal constitution </w:t>
      </w:r>
      <w:r w:rsidR="0075320E">
        <w:t>and from</w:t>
      </w:r>
      <w:r w:rsidRPr="00D645DA">
        <w:t xml:space="preserve"> </w:t>
      </w:r>
      <w:r w:rsidR="00777F62">
        <w:t xml:space="preserve">federal </w:t>
      </w:r>
      <w:r w:rsidRPr="00D645DA">
        <w:t xml:space="preserve">statutory law. </w:t>
      </w:r>
      <w:r w:rsidR="00042096">
        <w:t>I</w:t>
      </w:r>
      <w:r w:rsidR="00777F62">
        <w:t>n</w:t>
      </w:r>
      <w:r w:rsidR="000C2FDE">
        <w:t xml:space="preserve"> </w:t>
      </w:r>
      <w:r w:rsidR="002555DA">
        <w:t>the</w:t>
      </w:r>
      <w:r w:rsidR="000C2FDE">
        <w:t xml:space="preserve"> 1960s, the Willis Committee, best known for its study of multistate income taxes after the U.S. Supreme Court’s Ruling in </w:t>
      </w:r>
      <w:r w:rsidR="00DC4046">
        <w:rPr>
          <w:i/>
          <w:iCs/>
        </w:rPr>
        <w:t>Northwester</w:t>
      </w:r>
      <w:r w:rsidR="00F54927">
        <w:rPr>
          <w:i/>
          <w:iCs/>
        </w:rPr>
        <w:t>n</w:t>
      </w:r>
      <w:r w:rsidR="00DC4046">
        <w:rPr>
          <w:i/>
          <w:iCs/>
        </w:rPr>
        <w:t xml:space="preserve"> States Portland Cement</w:t>
      </w:r>
      <w:r w:rsidR="000C2FDE">
        <w:t>,</w:t>
      </w:r>
      <w:r w:rsidR="00F54927" w:rsidRPr="00685851">
        <w:rPr>
          <w:rStyle w:val="FootnoteReference"/>
        </w:rPr>
        <w:footnoteReference w:id="5"/>
      </w:r>
      <w:r w:rsidR="000C2FDE">
        <w:t xml:space="preserve"> expanded its work to consider state sales taxes as well</w:t>
      </w:r>
      <w:r w:rsidR="00B841EC">
        <w:t>.</w:t>
      </w:r>
      <w:r w:rsidR="001C471E">
        <w:t xml:space="preserve"> </w:t>
      </w:r>
    </w:p>
    <w:p w14:paraId="5A72F332" w14:textId="093DAA6D" w:rsidR="000C2FDE" w:rsidRDefault="00042096" w:rsidP="00D645DA">
      <w:r>
        <w:t xml:space="preserve">The Willis Committee </w:t>
      </w:r>
      <w:r w:rsidR="001C471E">
        <w:t xml:space="preserve">proposed sweeping </w:t>
      </w:r>
      <w:r w:rsidR="00777F62">
        <w:t xml:space="preserve">federal </w:t>
      </w:r>
      <w:r w:rsidR="001C471E">
        <w:t>reforms</w:t>
      </w:r>
      <w:r>
        <w:t xml:space="preserve"> and limits</w:t>
      </w:r>
      <w:r w:rsidR="001C471E">
        <w:t>, which Congress declined to undertake.</w:t>
      </w:r>
      <w:r w:rsidR="00C925AA" w:rsidRPr="00685851">
        <w:rPr>
          <w:rStyle w:val="FootnoteReference"/>
        </w:rPr>
        <w:footnoteReference w:id="6"/>
      </w:r>
      <w:r w:rsidR="00B841EC">
        <w:t xml:space="preserve"> </w:t>
      </w:r>
      <w:r w:rsidR="001C471E">
        <w:t xml:space="preserve">But </w:t>
      </w:r>
      <w:r>
        <w:t xml:space="preserve">it also noted </w:t>
      </w:r>
      <w:r w:rsidR="001C471E">
        <w:t>t</w:t>
      </w:r>
      <w:r w:rsidR="00B841EC">
        <w:t>wo</w:t>
      </w:r>
      <w:r>
        <w:t xml:space="preserve"> specific issues that the states responded to—</w:t>
      </w:r>
      <w:r w:rsidR="00B841EC">
        <w:t xml:space="preserve">the lack of a uniform credit against </w:t>
      </w:r>
      <w:r w:rsidR="00C3746D">
        <w:t xml:space="preserve">sales </w:t>
      </w:r>
      <w:r w:rsidR="00B841EC">
        <w:t xml:space="preserve">tax imposed in one state for taxes </w:t>
      </w:r>
      <w:r w:rsidR="00C3746D">
        <w:t xml:space="preserve">already </w:t>
      </w:r>
      <w:r w:rsidR="00B841EC">
        <w:t xml:space="preserve">paid in another and the </w:t>
      </w:r>
      <w:r>
        <w:t xml:space="preserve">failure of states to accept </w:t>
      </w:r>
      <w:r w:rsidR="00B841EC">
        <w:t>certificates</w:t>
      </w:r>
      <w:r>
        <w:t xml:space="preserve"> of other states</w:t>
      </w:r>
      <w:r w:rsidR="00B841EC">
        <w:t xml:space="preserve"> </w:t>
      </w:r>
      <w:r>
        <w:t xml:space="preserve">to support </w:t>
      </w:r>
      <w:r w:rsidR="00B841EC">
        <w:t xml:space="preserve">exempt transactions. This led directly to the inclusion of </w:t>
      </w:r>
      <w:r w:rsidR="00777F62">
        <w:t>provisions to address these issues</w:t>
      </w:r>
      <w:r w:rsidR="00B841EC">
        <w:t xml:space="preserve"> </w:t>
      </w:r>
      <w:r w:rsidR="00777F62">
        <w:t xml:space="preserve">in </w:t>
      </w:r>
      <w:r w:rsidR="00B841EC">
        <w:t>Article V of the Multistate Tax Compact</w:t>
      </w:r>
      <w:r w:rsidR="00777BD1">
        <w:t>,</w:t>
      </w:r>
      <w:r w:rsidR="00B841EC" w:rsidRPr="00685851">
        <w:rPr>
          <w:rStyle w:val="FootnoteReference"/>
        </w:rPr>
        <w:footnoteReference w:id="7"/>
      </w:r>
      <w:r w:rsidR="00777BD1">
        <w:t xml:space="preserve"> and to widespread adoption by the states of similar </w:t>
      </w:r>
      <w:r w:rsidR="00C06064">
        <w:t xml:space="preserve">and related </w:t>
      </w:r>
      <w:r w:rsidR="00777BD1">
        <w:t>provisions.</w:t>
      </w:r>
    </w:p>
    <w:p w14:paraId="3517ACCC" w14:textId="77777777" w:rsidR="009B1EFA" w:rsidRDefault="003E319F" w:rsidP="00D645DA">
      <w:r w:rsidRPr="00D645DA">
        <w:t xml:space="preserve">States </w:t>
      </w:r>
      <w:r w:rsidR="00042096">
        <w:t xml:space="preserve">may impose sales taxes on sellers although most </w:t>
      </w:r>
      <w:r w:rsidRPr="00D645DA">
        <w:t>impos</w:t>
      </w:r>
      <w:r w:rsidR="009B1EFA">
        <w:t>e</w:t>
      </w:r>
      <w:r w:rsidRPr="00D645DA">
        <w:t xml:space="preserve"> </w:t>
      </w:r>
      <w:r w:rsidR="00042096">
        <w:t>them</w:t>
      </w:r>
      <w:r w:rsidRPr="00D645DA">
        <w:t xml:space="preserve"> </w:t>
      </w:r>
      <w:r w:rsidR="00042096">
        <w:t xml:space="preserve">on the </w:t>
      </w:r>
      <w:r w:rsidR="009B1EFA">
        <w:t>customer</w:t>
      </w:r>
      <w:r w:rsidR="00042096">
        <w:t xml:space="preserve">s. But even these states </w:t>
      </w:r>
      <w:r w:rsidRPr="00D645DA">
        <w:t xml:space="preserve">depend on </w:t>
      </w:r>
      <w:r w:rsidR="00042096">
        <w:t>sellers</w:t>
      </w:r>
      <w:r w:rsidRPr="00D645DA">
        <w:t xml:space="preserve"> to collect the tax. Therefore, </w:t>
      </w:r>
      <w:r w:rsidR="00C06064" w:rsidRPr="00D645DA">
        <w:t>the ability of states to assert taxing</w:t>
      </w:r>
      <w:r w:rsidRPr="00D645DA">
        <w:t xml:space="preserve"> jurisdiction over out-of-state sellers</w:t>
      </w:r>
      <w:r w:rsidR="00C06064" w:rsidRPr="00D645DA">
        <w:t>, consistent with the U.S. Constitution,</w:t>
      </w:r>
      <w:r w:rsidRPr="00D645DA">
        <w:t xml:space="preserve"> has always been a significant consideration for </w:t>
      </w:r>
      <w:proofErr w:type="gramStart"/>
      <w:r w:rsidRPr="00D645DA">
        <w:t>policy-maker</w:t>
      </w:r>
      <w:r w:rsidR="009B1EFA">
        <w:t>s</w:t>
      </w:r>
      <w:proofErr w:type="gramEnd"/>
      <w:r w:rsidR="009B1EFA">
        <w:t xml:space="preserve"> in considering what to tax. </w:t>
      </w:r>
    </w:p>
    <w:p w14:paraId="76217FBB" w14:textId="30833868" w:rsidR="003E319F" w:rsidRPr="00D645DA" w:rsidRDefault="003E319F" w:rsidP="00D645DA">
      <w:r w:rsidRPr="00D645DA">
        <w:t xml:space="preserve">The U.S. Supreme Court, in its 1967 ruling in </w:t>
      </w:r>
      <w:r w:rsidRPr="00D645DA">
        <w:rPr>
          <w:i/>
          <w:iCs/>
        </w:rPr>
        <w:t xml:space="preserve">National </w:t>
      </w:r>
      <w:proofErr w:type="spellStart"/>
      <w:r w:rsidRPr="00D645DA">
        <w:rPr>
          <w:i/>
          <w:iCs/>
        </w:rPr>
        <w:t>Bellas</w:t>
      </w:r>
      <w:proofErr w:type="spellEnd"/>
      <w:r w:rsidRPr="00D645DA">
        <w:rPr>
          <w:i/>
          <w:iCs/>
        </w:rPr>
        <w:t xml:space="preserve"> Hess</w:t>
      </w:r>
      <w:r w:rsidRPr="00D645DA">
        <w:t>,</w:t>
      </w:r>
      <w:r w:rsidRPr="00685851">
        <w:rPr>
          <w:rStyle w:val="FootnoteReference"/>
        </w:rPr>
        <w:footnoteReference w:id="8"/>
      </w:r>
      <w:r w:rsidRPr="00D645DA">
        <w:t xml:space="preserve"> struck down a sales tax on an out-of-state seller. Then, in 1992, the Court upheld that decision in </w:t>
      </w:r>
      <w:r w:rsidRPr="00D645DA">
        <w:rPr>
          <w:i/>
          <w:iCs/>
        </w:rPr>
        <w:t>Quill</w:t>
      </w:r>
      <w:r w:rsidRPr="00D645DA">
        <w:t>,</w:t>
      </w:r>
      <w:r w:rsidRPr="00685851">
        <w:rPr>
          <w:rStyle w:val="FootnoteReference"/>
        </w:rPr>
        <w:footnoteReference w:id="9"/>
      </w:r>
      <w:r w:rsidRPr="00D645DA">
        <w:t xml:space="preserve"> setting out a physical presence standard for sales tax jurisdiction. This restriction of state tax jurisdiction likely influenced the breadth of the sales tax base.</w:t>
      </w:r>
      <w:r w:rsidRPr="00685851">
        <w:rPr>
          <w:rStyle w:val="FootnoteReference"/>
        </w:rPr>
        <w:footnoteReference w:id="10"/>
      </w:r>
      <w:r w:rsidRPr="00D645DA">
        <w:t xml:space="preserve"> </w:t>
      </w:r>
    </w:p>
    <w:p w14:paraId="561D485E" w14:textId="37AEC0B0" w:rsidR="00777BD1" w:rsidRDefault="00D645DA" w:rsidP="00CB4F68">
      <w:pPr>
        <w:rPr>
          <w:u w:val="single"/>
        </w:rPr>
      </w:pPr>
      <w:r w:rsidRPr="00D645DA">
        <w:t>In addition</w:t>
      </w:r>
      <w:r w:rsidR="009B1EFA">
        <w:t xml:space="preserve"> to these constitutional limits</w:t>
      </w:r>
      <w:r w:rsidRPr="00D645DA">
        <w:t xml:space="preserve">, </w:t>
      </w:r>
      <w:r w:rsidR="003E319F" w:rsidRPr="00D645DA">
        <w:t>in 19</w:t>
      </w:r>
      <w:r w:rsidR="009059AC">
        <w:t>9</w:t>
      </w:r>
      <w:r w:rsidR="003E319F" w:rsidRPr="00D645DA">
        <w:t>8, Congress enacted the Internet Tax Freedom Act (ITFA).</w:t>
      </w:r>
      <w:r w:rsidR="009B1EFA" w:rsidRPr="00685851">
        <w:rPr>
          <w:rStyle w:val="FootnoteReference"/>
        </w:rPr>
        <w:footnoteReference w:id="11"/>
      </w:r>
      <w:r w:rsidR="003E319F" w:rsidRPr="00D645DA">
        <w:t xml:space="preserve"> ITFA had two critical provisions. One imposed a moratorium, now a permanent prohibition, on state taxation of internet access. The other provision, often referred to as the anti-discrimination clause, preempts multiple or discriminatory taxes (not including income taxes) that states might impose on </w:t>
      </w:r>
      <w:r w:rsidRPr="00D645DA">
        <w:t>“</w:t>
      </w:r>
      <w:r w:rsidR="003E319F" w:rsidRPr="00D645DA">
        <w:t>electronic commerce</w:t>
      </w:r>
      <w:r w:rsidR="009B1EFA">
        <w:t>,</w:t>
      </w:r>
      <w:r w:rsidRPr="00D645DA">
        <w:t>” defined to include transactions over the Internet</w:t>
      </w:r>
      <w:r w:rsidR="003E319F" w:rsidRPr="00D645DA">
        <w:t xml:space="preserve">. States seeking to </w:t>
      </w:r>
      <w:r w:rsidR="009B1EFA">
        <w:t>expand their sales tax base to</w:t>
      </w:r>
      <w:r w:rsidR="003E319F" w:rsidRPr="00D645DA">
        <w:t xml:space="preserve"> digital products must consider the implications of ITFA, which are further detailed in the outline, below.</w:t>
      </w:r>
      <w:r w:rsidR="00777BD1">
        <w:rPr>
          <w:u w:val="single"/>
        </w:rPr>
        <w:br w:type="page"/>
      </w:r>
    </w:p>
    <w:p w14:paraId="4B857A1E" w14:textId="4122D60D" w:rsidR="003E319F" w:rsidRPr="00D645DA" w:rsidRDefault="00777BD1" w:rsidP="002428FE">
      <w:pPr>
        <w:pStyle w:val="Heading3"/>
      </w:pPr>
      <w:r w:rsidRPr="00777BD1">
        <w:rPr>
          <w:b/>
          <w:noProof/>
        </w:rPr>
        <w:lastRenderedPageBreak/>
        <mc:AlternateContent>
          <mc:Choice Requires="wpg">
            <w:drawing>
              <wp:anchor distT="0" distB="0" distL="228600" distR="228600" simplePos="0" relativeHeight="251658243" behindDoc="1" locked="0" layoutInCell="1" allowOverlap="1" wp14:anchorId="634E2908" wp14:editId="02A4B539">
                <wp:simplePos x="0" y="0"/>
                <wp:positionH relativeFrom="margin">
                  <wp:posOffset>4912995</wp:posOffset>
                </wp:positionH>
                <wp:positionV relativeFrom="margin">
                  <wp:posOffset>30480</wp:posOffset>
                </wp:positionV>
                <wp:extent cx="1666875" cy="6867525"/>
                <wp:effectExtent l="0" t="0" r="9525" b="9525"/>
                <wp:wrapSquare wrapText="bothSides"/>
                <wp:docPr id="7" name="Group 7"/>
                <wp:cNvGraphicFramePr/>
                <a:graphic xmlns:a="http://schemas.openxmlformats.org/drawingml/2006/main">
                  <a:graphicData uri="http://schemas.microsoft.com/office/word/2010/wordprocessingGroup">
                    <wpg:wgp>
                      <wpg:cNvGrpSpPr/>
                      <wpg:grpSpPr>
                        <a:xfrm>
                          <a:off x="0" y="0"/>
                          <a:ext cx="1666875" cy="6867525"/>
                          <a:chOff x="0" y="106711"/>
                          <a:chExt cx="1828800" cy="7722109"/>
                        </a:xfrm>
                        <a:solidFill>
                          <a:srgbClr val="B40000"/>
                        </a:solidFill>
                      </wpg:grpSpPr>
                      <wps:wsp>
                        <wps:cNvPr id="8" name="Rectangle 8"/>
                        <wps:cNvSpPr/>
                        <wps:spPr>
                          <a:xfrm>
                            <a:off x="0" y="106711"/>
                            <a:ext cx="1828800" cy="228600"/>
                          </a:xfrm>
                          <a:prstGeom prst="rect">
                            <a:avLst/>
                          </a:prstGeom>
                          <a:solidFill>
                            <a:sysClr val="windowText" lastClr="000000">
                              <a:lumMod val="85000"/>
                              <a:lumOff val="1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899293"/>
                            <a:ext cx="1828800" cy="6929527"/>
                          </a:xfrm>
                          <a:prstGeom prst="rect">
                            <a:avLst/>
                          </a:prstGeom>
                          <a:solidFill>
                            <a:sysClr val="windowText" lastClr="000000">
                              <a:lumMod val="75000"/>
                              <a:lumOff val="25000"/>
                            </a:sysClr>
                          </a:solidFill>
                          <a:ln w="25400" cap="flat" cmpd="sng" algn="ctr">
                            <a:noFill/>
                            <a:prstDash val="solid"/>
                          </a:ln>
                          <a:effectLst/>
                        </wps:spPr>
                        <wps:txbx>
                          <w:txbxContent>
                            <w:p w14:paraId="6B91D1EC" w14:textId="77777777" w:rsidR="00B12323" w:rsidRDefault="00B12323" w:rsidP="00777BD1">
                              <w:pPr>
                                <w:jc w:val="center"/>
                                <w:rPr>
                                  <w:rFonts w:asciiTheme="minorHAnsi" w:hAnsiTheme="minorHAnsi" w:cstheme="minorHAnsi"/>
                                  <w:b/>
                                  <w:bCs/>
                                  <w:color w:val="FFFFFF" w:themeColor="background1"/>
                                  <w:sz w:val="17"/>
                                  <w:szCs w:val="17"/>
                                </w:rPr>
                              </w:pPr>
                            </w:p>
                            <w:p w14:paraId="778B14B1" w14:textId="3A6B71E1" w:rsidR="00B12323" w:rsidRPr="007E4918" w:rsidRDefault="00B12323"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1990’s</w:t>
                              </w:r>
                              <w:r w:rsidR="00FB4465" w:rsidRPr="007E4918">
                                <w:rPr>
                                  <w:rFonts w:asciiTheme="minorHAnsi" w:hAnsiTheme="minorHAnsi" w:cstheme="minorHAnsi"/>
                                  <w:b/>
                                  <w:bCs/>
                                  <w:color w:val="FFFFFF" w:themeColor="background1"/>
                                  <w:sz w:val="18"/>
                                  <w:szCs w:val="18"/>
                                </w:rPr>
                                <w:t xml:space="preserve"> </w:t>
                              </w:r>
                              <w:r w:rsidR="008C3AAA" w:rsidRPr="007E4918">
                                <w:rPr>
                                  <w:rFonts w:asciiTheme="minorHAnsi" w:hAnsiTheme="minorHAnsi" w:cstheme="minorHAnsi"/>
                                  <w:b/>
                                  <w:bCs/>
                                  <w:color w:val="FFFFFF" w:themeColor="background1"/>
                                  <w:sz w:val="18"/>
                                  <w:szCs w:val="18"/>
                                </w:rPr>
                                <w:t>–</w:t>
                              </w:r>
                              <w:r w:rsidR="00FB4465" w:rsidRPr="007E4918">
                                <w:rPr>
                                  <w:rFonts w:asciiTheme="minorHAnsi" w:hAnsiTheme="minorHAnsi" w:cstheme="minorHAnsi"/>
                                  <w:b/>
                                  <w:bCs/>
                                  <w:color w:val="FFFFFF" w:themeColor="background1"/>
                                  <w:sz w:val="18"/>
                                  <w:szCs w:val="18"/>
                                </w:rPr>
                                <w:t xml:space="preserve"> S</w:t>
                              </w:r>
                              <w:r w:rsidRPr="007E4918">
                                <w:rPr>
                                  <w:rFonts w:asciiTheme="minorHAnsi" w:hAnsiTheme="minorHAnsi" w:cstheme="minorHAnsi"/>
                                  <w:b/>
                                  <w:bCs/>
                                  <w:color w:val="FFFFFF" w:themeColor="background1"/>
                                  <w:sz w:val="18"/>
                                  <w:szCs w:val="18"/>
                                </w:rPr>
                                <w:t>tates, along with the MTC, began the process that would lead to the creation of Streamlined and the SSUTA in 2000.</w:t>
                              </w:r>
                            </w:p>
                            <w:p w14:paraId="4AAB48A0" w14:textId="77777777" w:rsidR="00710B38" w:rsidRPr="007E4918" w:rsidRDefault="00710B38" w:rsidP="00777BD1">
                              <w:pPr>
                                <w:jc w:val="center"/>
                                <w:rPr>
                                  <w:rFonts w:asciiTheme="minorHAnsi" w:hAnsiTheme="minorHAnsi" w:cstheme="minorHAnsi"/>
                                  <w:b/>
                                  <w:bCs/>
                                  <w:color w:val="FFFFFF" w:themeColor="background1"/>
                                  <w:sz w:val="18"/>
                                  <w:szCs w:val="18"/>
                                </w:rPr>
                              </w:pPr>
                            </w:p>
                            <w:p w14:paraId="482BA526" w14:textId="1657DA27" w:rsidR="008C3AAA" w:rsidRPr="007E4918" w:rsidRDefault="008C3AAA"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Post-Quill – States began to </w:t>
                              </w:r>
                              <w:r w:rsidR="00573859">
                                <w:rPr>
                                  <w:rFonts w:asciiTheme="minorHAnsi" w:hAnsiTheme="minorHAnsi" w:cstheme="minorHAnsi"/>
                                  <w:b/>
                                  <w:bCs/>
                                  <w:color w:val="FFFFFF" w:themeColor="background1"/>
                                  <w:sz w:val="18"/>
                                  <w:szCs w:val="18"/>
                                </w:rPr>
                                <w:br/>
                              </w:r>
                              <w:r w:rsidRPr="007E4918">
                                <w:rPr>
                                  <w:rFonts w:asciiTheme="minorHAnsi" w:hAnsiTheme="minorHAnsi" w:cstheme="minorHAnsi"/>
                                  <w:b/>
                                  <w:bCs/>
                                  <w:color w:val="FFFFFF" w:themeColor="background1"/>
                                  <w:sz w:val="18"/>
                                  <w:szCs w:val="18"/>
                                </w:rPr>
                                <w:t>revisit the idea of true gross</w:t>
                              </w:r>
                              <w:r w:rsidR="00573859">
                                <w:rPr>
                                  <w:rFonts w:asciiTheme="minorHAnsi" w:hAnsiTheme="minorHAnsi" w:cstheme="minorHAnsi"/>
                                  <w:b/>
                                  <w:bCs/>
                                  <w:color w:val="FFFFFF" w:themeColor="background1"/>
                                  <w:sz w:val="18"/>
                                  <w:szCs w:val="18"/>
                                </w:rPr>
                                <w:br/>
                              </w:r>
                              <w:r w:rsidRPr="007E4918">
                                <w:rPr>
                                  <w:rFonts w:asciiTheme="minorHAnsi" w:hAnsiTheme="minorHAnsi" w:cstheme="minorHAnsi"/>
                                  <w:b/>
                                  <w:bCs/>
                                  <w:color w:val="FFFFFF" w:themeColor="background1"/>
                                  <w:sz w:val="18"/>
                                  <w:szCs w:val="18"/>
                                </w:rPr>
                                <w:t xml:space="preserve"> receipts taxes.</w:t>
                              </w:r>
                            </w:p>
                            <w:p w14:paraId="3E4B2497" w14:textId="7736314D" w:rsidR="00710B38" w:rsidRPr="007E4918" w:rsidRDefault="00710B38" w:rsidP="00710B38">
                              <w:pPr>
                                <w:rPr>
                                  <w:rFonts w:asciiTheme="minorHAnsi" w:hAnsiTheme="minorHAnsi" w:cstheme="minorHAnsi"/>
                                  <w:b/>
                                  <w:bCs/>
                                  <w:color w:val="FFFFFF" w:themeColor="background1"/>
                                  <w:sz w:val="18"/>
                                  <w:szCs w:val="18"/>
                                </w:rPr>
                              </w:pPr>
                            </w:p>
                            <w:p w14:paraId="614E889D" w14:textId="613C6F57" w:rsidR="008C3AAA" w:rsidRPr="007E4918" w:rsidRDefault="008C3AAA"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2010 </w:t>
                              </w:r>
                              <w:r w:rsidR="00392A24" w:rsidRPr="007E4918">
                                <w:rPr>
                                  <w:rFonts w:asciiTheme="minorHAnsi" w:hAnsiTheme="minorHAnsi" w:cstheme="minorHAnsi"/>
                                  <w:b/>
                                  <w:bCs/>
                                  <w:color w:val="FFFFFF" w:themeColor="background1"/>
                                  <w:sz w:val="18"/>
                                  <w:szCs w:val="18"/>
                                </w:rPr>
                                <w:t xml:space="preserve">– the Digital Goods and </w:t>
                              </w:r>
                              <w:r w:rsidR="00573859">
                                <w:rPr>
                                  <w:rFonts w:asciiTheme="minorHAnsi" w:hAnsiTheme="minorHAnsi" w:cstheme="minorHAnsi"/>
                                  <w:b/>
                                  <w:bCs/>
                                  <w:color w:val="FFFFFF" w:themeColor="background1"/>
                                  <w:sz w:val="18"/>
                                  <w:szCs w:val="18"/>
                                </w:rPr>
                                <w:br/>
                              </w:r>
                              <w:r w:rsidR="00392A24" w:rsidRPr="007E4918">
                                <w:rPr>
                                  <w:rFonts w:asciiTheme="minorHAnsi" w:hAnsiTheme="minorHAnsi" w:cstheme="minorHAnsi"/>
                                  <w:b/>
                                  <w:bCs/>
                                  <w:color w:val="FFFFFF" w:themeColor="background1"/>
                                  <w:sz w:val="18"/>
                                  <w:szCs w:val="18"/>
                                </w:rPr>
                                <w:t>Services Tax Fairness Act is first introduced in Congress.</w:t>
                              </w:r>
                            </w:p>
                            <w:p w14:paraId="319F8023" w14:textId="750E591F" w:rsidR="003F5042" w:rsidRDefault="003F5042" w:rsidP="00777BD1">
                              <w:pPr>
                                <w:jc w:val="center"/>
                                <w:rPr>
                                  <w:rFonts w:asciiTheme="minorHAnsi" w:hAnsiTheme="minorHAnsi" w:cstheme="minorHAnsi"/>
                                  <w:b/>
                                  <w:bCs/>
                                  <w:color w:val="FFFFFF" w:themeColor="background1"/>
                                  <w:sz w:val="18"/>
                                  <w:szCs w:val="18"/>
                                </w:rPr>
                              </w:pPr>
                            </w:p>
                            <w:p w14:paraId="639F2436" w14:textId="262F071B" w:rsidR="00AD1D66" w:rsidRPr="007E4918" w:rsidRDefault="00AD1D66"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2018 – The U.S. Supreme Court overturned </w:t>
                              </w:r>
                              <w:proofErr w:type="spellStart"/>
                              <w:r w:rsidRPr="007E4918">
                                <w:rPr>
                                  <w:rFonts w:asciiTheme="minorHAnsi" w:hAnsiTheme="minorHAnsi" w:cstheme="minorHAnsi"/>
                                  <w:b/>
                                  <w:bCs/>
                                  <w:i/>
                                  <w:iCs/>
                                  <w:color w:val="FFFFFF" w:themeColor="background1"/>
                                  <w:sz w:val="18"/>
                                  <w:szCs w:val="18"/>
                                </w:rPr>
                                <w:t>Bellas</w:t>
                              </w:r>
                              <w:proofErr w:type="spellEnd"/>
                              <w:r w:rsidRPr="007E4918">
                                <w:rPr>
                                  <w:rFonts w:asciiTheme="minorHAnsi" w:hAnsiTheme="minorHAnsi" w:cstheme="minorHAnsi"/>
                                  <w:b/>
                                  <w:bCs/>
                                  <w:i/>
                                  <w:iCs/>
                                  <w:color w:val="FFFFFF" w:themeColor="background1"/>
                                  <w:sz w:val="18"/>
                                  <w:szCs w:val="18"/>
                                </w:rPr>
                                <w:t xml:space="preserve"> Hess</w:t>
                              </w:r>
                              <w:r w:rsidRPr="007E4918">
                                <w:rPr>
                                  <w:rFonts w:asciiTheme="minorHAnsi" w:hAnsiTheme="minorHAnsi" w:cstheme="minorHAnsi"/>
                                  <w:b/>
                                  <w:bCs/>
                                  <w:color w:val="FFFFFF" w:themeColor="background1"/>
                                  <w:sz w:val="18"/>
                                  <w:szCs w:val="18"/>
                                </w:rPr>
                                <w:t xml:space="preserve"> and </w:t>
                              </w:r>
                              <w:r w:rsidRPr="007E4918">
                                <w:rPr>
                                  <w:rFonts w:asciiTheme="minorHAnsi" w:hAnsiTheme="minorHAnsi" w:cstheme="minorHAnsi"/>
                                  <w:b/>
                                  <w:bCs/>
                                  <w:i/>
                                  <w:iCs/>
                                  <w:color w:val="FFFFFF" w:themeColor="background1"/>
                                  <w:sz w:val="18"/>
                                  <w:szCs w:val="18"/>
                                </w:rPr>
                                <w:t xml:space="preserve">Quill </w:t>
                              </w:r>
                              <w:r w:rsidRPr="007E4918">
                                <w:rPr>
                                  <w:rFonts w:asciiTheme="minorHAnsi" w:hAnsiTheme="minorHAnsi" w:cstheme="minorHAnsi"/>
                                  <w:b/>
                                  <w:bCs/>
                                  <w:color w:val="FFFFFF" w:themeColor="background1"/>
                                  <w:sz w:val="18"/>
                                  <w:szCs w:val="18"/>
                                </w:rPr>
                                <w:t xml:space="preserve">in </w:t>
                              </w:r>
                              <w:r w:rsidRPr="007E4918">
                                <w:rPr>
                                  <w:rFonts w:asciiTheme="minorHAnsi" w:hAnsiTheme="minorHAnsi" w:cstheme="minorHAnsi"/>
                                  <w:b/>
                                  <w:bCs/>
                                  <w:i/>
                                  <w:iCs/>
                                  <w:color w:val="FFFFFF" w:themeColor="background1"/>
                                  <w:sz w:val="18"/>
                                  <w:szCs w:val="18"/>
                                </w:rPr>
                                <w:t>South Dakota v. Wayfair, Inc.</w:t>
                              </w:r>
                              <w:r w:rsidRPr="007E4918">
                                <w:rPr>
                                  <w:rFonts w:asciiTheme="minorHAnsi" w:hAnsiTheme="minorHAnsi" w:cstheme="minorHAnsi"/>
                                  <w:b/>
                                  <w:bCs/>
                                  <w:color w:val="FFFFFF" w:themeColor="background1"/>
                                  <w:sz w:val="18"/>
                                  <w:szCs w:val="18"/>
                                </w:rPr>
                                <w:t xml:space="preserve">, 138 S. Ct. 2080, 585 U.S. __ (2018). </w:t>
                              </w:r>
                            </w:p>
                            <w:p w14:paraId="0DB08684" w14:textId="77777777" w:rsidR="00710B38" w:rsidRPr="007E4918" w:rsidRDefault="00710B38" w:rsidP="00777BD1">
                              <w:pPr>
                                <w:jc w:val="center"/>
                                <w:rPr>
                                  <w:rFonts w:asciiTheme="minorHAnsi" w:hAnsiTheme="minorHAnsi" w:cstheme="minorHAnsi"/>
                                  <w:b/>
                                  <w:bCs/>
                                  <w:color w:val="FFFFFF" w:themeColor="background1"/>
                                  <w:sz w:val="18"/>
                                  <w:szCs w:val="18"/>
                                </w:rPr>
                              </w:pPr>
                            </w:p>
                            <w:p w14:paraId="374013DF" w14:textId="40FEF8DE" w:rsidR="000B51A7" w:rsidRPr="00B62A64" w:rsidRDefault="000B51A7" w:rsidP="00777BD1">
                              <w:pPr>
                                <w:jc w:val="center"/>
                                <w:rPr>
                                  <w:sz w:val="18"/>
                                  <w:szCs w:val="18"/>
                                </w:rPr>
                              </w:pPr>
                              <w:r w:rsidRPr="007E4918">
                                <w:rPr>
                                  <w:rFonts w:asciiTheme="minorHAnsi" w:hAnsiTheme="minorHAnsi" w:cstheme="minorHAnsi"/>
                                  <w:b/>
                                  <w:bCs/>
                                  <w:color w:val="FFFFFF" w:themeColor="background1"/>
                                  <w:sz w:val="18"/>
                                  <w:szCs w:val="18"/>
                                </w:rPr>
                                <w:t>2021 – Maryland adopts a tax on digital advertising</w:t>
                              </w:r>
                              <w:r w:rsidR="000C350A">
                                <w:rPr>
                                  <w:rFonts w:asciiTheme="minorHAnsi" w:hAnsiTheme="minorHAnsi" w:cstheme="minorHAnsi"/>
                                  <w:b/>
                                  <w:bCs/>
                                  <w:color w:val="FFFFFF" w:themeColor="background1"/>
                                  <w:sz w:val="17"/>
                                  <w:szCs w:val="17"/>
                                </w:rPr>
                                <w:t xml:space="preserve">. </w:t>
                              </w:r>
                              <w:r w:rsidR="0097584B" w:rsidRPr="00B62A64">
                                <w:rPr>
                                  <w:rFonts w:asciiTheme="minorHAnsi" w:hAnsiTheme="minorHAnsi" w:cstheme="minorHAnsi"/>
                                  <w:b/>
                                  <w:bCs/>
                                  <w:color w:val="FFFFFF" w:themeColor="background1"/>
                                  <w:sz w:val="18"/>
                                  <w:szCs w:val="18"/>
                                </w:rPr>
                                <w:t>Other states file bills on similar subjects in the 2021-22 sessions.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353594"/>
                            <a:ext cx="1828800" cy="521288"/>
                          </a:xfrm>
                          <a:prstGeom prst="rect">
                            <a:avLst/>
                          </a:prstGeom>
                          <a:grpFill/>
                          <a:ln w="6350">
                            <a:noFill/>
                          </a:ln>
                          <a:effectLst/>
                        </wps:spPr>
                        <wps:txbx>
                          <w:txbxContent>
                            <w:p w14:paraId="364D60F5" w14:textId="77777777" w:rsidR="00777BD1" w:rsidRPr="00C305D3" w:rsidRDefault="00777BD1" w:rsidP="00777BD1">
                              <w:pPr>
                                <w:pStyle w:val="NoSpacing"/>
                                <w:jc w:val="center"/>
                                <w:rPr>
                                  <w:rFonts w:eastAsiaTheme="majorEastAsia" w:cstheme="minorHAnsi"/>
                                  <w:b/>
                                  <w:bCs/>
                                  <w:caps/>
                                  <w:color w:val="FFFFFF" w:themeColor="background1"/>
                                  <w:sz w:val="18"/>
                                  <w:szCs w:val="18"/>
                                </w:rPr>
                              </w:pPr>
                              <w:r w:rsidRPr="00C305D3">
                                <w:rPr>
                                  <w:rFonts w:eastAsiaTheme="majorEastAsia" w:cstheme="minorHAnsi"/>
                                  <w:b/>
                                  <w:bCs/>
                                  <w:caps/>
                                  <w:color w:val="FFFFFF" w:themeColor="background1"/>
                                  <w:sz w:val="18"/>
                                  <w:szCs w:val="18"/>
                                </w:rPr>
                                <w:t>NOtable Events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E2908" id="Group 7" o:spid="_x0000_s1034" style="position:absolute;left:0;text-align:left;margin-left:386.85pt;margin-top:2.4pt;width:131.25pt;height:540.75pt;z-index:-251658237;mso-wrap-distance-left:18pt;mso-wrap-distance-right:18pt;mso-position-horizontal-relative:margin;mso-position-vertical-relative:margin;mso-width-relative:margin;mso-height-relative:margin" coordorigin=",1067" coordsize="18288,7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sVrAMAAK8MAAAOAAAAZHJzL2Uyb0RvYy54bWzkV9tu3DYQfS/QfyD0Xu9KXl1W8Dpw7Noo&#10;4CZG7SDPXIrSCpBIluRacr++h5S0F8dJUQeFA3QfZJEzGs6cmTlDn73r24Y8cm1qKVZBeDIPCBdM&#10;FrWoVsGnh+tfsoAYS0VBGyn4KnjiJnh3/vNPZ53KeSQ3sim4JjAiTN6pVbCxVuWzmWEb3lJzIhUX&#10;EJZSt9RiqatZoWkH620zi+bzZNZJXSgtGTcGu1eDMDj39suSM/uxLA23pFkF8M36p/bPtXvOzs9o&#10;XmmqNjUb3aCv8KKltcChO1NX1FKy1fUXptqaaWlkaU+YbGeyLGvGfQyIJpw/i+ZGy63ysVR5V6kd&#10;TID2GU6vNss+PN5oda/uNJDoVAUs/MrF0pe6dX/hJek9ZE87yHhvCcNmmCRJlsYBYZAlWZLGUTyA&#10;yjZAfv9dOE/SMJxEv06fZ1GWzZEY93maRlE4Xzqd2f50I5u6uK6bxrlidLW+bDR5pMjn+8Ucv1H9&#10;QG12FEenUFlmD575PvDuN1RxnxOTA7w7TepiFaDKBW1R33+g4qioGk4y55g7HFo7fE1uAPVXwT0E&#10;aYfwIURRlCW7kKf8KG3sDZctcS+rQMMFX4v08dbYAcxJxWN4BOiT2eGJtipk94CDA9JQYyFAvv3P&#10;22u27e+yGLDP4hF6mmPbZdqnJJy2kUDjTftcHiQH+oJ0qyCKkT3knaLpy4biSNYqIGlEFRDaVGAT&#10;ZrU/V0iXfgRCcxfHFTWb4TRvdsx/I5yc+5Yfw3bgD3C7t7UsnpAtLQcOMIpd17B2i0DvqEbTwxsQ&#10;mf2IR9lIuCjHt4BspP7rpX2nj3KCNCAdSATu/7mlmgO/3wQKbRkuFo51/GIRpxEW+lCyPpSIbXsp&#10;UdchKFMx/+r0bTO9llq2n8F3F+5UiKhgOHsAalxc2oHcwJiMX1x4NTCNovZW3CvmjE84PvSfqVZj&#10;0Vhk/YOcipvmz2pn0HVfCnmxtbKsfWHtcUWa3QKNNhT9f95xyy87zjOH8+JfdFy2XEbLU1dDKJ6X&#10;SCmBPI7SscresuXSqbeOWy6atn+8lrP9uvf0uJi48M2bMPRsOnUhpk0agbuHNhzJlby6D0FiQ0v+&#10;b7owBAsNg8+NDfJe9gRbx4OP2B77jnnG/W+OwNP4NF76evlKQ8ZRiDvD9/VjpdVupAzjKDmN58fD&#10;Bu30jzNlV+D+zrNnwzecMuPIeWHKjJJXV7cbxz9QfftbHm7F/oIx3uDdtftw7afS/v+M878BAAD/&#10;/wMAUEsDBBQABgAIAAAAIQAXA2qF4QAAAAsBAAAPAAAAZHJzL2Rvd25yZXYueG1sTI9Ba4NAEIXv&#10;hf6HZQq9Naux1WBdQwhtT6HQpFB6m+hEJe6suBs1/77rqbnN4z3efC9bT7oVA/W2MawgXAQgiAtT&#10;Nlwp+D68P61AWIdcYmuYFFzJwjq/v8swLc3IXzTsXSV8CdsUFdTOdamUtqhJo12Yjth7J9NrdF72&#10;lSx7HH25buUyCGKpsWH/ocaOtjUV5/1FK/gYcdxE4duwO5+219/Dy+fPLiSlHh+mzSsIR5P7D8OM&#10;79Eh90xHc+HSilZBkkSJjyp49gtmP4jiJYjjfK3iCGSeydsN+R8AAAD//wMAUEsBAi0AFAAGAAgA&#10;AAAhALaDOJL+AAAA4QEAABMAAAAAAAAAAAAAAAAAAAAAAFtDb250ZW50X1R5cGVzXS54bWxQSwEC&#10;LQAUAAYACAAAACEAOP0h/9YAAACUAQAACwAAAAAAAAAAAAAAAAAvAQAAX3JlbHMvLnJlbHNQSwEC&#10;LQAUAAYACAAAACEAJp9rFawDAACvDAAADgAAAAAAAAAAAAAAAAAuAgAAZHJzL2Uyb0RvYy54bWxQ&#10;SwECLQAUAAYACAAAACEAFwNqheEAAAALAQAADwAAAAAAAAAAAAAAAAAGBgAAZHJzL2Rvd25yZXYu&#10;eG1sUEsFBgAAAAAEAAQA8wAAABQHAAAAAA==&#10;">
                <v:rect id="Rectangle 8" o:spid="_x0000_s1035" style="position:absolute;top:1067;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KbwAAAANoAAAAPAAAAZHJzL2Rvd25yZXYueG1sRE9Ni8Iw&#10;EL0L/ocwgjdNXWRZqmkp4koPItrdg8ehGdtqMylN1PrvNwdhj4/3vU4H04oH9a6xrGAxj0AQl1Y3&#10;XCn4/fmefYFwHllja5kUvMhBmoxHa4y1ffKJHoWvRAhhF6OC2vsultKVNRl0c9sRB+5ie4M+wL6S&#10;usdnCDet/IiiT2mw4dBQY0ebmspbcTcK8qOV+/3plW+vZllk2fmwa+xBqelkyFYgPA3+X/x251pB&#10;2BquhBsgkz8AAAD//wMAUEsBAi0AFAAGAAgAAAAhANvh9svuAAAAhQEAABMAAAAAAAAAAAAAAAAA&#10;AAAAAFtDb250ZW50X1R5cGVzXS54bWxQSwECLQAUAAYACAAAACEAWvQsW78AAAAVAQAACwAAAAAA&#10;AAAAAAAAAAAfAQAAX3JlbHMvLnJlbHNQSwECLQAUAAYACAAAACEAQaqim8AAAADaAAAADwAAAAAA&#10;AAAAAAAAAAAHAgAAZHJzL2Rvd25yZXYueG1sUEsFBgAAAAADAAMAtwAAAPQCAAAAAA==&#10;" fillcolor="#262626" stroked="f" strokeweight="2pt"/>
                <v:rect id="Rectangle 9" o:spid="_x0000_s1036" style="position:absolute;top:8992;width:18288;height:6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kJwQAAANoAAAAPAAAAZHJzL2Rvd25yZXYueG1sRI9Ba4NA&#10;FITvgf6H5RV6i2sthNZmI8FSEHJKKjk/3BdXdN+Kuxr777uFQo/DzHzD7IvVDmKhyXeOFTwnKQji&#10;xumOWwX11+f2FYQPyBoHx6TgmzwUh4fNHnPt7nym5RJaESHsc1RgQhhzKX1jyKJP3EgcvZubLIYo&#10;p1bqCe8RbgeZpelOWuw4LhgcqTTU9JfZKnjxZcXVbD+q7LSk195g3Z9QqafH9fgOItAa/sN/7Uor&#10;eIPfK/EGyMMPAAAA//8DAFBLAQItABQABgAIAAAAIQDb4fbL7gAAAIUBAAATAAAAAAAAAAAAAAAA&#10;AAAAAABbQ29udGVudF9UeXBlc10ueG1sUEsBAi0AFAAGAAgAAAAhAFr0LFu/AAAAFQEAAAsAAAAA&#10;AAAAAAAAAAAAHwEAAF9yZWxzLy5yZWxzUEsBAi0AFAAGAAgAAAAhACpPOQnBAAAA2gAAAA8AAAAA&#10;AAAAAAAAAAAABwIAAGRycy9kb3ducmV2LnhtbFBLBQYAAAAAAwADALcAAAD1AgAAAAA=&#10;" fillcolor="#404040" stroked="f" strokeweight="2pt">
                  <v:textbox inset=",14.4pt,8.64pt,18pt">
                    <w:txbxContent>
                      <w:p w14:paraId="6B91D1EC" w14:textId="77777777" w:rsidR="00B12323" w:rsidRDefault="00B12323" w:rsidP="00777BD1">
                        <w:pPr>
                          <w:jc w:val="center"/>
                          <w:rPr>
                            <w:rFonts w:asciiTheme="minorHAnsi" w:hAnsiTheme="minorHAnsi" w:cstheme="minorHAnsi"/>
                            <w:b/>
                            <w:bCs/>
                            <w:color w:val="FFFFFF" w:themeColor="background1"/>
                            <w:sz w:val="17"/>
                            <w:szCs w:val="17"/>
                          </w:rPr>
                        </w:pPr>
                      </w:p>
                      <w:p w14:paraId="778B14B1" w14:textId="3A6B71E1" w:rsidR="00B12323" w:rsidRPr="007E4918" w:rsidRDefault="00B12323"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1990’s</w:t>
                        </w:r>
                        <w:r w:rsidR="00FB4465" w:rsidRPr="007E4918">
                          <w:rPr>
                            <w:rFonts w:asciiTheme="minorHAnsi" w:hAnsiTheme="minorHAnsi" w:cstheme="minorHAnsi"/>
                            <w:b/>
                            <w:bCs/>
                            <w:color w:val="FFFFFF" w:themeColor="background1"/>
                            <w:sz w:val="18"/>
                            <w:szCs w:val="18"/>
                          </w:rPr>
                          <w:t xml:space="preserve"> </w:t>
                        </w:r>
                        <w:r w:rsidR="008C3AAA" w:rsidRPr="007E4918">
                          <w:rPr>
                            <w:rFonts w:asciiTheme="minorHAnsi" w:hAnsiTheme="minorHAnsi" w:cstheme="minorHAnsi"/>
                            <w:b/>
                            <w:bCs/>
                            <w:color w:val="FFFFFF" w:themeColor="background1"/>
                            <w:sz w:val="18"/>
                            <w:szCs w:val="18"/>
                          </w:rPr>
                          <w:t>–</w:t>
                        </w:r>
                        <w:r w:rsidR="00FB4465" w:rsidRPr="007E4918">
                          <w:rPr>
                            <w:rFonts w:asciiTheme="minorHAnsi" w:hAnsiTheme="minorHAnsi" w:cstheme="minorHAnsi"/>
                            <w:b/>
                            <w:bCs/>
                            <w:color w:val="FFFFFF" w:themeColor="background1"/>
                            <w:sz w:val="18"/>
                            <w:szCs w:val="18"/>
                          </w:rPr>
                          <w:t xml:space="preserve"> S</w:t>
                        </w:r>
                        <w:r w:rsidRPr="007E4918">
                          <w:rPr>
                            <w:rFonts w:asciiTheme="minorHAnsi" w:hAnsiTheme="minorHAnsi" w:cstheme="minorHAnsi"/>
                            <w:b/>
                            <w:bCs/>
                            <w:color w:val="FFFFFF" w:themeColor="background1"/>
                            <w:sz w:val="18"/>
                            <w:szCs w:val="18"/>
                          </w:rPr>
                          <w:t>tates, along with the MTC, began the process that would lead to the creation of Streamlined and the SSUTA in 2000.</w:t>
                        </w:r>
                      </w:p>
                      <w:p w14:paraId="4AAB48A0" w14:textId="77777777" w:rsidR="00710B38" w:rsidRPr="007E4918" w:rsidRDefault="00710B38" w:rsidP="00777BD1">
                        <w:pPr>
                          <w:jc w:val="center"/>
                          <w:rPr>
                            <w:rFonts w:asciiTheme="minorHAnsi" w:hAnsiTheme="minorHAnsi" w:cstheme="minorHAnsi"/>
                            <w:b/>
                            <w:bCs/>
                            <w:color w:val="FFFFFF" w:themeColor="background1"/>
                            <w:sz w:val="18"/>
                            <w:szCs w:val="18"/>
                          </w:rPr>
                        </w:pPr>
                      </w:p>
                      <w:p w14:paraId="482BA526" w14:textId="1657DA27" w:rsidR="008C3AAA" w:rsidRPr="007E4918" w:rsidRDefault="008C3AAA"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Post-Quill – States began to </w:t>
                        </w:r>
                        <w:r w:rsidR="00573859">
                          <w:rPr>
                            <w:rFonts w:asciiTheme="minorHAnsi" w:hAnsiTheme="minorHAnsi" w:cstheme="minorHAnsi"/>
                            <w:b/>
                            <w:bCs/>
                            <w:color w:val="FFFFFF" w:themeColor="background1"/>
                            <w:sz w:val="18"/>
                            <w:szCs w:val="18"/>
                          </w:rPr>
                          <w:br/>
                        </w:r>
                        <w:r w:rsidRPr="007E4918">
                          <w:rPr>
                            <w:rFonts w:asciiTheme="minorHAnsi" w:hAnsiTheme="minorHAnsi" w:cstheme="minorHAnsi"/>
                            <w:b/>
                            <w:bCs/>
                            <w:color w:val="FFFFFF" w:themeColor="background1"/>
                            <w:sz w:val="18"/>
                            <w:szCs w:val="18"/>
                          </w:rPr>
                          <w:t>revisit the idea of true gross</w:t>
                        </w:r>
                        <w:r w:rsidR="00573859">
                          <w:rPr>
                            <w:rFonts w:asciiTheme="minorHAnsi" w:hAnsiTheme="minorHAnsi" w:cstheme="minorHAnsi"/>
                            <w:b/>
                            <w:bCs/>
                            <w:color w:val="FFFFFF" w:themeColor="background1"/>
                            <w:sz w:val="18"/>
                            <w:szCs w:val="18"/>
                          </w:rPr>
                          <w:br/>
                        </w:r>
                        <w:r w:rsidRPr="007E4918">
                          <w:rPr>
                            <w:rFonts w:asciiTheme="minorHAnsi" w:hAnsiTheme="minorHAnsi" w:cstheme="minorHAnsi"/>
                            <w:b/>
                            <w:bCs/>
                            <w:color w:val="FFFFFF" w:themeColor="background1"/>
                            <w:sz w:val="18"/>
                            <w:szCs w:val="18"/>
                          </w:rPr>
                          <w:t xml:space="preserve"> receipts taxes.</w:t>
                        </w:r>
                      </w:p>
                      <w:p w14:paraId="3E4B2497" w14:textId="7736314D" w:rsidR="00710B38" w:rsidRPr="007E4918" w:rsidRDefault="00710B38" w:rsidP="00710B38">
                        <w:pPr>
                          <w:rPr>
                            <w:rFonts w:asciiTheme="minorHAnsi" w:hAnsiTheme="minorHAnsi" w:cstheme="minorHAnsi"/>
                            <w:b/>
                            <w:bCs/>
                            <w:color w:val="FFFFFF" w:themeColor="background1"/>
                            <w:sz w:val="18"/>
                            <w:szCs w:val="18"/>
                          </w:rPr>
                        </w:pPr>
                      </w:p>
                      <w:p w14:paraId="614E889D" w14:textId="613C6F57" w:rsidR="008C3AAA" w:rsidRPr="007E4918" w:rsidRDefault="008C3AAA"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2010 </w:t>
                        </w:r>
                        <w:r w:rsidR="00392A24" w:rsidRPr="007E4918">
                          <w:rPr>
                            <w:rFonts w:asciiTheme="minorHAnsi" w:hAnsiTheme="minorHAnsi" w:cstheme="minorHAnsi"/>
                            <w:b/>
                            <w:bCs/>
                            <w:color w:val="FFFFFF" w:themeColor="background1"/>
                            <w:sz w:val="18"/>
                            <w:szCs w:val="18"/>
                          </w:rPr>
                          <w:t xml:space="preserve">– the Digital Goods and </w:t>
                        </w:r>
                        <w:r w:rsidR="00573859">
                          <w:rPr>
                            <w:rFonts w:asciiTheme="minorHAnsi" w:hAnsiTheme="minorHAnsi" w:cstheme="minorHAnsi"/>
                            <w:b/>
                            <w:bCs/>
                            <w:color w:val="FFFFFF" w:themeColor="background1"/>
                            <w:sz w:val="18"/>
                            <w:szCs w:val="18"/>
                          </w:rPr>
                          <w:br/>
                        </w:r>
                        <w:r w:rsidR="00392A24" w:rsidRPr="007E4918">
                          <w:rPr>
                            <w:rFonts w:asciiTheme="minorHAnsi" w:hAnsiTheme="minorHAnsi" w:cstheme="minorHAnsi"/>
                            <w:b/>
                            <w:bCs/>
                            <w:color w:val="FFFFFF" w:themeColor="background1"/>
                            <w:sz w:val="18"/>
                            <w:szCs w:val="18"/>
                          </w:rPr>
                          <w:t>Services Tax Fairness Act is first introduced in Congress.</w:t>
                        </w:r>
                      </w:p>
                      <w:p w14:paraId="319F8023" w14:textId="750E591F" w:rsidR="003F5042" w:rsidRDefault="003F5042" w:rsidP="00777BD1">
                        <w:pPr>
                          <w:jc w:val="center"/>
                          <w:rPr>
                            <w:rFonts w:asciiTheme="minorHAnsi" w:hAnsiTheme="minorHAnsi" w:cstheme="minorHAnsi"/>
                            <w:b/>
                            <w:bCs/>
                            <w:color w:val="FFFFFF" w:themeColor="background1"/>
                            <w:sz w:val="18"/>
                            <w:szCs w:val="18"/>
                          </w:rPr>
                        </w:pPr>
                      </w:p>
                      <w:p w14:paraId="639F2436" w14:textId="262F071B" w:rsidR="00AD1D66" w:rsidRPr="007E4918" w:rsidRDefault="00AD1D66" w:rsidP="00777BD1">
                        <w:pPr>
                          <w:jc w:val="center"/>
                          <w:rPr>
                            <w:rFonts w:asciiTheme="minorHAnsi" w:hAnsiTheme="minorHAnsi" w:cstheme="minorHAnsi"/>
                            <w:b/>
                            <w:bCs/>
                            <w:color w:val="FFFFFF" w:themeColor="background1"/>
                            <w:sz w:val="18"/>
                            <w:szCs w:val="18"/>
                          </w:rPr>
                        </w:pPr>
                        <w:r w:rsidRPr="007E4918">
                          <w:rPr>
                            <w:rFonts w:asciiTheme="minorHAnsi" w:hAnsiTheme="minorHAnsi" w:cstheme="minorHAnsi"/>
                            <w:b/>
                            <w:bCs/>
                            <w:color w:val="FFFFFF" w:themeColor="background1"/>
                            <w:sz w:val="18"/>
                            <w:szCs w:val="18"/>
                          </w:rPr>
                          <w:t xml:space="preserve">2018 – The U.S. Supreme Court overturned </w:t>
                        </w:r>
                        <w:proofErr w:type="spellStart"/>
                        <w:r w:rsidRPr="007E4918">
                          <w:rPr>
                            <w:rFonts w:asciiTheme="minorHAnsi" w:hAnsiTheme="minorHAnsi" w:cstheme="minorHAnsi"/>
                            <w:b/>
                            <w:bCs/>
                            <w:i/>
                            <w:iCs/>
                            <w:color w:val="FFFFFF" w:themeColor="background1"/>
                            <w:sz w:val="18"/>
                            <w:szCs w:val="18"/>
                          </w:rPr>
                          <w:t>Bellas</w:t>
                        </w:r>
                        <w:proofErr w:type="spellEnd"/>
                        <w:r w:rsidRPr="007E4918">
                          <w:rPr>
                            <w:rFonts w:asciiTheme="minorHAnsi" w:hAnsiTheme="minorHAnsi" w:cstheme="minorHAnsi"/>
                            <w:b/>
                            <w:bCs/>
                            <w:i/>
                            <w:iCs/>
                            <w:color w:val="FFFFFF" w:themeColor="background1"/>
                            <w:sz w:val="18"/>
                            <w:szCs w:val="18"/>
                          </w:rPr>
                          <w:t xml:space="preserve"> Hess</w:t>
                        </w:r>
                        <w:r w:rsidRPr="007E4918">
                          <w:rPr>
                            <w:rFonts w:asciiTheme="minorHAnsi" w:hAnsiTheme="minorHAnsi" w:cstheme="minorHAnsi"/>
                            <w:b/>
                            <w:bCs/>
                            <w:color w:val="FFFFFF" w:themeColor="background1"/>
                            <w:sz w:val="18"/>
                            <w:szCs w:val="18"/>
                          </w:rPr>
                          <w:t xml:space="preserve"> and </w:t>
                        </w:r>
                        <w:r w:rsidRPr="007E4918">
                          <w:rPr>
                            <w:rFonts w:asciiTheme="minorHAnsi" w:hAnsiTheme="minorHAnsi" w:cstheme="minorHAnsi"/>
                            <w:b/>
                            <w:bCs/>
                            <w:i/>
                            <w:iCs/>
                            <w:color w:val="FFFFFF" w:themeColor="background1"/>
                            <w:sz w:val="18"/>
                            <w:szCs w:val="18"/>
                          </w:rPr>
                          <w:t xml:space="preserve">Quill </w:t>
                        </w:r>
                        <w:r w:rsidRPr="007E4918">
                          <w:rPr>
                            <w:rFonts w:asciiTheme="minorHAnsi" w:hAnsiTheme="minorHAnsi" w:cstheme="minorHAnsi"/>
                            <w:b/>
                            <w:bCs/>
                            <w:color w:val="FFFFFF" w:themeColor="background1"/>
                            <w:sz w:val="18"/>
                            <w:szCs w:val="18"/>
                          </w:rPr>
                          <w:t xml:space="preserve">in </w:t>
                        </w:r>
                        <w:r w:rsidRPr="007E4918">
                          <w:rPr>
                            <w:rFonts w:asciiTheme="minorHAnsi" w:hAnsiTheme="minorHAnsi" w:cstheme="minorHAnsi"/>
                            <w:b/>
                            <w:bCs/>
                            <w:i/>
                            <w:iCs/>
                            <w:color w:val="FFFFFF" w:themeColor="background1"/>
                            <w:sz w:val="18"/>
                            <w:szCs w:val="18"/>
                          </w:rPr>
                          <w:t>South Dakota v. Wayfair, Inc.</w:t>
                        </w:r>
                        <w:r w:rsidRPr="007E4918">
                          <w:rPr>
                            <w:rFonts w:asciiTheme="minorHAnsi" w:hAnsiTheme="minorHAnsi" w:cstheme="minorHAnsi"/>
                            <w:b/>
                            <w:bCs/>
                            <w:color w:val="FFFFFF" w:themeColor="background1"/>
                            <w:sz w:val="18"/>
                            <w:szCs w:val="18"/>
                          </w:rPr>
                          <w:t xml:space="preserve">, 138 S. Ct. 2080, 585 U.S. __ (2018). </w:t>
                        </w:r>
                      </w:p>
                      <w:p w14:paraId="0DB08684" w14:textId="77777777" w:rsidR="00710B38" w:rsidRPr="007E4918" w:rsidRDefault="00710B38" w:rsidP="00777BD1">
                        <w:pPr>
                          <w:jc w:val="center"/>
                          <w:rPr>
                            <w:rFonts w:asciiTheme="minorHAnsi" w:hAnsiTheme="minorHAnsi" w:cstheme="minorHAnsi"/>
                            <w:b/>
                            <w:bCs/>
                            <w:color w:val="FFFFFF" w:themeColor="background1"/>
                            <w:sz w:val="18"/>
                            <w:szCs w:val="18"/>
                          </w:rPr>
                        </w:pPr>
                      </w:p>
                      <w:p w14:paraId="374013DF" w14:textId="40FEF8DE" w:rsidR="000B51A7" w:rsidRPr="00B62A64" w:rsidRDefault="000B51A7" w:rsidP="00777BD1">
                        <w:pPr>
                          <w:jc w:val="center"/>
                          <w:rPr>
                            <w:sz w:val="18"/>
                            <w:szCs w:val="18"/>
                          </w:rPr>
                        </w:pPr>
                        <w:r w:rsidRPr="007E4918">
                          <w:rPr>
                            <w:rFonts w:asciiTheme="minorHAnsi" w:hAnsiTheme="minorHAnsi" w:cstheme="minorHAnsi"/>
                            <w:b/>
                            <w:bCs/>
                            <w:color w:val="FFFFFF" w:themeColor="background1"/>
                            <w:sz w:val="18"/>
                            <w:szCs w:val="18"/>
                          </w:rPr>
                          <w:t>2021 – Maryland adopts a tax on digital advertising</w:t>
                        </w:r>
                        <w:r w:rsidR="000C350A">
                          <w:rPr>
                            <w:rFonts w:asciiTheme="minorHAnsi" w:hAnsiTheme="minorHAnsi" w:cstheme="minorHAnsi"/>
                            <w:b/>
                            <w:bCs/>
                            <w:color w:val="FFFFFF" w:themeColor="background1"/>
                            <w:sz w:val="17"/>
                            <w:szCs w:val="17"/>
                          </w:rPr>
                          <w:t xml:space="preserve">. </w:t>
                        </w:r>
                        <w:r w:rsidR="0097584B" w:rsidRPr="00B62A64">
                          <w:rPr>
                            <w:rFonts w:asciiTheme="minorHAnsi" w:hAnsiTheme="minorHAnsi" w:cstheme="minorHAnsi"/>
                            <w:b/>
                            <w:bCs/>
                            <w:color w:val="FFFFFF" w:themeColor="background1"/>
                            <w:sz w:val="18"/>
                            <w:szCs w:val="18"/>
                          </w:rPr>
                          <w:t>Other states file bills on similar subjects in the 2021-22 sessions.</w:t>
                        </w:r>
                      </w:p>
                    </w:txbxContent>
                  </v:textbox>
                </v:rect>
                <v:shapetype id="_x0000_t202" coordsize="21600,21600" o:spt="202" path="m,l,21600r21600,l21600,xe">
                  <v:stroke joinstyle="miter"/>
                  <v:path gradientshapeok="t" o:connecttype="rect"/>
                </v:shapetype>
                <v:shape id="Text Box 10" o:spid="_x0000_s1037" type="#_x0000_t202" style="position:absolute;top:3535;width:18288;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qNxQAAANsAAAAPAAAAZHJzL2Rvd25yZXYueG1sRI9Pa8JA&#10;EMXvBb/DMoXe6qZWqqSuEkJtvVTwD3gdstMkmJ1Ns6uJ3945FHqb4b157zeL1eAadaUu1J4NvIwT&#10;UMSFtzWXBo6H9fMcVIjIFhvPZOBGAVbL0cMCU+t73tF1H0slIRxSNFDF2KZah6Iih2HsW2LRfnzn&#10;MMraldp22Eu4a/QkSd60w5qlocKW8oqK8/7iDOTTj9/11+d3dpn1vX/VebI9ZWdjnh6H7B1UpCH+&#10;m/+uN1bwhV5+kQH08g4AAP//AwBQSwECLQAUAAYACAAAACEA2+H2y+4AAACFAQAAEwAAAAAAAAAA&#10;AAAAAAAAAAAAW0NvbnRlbnRfVHlwZXNdLnhtbFBLAQItABQABgAIAAAAIQBa9CxbvwAAABUBAAAL&#10;AAAAAAAAAAAAAAAAAB8BAABfcmVscy8ucmVsc1BLAQItABQABgAIAAAAIQBtzQqNxQAAANsAAAAP&#10;AAAAAAAAAAAAAAAAAAcCAABkcnMvZG93bnJldi54bWxQSwUGAAAAAAMAAwC3AAAA+QIAAAAA&#10;" filled="f" stroked="f" strokeweight=".5pt">
                  <v:textbox inset=",7.2pt,,7.2pt">
                    <w:txbxContent>
                      <w:p w14:paraId="364D60F5" w14:textId="77777777" w:rsidR="00777BD1" w:rsidRPr="00C305D3" w:rsidRDefault="00777BD1" w:rsidP="00777BD1">
                        <w:pPr>
                          <w:pStyle w:val="NoSpacing"/>
                          <w:jc w:val="center"/>
                          <w:rPr>
                            <w:rFonts w:eastAsiaTheme="majorEastAsia" w:cstheme="minorHAnsi"/>
                            <w:b/>
                            <w:bCs/>
                            <w:caps/>
                            <w:color w:val="FFFFFF" w:themeColor="background1"/>
                            <w:sz w:val="18"/>
                            <w:szCs w:val="18"/>
                          </w:rPr>
                        </w:pPr>
                        <w:r w:rsidRPr="00C305D3">
                          <w:rPr>
                            <w:rFonts w:eastAsiaTheme="majorEastAsia" w:cstheme="minorHAnsi"/>
                            <w:b/>
                            <w:bCs/>
                            <w:caps/>
                            <w:color w:val="FFFFFF" w:themeColor="background1"/>
                            <w:sz w:val="18"/>
                            <w:szCs w:val="18"/>
                          </w:rPr>
                          <w:t>NOtable Events</w:t>
                        </w:r>
                      </w:p>
                    </w:txbxContent>
                  </v:textbox>
                </v:shape>
                <w10:wrap type="square" anchorx="margin" anchory="margin"/>
              </v:group>
            </w:pict>
          </mc:Fallback>
        </mc:AlternateContent>
      </w:r>
      <w:r w:rsidR="00D645DA" w:rsidRPr="00D645DA">
        <w:t>Post-</w:t>
      </w:r>
      <w:r w:rsidR="003E319F" w:rsidRPr="00D645DA">
        <w:rPr>
          <w:i/>
          <w:iCs/>
        </w:rPr>
        <w:t>Quill</w:t>
      </w:r>
      <w:r w:rsidR="00D645DA" w:rsidRPr="00D645DA">
        <w:rPr>
          <w:i/>
          <w:iCs/>
        </w:rPr>
        <w:t xml:space="preserve"> </w:t>
      </w:r>
      <w:r w:rsidR="00D645DA" w:rsidRPr="00D645DA">
        <w:t>Years – State and Federal Initiatives</w:t>
      </w:r>
    </w:p>
    <w:p w14:paraId="4EA106BB" w14:textId="523D4573" w:rsidR="006E7686" w:rsidRDefault="00D645DA" w:rsidP="00D645DA">
      <w:r w:rsidRPr="00D645DA">
        <w:t>A</w:t>
      </w:r>
      <w:r w:rsidR="003E319F" w:rsidRPr="00D645DA">
        <w:t xml:space="preserve">fter </w:t>
      </w:r>
      <w:r w:rsidR="003E319F" w:rsidRPr="00D645DA">
        <w:rPr>
          <w:i/>
          <w:iCs/>
        </w:rPr>
        <w:t>Quill</w:t>
      </w:r>
      <w:r w:rsidR="003E319F" w:rsidRPr="00D645DA">
        <w:t xml:space="preserve">, the states undertook </w:t>
      </w:r>
      <w:r w:rsidR="003F5042">
        <w:t>a</w:t>
      </w:r>
      <w:r w:rsidR="003E319F" w:rsidRPr="00D645DA">
        <w:t xml:space="preserve"> project to simplify state sales taxes, which led to the formation of the Streamlined Sales and Use Tax Agreement (</w:t>
      </w:r>
      <w:r w:rsidRPr="00D645DA">
        <w:t>“</w:t>
      </w:r>
      <w:r w:rsidR="003E319F" w:rsidRPr="00D645DA">
        <w:t>SSUTA</w:t>
      </w:r>
      <w:r w:rsidRPr="00D645DA">
        <w:t>”</w:t>
      </w:r>
      <w:r w:rsidR="003E319F" w:rsidRPr="00D645DA">
        <w:t>)</w:t>
      </w:r>
      <w:r w:rsidR="006E7686">
        <w:t xml:space="preserve"> in 2000</w:t>
      </w:r>
      <w:r w:rsidR="003E319F" w:rsidRPr="00D645DA">
        <w:t xml:space="preserve">. </w:t>
      </w:r>
      <w:r w:rsidR="006E7686">
        <w:t>The MTC was an early and active proponent of the Streamlined effort.</w:t>
      </w:r>
      <w:r w:rsidR="006E7686" w:rsidRPr="00685851">
        <w:rPr>
          <w:rStyle w:val="FootnoteReference"/>
        </w:rPr>
        <w:footnoteReference w:id="12"/>
      </w:r>
      <w:r w:rsidR="003F5042">
        <w:t xml:space="preserve"> </w:t>
      </w:r>
      <w:r w:rsidR="003E319F" w:rsidRPr="00D645DA">
        <w:t>Currently, SSUTA</w:t>
      </w:r>
      <w:r w:rsidR="00CF68F4">
        <w:t xml:space="preserve"> has 23 full and 1 associate members</w:t>
      </w:r>
      <w:r w:rsidR="003E319F" w:rsidRPr="00D645DA">
        <w:t>.</w:t>
      </w:r>
      <w:r w:rsidRPr="00D645DA">
        <w:t xml:space="preserve"> </w:t>
      </w:r>
    </w:p>
    <w:p w14:paraId="626F94B5" w14:textId="2B7B9B91" w:rsidR="007A04CB" w:rsidRDefault="00D645DA" w:rsidP="00D645DA">
      <w:r w:rsidRPr="00D645DA">
        <w:t>Also, i</w:t>
      </w:r>
      <w:r w:rsidR="003E319F" w:rsidRPr="00D645DA">
        <w:t xml:space="preserve">n the years following </w:t>
      </w:r>
      <w:r w:rsidR="003E319F" w:rsidRPr="00D645DA">
        <w:rPr>
          <w:i/>
          <w:iCs/>
        </w:rPr>
        <w:t>Quill</w:t>
      </w:r>
      <w:r w:rsidR="003E319F" w:rsidRPr="00D645DA">
        <w:t xml:space="preserve">, </w:t>
      </w:r>
      <w:r w:rsidR="00684ED8">
        <w:t>states also began to consider expansion of their sales tax base to digital products. In addition, some</w:t>
      </w:r>
      <w:r w:rsidR="003E319F" w:rsidRPr="00D645DA">
        <w:t xml:space="preserve"> states considered, and a handful of states</w:t>
      </w:r>
      <w:r w:rsidR="00392A24">
        <w:t xml:space="preserve"> adopted</w:t>
      </w:r>
      <w:r w:rsidR="00684ED8">
        <w:t>,</w:t>
      </w:r>
      <w:r w:rsidR="00392A24">
        <w:t xml:space="preserve"> </w:t>
      </w:r>
      <w:r w:rsidR="003E319F" w:rsidRPr="00D645DA">
        <w:t>general business activity taxes</w:t>
      </w:r>
      <w:r w:rsidR="00FD5D13">
        <w:t xml:space="preserve"> including Ohio, Nevada, and </w:t>
      </w:r>
      <w:r w:rsidR="006B436F">
        <w:t>Oregon.</w:t>
      </w:r>
      <w:r w:rsidR="003E319F" w:rsidRPr="00D645DA">
        <w:t xml:space="preserve"> In part, this may have been to avoid </w:t>
      </w:r>
      <w:r w:rsidR="003E319F" w:rsidRPr="00D645DA">
        <w:rPr>
          <w:i/>
          <w:iCs/>
        </w:rPr>
        <w:t xml:space="preserve">Quill’s </w:t>
      </w:r>
      <w:r w:rsidR="003E319F" w:rsidRPr="00D645DA">
        <w:t xml:space="preserve">physical-presence standard and to include in the tax base a much broader </w:t>
      </w:r>
      <w:r w:rsidR="00684ED8">
        <w:t>range of activities than the</w:t>
      </w:r>
      <w:r w:rsidR="003E319F" w:rsidRPr="00D645DA">
        <w:t xml:space="preserve"> traditional sales tax. </w:t>
      </w:r>
    </w:p>
    <w:p w14:paraId="609E63BE" w14:textId="5E63FAB7" w:rsidR="003E319F" w:rsidRPr="00D645DA" w:rsidRDefault="003F5042" w:rsidP="00D645DA">
      <w:r>
        <w:t>Around this time there was another</w:t>
      </w:r>
      <w:r w:rsidR="007A04CB">
        <w:t xml:space="preserve"> </w:t>
      </w:r>
      <w:r w:rsidR="00D645DA" w:rsidRPr="00D645DA">
        <w:t xml:space="preserve">initiative </w:t>
      </w:r>
      <w:r w:rsidR="007A04CB">
        <w:t>to impose federal limits</w:t>
      </w:r>
      <w:r w:rsidR="00D645DA" w:rsidRPr="00D645DA">
        <w:t xml:space="preserve"> </w:t>
      </w:r>
      <w:r>
        <w:t xml:space="preserve">on states—the </w:t>
      </w:r>
      <w:r w:rsidR="00D645DA" w:rsidRPr="00D645DA">
        <w:t xml:space="preserve">Digital Goods and Services Tax Fairness Act (“DGSTFA”). </w:t>
      </w:r>
      <w:r w:rsidR="00594489">
        <w:t>First</w:t>
      </w:r>
      <w:r w:rsidR="00D645DA" w:rsidRPr="00D645DA">
        <w:t xml:space="preserve"> introduced in</w:t>
      </w:r>
      <w:r w:rsidR="007A04CB">
        <w:t xml:space="preserve"> Congress in</w:t>
      </w:r>
      <w:r w:rsidR="00D645DA" w:rsidRPr="00D645DA">
        <w:t xml:space="preserve"> 2010,</w:t>
      </w:r>
      <w:r w:rsidR="00594489">
        <w:t xml:space="preserve"> it</w:t>
      </w:r>
      <w:r w:rsidR="00D645DA" w:rsidRPr="00D645DA">
        <w:t xml:space="preserve"> would preempt taxes on digital goods and services unless imposed on “similar” </w:t>
      </w:r>
      <w:r w:rsidR="00594489">
        <w:t>items</w:t>
      </w:r>
      <w:r w:rsidR="00D645DA" w:rsidRPr="00D645DA">
        <w:t xml:space="preserve"> and would require sales be sourced according to uniform rules—often to destination</w:t>
      </w:r>
      <w:r w:rsidR="00392A24">
        <w:t xml:space="preserve">. The bill, however, </w:t>
      </w:r>
      <w:r w:rsidR="00D645DA" w:rsidRPr="00D645DA">
        <w:t xml:space="preserve">failed to provide the destination state with jurisdiction over the seller. </w:t>
      </w:r>
      <w:r>
        <w:t>T</w:t>
      </w:r>
      <w:r w:rsidR="00D645DA" w:rsidRPr="00D645DA">
        <w:t xml:space="preserve">he Congressional Budget Office found the bill constituted an “unfunded mandate” </w:t>
      </w:r>
      <w:r w:rsidR="00594489">
        <w:t>and</w:t>
      </w:r>
      <w:r w:rsidR="00D645DA" w:rsidRPr="00D645DA">
        <w:t xml:space="preserve"> imposed costs on the states in the form of forgone revenues </w:t>
      </w:r>
      <w:r>
        <w:t>“</w:t>
      </w:r>
      <w:r w:rsidR="00594489">
        <w:t>totaling</w:t>
      </w:r>
      <w:r w:rsidR="00D645DA" w:rsidRPr="00D645DA">
        <w:t xml:space="preserve"> more than $3 billion in the first full year and at least that amount in each subsequent year.”</w:t>
      </w:r>
      <w:r w:rsidR="00D645DA" w:rsidRPr="00685851">
        <w:rPr>
          <w:rStyle w:val="FootnoteReference"/>
        </w:rPr>
        <w:footnoteReference w:id="13"/>
      </w:r>
      <w:r w:rsidR="00D645DA" w:rsidRPr="00D645DA">
        <w:t xml:space="preserve"> </w:t>
      </w:r>
    </w:p>
    <w:p w14:paraId="37656A15" w14:textId="77777777" w:rsidR="003E319F" w:rsidRPr="00D645DA" w:rsidRDefault="003E319F" w:rsidP="002428FE">
      <w:pPr>
        <w:pStyle w:val="Heading3"/>
      </w:pPr>
      <w:r w:rsidRPr="00D645DA">
        <w:rPr>
          <w:i/>
          <w:iCs/>
        </w:rPr>
        <w:t>Wayfair</w:t>
      </w:r>
      <w:r w:rsidRPr="00D645DA">
        <w:t xml:space="preserve"> and Renewed Interest in Digital Products</w:t>
      </w:r>
    </w:p>
    <w:p w14:paraId="48A37D59" w14:textId="1829BBA6" w:rsidR="003E319F" w:rsidRPr="00D645DA" w:rsidRDefault="00594489" w:rsidP="00D645DA">
      <w:r>
        <w:t>I</w:t>
      </w:r>
      <w:r w:rsidR="003E319F" w:rsidRPr="00D645DA">
        <w:t xml:space="preserve">n 2018, the Supreme Court in </w:t>
      </w:r>
      <w:r w:rsidR="003E319F" w:rsidRPr="00D645DA">
        <w:rPr>
          <w:i/>
          <w:iCs/>
        </w:rPr>
        <w:t>Wayfair</w:t>
      </w:r>
      <w:r w:rsidR="00675CC8" w:rsidRPr="00685851">
        <w:rPr>
          <w:rStyle w:val="FootnoteReference"/>
        </w:rPr>
        <w:footnoteReference w:id="14"/>
      </w:r>
      <w:r w:rsidR="003E319F" w:rsidRPr="00D645DA">
        <w:t xml:space="preserve"> overturned </w:t>
      </w:r>
      <w:r w:rsidR="003E319F" w:rsidRPr="00D645DA">
        <w:rPr>
          <w:i/>
          <w:iCs/>
        </w:rPr>
        <w:t>Quill</w:t>
      </w:r>
      <w:r w:rsidR="003E319F" w:rsidRPr="00D645DA">
        <w:t xml:space="preserve"> and </w:t>
      </w:r>
      <w:proofErr w:type="spellStart"/>
      <w:r w:rsidR="003E319F" w:rsidRPr="00D645DA">
        <w:rPr>
          <w:i/>
          <w:iCs/>
        </w:rPr>
        <w:t>Bellas</w:t>
      </w:r>
      <w:proofErr w:type="spellEnd"/>
      <w:r w:rsidR="003E319F" w:rsidRPr="00D645DA">
        <w:rPr>
          <w:i/>
          <w:iCs/>
        </w:rPr>
        <w:t xml:space="preserve"> Hess</w:t>
      </w:r>
      <w:r w:rsidR="003E319F" w:rsidRPr="00D645DA">
        <w:t xml:space="preserve">, allowing states to </w:t>
      </w:r>
      <w:r>
        <w:t xml:space="preserve">require </w:t>
      </w:r>
      <w:r w:rsidR="003F5042">
        <w:t xml:space="preserve">that </w:t>
      </w:r>
      <w:r w:rsidR="003E319F" w:rsidRPr="00D645DA">
        <w:t>out-of-state sellers with no physical presence in the state</w:t>
      </w:r>
      <w:r>
        <w:t xml:space="preserve"> collect and pay sales tax</w:t>
      </w:r>
      <w:r w:rsidR="003E319F" w:rsidRPr="00D645DA">
        <w:t>.</w:t>
      </w:r>
      <w:r>
        <w:t xml:space="preserve"> In response, s</w:t>
      </w:r>
      <w:r w:rsidR="003E319F" w:rsidRPr="00D645DA">
        <w:t xml:space="preserve">tates have now adopted dollar-based thresholds </w:t>
      </w:r>
      <w:r w:rsidR="008B46C6">
        <w:t xml:space="preserve">and/or transaction thresholds </w:t>
      </w:r>
      <w:r w:rsidR="004B26EA">
        <w:t>into law, plus</w:t>
      </w:r>
      <w:r w:rsidR="003E319F" w:rsidRPr="00D645DA">
        <w:t xml:space="preserve"> related rules for determining when out-of-state sellers must collect tax on sales into the state. States have also imposed tax collection requirements on intermediaries, including </w:t>
      </w:r>
      <w:r w:rsidR="00D91EB2">
        <w:t xml:space="preserve">internet </w:t>
      </w:r>
      <w:r w:rsidR="003E319F" w:rsidRPr="00D645DA">
        <w:t xml:space="preserve">marketplaces, for sales made on their platforms. </w:t>
      </w:r>
    </w:p>
    <w:p w14:paraId="04242F43" w14:textId="42414E41" w:rsidR="003E319F" w:rsidRDefault="003E319F" w:rsidP="00D645DA">
      <w:r w:rsidRPr="00D645DA">
        <w:t xml:space="preserve">Even before </w:t>
      </w:r>
      <w:r w:rsidRPr="00D645DA">
        <w:rPr>
          <w:i/>
          <w:iCs/>
        </w:rPr>
        <w:t>Wayfair</w:t>
      </w:r>
      <w:r w:rsidRPr="00D645DA">
        <w:t xml:space="preserve">, it was common for states </w:t>
      </w:r>
      <w:r w:rsidR="002428FE">
        <w:t xml:space="preserve">to </w:t>
      </w:r>
      <w:r w:rsidR="003F5042">
        <w:t xml:space="preserve">look at </w:t>
      </w:r>
      <w:r w:rsidR="002428FE">
        <w:t>tax</w:t>
      </w:r>
      <w:r w:rsidR="003F5042">
        <w:t>ing</w:t>
      </w:r>
      <w:r w:rsidRPr="00D645DA">
        <w:t xml:space="preserve"> software and certain digital products </w:t>
      </w:r>
      <w:r w:rsidR="003F5042">
        <w:t xml:space="preserve">that are </w:t>
      </w:r>
      <w:r w:rsidRPr="00D645DA">
        <w:t xml:space="preserve">similar to traditional goods or services. Since </w:t>
      </w:r>
      <w:r w:rsidRPr="00D645DA">
        <w:rPr>
          <w:i/>
          <w:iCs/>
        </w:rPr>
        <w:t>Wayfair</w:t>
      </w:r>
      <w:r w:rsidRPr="00D645DA">
        <w:t>, interest has grown in</w:t>
      </w:r>
      <w:r w:rsidR="002428FE">
        <w:t xml:space="preserve"> taxing</w:t>
      </w:r>
      <w:r w:rsidRPr="00D645DA">
        <w:t xml:space="preserve"> other digital products</w:t>
      </w:r>
      <w:r w:rsidR="002428FE">
        <w:t>, as well</w:t>
      </w:r>
      <w:r w:rsidRPr="00D645DA">
        <w:t>. Two states are conducting studies on taxing the digital economy or digital products—New Jersey and Mississippi—reports to be issued this year. In the last few months, a number of states have considered legislation to expand their sales tax base to include digital products.</w:t>
      </w:r>
      <w:r w:rsidRPr="00685851">
        <w:rPr>
          <w:rStyle w:val="FootnoteReference"/>
        </w:rPr>
        <w:footnoteReference w:id="15"/>
      </w:r>
      <w:r w:rsidRPr="00D645DA">
        <w:t xml:space="preserve"> </w:t>
      </w:r>
      <w:r w:rsidRPr="003E319F">
        <w:t>Also, in 2021, Maryland adopted a tax on digital advertising</w:t>
      </w:r>
      <w:r w:rsidR="00675CC8" w:rsidRPr="00685851">
        <w:rPr>
          <w:rStyle w:val="FootnoteReference"/>
        </w:rPr>
        <w:footnoteReference w:id="16"/>
      </w:r>
      <w:r w:rsidRPr="003E319F">
        <w:t xml:space="preserve"> that has received significant attention and is the subject of litigation. Other states have recently considered similar legislation.</w:t>
      </w:r>
      <w:r w:rsidRPr="00685851">
        <w:rPr>
          <w:rStyle w:val="FootnoteReference"/>
        </w:rPr>
        <w:footnoteReference w:id="17"/>
      </w:r>
    </w:p>
    <w:p w14:paraId="23C5BAD1" w14:textId="03C90EB2" w:rsidR="00C8001E" w:rsidRPr="00DB0C9F" w:rsidRDefault="000B51A7" w:rsidP="00DB0C9F">
      <w:pPr>
        <w:pStyle w:val="Heading2"/>
      </w:pPr>
      <w:r>
        <w:lastRenderedPageBreak/>
        <w:t xml:space="preserve">Sales Taxes – </w:t>
      </w:r>
      <w:r w:rsidR="00DB0C9F">
        <w:t xml:space="preserve">Important </w:t>
      </w:r>
      <w:r w:rsidR="00C9578C">
        <w:t>Similarities and Differences</w:t>
      </w:r>
    </w:p>
    <w:p w14:paraId="59D2B178" w14:textId="1E52A1BB" w:rsidR="005C3B19" w:rsidRDefault="0011540A" w:rsidP="005C3B19">
      <w:r>
        <w:t xml:space="preserve">This section provides </w:t>
      </w:r>
      <w:r w:rsidR="005C3B19">
        <w:t xml:space="preserve">information about sales taxes that may be useful </w:t>
      </w:r>
      <w:r w:rsidR="000B51A7">
        <w:t>when reviewing</w:t>
      </w:r>
      <w:r w:rsidR="005C3B19">
        <w:t xml:space="preserve"> the detailed outline</w:t>
      </w:r>
      <w:r>
        <w:t>.</w:t>
      </w:r>
      <w:r w:rsidR="005C3B19">
        <w:t xml:space="preserve"> </w:t>
      </w:r>
    </w:p>
    <w:p w14:paraId="6B186309" w14:textId="3A2665E9" w:rsidR="00BB349B" w:rsidRDefault="00BB349B" w:rsidP="003E0054">
      <w:pPr>
        <w:pStyle w:val="Heading3"/>
        <w:ind w:left="576"/>
      </w:pPr>
      <w:r>
        <w:t>Revenue</w:t>
      </w:r>
      <w:r w:rsidR="00051283">
        <w:t xml:space="preserve"> Generated</w:t>
      </w:r>
      <w:r w:rsidR="000B51A7">
        <w:t xml:space="preserve"> from the Tax</w:t>
      </w:r>
    </w:p>
    <w:p w14:paraId="739CAF87" w14:textId="3E099C70" w:rsidR="00C8001E" w:rsidRPr="00C8001E" w:rsidRDefault="00C8001E" w:rsidP="003E0054">
      <w:pPr>
        <w:ind w:left="576"/>
      </w:pPr>
      <w:r w:rsidRPr="00C8001E">
        <w:t xml:space="preserve">All but five states—Alaska, Delaware, Montana, New Hampshire, and Oregon—have </w:t>
      </w:r>
      <w:r w:rsidR="000248F7">
        <w:t>impose</w:t>
      </w:r>
      <w:r w:rsidR="008753B2">
        <w:t>d</w:t>
      </w:r>
      <w:r w:rsidR="000248F7">
        <w:t xml:space="preserve"> a state-level sales tax</w:t>
      </w:r>
      <w:r w:rsidRPr="00C8001E">
        <w:t xml:space="preserve">. (In Alaska, the tax is imposed only by local governments.) </w:t>
      </w:r>
      <w:r w:rsidR="00A50005">
        <w:t xml:space="preserve">Even these </w:t>
      </w:r>
      <w:r w:rsidR="00AE3FBC">
        <w:t xml:space="preserve">five </w:t>
      </w:r>
      <w:r w:rsidR="00A50005">
        <w:t>states (</w:t>
      </w:r>
      <w:r w:rsidR="009006D8">
        <w:t>and</w:t>
      </w:r>
      <w:r w:rsidR="00A50005">
        <w:t xml:space="preserve"> their local governments) impose narrow</w:t>
      </w:r>
      <w:r w:rsidR="00293E79">
        <w:t>er</w:t>
      </w:r>
      <w:r w:rsidR="00A50005">
        <w:t xml:space="preserve"> excise taxes on certain goods and services—e.</w:t>
      </w:r>
      <w:r w:rsidR="008753B2">
        <w:t>g.,</w:t>
      </w:r>
      <w:r w:rsidR="00A50005">
        <w:t xml:space="preserve"> fuel taxes, tobacco and alcohol taxes, lodging taxes, </w:t>
      </w:r>
      <w:r w:rsidR="00775D64">
        <w:t xml:space="preserve">and </w:t>
      </w:r>
      <w:r w:rsidR="00A50005">
        <w:t xml:space="preserve">utility taxes. </w:t>
      </w:r>
    </w:p>
    <w:p w14:paraId="5D06B272" w14:textId="476D7EC5" w:rsidR="00C8001E" w:rsidRPr="00C8001E" w:rsidRDefault="00C8001E" w:rsidP="003E0054">
      <w:pPr>
        <w:ind w:left="576"/>
      </w:pPr>
      <w:r w:rsidRPr="00C8001E">
        <w:t xml:space="preserve">The share of tax revenue that each state derives from sales tax varies. </w:t>
      </w:r>
      <w:r w:rsidR="009006D8">
        <w:t xml:space="preserve">A </w:t>
      </w:r>
      <w:r w:rsidRPr="00C8001E">
        <w:t xml:space="preserve">2020 </w:t>
      </w:r>
      <w:r w:rsidR="009006D8">
        <w:t>study</w:t>
      </w:r>
      <w:r w:rsidRPr="00C8001E">
        <w:t xml:space="preserve"> found that sales taxes provided</w:t>
      </w:r>
      <w:r w:rsidR="009006D8">
        <w:t xml:space="preserve"> </w:t>
      </w:r>
      <w:r w:rsidRPr="00C8001E">
        <w:t xml:space="preserve">32% of all state tax revenue, slightly less than the revenue provided by </w:t>
      </w:r>
      <w:r w:rsidR="00120463">
        <w:t xml:space="preserve">state </w:t>
      </w:r>
      <w:r w:rsidRPr="00C8001E">
        <w:t>personal income taxes</w:t>
      </w:r>
      <w:r w:rsidR="00A50005">
        <w:t>, although</w:t>
      </w:r>
      <w:r w:rsidR="00AE3FBC">
        <w:t>,</w:t>
      </w:r>
      <w:r w:rsidRPr="00C8001E">
        <w:t xml:space="preserve"> in 16 states, sales taxes are the largest source of tax revenues.</w:t>
      </w:r>
      <w:r w:rsidRPr="00685851">
        <w:rPr>
          <w:rStyle w:val="FootnoteReference"/>
        </w:rPr>
        <w:footnoteReference w:id="18"/>
      </w:r>
      <w:r w:rsidRPr="00C8001E">
        <w:t xml:space="preserve"> According to U.S. census data for more recent quarters, total state sales tax revenue for all states was about 30% of total state tax revenue.</w:t>
      </w:r>
      <w:r w:rsidRPr="00685851">
        <w:rPr>
          <w:rStyle w:val="FootnoteReference"/>
        </w:rPr>
        <w:footnoteReference w:id="19"/>
      </w:r>
      <w:r w:rsidRPr="00C8001E">
        <w:t xml:space="preserve"> This slightly lower percentage may be anomalous</w:t>
      </w:r>
      <w:r w:rsidR="000248F7">
        <w:t>,</w:t>
      </w:r>
      <w:r w:rsidRPr="00C8001E">
        <w:t xml:space="preserve"> </w:t>
      </w:r>
      <w:r w:rsidR="00A50005">
        <w:t>or</w:t>
      </w:r>
      <w:r w:rsidRPr="00C8001E">
        <w:t xml:space="preserve"> it may be consistent with the slight but steady </w:t>
      </w:r>
      <w:r w:rsidR="00A50005">
        <w:t xml:space="preserve">relative </w:t>
      </w:r>
      <w:r w:rsidRPr="00C8001E">
        <w:t xml:space="preserve">decline </w:t>
      </w:r>
      <w:r w:rsidR="00A50005">
        <w:t xml:space="preserve">in sales tax revenue </w:t>
      </w:r>
      <w:r w:rsidRPr="00C8001E">
        <w:t>that has occurred over the last few decades.</w:t>
      </w:r>
      <w:r w:rsidRPr="00685851">
        <w:rPr>
          <w:rStyle w:val="FootnoteReference"/>
        </w:rPr>
        <w:footnoteReference w:id="20"/>
      </w:r>
      <w:r w:rsidRPr="00C8001E">
        <w:t xml:space="preserve"> </w:t>
      </w:r>
    </w:p>
    <w:p w14:paraId="79C9F0A2" w14:textId="45E92C2F" w:rsidR="00BB349B" w:rsidRDefault="000B51A7" w:rsidP="003E0054">
      <w:pPr>
        <w:pStyle w:val="Heading3"/>
        <w:ind w:left="576"/>
      </w:pPr>
      <w:r>
        <w:t xml:space="preserve">Tax </w:t>
      </w:r>
      <w:r w:rsidR="00BB349B">
        <w:t>Rates</w:t>
      </w:r>
      <w:r w:rsidR="00051283">
        <w:t xml:space="preserve"> Imposed</w:t>
      </w:r>
    </w:p>
    <w:p w14:paraId="64F8A889" w14:textId="7B8A0AB6" w:rsidR="00C8001E" w:rsidRPr="00C8001E" w:rsidRDefault="00C8001E" w:rsidP="003E0054">
      <w:pPr>
        <w:ind w:left="576"/>
      </w:pPr>
      <w:r w:rsidRPr="00C8001E">
        <w:t>Sales tax rates also vary between jurisdictions and depend on both the state rate imposed and any local rates that may be included. Today, the highest combined state and local rate is slightly less than 10%</w:t>
      </w:r>
      <w:r w:rsidR="00120463">
        <w:t>,</w:t>
      </w:r>
      <w:r w:rsidRPr="00C8001E">
        <w:t xml:space="preserve"> and the lowest is around 5%. The overall trend in rates, however, is upward, with </w:t>
      </w:r>
      <w:r w:rsidR="00120463">
        <w:t xml:space="preserve">median </w:t>
      </w:r>
      <w:r w:rsidRPr="00C8001E">
        <w:t>state rates increasing about one percentage point over the last decade.</w:t>
      </w:r>
      <w:r w:rsidRPr="00685851">
        <w:rPr>
          <w:rStyle w:val="FootnoteReference"/>
        </w:rPr>
        <w:footnoteReference w:id="21"/>
      </w:r>
      <w:r w:rsidRPr="00C8001E">
        <w:t xml:space="preserve">  </w:t>
      </w:r>
    </w:p>
    <w:p w14:paraId="468CF7B6" w14:textId="75C14BFD" w:rsidR="00BB349B" w:rsidRDefault="00BB349B" w:rsidP="003E0054">
      <w:pPr>
        <w:pStyle w:val="Heading3"/>
        <w:ind w:left="576"/>
      </w:pPr>
      <w:r>
        <w:t>Tax Base</w:t>
      </w:r>
    </w:p>
    <w:p w14:paraId="326689E7" w14:textId="1FEEC134" w:rsidR="00C8001E" w:rsidRPr="00C8001E" w:rsidRDefault="00BB349B" w:rsidP="003E0054">
      <w:pPr>
        <w:ind w:left="576"/>
      </w:pPr>
      <w:r>
        <w:t xml:space="preserve">As noted above, while some states impose the </w:t>
      </w:r>
      <w:r w:rsidR="00B60A25">
        <w:t xml:space="preserve">sales </w:t>
      </w:r>
      <w:r>
        <w:t xml:space="preserve">tax on a broad base, others impose it only on sales or transactions involving tangible personal property </w:t>
      </w:r>
      <w:r w:rsidR="00A64E31">
        <w:t xml:space="preserve">(however defined) </w:t>
      </w:r>
      <w:r>
        <w:t>and certain other specifically enumerated items.</w:t>
      </w:r>
      <w:r w:rsidR="00DB682C">
        <w:t xml:space="preserve"> </w:t>
      </w:r>
      <w:r w:rsidR="00C8001E" w:rsidRPr="00C8001E">
        <w:t>The</w:t>
      </w:r>
      <w:r w:rsidR="00DB682C">
        <w:t>refore, the</w:t>
      </w:r>
      <w:r w:rsidR="00C8001E" w:rsidRPr="00C8001E">
        <w:t xml:space="preserve"> relative breadth of the</w:t>
      </w:r>
      <w:r w:rsidR="0011540A">
        <w:t xml:space="preserve"> </w:t>
      </w:r>
      <w:r w:rsidR="00C8001E" w:rsidRPr="00C8001E">
        <w:t>tax base (excluding specific excise taxes) varies from state to state and depending on whether it is measured relative to certain consumption data or personal income. One estimate based on personal income shows a variation ranging from 19% (California) to 94% (Hawaii).</w:t>
      </w:r>
      <w:r w:rsidR="00C8001E" w:rsidRPr="00685851">
        <w:rPr>
          <w:rStyle w:val="FootnoteReference"/>
        </w:rPr>
        <w:footnoteReference w:id="22"/>
      </w:r>
      <w:r w:rsidR="00C8001E" w:rsidRPr="00C8001E">
        <w:t xml:space="preserve"> </w:t>
      </w:r>
      <w:r w:rsidR="0011540A">
        <w:t>B</w:t>
      </w:r>
      <w:r w:rsidR="00C8001E" w:rsidRPr="00C8001E">
        <w:t>ecause of changes in the economy, one expert estimated that the breadth of the sales tax base across all states has narrowed by as much as 35% since 2000.</w:t>
      </w:r>
      <w:r w:rsidR="00C8001E" w:rsidRPr="00685851">
        <w:rPr>
          <w:rStyle w:val="FootnoteReference"/>
        </w:rPr>
        <w:footnoteReference w:id="23"/>
      </w:r>
      <w:r w:rsidR="00C8001E" w:rsidRPr="00C8001E">
        <w:t xml:space="preserve"> </w:t>
      </w:r>
    </w:p>
    <w:p w14:paraId="612A0AD4" w14:textId="0C7D2B15" w:rsidR="00DB682C" w:rsidRDefault="00DB682C" w:rsidP="003E0054">
      <w:pPr>
        <w:pStyle w:val="Heading3"/>
        <w:ind w:left="576"/>
      </w:pPr>
      <w:r>
        <w:t>Co</w:t>
      </w:r>
      <w:r w:rsidR="004B26A5">
        <w:t>mmon Exemptions</w:t>
      </w:r>
    </w:p>
    <w:p w14:paraId="05B2A20D" w14:textId="6198EF40" w:rsidR="00864541" w:rsidRDefault="00C8001E" w:rsidP="003E0054">
      <w:pPr>
        <w:ind w:left="576"/>
      </w:pPr>
      <w:r w:rsidRPr="00C8001E">
        <w:t>Most states have attempted to reduce what is sometimes called sales tax “pyramiding” or “cascading” on business-to-business (</w:t>
      </w:r>
      <w:r w:rsidR="008518A7">
        <w:t>“</w:t>
      </w:r>
      <w:r w:rsidRPr="00C8001E">
        <w:t>B2B</w:t>
      </w:r>
      <w:r w:rsidR="008518A7">
        <w:t>”</w:t>
      </w:r>
      <w:r w:rsidRPr="00C8001E">
        <w:t xml:space="preserve">) transactions by granting exemptions for purchases made for resale or purchases of manufacturing or processing inputs or other business inputs. In some cases, however, </w:t>
      </w:r>
      <w:r w:rsidR="0051651D" w:rsidRPr="0051651D">
        <w:rPr>
          <w:b/>
          <w:noProof/>
        </w:rPr>
        <mc:AlternateContent>
          <mc:Choice Requires="wpg">
            <w:drawing>
              <wp:anchor distT="0" distB="0" distL="228600" distR="228600" simplePos="0" relativeHeight="251658245" behindDoc="1" locked="0" layoutInCell="1" allowOverlap="1" wp14:anchorId="2F6B318C" wp14:editId="1F3F51E7">
                <wp:simplePos x="0" y="0"/>
                <wp:positionH relativeFrom="margin">
                  <wp:posOffset>5058410</wp:posOffset>
                </wp:positionH>
                <wp:positionV relativeFrom="margin">
                  <wp:posOffset>-9859315</wp:posOffset>
                </wp:positionV>
                <wp:extent cx="1550035" cy="7092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1550035" cy="709295"/>
                          <a:chOff x="0" y="-118617"/>
                          <a:chExt cx="1828800" cy="555704"/>
                        </a:xfrm>
                        <a:solidFill>
                          <a:srgbClr val="B40000"/>
                        </a:solidFill>
                      </wpg:grpSpPr>
                      <wps:wsp>
                        <wps:cNvPr id="16" name="Rectangle 16"/>
                        <wps:cNvSpPr/>
                        <wps:spPr>
                          <a:xfrm>
                            <a:off x="0" y="-118617"/>
                            <a:ext cx="1828799" cy="206230"/>
                          </a:xfrm>
                          <a:prstGeom prst="rect">
                            <a:avLst/>
                          </a:prstGeom>
                          <a:solidFill>
                            <a:sysClr val="windowText" lastClr="000000">
                              <a:lumMod val="85000"/>
                              <a:lumOff val="1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4810"/>
                            <a:ext cx="1828800" cy="332277"/>
                          </a:xfrm>
                          <a:prstGeom prst="rect">
                            <a:avLst/>
                          </a:prstGeom>
                          <a:grpFill/>
                          <a:ln w="6350">
                            <a:noFill/>
                          </a:ln>
                          <a:effectLst/>
                        </wps:spPr>
                        <wps:txbx>
                          <w:txbxContent>
                            <w:p w14:paraId="61092402" w14:textId="77777777" w:rsidR="00131FCD" w:rsidRPr="00C305D3" w:rsidRDefault="00131FCD" w:rsidP="00131FCD">
                              <w:pPr>
                                <w:pStyle w:val="NoSpacing"/>
                                <w:jc w:val="center"/>
                                <w:rPr>
                                  <w:rFonts w:eastAsiaTheme="majorEastAsia" w:cstheme="minorHAnsi"/>
                                  <w:b/>
                                  <w:bCs/>
                                  <w:caps/>
                                  <w:color w:val="FFFFFF" w:themeColor="background1"/>
                                  <w:sz w:val="18"/>
                                  <w:szCs w:val="18"/>
                                </w:rPr>
                              </w:pPr>
                              <w:r>
                                <w:rPr>
                                  <w:rFonts w:eastAsiaTheme="majorEastAsia" w:cstheme="minorHAnsi"/>
                                  <w:b/>
                                  <w:bCs/>
                                  <w:caps/>
                                  <w:color w:val="FFFFFF" w:themeColor="background1"/>
                                  <w:sz w:val="18"/>
                                  <w:szCs w:val="18"/>
                                </w:rPr>
                                <w:t>Majority Rules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B318C" id="Group 15" o:spid="_x0000_s1038" style="position:absolute;left:0;text-align:left;margin-left:398.3pt;margin-top:-776.3pt;width:122.05pt;height:55.85pt;z-index:-251658235;mso-wrap-distance-left:18pt;mso-wrap-distance-right:18pt;mso-position-horizontal-relative:margin;mso-position-vertical-relative:margin;mso-width-relative:margin;mso-height-relative:margin" coordorigin=",-1186" coordsize="18288,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cUWwMAACsJAAAOAAAAZHJzL2Uyb0RvYy54bWzcVttu2zgQfV9g/4HQe2NJtnwR4hRpsgkW&#10;SNtgk0WfaYqSBVAkl6QjpV/fQ+piJ9u9oAu0wPpBJjmjIefMmUOdv+0aQZ64sbWS2yg5iyPCJVNF&#10;Latt9PvjzZt1RKyjsqBCSb6NnrmN3l78/NN5q3Oeqr0SBTcEQaTNW72N9s7pfDazbM8bas+U5hLG&#10;UpmGOkxNNSsMbRG9EbM0jpezVplCG8W4tVi97o3RRYhflpy5j2VpuSNiG+FsLjxNeO78c3ZxTvPK&#10;UL2v2XAM+g2naGgtsekU6po6Sg6m/lOopmZGWVW6M6aamSrLmvGQA7JJ4lfZ3Bp10CGXKm8rPcEE&#10;aF/h9M1h2YenW6Mf9L0BEq2ugEWY+Vy60jT+H6ckXYDseYKMd44wLCZZFsfzLCIMtlW8STdZjynb&#10;A/jja2+SZL1MVqPtl/H1dbpexyiMfz3LslW88C6z4+ZWibq4qYXwJ7Gm2l0JQ54oyvluEeM3uJ+4&#10;zV6k0WoQyx6xs/8Nu4c91TyUxObA7t6QugAKy4hI2oDfv4FxVFaCE6wFSIPfBLDNLbD+S3RfwDRh&#10;DJBWm00PUhov0/mY9Vghbay75aohfrCNDA4R2Eif7qzr8RxdAowvMH22E6RorEK1j9g4IoJaBwMq&#10;Hn4hnjg071XRw79G4Yf+wbIvdqhKMi6jhjaEDuU8qQ/NhSTtNkozFBBJUbR9KSi2ZI0GmFZWEaGi&#10;gp4wZ8K+UnkGIBGa+zyuqd33u4WwAwWE9HYemn5I2xe/x9uPdqp4RsGM6lXAanZTI9odEr2nBm2P&#10;00DK3Ec8SqFwRDWMIrJX5vPX1r0/GAVrRFrICI7/x4EaDvx+leDaJlksvO6EySJbpZiYU8vu1CIP&#10;zZUCtROIpmZh6P2dGIelUc0nKN6l3xUmKhn27oEaJleulzdoJuOXl8ENWqOpu5MPmvngI46P3Sdq&#10;9EAah6p/UCO/af6KO72vf1Oqy4NTZR2IdcQVZR56zQvJ92g6XC1903nCkneqI8n6Vc8R12Hd5zz0&#10;4t92XxIv1snA6dPmmxRqPk/TVRCxE4UaO+tfNh8EdiJz3wjLeRa/pDmi/yObXbfrgvhMOvPD+T2Q&#10;/Sv8Hiz/F36HKwY3cpC24evBX/mn89APx2+ciy8AAAD//wMAUEsDBBQABgAIAAAAIQBaPH+c5QAA&#10;ABABAAAPAAAAZHJzL2Rvd25yZXYueG1sTI9Nb4JAEIbvTfofNtOkN93FAiplMca0PZkm1SamtxFG&#10;ILK7hF0B/32XU3ubjyfvPJNuRtWwnjpbGy0hmAtgpHNT1LqU8H18n62AWYe6wMZoknAnC5vs8SHF&#10;pDCD/qL+4ErmQ7RNUELlXJtwbvOKFNq5aUn73cV0Cp1vu5IXHQ4+XDV8IUTMFdbaX6iwpV1F+fVw&#10;UxI+Bhy2L8Fbv79edvefY/R52gck5fPTuH0F5mh0fzBM+l4dMu90NjddWNZIWK7j2KMSZkEULXw5&#10;MSIUS2DnaRiGYg08S/n/R7JfAAAA//8DAFBLAQItABQABgAIAAAAIQC2gziS/gAAAOEBAAATAAAA&#10;AAAAAAAAAAAAAAAAAABbQ29udGVudF9UeXBlc10ueG1sUEsBAi0AFAAGAAgAAAAhADj9If/WAAAA&#10;lAEAAAsAAAAAAAAAAAAAAAAALwEAAF9yZWxzLy5yZWxzUEsBAi0AFAAGAAgAAAAhALq8lxRbAwAA&#10;KwkAAA4AAAAAAAAAAAAAAAAALgIAAGRycy9lMm9Eb2MueG1sUEsBAi0AFAAGAAgAAAAhAFo8f5zl&#10;AAAAEAEAAA8AAAAAAAAAAAAAAAAAtQUAAGRycy9kb3ducmV2LnhtbFBLBQYAAAAABAAEAPMAAADH&#10;BgAAAAA=&#10;">
                <v:rect id="Rectangle 16" o:spid="_x0000_s1039" style="position:absolute;top:-1186;width:18287;height:2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NPrwgAAANsAAAAPAAAAZHJzL2Rvd25yZXYueG1sRE9Na8JA&#10;EL0L/odlBG+6sUiQ1FVCsSWHEJq0hx6H7DRJm50N2a3Gf+8KBW/zeJ+zP06mF2caXWdZwWYdgSCu&#10;re64UfD58bragXAeWWNvmRRcycHxMJ/tMdH2wiWdK9+IEMIuQQWt90MipatbMujWdiAO3LcdDfoA&#10;x0bqES8h3PTyKYpiabDj0NDiQC8t1b/Vn1GQvVuZ5+U1O/2YbZWmX8VbZwullospfQbhafIP8b87&#10;02F+DPdfwgHycAMAAP//AwBQSwECLQAUAAYACAAAACEA2+H2y+4AAACFAQAAEwAAAAAAAAAAAAAA&#10;AAAAAAAAW0NvbnRlbnRfVHlwZXNdLnhtbFBLAQItABQABgAIAAAAIQBa9CxbvwAAABUBAAALAAAA&#10;AAAAAAAAAAAAAB8BAABfcmVscy8ucmVsc1BLAQItABQABgAIAAAAIQAX5NPrwgAAANsAAAAPAAAA&#10;AAAAAAAAAAAAAAcCAABkcnMvZG93bnJldi54bWxQSwUGAAAAAAMAAwC3AAAA9gIAAAAA&#10;" fillcolor="#262626" stroked="f" strokeweight="2pt"/>
                <v:shape id="Text Box 18" o:spid="_x0000_s1040" type="#_x0000_t202" style="position:absolute;top:1048;width:18288;height:3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aLxQAAANsAAAAPAAAAZHJzL2Rvd25yZXYueG1sRI9Pa8JA&#10;EMXvBb/DMoXe6qZWqqSuEkJtvVTwD3gdstMkmJ1Ns6uJ3945FHqb4b157zeL1eAadaUu1J4NvIwT&#10;UMSFtzWXBo6H9fMcVIjIFhvPZOBGAVbL0cMCU+t73tF1H0slIRxSNFDF2KZah6Iih2HsW2LRfnzn&#10;MMraldp22Eu4a/QkSd60w5qlocKW8oqK8/7iDOTTj9/11+d3dpn1vX/VebI9ZWdjnh6H7B1UpCH+&#10;m/+uN1bwBVZ+kQH08g4AAP//AwBQSwECLQAUAAYACAAAACEA2+H2y+4AAACFAQAAEwAAAAAAAAAA&#10;AAAAAAAAAAAAW0NvbnRlbnRfVHlwZXNdLnhtbFBLAQItABQABgAIAAAAIQBa9CxbvwAAABUBAAAL&#10;AAAAAAAAAAAAAAAAAB8BAABfcmVscy8ucmVsc1BLAQItABQABgAIAAAAIQCTuwaLxQAAANsAAAAP&#10;AAAAAAAAAAAAAAAAAAcCAABkcnMvZG93bnJldi54bWxQSwUGAAAAAAMAAwC3AAAA+QIAAAAA&#10;" filled="f" stroked="f" strokeweight=".5pt">
                  <v:textbox inset=",7.2pt,,7.2pt">
                    <w:txbxContent>
                      <w:p w14:paraId="61092402" w14:textId="77777777" w:rsidR="00131FCD" w:rsidRPr="00C305D3" w:rsidRDefault="00131FCD" w:rsidP="00131FCD">
                        <w:pPr>
                          <w:pStyle w:val="NoSpacing"/>
                          <w:jc w:val="center"/>
                          <w:rPr>
                            <w:rFonts w:eastAsiaTheme="majorEastAsia" w:cstheme="minorHAnsi"/>
                            <w:b/>
                            <w:bCs/>
                            <w:caps/>
                            <w:color w:val="FFFFFF" w:themeColor="background1"/>
                            <w:sz w:val="18"/>
                            <w:szCs w:val="18"/>
                          </w:rPr>
                        </w:pPr>
                        <w:r>
                          <w:rPr>
                            <w:rFonts w:eastAsiaTheme="majorEastAsia" w:cstheme="minorHAnsi"/>
                            <w:b/>
                            <w:bCs/>
                            <w:caps/>
                            <w:color w:val="FFFFFF" w:themeColor="background1"/>
                            <w:sz w:val="18"/>
                            <w:szCs w:val="18"/>
                          </w:rPr>
                          <w:t>Majority Rules</w:t>
                        </w:r>
                      </w:p>
                    </w:txbxContent>
                  </v:textbox>
                </v:shape>
                <w10:wrap type="square" anchorx="margin" anchory="margin"/>
              </v:group>
            </w:pict>
          </mc:Fallback>
        </mc:AlternateContent>
      </w:r>
      <w:r w:rsidRPr="00C8001E">
        <w:t>imposing tax on B2B transactions may be</w:t>
      </w:r>
      <w:r w:rsidR="00DB0C9F">
        <w:t xml:space="preserve"> considered</w:t>
      </w:r>
      <w:r w:rsidRPr="00C8001E">
        <w:t xml:space="preserve"> justified where there is no tax imposed on the ultimate consumption.</w:t>
      </w:r>
      <w:r w:rsidRPr="00685851">
        <w:rPr>
          <w:rStyle w:val="FootnoteReference"/>
        </w:rPr>
        <w:footnoteReference w:id="24"/>
      </w:r>
      <w:r w:rsidR="009006D8">
        <w:t xml:space="preserve"> </w:t>
      </w:r>
      <w:r w:rsidRPr="00C8001E">
        <w:t xml:space="preserve">Most states have </w:t>
      </w:r>
      <w:r w:rsidR="0011540A">
        <w:t xml:space="preserve">also </w:t>
      </w:r>
      <w:r w:rsidRPr="00C8001E">
        <w:t xml:space="preserve">attempted to reduce the regressivity of sales taxes. Methods include exempting certain essential purchases, such as food, </w:t>
      </w:r>
      <w:r w:rsidR="008518A7">
        <w:t xml:space="preserve">tax “holidays,” </w:t>
      </w:r>
      <w:r w:rsidRPr="00C8001E">
        <w:t xml:space="preserve">providing credits tied </w:t>
      </w:r>
      <w:r w:rsidRPr="00C8001E">
        <w:lastRenderedPageBreak/>
        <w:t>to income, or expanding the tax base to include certain services purchased by higher-income households.</w:t>
      </w:r>
      <w:r w:rsidRPr="00685851">
        <w:rPr>
          <w:rStyle w:val="FootnoteReference"/>
        </w:rPr>
        <w:footnoteReference w:id="25"/>
      </w:r>
      <w:r w:rsidRPr="00C8001E">
        <w:t xml:space="preserve">  </w:t>
      </w:r>
    </w:p>
    <w:p w14:paraId="34901162" w14:textId="0BFFEAFC" w:rsidR="004B26A5" w:rsidRDefault="004B26A5" w:rsidP="003E0054">
      <w:pPr>
        <w:pStyle w:val="Heading3"/>
        <w:ind w:left="576"/>
      </w:pPr>
      <w:r>
        <w:t>Adaptability</w:t>
      </w:r>
      <w:r w:rsidR="00051283">
        <w:t xml:space="preserve"> (or Lack of It)</w:t>
      </w:r>
    </w:p>
    <w:p w14:paraId="4D305060" w14:textId="301C6901" w:rsidR="000B5388" w:rsidRDefault="000B5388" w:rsidP="003E0054">
      <w:pPr>
        <w:spacing w:after="120"/>
        <w:ind w:left="576"/>
      </w:pPr>
      <w:r>
        <w:t xml:space="preserve">The inability of the </w:t>
      </w:r>
      <w:r w:rsidR="008518A7">
        <w:t xml:space="preserve">state sales </w:t>
      </w:r>
      <w:r>
        <w:t>tax</w:t>
      </w:r>
      <w:r w:rsidR="008518A7">
        <w:t>es</w:t>
      </w:r>
      <w:r>
        <w:t xml:space="preserve"> to adapt to changes in the economy—reflected in r</w:t>
      </w:r>
      <w:r w:rsidRPr="00C8001E">
        <w:t>ising tax rates imposed on a narrowing base relative to consumption—is often cited as critical to the tax’s future.</w:t>
      </w:r>
      <w:r w:rsidRPr="00685851">
        <w:rPr>
          <w:rStyle w:val="FootnoteReference"/>
        </w:rPr>
        <w:footnoteReference w:id="26"/>
      </w:r>
      <w:r w:rsidRPr="00C8001E">
        <w:t xml:space="preserve"> </w:t>
      </w:r>
      <w:r w:rsidR="00864541">
        <w:t>Experts have, for decades, noted the failure of sales taxes to keep up with the digital economy</w:t>
      </w:r>
      <w:r>
        <w:t>, to the point where one noted expert has opined:</w:t>
      </w:r>
    </w:p>
    <w:p w14:paraId="3DBE330A" w14:textId="5C6CB5F8" w:rsidR="00C8001E" w:rsidRPr="00C8001E" w:rsidRDefault="000B5388" w:rsidP="003E0054">
      <w:pPr>
        <w:ind w:left="1152" w:right="576"/>
      </w:pPr>
      <w:r>
        <w:t xml:space="preserve">“. . .the tax, as it currently functions, is an anachronism that reflects its origins in the Industrial Age nearly 70 years ago; since the </w:t>
      </w:r>
      <w:r w:rsidR="004B26A5">
        <w:t>[retail sales tax</w:t>
      </w:r>
      <w:r w:rsidR="00DB0C9F">
        <w:t xml:space="preserve"> or RST</w:t>
      </w:r>
      <w:r w:rsidR="004B26A5">
        <w:t>]</w:t>
      </w:r>
      <w:r>
        <w:t xml:space="preserve"> was created without a firm conceptual basis and “just </w:t>
      </w:r>
      <w:proofErr w:type="spellStart"/>
      <w:r>
        <w:t>growed</w:t>
      </w:r>
      <w:proofErr w:type="spellEnd"/>
      <w:r>
        <w:t>,” it is not surprising that it is defective—or that e-commerce magnifies its defects. But the problem may be deeper than this; even if reformed, the RST may simply not be suitable to serve as the most important source of tax revenue of state and local governments in the twenty-first century.”</w:t>
      </w:r>
      <w:r w:rsidR="008D684E" w:rsidRPr="00685851">
        <w:rPr>
          <w:rStyle w:val="FootnoteReference"/>
        </w:rPr>
        <w:footnoteReference w:id="27"/>
      </w:r>
    </w:p>
    <w:p w14:paraId="3B5A11BD" w14:textId="6A1339C3" w:rsidR="003E0054" w:rsidRDefault="00710B38" w:rsidP="003E0054">
      <w:pPr>
        <w:pStyle w:val="Heading3"/>
        <w:ind w:left="576"/>
      </w:pPr>
      <w:r w:rsidRPr="0051651D">
        <w:rPr>
          <w:rFonts w:eastAsiaTheme="minorHAnsi" w:cstheme="minorBidi"/>
          <w:b/>
          <w:noProof/>
          <w:sz w:val="24"/>
          <w:szCs w:val="22"/>
          <w:u w:val="none"/>
        </w:rPr>
        <mc:AlternateContent>
          <mc:Choice Requires="wpg">
            <w:drawing>
              <wp:anchor distT="0" distB="0" distL="228600" distR="228600" simplePos="0" relativeHeight="251658244" behindDoc="1" locked="0" layoutInCell="1" allowOverlap="1" wp14:anchorId="2551B7A8" wp14:editId="12F64CDB">
                <wp:simplePos x="0" y="0"/>
                <wp:positionH relativeFrom="margin">
                  <wp:posOffset>5341620</wp:posOffset>
                </wp:positionH>
                <wp:positionV relativeFrom="margin">
                  <wp:posOffset>2859405</wp:posOffset>
                </wp:positionV>
                <wp:extent cx="1426210" cy="4086225"/>
                <wp:effectExtent l="0" t="0" r="2540" b="9525"/>
                <wp:wrapSquare wrapText="bothSides"/>
                <wp:docPr id="11" name="Group 11"/>
                <wp:cNvGraphicFramePr/>
                <a:graphic xmlns:a="http://schemas.openxmlformats.org/drawingml/2006/main">
                  <a:graphicData uri="http://schemas.microsoft.com/office/word/2010/wordprocessingGroup">
                    <wpg:wgp>
                      <wpg:cNvGrpSpPr/>
                      <wpg:grpSpPr>
                        <a:xfrm>
                          <a:off x="0" y="0"/>
                          <a:ext cx="1426210" cy="4086225"/>
                          <a:chOff x="0" y="-67065"/>
                          <a:chExt cx="1828801" cy="6656537"/>
                        </a:xfrm>
                        <a:solidFill>
                          <a:srgbClr val="B40000"/>
                        </a:solidFill>
                      </wpg:grpSpPr>
                      <wps:wsp>
                        <wps:cNvPr id="12" name="Rectangle 12"/>
                        <wps:cNvSpPr/>
                        <wps:spPr>
                          <a:xfrm>
                            <a:off x="0" y="-67065"/>
                            <a:ext cx="1828799" cy="394762"/>
                          </a:xfrm>
                          <a:prstGeom prst="rect">
                            <a:avLst/>
                          </a:prstGeom>
                          <a:solidFill>
                            <a:sysClr val="windowText" lastClr="000000">
                              <a:lumMod val="85000"/>
                              <a:lumOff val="1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314287"/>
                            <a:ext cx="1828801" cy="5275185"/>
                          </a:xfrm>
                          <a:prstGeom prst="rect">
                            <a:avLst/>
                          </a:prstGeom>
                          <a:solidFill>
                            <a:sysClr val="windowText" lastClr="000000">
                              <a:lumMod val="75000"/>
                              <a:lumOff val="25000"/>
                            </a:sysClr>
                          </a:solidFill>
                          <a:ln w="25400" cap="flat" cmpd="sng" algn="ctr">
                            <a:noFill/>
                            <a:prstDash val="solid"/>
                          </a:ln>
                          <a:effectLst/>
                        </wps:spPr>
                        <wps:txbx>
                          <w:txbxContent>
                            <w:p w14:paraId="28423AEB" w14:textId="61CD7BD8" w:rsidR="0051651D" w:rsidRPr="00E04FC2" w:rsidRDefault="0051651D" w:rsidP="00710B38">
                              <w:pPr>
                                <w:spacing w:after="360"/>
                                <w:jc w:val="center"/>
                                <w:rPr>
                                  <w:rFonts w:asciiTheme="minorHAnsi" w:hAnsiTheme="minorHAnsi" w:cstheme="minorHAnsi"/>
                                  <w:b/>
                                  <w:bCs/>
                                  <w:color w:val="FFFFFF" w:themeColor="background1"/>
                                  <w:sz w:val="18"/>
                                  <w:szCs w:val="18"/>
                                </w:rPr>
                              </w:pPr>
                              <w:r w:rsidRPr="00E04FC2">
                                <w:rPr>
                                  <w:rFonts w:asciiTheme="minorHAnsi" w:hAnsiTheme="minorHAnsi" w:cstheme="minorHAnsi"/>
                                  <w:b/>
                                  <w:bCs/>
                                  <w:color w:val="FFFFFF" w:themeColor="background1"/>
                                  <w:sz w:val="18"/>
                                  <w:szCs w:val="18"/>
                                </w:rPr>
                                <w:t>Legal Imposition of the Sales Tax – on the customer unless the seller fails to properly collect.</w:t>
                              </w:r>
                            </w:p>
                            <w:p w14:paraId="57F3B9BB" w14:textId="31DC1496" w:rsidR="0051651D" w:rsidRPr="00E04FC2" w:rsidRDefault="0051651D" w:rsidP="00710B38">
                              <w:pPr>
                                <w:spacing w:after="360"/>
                                <w:jc w:val="center"/>
                                <w:rPr>
                                  <w:rFonts w:asciiTheme="minorHAnsi" w:hAnsiTheme="minorHAnsi" w:cstheme="minorHAnsi"/>
                                  <w:b/>
                                  <w:bCs/>
                                  <w:color w:val="FFFFFF" w:themeColor="background1"/>
                                  <w:sz w:val="18"/>
                                  <w:szCs w:val="18"/>
                                </w:rPr>
                              </w:pPr>
                              <w:r w:rsidRPr="00E04FC2">
                                <w:rPr>
                                  <w:rFonts w:asciiTheme="minorHAnsi" w:hAnsiTheme="minorHAnsi" w:cstheme="minorHAnsi"/>
                                  <w:b/>
                                  <w:bCs/>
                                  <w:color w:val="FFFFFF" w:themeColor="background1"/>
                                  <w:sz w:val="18"/>
                                  <w:szCs w:val="18"/>
                                </w:rPr>
                                <w:t>Imposition of Compensating Use Tax – all states</w:t>
                              </w:r>
                            </w:p>
                            <w:p w14:paraId="13BFE87C" w14:textId="77777777" w:rsidR="00483C37" w:rsidRPr="00E04FC2" w:rsidRDefault="00483C37" w:rsidP="00710B38">
                              <w:pPr>
                                <w:spacing w:after="360"/>
                                <w:jc w:val="center"/>
                                <w:rPr>
                                  <w:rFonts w:asciiTheme="minorHAnsi" w:hAnsiTheme="minorHAnsi" w:cstheme="minorHAnsi"/>
                                  <w:b/>
                                  <w:bCs/>
                                  <w:color w:val="FFFFFF" w:themeColor="background1"/>
                                  <w:sz w:val="18"/>
                                  <w:szCs w:val="18"/>
                                </w:rPr>
                              </w:pPr>
                              <w:r w:rsidRPr="00E04FC2">
                                <w:rPr>
                                  <w:rFonts w:asciiTheme="minorHAnsi" w:hAnsiTheme="minorHAnsi" w:cstheme="minorHAnsi"/>
                                  <w:b/>
                                  <w:bCs/>
                                  <w:color w:val="FFFFFF" w:themeColor="background1"/>
                                  <w:sz w:val="18"/>
                                  <w:szCs w:val="18"/>
                                </w:rPr>
                                <w:t>Tax Rates – combination of state and local rates.</w:t>
                              </w:r>
                            </w:p>
                            <w:p w14:paraId="1B15806E" w14:textId="74877E3B" w:rsidR="009006D8" w:rsidRPr="009006D8" w:rsidRDefault="009006D8" w:rsidP="009006D8">
                              <w:pPr>
                                <w:jc w:val="center"/>
                                <w:rPr>
                                  <w:rFonts w:asciiTheme="minorHAnsi" w:hAnsiTheme="minorHAnsi" w:cstheme="minorHAnsi"/>
                                  <w:b/>
                                  <w:bCs/>
                                  <w:color w:val="FFFFFF" w:themeColor="background1"/>
                                  <w:sz w:val="17"/>
                                  <w:szCs w:val="17"/>
                                </w:rPr>
                              </w:pPr>
                              <w:r w:rsidRPr="009006D8">
                                <w:rPr>
                                  <w:rFonts w:asciiTheme="minorHAnsi" w:hAnsiTheme="minorHAnsi" w:cstheme="minorHAnsi"/>
                                  <w:b/>
                                  <w:bCs/>
                                  <w:color w:val="FFFFFF" w:themeColor="background1"/>
                                  <w:sz w:val="17"/>
                                  <w:szCs w:val="17"/>
                                </w:rPr>
                                <w:t xml:space="preserve">State Tax Base – tangible personal property and specifically </w:t>
                              </w:r>
                              <w:r w:rsidR="000C350A" w:rsidRPr="009006D8">
                                <w:rPr>
                                  <w:rFonts w:asciiTheme="minorHAnsi" w:hAnsiTheme="minorHAnsi" w:cstheme="minorHAnsi"/>
                                  <w:b/>
                                  <w:bCs/>
                                  <w:color w:val="FFFFFF" w:themeColor="background1"/>
                                  <w:sz w:val="17"/>
                                  <w:szCs w:val="17"/>
                                </w:rPr>
                                <w:t>enumerated services</w:t>
                              </w:r>
                              <w:r w:rsidRPr="009006D8">
                                <w:rPr>
                                  <w:rFonts w:asciiTheme="minorHAnsi" w:hAnsiTheme="minorHAnsi" w:cstheme="minorHAnsi"/>
                                  <w:b/>
                                  <w:bCs/>
                                  <w:color w:val="FFFFFF" w:themeColor="background1"/>
                                  <w:sz w:val="17"/>
                                  <w:szCs w:val="17"/>
                                </w:rPr>
                                <w:t>.</w:t>
                              </w:r>
                            </w:p>
                            <w:p w14:paraId="6690E3FB" w14:textId="77777777" w:rsidR="00483C37" w:rsidRDefault="00483C37" w:rsidP="0051651D">
                              <w:pPr>
                                <w:jc w:val="center"/>
                                <w:rPr>
                                  <w:rFonts w:asciiTheme="minorHAnsi" w:hAnsiTheme="minorHAnsi" w:cstheme="minorHAnsi"/>
                                  <w:b/>
                                  <w:bCs/>
                                  <w:color w:val="FFFFFF" w:themeColor="background1"/>
                                  <w:sz w:val="17"/>
                                  <w:szCs w:val="17"/>
                                </w:rPr>
                              </w:pPr>
                            </w:p>
                            <w:p w14:paraId="6A16743D" w14:textId="77777777" w:rsidR="0051651D" w:rsidRDefault="0051651D" w:rsidP="0051651D">
                              <w:pPr>
                                <w:jc w:val="center"/>
                                <w:rPr>
                                  <w:rFonts w:asciiTheme="minorHAnsi" w:hAnsiTheme="minorHAnsi" w:cstheme="minorHAnsi"/>
                                  <w:b/>
                                  <w:bCs/>
                                  <w:color w:val="FFFFFF" w:themeColor="background1"/>
                                  <w:sz w:val="17"/>
                                  <w:szCs w:val="17"/>
                                </w:rPr>
                              </w:pPr>
                            </w:p>
                            <w:p w14:paraId="4A86C372" w14:textId="77777777" w:rsidR="0051651D" w:rsidRPr="00C305D3" w:rsidRDefault="0051651D" w:rsidP="0051651D">
                              <w:pPr>
                                <w:jc w:val="center"/>
                                <w:rPr>
                                  <w:rFonts w:asciiTheme="minorHAnsi" w:hAnsiTheme="minorHAnsi" w:cstheme="minorHAnsi"/>
                                  <w:b/>
                                  <w:bCs/>
                                  <w:color w:val="FFFFFF" w:themeColor="background1"/>
                                  <w:sz w:val="17"/>
                                  <w:szCs w:val="17"/>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4" name="Text Box 14"/>
                        <wps:cNvSpPr txBox="1"/>
                        <wps:spPr>
                          <a:xfrm>
                            <a:off x="0" y="354014"/>
                            <a:ext cx="1828800" cy="921110"/>
                          </a:xfrm>
                          <a:prstGeom prst="rect">
                            <a:avLst/>
                          </a:prstGeom>
                          <a:grpFill/>
                          <a:ln w="6350">
                            <a:noFill/>
                          </a:ln>
                          <a:effectLst/>
                        </wps:spPr>
                        <wps:txbx>
                          <w:txbxContent>
                            <w:p w14:paraId="6507FE9B" w14:textId="56EEBDB9" w:rsidR="0051651D" w:rsidRPr="00C305D3" w:rsidRDefault="0051651D" w:rsidP="0051651D">
                              <w:pPr>
                                <w:pStyle w:val="NoSpacing"/>
                                <w:jc w:val="center"/>
                                <w:rPr>
                                  <w:rFonts w:eastAsiaTheme="majorEastAsia" w:cstheme="minorHAnsi"/>
                                  <w:b/>
                                  <w:bCs/>
                                  <w:caps/>
                                  <w:color w:val="FFFFFF" w:themeColor="background1"/>
                                  <w:sz w:val="18"/>
                                  <w:szCs w:val="18"/>
                                </w:rPr>
                              </w:pPr>
                              <w:r>
                                <w:rPr>
                                  <w:rFonts w:eastAsiaTheme="majorEastAsia" w:cstheme="minorHAnsi"/>
                                  <w:b/>
                                  <w:bCs/>
                                  <w:caps/>
                                  <w:color w:val="FFFFFF" w:themeColor="background1"/>
                                  <w:sz w:val="18"/>
                                  <w:szCs w:val="18"/>
                                </w:rPr>
                                <w:t>Majority Rules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1B7A8" id="Group 11" o:spid="_x0000_s1041" style="position:absolute;left:0;text-align:left;margin-left:420.6pt;margin-top:225.15pt;width:112.3pt;height:321.75pt;z-index:-251658236;mso-wrap-distance-left:18pt;mso-wrap-distance-right:18pt;mso-position-horizontal-relative:margin;mso-position-vertical-relative:margin;mso-width-relative:margin;mso-height-relative:margin" coordorigin=",-670" coordsize="18288,6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nDtAMAALQMAAAOAAAAZHJzL2Uyb0RvYy54bWzkV9tu2zgQfV+g/0DovbEky7IsxCnSpAkW&#10;yLbBJos+0xIlC5BIlqQjZb9+D6mLHW/2Ai+wKVA/KCSHHM6cmTPDnH/ompo8MaUrwddecOZ7hPFM&#10;5BUv195vjzfvE49oQ3lOa8HZ2ntm2vtw8e6n81amLBRbUedMESjhOm3l2tsaI9PZTGdb1lB9JiTj&#10;EBZCNdRgqspZrmgL7U09C30/nrVC5VKJjGmN1ete6F04/UXBMvOlKDQzpF57sM24r3Lfjf3OLs5p&#10;Wioqt1U2mEFPsKKhFcelk6praijZqepPqpoqU0KLwpxlopmJoqgy5nyAN4F/5M2tEjvpfCnTtpQT&#10;TID2CKeT1Wafn26VfJD3Cki0sgQWbmZ96QrV2L+wknQOsucJMtYZkmExiMI4DIBsBlnkJ3EYLnpQ&#10;sy2Q3597Hy/9eBJ9Go8nYZL4QX88jhfxYr60x2f727Woq/ymqmtrilbl5qpW5Ikinh8jH79h+8G2&#10;2Qs/WonM0nvw9H8D72FLJXMx0SnAu1ekygFD6BFOGyT4r0g5ysuaEaw5TN2+CWGdaoD9l/AewjRh&#10;DJCWq1UP0nwVLWOn+QAjqbS5ZaIhdrD2FGxw2Uif7rTp4Ry3OBRfQPqsJ0RBrFy0j7jYIzXVBgJE&#10;3P2cvnrX/CLyHv1kMYBPUyzbWLugBOMyzNNOtYvmQXiwn5N27YULxA9OUdC+qCmuzBoJLDUvPULr&#10;EvUkM8rdy4VNADhCU+vHNdXb/jandsiAmls5c6Qf3Lax7+G2o43InxEvJfoqoGV2U0HbHRy9pwq0&#10;hzUoZeYLPkUtYKIYRh7ZCvX7a+t2PxIKUo+0KCMw/9uOKgb8fuZItVUQRbbuuEm0WIaYqEPJ5lDC&#10;d82VQGaDELDODe1+U4/DQonmKyrepb0VIsoz3N0DNUyuTF/eUDMzdnnptqHWSGru+IPMrPIRx8fu&#10;K1VySBqDqH8WY3rT9Ch3+r32JBeXOyOKyiXWHleEeaCaLST/B+fmr3BufgLngjmqWOLqDvLntcq0&#10;CJeLIHHV641Ztxzp9ZJ14bj8/bHOdJvO1UgH8D5f3pCHges6IxEDf7UM8UzpmRiGSWzL0slURB3r&#10;WfnjEDEaiWg7B/koOhJERzwkpsO6LT5DT/zbLjhHa+hVHBMSkbEvjVUYBHh19K1tfKeMLe5fdsFS&#10;yamr9B0pni/8l/0GdPrHtjIleDL69uaNZug6rzSaQXJydtuO/B3lt3vq4Wns3hjDM96+vQ/nrjHt&#10;/9m4+AMAAP//AwBQSwMEFAAGAAgAAAAhAHw57PXjAAAADQEAAA8AAABkcnMvZG93bnJldi54bWxM&#10;j8FqwzAMhu+DvYPRYLfVTtOULItTStl2KoO1g7GbGqtJaGyH2E3St59z2m4S+vj1/flm0i0bqHeN&#10;NRKihQBGprSqMZWEr+PbUwrMeTQKW2tIwo0cbIr7uxwzZUfzScPBVyyEGJehhNr7LuPclTVpdAvb&#10;kQm3s+01+rD2FVc9jiFct3wpxJprbEz4UGNHu5rKy+GqJbyPOG7j6HXYX867288x+fjeRyTl48O0&#10;fQHmafJ/MMz6QR2K4HSyV6McayWkq2gZUAmrRMTAZkKsk9DmNE/PcQq8yPn/FsUvAAAA//8DAFBL&#10;AQItABQABgAIAAAAIQC2gziS/gAAAOEBAAATAAAAAAAAAAAAAAAAAAAAAABbQ29udGVudF9UeXBl&#10;c10ueG1sUEsBAi0AFAAGAAgAAAAhADj9If/WAAAAlAEAAAsAAAAAAAAAAAAAAAAALwEAAF9yZWxz&#10;Ly5yZWxzUEsBAi0AFAAGAAgAAAAhABDHOcO0AwAAtAwAAA4AAAAAAAAAAAAAAAAALgIAAGRycy9l&#10;Mm9Eb2MueG1sUEsBAi0AFAAGAAgAAAAhAHw57PXjAAAADQEAAA8AAAAAAAAAAAAAAAAADgYAAGRy&#10;cy9kb3ducmV2LnhtbFBLBQYAAAAABAAEAPMAAAAeBwAAAAA=&#10;">
                <v:rect id="Rectangle 12" o:spid="_x0000_s1042" style="position:absolute;top:-670;width:18287;height:3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XowgAAANsAAAAPAAAAZHJzL2Rvd25yZXYueG1sRE9Na8JA&#10;EL0X/A/LCL01G6UUia4Sii05SGjSHjwO2TFZm50N2a3Gf98tFLzN433OZjfZXlxo9MaxgkWSgiBu&#10;nDbcKvj6fHtagfABWWPvmBTcyMNuO3vYYKbdlSu61KEVMYR9hgq6EIZMSt90ZNEnbiCO3MmNFkOE&#10;Yyv1iNcYbnu5TNMXadFwbOhwoNeOmu/6xyooPpw8HKpbsT/b5zrPj+W7caVSj/MpX4MINIW7+N9d&#10;6Dh/CX+/xAPk9hcAAP//AwBQSwECLQAUAAYACAAAACEA2+H2y+4AAACFAQAAEwAAAAAAAAAAAAAA&#10;AAAAAAAAW0NvbnRlbnRfVHlwZXNdLnhtbFBLAQItABQABgAIAAAAIQBa9CxbvwAAABUBAAALAAAA&#10;AAAAAAAAAAAAAB8BAABfcmVscy8ucmVsc1BLAQItABQABgAIAAAAIQBo39XowgAAANsAAAAPAAAA&#10;AAAAAAAAAAAAAAcCAABkcnMvZG93bnJldi54bWxQSwUGAAAAAAMAAwC3AAAA9gIAAAAA&#10;" fillcolor="#262626" stroked="f" strokeweight="2pt"/>
                <v:rect id="Rectangle 13" o:spid="_x0000_s1043" style="position:absolute;top:13142;width:18288;height:5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R0vgAAANsAAAAPAAAAZHJzL2Rvd25yZXYueG1sRE9Li8Iw&#10;EL4L+x/CLOzNpiqIVGORLgsFTz7wPDRjU9pMShNr999vFgRv8/E9Z5dPthMjDb5xrGCRpCCIK6cb&#10;rhVcLz/zDQgfkDV2jknBL3nI9x+zHWbaPflE4znUIoawz1CBCaHPpPSVIYs+cT1x5O5usBgiHGqp&#10;B3zGcNvJZZqupcWGY4PBngpDVXt+WAUrX5RcPux3uTyO6a01eG2PqNTX53TYggg0hbf45S51nL+C&#10;/1/iAXL/BwAA//8DAFBLAQItABQABgAIAAAAIQDb4fbL7gAAAIUBAAATAAAAAAAAAAAAAAAAAAAA&#10;AABbQ29udGVudF9UeXBlc10ueG1sUEsBAi0AFAAGAAgAAAAhAFr0LFu/AAAAFQEAAAsAAAAAAAAA&#10;AAAAAAAAHwEAAF9yZWxzLy5yZWxzUEsBAi0AFAAGAAgAAAAhALdpFHS+AAAA2wAAAA8AAAAAAAAA&#10;AAAAAAAABwIAAGRycy9kb3ducmV2LnhtbFBLBQYAAAAAAwADALcAAADyAgAAAAA=&#10;" fillcolor="#404040" stroked="f" strokeweight="2pt">
                  <v:textbox inset=",14.4pt,8.64pt,18pt">
                    <w:txbxContent>
                      <w:p w14:paraId="28423AEB" w14:textId="61CD7BD8" w:rsidR="0051651D" w:rsidRPr="00E04FC2" w:rsidRDefault="0051651D" w:rsidP="00710B38">
                        <w:pPr>
                          <w:spacing w:after="360"/>
                          <w:jc w:val="center"/>
                          <w:rPr>
                            <w:rFonts w:asciiTheme="minorHAnsi" w:hAnsiTheme="minorHAnsi" w:cstheme="minorHAnsi"/>
                            <w:b/>
                            <w:bCs/>
                            <w:color w:val="FFFFFF" w:themeColor="background1"/>
                            <w:sz w:val="18"/>
                            <w:szCs w:val="18"/>
                          </w:rPr>
                        </w:pPr>
                        <w:r w:rsidRPr="00E04FC2">
                          <w:rPr>
                            <w:rFonts w:asciiTheme="minorHAnsi" w:hAnsiTheme="minorHAnsi" w:cstheme="minorHAnsi"/>
                            <w:b/>
                            <w:bCs/>
                            <w:color w:val="FFFFFF" w:themeColor="background1"/>
                            <w:sz w:val="18"/>
                            <w:szCs w:val="18"/>
                          </w:rPr>
                          <w:t>Legal Imposition of the Sales Tax – on the customer unless the seller fails to properly collect.</w:t>
                        </w:r>
                      </w:p>
                      <w:p w14:paraId="57F3B9BB" w14:textId="31DC1496" w:rsidR="0051651D" w:rsidRPr="00E04FC2" w:rsidRDefault="0051651D" w:rsidP="00710B38">
                        <w:pPr>
                          <w:spacing w:after="360"/>
                          <w:jc w:val="center"/>
                          <w:rPr>
                            <w:rFonts w:asciiTheme="minorHAnsi" w:hAnsiTheme="minorHAnsi" w:cstheme="minorHAnsi"/>
                            <w:b/>
                            <w:bCs/>
                            <w:color w:val="FFFFFF" w:themeColor="background1"/>
                            <w:sz w:val="18"/>
                            <w:szCs w:val="18"/>
                          </w:rPr>
                        </w:pPr>
                        <w:r w:rsidRPr="00E04FC2">
                          <w:rPr>
                            <w:rFonts w:asciiTheme="minorHAnsi" w:hAnsiTheme="minorHAnsi" w:cstheme="minorHAnsi"/>
                            <w:b/>
                            <w:bCs/>
                            <w:color w:val="FFFFFF" w:themeColor="background1"/>
                            <w:sz w:val="18"/>
                            <w:szCs w:val="18"/>
                          </w:rPr>
                          <w:t>Imposition of Compensating Use Tax – all states</w:t>
                        </w:r>
                      </w:p>
                      <w:p w14:paraId="13BFE87C" w14:textId="77777777" w:rsidR="00483C37" w:rsidRPr="00E04FC2" w:rsidRDefault="00483C37" w:rsidP="00710B38">
                        <w:pPr>
                          <w:spacing w:after="360"/>
                          <w:jc w:val="center"/>
                          <w:rPr>
                            <w:rFonts w:asciiTheme="minorHAnsi" w:hAnsiTheme="minorHAnsi" w:cstheme="minorHAnsi"/>
                            <w:b/>
                            <w:bCs/>
                            <w:color w:val="FFFFFF" w:themeColor="background1"/>
                            <w:sz w:val="18"/>
                            <w:szCs w:val="18"/>
                          </w:rPr>
                        </w:pPr>
                        <w:r w:rsidRPr="00E04FC2">
                          <w:rPr>
                            <w:rFonts w:asciiTheme="minorHAnsi" w:hAnsiTheme="minorHAnsi" w:cstheme="minorHAnsi"/>
                            <w:b/>
                            <w:bCs/>
                            <w:color w:val="FFFFFF" w:themeColor="background1"/>
                            <w:sz w:val="18"/>
                            <w:szCs w:val="18"/>
                          </w:rPr>
                          <w:t>Tax Rates – combination of state and local rates.</w:t>
                        </w:r>
                      </w:p>
                      <w:p w14:paraId="1B15806E" w14:textId="74877E3B" w:rsidR="009006D8" w:rsidRPr="009006D8" w:rsidRDefault="009006D8" w:rsidP="009006D8">
                        <w:pPr>
                          <w:jc w:val="center"/>
                          <w:rPr>
                            <w:rFonts w:asciiTheme="minorHAnsi" w:hAnsiTheme="minorHAnsi" w:cstheme="minorHAnsi"/>
                            <w:b/>
                            <w:bCs/>
                            <w:color w:val="FFFFFF" w:themeColor="background1"/>
                            <w:sz w:val="17"/>
                            <w:szCs w:val="17"/>
                          </w:rPr>
                        </w:pPr>
                        <w:r w:rsidRPr="009006D8">
                          <w:rPr>
                            <w:rFonts w:asciiTheme="minorHAnsi" w:hAnsiTheme="minorHAnsi" w:cstheme="minorHAnsi"/>
                            <w:b/>
                            <w:bCs/>
                            <w:color w:val="FFFFFF" w:themeColor="background1"/>
                            <w:sz w:val="17"/>
                            <w:szCs w:val="17"/>
                          </w:rPr>
                          <w:t xml:space="preserve">State Tax Base – tangible personal property and specifically </w:t>
                        </w:r>
                        <w:r w:rsidR="000C350A" w:rsidRPr="009006D8">
                          <w:rPr>
                            <w:rFonts w:asciiTheme="minorHAnsi" w:hAnsiTheme="minorHAnsi" w:cstheme="minorHAnsi"/>
                            <w:b/>
                            <w:bCs/>
                            <w:color w:val="FFFFFF" w:themeColor="background1"/>
                            <w:sz w:val="17"/>
                            <w:szCs w:val="17"/>
                          </w:rPr>
                          <w:t>enumerated services</w:t>
                        </w:r>
                        <w:r w:rsidRPr="009006D8">
                          <w:rPr>
                            <w:rFonts w:asciiTheme="minorHAnsi" w:hAnsiTheme="minorHAnsi" w:cstheme="minorHAnsi"/>
                            <w:b/>
                            <w:bCs/>
                            <w:color w:val="FFFFFF" w:themeColor="background1"/>
                            <w:sz w:val="17"/>
                            <w:szCs w:val="17"/>
                          </w:rPr>
                          <w:t>.</w:t>
                        </w:r>
                      </w:p>
                      <w:p w14:paraId="6690E3FB" w14:textId="77777777" w:rsidR="00483C37" w:rsidRDefault="00483C37" w:rsidP="0051651D">
                        <w:pPr>
                          <w:jc w:val="center"/>
                          <w:rPr>
                            <w:rFonts w:asciiTheme="minorHAnsi" w:hAnsiTheme="minorHAnsi" w:cstheme="minorHAnsi"/>
                            <w:b/>
                            <w:bCs/>
                            <w:color w:val="FFFFFF" w:themeColor="background1"/>
                            <w:sz w:val="17"/>
                            <w:szCs w:val="17"/>
                          </w:rPr>
                        </w:pPr>
                      </w:p>
                      <w:p w14:paraId="6A16743D" w14:textId="77777777" w:rsidR="0051651D" w:rsidRDefault="0051651D" w:rsidP="0051651D">
                        <w:pPr>
                          <w:jc w:val="center"/>
                          <w:rPr>
                            <w:rFonts w:asciiTheme="minorHAnsi" w:hAnsiTheme="minorHAnsi" w:cstheme="minorHAnsi"/>
                            <w:b/>
                            <w:bCs/>
                            <w:color w:val="FFFFFF" w:themeColor="background1"/>
                            <w:sz w:val="17"/>
                            <w:szCs w:val="17"/>
                          </w:rPr>
                        </w:pPr>
                      </w:p>
                      <w:p w14:paraId="4A86C372" w14:textId="77777777" w:rsidR="0051651D" w:rsidRPr="00C305D3" w:rsidRDefault="0051651D" w:rsidP="0051651D">
                        <w:pPr>
                          <w:jc w:val="center"/>
                          <w:rPr>
                            <w:rFonts w:asciiTheme="minorHAnsi" w:hAnsiTheme="minorHAnsi" w:cstheme="minorHAnsi"/>
                            <w:b/>
                            <w:bCs/>
                            <w:color w:val="FFFFFF" w:themeColor="background1"/>
                            <w:sz w:val="17"/>
                            <w:szCs w:val="17"/>
                          </w:rPr>
                        </w:pPr>
                      </w:p>
                    </w:txbxContent>
                  </v:textbox>
                </v:rect>
                <v:shape id="Text Box 14" o:spid="_x0000_s1044" type="#_x0000_t202" style="position:absolute;top:3540;width:18288;height:9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yOwgAAANsAAAAPAAAAZHJzL2Rvd25yZXYueG1sRE9Na8JA&#10;EL0L/odlhN50oxUtqauEUFsvCqaC1yE7TYLZ2TS7mvTfdwXB2zze56w2vanFjVpXWVYwnUQgiHOr&#10;Ky4UnL634zcQziNrrC2Tgj9ysFkPByuMte34SLfMFyKEsItRQel9E0vp8pIMuoltiAP3Y1uDPsC2&#10;kLrFLoSbWs6iaCENVhwaSmwoLSm/ZFejIJ1//G6/PvfJddl19lWm0eGcXJR6GfXJOwhPvX+KH+6d&#10;DvPncP8lHCDX/wAAAP//AwBQSwECLQAUAAYACAAAACEA2+H2y+4AAACFAQAAEwAAAAAAAAAAAAAA&#10;AAAAAAAAW0NvbnRlbnRfVHlwZXNdLnhtbFBLAQItABQABgAIAAAAIQBa9CxbvwAAABUBAAALAAAA&#10;AAAAAAAAAAAAAB8BAABfcmVscy8ucmVsc1BLAQItABQABgAIAAAAIQAS9gyOwgAAANsAAAAPAAAA&#10;AAAAAAAAAAAAAAcCAABkcnMvZG93bnJldi54bWxQSwUGAAAAAAMAAwC3AAAA9gIAAAAA&#10;" filled="f" stroked="f" strokeweight=".5pt">
                  <v:textbox inset=",7.2pt,,7.2pt">
                    <w:txbxContent>
                      <w:p w14:paraId="6507FE9B" w14:textId="56EEBDB9" w:rsidR="0051651D" w:rsidRPr="00C305D3" w:rsidRDefault="0051651D" w:rsidP="0051651D">
                        <w:pPr>
                          <w:pStyle w:val="NoSpacing"/>
                          <w:jc w:val="center"/>
                          <w:rPr>
                            <w:rFonts w:eastAsiaTheme="majorEastAsia" w:cstheme="minorHAnsi"/>
                            <w:b/>
                            <w:bCs/>
                            <w:caps/>
                            <w:color w:val="FFFFFF" w:themeColor="background1"/>
                            <w:sz w:val="18"/>
                            <w:szCs w:val="18"/>
                          </w:rPr>
                        </w:pPr>
                        <w:r>
                          <w:rPr>
                            <w:rFonts w:eastAsiaTheme="majorEastAsia" w:cstheme="minorHAnsi"/>
                            <w:b/>
                            <w:bCs/>
                            <w:caps/>
                            <w:color w:val="FFFFFF" w:themeColor="background1"/>
                            <w:sz w:val="18"/>
                            <w:szCs w:val="18"/>
                          </w:rPr>
                          <w:t>Majority Rules</w:t>
                        </w:r>
                      </w:p>
                    </w:txbxContent>
                  </v:textbox>
                </v:shape>
                <w10:wrap type="square" anchorx="margin" anchory="margin"/>
              </v:group>
            </w:pict>
          </mc:Fallback>
        </mc:AlternateContent>
      </w:r>
      <w:r w:rsidR="004B26A5">
        <w:t>Structur</w:t>
      </w:r>
      <w:r w:rsidR="00051283">
        <w:t>e and Common Elements</w:t>
      </w:r>
    </w:p>
    <w:p w14:paraId="363F8469" w14:textId="7C768683" w:rsidR="002C1FC5" w:rsidRDefault="003B4159" w:rsidP="003E0054">
      <w:pPr>
        <w:ind w:left="576"/>
      </w:pPr>
      <w:r>
        <w:t>Sales taxes</w:t>
      </w:r>
      <w:r w:rsidR="002C1FC5">
        <w:t xml:space="preserve"> ha</w:t>
      </w:r>
      <w:r>
        <w:t>ve</w:t>
      </w:r>
      <w:r w:rsidR="002C1FC5">
        <w:t xml:space="preserve"> </w:t>
      </w:r>
      <w:r w:rsidR="00051283">
        <w:t xml:space="preserve">a certain structure </w:t>
      </w:r>
      <w:r>
        <w:t>and</w:t>
      </w:r>
      <w:r w:rsidR="00051283">
        <w:t xml:space="preserve"> </w:t>
      </w:r>
      <w:r w:rsidR="002C1FC5">
        <w:t>common elements</w:t>
      </w:r>
      <w:r w:rsidR="00051283">
        <w:t>,</w:t>
      </w:r>
      <w:r w:rsidR="002C1FC5">
        <w:t xml:space="preserve"> but also some deviations that </w:t>
      </w:r>
      <w:r>
        <w:t>may</w:t>
      </w:r>
      <w:r w:rsidR="002C1FC5">
        <w:t xml:space="preserve"> </w:t>
      </w:r>
      <w:r w:rsidR="00051283">
        <w:t>a</w:t>
      </w:r>
      <w:r w:rsidR="002C1FC5">
        <w:t>ffect effort</w:t>
      </w:r>
      <w:r>
        <w:t>s</w:t>
      </w:r>
      <w:r w:rsidR="002C1FC5">
        <w:t xml:space="preserve"> to develop a</w:t>
      </w:r>
      <w:r>
        <w:t>n</w:t>
      </w:r>
      <w:r w:rsidR="002C1FC5">
        <w:t xml:space="preserve"> approach to tax</w:t>
      </w:r>
      <w:r>
        <w:t>ing</w:t>
      </w:r>
      <w:r w:rsidR="002C1FC5">
        <w:t xml:space="preserve"> digital products</w:t>
      </w:r>
      <w:r w:rsidR="00051283">
        <w:t xml:space="preserve">. </w:t>
      </w:r>
    </w:p>
    <w:p w14:paraId="4081A5BC" w14:textId="13CAA8B1" w:rsidR="00DB0C9F" w:rsidRDefault="008518A7" w:rsidP="006C5C13">
      <w:pPr>
        <w:pStyle w:val="ListParagraph"/>
        <w:numPr>
          <w:ilvl w:val="0"/>
          <w:numId w:val="9"/>
        </w:numPr>
        <w:spacing w:after="160"/>
        <w:ind w:left="936"/>
        <w:contextualSpacing w:val="0"/>
      </w:pPr>
      <w:r>
        <w:t>Legal Imposition of Sales Tax</w:t>
      </w:r>
      <w:r w:rsidR="00FC72EA" w:rsidRPr="00FC72EA">
        <w:t xml:space="preserve"> – In most states, the tax is imposed on the </w:t>
      </w:r>
      <w:r w:rsidR="009B1EFA">
        <w:t>customer</w:t>
      </w:r>
      <w:r w:rsidR="00FC72EA" w:rsidRPr="00FC72EA">
        <w:t xml:space="preserve"> but </w:t>
      </w:r>
      <w:r w:rsidR="008268CD">
        <w:t>must</w:t>
      </w:r>
      <w:r w:rsidR="00FC72EA" w:rsidRPr="00FC72EA">
        <w:t xml:space="preserve"> be collected by the seller (</w:t>
      </w:r>
      <w:r w:rsidR="008268CD">
        <w:t>or</w:t>
      </w:r>
      <w:r w:rsidR="00FC72EA" w:rsidRPr="00FC72EA">
        <w:t xml:space="preserve"> certain intermediaries). A seller who fails to properly collect the tax typically becomes legally obligated to pay it. </w:t>
      </w:r>
      <w:r w:rsidR="008268CD">
        <w:t xml:space="preserve">A minority of </w:t>
      </w:r>
      <w:r w:rsidR="00FC72EA" w:rsidRPr="00FC72EA">
        <w:t>states legally impose</w:t>
      </w:r>
      <w:r w:rsidR="008268CD">
        <w:t xml:space="preserve"> tax</w:t>
      </w:r>
      <w:r w:rsidR="00FC72EA" w:rsidRPr="00FC72EA">
        <w:t xml:space="preserve"> on the seller</w:t>
      </w:r>
      <w:r w:rsidR="008268CD">
        <w:t>.</w:t>
      </w:r>
      <w:r w:rsidR="00FC72EA" w:rsidRPr="00FC72EA">
        <w:t xml:space="preserve"> </w:t>
      </w:r>
    </w:p>
    <w:p w14:paraId="781A0CEF" w14:textId="5F695151" w:rsidR="003E0054" w:rsidRDefault="008518A7" w:rsidP="006C5C13">
      <w:pPr>
        <w:pStyle w:val="ListParagraph"/>
        <w:numPr>
          <w:ilvl w:val="0"/>
          <w:numId w:val="9"/>
        </w:numPr>
        <w:spacing w:after="160"/>
        <w:ind w:left="936"/>
        <w:contextualSpacing w:val="0"/>
      </w:pPr>
      <w:r>
        <w:t xml:space="preserve">Imposition of </w:t>
      </w:r>
      <w:r w:rsidRPr="008518A7">
        <w:t xml:space="preserve">Use Tax – The sales tax is </w:t>
      </w:r>
      <w:r w:rsidR="00BA6A45">
        <w:t xml:space="preserve">invariably </w:t>
      </w:r>
      <w:r w:rsidRPr="008518A7">
        <w:t>imposed with a complementary tax</w:t>
      </w:r>
      <w:r w:rsidR="006C5C13">
        <w:t xml:space="preserve"> </w:t>
      </w:r>
      <w:r w:rsidRPr="008518A7">
        <w:t>called the “compensating use tax,” or “use tax</w:t>
      </w:r>
      <w:r w:rsidR="00BA6A45">
        <w:t>.</w:t>
      </w:r>
      <w:r w:rsidRPr="008518A7">
        <w:t xml:space="preserve">” </w:t>
      </w:r>
      <w:r w:rsidR="00BA6A45">
        <w:t xml:space="preserve">This tax </w:t>
      </w:r>
      <w:r w:rsidR="006C5C13">
        <w:t xml:space="preserve">is imposed on the customer and </w:t>
      </w:r>
      <w:r w:rsidR="00BA6A45">
        <w:t xml:space="preserve">may </w:t>
      </w:r>
      <w:r w:rsidRPr="008518A7">
        <w:t xml:space="preserve">be </w:t>
      </w:r>
      <w:r w:rsidR="00BA6A45">
        <w:t xml:space="preserve">collected by the seller, or </w:t>
      </w:r>
      <w:r w:rsidR="003B4159">
        <w:t>paid</w:t>
      </w:r>
      <w:r w:rsidRPr="008518A7">
        <w:t xml:space="preserve"> directly </w:t>
      </w:r>
      <w:r w:rsidR="003B4159">
        <w:t xml:space="preserve">by </w:t>
      </w:r>
      <w:r w:rsidRPr="008518A7">
        <w:t xml:space="preserve">the customer. The </w:t>
      </w:r>
      <w:r w:rsidR="006C5C13">
        <w:t xml:space="preserve">use </w:t>
      </w:r>
      <w:r w:rsidRPr="008518A7">
        <w:t xml:space="preserve">tax, which is imposed </w:t>
      </w:r>
      <w:r w:rsidR="00BA6A45">
        <w:t xml:space="preserve">only </w:t>
      </w:r>
      <w:r w:rsidRPr="008518A7">
        <w:t xml:space="preserve">on purchases from out-of-state sellers, does not violate the Constitution </w:t>
      </w:r>
      <w:r w:rsidR="003B4159">
        <w:t>if</w:t>
      </w:r>
      <w:r w:rsidRPr="008518A7">
        <w:t xml:space="preserve"> it is imposed with an “identifiable and substantially similar tax on intrastate commerce.”</w:t>
      </w:r>
      <w:r w:rsidRPr="00685851">
        <w:rPr>
          <w:rStyle w:val="FootnoteReference"/>
        </w:rPr>
        <w:footnoteReference w:id="28"/>
      </w:r>
      <w:r w:rsidRPr="008518A7">
        <w:t xml:space="preserve"> </w:t>
      </w:r>
    </w:p>
    <w:p w14:paraId="1B1519A9" w14:textId="54BB1E9C" w:rsidR="00DB0C9F" w:rsidRDefault="00BA6A45" w:rsidP="006C5C13">
      <w:pPr>
        <w:pStyle w:val="ListParagraph"/>
        <w:numPr>
          <w:ilvl w:val="0"/>
          <w:numId w:val="9"/>
        </w:numPr>
        <w:spacing w:after="160"/>
        <w:ind w:left="936"/>
        <w:contextualSpacing w:val="0"/>
      </w:pPr>
      <w:r>
        <w:t>Tax Rates</w:t>
      </w:r>
      <w:r w:rsidR="00051283">
        <w:t xml:space="preserve"> – Most but not all state sales taxes are imposed by both state and local governments.</w:t>
      </w:r>
      <w:r>
        <w:t xml:space="preserve"> The </w:t>
      </w:r>
      <w:r w:rsidR="006C5C13">
        <w:t>tax rate</w:t>
      </w:r>
      <w:r>
        <w:t xml:space="preserve"> on a particular transaction will be a combination of the state and any local rates applicable.</w:t>
      </w:r>
      <w:r w:rsidR="00051283">
        <w:t xml:space="preserve"> </w:t>
      </w:r>
    </w:p>
    <w:p w14:paraId="54C11850" w14:textId="03160372" w:rsidR="00DB0C9F" w:rsidRDefault="00BA6A45" w:rsidP="006C5C13">
      <w:pPr>
        <w:pStyle w:val="ListParagraph"/>
        <w:numPr>
          <w:ilvl w:val="0"/>
          <w:numId w:val="7"/>
        </w:numPr>
        <w:spacing w:after="160"/>
        <w:ind w:left="936"/>
        <w:contextualSpacing w:val="0"/>
      </w:pPr>
      <w:r>
        <w:t xml:space="preserve">State </w:t>
      </w:r>
      <w:r w:rsidR="00FC72EA">
        <w:t xml:space="preserve">Tax Base - </w:t>
      </w:r>
      <w:r>
        <w:t>Most</w:t>
      </w:r>
      <w:r w:rsidR="00FC72EA">
        <w:t xml:space="preserve"> sales tax laws provide for general imposition of the tax on all sales or transactions involving tangible personal property, but may also include other specifically enumerated items</w:t>
      </w:r>
      <w:r w:rsidR="00BB790E">
        <w:t xml:space="preserve"> </w:t>
      </w:r>
      <w:r w:rsidR="005E1E62">
        <w:t>and specific services</w:t>
      </w:r>
      <w:r w:rsidR="00FC72EA">
        <w:t xml:space="preserve">. </w:t>
      </w:r>
      <w:r w:rsidR="00483C37">
        <w:t>A</w:t>
      </w:r>
      <w:r w:rsidR="00FC72EA">
        <w:t xml:space="preserve"> handful of states</w:t>
      </w:r>
      <w:r w:rsidR="00483C37">
        <w:t xml:space="preserve"> impose tax</w:t>
      </w:r>
      <w:r w:rsidR="00FC72EA">
        <w:t xml:space="preserve"> on gross receipts or broad categories of transactions. </w:t>
      </w:r>
    </w:p>
    <w:p w14:paraId="5D34B733" w14:textId="3B39C8CB" w:rsidR="00DB0C9F" w:rsidRDefault="00710B38" w:rsidP="006C5C13">
      <w:pPr>
        <w:pStyle w:val="ListParagraph"/>
        <w:numPr>
          <w:ilvl w:val="0"/>
          <w:numId w:val="7"/>
        </w:numPr>
        <w:spacing w:after="160"/>
        <w:ind w:left="936"/>
        <w:contextualSpacing w:val="0"/>
      </w:pPr>
      <w:r w:rsidRPr="0051651D">
        <w:rPr>
          <w:b/>
          <w:noProof/>
        </w:rPr>
        <w:lastRenderedPageBreak/>
        <mc:AlternateContent>
          <mc:Choice Requires="wpg">
            <w:drawing>
              <wp:anchor distT="0" distB="0" distL="228600" distR="228600" simplePos="0" relativeHeight="251660293" behindDoc="1" locked="0" layoutInCell="1" allowOverlap="1" wp14:anchorId="0FBD3DD1" wp14:editId="0ED37637">
                <wp:simplePos x="0" y="0"/>
                <wp:positionH relativeFrom="margin">
                  <wp:posOffset>5274945</wp:posOffset>
                </wp:positionH>
                <wp:positionV relativeFrom="margin">
                  <wp:posOffset>-64770</wp:posOffset>
                </wp:positionV>
                <wp:extent cx="1472565" cy="7467600"/>
                <wp:effectExtent l="0" t="0" r="0" b="0"/>
                <wp:wrapSquare wrapText="bothSides"/>
                <wp:docPr id="25" name="Group 25"/>
                <wp:cNvGraphicFramePr/>
                <a:graphic xmlns:a="http://schemas.openxmlformats.org/drawingml/2006/main">
                  <a:graphicData uri="http://schemas.microsoft.com/office/word/2010/wordprocessingGroup">
                    <wpg:wgp>
                      <wpg:cNvGrpSpPr/>
                      <wpg:grpSpPr>
                        <a:xfrm>
                          <a:off x="0" y="0"/>
                          <a:ext cx="1472565" cy="7467600"/>
                          <a:chOff x="0" y="-67064"/>
                          <a:chExt cx="1828801" cy="6656536"/>
                        </a:xfrm>
                        <a:solidFill>
                          <a:srgbClr val="B40000"/>
                        </a:solidFill>
                      </wpg:grpSpPr>
                      <wps:wsp>
                        <wps:cNvPr id="26" name="Rectangle 26"/>
                        <wps:cNvSpPr/>
                        <wps:spPr>
                          <a:xfrm>
                            <a:off x="0" y="-67064"/>
                            <a:ext cx="1828799" cy="230012"/>
                          </a:xfrm>
                          <a:prstGeom prst="rect">
                            <a:avLst/>
                          </a:prstGeom>
                          <a:solidFill>
                            <a:sysClr val="windowText" lastClr="000000">
                              <a:lumMod val="85000"/>
                              <a:lumOff val="1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636554"/>
                            <a:ext cx="1828801" cy="5952918"/>
                          </a:xfrm>
                          <a:prstGeom prst="rect">
                            <a:avLst/>
                          </a:prstGeom>
                          <a:solidFill>
                            <a:sysClr val="windowText" lastClr="000000">
                              <a:lumMod val="75000"/>
                              <a:lumOff val="25000"/>
                            </a:sysClr>
                          </a:solidFill>
                          <a:ln w="25400" cap="flat" cmpd="sng" algn="ctr">
                            <a:noFill/>
                            <a:prstDash val="solid"/>
                          </a:ln>
                          <a:effectLst/>
                        </wps:spPr>
                        <wps:txbx>
                          <w:txbxContent>
                            <w:p w14:paraId="2EE9A525" w14:textId="73779A63"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Local Tax Base – same </w:t>
                              </w:r>
                              <w:r w:rsidR="001D5A69">
                                <w:rPr>
                                  <w:rFonts w:asciiTheme="minorHAnsi" w:hAnsiTheme="minorHAnsi" w:cstheme="minorHAnsi"/>
                                  <w:b/>
                                  <w:bCs/>
                                  <w:color w:val="FFFFFF" w:themeColor="background1"/>
                                  <w:sz w:val="18"/>
                                  <w:szCs w:val="18"/>
                                </w:rPr>
                                <w:t>as for the</w:t>
                              </w:r>
                              <w:r w:rsidRPr="00710B38">
                                <w:rPr>
                                  <w:rFonts w:asciiTheme="minorHAnsi" w:hAnsiTheme="minorHAnsi" w:cstheme="minorHAnsi"/>
                                  <w:b/>
                                  <w:bCs/>
                                  <w:color w:val="FFFFFF" w:themeColor="background1"/>
                                  <w:sz w:val="18"/>
                                  <w:szCs w:val="18"/>
                                </w:rPr>
                                <w:t xml:space="preserve"> state.</w:t>
                              </w:r>
                            </w:p>
                            <w:p w14:paraId="547159CD"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1B8EF3C1" w14:textId="1B388F3D"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Separate Statement of Tax – required to be properly made to </w:t>
                              </w:r>
                              <w:r w:rsidR="00710B38">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customer.</w:t>
                              </w:r>
                            </w:p>
                            <w:p w14:paraId="5629E444"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2026E48A" w14:textId="4E6AAA58"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Exemptions – generally provided to reduce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pyramiding, regressivity, and provide other tax benefits.</w:t>
                              </w:r>
                            </w:p>
                            <w:p w14:paraId="0F1A41D3"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7D5BFE43" w14:textId="77777777"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Sourcing – destination-based and SSUTA.</w:t>
                              </w:r>
                            </w:p>
                            <w:p w14:paraId="4D363C89"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34BD38B3" w14:textId="77777777"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Credit for Tax Paid – may apply except in certain circumstance.</w:t>
                              </w:r>
                            </w:p>
                            <w:p w14:paraId="5A34F834"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3D22C02D" w14:textId="6D15DED6"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Documentation –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 xml:space="preserve">typically includes forms of certificates given by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customers to sellers</w:t>
                              </w:r>
                            </w:p>
                            <w:p w14:paraId="79335DA7"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429CD1AB" w14:textId="616AC87C"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SSUTA – provides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 xml:space="preserve">definitions of certain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 xml:space="preserve">digital products but does not limit taxation of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others.</w:t>
                              </w:r>
                            </w:p>
                            <w:p w14:paraId="15246CA8" w14:textId="77777777" w:rsidR="009006D8" w:rsidRPr="00C305D3" w:rsidRDefault="009006D8" w:rsidP="009006D8">
                              <w:pPr>
                                <w:jc w:val="center"/>
                                <w:rPr>
                                  <w:rFonts w:asciiTheme="minorHAnsi" w:hAnsiTheme="minorHAnsi" w:cstheme="minorHAnsi"/>
                                  <w:b/>
                                  <w:bCs/>
                                  <w:color w:val="FFFFFF" w:themeColor="background1"/>
                                  <w:sz w:val="17"/>
                                  <w:szCs w:val="17"/>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8" name="Text Box 28"/>
                        <wps:cNvSpPr txBox="1"/>
                        <wps:spPr>
                          <a:xfrm>
                            <a:off x="0" y="176497"/>
                            <a:ext cx="1828800" cy="432995"/>
                          </a:xfrm>
                          <a:prstGeom prst="rect">
                            <a:avLst/>
                          </a:prstGeom>
                          <a:grpFill/>
                          <a:ln w="6350">
                            <a:noFill/>
                          </a:ln>
                          <a:effectLst/>
                        </wps:spPr>
                        <wps:txbx>
                          <w:txbxContent>
                            <w:p w14:paraId="31693336" w14:textId="77777777" w:rsidR="009006D8" w:rsidRPr="00C305D3" w:rsidRDefault="009006D8" w:rsidP="009006D8">
                              <w:pPr>
                                <w:pStyle w:val="NoSpacing"/>
                                <w:jc w:val="center"/>
                                <w:rPr>
                                  <w:rFonts w:eastAsiaTheme="majorEastAsia" w:cstheme="minorHAnsi"/>
                                  <w:b/>
                                  <w:bCs/>
                                  <w:caps/>
                                  <w:color w:val="FFFFFF" w:themeColor="background1"/>
                                  <w:sz w:val="18"/>
                                  <w:szCs w:val="18"/>
                                </w:rPr>
                              </w:pPr>
                              <w:r>
                                <w:rPr>
                                  <w:rFonts w:eastAsiaTheme="majorEastAsia" w:cstheme="minorHAnsi"/>
                                  <w:b/>
                                  <w:bCs/>
                                  <w:caps/>
                                  <w:color w:val="FFFFFF" w:themeColor="background1"/>
                                  <w:sz w:val="18"/>
                                  <w:szCs w:val="18"/>
                                </w:rPr>
                                <w:t>Majority Rules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BD3DD1" id="Group 25" o:spid="_x0000_s1045" style="position:absolute;left:0;text-align:left;margin-left:415.35pt;margin-top:-5.1pt;width:115.95pt;height:588pt;z-index:-251656187;mso-wrap-distance-left:18pt;mso-wrap-distance-right:18pt;mso-position-horizontal-relative:margin;mso-position-vertical-relative:margin;mso-width-relative:margin;mso-height-relative:margin" coordorigin=",-670" coordsize="18288,6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wRsAMAALQMAAAOAAAAZHJzL2Uyb0RvYy54bWzkV99vpDYQfq/U/8Hi/bLALrCgbE65pIkq&#10;pXdRk+qeHWNYJLBd2xs2/ev72cD+SNNW2pN6kboPBHuG8cw388045x+3XUueuTaNFKsgOgsDwgWT&#10;ZSPqVfDb482HZUCMpaKkrRR8FbxwE3y8+PGH814VPJZr2ZZcExgRpujVKlhbq4rZzLA176g5k4oL&#10;CCupO2qx1PWs1LSH9a6dxWGYznqpS6Ul48Zg93oQBhfeflVxZr9UleGWtKsAvln/1P755J6zi3Na&#10;1JqqdcNGN+gJXnS0ETh0Z+qaWko2uvmLqa5hWhpZ2TMmu5msqoZxHwOiicJX0dxquVE+lrroa7WD&#10;CdC+wulks+zz861WD+peA4le1cDCr1ws20p37i+8JFsP2csOMr61hGEzWmRxkiYBYZBlizRLwxFU&#10;tgby++8+pFmYLga82fqn6fNlvFyG0fB5msLSPHU6s/3pRrZNedO0rXPF6PrpqtXkmSKfnxYhfqP6&#10;gdrsKI5eobLMHjzzbeA9rKniPiemAHj3mjTlKojTgAjaocB/RclRUbecYM9j6vV2CJvCAOy/hfcQ&#10;ph3GACnL8wGkeB6GUfwKI6WNveWyI+5lFWj44KuRPt8ZO8A5qXgUjyB9MTtEQaxS9o84OCAtNRYC&#10;ZNz/vL120/0iywH9ZTKCTwtsu1z7pETTNlJovGmfzYP0QF+QHpglyB+CoqB91VIcyToFLI2oA0Lb&#10;Gv2EWe3PFdIVAAKhhYvjmpr1cJo3O4LRCifnnvRj2C73A9zu7UmWL8iXlkMXMIrdNLB2h0DvqQbt&#10;4Q1amf2CR9VKuCjHt4Cspf7jrX2nj4KCNCA92gjc/31DNQd+PwuUWh4tFq7v+MUiyWIs9KHk6VAi&#10;Nt2VRGWDEPDOvzp9206vlZbdV3S8S3cqRFQwnD0ANS6u7NDe0DMZv7z0aug1ito78aCYMz7h+Lj9&#10;SrUai8Yi65/lVN60eFU7g677UsjLjZVV4wtrjyvSPFLNNZL/gnPZG5zLTuBcOk+TZGxNh5zbNaYk&#10;T+I8Wr4D0mUTu45JF0/b7490dvu09S0ynzLz3WkY+aEz8TAK8yzGLWUgYhwv3QQjJzMRbWwg5f+H&#10;hwBvmH1ucJBPckuA5/HoI3aLfdd7xv1/HIJRli5yz2T086ObAjLjLhqLeZznybfxsdZqN1SGgZTO&#10;k/B43IBO/zpVdgUe+avIviF+x0EzTp03Bs0oObm83UR+RwXur3q4Gvs7xniNd3fvw7UfTPt/Ni7+&#10;BAAA//8DAFBLAwQUAAYACAAAACEANl6XLeMAAAANAQAADwAAAGRycy9kb3ducmV2LnhtbEyPwWrC&#10;QBCG74W+wzJCb7q7EdMQsxGRticpVAultzEZk2B2N2TXJL5911O9zTAf/3x/tpl0ywbqXWONArkQ&#10;wMgUtmxMpeD7+D5PgDmPpsTWGlJwIweb/Pkpw7S0o/mi4eArFkKMS1FB7X2Xcu6KmjS6he3IhNvZ&#10;9hp9WPuKlz2OIVy3PBIi5hobEz7U2NGupuJyuGoFHyOO26V8G/aX8+72e1x9/uwlKfUym7ZrYJ4m&#10;/w/DXT+oQx6cTvZqSsdaBclSvAZUwVyKCNidEHEUAzuFScarBHie8ccW+R8AAAD//wMAUEsBAi0A&#10;FAAGAAgAAAAhALaDOJL+AAAA4QEAABMAAAAAAAAAAAAAAAAAAAAAAFtDb250ZW50X1R5cGVzXS54&#10;bWxQSwECLQAUAAYACAAAACEAOP0h/9YAAACUAQAACwAAAAAAAAAAAAAAAAAvAQAAX3JlbHMvLnJl&#10;bHNQSwECLQAUAAYACAAAACEAaq2sEbADAAC0DAAADgAAAAAAAAAAAAAAAAAuAgAAZHJzL2Uyb0Rv&#10;Yy54bWxQSwECLQAUAAYACAAAACEANl6XLeMAAAANAQAADwAAAAAAAAAAAAAAAAAKBgAAZHJzL2Rv&#10;d25yZXYueG1sUEsFBgAAAAAEAAQA8wAAABoHAAAAAA==&#10;">
                <v:rect id="Rectangle 26" o:spid="_x0000_s1046" style="position:absolute;top:-670;width:18287;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lWxAAAANsAAAAPAAAAZHJzL2Rvd25yZXYueG1sRI9Ba8JA&#10;FITvBf/D8gRvdaNIKKmrBNGSQwg19tDjI/uaRLNvQ3Yb47/vFgo9DjPzDbPdT6YTIw2utaxgtYxA&#10;EFdWt1wr+Licnl9AOI+ssbNMCh7kYL+bPW0x0fbOZxpLX4sAYZeggsb7PpHSVQ0ZdEvbEwfvyw4G&#10;fZBDLfWA9wA3nVxHUSwNthwWGuzp0FB1K7+Nguzdyjw/P7Lj1WzKNP0s3lpbKLWYT+krCE+T/w//&#10;tTOtYB3D75fwA+TuBwAA//8DAFBLAQItABQABgAIAAAAIQDb4fbL7gAAAIUBAAATAAAAAAAAAAAA&#10;AAAAAAAAAABbQ29udGVudF9UeXBlc10ueG1sUEsBAi0AFAAGAAgAAAAhAFr0LFu/AAAAFQEAAAsA&#10;AAAAAAAAAAAAAAAAHwEAAF9yZWxzLy5yZWxzUEsBAi0AFAAGAAgAAAAhANmIGVbEAAAA2wAAAA8A&#10;AAAAAAAAAAAAAAAABwIAAGRycy9kb3ducmV2LnhtbFBLBQYAAAAAAwADALcAAAD4AgAAAAA=&#10;" fillcolor="#262626" stroked="f" strokeweight="2pt"/>
                <v:rect id="Rectangle 27" o:spid="_x0000_s1047" style="position:absolute;top:6365;width:18288;height:59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jKwAAAANsAAAAPAAAAZHJzL2Rvd25yZXYueG1sRI9Bi8Iw&#10;FITvwv6H8IS9aWoXdOkaRVyEgie1eH40z6a0eSlNrPXfbxYEj8PMfMOst6NtxUC9rx0rWMwTEMSl&#10;0zVXCorLYfYNwgdkja1jUvAkD9vNx2SNmXYPPtFwDpWIEPYZKjAhdJmUvjRk0c9dRxy9m+sthij7&#10;SuoeHxFuW5kmyVJarDkuGOxob6hszner4Mvvc87v9jdPj0NybQwWzRGV+pyOux8QgcbwDr/auVaQ&#10;ruD/S/wBcvMHAAD//wMAUEsBAi0AFAAGAAgAAAAhANvh9svuAAAAhQEAABMAAAAAAAAAAAAAAAAA&#10;AAAAAFtDb250ZW50X1R5cGVzXS54bWxQSwECLQAUAAYACAAAACEAWvQsW78AAAAVAQAACwAAAAAA&#10;AAAAAAAAAAAfAQAAX3JlbHMvLnJlbHNQSwECLQAUAAYACAAAACEABj7YysAAAADbAAAADwAAAAAA&#10;AAAAAAAAAAAHAgAAZHJzL2Rvd25yZXYueG1sUEsFBgAAAAADAAMAtwAAAPQCAAAAAA==&#10;" fillcolor="#404040" stroked="f" strokeweight="2pt">
                  <v:textbox inset=",14.4pt,8.64pt,18pt">
                    <w:txbxContent>
                      <w:p w14:paraId="2EE9A525" w14:textId="73779A63"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Local Tax Base – same </w:t>
                        </w:r>
                        <w:r w:rsidR="001D5A69">
                          <w:rPr>
                            <w:rFonts w:asciiTheme="minorHAnsi" w:hAnsiTheme="minorHAnsi" w:cstheme="minorHAnsi"/>
                            <w:b/>
                            <w:bCs/>
                            <w:color w:val="FFFFFF" w:themeColor="background1"/>
                            <w:sz w:val="18"/>
                            <w:szCs w:val="18"/>
                          </w:rPr>
                          <w:t>as for the</w:t>
                        </w:r>
                        <w:r w:rsidRPr="00710B38">
                          <w:rPr>
                            <w:rFonts w:asciiTheme="minorHAnsi" w:hAnsiTheme="minorHAnsi" w:cstheme="minorHAnsi"/>
                            <w:b/>
                            <w:bCs/>
                            <w:color w:val="FFFFFF" w:themeColor="background1"/>
                            <w:sz w:val="18"/>
                            <w:szCs w:val="18"/>
                          </w:rPr>
                          <w:t xml:space="preserve"> state.</w:t>
                        </w:r>
                      </w:p>
                      <w:p w14:paraId="547159CD"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1B8EF3C1" w14:textId="1B388F3D"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Separate Statement of Tax – required to be properly made to </w:t>
                        </w:r>
                        <w:r w:rsidR="00710B38">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customer.</w:t>
                        </w:r>
                      </w:p>
                      <w:p w14:paraId="5629E444"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2026E48A" w14:textId="4E6AAA58"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Exemptions – generally provided to reduce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pyramiding, regressivity, and provide other tax benefits.</w:t>
                        </w:r>
                      </w:p>
                      <w:p w14:paraId="0F1A41D3"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7D5BFE43" w14:textId="77777777"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Sourcing – destination-based and SSUTA.</w:t>
                        </w:r>
                      </w:p>
                      <w:p w14:paraId="4D363C89"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34BD38B3" w14:textId="77777777"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Credit for Tax Paid – may apply except in certain circumstance.</w:t>
                        </w:r>
                      </w:p>
                      <w:p w14:paraId="5A34F834"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3D22C02D" w14:textId="6D15DED6"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Documentation –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 xml:space="preserve">typically includes forms of certificates given by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customers to sellers</w:t>
                        </w:r>
                      </w:p>
                      <w:p w14:paraId="79335DA7" w14:textId="77777777" w:rsidR="009006D8" w:rsidRPr="00710B38" w:rsidRDefault="009006D8" w:rsidP="009006D8">
                        <w:pPr>
                          <w:jc w:val="center"/>
                          <w:rPr>
                            <w:rFonts w:asciiTheme="minorHAnsi" w:hAnsiTheme="minorHAnsi" w:cstheme="minorHAnsi"/>
                            <w:b/>
                            <w:bCs/>
                            <w:color w:val="FFFFFF" w:themeColor="background1"/>
                            <w:sz w:val="18"/>
                            <w:szCs w:val="18"/>
                          </w:rPr>
                        </w:pPr>
                      </w:p>
                      <w:p w14:paraId="429CD1AB" w14:textId="616AC87C" w:rsidR="009006D8" w:rsidRPr="00710B38" w:rsidRDefault="009006D8" w:rsidP="009006D8">
                        <w:pPr>
                          <w:jc w:val="center"/>
                          <w:rPr>
                            <w:rFonts w:asciiTheme="minorHAnsi" w:hAnsiTheme="minorHAnsi" w:cstheme="minorHAnsi"/>
                            <w:b/>
                            <w:bCs/>
                            <w:color w:val="FFFFFF" w:themeColor="background1"/>
                            <w:sz w:val="18"/>
                            <w:szCs w:val="18"/>
                          </w:rPr>
                        </w:pPr>
                        <w:r w:rsidRPr="00710B38">
                          <w:rPr>
                            <w:rFonts w:asciiTheme="minorHAnsi" w:hAnsiTheme="minorHAnsi" w:cstheme="minorHAnsi"/>
                            <w:b/>
                            <w:bCs/>
                            <w:color w:val="FFFFFF" w:themeColor="background1"/>
                            <w:sz w:val="18"/>
                            <w:szCs w:val="18"/>
                          </w:rPr>
                          <w:t xml:space="preserve">SSUTA – provides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 xml:space="preserve">definitions of certain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 xml:space="preserve">digital products but does not limit taxation of </w:t>
                        </w:r>
                        <w:r w:rsidR="001D5A69">
                          <w:rPr>
                            <w:rFonts w:asciiTheme="minorHAnsi" w:hAnsiTheme="minorHAnsi" w:cstheme="minorHAnsi"/>
                            <w:b/>
                            <w:bCs/>
                            <w:color w:val="FFFFFF" w:themeColor="background1"/>
                            <w:sz w:val="18"/>
                            <w:szCs w:val="18"/>
                          </w:rPr>
                          <w:br/>
                        </w:r>
                        <w:r w:rsidRPr="00710B38">
                          <w:rPr>
                            <w:rFonts w:asciiTheme="minorHAnsi" w:hAnsiTheme="minorHAnsi" w:cstheme="minorHAnsi"/>
                            <w:b/>
                            <w:bCs/>
                            <w:color w:val="FFFFFF" w:themeColor="background1"/>
                            <w:sz w:val="18"/>
                            <w:szCs w:val="18"/>
                          </w:rPr>
                          <w:t>others.</w:t>
                        </w:r>
                      </w:p>
                      <w:p w14:paraId="15246CA8" w14:textId="77777777" w:rsidR="009006D8" w:rsidRPr="00C305D3" w:rsidRDefault="009006D8" w:rsidP="009006D8">
                        <w:pPr>
                          <w:jc w:val="center"/>
                          <w:rPr>
                            <w:rFonts w:asciiTheme="minorHAnsi" w:hAnsiTheme="minorHAnsi" w:cstheme="minorHAnsi"/>
                            <w:b/>
                            <w:bCs/>
                            <w:color w:val="FFFFFF" w:themeColor="background1"/>
                            <w:sz w:val="17"/>
                            <w:szCs w:val="17"/>
                          </w:rPr>
                        </w:pPr>
                      </w:p>
                    </w:txbxContent>
                  </v:textbox>
                </v:rect>
                <v:shape id="Text Box 28" o:spid="_x0000_s1048" type="#_x0000_t202" style="position:absolute;top:1764;width:18288;height: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8w2wgAAANsAAAAPAAAAZHJzL2Rvd25yZXYueG1sRE/LasJA&#10;FN0X/IfhCu7qxFhqSR0lBKPdtFAtdHvJXJNg5k7MTB79+86i0OXhvLf7yTRioM7VlhWslhEI4sLq&#10;mksFX5f88QWE88gaG8uk4Icc7Hezhy0m2o78ScPZlyKEsEtQQeV9m0jpiooMuqVtiQN3tZ1BH2BX&#10;St3hGMJNI+MoepYGaw4NFbaUVVTczr1RkD0d7vnp+J72m3G0a5lFH9/pTanFfEpfQXia/L/4z/2m&#10;FcRhbPgSfoDc/QIAAP//AwBQSwECLQAUAAYACAAAACEA2+H2y+4AAACFAQAAEwAAAAAAAAAAAAAA&#10;AAAAAAAAW0NvbnRlbnRfVHlwZXNdLnhtbFBLAQItABQABgAIAAAAIQBa9CxbvwAAABUBAAALAAAA&#10;AAAAAAAAAAAAAB8BAABfcmVscy8ucmVsc1BLAQItABQABgAIAAAAIQBd18w2wgAAANsAAAAPAAAA&#10;AAAAAAAAAAAAAAcCAABkcnMvZG93bnJldi54bWxQSwUGAAAAAAMAAwC3AAAA9gIAAAAA&#10;" filled="f" stroked="f" strokeweight=".5pt">
                  <v:textbox inset=",7.2pt,,7.2pt">
                    <w:txbxContent>
                      <w:p w14:paraId="31693336" w14:textId="77777777" w:rsidR="009006D8" w:rsidRPr="00C305D3" w:rsidRDefault="009006D8" w:rsidP="009006D8">
                        <w:pPr>
                          <w:pStyle w:val="NoSpacing"/>
                          <w:jc w:val="center"/>
                          <w:rPr>
                            <w:rFonts w:eastAsiaTheme="majorEastAsia" w:cstheme="minorHAnsi"/>
                            <w:b/>
                            <w:bCs/>
                            <w:caps/>
                            <w:color w:val="FFFFFF" w:themeColor="background1"/>
                            <w:sz w:val="18"/>
                            <w:szCs w:val="18"/>
                          </w:rPr>
                        </w:pPr>
                        <w:r>
                          <w:rPr>
                            <w:rFonts w:eastAsiaTheme="majorEastAsia" w:cstheme="minorHAnsi"/>
                            <w:b/>
                            <w:bCs/>
                            <w:caps/>
                            <w:color w:val="FFFFFF" w:themeColor="background1"/>
                            <w:sz w:val="18"/>
                            <w:szCs w:val="18"/>
                          </w:rPr>
                          <w:t>Majority Rules</w:t>
                        </w:r>
                      </w:p>
                    </w:txbxContent>
                  </v:textbox>
                </v:shape>
                <w10:wrap type="square" anchorx="margin" anchory="margin"/>
              </v:group>
            </w:pict>
          </mc:Fallback>
        </mc:AlternateContent>
      </w:r>
      <w:r w:rsidR="00EB3359">
        <w:t xml:space="preserve">Local Tax Base - </w:t>
      </w:r>
      <w:r w:rsidR="002C1FC5">
        <w:t xml:space="preserve">In </w:t>
      </w:r>
      <w:r w:rsidR="00BA6A45">
        <w:t xml:space="preserve">most </w:t>
      </w:r>
      <w:r w:rsidR="002C1FC5">
        <w:t xml:space="preserve">states </w:t>
      </w:r>
      <w:r w:rsidR="00483C37">
        <w:t>that have</w:t>
      </w:r>
      <w:r w:rsidR="002C1FC5">
        <w:t xml:space="preserve"> </w:t>
      </w:r>
      <w:r w:rsidR="00483C37">
        <w:t>tax</w:t>
      </w:r>
      <w:r w:rsidR="002C1FC5">
        <w:t xml:space="preserve"> imposed</w:t>
      </w:r>
      <w:r w:rsidR="00FC72EA">
        <w:t xml:space="preserve"> by local governments,</w:t>
      </w:r>
      <w:r w:rsidR="002C1FC5">
        <w:t xml:space="preserve"> </w:t>
      </w:r>
      <w:r w:rsidR="00BA6A45">
        <w:t>the local tax base is identical to the state tax base. But i</w:t>
      </w:r>
      <w:r w:rsidR="002C1FC5">
        <w:t xml:space="preserve">n a </w:t>
      </w:r>
      <w:r w:rsidR="00EB3359">
        <w:t xml:space="preserve">handful </w:t>
      </w:r>
      <w:r w:rsidR="00B54912">
        <w:t xml:space="preserve">of </w:t>
      </w:r>
      <w:r w:rsidR="002C1FC5">
        <w:t xml:space="preserve">states, local government tax bases </w:t>
      </w:r>
      <w:r w:rsidR="00EB3359">
        <w:t>may not be identical.</w:t>
      </w:r>
    </w:p>
    <w:p w14:paraId="227DA2EF" w14:textId="67504492" w:rsidR="00DB0C9F" w:rsidRDefault="00512DBD" w:rsidP="006C5C13">
      <w:pPr>
        <w:pStyle w:val="ListParagraph"/>
        <w:numPr>
          <w:ilvl w:val="0"/>
          <w:numId w:val="7"/>
        </w:numPr>
        <w:spacing w:after="160"/>
        <w:ind w:left="936"/>
        <w:contextualSpacing w:val="0"/>
      </w:pPr>
      <w:r>
        <w:t>Separate Statement of the Tax – In most</w:t>
      </w:r>
      <w:r w:rsidR="001F371D">
        <w:t xml:space="preserve"> but not all</w:t>
      </w:r>
      <w:r>
        <w:t xml:space="preserve"> states, the seller must separately state the tax being charged to the </w:t>
      </w:r>
      <w:r w:rsidR="00264287">
        <w:t>customer</w:t>
      </w:r>
      <w:r>
        <w:t xml:space="preserve">. </w:t>
      </w:r>
      <w:r w:rsidR="00FC72EA">
        <w:t xml:space="preserve">In part, this facilitates the </w:t>
      </w:r>
      <w:r w:rsidR="009B1EFA">
        <w:t>customer</w:t>
      </w:r>
      <w:r w:rsidR="008268CD">
        <w:t>’s determination</w:t>
      </w:r>
      <w:r w:rsidR="00264287">
        <w:t xml:space="preserve"> of whether </w:t>
      </w:r>
      <w:r w:rsidR="00FC72EA">
        <w:t xml:space="preserve">use tax is due. </w:t>
      </w:r>
    </w:p>
    <w:p w14:paraId="36B7CCD7" w14:textId="0582D88F" w:rsidR="00264287" w:rsidRDefault="00EB3359" w:rsidP="006C5C13">
      <w:pPr>
        <w:pStyle w:val="ListParagraph"/>
        <w:numPr>
          <w:ilvl w:val="0"/>
          <w:numId w:val="7"/>
        </w:numPr>
        <w:spacing w:after="160"/>
        <w:ind w:left="936"/>
        <w:contextualSpacing w:val="0"/>
      </w:pPr>
      <w:r>
        <w:t>Exemptions –</w:t>
      </w:r>
      <w:r w:rsidR="00264287">
        <w:t xml:space="preserve"> As noted above, s</w:t>
      </w:r>
      <w:r>
        <w:t>tates typically provide a number of exemptions</w:t>
      </w:r>
      <w:r w:rsidR="00264287">
        <w:t xml:space="preserve">. Many of these exemptions </w:t>
      </w:r>
      <w:r>
        <w:t xml:space="preserve">address </w:t>
      </w:r>
      <w:r w:rsidR="00F623E5">
        <w:t xml:space="preserve">B2B transactions to reduce </w:t>
      </w:r>
      <w:r>
        <w:t xml:space="preserve">tax pyramiding or </w:t>
      </w:r>
      <w:r w:rsidR="00F623E5">
        <w:t xml:space="preserve">address the inherent </w:t>
      </w:r>
      <w:r>
        <w:t>regressivity</w:t>
      </w:r>
      <w:r w:rsidR="00F623E5">
        <w:t xml:space="preserve"> of the tax</w:t>
      </w:r>
      <w:r>
        <w:t xml:space="preserve">. </w:t>
      </w:r>
      <w:r w:rsidR="00E063BC">
        <w:t>Other</w:t>
      </w:r>
      <w:r w:rsidR="00264287">
        <w:t>s</w:t>
      </w:r>
      <w:r w:rsidR="00483C37">
        <w:t xml:space="preserve"> may</w:t>
      </w:r>
      <w:r w:rsidR="00E063BC">
        <w:t xml:space="preserve"> single out particular industries or activities for tax benefit.</w:t>
      </w:r>
      <w:r w:rsidR="00512DBD">
        <w:t xml:space="preserve"> There is a wide variation in the types of exemption states offer and even similar exemptions may rely on slightly different defined terms or requirements.</w:t>
      </w:r>
    </w:p>
    <w:p w14:paraId="4D3552AB" w14:textId="042751CD" w:rsidR="00264287" w:rsidRDefault="00E063BC" w:rsidP="006C5C13">
      <w:pPr>
        <w:pStyle w:val="ListParagraph"/>
        <w:numPr>
          <w:ilvl w:val="0"/>
          <w:numId w:val="7"/>
        </w:numPr>
        <w:spacing w:after="160"/>
        <w:ind w:left="936"/>
        <w:contextualSpacing w:val="0"/>
      </w:pPr>
      <w:r>
        <w:t>Sourcing –</w:t>
      </w:r>
      <w:r w:rsidR="002C090E">
        <w:t xml:space="preserve"> </w:t>
      </w:r>
      <w:r w:rsidR="00483C37">
        <w:t>Since</w:t>
      </w:r>
      <w:r w:rsidR="002C090E">
        <w:t xml:space="preserve"> rates vary by </w:t>
      </w:r>
      <w:r w:rsidR="00483C37">
        <w:t xml:space="preserve">state or local </w:t>
      </w:r>
      <w:r w:rsidR="002C090E">
        <w:t>jurisdiction, it is necessary for transactions to be sourced to particular jurisdictions. In the past</w:t>
      </w:r>
      <w:r w:rsidR="001C39C3">
        <w:t>, sourcing rules varied considerably. Most states today use destination-based sourcing, although there are some exceptions</w:t>
      </w:r>
      <w:r w:rsidR="00512DBD">
        <w:t>, and sourcing of certain items</w:t>
      </w:r>
      <w:r w:rsidR="00483C37">
        <w:t>,</w:t>
      </w:r>
      <w:r w:rsidR="00512DBD">
        <w:t xml:space="preserve"> like services and digital products</w:t>
      </w:r>
      <w:r w:rsidR="00483C37">
        <w:t>,</w:t>
      </w:r>
      <w:r w:rsidR="00512DBD">
        <w:t xml:space="preserve"> is more complicated than sourcing transactions involving tangible personal property</w:t>
      </w:r>
      <w:r w:rsidR="001C39C3">
        <w:t>. States that are members of the SSUTA must conform to uniform sourcing rules.</w:t>
      </w:r>
    </w:p>
    <w:p w14:paraId="56EB18A9" w14:textId="5E48BCF9" w:rsidR="00264287" w:rsidRDefault="00264287" w:rsidP="006C5C13">
      <w:pPr>
        <w:pStyle w:val="ListParagraph"/>
        <w:numPr>
          <w:ilvl w:val="0"/>
          <w:numId w:val="7"/>
        </w:numPr>
        <w:spacing w:after="160"/>
        <w:ind w:left="936"/>
        <w:contextualSpacing w:val="0"/>
      </w:pPr>
      <w:r>
        <w:t xml:space="preserve">Credit for Tax Paid – Customers who </w:t>
      </w:r>
      <w:r w:rsidR="00483C37">
        <w:t xml:space="preserve">may </w:t>
      </w:r>
      <w:r>
        <w:t xml:space="preserve">owe use tax in a particular state for items acquired </w:t>
      </w:r>
      <w:r w:rsidR="00483C37">
        <w:t>outside the state</w:t>
      </w:r>
      <w:r>
        <w:t xml:space="preserve"> can claim a credit against that tax for sales or use tax properly collected or paid to another state. State credits, however, may not completely eliminate </w:t>
      </w:r>
      <w:proofErr w:type="gramStart"/>
      <w:r>
        <w:t>double-taxation</w:t>
      </w:r>
      <w:proofErr w:type="gramEnd"/>
      <w:r>
        <w:t>. A particular transaction may be subject to two (or more) simultaneous sales tax impositions.</w:t>
      </w:r>
      <w:r w:rsidR="008D3CAF">
        <w:t xml:space="preserve"> In some states, the credit for tax paid may not apply in such cases.</w:t>
      </w:r>
    </w:p>
    <w:p w14:paraId="75D636D9" w14:textId="1A5C6C0D" w:rsidR="00E063BC" w:rsidRDefault="00FC72EA" w:rsidP="006C5C13">
      <w:pPr>
        <w:pStyle w:val="ListParagraph"/>
        <w:numPr>
          <w:ilvl w:val="0"/>
          <w:numId w:val="7"/>
        </w:numPr>
        <w:spacing w:after="160"/>
        <w:ind w:left="936"/>
        <w:contextualSpacing w:val="0"/>
      </w:pPr>
      <w:r>
        <w:t xml:space="preserve">Documentation </w:t>
      </w:r>
      <w:r w:rsidR="00DE6D3F">
        <w:t>–</w:t>
      </w:r>
      <w:r>
        <w:t xml:space="preserve"> </w:t>
      </w:r>
      <w:r w:rsidR="00483C37">
        <w:t>S</w:t>
      </w:r>
      <w:r w:rsidR="00DE6D3F">
        <w:t xml:space="preserve">ellers and customers must keep proper documentation to show that any exemptions claimed are valid or that tax paid is computed at the proper rate. </w:t>
      </w:r>
      <w:r w:rsidR="00483C37">
        <w:t>S</w:t>
      </w:r>
      <w:r w:rsidR="00DE6D3F">
        <w:t xml:space="preserve">tates </w:t>
      </w:r>
      <w:r w:rsidR="00483C37">
        <w:t xml:space="preserve">typically </w:t>
      </w:r>
      <w:r w:rsidR="00DE6D3F">
        <w:t xml:space="preserve">provide a standard form </w:t>
      </w:r>
      <w:r w:rsidR="00B54912">
        <w:t xml:space="preserve">or </w:t>
      </w:r>
      <w:r w:rsidR="00DE6D3F">
        <w:t xml:space="preserve">certificate for customers to give to sellers, asserting the transaction would meet the </w:t>
      </w:r>
      <w:r w:rsidR="00483C37">
        <w:t xml:space="preserve">exemption </w:t>
      </w:r>
      <w:r w:rsidR="00DE6D3F">
        <w:t xml:space="preserve">criteria, on which the seller can then rely. </w:t>
      </w:r>
      <w:r w:rsidR="00483C37">
        <w:t>If</w:t>
      </w:r>
      <w:r w:rsidR="00DE6D3F">
        <w:t xml:space="preserve"> the customer </w:t>
      </w:r>
      <w:r w:rsidR="00483C37">
        <w:t>fails to</w:t>
      </w:r>
      <w:r w:rsidR="00DE6D3F">
        <w:t xml:space="preserve"> qualify, then the use tax may be imposed.</w:t>
      </w:r>
    </w:p>
    <w:p w14:paraId="109F8DD2" w14:textId="6CCB6B49" w:rsidR="00EC7B3F" w:rsidRDefault="00DE6D3F" w:rsidP="006C5C13">
      <w:pPr>
        <w:pStyle w:val="ListParagraph"/>
        <w:numPr>
          <w:ilvl w:val="0"/>
          <w:numId w:val="7"/>
        </w:numPr>
        <w:ind w:left="936"/>
        <w:contextualSpacing w:val="0"/>
      </w:pPr>
      <w:r>
        <w:t xml:space="preserve">Streamlined States </w:t>
      </w:r>
      <w:r w:rsidR="006263E0">
        <w:t xml:space="preserve">– </w:t>
      </w:r>
      <w:r w:rsidR="00C73C3E">
        <w:t>The m</w:t>
      </w:r>
      <w:r w:rsidR="00B6092D">
        <w:t>embers of</w:t>
      </w:r>
      <w:r w:rsidR="006263E0">
        <w:t xml:space="preserve"> the SSUTA must conform their laws to that agreement. </w:t>
      </w:r>
      <w:r w:rsidR="005C5F98">
        <w:t>SSUTA</w:t>
      </w:r>
      <w:r w:rsidR="00473BE3">
        <w:t xml:space="preserve"> imposes requirements involving definitions, imposition, and sourcing. </w:t>
      </w:r>
      <w:r w:rsidR="00B6092D">
        <w:t>It</w:t>
      </w:r>
      <w:r w:rsidR="006263E0">
        <w:t xml:space="preserve"> contains definitions of certain “specified digital products</w:t>
      </w:r>
      <w:r w:rsidR="001C31E0">
        <w:t>,</w:t>
      </w:r>
      <w:r w:rsidR="006263E0">
        <w:t>” “digital audio-visual works</w:t>
      </w:r>
      <w:r w:rsidR="001C31E0">
        <w:t>,</w:t>
      </w:r>
      <w:r w:rsidR="006263E0">
        <w:t>”</w:t>
      </w:r>
      <w:r w:rsidR="001C31E0">
        <w:t xml:space="preserve"> </w:t>
      </w:r>
      <w:r w:rsidR="006263E0">
        <w:t>“digital audio works</w:t>
      </w:r>
      <w:r w:rsidR="001C31E0">
        <w:t>,</w:t>
      </w:r>
      <w:r w:rsidR="006263E0">
        <w:t>” “digital books</w:t>
      </w:r>
      <w:r w:rsidR="001C31E0">
        <w:t>,</w:t>
      </w:r>
      <w:r w:rsidR="006263E0">
        <w:t>”</w:t>
      </w:r>
      <w:r w:rsidR="001C31E0">
        <w:t xml:space="preserve"> and </w:t>
      </w:r>
      <w:r w:rsidR="006263E0">
        <w:t>“computer software</w:t>
      </w:r>
      <w:r w:rsidR="001C31E0">
        <w:t>.</w:t>
      </w:r>
      <w:r w:rsidR="006263E0">
        <w:t>”</w:t>
      </w:r>
      <w:r w:rsidR="001C31E0">
        <w:t xml:space="preserve"> </w:t>
      </w:r>
      <w:r w:rsidR="00B6092D">
        <w:t xml:space="preserve">SSUTA </w:t>
      </w:r>
      <w:r w:rsidR="001C31E0">
        <w:t xml:space="preserve">also provides: </w:t>
      </w:r>
      <w:r w:rsidR="00473BE3">
        <w:t>“</w:t>
      </w:r>
      <w:r w:rsidR="00473BE3" w:rsidRPr="00473BE3">
        <w:t>Nothing in this section or the definition of “specified digital products” shall limit a state’s right to impose a sales or use tax or exempt from sales or use tax any products or services that are outside the definition of “specified digital products.”</w:t>
      </w:r>
      <w:r w:rsidR="00473BE3">
        <w:t xml:space="preserve"> See Section 332 of the SSUTA.</w:t>
      </w:r>
    </w:p>
    <w:p w14:paraId="6EA36E10" w14:textId="6CC1150F" w:rsidR="00473BE3" w:rsidRDefault="00C73C3E" w:rsidP="008268CD">
      <w:pPr>
        <w:spacing w:after="160"/>
      </w:pPr>
      <w:r>
        <w:t xml:space="preserve">The detailed outline below </w:t>
      </w:r>
      <w:r w:rsidR="003E0054">
        <w:t xml:space="preserve">relies </w:t>
      </w:r>
      <w:r>
        <w:t>primarily on the majority rules governing states</w:t>
      </w:r>
      <w:r w:rsidR="00B54912">
        <w:t>’</w:t>
      </w:r>
      <w:r>
        <w:t xml:space="preserve"> sales taxes but will also note when </w:t>
      </w:r>
      <w:r w:rsidR="00FC2ECC">
        <w:t xml:space="preserve">additional consideration might need to be given to how minority-rule states </w:t>
      </w:r>
      <w:r w:rsidR="00C71577">
        <w:t>could</w:t>
      </w:r>
      <w:r w:rsidR="00FC2ECC">
        <w:t xml:space="preserve"> be </w:t>
      </w:r>
      <w:r w:rsidR="00BD763E">
        <w:t>affected</w:t>
      </w:r>
      <w:r w:rsidR="00FC2ECC">
        <w:t>.</w:t>
      </w:r>
    </w:p>
    <w:p w14:paraId="1C986399" w14:textId="12D7B496" w:rsidR="00FC2ECC" w:rsidRDefault="00FC2ECC">
      <w:pPr>
        <w:spacing w:after="200" w:line="276" w:lineRule="auto"/>
        <w:jc w:val="left"/>
      </w:pPr>
      <w:r>
        <w:br w:type="page"/>
      </w:r>
    </w:p>
    <w:p w14:paraId="78379197" w14:textId="7B75FEF8" w:rsidR="00176B41" w:rsidRDefault="00FC2ECC" w:rsidP="00FC2ECC">
      <w:pPr>
        <w:pStyle w:val="Heading1"/>
      </w:pPr>
      <w:r>
        <w:lastRenderedPageBreak/>
        <w:t>Detailed Outline</w:t>
      </w:r>
    </w:p>
    <w:p w14:paraId="5AB182E6" w14:textId="77777777" w:rsidR="001D5A69" w:rsidRDefault="00273570" w:rsidP="00273570">
      <w:pPr>
        <w:pStyle w:val="ListParagraph"/>
        <w:numPr>
          <w:ilvl w:val="0"/>
          <w:numId w:val="10"/>
        </w:numPr>
        <w:spacing w:after="120"/>
        <w:contextualSpacing w:val="0"/>
      </w:pPr>
      <w:r>
        <w:t>General Purpose</w:t>
      </w:r>
      <w:r w:rsidR="006E6DAA">
        <w:t xml:space="preserve"> </w:t>
      </w:r>
      <w:r w:rsidR="00F33689">
        <w:t xml:space="preserve">or Goal </w:t>
      </w:r>
      <w:r w:rsidR="006E6DAA">
        <w:t xml:space="preserve">of </w:t>
      </w:r>
      <w:r w:rsidR="00F33689">
        <w:t xml:space="preserve">the </w:t>
      </w:r>
      <w:r w:rsidR="006E6DAA">
        <w:t>White Paper</w:t>
      </w:r>
      <w:r>
        <w:t xml:space="preserve"> </w:t>
      </w:r>
      <w:r w:rsidR="000754EE">
        <w:t xml:space="preserve">– </w:t>
      </w:r>
    </w:p>
    <w:p w14:paraId="5089FF3B" w14:textId="3E3FC96B" w:rsidR="00273570" w:rsidRDefault="000754EE" w:rsidP="001D5A69">
      <w:pPr>
        <w:pStyle w:val="ListParagraph"/>
        <w:spacing w:after="120"/>
        <w:ind w:left="360"/>
        <w:contextualSpacing w:val="0"/>
      </w:pPr>
      <w:r>
        <w:t xml:space="preserve">In this section we would develop the general principles and criteria that will be used to evaluate the information gathered and </w:t>
      </w:r>
      <w:r w:rsidR="001D5A69">
        <w:t xml:space="preserve">to compare </w:t>
      </w:r>
      <w:r>
        <w:t>potential alternatives.</w:t>
      </w:r>
      <w:r w:rsidR="00273570">
        <w:t xml:space="preserve"> </w:t>
      </w:r>
      <w:r w:rsidR="001D5A69">
        <w:t>The purpose or goals may include:</w:t>
      </w:r>
    </w:p>
    <w:p w14:paraId="7DB1332D" w14:textId="301EE384" w:rsidR="00273570" w:rsidRDefault="001D5A69" w:rsidP="00273570">
      <w:pPr>
        <w:pStyle w:val="ListParagraph"/>
        <w:numPr>
          <w:ilvl w:val="1"/>
          <w:numId w:val="10"/>
        </w:numPr>
        <w:spacing w:after="120"/>
        <w:contextualSpacing w:val="0"/>
      </w:pPr>
      <w:r>
        <w:t xml:space="preserve">Determine the best approach to making existing state sales taxes adaptable and responsive to changes in the digital economy as opposed to creating a new tax or looking at gross receipts taxes. </w:t>
      </w:r>
    </w:p>
    <w:p w14:paraId="60597286" w14:textId="6EB3781E" w:rsidR="00C71577" w:rsidRDefault="00C71577" w:rsidP="00C71577">
      <w:pPr>
        <w:pStyle w:val="ListParagraph"/>
        <w:numPr>
          <w:ilvl w:val="2"/>
          <w:numId w:val="10"/>
        </w:numPr>
        <w:spacing w:after="120"/>
        <w:contextualSpacing w:val="0"/>
      </w:pPr>
      <w:r>
        <w:t>Based on pros and cons of different approache</w:t>
      </w:r>
      <w:r w:rsidR="008D7A6F">
        <w:t>s as determined from the analysis of the issues outlined here.</w:t>
      </w:r>
    </w:p>
    <w:p w14:paraId="16BA8E73" w14:textId="689EB7CF" w:rsidR="00C71577" w:rsidRDefault="00C71577" w:rsidP="00C71577">
      <w:pPr>
        <w:pStyle w:val="ListParagraph"/>
        <w:numPr>
          <w:ilvl w:val="2"/>
          <w:numId w:val="10"/>
        </w:numPr>
        <w:spacing w:after="120"/>
        <w:contextualSpacing w:val="0"/>
      </w:pPr>
      <w:r>
        <w:t xml:space="preserve">Based on </w:t>
      </w:r>
      <w:r w:rsidR="008D7A6F">
        <w:t xml:space="preserve">survey of </w:t>
      </w:r>
      <w:r>
        <w:t>state experience with different approaches.</w:t>
      </w:r>
    </w:p>
    <w:p w14:paraId="50030BA8" w14:textId="14B6F2C7" w:rsidR="0013232B" w:rsidRDefault="00582CEF" w:rsidP="0013232B">
      <w:pPr>
        <w:pStyle w:val="ListParagraph"/>
        <w:numPr>
          <w:ilvl w:val="1"/>
          <w:numId w:val="10"/>
        </w:numPr>
        <w:spacing w:after="120"/>
        <w:contextualSpacing w:val="0"/>
      </w:pPr>
      <w:r>
        <w:t>D</w:t>
      </w:r>
      <w:r w:rsidRPr="0013232B">
        <w:t>etermine the approach that is most responsive to issues identified by stakeholders</w:t>
      </w:r>
      <w:r>
        <w:t>.</w:t>
      </w:r>
      <w:r w:rsidRPr="0013232B">
        <w:t xml:space="preserve"> </w:t>
      </w:r>
    </w:p>
    <w:p w14:paraId="419881E3" w14:textId="7228ACC8" w:rsidR="00C71577" w:rsidRDefault="00C71577" w:rsidP="00C71577">
      <w:pPr>
        <w:pStyle w:val="ListParagraph"/>
        <w:numPr>
          <w:ilvl w:val="2"/>
          <w:numId w:val="10"/>
        </w:numPr>
        <w:spacing w:after="120"/>
        <w:contextualSpacing w:val="0"/>
      </w:pPr>
      <w:r>
        <w:t>Addressing the important issues identified</w:t>
      </w:r>
      <w:r w:rsidR="0013232B">
        <w:t xml:space="preserve"> by stakeholders</w:t>
      </w:r>
      <w:r w:rsidR="008D7A6F">
        <w:t xml:space="preserve"> and summarized in the outline here</w:t>
      </w:r>
      <w:r>
        <w:t>.</w:t>
      </w:r>
    </w:p>
    <w:p w14:paraId="4098ACDA" w14:textId="46FA111E" w:rsidR="00C71577" w:rsidRDefault="0013232B" w:rsidP="00C71577">
      <w:pPr>
        <w:pStyle w:val="ListParagraph"/>
        <w:numPr>
          <w:ilvl w:val="2"/>
          <w:numId w:val="10"/>
        </w:numPr>
        <w:spacing w:after="120"/>
        <w:contextualSpacing w:val="0"/>
      </w:pPr>
      <w:r>
        <w:t>Reducing the compliance and enforcement costs</w:t>
      </w:r>
      <w:r w:rsidR="008D7A6F">
        <w:t xml:space="preserve"> based on best available information</w:t>
      </w:r>
      <w:r>
        <w:t>.</w:t>
      </w:r>
    </w:p>
    <w:p w14:paraId="056AC506" w14:textId="701AF132" w:rsidR="00273570" w:rsidRDefault="0013232B" w:rsidP="00273570">
      <w:pPr>
        <w:pStyle w:val="ListParagraph"/>
        <w:numPr>
          <w:ilvl w:val="1"/>
          <w:numId w:val="10"/>
        </w:numPr>
        <w:spacing w:after="120"/>
        <w:contextualSpacing w:val="0"/>
      </w:pPr>
      <w:r>
        <w:t xml:space="preserve">Determine the </w:t>
      </w:r>
      <w:r w:rsidR="00582CEF">
        <w:t>approach that will lead to the greatest uniformity.</w:t>
      </w:r>
    </w:p>
    <w:p w14:paraId="2F781723" w14:textId="7D01E3D1" w:rsidR="0013232B" w:rsidRDefault="008D7A6F" w:rsidP="0013232B">
      <w:pPr>
        <w:pStyle w:val="ListParagraph"/>
        <w:numPr>
          <w:ilvl w:val="2"/>
          <w:numId w:val="10"/>
        </w:numPr>
        <w:spacing w:after="120"/>
        <w:contextualSpacing w:val="0"/>
      </w:pPr>
      <w:r>
        <w:t>Does the method provide for the ability of states to adopt and apply c</w:t>
      </w:r>
      <w:r w:rsidR="006C6B0C">
        <w:t>ommon definitions</w:t>
      </w:r>
      <w:r>
        <w:t>?</w:t>
      </w:r>
    </w:p>
    <w:p w14:paraId="5D4510F2" w14:textId="511A4F74" w:rsidR="006C6B0C" w:rsidRDefault="008D7A6F" w:rsidP="0013232B">
      <w:pPr>
        <w:pStyle w:val="ListParagraph"/>
        <w:numPr>
          <w:ilvl w:val="2"/>
          <w:numId w:val="10"/>
        </w:numPr>
        <w:spacing w:after="120"/>
        <w:contextualSpacing w:val="0"/>
      </w:pPr>
      <w:r>
        <w:t>Does the method provide for the ability of states to adopt and apply c</w:t>
      </w:r>
      <w:r w:rsidR="006C6B0C">
        <w:t>ommon requirements for certain exemptions</w:t>
      </w:r>
      <w:r>
        <w:t>?</w:t>
      </w:r>
    </w:p>
    <w:p w14:paraId="72B897DC" w14:textId="781FF970" w:rsidR="00F33689" w:rsidRDefault="00F33689" w:rsidP="00273570">
      <w:pPr>
        <w:pStyle w:val="ListParagraph"/>
        <w:numPr>
          <w:ilvl w:val="1"/>
          <w:numId w:val="10"/>
        </w:numPr>
        <w:spacing w:after="120"/>
        <w:contextualSpacing w:val="0"/>
      </w:pPr>
      <w:r>
        <w:t>Other</w:t>
      </w:r>
      <w:r w:rsidR="008D7A6F">
        <w:t xml:space="preserve"> [may want to note the common criteria used to evaluate taxes – economic equity, revenue reliability, etc.]</w:t>
      </w:r>
    </w:p>
    <w:p w14:paraId="59C2DE82" w14:textId="77777777" w:rsidR="00582CEF" w:rsidRDefault="006C6B0C" w:rsidP="00273570">
      <w:pPr>
        <w:pStyle w:val="ListParagraph"/>
        <w:numPr>
          <w:ilvl w:val="0"/>
          <w:numId w:val="10"/>
        </w:numPr>
        <w:spacing w:after="120"/>
        <w:contextualSpacing w:val="0"/>
      </w:pPr>
      <w:r>
        <w:t>Describe the Categor</w:t>
      </w:r>
      <w:r w:rsidR="00C75B82">
        <w:t>ies</w:t>
      </w:r>
      <w:r>
        <w:t xml:space="preserve"> and Sub-Categories of </w:t>
      </w:r>
      <w:r w:rsidR="00FC2ECC">
        <w:t xml:space="preserve">Digital Products </w:t>
      </w:r>
      <w:r w:rsidR="009936C7">
        <w:t xml:space="preserve">and Transactions </w:t>
      </w:r>
      <w:r>
        <w:t>Generally</w:t>
      </w:r>
      <w:r w:rsidR="000754EE">
        <w:t xml:space="preserve"> – </w:t>
      </w:r>
    </w:p>
    <w:p w14:paraId="78C36787" w14:textId="1EB67C14" w:rsidR="00FC2ECC" w:rsidRDefault="000754EE" w:rsidP="00582CEF">
      <w:pPr>
        <w:pStyle w:val="ListParagraph"/>
        <w:spacing w:after="120"/>
        <w:ind w:left="360"/>
        <w:contextualSpacing w:val="0"/>
      </w:pPr>
      <w:r>
        <w:t>In this section we would use both existing tax definitions and industry information to help categorize</w:t>
      </w:r>
      <w:r w:rsidR="008D7A6F">
        <w:t xml:space="preserve"> and describe</w:t>
      </w:r>
      <w:r>
        <w:t xml:space="preserve"> the types of products that </w:t>
      </w:r>
      <w:r w:rsidR="00745B6B">
        <w:t>we are focusing on.</w:t>
      </w:r>
    </w:p>
    <w:p w14:paraId="3B4DA554" w14:textId="519BCA47" w:rsidR="009936C7" w:rsidRDefault="009936C7" w:rsidP="009936C7">
      <w:pPr>
        <w:pStyle w:val="ListParagraph"/>
        <w:numPr>
          <w:ilvl w:val="1"/>
          <w:numId w:val="10"/>
        </w:numPr>
        <w:spacing w:after="120"/>
        <w:contextualSpacing w:val="0"/>
      </w:pPr>
      <w:r>
        <w:t xml:space="preserve">SSUTA </w:t>
      </w:r>
      <w:r w:rsidR="00582CEF">
        <w:t>d</w:t>
      </w:r>
      <w:r>
        <w:t>efinitions</w:t>
      </w:r>
      <w:r w:rsidR="00582CEF">
        <w:t xml:space="preserve"> of digital products.</w:t>
      </w:r>
    </w:p>
    <w:p w14:paraId="79BDA4CB" w14:textId="39AAB365" w:rsidR="009059AC" w:rsidRDefault="006A0F13" w:rsidP="009059AC">
      <w:pPr>
        <w:pStyle w:val="ListParagraph"/>
        <w:numPr>
          <w:ilvl w:val="1"/>
          <w:numId w:val="10"/>
        </w:numPr>
        <w:spacing w:after="120"/>
        <w:contextualSpacing w:val="0"/>
      </w:pPr>
      <w:r>
        <w:t xml:space="preserve">Other </w:t>
      </w:r>
      <w:r w:rsidR="007E6127">
        <w:t xml:space="preserve">common state tax definitions </w:t>
      </w:r>
    </w:p>
    <w:p w14:paraId="5DEB7F36" w14:textId="53E87E83" w:rsidR="00F33689" w:rsidRDefault="009059AC" w:rsidP="002816B0">
      <w:pPr>
        <w:pStyle w:val="ListParagraph"/>
        <w:numPr>
          <w:ilvl w:val="2"/>
          <w:numId w:val="10"/>
        </w:numPr>
        <w:spacing w:after="120"/>
        <w:contextualSpacing w:val="0"/>
      </w:pPr>
      <w:r>
        <w:t xml:space="preserve">Interpretations of </w:t>
      </w:r>
      <w:r w:rsidR="00F33689">
        <w:t>“</w:t>
      </w:r>
      <w:r w:rsidR="00076F5D">
        <w:t>t</w:t>
      </w:r>
      <w:r w:rsidR="00F33689">
        <w:t xml:space="preserve">angible </w:t>
      </w:r>
      <w:r w:rsidR="00076F5D">
        <w:t>p</w:t>
      </w:r>
      <w:r w:rsidR="006C6B0C">
        <w:t xml:space="preserve">ersonal </w:t>
      </w:r>
      <w:r w:rsidR="00076F5D">
        <w:t>p</w:t>
      </w:r>
      <w:r w:rsidR="00F33689">
        <w:t xml:space="preserve">roperty” </w:t>
      </w:r>
    </w:p>
    <w:p w14:paraId="4EDC4AC3" w14:textId="1522DEA4" w:rsidR="009936C7" w:rsidRDefault="009936C7" w:rsidP="002816B0">
      <w:pPr>
        <w:pStyle w:val="ListParagraph"/>
        <w:numPr>
          <w:ilvl w:val="2"/>
          <w:numId w:val="10"/>
        </w:numPr>
        <w:spacing w:after="120"/>
        <w:contextualSpacing w:val="0"/>
      </w:pPr>
      <w:r>
        <w:t xml:space="preserve">Goods </w:t>
      </w:r>
      <w:r w:rsidR="005F18C6">
        <w:t>versus services distinction</w:t>
      </w:r>
    </w:p>
    <w:p w14:paraId="4C2AC0DF" w14:textId="35D579C0" w:rsidR="00327E94" w:rsidRDefault="00327E94" w:rsidP="002816B0">
      <w:pPr>
        <w:pStyle w:val="ListParagraph"/>
        <w:numPr>
          <w:ilvl w:val="3"/>
          <w:numId w:val="10"/>
        </w:numPr>
        <w:spacing w:after="120"/>
        <w:contextualSpacing w:val="0"/>
      </w:pPr>
      <w:r>
        <w:t>Traditionally</w:t>
      </w:r>
      <w:r w:rsidR="00DE079A">
        <w:t xml:space="preserve"> – </w:t>
      </w:r>
      <w:r w:rsidR="005F18C6">
        <w:t>true object or other tests</w:t>
      </w:r>
    </w:p>
    <w:p w14:paraId="101CEB0F" w14:textId="04AB49B5" w:rsidR="00327E94" w:rsidRDefault="00327E94" w:rsidP="002816B0">
      <w:pPr>
        <w:pStyle w:val="ListParagraph"/>
        <w:numPr>
          <w:ilvl w:val="3"/>
          <w:numId w:val="10"/>
        </w:numPr>
        <w:spacing w:after="120"/>
        <w:contextualSpacing w:val="0"/>
      </w:pPr>
      <w:r>
        <w:t xml:space="preserve">As </w:t>
      </w:r>
      <w:r w:rsidR="005F18C6">
        <w:t>applied to certain digital products</w:t>
      </w:r>
    </w:p>
    <w:p w14:paraId="0EAFF2CE" w14:textId="4278A7E9" w:rsidR="002237E8" w:rsidRDefault="002237E8" w:rsidP="00076F5D">
      <w:pPr>
        <w:pStyle w:val="ListParagraph"/>
        <w:numPr>
          <w:ilvl w:val="2"/>
          <w:numId w:val="10"/>
        </w:numPr>
        <w:spacing w:after="120"/>
        <w:contextualSpacing w:val="0"/>
      </w:pPr>
      <w:r>
        <w:t>Examples</w:t>
      </w:r>
    </w:p>
    <w:p w14:paraId="12FE084F" w14:textId="6A703F62" w:rsidR="002237E8" w:rsidRDefault="00B622DE" w:rsidP="00076F5D">
      <w:pPr>
        <w:pStyle w:val="ListParagraph"/>
        <w:numPr>
          <w:ilvl w:val="3"/>
          <w:numId w:val="10"/>
        </w:numPr>
        <w:spacing w:after="120"/>
        <w:contextualSpacing w:val="0"/>
      </w:pPr>
      <w:r>
        <w:t>Advertising</w:t>
      </w:r>
    </w:p>
    <w:p w14:paraId="6F3C77FA" w14:textId="75947FE2" w:rsidR="00B622DE" w:rsidRDefault="00B622DE" w:rsidP="00076F5D">
      <w:pPr>
        <w:pStyle w:val="ListParagraph"/>
        <w:numPr>
          <w:ilvl w:val="3"/>
          <w:numId w:val="10"/>
        </w:numPr>
        <w:spacing w:after="120"/>
        <w:contextualSpacing w:val="0"/>
      </w:pPr>
      <w:r w:rsidRPr="00B622DE">
        <w:t xml:space="preserve">Artificial </w:t>
      </w:r>
      <w:r w:rsidR="005F18C6">
        <w:t>i</w:t>
      </w:r>
      <w:r w:rsidRPr="00B622DE">
        <w:t>ntelligence</w:t>
      </w:r>
    </w:p>
    <w:p w14:paraId="778106E8" w14:textId="77777777" w:rsidR="00C605ED" w:rsidRDefault="00C96D75" w:rsidP="00076F5D">
      <w:pPr>
        <w:pStyle w:val="ListParagraph"/>
        <w:numPr>
          <w:ilvl w:val="3"/>
          <w:numId w:val="10"/>
        </w:numPr>
        <w:spacing w:after="120"/>
        <w:contextualSpacing w:val="0"/>
      </w:pPr>
      <w:r>
        <w:t xml:space="preserve">Data </w:t>
      </w:r>
      <w:r w:rsidR="005F18C6">
        <w:t>processing services</w:t>
      </w:r>
    </w:p>
    <w:p w14:paraId="4EA1F39B" w14:textId="77777777" w:rsidR="00C605ED" w:rsidRDefault="00087DF2" w:rsidP="00076F5D">
      <w:pPr>
        <w:pStyle w:val="ListParagraph"/>
        <w:numPr>
          <w:ilvl w:val="3"/>
          <w:numId w:val="10"/>
        </w:numPr>
        <w:spacing w:after="120"/>
        <w:contextualSpacing w:val="0"/>
      </w:pPr>
      <w:r>
        <w:t>I</w:t>
      </w:r>
      <w:r w:rsidR="005F18C6">
        <w:t>nformation services</w:t>
      </w:r>
      <w:r w:rsidR="00301FA1">
        <w:t xml:space="preserve"> </w:t>
      </w:r>
    </w:p>
    <w:p w14:paraId="4DB52BF4" w14:textId="4BBCA7E2" w:rsidR="00C96D75" w:rsidRDefault="00301FA1" w:rsidP="00076F5D">
      <w:pPr>
        <w:pStyle w:val="ListParagraph"/>
        <w:numPr>
          <w:ilvl w:val="3"/>
          <w:numId w:val="10"/>
        </w:numPr>
        <w:spacing w:after="120"/>
        <w:contextualSpacing w:val="0"/>
      </w:pPr>
      <w:r>
        <w:t>Software as a Service</w:t>
      </w:r>
    </w:p>
    <w:p w14:paraId="7749A589" w14:textId="51545DD1" w:rsidR="009936C7" w:rsidRDefault="009936C7" w:rsidP="009936C7">
      <w:pPr>
        <w:pStyle w:val="ListParagraph"/>
        <w:numPr>
          <w:ilvl w:val="1"/>
          <w:numId w:val="10"/>
        </w:numPr>
        <w:spacing w:after="120"/>
        <w:contextualSpacing w:val="0"/>
      </w:pPr>
      <w:r>
        <w:t xml:space="preserve">Typical </w:t>
      </w:r>
      <w:r w:rsidR="007E6127">
        <w:t>forms of digital product transactions</w:t>
      </w:r>
    </w:p>
    <w:p w14:paraId="6CA05637" w14:textId="1FC82F85" w:rsidR="009936C7" w:rsidRDefault="009936C7" w:rsidP="009936C7">
      <w:pPr>
        <w:pStyle w:val="ListParagraph"/>
        <w:numPr>
          <w:ilvl w:val="2"/>
          <w:numId w:val="10"/>
        </w:numPr>
        <w:spacing w:after="120"/>
        <w:contextualSpacing w:val="0"/>
      </w:pPr>
      <w:r>
        <w:t>Sales</w:t>
      </w:r>
      <w:r w:rsidR="00BD3F0E">
        <w:t xml:space="preserve"> (meaning </w:t>
      </w:r>
      <w:r w:rsidR="00F6109A">
        <w:t>the customer owns the rights to the item after the transaction)</w:t>
      </w:r>
    </w:p>
    <w:p w14:paraId="5F787ADA" w14:textId="279FD297" w:rsidR="009936C7" w:rsidRDefault="009936C7" w:rsidP="009936C7">
      <w:pPr>
        <w:pStyle w:val="ListParagraph"/>
        <w:numPr>
          <w:ilvl w:val="2"/>
          <w:numId w:val="10"/>
        </w:numPr>
        <w:spacing w:after="120"/>
        <w:contextualSpacing w:val="0"/>
      </w:pPr>
      <w:r>
        <w:t>Licenses</w:t>
      </w:r>
      <w:r w:rsidR="006D2D1B">
        <w:t xml:space="preserve"> </w:t>
      </w:r>
      <w:r w:rsidR="005F18C6">
        <w:t>or leases</w:t>
      </w:r>
    </w:p>
    <w:p w14:paraId="724BED76" w14:textId="3394249B" w:rsidR="009936C7" w:rsidRDefault="009936C7" w:rsidP="009936C7">
      <w:pPr>
        <w:pStyle w:val="ListParagraph"/>
        <w:numPr>
          <w:ilvl w:val="2"/>
          <w:numId w:val="10"/>
        </w:numPr>
        <w:spacing w:after="120"/>
        <w:contextualSpacing w:val="0"/>
      </w:pPr>
      <w:r>
        <w:t>Subscriptions</w:t>
      </w:r>
    </w:p>
    <w:p w14:paraId="554D0F1F" w14:textId="2B3ABD9A" w:rsidR="00327E94" w:rsidRPr="001C041F" w:rsidRDefault="00327E94" w:rsidP="009936C7">
      <w:pPr>
        <w:pStyle w:val="ListParagraph"/>
        <w:numPr>
          <w:ilvl w:val="2"/>
          <w:numId w:val="10"/>
        </w:numPr>
        <w:spacing w:after="120"/>
        <w:contextualSpacing w:val="0"/>
        <w:rPr>
          <w:sz w:val="24"/>
        </w:rPr>
      </w:pPr>
      <w:r>
        <w:t xml:space="preserve">Exchange </w:t>
      </w:r>
      <w:r w:rsidR="005F18C6" w:rsidRPr="005F18C6">
        <w:t>of user data for certain products</w:t>
      </w:r>
      <w:r w:rsidR="001C041F">
        <w:t xml:space="preserve"> and sales of that data (see also products below)</w:t>
      </w:r>
    </w:p>
    <w:p w14:paraId="332913B2" w14:textId="373526DF" w:rsidR="001C041F" w:rsidRPr="005F18C6" w:rsidRDefault="001C041F" w:rsidP="009936C7">
      <w:pPr>
        <w:pStyle w:val="ListParagraph"/>
        <w:numPr>
          <w:ilvl w:val="2"/>
          <w:numId w:val="10"/>
        </w:numPr>
        <w:spacing w:after="120"/>
        <w:contextualSpacing w:val="0"/>
        <w:rPr>
          <w:sz w:val="24"/>
        </w:rPr>
      </w:pPr>
      <w:r>
        <w:lastRenderedPageBreak/>
        <w:t>Non-Fungible Tokens (“</w:t>
      </w:r>
      <w:proofErr w:type="spellStart"/>
      <w:r>
        <w:t>NFTs</w:t>
      </w:r>
      <w:proofErr w:type="spellEnd"/>
      <w:r>
        <w:t>”) as transactions (see also products below)</w:t>
      </w:r>
    </w:p>
    <w:p w14:paraId="0F2CFD4C" w14:textId="33A9347B" w:rsidR="002237E8" w:rsidRDefault="006C6B0C" w:rsidP="002237E8">
      <w:pPr>
        <w:pStyle w:val="ListParagraph"/>
        <w:numPr>
          <w:ilvl w:val="1"/>
          <w:numId w:val="10"/>
        </w:numPr>
        <w:spacing w:after="120"/>
        <w:contextualSpacing w:val="0"/>
      </w:pPr>
      <w:r>
        <w:t xml:space="preserve">Common </w:t>
      </w:r>
      <w:r w:rsidR="007E6127">
        <w:t>and emerging products</w:t>
      </w:r>
    </w:p>
    <w:p w14:paraId="0D1066BD" w14:textId="427F3CDE" w:rsidR="006C6B0C" w:rsidRDefault="006C6B0C" w:rsidP="002237E8">
      <w:pPr>
        <w:pStyle w:val="ListParagraph"/>
        <w:numPr>
          <w:ilvl w:val="2"/>
          <w:numId w:val="10"/>
        </w:numPr>
        <w:spacing w:after="120"/>
        <w:contextualSpacing w:val="0"/>
      </w:pPr>
      <w:r>
        <w:t xml:space="preserve">Most </w:t>
      </w:r>
      <w:r w:rsidR="005F18C6">
        <w:t>common consumer products</w:t>
      </w:r>
    </w:p>
    <w:p w14:paraId="774B7A7F" w14:textId="3AEE6172" w:rsidR="006C6B0C" w:rsidRDefault="006C6B0C" w:rsidP="002237E8">
      <w:pPr>
        <w:pStyle w:val="ListParagraph"/>
        <w:numPr>
          <w:ilvl w:val="2"/>
          <w:numId w:val="10"/>
        </w:numPr>
        <w:spacing w:after="120"/>
        <w:contextualSpacing w:val="0"/>
      </w:pPr>
      <w:r>
        <w:t xml:space="preserve">Common B2B </w:t>
      </w:r>
      <w:r w:rsidR="005F18C6">
        <w:t>p</w:t>
      </w:r>
      <w:r>
        <w:t>roducts</w:t>
      </w:r>
    </w:p>
    <w:p w14:paraId="3E3D5B17" w14:textId="0E747CDB" w:rsidR="002237E8" w:rsidRDefault="002237E8" w:rsidP="002237E8">
      <w:pPr>
        <w:pStyle w:val="ListParagraph"/>
        <w:numPr>
          <w:ilvl w:val="2"/>
          <w:numId w:val="10"/>
        </w:numPr>
        <w:spacing w:after="120"/>
        <w:contextualSpacing w:val="0"/>
      </w:pPr>
      <w:r>
        <w:t>N</w:t>
      </w:r>
      <w:r w:rsidR="006D2D1B">
        <w:t>on-Fungible Tokens (“N</w:t>
      </w:r>
      <w:r>
        <w:t>FTs</w:t>
      </w:r>
      <w:r w:rsidR="006D2D1B">
        <w:t>”)</w:t>
      </w:r>
      <w:r w:rsidR="00B65B02">
        <w:t xml:space="preserve"> (e.g.,</w:t>
      </w:r>
      <w:r w:rsidR="00FD32E4">
        <w:t xml:space="preserve"> PA</w:t>
      </w:r>
      <w:r w:rsidR="00BD4917">
        <w:t xml:space="preserve"> DOR</w:t>
      </w:r>
      <w:r w:rsidR="00FD32E4">
        <w:t xml:space="preserve"> REV-717</w:t>
      </w:r>
      <w:r w:rsidR="007D5404">
        <w:t>, p.12</w:t>
      </w:r>
      <w:r w:rsidR="00FD32E4">
        <w:t xml:space="preserve"> (05-22)</w:t>
      </w:r>
      <w:r w:rsidR="003427FB">
        <w:t xml:space="preserve"> add</w:t>
      </w:r>
      <w:r w:rsidR="007E7FE3">
        <w:t>s</w:t>
      </w:r>
      <w:r w:rsidR="003427FB">
        <w:t xml:space="preserve"> NFTs to the list of taxable </w:t>
      </w:r>
      <w:r w:rsidR="008A3307">
        <w:t>digital products</w:t>
      </w:r>
      <w:r w:rsidR="007E4B3E">
        <w:t xml:space="preserve"> </w:t>
      </w:r>
      <w:r w:rsidR="007E7FE3">
        <w:t>without definition</w:t>
      </w:r>
      <w:r w:rsidR="00BB6B4F">
        <w:t xml:space="preserve">; WADOR issues </w:t>
      </w:r>
      <w:r w:rsidR="00845E55">
        <w:t xml:space="preserve">“Interim </w:t>
      </w:r>
      <w:r w:rsidR="00CA75C9">
        <w:t>Statement Regarding the Taxability of Non-Fungible Tokens (NFTs)</w:t>
      </w:r>
      <w:r w:rsidR="00BB6B4F">
        <w:t xml:space="preserve"> 7/1/22</w:t>
      </w:r>
      <w:r w:rsidR="007D5404">
        <w:t>)</w:t>
      </w:r>
    </w:p>
    <w:p w14:paraId="559E970F" w14:textId="07887718" w:rsidR="002237E8" w:rsidRDefault="002237E8" w:rsidP="002237E8">
      <w:pPr>
        <w:pStyle w:val="ListParagraph"/>
        <w:numPr>
          <w:ilvl w:val="2"/>
          <w:numId w:val="10"/>
        </w:numPr>
        <w:spacing w:after="120"/>
        <w:contextualSpacing w:val="0"/>
      </w:pPr>
      <w:r>
        <w:t xml:space="preserve">Digital </w:t>
      </w:r>
      <w:r w:rsidR="005F18C6">
        <w:t>c</w:t>
      </w:r>
      <w:r>
        <w:t>urrency</w:t>
      </w:r>
    </w:p>
    <w:p w14:paraId="194D8566" w14:textId="3E527736" w:rsidR="001C041F" w:rsidRDefault="001C041F" w:rsidP="002237E8">
      <w:pPr>
        <w:pStyle w:val="ListParagraph"/>
        <w:numPr>
          <w:ilvl w:val="2"/>
          <w:numId w:val="10"/>
        </w:numPr>
        <w:spacing w:after="120"/>
        <w:contextualSpacing w:val="0"/>
      </w:pPr>
      <w:r>
        <w:t xml:space="preserve">Data gathered from online activity and sold </w:t>
      </w:r>
    </w:p>
    <w:p w14:paraId="130BA2BF" w14:textId="77777777" w:rsidR="009D14BD" w:rsidRDefault="00DE079A" w:rsidP="00DE079A">
      <w:pPr>
        <w:pStyle w:val="ListParagraph"/>
        <w:numPr>
          <w:ilvl w:val="0"/>
          <w:numId w:val="10"/>
        </w:numPr>
        <w:spacing w:after="120"/>
        <w:contextualSpacing w:val="0"/>
      </w:pPr>
      <w:r>
        <w:t xml:space="preserve">Important Limitations </w:t>
      </w:r>
      <w:r w:rsidR="006C6B0C">
        <w:t>Facing States that Must be Considered</w:t>
      </w:r>
      <w:r w:rsidR="00745B6B">
        <w:t xml:space="preserve"> – </w:t>
      </w:r>
    </w:p>
    <w:p w14:paraId="2A2ACEC9" w14:textId="70ADE265" w:rsidR="00DE079A" w:rsidRDefault="00745B6B" w:rsidP="009D14BD">
      <w:pPr>
        <w:pStyle w:val="ListParagraph"/>
        <w:spacing w:after="120"/>
        <w:ind w:left="360"/>
        <w:contextualSpacing w:val="0"/>
      </w:pPr>
      <w:r>
        <w:t xml:space="preserve">In this section we would focus on </w:t>
      </w:r>
      <w:r w:rsidR="009D14BD">
        <w:t xml:space="preserve">certain </w:t>
      </w:r>
      <w:r>
        <w:t>practical realities of making a</w:t>
      </w:r>
      <w:r w:rsidR="009D14BD">
        <w:t>n adaptable</w:t>
      </w:r>
      <w:r>
        <w:t xml:space="preserve"> tax on digital products work including enforcement and ITFA limits.</w:t>
      </w:r>
      <w:r w:rsidR="006C6B0C">
        <w:t xml:space="preserve"> </w:t>
      </w:r>
    </w:p>
    <w:p w14:paraId="474BCD06" w14:textId="0860CF85" w:rsidR="00DE079A" w:rsidRDefault="00DE079A" w:rsidP="00DE079A">
      <w:pPr>
        <w:pStyle w:val="ListParagraph"/>
        <w:numPr>
          <w:ilvl w:val="1"/>
          <w:numId w:val="10"/>
        </w:numPr>
        <w:spacing w:after="120"/>
        <w:contextualSpacing w:val="0"/>
      </w:pPr>
      <w:r>
        <w:t xml:space="preserve">Enforcement </w:t>
      </w:r>
      <w:r w:rsidR="009D14BD">
        <w:t>g</w:t>
      </w:r>
      <w:r>
        <w:t>enerally</w:t>
      </w:r>
    </w:p>
    <w:p w14:paraId="599EB45F" w14:textId="3DDBBA03" w:rsidR="006D2D1B" w:rsidRDefault="00DE079A" w:rsidP="006D2D1B">
      <w:pPr>
        <w:pStyle w:val="ListParagraph"/>
        <w:numPr>
          <w:ilvl w:val="2"/>
          <w:numId w:val="10"/>
        </w:numPr>
        <w:spacing w:after="120"/>
        <w:contextualSpacing w:val="0"/>
      </w:pPr>
      <w:r>
        <w:t xml:space="preserve">International </w:t>
      </w:r>
      <w:r w:rsidR="005F18C6">
        <w:t>s</w:t>
      </w:r>
      <w:r>
        <w:t>ellers</w:t>
      </w:r>
    </w:p>
    <w:p w14:paraId="3033D212" w14:textId="79941193" w:rsidR="00DE079A" w:rsidRDefault="00DE079A" w:rsidP="006D2D1B">
      <w:pPr>
        <w:pStyle w:val="ListParagraph"/>
        <w:numPr>
          <w:ilvl w:val="2"/>
          <w:numId w:val="10"/>
        </w:numPr>
        <w:spacing w:after="120"/>
        <w:contextualSpacing w:val="0"/>
      </w:pPr>
      <w:r>
        <w:t xml:space="preserve">Other </w:t>
      </w:r>
      <w:r w:rsidR="005F18C6">
        <w:t>enforcement issu</w:t>
      </w:r>
      <w:r>
        <w:t>es</w:t>
      </w:r>
      <w:r w:rsidRPr="00DE079A">
        <w:t xml:space="preserve"> </w:t>
      </w:r>
    </w:p>
    <w:p w14:paraId="5C794140" w14:textId="61C3E8E6" w:rsidR="00DE079A" w:rsidRDefault="00DE079A" w:rsidP="00DE079A">
      <w:pPr>
        <w:pStyle w:val="ListParagraph"/>
        <w:numPr>
          <w:ilvl w:val="1"/>
          <w:numId w:val="10"/>
        </w:numPr>
        <w:spacing w:after="120"/>
        <w:contextualSpacing w:val="0"/>
      </w:pPr>
      <w:r>
        <w:t>ITFA</w:t>
      </w:r>
      <w:r w:rsidR="007E5606">
        <w:t xml:space="preserve">’s </w:t>
      </w:r>
      <w:r w:rsidR="009D14BD">
        <w:t xml:space="preserve">non-discrimination provision and its interpretation and application </w:t>
      </w:r>
      <w:r w:rsidR="008D7A6F">
        <w:t>[which would include survey of litigation and case law as well as other information]</w:t>
      </w:r>
    </w:p>
    <w:p w14:paraId="29E2FB93" w14:textId="1B45F2F3" w:rsidR="006D2D1B" w:rsidRDefault="008D7A6F" w:rsidP="006D2D1B">
      <w:pPr>
        <w:pStyle w:val="ListParagraph"/>
        <w:numPr>
          <w:ilvl w:val="2"/>
          <w:numId w:val="10"/>
        </w:numPr>
        <w:spacing w:after="120"/>
        <w:contextualSpacing w:val="0"/>
      </w:pPr>
      <w:r>
        <w:t>“</w:t>
      </w:r>
      <w:r w:rsidR="006D2D1B">
        <w:t xml:space="preserve">Electronic </w:t>
      </w:r>
      <w:r w:rsidR="005F18C6">
        <w:t>c</w:t>
      </w:r>
      <w:r w:rsidR="006D2D1B">
        <w:t>ommerce</w:t>
      </w:r>
      <w:r>
        <w:t xml:space="preserve">” </w:t>
      </w:r>
    </w:p>
    <w:p w14:paraId="78F0D50D" w14:textId="4DCBBF32" w:rsidR="006D2D1B" w:rsidRDefault="007E5606" w:rsidP="006D2D1B">
      <w:pPr>
        <w:pStyle w:val="ListParagraph"/>
        <w:numPr>
          <w:ilvl w:val="2"/>
          <w:numId w:val="10"/>
        </w:numPr>
        <w:spacing w:after="120"/>
        <w:contextualSpacing w:val="0"/>
      </w:pPr>
      <w:r>
        <w:t>“</w:t>
      </w:r>
      <w:r w:rsidR="00C71577">
        <w:t>S</w:t>
      </w:r>
      <w:r w:rsidR="00C71577" w:rsidRPr="00C71577">
        <w:t xml:space="preserve">imilar </w:t>
      </w:r>
      <w:r w:rsidR="005F18C6">
        <w:t>p</w:t>
      </w:r>
      <w:r w:rsidR="005F18C6" w:rsidRPr="00C71577">
        <w:t xml:space="preserve">roperty, </w:t>
      </w:r>
      <w:r w:rsidR="005F18C6">
        <w:t>g</w:t>
      </w:r>
      <w:r w:rsidR="005F18C6" w:rsidRPr="00C71577">
        <w:t xml:space="preserve">oods, </w:t>
      </w:r>
      <w:r w:rsidR="005F18C6">
        <w:t>s</w:t>
      </w:r>
      <w:r w:rsidR="005F18C6" w:rsidRPr="00C71577">
        <w:t xml:space="preserve">ervices, or </w:t>
      </w:r>
      <w:r w:rsidR="005F18C6">
        <w:t>i</w:t>
      </w:r>
      <w:r w:rsidR="005F18C6" w:rsidRPr="00C71577">
        <w:t>nformation</w:t>
      </w:r>
      <w:r>
        <w:t>”</w:t>
      </w:r>
    </w:p>
    <w:p w14:paraId="1C72CE0A" w14:textId="731DB976" w:rsidR="009A4F24" w:rsidRDefault="009A4F24" w:rsidP="006D2D1B">
      <w:pPr>
        <w:pStyle w:val="ListParagraph"/>
        <w:numPr>
          <w:ilvl w:val="2"/>
          <w:numId w:val="10"/>
        </w:numPr>
        <w:spacing w:after="120"/>
        <w:contextualSpacing w:val="0"/>
      </w:pPr>
      <w:r>
        <w:t>“</w:t>
      </w:r>
      <w:r w:rsidR="0008101B">
        <w:t>I</w:t>
      </w:r>
      <w:r>
        <w:t>nternet access”</w:t>
      </w:r>
    </w:p>
    <w:p w14:paraId="2238B7BD" w14:textId="77777777" w:rsidR="009D14BD" w:rsidRDefault="006C6B0C" w:rsidP="00273570">
      <w:pPr>
        <w:pStyle w:val="ListParagraph"/>
        <w:numPr>
          <w:ilvl w:val="0"/>
          <w:numId w:val="10"/>
        </w:numPr>
        <w:spacing w:after="120"/>
        <w:contextualSpacing w:val="0"/>
      </w:pPr>
      <w:r>
        <w:t xml:space="preserve">Important </w:t>
      </w:r>
      <w:r w:rsidR="00273570">
        <w:t xml:space="preserve">Issues </w:t>
      </w:r>
      <w:r>
        <w:t xml:space="preserve">Raised </w:t>
      </w:r>
      <w:r w:rsidR="00273570">
        <w:t>by Stakeholders</w:t>
      </w:r>
      <w:r w:rsidR="00745B6B">
        <w:t xml:space="preserve"> – </w:t>
      </w:r>
    </w:p>
    <w:p w14:paraId="432183B4" w14:textId="4B1C92CE" w:rsidR="00273570" w:rsidRDefault="00745B6B" w:rsidP="009D14BD">
      <w:pPr>
        <w:pStyle w:val="ListParagraph"/>
        <w:spacing w:after="120"/>
        <w:ind w:left="360"/>
        <w:contextualSpacing w:val="0"/>
      </w:pPr>
      <w:r>
        <w:t xml:space="preserve">In this section we would focus primarily on the biggest issues cited by stakeholders </w:t>
      </w:r>
      <w:r w:rsidR="007E5606">
        <w:t>that are</w:t>
      </w:r>
      <w:r>
        <w:t xml:space="preserve"> creating challenges or problems—describing the issues and potential solutions</w:t>
      </w:r>
      <w:r w:rsidR="007E5606">
        <w:t xml:space="preserve"> generally</w:t>
      </w:r>
      <w:r>
        <w:t>.</w:t>
      </w:r>
    </w:p>
    <w:p w14:paraId="48C688BC" w14:textId="72E254CA" w:rsidR="007B69D7" w:rsidRDefault="007B69D7" w:rsidP="00273570">
      <w:pPr>
        <w:pStyle w:val="ListParagraph"/>
        <w:numPr>
          <w:ilvl w:val="1"/>
          <w:numId w:val="10"/>
        </w:numPr>
        <w:spacing w:after="120"/>
        <w:contextualSpacing w:val="0"/>
      </w:pPr>
      <w:r>
        <w:t xml:space="preserve">Continually </w:t>
      </w:r>
      <w:r w:rsidR="009D14BD">
        <w:t>c</w:t>
      </w:r>
      <w:r>
        <w:t xml:space="preserve">hanging </w:t>
      </w:r>
      <w:r w:rsidR="009D14BD">
        <w:t>p</w:t>
      </w:r>
      <w:r>
        <w:t>roducts</w:t>
      </w:r>
      <w:r w:rsidR="00035238">
        <w:t xml:space="preserve"> </w:t>
      </w:r>
    </w:p>
    <w:p w14:paraId="28BB6649" w14:textId="74ED8B66" w:rsidR="00745B6B" w:rsidRDefault="00745B6B" w:rsidP="00745B6B">
      <w:pPr>
        <w:pStyle w:val="ListParagraph"/>
        <w:numPr>
          <w:ilvl w:val="2"/>
          <w:numId w:val="10"/>
        </w:numPr>
        <w:spacing w:after="120"/>
        <w:contextualSpacing w:val="0"/>
      </w:pPr>
      <w:r>
        <w:t>Description of the problem</w:t>
      </w:r>
    </w:p>
    <w:p w14:paraId="4279C73F" w14:textId="5809BBAB" w:rsidR="00745B6B" w:rsidRDefault="00745B6B" w:rsidP="00745B6B">
      <w:pPr>
        <w:pStyle w:val="ListParagraph"/>
        <w:numPr>
          <w:ilvl w:val="2"/>
          <w:numId w:val="10"/>
        </w:numPr>
        <w:spacing w:after="120"/>
        <w:contextualSpacing w:val="0"/>
      </w:pPr>
      <w:r>
        <w:t>Possible solutions</w:t>
      </w:r>
    </w:p>
    <w:p w14:paraId="725B0DF7" w14:textId="1DD9BEBF" w:rsidR="009936C7" w:rsidRDefault="006E6DAA" w:rsidP="00745B6B">
      <w:pPr>
        <w:pStyle w:val="ListParagraph"/>
        <w:numPr>
          <w:ilvl w:val="1"/>
          <w:numId w:val="10"/>
        </w:numPr>
        <w:spacing w:after="120"/>
        <w:contextualSpacing w:val="0"/>
      </w:pPr>
      <w:r>
        <w:t xml:space="preserve">Lack of </w:t>
      </w:r>
      <w:r w:rsidR="009D14BD">
        <w:t>c</w:t>
      </w:r>
      <w:r w:rsidR="00273570">
        <w:t>ertainty</w:t>
      </w:r>
      <w:r w:rsidR="00745B6B">
        <w:t xml:space="preserve"> </w:t>
      </w:r>
      <w:r w:rsidR="009D14BD">
        <w:t>and a</w:t>
      </w:r>
      <w:r w:rsidR="009936C7">
        <w:t xml:space="preserve">reas </w:t>
      </w:r>
      <w:r w:rsidR="009D14BD">
        <w:t>needing more guidance generally and process for obtaining specific, timely guidance</w:t>
      </w:r>
    </w:p>
    <w:p w14:paraId="2BFFCC21" w14:textId="457760F4" w:rsidR="00745B6B" w:rsidRDefault="00745B6B" w:rsidP="00745B6B">
      <w:pPr>
        <w:pStyle w:val="ListParagraph"/>
        <w:numPr>
          <w:ilvl w:val="2"/>
          <w:numId w:val="10"/>
        </w:numPr>
        <w:spacing w:after="120"/>
        <w:contextualSpacing w:val="0"/>
      </w:pPr>
      <w:r>
        <w:t>Description of the problem</w:t>
      </w:r>
    </w:p>
    <w:p w14:paraId="612742C1" w14:textId="0FCF59FE" w:rsidR="00745B6B" w:rsidRDefault="00745B6B" w:rsidP="00745B6B">
      <w:pPr>
        <w:pStyle w:val="ListParagraph"/>
        <w:numPr>
          <w:ilvl w:val="2"/>
          <w:numId w:val="10"/>
        </w:numPr>
        <w:spacing w:after="120"/>
        <w:contextualSpacing w:val="0"/>
      </w:pPr>
      <w:r>
        <w:t>Possible solutions</w:t>
      </w:r>
    </w:p>
    <w:p w14:paraId="4B79CE77" w14:textId="277AB407" w:rsidR="00273570" w:rsidRDefault="006E6DAA" w:rsidP="00273570">
      <w:pPr>
        <w:pStyle w:val="ListParagraph"/>
        <w:numPr>
          <w:ilvl w:val="1"/>
          <w:numId w:val="10"/>
        </w:numPr>
        <w:spacing w:after="120"/>
        <w:contextualSpacing w:val="0"/>
      </w:pPr>
      <w:r>
        <w:t>Concern for</w:t>
      </w:r>
      <w:r w:rsidR="00273570">
        <w:t xml:space="preserve"> </w:t>
      </w:r>
      <w:r w:rsidR="009D14BD">
        <w:t>equity/parity between digital products and other items</w:t>
      </w:r>
    </w:p>
    <w:p w14:paraId="0A8C4CCB" w14:textId="709F88FA" w:rsidR="00745B6B" w:rsidRDefault="00745B6B" w:rsidP="00745B6B">
      <w:pPr>
        <w:pStyle w:val="ListParagraph"/>
        <w:numPr>
          <w:ilvl w:val="2"/>
          <w:numId w:val="10"/>
        </w:numPr>
        <w:spacing w:after="120"/>
        <w:contextualSpacing w:val="0"/>
      </w:pPr>
      <w:r>
        <w:t>Description of the problem.</w:t>
      </w:r>
    </w:p>
    <w:p w14:paraId="3356DD00" w14:textId="62C63FF0" w:rsidR="00745B6B" w:rsidRDefault="00745B6B" w:rsidP="00745B6B">
      <w:pPr>
        <w:pStyle w:val="ListParagraph"/>
        <w:numPr>
          <w:ilvl w:val="2"/>
          <w:numId w:val="10"/>
        </w:numPr>
        <w:spacing w:after="120"/>
        <w:contextualSpacing w:val="0"/>
      </w:pPr>
      <w:r>
        <w:t>Possible solutions.</w:t>
      </w:r>
    </w:p>
    <w:p w14:paraId="7FD492A3" w14:textId="1F116995" w:rsidR="00754AD7" w:rsidRDefault="00754AD7" w:rsidP="00273570">
      <w:pPr>
        <w:pStyle w:val="ListParagraph"/>
        <w:numPr>
          <w:ilvl w:val="1"/>
          <w:numId w:val="10"/>
        </w:numPr>
        <w:spacing w:after="120"/>
        <w:contextualSpacing w:val="0"/>
      </w:pPr>
      <w:r>
        <w:t xml:space="preserve">Need for </w:t>
      </w:r>
      <w:r w:rsidR="009D14BD">
        <w:t>some flexibility</w:t>
      </w:r>
    </w:p>
    <w:p w14:paraId="272AF482" w14:textId="7A0C396A" w:rsidR="00745B6B" w:rsidRDefault="00745B6B" w:rsidP="00745B6B">
      <w:pPr>
        <w:pStyle w:val="ListParagraph"/>
        <w:numPr>
          <w:ilvl w:val="2"/>
          <w:numId w:val="10"/>
        </w:numPr>
        <w:spacing w:after="120"/>
        <w:contextualSpacing w:val="0"/>
      </w:pPr>
      <w:r>
        <w:t>Description of the problem</w:t>
      </w:r>
    </w:p>
    <w:p w14:paraId="1D396139" w14:textId="420391DE" w:rsidR="00745B6B" w:rsidRDefault="00745B6B" w:rsidP="00745B6B">
      <w:pPr>
        <w:pStyle w:val="ListParagraph"/>
        <w:numPr>
          <w:ilvl w:val="2"/>
          <w:numId w:val="10"/>
        </w:numPr>
        <w:spacing w:after="120"/>
        <w:contextualSpacing w:val="0"/>
      </w:pPr>
      <w:r>
        <w:t>Possible solutions</w:t>
      </w:r>
    </w:p>
    <w:p w14:paraId="1E221A6C" w14:textId="7CDFF78A" w:rsidR="00273570" w:rsidRDefault="006C6B0C" w:rsidP="00273570">
      <w:pPr>
        <w:pStyle w:val="ListParagraph"/>
        <w:numPr>
          <w:ilvl w:val="1"/>
          <w:numId w:val="10"/>
        </w:numPr>
        <w:spacing w:after="120"/>
        <w:contextualSpacing w:val="0"/>
      </w:pPr>
      <w:r>
        <w:t xml:space="preserve">General </w:t>
      </w:r>
      <w:r w:rsidR="009D14BD">
        <w:t>mechanics of the sales tax  – especially exemptions and sourcing</w:t>
      </w:r>
    </w:p>
    <w:p w14:paraId="403838A6" w14:textId="234426AA" w:rsidR="00327E94" w:rsidRDefault="00327E94" w:rsidP="006E6DAA">
      <w:pPr>
        <w:pStyle w:val="ListParagraph"/>
        <w:numPr>
          <w:ilvl w:val="2"/>
          <w:numId w:val="10"/>
        </w:numPr>
        <w:spacing w:after="120"/>
        <w:contextualSpacing w:val="0"/>
      </w:pPr>
      <w:r>
        <w:t xml:space="preserve">Application of B2B </w:t>
      </w:r>
      <w:r w:rsidR="009D14BD">
        <w:t>exemptions to digital products</w:t>
      </w:r>
    </w:p>
    <w:p w14:paraId="749E7654" w14:textId="0DEC76E2" w:rsidR="00745B6B" w:rsidRDefault="00745B6B" w:rsidP="00745B6B">
      <w:pPr>
        <w:pStyle w:val="ListParagraph"/>
        <w:numPr>
          <w:ilvl w:val="3"/>
          <w:numId w:val="10"/>
        </w:numPr>
        <w:spacing w:after="120"/>
        <w:contextualSpacing w:val="0"/>
      </w:pPr>
      <w:r>
        <w:lastRenderedPageBreak/>
        <w:t>Description of the problem</w:t>
      </w:r>
    </w:p>
    <w:p w14:paraId="3052D61D" w14:textId="43997D4A" w:rsidR="00745B6B" w:rsidRDefault="00745B6B" w:rsidP="00745B6B">
      <w:pPr>
        <w:pStyle w:val="ListParagraph"/>
        <w:numPr>
          <w:ilvl w:val="3"/>
          <w:numId w:val="10"/>
        </w:numPr>
        <w:spacing w:after="120"/>
        <w:contextualSpacing w:val="0"/>
      </w:pPr>
      <w:r>
        <w:t>Possible solutions</w:t>
      </w:r>
    </w:p>
    <w:p w14:paraId="65916DE9" w14:textId="1CD5586E" w:rsidR="00327E94" w:rsidRDefault="00327E94" w:rsidP="006E6DAA">
      <w:pPr>
        <w:pStyle w:val="ListParagraph"/>
        <w:numPr>
          <w:ilvl w:val="2"/>
          <w:numId w:val="10"/>
        </w:numPr>
        <w:spacing w:after="120"/>
        <w:contextualSpacing w:val="0"/>
      </w:pPr>
      <w:r>
        <w:t xml:space="preserve">Application of </w:t>
      </w:r>
      <w:r w:rsidR="00C81ABA">
        <w:t>other exemptions</w:t>
      </w:r>
    </w:p>
    <w:p w14:paraId="0894ADD4" w14:textId="72685AC5" w:rsidR="00745B6B" w:rsidRDefault="00745B6B" w:rsidP="00745B6B">
      <w:pPr>
        <w:pStyle w:val="ListParagraph"/>
        <w:numPr>
          <w:ilvl w:val="3"/>
          <w:numId w:val="10"/>
        </w:numPr>
        <w:spacing w:after="120"/>
        <w:contextualSpacing w:val="0"/>
      </w:pPr>
      <w:r>
        <w:t>Description of the problem</w:t>
      </w:r>
    </w:p>
    <w:p w14:paraId="739A7C04" w14:textId="286F1E12" w:rsidR="00745B6B" w:rsidRDefault="00745B6B" w:rsidP="00745B6B">
      <w:pPr>
        <w:pStyle w:val="ListParagraph"/>
        <w:numPr>
          <w:ilvl w:val="3"/>
          <w:numId w:val="10"/>
        </w:numPr>
        <w:spacing w:after="120"/>
        <w:contextualSpacing w:val="0"/>
      </w:pPr>
      <w:r>
        <w:t>Possible solutions</w:t>
      </w:r>
    </w:p>
    <w:p w14:paraId="2E06D64E" w14:textId="5A33BD27" w:rsidR="006E6DAA" w:rsidRDefault="006C6B0C" w:rsidP="006E6DAA">
      <w:pPr>
        <w:pStyle w:val="ListParagraph"/>
        <w:numPr>
          <w:ilvl w:val="2"/>
          <w:numId w:val="10"/>
        </w:numPr>
        <w:spacing w:after="120"/>
        <w:contextualSpacing w:val="0"/>
      </w:pPr>
      <w:r>
        <w:t xml:space="preserve">Treatment of </w:t>
      </w:r>
      <w:r w:rsidR="00C81ABA">
        <w:t>bundled or mixed transactions</w:t>
      </w:r>
    </w:p>
    <w:p w14:paraId="040ADD11" w14:textId="49E15E99" w:rsidR="00745B6B" w:rsidRDefault="00745B6B" w:rsidP="00745B6B">
      <w:pPr>
        <w:pStyle w:val="ListParagraph"/>
        <w:numPr>
          <w:ilvl w:val="3"/>
          <w:numId w:val="10"/>
        </w:numPr>
        <w:spacing w:after="120"/>
        <w:contextualSpacing w:val="0"/>
      </w:pPr>
      <w:r>
        <w:t>Description of the problem</w:t>
      </w:r>
    </w:p>
    <w:p w14:paraId="2FCF7A0B" w14:textId="65F6E70D" w:rsidR="00745B6B" w:rsidRDefault="00745B6B" w:rsidP="00745B6B">
      <w:pPr>
        <w:pStyle w:val="ListParagraph"/>
        <w:numPr>
          <w:ilvl w:val="3"/>
          <w:numId w:val="10"/>
        </w:numPr>
        <w:spacing w:after="120"/>
        <w:contextualSpacing w:val="0"/>
      </w:pPr>
      <w:r>
        <w:t>Possible solutions</w:t>
      </w:r>
    </w:p>
    <w:p w14:paraId="66C9939D" w14:textId="6E5CE887" w:rsidR="00327E94" w:rsidRDefault="00327E94" w:rsidP="006E6DAA">
      <w:pPr>
        <w:pStyle w:val="ListParagraph"/>
        <w:numPr>
          <w:ilvl w:val="2"/>
          <w:numId w:val="10"/>
        </w:numPr>
        <w:spacing w:after="120"/>
        <w:contextualSpacing w:val="0"/>
      </w:pPr>
      <w:r>
        <w:t xml:space="preserve">SSUTA </w:t>
      </w:r>
      <w:r w:rsidR="00C81ABA">
        <w:t>sourcing rules and gaps in the rules</w:t>
      </w:r>
    </w:p>
    <w:p w14:paraId="7C9D299D" w14:textId="6AA4EF1B" w:rsidR="00D54DA8" w:rsidRDefault="00D54DA8" w:rsidP="00D54DA8">
      <w:pPr>
        <w:pStyle w:val="ListParagraph"/>
        <w:numPr>
          <w:ilvl w:val="3"/>
          <w:numId w:val="10"/>
        </w:numPr>
        <w:spacing w:after="120"/>
        <w:contextualSpacing w:val="0"/>
      </w:pPr>
      <w:r>
        <w:t>Description of the proble</w:t>
      </w:r>
      <w:r w:rsidR="00C81ABA">
        <w:t>m</w:t>
      </w:r>
    </w:p>
    <w:p w14:paraId="345269EA" w14:textId="5475CA68" w:rsidR="00D54DA8" w:rsidRDefault="00D54DA8" w:rsidP="00D54DA8">
      <w:pPr>
        <w:pStyle w:val="ListParagraph"/>
        <w:numPr>
          <w:ilvl w:val="3"/>
          <w:numId w:val="10"/>
        </w:numPr>
        <w:spacing w:after="120"/>
        <w:contextualSpacing w:val="0"/>
      </w:pPr>
      <w:r>
        <w:t>Possible solutions</w:t>
      </w:r>
    </w:p>
    <w:p w14:paraId="00E8E603" w14:textId="289F1D4C" w:rsidR="00327E94" w:rsidRDefault="00327E94" w:rsidP="006E6DAA">
      <w:pPr>
        <w:pStyle w:val="ListParagraph"/>
        <w:numPr>
          <w:ilvl w:val="2"/>
          <w:numId w:val="10"/>
        </w:numPr>
        <w:spacing w:after="120"/>
        <w:contextualSpacing w:val="0"/>
      </w:pPr>
      <w:r>
        <w:t xml:space="preserve">Multiple </w:t>
      </w:r>
      <w:r w:rsidR="00C81ABA">
        <w:t>points of use</w:t>
      </w:r>
    </w:p>
    <w:p w14:paraId="1E33A6D1" w14:textId="7B33C6E5" w:rsidR="00D54DA8" w:rsidRDefault="00D54DA8" w:rsidP="00D54DA8">
      <w:pPr>
        <w:pStyle w:val="ListParagraph"/>
        <w:numPr>
          <w:ilvl w:val="3"/>
          <w:numId w:val="10"/>
        </w:numPr>
        <w:spacing w:after="120"/>
        <w:contextualSpacing w:val="0"/>
      </w:pPr>
      <w:r>
        <w:t>Description of the problem</w:t>
      </w:r>
    </w:p>
    <w:p w14:paraId="29DFC9B5" w14:textId="0C623AAD" w:rsidR="00D54DA8" w:rsidRDefault="00D54DA8" w:rsidP="00D54DA8">
      <w:pPr>
        <w:pStyle w:val="ListParagraph"/>
        <w:numPr>
          <w:ilvl w:val="3"/>
          <w:numId w:val="10"/>
        </w:numPr>
        <w:spacing w:after="120"/>
        <w:contextualSpacing w:val="0"/>
      </w:pPr>
      <w:r>
        <w:t>Possible solutions</w:t>
      </w:r>
    </w:p>
    <w:p w14:paraId="7906B339" w14:textId="3996B2E9" w:rsidR="00D54DA8" w:rsidRDefault="00D54DA8" w:rsidP="00D54DA8">
      <w:pPr>
        <w:pStyle w:val="ListParagraph"/>
        <w:numPr>
          <w:ilvl w:val="2"/>
          <w:numId w:val="10"/>
        </w:numPr>
        <w:spacing w:after="120"/>
        <w:contextualSpacing w:val="0"/>
      </w:pPr>
      <w:r>
        <w:t xml:space="preserve">Consideration of </w:t>
      </w:r>
      <w:r w:rsidR="00135782">
        <w:t xml:space="preserve">federal </w:t>
      </w:r>
      <w:r>
        <w:t xml:space="preserve">DGSTFA </w:t>
      </w:r>
      <w:r w:rsidR="00C81ABA">
        <w:t>s</w:t>
      </w:r>
      <w:r>
        <w:t xml:space="preserve">ourcing </w:t>
      </w:r>
      <w:r w:rsidR="00C81ABA">
        <w:t>p</w:t>
      </w:r>
      <w:r>
        <w:t>rovisions</w:t>
      </w:r>
    </w:p>
    <w:p w14:paraId="4C66A25F" w14:textId="22034A1E" w:rsidR="007B69D7" w:rsidRDefault="00D54DA8" w:rsidP="006E6DAA">
      <w:pPr>
        <w:pStyle w:val="ListParagraph"/>
        <w:numPr>
          <w:ilvl w:val="2"/>
          <w:numId w:val="10"/>
        </w:numPr>
        <w:spacing w:after="120"/>
        <w:contextualSpacing w:val="0"/>
      </w:pPr>
      <w:r>
        <w:t xml:space="preserve">Consideration of </w:t>
      </w:r>
      <w:r w:rsidR="00C81ABA">
        <w:t>direct pay by customers</w:t>
      </w:r>
    </w:p>
    <w:p w14:paraId="32C64FC8" w14:textId="57538928" w:rsidR="00165733" w:rsidRDefault="00165733" w:rsidP="00165733">
      <w:pPr>
        <w:pStyle w:val="ListParagraph"/>
        <w:numPr>
          <w:ilvl w:val="1"/>
          <w:numId w:val="10"/>
        </w:numPr>
        <w:spacing w:after="120"/>
        <w:contextualSpacing w:val="0"/>
      </w:pPr>
      <w:r>
        <w:t xml:space="preserve">Related </w:t>
      </w:r>
      <w:r w:rsidR="00C81ABA">
        <w:t>i</w:t>
      </w:r>
      <w:r>
        <w:t>ssues</w:t>
      </w:r>
      <w:r w:rsidR="00D54DA8">
        <w:t xml:space="preserve"> </w:t>
      </w:r>
    </w:p>
    <w:p w14:paraId="6521452B" w14:textId="258B26E6" w:rsidR="00165733" w:rsidRDefault="00D54DA8" w:rsidP="00165733">
      <w:pPr>
        <w:pStyle w:val="ListParagraph"/>
        <w:numPr>
          <w:ilvl w:val="2"/>
          <w:numId w:val="10"/>
        </w:numPr>
        <w:spacing w:after="120"/>
        <w:contextualSpacing w:val="0"/>
      </w:pPr>
      <w:r>
        <w:t xml:space="preserve">Threat of </w:t>
      </w:r>
      <w:r w:rsidR="00C81ABA">
        <w:t>qui tam and class action suit</w:t>
      </w:r>
      <w:r>
        <w:t>s [</w:t>
      </w:r>
      <w:r w:rsidR="00C81ABA">
        <w:t>s</w:t>
      </w:r>
      <w:r>
        <w:t>ee the MTC resolution on this subject]</w:t>
      </w:r>
    </w:p>
    <w:p w14:paraId="5765AC1B" w14:textId="0DCE30E4" w:rsidR="00165733" w:rsidRDefault="006C6B0C" w:rsidP="00165733">
      <w:pPr>
        <w:pStyle w:val="ListParagraph"/>
        <w:numPr>
          <w:ilvl w:val="2"/>
          <w:numId w:val="10"/>
        </w:numPr>
        <w:spacing w:after="120"/>
        <w:contextualSpacing w:val="0"/>
      </w:pPr>
      <w:r>
        <w:t xml:space="preserve">Expansion of the </w:t>
      </w:r>
      <w:r w:rsidR="00C81ABA">
        <w:t>tax base through administrative interpretation</w:t>
      </w:r>
    </w:p>
    <w:p w14:paraId="4FDDED7F" w14:textId="022C76DB" w:rsidR="00A41951" w:rsidRDefault="00675D37" w:rsidP="00165733">
      <w:pPr>
        <w:pStyle w:val="ListParagraph"/>
        <w:numPr>
          <w:ilvl w:val="2"/>
          <w:numId w:val="10"/>
        </w:numPr>
        <w:spacing w:after="120"/>
        <w:contextualSpacing w:val="0"/>
      </w:pPr>
      <w:r>
        <w:t>Effect on existing marketplace facilitator laws</w:t>
      </w:r>
    </w:p>
    <w:p w14:paraId="43E855FE" w14:textId="76BC1DB4" w:rsidR="75825F8D" w:rsidRDefault="75825F8D" w:rsidP="75825F8D">
      <w:pPr>
        <w:pStyle w:val="ListParagraph"/>
        <w:numPr>
          <w:ilvl w:val="1"/>
          <w:numId w:val="10"/>
        </w:numPr>
        <w:spacing w:after="120"/>
        <w:contextualSpacing w:val="0"/>
        <w:rPr>
          <w:rFonts w:asciiTheme="minorHAnsi" w:eastAsiaTheme="minorEastAsia" w:hAnsiTheme="minorHAnsi"/>
          <w:szCs w:val="20"/>
        </w:rPr>
      </w:pPr>
      <w:r w:rsidRPr="75825F8D">
        <w:rPr>
          <w:rFonts w:eastAsia="Calibri"/>
          <w:szCs w:val="20"/>
        </w:rPr>
        <w:t xml:space="preserve">Provide time for taxpayers to implement changes and for agency to issue necessary guidance </w:t>
      </w:r>
    </w:p>
    <w:p w14:paraId="3E5D6932" w14:textId="46000B96" w:rsidR="00FC2ECC" w:rsidRDefault="00273570" w:rsidP="00273570">
      <w:pPr>
        <w:pStyle w:val="ListParagraph"/>
        <w:numPr>
          <w:ilvl w:val="0"/>
          <w:numId w:val="10"/>
        </w:numPr>
        <w:spacing w:after="120"/>
        <w:contextualSpacing w:val="0"/>
      </w:pPr>
      <w:r>
        <w:t xml:space="preserve">Survey of </w:t>
      </w:r>
      <w:r w:rsidR="007E5606">
        <w:t xml:space="preserve">the Main </w:t>
      </w:r>
      <w:r>
        <w:t>Approaches to Including Digital Products in the Tax Base</w:t>
      </w:r>
    </w:p>
    <w:p w14:paraId="4E0BA83A" w14:textId="5A50126E" w:rsidR="00685851" w:rsidRDefault="00685851">
      <w:pPr>
        <w:pStyle w:val="ListParagraph"/>
        <w:numPr>
          <w:ilvl w:val="1"/>
          <w:numId w:val="10"/>
        </w:numPr>
        <w:spacing w:after="120"/>
        <w:contextualSpacing w:val="0"/>
      </w:pPr>
      <w:r>
        <w:t xml:space="preserve">General </w:t>
      </w:r>
      <w:proofErr w:type="spellStart"/>
      <w:r>
        <w:t>SSUTA</w:t>
      </w:r>
      <w:proofErr w:type="spellEnd"/>
      <w:r>
        <w:t xml:space="preserve"> framework – definitions and other requirements</w:t>
      </w:r>
    </w:p>
    <w:p w14:paraId="4CDFD9CE" w14:textId="77472BC7" w:rsidR="00D328E4" w:rsidRDefault="00D328E4" w:rsidP="00D328E4">
      <w:pPr>
        <w:pStyle w:val="ListParagraph"/>
        <w:numPr>
          <w:ilvl w:val="2"/>
          <w:numId w:val="10"/>
        </w:numPr>
        <w:spacing w:after="120"/>
        <w:contextualSpacing w:val="0"/>
      </w:pPr>
      <w:r>
        <w:t xml:space="preserve">Examples of </w:t>
      </w:r>
      <w:proofErr w:type="spellStart"/>
      <w:r>
        <w:t>SSUTA</w:t>
      </w:r>
      <w:proofErr w:type="spellEnd"/>
      <w:r>
        <w:t xml:space="preserve"> states taxing digital products</w:t>
      </w:r>
    </w:p>
    <w:p w14:paraId="74CC4A92" w14:textId="538EA527" w:rsidR="00D328E4" w:rsidRDefault="00D328E4" w:rsidP="00D328E4">
      <w:pPr>
        <w:pStyle w:val="ListParagraph"/>
        <w:numPr>
          <w:ilvl w:val="2"/>
          <w:numId w:val="10"/>
        </w:numPr>
        <w:spacing w:after="120"/>
        <w:contextualSpacing w:val="0"/>
      </w:pPr>
      <w:r>
        <w:t>Key issues</w:t>
      </w:r>
    </w:p>
    <w:p w14:paraId="180BE8B7" w14:textId="0B8A2720" w:rsidR="00DE079A" w:rsidRDefault="00DE079A">
      <w:pPr>
        <w:pStyle w:val="ListParagraph"/>
        <w:numPr>
          <w:ilvl w:val="1"/>
          <w:numId w:val="10"/>
        </w:numPr>
        <w:spacing w:after="120"/>
        <w:contextualSpacing w:val="0"/>
      </w:pPr>
      <w:r>
        <w:t xml:space="preserve">States with </w:t>
      </w:r>
      <w:r w:rsidR="00C81ABA">
        <w:t>broad tax bases – generally</w:t>
      </w:r>
    </w:p>
    <w:p w14:paraId="6D408A01" w14:textId="40A6CE95" w:rsidR="00D54DA8" w:rsidRDefault="00D328E4" w:rsidP="00D54DA8">
      <w:pPr>
        <w:pStyle w:val="ListParagraph"/>
        <w:numPr>
          <w:ilvl w:val="2"/>
          <w:numId w:val="10"/>
        </w:numPr>
        <w:spacing w:after="120"/>
        <w:contextualSpacing w:val="0"/>
      </w:pPr>
      <w:r>
        <w:t>Durability</w:t>
      </w:r>
      <w:r w:rsidR="00D54DA8">
        <w:t xml:space="preserve"> of the </w:t>
      </w:r>
      <w:r w:rsidR="00C81ABA">
        <w:t>taxes</w:t>
      </w:r>
    </w:p>
    <w:p w14:paraId="4C25B3C2" w14:textId="535E8F6D" w:rsidR="00D54DA8" w:rsidRDefault="00D54DA8" w:rsidP="00D54DA8">
      <w:pPr>
        <w:pStyle w:val="ListParagraph"/>
        <w:numPr>
          <w:ilvl w:val="2"/>
          <w:numId w:val="10"/>
        </w:numPr>
        <w:spacing w:after="120"/>
        <w:contextualSpacing w:val="0"/>
      </w:pPr>
      <w:r>
        <w:t xml:space="preserve">How </w:t>
      </w:r>
      <w:r w:rsidR="00C81ABA">
        <w:t>the taxes have adapted generally</w:t>
      </w:r>
    </w:p>
    <w:p w14:paraId="2BF86F31" w14:textId="44F4A341" w:rsidR="00D54DA8" w:rsidRDefault="00D54DA8" w:rsidP="00D54DA8">
      <w:pPr>
        <w:pStyle w:val="ListParagraph"/>
        <w:numPr>
          <w:ilvl w:val="2"/>
          <w:numId w:val="10"/>
        </w:numPr>
        <w:spacing w:after="120"/>
        <w:contextualSpacing w:val="0"/>
      </w:pPr>
      <w:r>
        <w:t xml:space="preserve">Challenges </w:t>
      </w:r>
      <w:r w:rsidR="00C81ABA">
        <w:t>faced – including exemptions, sourcing, etc.</w:t>
      </w:r>
    </w:p>
    <w:p w14:paraId="3BF22714" w14:textId="205FE4EF" w:rsidR="00DE079A" w:rsidRDefault="00DE079A">
      <w:pPr>
        <w:pStyle w:val="ListParagraph"/>
        <w:numPr>
          <w:ilvl w:val="1"/>
          <w:numId w:val="10"/>
        </w:numPr>
        <w:spacing w:after="120"/>
        <w:contextualSpacing w:val="0"/>
      </w:pPr>
      <w:r>
        <w:t xml:space="preserve">States that have </w:t>
      </w:r>
      <w:r w:rsidR="00C81ABA">
        <w:t>specifically enumerated certain digital products – survey</w:t>
      </w:r>
    </w:p>
    <w:p w14:paraId="5C6D8D7F" w14:textId="77447721" w:rsidR="00D54DA8" w:rsidRDefault="00D54DA8" w:rsidP="00D54DA8">
      <w:pPr>
        <w:pStyle w:val="ListParagraph"/>
        <w:numPr>
          <w:ilvl w:val="2"/>
          <w:numId w:val="10"/>
        </w:numPr>
        <w:spacing w:after="120"/>
        <w:contextualSpacing w:val="0"/>
      </w:pPr>
      <w:r>
        <w:t xml:space="preserve">Different </w:t>
      </w:r>
      <w:r w:rsidR="00C81ABA">
        <w:t xml:space="preserve">products included </w:t>
      </w:r>
      <w:r>
        <w:t>[</w:t>
      </w:r>
      <w:r w:rsidR="00C81ABA">
        <w:t>s</w:t>
      </w:r>
      <w:r>
        <w:t>ee the work done by Arizona and Louisiana, as well as others]</w:t>
      </w:r>
    </w:p>
    <w:p w14:paraId="72DD621C" w14:textId="14ED9971" w:rsidR="00D54DA8" w:rsidRDefault="00D54DA8" w:rsidP="00D54DA8">
      <w:pPr>
        <w:pStyle w:val="ListParagraph"/>
        <w:numPr>
          <w:ilvl w:val="2"/>
          <w:numId w:val="10"/>
        </w:numPr>
        <w:spacing w:after="120"/>
        <w:contextualSpacing w:val="0"/>
      </w:pPr>
      <w:r>
        <w:t xml:space="preserve">How the </w:t>
      </w:r>
      <w:r w:rsidR="00C81ABA">
        <w:t>taxes have adapted generally</w:t>
      </w:r>
    </w:p>
    <w:p w14:paraId="33585679" w14:textId="6423E455" w:rsidR="00D54DA8" w:rsidRDefault="00D54DA8" w:rsidP="00D54DA8">
      <w:pPr>
        <w:pStyle w:val="ListParagraph"/>
        <w:numPr>
          <w:ilvl w:val="2"/>
          <w:numId w:val="10"/>
        </w:numPr>
        <w:spacing w:after="120"/>
        <w:contextualSpacing w:val="0"/>
      </w:pPr>
      <w:r>
        <w:t xml:space="preserve">Challenges </w:t>
      </w:r>
      <w:r w:rsidR="00C81ABA">
        <w:t>faced – including exemptions, sourcing, etc.</w:t>
      </w:r>
    </w:p>
    <w:p w14:paraId="2D1C637A" w14:textId="7EA941EE" w:rsidR="00DE079A" w:rsidRDefault="00DE079A">
      <w:pPr>
        <w:pStyle w:val="ListParagraph"/>
        <w:numPr>
          <w:ilvl w:val="1"/>
          <w:numId w:val="10"/>
        </w:numPr>
        <w:spacing w:after="120"/>
        <w:contextualSpacing w:val="0"/>
      </w:pPr>
      <w:r>
        <w:t xml:space="preserve">States that have </w:t>
      </w:r>
      <w:r w:rsidR="00C81ABA">
        <w:t>interpreted “tangible personal property” to include digital products – survey</w:t>
      </w:r>
    </w:p>
    <w:p w14:paraId="6CA49000" w14:textId="30D599EA" w:rsidR="00D54DA8" w:rsidRDefault="00D54DA8" w:rsidP="00D54DA8">
      <w:pPr>
        <w:pStyle w:val="ListParagraph"/>
        <w:numPr>
          <w:ilvl w:val="2"/>
          <w:numId w:val="10"/>
        </w:numPr>
        <w:spacing w:after="120"/>
        <w:contextualSpacing w:val="0"/>
      </w:pPr>
      <w:r>
        <w:t xml:space="preserve">Examples of </w:t>
      </w:r>
      <w:r w:rsidR="00C81ABA">
        <w:t>states using definition of TPP [again, see the work done by Arizona and Louisiana.]</w:t>
      </w:r>
    </w:p>
    <w:p w14:paraId="37F5058F" w14:textId="477D2AB4" w:rsidR="00D54DA8" w:rsidRDefault="00D54DA8" w:rsidP="00D54DA8">
      <w:pPr>
        <w:pStyle w:val="ListParagraph"/>
        <w:numPr>
          <w:ilvl w:val="2"/>
          <w:numId w:val="10"/>
        </w:numPr>
        <w:spacing w:after="120"/>
        <w:contextualSpacing w:val="0"/>
      </w:pPr>
      <w:r>
        <w:t xml:space="preserve">How the </w:t>
      </w:r>
      <w:r w:rsidR="00C81ABA">
        <w:t>taxes have adapted generally</w:t>
      </w:r>
    </w:p>
    <w:p w14:paraId="24C51AF1" w14:textId="22B8EA58" w:rsidR="00D54DA8" w:rsidRDefault="00D54DA8" w:rsidP="00D54DA8">
      <w:pPr>
        <w:pStyle w:val="ListParagraph"/>
        <w:numPr>
          <w:ilvl w:val="2"/>
          <w:numId w:val="10"/>
        </w:numPr>
        <w:spacing w:after="120"/>
        <w:contextualSpacing w:val="0"/>
      </w:pPr>
      <w:r>
        <w:lastRenderedPageBreak/>
        <w:t xml:space="preserve">Challenges </w:t>
      </w:r>
      <w:r w:rsidR="00C81ABA">
        <w:t>faced – including exemptions, sourcing, etc.</w:t>
      </w:r>
    </w:p>
    <w:p w14:paraId="06D4ED7F" w14:textId="2D1FCA6F" w:rsidR="00035238" w:rsidRDefault="00035238" w:rsidP="00035238">
      <w:pPr>
        <w:pStyle w:val="ListParagraph"/>
        <w:numPr>
          <w:ilvl w:val="1"/>
          <w:numId w:val="10"/>
        </w:numPr>
        <w:spacing w:after="120"/>
        <w:contextualSpacing w:val="0"/>
      </w:pPr>
      <w:r>
        <w:t xml:space="preserve">Example – </w:t>
      </w:r>
      <w:r w:rsidR="00C81ABA">
        <w:t>contrasting approaches – taxation of software</w:t>
      </w:r>
      <w:r w:rsidR="00691B66">
        <w:t xml:space="preserve"> [Lila’s presentation to the auditors]</w:t>
      </w:r>
    </w:p>
    <w:p w14:paraId="5D1AF22A" w14:textId="68F10BC1" w:rsidR="00DE079A" w:rsidRDefault="00035238" w:rsidP="00165733">
      <w:pPr>
        <w:pStyle w:val="ListParagraph"/>
        <w:numPr>
          <w:ilvl w:val="0"/>
          <w:numId w:val="10"/>
        </w:numPr>
        <w:spacing w:after="120"/>
        <w:contextualSpacing w:val="0"/>
      </w:pPr>
      <w:r>
        <w:t xml:space="preserve">Pros and Cons of </w:t>
      </w:r>
      <w:r w:rsidR="00165733">
        <w:t xml:space="preserve">Applying an Alternative Tax </w:t>
      </w:r>
    </w:p>
    <w:p w14:paraId="18EB5C8A" w14:textId="41989F9D" w:rsidR="00035238" w:rsidRDefault="00035238" w:rsidP="75825F8D">
      <w:pPr>
        <w:pStyle w:val="ListParagraph"/>
        <w:numPr>
          <w:ilvl w:val="1"/>
          <w:numId w:val="10"/>
        </w:numPr>
        <w:spacing w:after="120"/>
        <w:contextualSpacing w:val="0"/>
      </w:pPr>
      <w:r>
        <w:t xml:space="preserve">True </w:t>
      </w:r>
      <w:r w:rsidR="00C81ABA">
        <w:t xml:space="preserve">gross receipts taxes [see </w:t>
      </w:r>
      <w:r w:rsidR="00691B66">
        <w:t>research done by various groups.]</w:t>
      </w:r>
    </w:p>
    <w:p w14:paraId="6414E060" w14:textId="6BF4721C" w:rsidR="000754EE" w:rsidRDefault="00284EDE" w:rsidP="75825F8D">
      <w:pPr>
        <w:pStyle w:val="ListParagraph"/>
        <w:numPr>
          <w:ilvl w:val="2"/>
          <w:numId w:val="10"/>
        </w:numPr>
        <w:spacing w:after="120"/>
        <w:contextualSpacing w:val="0"/>
      </w:pPr>
      <w:r>
        <w:t xml:space="preserve">Possible </w:t>
      </w:r>
      <w:r w:rsidR="000754EE">
        <w:t>Pros – May be simpler.</w:t>
      </w:r>
    </w:p>
    <w:p w14:paraId="5113B297" w14:textId="75A2971B" w:rsidR="000754EE" w:rsidRDefault="00284EDE" w:rsidP="75825F8D">
      <w:pPr>
        <w:pStyle w:val="ListParagraph"/>
        <w:numPr>
          <w:ilvl w:val="2"/>
          <w:numId w:val="10"/>
        </w:numPr>
        <w:spacing w:after="120"/>
        <w:contextualSpacing w:val="0"/>
      </w:pPr>
      <w:r>
        <w:t xml:space="preserve">Possible </w:t>
      </w:r>
      <w:r w:rsidR="000754EE">
        <w:t>Cons – Pyramiding and need for different rates.</w:t>
      </w:r>
    </w:p>
    <w:p w14:paraId="5BDE5429" w14:textId="73AF7B04" w:rsidR="000754EE" w:rsidRDefault="000754EE" w:rsidP="75825F8D">
      <w:pPr>
        <w:pStyle w:val="ListParagraph"/>
        <w:numPr>
          <w:ilvl w:val="2"/>
          <w:numId w:val="10"/>
        </w:numPr>
        <w:spacing w:after="120"/>
        <w:contextualSpacing w:val="0"/>
      </w:pPr>
      <w:r>
        <w:t>Other</w:t>
      </w:r>
    </w:p>
    <w:p w14:paraId="49AD1CFA" w14:textId="45AC0407" w:rsidR="00035238" w:rsidRDefault="00035238" w:rsidP="75825F8D">
      <w:pPr>
        <w:pStyle w:val="ListParagraph"/>
        <w:numPr>
          <w:ilvl w:val="1"/>
          <w:numId w:val="10"/>
        </w:numPr>
        <w:spacing w:after="120"/>
        <w:contextualSpacing w:val="0"/>
      </w:pPr>
      <w:r>
        <w:t xml:space="preserve">Digital </w:t>
      </w:r>
      <w:r w:rsidR="00C81ABA">
        <w:t xml:space="preserve">advertising taxes [summarizing </w:t>
      </w:r>
      <w:r w:rsidR="00691B66">
        <w:t>the discussion of Maryland’s tax.]</w:t>
      </w:r>
    </w:p>
    <w:p w14:paraId="27FBD392" w14:textId="518448DB" w:rsidR="000754EE" w:rsidRDefault="00284EDE" w:rsidP="75825F8D">
      <w:pPr>
        <w:pStyle w:val="ListParagraph"/>
        <w:numPr>
          <w:ilvl w:val="2"/>
          <w:numId w:val="10"/>
        </w:numPr>
        <w:spacing w:after="120"/>
        <w:contextualSpacing w:val="0"/>
      </w:pPr>
      <w:r>
        <w:t xml:space="preserve">Possible </w:t>
      </w:r>
      <w:r w:rsidR="000754EE">
        <w:t>Pros – Can be tailored to the industry.</w:t>
      </w:r>
    </w:p>
    <w:p w14:paraId="27AA2B66" w14:textId="3F621A07" w:rsidR="000754EE" w:rsidRDefault="00284EDE" w:rsidP="75825F8D">
      <w:pPr>
        <w:pStyle w:val="ListParagraph"/>
        <w:numPr>
          <w:ilvl w:val="2"/>
          <w:numId w:val="10"/>
        </w:numPr>
        <w:spacing w:after="120"/>
        <w:contextualSpacing w:val="0"/>
      </w:pPr>
      <w:r>
        <w:t xml:space="preserve">Possible </w:t>
      </w:r>
      <w:r w:rsidR="000754EE">
        <w:t>Cons – ITFA limitations and failure to address other products</w:t>
      </w:r>
      <w:r w:rsidR="00F12AF8">
        <w:t xml:space="preserve">; OECD Pillar 1 discussions to eliminate </w:t>
      </w:r>
      <w:r w:rsidR="00816301">
        <w:t>digital taxes at the international level</w:t>
      </w:r>
      <w:r w:rsidR="000754EE">
        <w:t>.</w:t>
      </w:r>
    </w:p>
    <w:p w14:paraId="1988DC32" w14:textId="720E4CFA" w:rsidR="000754EE" w:rsidRDefault="000754EE" w:rsidP="75825F8D">
      <w:pPr>
        <w:pStyle w:val="ListParagraph"/>
        <w:numPr>
          <w:ilvl w:val="2"/>
          <w:numId w:val="10"/>
        </w:numPr>
        <w:spacing w:after="120"/>
        <w:contextualSpacing w:val="0"/>
      </w:pPr>
      <w:r>
        <w:t>Other</w:t>
      </w:r>
    </w:p>
    <w:p w14:paraId="413EA47F" w14:textId="70B0EB8F" w:rsidR="000754EE" w:rsidRDefault="00035238" w:rsidP="75825F8D">
      <w:pPr>
        <w:pStyle w:val="ListParagraph"/>
        <w:numPr>
          <w:ilvl w:val="1"/>
          <w:numId w:val="10"/>
        </w:numPr>
        <w:spacing w:after="120"/>
        <w:contextualSpacing w:val="0"/>
      </w:pPr>
      <w:r>
        <w:t xml:space="preserve">“Data </w:t>
      </w:r>
      <w:r w:rsidR="00284EDE">
        <w:t>m</w:t>
      </w:r>
      <w:r>
        <w:t xml:space="preserve">ining” </w:t>
      </w:r>
      <w:r w:rsidR="00284EDE">
        <w:t>t</w:t>
      </w:r>
      <w:r>
        <w:t>axes</w:t>
      </w:r>
      <w:r w:rsidR="00691B66">
        <w:t xml:space="preserve"> [</w:t>
      </w:r>
      <w:r w:rsidR="00284EDE">
        <w:t>s</w:t>
      </w:r>
      <w:r w:rsidR="00691B66">
        <w:t>ummarizing Plattner’s proposal and discussion.]</w:t>
      </w:r>
    </w:p>
    <w:p w14:paraId="72A5E7F9" w14:textId="2469A83D" w:rsidR="000754EE" w:rsidRDefault="00284EDE" w:rsidP="75825F8D">
      <w:pPr>
        <w:pStyle w:val="ListParagraph"/>
        <w:numPr>
          <w:ilvl w:val="2"/>
          <w:numId w:val="10"/>
        </w:numPr>
        <w:spacing w:after="120"/>
        <w:contextualSpacing w:val="0"/>
      </w:pPr>
      <w:r>
        <w:t xml:space="preserve">Possible </w:t>
      </w:r>
      <w:r w:rsidR="000754EE">
        <w:t>Pros – Recognizes value in “free” services provided in exchange for data.</w:t>
      </w:r>
    </w:p>
    <w:p w14:paraId="321A264A" w14:textId="484E1205" w:rsidR="000754EE" w:rsidRDefault="00284EDE" w:rsidP="75825F8D">
      <w:pPr>
        <w:pStyle w:val="ListParagraph"/>
        <w:numPr>
          <w:ilvl w:val="2"/>
          <w:numId w:val="10"/>
        </w:numPr>
        <w:spacing w:after="120"/>
        <w:contextualSpacing w:val="0"/>
      </w:pPr>
      <w:r>
        <w:t xml:space="preserve">Possible </w:t>
      </w:r>
      <w:r w:rsidR="000754EE">
        <w:t>Cons – Untested.</w:t>
      </w:r>
    </w:p>
    <w:p w14:paraId="170C464E" w14:textId="1C253E0A" w:rsidR="000754EE" w:rsidRDefault="000754EE" w:rsidP="75825F8D">
      <w:pPr>
        <w:pStyle w:val="ListParagraph"/>
        <w:numPr>
          <w:ilvl w:val="2"/>
          <w:numId w:val="10"/>
        </w:numPr>
        <w:spacing w:after="120"/>
        <w:contextualSpacing w:val="0"/>
      </w:pPr>
      <w:r>
        <w:t>Other</w:t>
      </w:r>
    </w:p>
    <w:p w14:paraId="329CECB1" w14:textId="4A2F937E" w:rsidR="00035238" w:rsidRDefault="00035238" w:rsidP="75825F8D">
      <w:pPr>
        <w:pStyle w:val="ListParagraph"/>
        <w:numPr>
          <w:ilvl w:val="1"/>
          <w:numId w:val="10"/>
        </w:numPr>
        <w:spacing w:after="120"/>
        <w:contextualSpacing w:val="0"/>
      </w:pPr>
      <w:r>
        <w:t xml:space="preserve">Alteration of </w:t>
      </w:r>
      <w:r w:rsidR="00284EDE">
        <w:t>s</w:t>
      </w:r>
      <w:r>
        <w:t xml:space="preserve">ales </w:t>
      </w:r>
      <w:r w:rsidR="00284EDE">
        <w:t>t</w:t>
      </w:r>
      <w:r>
        <w:t xml:space="preserve">ax </w:t>
      </w:r>
      <w:r w:rsidR="00284EDE">
        <w:t>m</w:t>
      </w:r>
      <w:r>
        <w:t>echanics</w:t>
      </w:r>
      <w:r w:rsidR="00691B66">
        <w:t xml:space="preserve"> – </w:t>
      </w:r>
      <w:r w:rsidR="00284EDE">
        <w:t>s</w:t>
      </w:r>
      <w:r w:rsidR="00691B66">
        <w:t xml:space="preserve">implifying the </w:t>
      </w:r>
      <w:r w:rsidR="00284EDE">
        <w:t>s</w:t>
      </w:r>
      <w:r w:rsidR="00691B66">
        <w:t xml:space="preserve">ales </w:t>
      </w:r>
      <w:r w:rsidR="00284EDE">
        <w:t>t</w:t>
      </w:r>
      <w:r w:rsidR="00691B66">
        <w:t>ax</w:t>
      </w:r>
    </w:p>
    <w:p w14:paraId="58921596" w14:textId="031623D0" w:rsidR="00035238" w:rsidRDefault="00165733" w:rsidP="75825F8D">
      <w:pPr>
        <w:pStyle w:val="ListParagraph"/>
        <w:numPr>
          <w:ilvl w:val="2"/>
          <w:numId w:val="10"/>
        </w:numPr>
        <w:spacing w:after="120"/>
        <w:contextualSpacing w:val="0"/>
      </w:pPr>
      <w:r>
        <w:t xml:space="preserve">Ability to vary the </w:t>
      </w:r>
      <w:r w:rsidR="00035238">
        <w:t xml:space="preserve">typical </w:t>
      </w:r>
      <w:r>
        <w:t xml:space="preserve">mechanics </w:t>
      </w:r>
      <w:r w:rsidR="00035238">
        <w:t>including separate statement of the tax</w:t>
      </w:r>
      <w:r w:rsidR="00691B66">
        <w:t xml:space="preserve"> so as to allow estimated amounts sourced to particular jurisdictions</w:t>
      </w:r>
      <w:r w:rsidR="00035238">
        <w:t>.</w:t>
      </w:r>
    </w:p>
    <w:p w14:paraId="03688243" w14:textId="2EA1C685" w:rsidR="00691B66" w:rsidRDefault="00691B66" w:rsidP="75825F8D">
      <w:pPr>
        <w:pStyle w:val="ListParagraph"/>
        <w:numPr>
          <w:ilvl w:val="2"/>
          <w:numId w:val="10"/>
        </w:numPr>
        <w:spacing w:after="120"/>
        <w:contextualSpacing w:val="0"/>
      </w:pPr>
      <w:r>
        <w:t>Elective use of a single state tax rate (i.e.</w:t>
      </w:r>
      <w:r w:rsidR="00333A5E">
        <w:t>,</w:t>
      </w:r>
      <w:r>
        <w:t xml:space="preserve"> </w:t>
      </w:r>
      <w:r w:rsidR="00333A5E">
        <w:t xml:space="preserve">the </w:t>
      </w:r>
      <w:r>
        <w:t>Texas approach).</w:t>
      </w:r>
    </w:p>
    <w:p w14:paraId="22C74353" w14:textId="78CC90A5" w:rsidR="007E5606" w:rsidRDefault="007E5606" w:rsidP="007E5606">
      <w:pPr>
        <w:pStyle w:val="ListParagraph"/>
        <w:numPr>
          <w:ilvl w:val="0"/>
          <w:numId w:val="10"/>
        </w:numPr>
        <w:spacing w:after="120"/>
        <w:contextualSpacing w:val="0"/>
      </w:pPr>
      <w:r>
        <w:t>Conclusions</w:t>
      </w:r>
    </w:p>
    <w:p w14:paraId="2135DC05" w14:textId="76AECCA0" w:rsidR="00E324C9" w:rsidRDefault="00E324C9">
      <w:pPr>
        <w:spacing w:after="200" w:line="276" w:lineRule="auto"/>
        <w:jc w:val="left"/>
      </w:pPr>
      <w:r>
        <w:br w:type="page"/>
      </w:r>
    </w:p>
    <w:p w14:paraId="2AED0266" w14:textId="6282BDF9" w:rsidR="000754EE" w:rsidRDefault="00E324C9" w:rsidP="00E324C9">
      <w:pPr>
        <w:pStyle w:val="Heading1"/>
      </w:pPr>
      <w:r>
        <w:lastRenderedPageBreak/>
        <w:t>APPENDIX A</w:t>
      </w:r>
    </w:p>
    <w:p w14:paraId="4CBEE9A0" w14:textId="0D02731C" w:rsidR="00E324C9" w:rsidRDefault="00E324C9" w:rsidP="00E324C9">
      <w:r>
        <w:t xml:space="preserve">This </w:t>
      </w:r>
      <w:r w:rsidR="003F060C">
        <w:t>is</w:t>
      </w:r>
      <w:r>
        <w:t xml:space="preserve"> a </w:t>
      </w:r>
      <w:r w:rsidR="00C15B66">
        <w:t>list of th</w:t>
      </w:r>
      <w:r>
        <w:t xml:space="preserve">e </w:t>
      </w:r>
      <w:r w:rsidR="00284EDE">
        <w:t>stakeholders that</w:t>
      </w:r>
      <w:r>
        <w:t xml:space="preserve"> </w:t>
      </w:r>
      <w:r w:rsidR="003F060C">
        <w:t>MTC staff</w:t>
      </w:r>
      <w:r>
        <w:t xml:space="preserve"> talked to, the questions we asked, and </w:t>
      </w:r>
      <w:r w:rsidR="00C15B66">
        <w:t xml:space="preserve">a summary of </w:t>
      </w:r>
      <w:r>
        <w:t>the responses we received.</w:t>
      </w:r>
    </w:p>
    <w:p w14:paraId="3D30DB7A" w14:textId="77777777" w:rsidR="00CC64F8" w:rsidRPr="00CC64F8" w:rsidRDefault="00CC64F8" w:rsidP="00CC64F8">
      <w:pPr>
        <w:rPr>
          <w:b/>
          <w:bCs/>
          <w:u w:val="single"/>
        </w:rPr>
      </w:pPr>
      <w:r w:rsidRPr="00CC64F8">
        <w:rPr>
          <w:b/>
          <w:bCs/>
          <w:u w:val="single"/>
        </w:rPr>
        <w:t>Digital Products Stakeholder Discussions as of July 1, 2022</w:t>
      </w:r>
    </w:p>
    <w:p w14:paraId="1660A89F" w14:textId="20D514A7" w:rsidR="00CC64F8" w:rsidRPr="00CC64F8" w:rsidRDefault="00CC64F8" w:rsidP="00CC64F8">
      <w:pPr>
        <w:numPr>
          <w:ilvl w:val="0"/>
          <w:numId w:val="11"/>
        </w:numPr>
      </w:pPr>
      <w:r>
        <w:t>Departments of Revenue (12)</w:t>
      </w:r>
    </w:p>
    <w:p w14:paraId="15319250" w14:textId="77777777" w:rsidR="00CC64F8" w:rsidRPr="00CC64F8" w:rsidRDefault="00CC64F8" w:rsidP="005A0CBD">
      <w:pPr>
        <w:numPr>
          <w:ilvl w:val="1"/>
          <w:numId w:val="11"/>
        </w:numPr>
        <w:spacing w:after="0"/>
      </w:pPr>
      <w:r w:rsidRPr="00CC64F8">
        <w:t>Arizona</w:t>
      </w:r>
    </w:p>
    <w:p w14:paraId="29C6C388" w14:textId="77777777" w:rsidR="00CC64F8" w:rsidRPr="00CC64F8" w:rsidRDefault="00CC64F8" w:rsidP="005A0CBD">
      <w:pPr>
        <w:numPr>
          <w:ilvl w:val="1"/>
          <w:numId w:val="11"/>
        </w:numPr>
        <w:spacing w:after="0"/>
      </w:pPr>
      <w:r w:rsidRPr="00CC64F8">
        <w:t>New Jersey</w:t>
      </w:r>
    </w:p>
    <w:p w14:paraId="49480249" w14:textId="77777777" w:rsidR="00CC64F8" w:rsidRPr="00CC64F8" w:rsidRDefault="00CC64F8" w:rsidP="005A0CBD">
      <w:pPr>
        <w:numPr>
          <w:ilvl w:val="1"/>
          <w:numId w:val="11"/>
        </w:numPr>
        <w:spacing w:after="0"/>
      </w:pPr>
      <w:r w:rsidRPr="00CC64F8">
        <w:t>Hawaii</w:t>
      </w:r>
    </w:p>
    <w:p w14:paraId="6A8C881A" w14:textId="77777777" w:rsidR="00CC64F8" w:rsidRPr="00CC64F8" w:rsidRDefault="00CC64F8" w:rsidP="005A0CBD">
      <w:pPr>
        <w:numPr>
          <w:ilvl w:val="1"/>
          <w:numId w:val="11"/>
        </w:numPr>
        <w:spacing w:after="0"/>
      </w:pPr>
      <w:r w:rsidRPr="00CC64F8">
        <w:t>Colorado</w:t>
      </w:r>
    </w:p>
    <w:p w14:paraId="2C4E48A1" w14:textId="77777777" w:rsidR="00CC64F8" w:rsidRPr="00CC64F8" w:rsidRDefault="00CC64F8" w:rsidP="005A0CBD">
      <w:pPr>
        <w:numPr>
          <w:ilvl w:val="1"/>
          <w:numId w:val="11"/>
        </w:numPr>
        <w:spacing w:after="0"/>
      </w:pPr>
      <w:r>
        <w:t>Maryland</w:t>
      </w:r>
    </w:p>
    <w:p w14:paraId="1695FC54" w14:textId="1B013832" w:rsidR="2E40B8A7" w:rsidRDefault="2E40B8A7" w:rsidP="2E40B8A7">
      <w:pPr>
        <w:numPr>
          <w:ilvl w:val="1"/>
          <w:numId w:val="11"/>
        </w:numPr>
        <w:spacing w:after="0"/>
      </w:pPr>
      <w:r w:rsidRPr="2E40B8A7">
        <w:rPr>
          <w:rFonts w:eastAsia="Calibri"/>
          <w:szCs w:val="20"/>
        </w:rPr>
        <w:t>New Jersey</w:t>
      </w:r>
    </w:p>
    <w:p w14:paraId="524513A4" w14:textId="77777777" w:rsidR="00CC64F8" w:rsidRPr="00CC64F8" w:rsidRDefault="00CC64F8" w:rsidP="005A0CBD">
      <w:pPr>
        <w:numPr>
          <w:ilvl w:val="1"/>
          <w:numId w:val="11"/>
        </w:numPr>
        <w:spacing w:after="0"/>
      </w:pPr>
      <w:r w:rsidRPr="00CC64F8">
        <w:t>New Mexico</w:t>
      </w:r>
    </w:p>
    <w:p w14:paraId="3F0F5B89" w14:textId="77777777" w:rsidR="00CC64F8" w:rsidRPr="00CC64F8" w:rsidRDefault="00CC64F8" w:rsidP="005A0CBD">
      <w:pPr>
        <w:numPr>
          <w:ilvl w:val="1"/>
          <w:numId w:val="11"/>
        </w:numPr>
        <w:spacing w:after="0"/>
      </w:pPr>
      <w:r w:rsidRPr="00CC64F8">
        <w:t>Texas</w:t>
      </w:r>
    </w:p>
    <w:p w14:paraId="4B377242" w14:textId="77777777" w:rsidR="00CC64F8" w:rsidRPr="00CC64F8" w:rsidRDefault="00CC64F8" w:rsidP="005A0CBD">
      <w:pPr>
        <w:numPr>
          <w:ilvl w:val="1"/>
          <w:numId w:val="11"/>
        </w:numPr>
        <w:spacing w:after="0"/>
      </w:pPr>
      <w:r w:rsidRPr="00CC64F8">
        <w:t>South Dakota</w:t>
      </w:r>
    </w:p>
    <w:p w14:paraId="29271F80" w14:textId="77777777" w:rsidR="00CC64F8" w:rsidRPr="00CC64F8" w:rsidRDefault="00CC64F8" w:rsidP="005A0CBD">
      <w:pPr>
        <w:numPr>
          <w:ilvl w:val="1"/>
          <w:numId w:val="11"/>
        </w:numPr>
        <w:spacing w:after="0"/>
      </w:pPr>
      <w:r w:rsidRPr="00CC64F8">
        <w:t>California Department of Tax and Fee Administration</w:t>
      </w:r>
    </w:p>
    <w:p w14:paraId="5CF03CF4" w14:textId="77777777" w:rsidR="00CC64F8" w:rsidRPr="00CC64F8" w:rsidRDefault="00CC64F8" w:rsidP="005A0CBD">
      <w:pPr>
        <w:numPr>
          <w:ilvl w:val="1"/>
          <w:numId w:val="11"/>
        </w:numPr>
        <w:spacing w:after="0"/>
      </w:pPr>
      <w:r w:rsidRPr="00CC64F8">
        <w:t>Utah</w:t>
      </w:r>
    </w:p>
    <w:p w14:paraId="075F331D" w14:textId="77777777" w:rsidR="00CC64F8" w:rsidRPr="00115596" w:rsidRDefault="00CC64F8" w:rsidP="005A0CBD">
      <w:pPr>
        <w:numPr>
          <w:ilvl w:val="1"/>
          <w:numId w:val="11"/>
        </w:numPr>
        <w:spacing w:after="0"/>
      </w:pPr>
      <w:r w:rsidRPr="00CC64F8">
        <w:t>Iowa</w:t>
      </w:r>
    </w:p>
    <w:p w14:paraId="13055B39" w14:textId="77777777" w:rsidR="005A0CBD" w:rsidRPr="00CC64F8" w:rsidRDefault="005A0CBD" w:rsidP="005A0CBD">
      <w:pPr>
        <w:spacing w:after="0"/>
        <w:ind w:left="1440"/>
      </w:pPr>
    </w:p>
    <w:p w14:paraId="6A38842C" w14:textId="77777777" w:rsidR="00CC64F8" w:rsidRPr="00CC64F8" w:rsidRDefault="00CC64F8" w:rsidP="00CC64F8">
      <w:pPr>
        <w:numPr>
          <w:ilvl w:val="0"/>
          <w:numId w:val="11"/>
        </w:numPr>
      </w:pPr>
      <w:r w:rsidRPr="00CC64F8">
        <w:t>Taxpayers (7)</w:t>
      </w:r>
    </w:p>
    <w:p w14:paraId="1533855F" w14:textId="77777777" w:rsidR="00CC64F8" w:rsidRPr="00CC64F8" w:rsidRDefault="00CC64F8" w:rsidP="005A0CBD">
      <w:pPr>
        <w:numPr>
          <w:ilvl w:val="1"/>
          <w:numId w:val="11"/>
        </w:numPr>
        <w:spacing w:after="0"/>
      </w:pPr>
      <w:r w:rsidRPr="00CC64F8">
        <w:t>Amazon</w:t>
      </w:r>
    </w:p>
    <w:p w14:paraId="74904AE0" w14:textId="77777777" w:rsidR="00CC64F8" w:rsidRPr="00CC64F8" w:rsidRDefault="00CC64F8" w:rsidP="005A0CBD">
      <w:pPr>
        <w:numPr>
          <w:ilvl w:val="1"/>
          <w:numId w:val="11"/>
        </w:numPr>
        <w:spacing w:after="0"/>
      </w:pPr>
      <w:r w:rsidRPr="00CC64F8">
        <w:t>AT&amp;T</w:t>
      </w:r>
    </w:p>
    <w:p w14:paraId="5E956A82" w14:textId="77777777" w:rsidR="00CC64F8" w:rsidRPr="00CC64F8" w:rsidRDefault="00CC64F8" w:rsidP="005A0CBD">
      <w:pPr>
        <w:numPr>
          <w:ilvl w:val="1"/>
          <w:numId w:val="11"/>
        </w:numPr>
        <w:spacing w:after="0"/>
      </w:pPr>
      <w:r w:rsidRPr="00CC64F8">
        <w:t>Meta</w:t>
      </w:r>
    </w:p>
    <w:p w14:paraId="2523F63D" w14:textId="77777777" w:rsidR="00CC64F8" w:rsidRPr="00CC64F8" w:rsidRDefault="00CC64F8" w:rsidP="005A0CBD">
      <w:pPr>
        <w:numPr>
          <w:ilvl w:val="1"/>
          <w:numId w:val="11"/>
        </w:numPr>
        <w:spacing w:after="0"/>
      </w:pPr>
      <w:r w:rsidRPr="00CC64F8">
        <w:t>Verizon</w:t>
      </w:r>
    </w:p>
    <w:p w14:paraId="6FAA430C" w14:textId="77777777" w:rsidR="00CC64F8" w:rsidRPr="00CC64F8" w:rsidRDefault="00CC64F8" w:rsidP="005A0CBD">
      <w:pPr>
        <w:numPr>
          <w:ilvl w:val="1"/>
          <w:numId w:val="11"/>
        </w:numPr>
        <w:spacing w:after="0"/>
      </w:pPr>
      <w:r w:rsidRPr="00CC64F8">
        <w:t>Microsoft</w:t>
      </w:r>
    </w:p>
    <w:p w14:paraId="71DB08BC" w14:textId="77777777" w:rsidR="00CC64F8" w:rsidRPr="00CC64F8" w:rsidRDefault="00CC64F8" w:rsidP="005A0CBD">
      <w:pPr>
        <w:numPr>
          <w:ilvl w:val="1"/>
          <w:numId w:val="11"/>
        </w:numPr>
        <w:spacing w:after="0"/>
      </w:pPr>
      <w:r w:rsidRPr="00CC64F8">
        <w:t>Charter Communications</w:t>
      </w:r>
    </w:p>
    <w:p w14:paraId="7AEB0B5B" w14:textId="77777777" w:rsidR="00CC64F8" w:rsidRPr="00115596" w:rsidRDefault="00CC64F8" w:rsidP="005A0CBD">
      <w:pPr>
        <w:numPr>
          <w:ilvl w:val="1"/>
          <w:numId w:val="11"/>
        </w:numPr>
        <w:spacing w:after="0"/>
      </w:pPr>
      <w:r w:rsidRPr="00CC64F8">
        <w:t>Apple</w:t>
      </w:r>
    </w:p>
    <w:p w14:paraId="6074407A" w14:textId="77777777" w:rsidR="005A0CBD" w:rsidRPr="00CC64F8" w:rsidRDefault="005A0CBD" w:rsidP="005A0CBD">
      <w:pPr>
        <w:spacing w:after="0"/>
        <w:ind w:left="1440"/>
      </w:pPr>
    </w:p>
    <w:p w14:paraId="261F9407" w14:textId="77777777" w:rsidR="00CC64F8" w:rsidRPr="00CC64F8" w:rsidRDefault="00CC64F8" w:rsidP="00CC64F8">
      <w:pPr>
        <w:numPr>
          <w:ilvl w:val="0"/>
          <w:numId w:val="11"/>
        </w:numPr>
      </w:pPr>
      <w:r w:rsidRPr="00CC64F8">
        <w:t>Practitioners (8)</w:t>
      </w:r>
    </w:p>
    <w:p w14:paraId="247E8EA9" w14:textId="77777777" w:rsidR="00CC64F8" w:rsidRPr="00CC64F8" w:rsidRDefault="00CC64F8" w:rsidP="005A0CBD">
      <w:pPr>
        <w:numPr>
          <w:ilvl w:val="1"/>
          <w:numId w:val="11"/>
        </w:numPr>
        <w:spacing w:after="0"/>
      </w:pPr>
      <w:r w:rsidRPr="00CC64F8">
        <w:t>Kranz &amp; Associates</w:t>
      </w:r>
    </w:p>
    <w:p w14:paraId="2633B320" w14:textId="77777777" w:rsidR="00CC64F8" w:rsidRPr="00CC64F8" w:rsidRDefault="00CC64F8" w:rsidP="005A0CBD">
      <w:pPr>
        <w:numPr>
          <w:ilvl w:val="1"/>
          <w:numId w:val="11"/>
        </w:numPr>
        <w:spacing w:after="0"/>
      </w:pPr>
      <w:r w:rsidRPr="00CC64F8">
        <w:t>Eversheds Sutherland</w:t>
      </w:r>
    </w:p>
    <w:p w14:paraId="286BA247" w14:textId="77777777" w:rsidR="00CC64F8" w:rsidRPr="00CC64F8" w:rsidRDefault="00CC64F8" w:rsidP="005A0CBD">
      <w:pPr>
        <w:numPr>
          <w:ilvl w:val="1"/>
          <w:numId w:val="11"/>
        </w:numPr>
        <w:spacing w:after="0"/>
      </w:pPr>
      <w:proofErr w:type="spellStart"/>
      <w:r w:rsidRPr="00CC64F8">
        <w:t>BakerHostetler</w:t>
      </w:r>
      <w:proofErr w:type="spellEnd"/>
    </w:p>
    <w:p w14:paraId="443D347E" w14:textId="77777777" w:rsidR="00CC64F8" w:rsidRPr="00CC64F8" w:rsidRDefault="00CC64F8" w:rsidP="005A0CBD">
      <w:pPr>
        <w:numPr>
          <w:ilvl w:val="1"/>
          <w:numId w:val="11"/>
        </w:numPr>
        <w:spacing w:after="0"/>
      </w:pPr>
      <w:r w:rsidRPr="00CC64F8">
        <w:t>EY</w:t>
      </w:r>
    </w:p>
    <w:p w14:paraId="7B13902D" w14:textId="77777777" w:rsidR="00CC64F8" w:rsidRPr="00CC64F8" w:rsidRDefault="00CC64F8" w:rsidP="005A0CBD">
      <w:pPr>
        <w:numPr>
          <w:ilvl w:val="1"/>
          <w:numId w:val="11"/>
        </w:numPr>
        <w:spacing w:after="0"/>
      </w:pPr>
      <w:r w:rsidRPr="00CC64F8">
        <w:t>KPMG</w:t>
      </w:r>
    </w:p>
    <w:p w14:paraId="388EF659" w14:textId="77777777" w:rsidR="00CC64F8" w:rsidRPr="00CC64F8" w:rsidRDefault="00CC64F8" w:rsidP="005A0CBD">
      <w:pPr>
        <w:numPr>
          <w:ilvl w:val="1"/>
          <w:numId w:val="11"/>
        </w:numPr>
        <w:spacing w:after="0"/>
      </w:pPr>
      <w:r w:rsidRPr="00CC64F8">
        <w:t>Deloitte</w:t>
      </w:r>
    </w:p>
    <w:p w14:paraId="5F8D92AA" w14:textId="77777777" w:rsidR="00CC64F8" w:rsidRPr="00CC64F8" w:rsidRDefault="00CC64F8" w:rsidP="005A0CBD">
      <w:pPr>
        <w:numPr>
          <w:ilvl w:val="1"/>
          <w:numId w:val="11"/>
        </w:numPr>
        <w:spacing w:after="0"/>
      </w:pPr>
      <w:r w:rsidRPr="00CC64F8">
        <w:t>McDermott Will &amp; Emery</w:t>
      </w:r>
    </w:p>
    <w:p w14:paraId="554077E5" w14:textId="77777777" w:rsidR="00CC64F8" w:rsidRPr="00115596" w:rsidRDefault="00CC64F8" w:rsidP="005A0CBD">
      <w:pPr>
        <w:numPr>
          <w:ilvl w:val="1"/>
          <w:numId w:val="11"/>
        </w:numPr>
        <w:spacing w:after="0"/>
      </w:pPr>
      <w:proofErr w:type="spellStart"/>
      <w:r w:rsidRPr="00CC64F8">
        <w:t>MultiState</w:t>
      </w:r>
      <w:proofErr w:type="spellEnd"/>
      <w:r w:rsidRPr="00CC64F8">
        <w:t xml:space="preserve"> Associates</w:t>
      </w:r>
    </w:p>
    <w:p w14:paraId="4B08FF75" w14:textId="77777777" w:rsidR="005A0CBD" w:rsidRPr="00CC64F8" w:rsidRDefault="005A0CBD" w:rsidP="2E40B8A7">
      <w:pPr>
        <w:spacing w:after="0"/>
        <w:ind w:left="720"/>
      </w:pPr>
    </w:p>
    <w:p w14:paraId="25447ADD" w14:textId="77777777" w:rsidR="00CC64F8" w:rsidRPr="00CC64F8" w:rsidRDefault="00CC64F8" w:rsidP="00CC64F8">
      <w:pPr>
        <w:numPr>
          <w:ilvl w:val="0"/>
          <w:numId w:val="11"/>
        </w:numPr>
      </w:pPr>
      <w:r w:rsidRPr="00CC64F8">
        <w:t>Industry (2)</w:t>
      </w:r>
    </w:p>
    <w:p w14:paraId="4F2A2EA0" w14:textId="77777777" w:rsidR="00CC64F8" w:rsidRPr="00CC64F8" w:rsidRDefault="00CC64F8" w:rsidP="005A0CBD">
      <w:pPr>
        <w:numPr>
          <w:ilvl w:val="1"/>
          <w:numId w:val="11"/>
        </w:numPr>
        <w:spacing w:after="0"/>
      </w:pPr>
      <w:r w:rsidRPr="00CC64F8">
        <w:t>Avalara</w:t>
      </w:r>
    </w:p>
    <w:p w14:paraId="4E21FF09" w14:textId="6B8C71A6" w:rsidR="005A0CBD" w:rsidRPr="00CC64F8" w:rsidRDefault="00CC64F8" w:rsidP="005A0CBD">
      <w:pPr>
        <w:numPr>
          <w:ilvl w:val="1"/>
          <w:numId w:val="11"/>
        </w:numPr>
        <w:spacing w:after="0"/>
      </w:pPr>
      <w:r>
        <w:t>Tax Cloud</w:t>
      </w:r>
    </w:p>
    <w:p w14:paraId="46380DC5" w14:textId="6CDC0B31" w:rsidR="2E40B8A7" w:rsidRDefault="2E40B8A7" w:rsidP="2E40B8A7">
      <w:pPr>
        <w:spacing w:after="0"/>
        <w:ind w:left="720"/>
        <w:rPr>
          <w:rFonts w:eastAsia="Calibri"/>
          <w:szCs w:val="20"/>
        </w:rPr>
      </w:pPr>
    </w:p>
    <w:p w14:paraId="0DB09221" w14:textId="335F480B" w:rsidR="00CC64F8" w:rsidRPr="00CC64F8" w:rsidRDefault="00CC64F8" w:rsidP="00CC64F8">
      <w:pPr>
        <w:numPr>
          <w:ilvl w:val="0"/>
          <w:numId w:val="11"/>
        </w:numPr>
      </w:pPr>
      <w:r>
        <w:t>Organizations (10)</w:t>
      </w:r>
    </w:p>
    <w:p w14:paraId="49E2B3CF" w14:textId="77777777" w:rsidR="00CC64F8" w:rsidRPr="00CC64F8" w:rsidRDefault="00CC64F8" w:rsidP="005A0CBD">
      <w:pPr>
        <w:numPr>
          <w:ilvl w:val="1"/>
          <w:numId w:val="11"/>
        </w:numPr>
        <w:spacing w:after="0"/>
      </w:pPr>
      <w:r w:rsidRPr="00CC64F8">
        <w:t>Council On State Taxation</w:t>
      </w:r>
    </w:p>
    <w:p w14:paraId="1918F267" w14:textId="77777777" w:rsidR="00CC64F8" w:rsidRPr="00CC64F8" w:rsidRDefault="00CC64F8" w:rsidP="005A0CBD">
      <w:pPr>
        <w:numPr>
          <w:ilvl w:val="1"/>
          <w:numId w:val="11"/>
        </w:numPr>
        <w:spacing w:after="0"/>
      </w:pPr>
      <w:r w:rsidRPr="00CC64F8">
        <w:t>Electronic Transactions Association</w:t>
      </w:r>
    </w:p>
    <w:p w14:paraId="6D1829F7" w14:textId="77777777" w:rsidR="00CC64F8" w:rsidRPr="00CC64F8" w:rsidRDefault="00CC64F8" w:rsidP="005A0CBD">
      <w:pPr>
        <w:numPr>
          <w:ilvl w:val="1"/>
          <w:numId w:val="11"/>
        </w:numPr>
        <w:spacing w:after="0"/>
      </w:pPr>
      <w:r w:rsidRPr="00CC64F8">
        <w:t>Center on Budget Policy and Priorities</w:t>
      </w:r>
    </w:p>
    <w:p w14:paraId="530ECCAF" w14:textId="77777777" w:rsidR="00CC64F8" w:rsidRPr="00CC64F8" w:rsidRDefault="00CC64F8" w:rsidP="005A0CBD">
      <w:pPr>
        <w:numPr>
          <w:ilvl w:val="1"/>
          <w:numId w:val="11"/>
        </w:numPr>
        <w:spacing w:after="0"/>
      </w:pPr>
      <w:r w:rsidRPr="00CC64F8">
        <w:lastRenderedPageBreak/>
        <w:t>American Bar Association – written comments submitted</w:t>
      </w:r>
    </w:p>
    <w:p w14:paraId="79CF3B66" w14:textId="77777777" w:rsidR="00CC64F8" w:rsidRPr="00CC64F8" w:rsidRDefault="00CC64F8" w:rsidP="005A0CBD">
      <w:pPr>
        <w:numPr>
          <w:ilvl w:val="1"/>
          <w:numId w:val="11"/>
        </w:numPr>
        <w:spacing w:after="0"/>
      </w:pPr>
      <w:r w:rsidRPr="00CC64F8">
        <w:t>Tax Foundation</w:t>
      </w:r>
    </w:p>
    <w:p w14:paraId="1E26B27D" w14:textId="77777777" w:rsidR="00CC64F8" w:rsidRPr="00CC64F8" w:rsidRDefault="00CC64F8" w:rsidP="005A0CBD">
      <w:pPr>
        <w:numPr>
          <w:ilvl w:val="1"/>
          <w:numId w:val="11"/>
        </w:numPr>
        <w:spacing w:after="0"/>
      </w:pPr>
      <w:r w:rsidRPr="00CC64F8">
        <w:t>Motion Picture Association</w:t>
      </w:r>
    </w:p>
    <w:p w14:paraId="4D9A37C1" w14:textId="77777777" w:rsidR="00CC64F8" w:rsidRPr="00CC64F8" w:rsidRDefault="00CC64F8" w:rsidP="005A0CBD">
      <w:pPr>
        <w:numPr>
          <w:ilvl w:val="1"/>
          <w:numId w:val="11"/>
        </w:numPr>
        <w:spacing w:after="0"/>
      </w:pPr>
      <w:r w:rsidRPr="00CC64F8">
        <w:t>Streamlined Sales Tax Governing Board (staff)</w:t>
      </w:r>
    </w:p>
    <w:p w14:paraId="3059D8DB" w14:textId="77777777" w:rsidR="00CC64F8" w:rsidRPr="00CC64F8" w:rsidRDefault="00CC64F8" w:rsidP="005A0CBD">
      <w:pPr>
        <w:numPr>
          <w:ilvl w:val="1"/>
          <w:numId w:val="11"/>
        </w:numPr>
        <w:spacing w:after="0"/>
      </w:pPr>
      <w:r w:rsidRPr="00CC64F8">
        <w:t>AICPA – State &amp; Local Tax TRP</w:t>
      </w:r>
    </w:p>
    <w:p w14:paraId="719CB652" w14:textId="77777777" w:rsidR="005A0CBD" w:rsidRPr="00115596" w:rsidRDefault="00CC64F8" w:rsidP="005A0CBD">
      <w:pPr>
        <w:numPr>
          <w:ilvl w:val="1"/>
          <w:numId w:val="11"/>
        </w:numPr>
        <w:spacing w:after="0"/>
      </w:pPr>
      <w:r>
        <w:t>National Taxpayers Union Foundation</w:t>
      </w:r>
    </w:p>
    <w:p w14:paraId="7A0F6D34" w14:textId="484C5CC5" w:rsidR="2E40B8A7" w:rsidRDefault="2E40B8A7" w:rsidP="2E40B8A7">
      <w:pPr>
        <w:numPr>
          <w:ilvl w:val="1"/>
          <w:numId w:val="11"/>
        </w:numPr>
        <w:spacing w:after="0"/>
      </w:pPr>
      <w:r w:rsidRPr="2E40B8A7">
        <w:rPr>
          <w:rFonts w:eastAsia="Calibri"/>
          <w:szCs w:val="20"/>
        </w:rPr>
        <w:t>National Conference of State Legislatures (informal)</w:t>
      </w:r>
    </w:p>
    <w:p w14:paraId="01E11910" w14:textId="468B85E7" w:rsidR="00CC64F8" w:rsidRPr="00CC64F8" w:rsidRDefault="00CC64F8" w:rsidP="005A0CBD">
      <w:pPr>
        <w:spacing w:after="0"/>
        <w:ind w:left="1440"/>
      </w:pPr>
      <w:r w:rsidRPr="00CC64F8">
        <w:t xml:space="preserve"> </w:t>
      </w:r>
    </w:p>
    <w:p w14:paraId="338B2393" w14:textId="17A06152" w:rsidR="00CC64F8" w:rsidRPr="00CC64F8" w:rsidRDefault="00CC64F8" w:rsidP="00CC64F8">
      <w:pPr>
        <w:numPr>
          <w:ilvl w:val="0"/>
          <w:numId w:val="11"/>
        </w:numPr>
      </w:pPr>
      <w:r>
        <w:t>Academics (4)</w:t>
      </w:r>
    </w:p>
    <w:p w14:paraId="7BE0910C" w14:textId="77777777" w:rsidR="00CC64F8" w:rsidRPr="00CC64F8" w:rsidRDefault="00CC64F8" w:rsidP="005A0CBD">
      <w:pPr>
        <w:numPr>
          <w:ilvl w:val="1"/>
          <w:numId w:val="11"/>
        </w:numPr>
        <w:spacing w:after="0"/>
      </w:pPr>
      <w:r w:rsidRPr="00CC64F8">
        <w:t>Bill Fox, Univ. of Tennessee</w:t>
      </w:r>
    </w:p>
    <w:p w14:paraId="7129779C" w14:textId="77777777" w:rsidR="00CC64F8" w:rsidRPr="00CC64F8" w:rsidRDefault="00CC64F8" w:rsidP="005A0CBD">
      <w:pPr>
        <w:numPr>
          <w:ilvl w:val="1"/>
          <w:numId w:val="11"/>
        </w:numPr>
        <w:spacing w:after="0"/>
      </w:pPr>
      <w:proofErr w:type="spellStart"/>
      <w:r w:rsidRPr="00CC64F8">
        <w:t>Orly</w:t>
      </w:r>
      <w:proofErr w:type="spellEnd"/>
      <w:r w:rsidRPr="00CC64F8">
        <w:t xml:space="preserve"> Mazur, Southern Methodist University Dedman School of Law </w:t>
      </w:r>
    </w:p>
    <w:p w14:paraId="5EDE9E6C" w14:textId="741E1204" w:rsidR="00CC64F8" w:rsidRDefault="00CC64F8" w:rsidP="005A0CBD">
      <w:pPr>
        <w:numPr>
          <w:ilvl w:val="1"/>
          <w:numId w:val="11"/>
        </w:numPr>
        <w:spacing w:after="0"/>
      </w:pPr>
      <w:r w:rsidRPr="00CC64F8">
        <w:t xml:space="preserve">Adam </w:t>
      </w:r>
      <w:proofErr w:type="spellStart"/>
      <w:r w:rsidRPr="00CC64F8">
        <w:t>Thimmesch</w:t>
      </w:r>
      <w:proofErr w:type="spellEnd"/>
      <w:r w:rsidRPr="00CC64F8">
        <w:t>, Nebraska College of Law</w:t>
      </w:r>
    </w:p>
    <w:p w14:paraId="40A61C50" w14:textId="6A4C01B6" w:rsidR="00174A25" w:rsidRPr="00CC64F8" w:rsidRDefault="00174A25" w:rsidP="005A0CBD">
      <w:pPr>
        <w:numPr>
          <w:ilvl w:val="1"/>
          <w:numId w:val="11"/>
        </w:numPr>
        <w:spacing w:after="0"/>
      </w:pPr>
      <w:r>
        <w:t>Hayes Holderness, University of Richmond School of Law</w:t>
      </w:r>
    </w:p>
    <w:p w14:paraId="1D706DBA" w14:textId="77777777" w:rsidR="00CC64F8" w:rsidRDefault="00CC64F8" w:rsidP="00CC64F8"/>
    <w:p w14:paraId="73F2EF8B" w14:textId="77777777" w:rsidR="00156F2B" w:rsidRPr="00156F2B" w:rsidRDefault="00156F2B" w:rsidP="00CC64F8">
      <w:pPr>
        <w:rPr>
          <w:b/>
          <w:bCs/>
          <w:u w:val="single"/>
        </w:rPr>
      </w:pPr>
      <w:r w:rsidRPr="00156F2B">
        <w:rPr>
          <w:b/>
          <w:bCs/>
          <w:u w:val="single"/>
        </w:rPr>
        <w:t>Stakeholder Questions</w:t>
      </w:r>
    </w:p>
    <w:p w14:paraId="3E0DBC4E" w14:textId="6930D960" w:rsidR="00652886" w:rsidRDefault="00652886" w:rsidP="00CC64F8">
      <w:r>
        <w:t xml:space="preserve">These are the basic questions we asked all stakeholders, with some modifications for states and </w:t>
      </w:r>
      <w:r w:rsidR="002A18D9">
        <w:t xml:space="preserve">the “Big Four” accounting firms that agreed to talk with </w:t>
      </w:r>
      <w:r w:rsidR="00115596">
        <w:t>MTC staff</w:t>
      </w:r>
      <w:r w:rsidR="002A18D9">
        <w:t>.</w:t>
      </w:r>
    </w:p>
    <w:p w14:paraId="3D6866A1" w14:textId="0F655623" w:rsidR="002A18D9" w:rsidRDefault="002A18D9" w:rsidP="00C605ED">
      <w:pPr>
        <w:pStyle w:val="ListParagraph"/>
        <w:numPr>
          <w:ilvl w:val="0"/>
          <w:numId w:val="15"/>
        </w:numPr>
        <w:spacing w:after="80"/>
        <w:ind w:left="1022" w:hanging="662"/>
        <w:contextualSpacing w:val="0"/>
      </w:pPr>
      <w:r>
        <w:t xml:space="preserve">Which states have the best / worst approach to taxation of digital items and why?  </w:t>
      </w:r>
    </w:p>
    <w:p w14:paraId="1B7D98AC" w14:textId="15AD76A4" w:rsidR="002A18D9" w:rsidRDefault="002A18D9" w:rsidP="00C605ED">
      <w:pPr>
        <w:pStyle w:val="ListParagraph"/>
        <w:numPr>
          <w:ilvl w:val="0"/>
          <w:numId w:val="15"/>
        </w:numPr>
        <w:spacing w:after="80"/>
        <w:ind w:left="1022" w:hanging="662"/>
        <w:contextualSpacing w:val="0"/>
      </w:pPr>
      <w:r>
        <w:t xml:space="preserve">Which states have the best guidance for taxpayers/CSPs?  </w:t>
      </w:r>
    </w:p>
    <w:p w14:paraId="1EBD8779" w14:textId="25A2310B" w:rsidR="002A18D9" w:rsidRDefault="002A18D9" w:rsidP="00C605ED">
      <w:pPr>
        <w:pStyle w:val="ListParagraph"/>
        <w:numPr>
          <w:ilvl w:val="0"/>
          <w:numId w:val="15"/>
        </w:numPr>
        <w:spacing w:after="80"/>
        <w:ind w:left="1022" w:hanging="662"/>
        <w:contextualSpacing w:val="0"/>
      </w:pPr>
      <w:r>
        <w:t xml:space="preserve">Which states have the best systems for taxation of digital products?  </w:t>
      </w:r>
    </w:p>
    <w:p w14:paraId="31412BAB" w14:textId="06451C62" w:rsidR="002A18D9" w:rsidRDefault="002A18D9" w:rsidP="00C605ED">
      <w:pPr>
        <w:pStyle w:val="ListParagraph"/>
        <w:numPr>
          <w:ilvl w:val="0"/>
          <w:numId w:val="15"/>
        </w:numPr>
        <w:spacing w:after="80"/>
        <w:ind w:left="1022" w:hanging="662"/>
        <w:contextualSpacing w:val="0"/>
      </w:pPr>
      <w:r>
        <w:t xml:space="preserve">How much of a problem is the fear of qui tam or other suits for sourcing/charging the wrong rate?   </w:t>
      </w:r>
    </w:p>
    <w:p w14:paraId="6E8BCB34" w14:textId="4CA8D9FF" w:rsidR="002A18D9" w:rsidRDefault="002A18D9" w:rsidP="00C605ED">
      <w:pPr>
        <w:pStyle w:val="ListParagraph"/>
        <w:numPr>
          <w:ilvl w:val="0"/>
          <w:numId w:val="15"/>
        </w:numPr>
        <w:spacing w:after="80"/>
        <w:ind w:left="1022" w:hanging="662"/>
        <w:contextualSpacing w:val="0"/>
      </w:pPr>
      <w:r>
        <w:t xml:space="preserve">Would it make things simpler if states would allow taxpayers to “build in” the cost of the tax, rather than charging it on the bill or invoice, so that the tax would work more like a gross receipts tax?  </w:t>
      </w:r>
    </w:p>
    <w:p w14:paraId="737448B2" w14:textId="24192210" w:rsidR="002A18D9" w:rsidRDefault="002A18D9" w:rsidP="00C605ED">
      <w:pPr>
        <w:pStyle w:val="ListParagraph"/>
        <w:numPr>
          <w:ilvl w:val="0"/>
          <w:numId w:val="15"/>
        </w:numPr>
        <w:spacing w:after="80"/>
        <w:ind w:left="1022" w:hanging="662"/>
        <w:contextualSpacing w:val="0"/>
      </w:pPr>
      <w:r>
        <w:t xml:space="preserve">In addition to the concerns that states’ taxation of digital products lacks uniformity (definitions, sourcing, etc.) and likely may be over-reliant on “B to B” transactions, please identify any other major concerns states’ taxation of digital products and be as specific as possible.  </w:t>
      </w:r>
    </w:p>
    <w:p w14:paraId="09BFD5E5" w14:textId="763AB1E9" w:rsidR="002A18D9" w:rsidRDefault="002A18D9" w:rsidP="00C605ED">
      <w:pPr>
        <w:pStyle w:val="ListParagraph"/>
        <w:numPr>
          <w:ilvl w:val="0"/>
          <w:numId w:val="15"/>
        </w:numPr>
        <w:spacing w:after="80"/>
        <w:ind w:left="1022" w:hanging="662"/>
        <w:contextualSpacing w:val="0"/>
      </w:pPr>
      <w:r>
        <w:t xml:space="preserve">How would you approach the taxation of digital products irrespective of what states are currently doing? What are your specific suggestions on how such taxes should be structured, imposed, and administered?  </w:t>
      </w:r>
    </w:p>
    <w:p w14:paraId="6307919E" w14:textId="6740CEAB" w:rsidR="002A18D9" w:rsidRDefault="002A18D9" w:rsidP="00C605ED">
      <w:pPr>
        <w:pStyle w:val="ListParagraph"/>
        <w:numPr>
          <w:ilvl w:val="0"/>
          <w:numId w:val="15"/>
        </w:numPr>
        <w:spacing w:after="80"/>
        <w:ind w:left="1022" w:hanging="662"/>
        <w:contextualSpacing w:val="0"/>
      </w:pPr>
      <w:r>
        <w:t xml:space="preserve">What issues relating to the taxation of digital products should the MTC be focusing on and in what priority?  </w:t>
      </w:r>
    </w:p>
    <w:p w14:paraId="025FCBCA" w14:textId="7087EC08" w:rsidR="002A18D9" w:rsidRDefault="002A18D9" w:rsidP="00C605ED">
      <w:pPr>
        <w:pStyle w:val="ListParagraph"/>
        <w:numPr>
          <w:ilvl w:val="0"/>
          <w:numId w:val="15"/>
        </w:numPr>
        <w:spacing w:after="80"/>
        <w:ind w:left="1022" w:hanging="662"/>
        <w:contextualSpacing w:val="0"/>
      </w:pPr>
      <w:r>
        <w:t xml:space="preserve">How should the MTC approach this uniformity project in order to get maximum positive input from interested parties (in particular private sector/industry participants) to produce the best possible end result that states can use for sound policy guidance?   </w:t>
      </w:r>
    </w:p>
    <w:p w14:paraId="70B1F5C6" w14:textId="0AE808B5" w:rsidR="002A18D9" w:rsidRDefault="002A18D9" w:rsidP="00C605ED">
      <w:pPr>
        <w:pStyle w:val="ListParagraph"/>
        <w:numPr>
          <w:ilvl w:val="0"/>
          <w:numId w:val="15"/>
        </w:numPr>
        <w:spacing w:after="80"/>
        <w:ind w:left="1022" w:hanging="662"/>
        <w:contextualSpacing w:val="0"/>
      </w:pPr>
      <w:r>
        <w:t xml:space="preserve">What would you like to see as the end result for this project? </w:t>
      </w:r>
    </w:p>
    <w:p w14:paraId="4B4A1C87" w14:textId="4B0D9B0F" w:rsidR="002A18D9" w:rsidRDefault="002A18D9" w:rsidP="00C605ED">
      <w:pPr>
        <w:pStyle w:val="ListParagraph"/>
        <w:numPr>
          <w:ilvl w:val="0"/>
          <w:numId w:val="15"/>
        </w:numPr>
        <w:spacing w:after="80"/>
        <w:ind w:left="1022" w:hanging="662"/>
        <w:contextualSpacing w:val="0"/>
      </w:pPr>
      <w:r>
        <w:t xml:space="preserve">Any other thoughts for us / the Uniformity Committee?  </w:t>
      </w:r>
    </w:p>
    <w:p w14:paraId="7B217B6E" w14:textId="31A207AF" w:rsidR="002A18D9" w:rsidRDefault="002A18D9" w:rsidP="00C605ED">
      <w:pPr>
        <w:pStyle w:val="ListParagraph"/>
        <w:numPr>
          <w:ilvl w:val="0"/>
          <w:numId w:val="15"/>
        </w:numPr>
        <w:ind w:left="1022" w:hanging="662"/>
        <w:contextualSpacing w:val="0"/>
      </w:pPr>
      <w:r>
        <w:t>Who else should we be talking to?</w:t>
      </w:r>
    </w:p>
    <w:p w14:paraId="40256464" w14:textId="3CE31F68" w:rsidR="00E324C9" w:rsidRPr="005843E0" w:rsidRDefault="00156F2B" w:rsidP="00E324C9">
      <w:pPr>
        <w:rPr>
          <w:b/>
          <w:bCs/>
          <w:u w:val="single"/>
        </w:rPr>
      </w:pPr>
      <w:r w:rsidRPr="005843E0">
        <w:rPr>
          <w:b/>
          <w:bCs/>
          <w:u w:val="single"/>
        </w:rPr>
        <w:t xml:space="preserve">Summary of Stakeholder </w:t>
      </w:r>
      <w:r w:rsidR="005843E0" w:rsidRPr="005843E0">
        <w:rPr>
          <w:b/>
          <w:bCs/>
          <w:u w:val="single"/>
        </w:rPr>
        <w:t>Responses</w:t>
      </w:r>
    </w:p>
    <w:p w14:paraId="4BCFDC6C" w14:textId="4D8870C5" w:rsidR="005843E0" w:rsidRDefault="00A35E14" w:rsidP="00E324C9">
      <w:r>
        <w:t xml:space="preserve">As reported at the April </w:t>
      </w:r>
      <w:r w:rsidR="00FF1523">
        <w:t xml:space="preserve">20, 2022 Uniformity Committee </w:t>
      </w:r>
      <w:r w:rsidR="00115596">
        <w:t>m</w:t>
      </w:r>
      <w:r w:rsidR="00FF1523">
        <w:t xml:space="preserve">eeting, here are some general takeaways </w:t>
      </w:r>
      <w:r w:rsidR="00115596">
        <w:t xml:space="preserve">from the interviews </w:t>
      </w:r>
      <w:r w:rsidR="00FF1523">
        <w:t>in no particular order.</w:t>
      </w:r>
    </w:p>
    <w:p w14:paraId="42C2634E" w14:textId="77777777" w:rsidR="00FF1523" w:rsidRPr="00FF1523" w:rsidRDefault="00FF1523" w:rsidP="00FF1523">
      <w:pPr>
        <w:numPr>
          <w:ilvl w:val="0"/>
          <w:numId w:val="12"/>
        </w:numPr>
      </w:pPr>
      <w:r w:rsidRPr="00FF1523">
        <w:rPr>
          <w:u w:val="single"/>
        </w:rPr>
        <w:t>There is general support for the project</w:t>
      </w:r>
      <w:r w:rsidRPr="00FF1523">
        <w:t xml:space="preserve">: The majority of people are supportive of this project and can see value from the MTC proceeding to help provide information and guidance to policymakers, taxpayers, and tax administrators. In only one interview were we told not to move forward. </w:t>
      </w:r>
    </w:p>
    <w:p w14:paraId="36686D65" w14:textId="77777777" w:rsidR="00FF1523" w:rsidRPr="00FF1523" w:rsidRDefault="00FF1523" w:rsidP="00FF1523">
      <w:pPr>
        <w:numPr>
          <w:ilvl w:val="0"/>
          <w:numId w:val="12"/>
        </w:numPr>
      </w:pPr>
      <w:r w:rsidRPr="00FF1523">
        <w:rPr>
          <w:u w:val="single"/>
        </w:rPr>
        <w:lastRenderedPageBreak/>
        <w:t>Be mindful of the Streamlined states</w:t>
      </w:r>
      <w:r w:rsidRPr="00FF1523">
        <w:t xml:space="preserve">: We are mindful of what the Streamlined states are doing with respect to taxation of digital products, particularly their current project on sourcing. Richard Cram is monitoring their activities. </w:t>
      </w:r>
    </w:p>
    <w:p w14:paraId="5F398F29" w14:textId="77777777" w:rsidR="00FF1523" w:rsidRPr="00FF1523" w:rsidRDefault="00FF1523" w:rsidP="00FF1523">
      <w:pPr>
        <w:numPr>
          <w:ilvl w:val="0"/>
          <w:numId w:val="12"/>
        </w:numPr>
      </w:pPr>
      <w:r w:rsidRPr="00FF1523">
        <w:rPr>
          <w:u w:val="single"/>
        </w:rPr>
        <w:t>B to B transactions</w:t>
      </w:r>
      <w:r w:rsidRPr="00FF1523">
        <w:t>: Attention is needed to bundling, multiple points of use, and related issues; eliminating “B to B” transactions could simplify taxation issues. Iowa has statutory language.</w:t>
      </w:r>
    </w:p>
    <w:p w14:paraId="3E35FF12" w14:textId="77777777" w:rsidR="00FF1523" w:rsidRPr="00FF1523" w:rsidRDefault="00FF1523" w:rsidP="00FF1523">
      <w:pPr>
        <w:numPr>
          <w:ilvl w:val="0"/>
          <w:numId w:val="12"/>
        </w:numPr>
      </w:pPr>
      <w:r w:rsidRPr="00FF1523">
        <w:rPr>
          <w:u w:val="single"/>
        </w:rPr>
        <w:t>Definitions needed</w:t>
      </w:r>
      <w:r w:rsidRPr="00FF1523">
        <w:t>: Some are concerned that clear definitions will lead to more taxation of digital goods and services, but many people said clear definitions were important.</w:t>
      </w:r>
    </w:p>
    <w:p w14:paraId="388733F3" w14:textId="77777777" w:rsidR="00FF1523" w:rsidRPr="00FF1523" w:rsidRDefault="00FF1523" w:rsidP="00FF1523">
      <w:pPr>
        <w:numPr>
          <w:ilvl w:val="0"/>
          <w:numId w:val="12"/>
        </w:numPr>
      </w:pPr>
      <w:r w:rsidRPr="00FF1523">
        <w:rPr>
          <w:u w:val="single"/>
        </w:rPr>
        <w:t>Broad versus piecemeal approach</w:t>
      </w:r>
      <w:r w:rsidRPr="00FF1523">
        <w:t>: Washington state is a good model among the states as to how to tax digital items given the broad definitions and clear guidance. In contrast, and for example, trying to navigate how to tax software depending on how it is sold (TPP vs. SaaS vs. downloaded) is a burden and leads to greater risk of getting it wrong.</w:t>
      </w:r>
    </w:p>
    <w:p w14:paraId="7539C64D" w14:textId="77777777" w:rsidR="00115596" w:rsidRPr="00115596" w:rsidRDefault="00115596" w:rsidP="00115596">
      <w:pPr>
        <w:numPr>
          <w:ilvl w:val="0"/>
          <w:numId w:val="12"/>
        </w:numPr>
      </w:pPr>
      <w:r w:rsidRPr="00115596">
        <w:rPr>
          <w:u w:val="single"/>
        </w:rPr>
        <w:t>Sales and use versus other tax type</w:t>
      </w:r>
      <w:r w:rsidRPr="00115596">
        <w:t>: Taxing digital goods and services through a sales and use tax is the best way to proceed; creating a new or separate tax, such as a gross receipts tax, adds complexity to the overall tax system and has its own problems / doesn’t solve other problems, such as not allowing for exemptions based on purchaser status and requiring sellers to still determine proper tax rates.</w:t>
      </w:r>
    </w:p>
    <w:p w14:paraId="447962D2" w14:textId="77777777" w:rsidR="00115596" w:rsidRPr="00115596" w:rsidRDefault="00115596" w:rsidP="00115596">
      <w:pPr>
        <w:numPr>
          <w:ilvl w:val="0"/>
          <w:numId w:val="12"/>
        </w:numPr>
      </w:pPr>
      <w:r w:rsidRPr="00115596">
        <w:rPr>
          <w:u w:val="single"/>
        </w:rPr>
        <w:t>Legislation versus administrative guidance</w:t>
      </w:r>
      <w:r w:rsidRPr="00115596">
        <w:t>: There is a preference for state legislatures to address taxation of digital items rather than through administrative guidance.</w:t>
      </w:r>
    </w:p>
    <w:p w14:paraId="7FD0ED06" w14:textId="77777777" w:rsidR="00115596" w:rsidRPr="00115596" w:rsidRDefault="00115596" w:rsidP="00115596">
      <w:pPr>
        <w:numPr>
          <w:ilvl w:val="0"/>
          <w:numId w:val="12"/>
        </w:numPr>
      </w:pPr>
      <w:r w:rsidRPr="00115596">
        <w:rPr>
          <w:u w:val="single"/>
        </w:rPr>
        <w:t>Whitepaper versus model statute</w:t>
      </w:r>
      <w:r w:rsidRPr="00115596">
        <w:t xml:space="preserve">: Most people liked the idea of developing a whitepaper / best practices for policymakers to use as guidance. Fewer people asked for model statutory language. </w:t>
      </w:r>
    </w:p>
    <w:p w14:paraId="0D21FE1D" w14:textId="77777777" w:rsidR="00115596" w:rsidRPr="00115596" w:rsidRDefault="00115596" w:rsidP="00115596">
      <w:pPr>
        <w:numPr>
          <w:ilvl w:val="0"/>
          <w:numId w:val="12"/>
        </w:numPr>
      </w:pPr>
      <w:r w:rsidRPr="00115596">
        <w:rPr>
          <w:u w:val="single"/>
        </w:rPr>
        <w:t>Focus on today versus the future</w:t>
      </w:r>
      <w:r w:rsidRPr="00115596">
        <w:t>: Stakeholders recommended focusing on the digital goods that exist now (instead of trying to look ahead) and making rules that are broad enough to cover future innovation.</w:t>
      </w:r>
    </w:p>
    <w:p w14:paraId="7E9D7BBD" w14:textId="77777777" w:rsidR="00FF1523" w:rsidRDefault="00FF1523" w:rsidP="00E324C9"/>
    <w:p w14:paraId="5D892AD2" w14:textId="723C91BA" w:rsidR="00E324C9" w:rsidRDefault="00E324C9" w:rsidP="00E324C9"/>
    <w:p w14:paraId="18AF8BCD" w14:textId="2192FB6F" w:rsidR="00E324C9" w:rsidRDefault="00E324C9" w:rsidP="00E324C9"/>
    <w:p w14:paraId="1EC4A180" w14:textId="78746C9C" w:rsidR="00E324C9" w:rsidRDefault="00E324C9" w:rsidP="00E324C9"/>
    <w:p w14:paraId="257796F5" w14:textId="77E6F943" w:rsidR="00E324C9" w:rsidRDefault="00E324C9" w:rsidP="00E324C9"/>
    <w:p w14:paraId="72F56B62" w14:textId="4C258C1B" w:rsidR="00E324C9" w:rsidRDefault="00E324C9" w:rsidP="00E324C9"/>
    <w:p w14:paraId="577CCB3D" w14:textId="698DBE6C" w:rsidR="00E324C9" w:rsidRDefault="00E324C9" w:rsidP="00E324C9"/>
    <w:p w14:paraId="7DCF1836" w14:textId="77777777" w:rsidR="00E324C9" w:rsidRPr="00E324C9" w:rsidRDefault="00E324C9" w:rsidP="00E324C9"/>
    <w:sectPr w:rsidR="00E324C9" w:rsidRPr="00E324C9" w:rsidSect="00D328E4">
      <w:headerReference w:type="default" r:id="rId14"/>
      <w:pgSz w:w="12240" w:h="15840" w:code="1"/>
      <w:pgMar w:top="1152" w:right="1008" w:bottom="720" w:left="1008"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317A" w14:textId="77777777" w:rsidR="003619F3" w:rsidRDefault="003619F3" w:rsidP="00C8001E">
      <w:pPr>
        <w:spacing w:after="0"/>
      </w:pPr>
      <w:r>
        <w:separator/>
      </w:r>
    </w:p>
  </w:endnote>
  <w:endnote w:type="continuationSeparator" w:id="0">
    <w:p w14:paraId="64C937B3" w14:textId="77777777" w:rsidR="003619F3" w:rsidRDefault="003619F3" w:rsidP="00C8001E">
      <w:pPr>
        <w:spacing w:after="0"/>
      </w:pPr>
      <w:r>
        <w:continuationSeparator/>
      </w:r>
    </w:p>
  </w:endnote>
  <w:endnote w:type="continuationNotice" w:id="1">
    <w:p w14:paraId="1959EBE9" w14:textId="77777777" w:rsidR="003619F3" w:rsidRDefault="003619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Nova Light">
    <w:charset w:val="00"/>
    <w:family w:val="roman"/>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5E64" w14:textId="77777777" w:rsidR="003619F3" w:rsidRDefault="003619F3" w:rsidP="00C8001E">
      <w:pPr>
        <w:spacing w:after="0"/>
      </w:pPr>
      <w:r>
        <w:separator/>
      </w:r>
    </w:p>
  </w:footnote>
  <w:footnote w:type="continuationSeparator" w:id="0">
    <w:p w14:paraId="522D1E09" w14:textId="77777777" w:rsidR="003619F3" w:rsidRDefault="003619F3" w:rsidP="00C8001E">
      <w:pPr>
        <w:spacing w:after="0"/>
      </w:pPr>
      <w:r>
        <w:continuationSeparator/>
      </w:r>
    </w:p>
  </w:footnote>
  <w:footnote w:type="continuationNotice" w:id="1">
    <w:p w14:paraId="42B70953" w14:textId="77777777" w:rsidR="003619F3" w:rsidRDefault="003619F3">
      <w:pPr>
        <w:spacing w:after="0"/>
      </w:pPr>
    </w:p>
  </w:footnote>
  <w:footnote w:id="2">
    <w:p w14:paraId="2FF6E906" w14:textId="4DC2F5A3" w:rsidR="00AD36EE" w:rsidRDefault="00AD36EE" w:rsidP="00174A25">
      <w:pPr>
        <w:pStyle w:val="Footnote"/>
      </w:pPr>
      <w:r w:rsidRPr="00685851">
        <w:rPr>
          <w:rStyle w:val="FootnoteReference"/>
        </w:rPr>
        <w:footnoteRef/>
      </w:r>
      <w:r>
        <w:t xml:space="preserve"> </w:t>
      </w:r>
      <w:r w:rsidRPr="000B46BE">
        <w:t xml:space="preserve">John L. Mikesell and Sharon N. Kioko, </w:t>
      </w:r>
      <w:r w:rsidR="003446DF">
        <w:t>“</w:t>
      </w:r>
      <w:r w:rsidRPr="000B46BE">
        <w:t>The Retail Sales Tax in a New Economy,</w:t>
      </w:r>
      <w:r w:rsidR="003446DF">
        <w:t>”</w:t>
      </w:r>
      <w:r w:rsidRPr="000B46BE">
        <w:t xml:space="preserve"> presented at the Municipal Finance Conference, July 16-17, 2018, available here: https://www.brookings.edu/wp-content/uploads/2018/04/Mikesell-Kioko1.pdf, (hereafter “Mikesell”)</w:t>
      </w:r>
      <w:r>
        <w:t>, p. 3</w:t>
      </w:r>
      <w:r w:rsidRPr="000B46BE">
        <w:t xml:space="preserve">.  </w:t>
      </w:r>
      <w:r>
        <w:t xml:space="preserve"> </w:t>
      </w:r>
    </w:p>
  </w:footnote>
  <w:footnote w:id="3">
    <w:p w14:paraId="1F0747CB" w14:textId="1C575C46" w:rsidR="00D645DA" w:rsidRDefault="00D645DA" w:rsidP="00174A25">
      <w:pPr>
        <w:pStyle w:val="Footnote"/>
      </w:pPr>
      <w:r w:rsidRPr="00685851">
        <w:rPr>
          <w:rStyle w:val="FootnoteReference"/>
        </w:rPr>
        <w:footnoteRef/>
      </w:r>
      <w:r>
        <w:t xml:space="preserve"> Liz Emanuel and Richard Borean, “When Did Your State Adopt Its Sales Tax?,” July 11, 2014, available here:  </w:t>
      </w:r>
      <w:hyperlink r:id="rId1" w:anchor=":~:text=The%20next%20decade%20brought%20twelve,without%20a%20statewide%20sales%20tax" w:history="1">
        <w:r>
          <w:rPr>
            <w:rStyle w:val="Hyperlink"/>
          </w:rPr>
          <w:t>https://taxfoundation.org/when-did-your-state-adopt-its-sales-tax/#:~:text=The%20next%20decade%20brought%20twelve,without%20a%20statewide%20sales%20tax</w:t>
        </w:r>
      </w:hyperlink>
      <w:r w:rsidR="00B60C41">
        <w:t>, (hereafter “Emanuel”).</w:t>
      </w:r>
    </w:p>
  </w:footnote>
  <w:footnote w:id="4">
    <w:p w14:paraId="1966913F" w14:textId="77777777" w:rsidR="00D645DA" w:rsidRDefault="00D645DA" w:rsidP="00174A25">
      <w:pPr>
        <w:pStyle w:val="Footnote"/>
      </w:pPr>
      <w:r w:rsidRPr="00685851">
        <w:rPr>
          <w:rStyle w:val="FootnoteReference"/>
        </w:rPr>
        <w:footnoteRef/>
      </w:r>
      <w:r>
        <w:t xml:space="preserve"> Hellerstein, Hellerstein &amp; Appleby, State Taxation, Thomson Reuters/Tax &amp; Accounting, 3rd ed. 2001 &amp; Supp. 2022-1, ¶12.05. </w:t>
      </w:r>
    </w:p>
  </w:footnote>
  <w:footnote w:id="5">
    <w:p w14:paraId="5283CE2C" w14:textId="2AAF2539" w:rsidR="00F54927" w:rsidRDefault="00F54927" w:rsidP="00174A25">
      <w:pPr>
        <w:pStyle w:val="Footnote"/>
      </w:pPr>
      <w:r w:rsidRPr="00685851">
        <w:rPr>
          <w:rStyle w:val="FootnoteReference"/>
        </w:rPr>
        <w:footnoteRef/>
      </w:r>
      <w:r>
        <w:t xml:space="preserve"> </w:t>
      </w:r>
      <w:r w:rsidR="009666A4">
        <w:t>358 U.S. 450.</w:t>
      </w:r>
    </w:p>
  </w:footnote>
  <w:footnote w:id="6">
    <w:p w14:paraId="141A272A" w14:textId="77777777" w:rsidR="00C925AA" w:rsidRDefault="00C925AA" w:rsidP="00174A25">
      <w:pPr>
        <w:pStyle w:val="Footnote"/>
      </w:pPr>
      <w:r w:rsidRPr="00685851">
        <w:rPr>
          <w:rStyle w:val="FootnoteReference"/>
        </w:rPr>
        <w:footnoteRef/>
      </w:r>
      <w:r>
        <w:t xml:space="preserve"> See Jerome R. Hellerstein, “Federal Legislation on State Taxation of Interstate Commerce: Key Areas of Controversy,” William &amp;</w:t>
      </w:r>
    </w:p>
    <w:p w14:paraId="7DD077B7" w14:textId="5952FF30" w:rsidR="00C925AA" w:rsidRDefault="00C925AA" w:rsidP="00174A25">
      <w:pPr>
        <w:pStyle w:val="Footnote"/>
      </w:pPr>
      <w:r>
        <w:t xml:space="preserve">Mary Annual Tax Conference, 626 (1966), available here:  </w:t>
      </w:r>
      <w:hyperlink r:id="rId2" w:history="1">
        <w:r w:rsidRPr="003216AB">
          <w:rPr>
            <w:rStyle w:val="Hyperlink"/>
          </w:rPr>
          <w:t>https://scholarship.law.wm.edu/cgi/viewcontent.cgi?article=1630&amp;context=tax</w:t>
        </w:r>
      </w:hyperlink>
      <w:r>
        <w:t xml:space="preserve"> . </w:t>
      </w:r>
    </w:p>
  </w:footnote>
  <w:footnote w:id="7">
    <w:p w14:paraId="093AA836" w14:textId="0A0EDCC3" w:rsidR="00B841EC" w:rsidRDefault="00B841EC" w:rsidP="00174A25">
      <w:pPr>
        <w:pStyle w:val="Footnote"/>
      </w:pPr>
      <w:r w:rsidRPr="00685851">
        <w:rPr>
          <w:rStyle w:val="FootnoteReference"/>
        </w:rPr>
        <w:footnoteRef/>
      </w:r>
      <w:r>
        <w:t xml:space="preserve"> </w:t>
      </w:r>
      <w:r w:rsidR="00C305D3">
        <w:t xml:space="preserve">Article V provides that purchasers liable for a use tax on tangible personal property are entitled to full credit for the combined amount or amounts of legally imposed sales or use taxes paid with respect to the same property to another </w:t>
      </w:r>
      <w:r w:rsidR="00CC7AB2">
        <w:t>s</w:t>
      </w:r>
      <w:r w:rsidR="00C305D3">
        <w:t xml:space="preserve">tate and any subdivision thereof. It further provides that </w:t>
      </w:r>
      <w:r w:rsidR="00CC7AB2">
        <w:t>w</w:t>
      </w:r>
      <w:r w:rsidR="00C305D3">
        <w:t xml:space="preserve">henever a vendor receives and accepts in good faith from a purchaser a resale or other exemption certificate </w:t>
      </w:r>
      <w:r w:rsidR="00CC7AB2">
        <w:t>of a s</w:t>
      </w:r>
      <w:r w:rsidR="00C305D3">
        <w:t xml:space="preserve">tate or subdivision taxing author </w:t>
      </w:r>
      <w:r w:rsidR="00CC7AB2">
        <w:t xml:space="preserve">the seller will be </w:t>
      </w:r>
      <w:r w:rsidR="00C305D3">
        <w:t>relieved of liability for a sales or use tax with respect to th</w:t>
      </w:r>
      <w:r w:rsidR="00CC7AB2">
        <w:t>at</w:t>
      </w:r>
      <w:r w:rsidR="00C305D3">
        <w:t xml:space="preserve"> transaction.</w:t>
      </w:r>
      <w:r w:rsidR="00CC7AB2">
        <w:t xml:space="preserve"> </w:t>
      </w:r>
      <w:r>
        <w:t>See the Compact</w:t>
      </w:r>
      <w:r w:rsidR="00CC7AB2">
        <w:t xml:space="preserve">, available here: </w:t>
      </w:r>
      <w:r>
        <w:t xml:space="preserve"> </w:t>
      </w:r>
      <w:hyperlink r:id="rId3" w:anchor="Article_V" w:history="1">
        <w:r w:rsidR="00CC7AB2" w:rsidRPr="003216AB">
          <w:rPr>
            <w:rStyle w:val="Hyperlink"/>
          </w:rPr>
          <w:t>https://</w:t>
        </w:r>
        <w:r w:rsidR="00CC7AB2" w:rsidRPr="00CC7AB2">
          <w:rPr>
            <w:rStyle w:val="Hyperlink"/>
          </w:rPr>
          <w:t>www</w:t>
        </w:r>
        <w:r w:rsidR="00CC7AB2" w:rsidRPr="003216AB">
          <w:rPr>
            <w:rStyle w:val="Hyperlink"/>
          </w:rPr>
          <w:t>.mtc.gov/The-Commission/Multistate-Tax-Compact#Article_V</w:t>
        </w:r>
      </w:hyperlink>
      <w:r w:rsidR="00CC7AB2">
        <w:t xml:space="preserve">. </w:t>
      </w:r>
    </w:p>
  </w:footnote>
  <w:footnote w:id="8">
    <w:p w14:paraId="17F28D5A" w14:textId="77777777" w:rsidR="00D645DA" w:rsidRDefault="00D645DA" w:rsidP="00174A25">
      <w:pPr>
        <w:pStyle w:val="Footnote"/>
      </w:pPr>
      <w:r w:rsidRPr="00685851">
        <w:rPr>
          <w:rStyle w:val="FootnoteReference"/>
        </w:rPr>
        <w:footnoteRef/>
      </w:r>
      <w:r>
        <w:t xml:space="preserve"> </w:t>
      </w:r>
      <w:r w:rsidRPr="00447745">
        <w:t>386 U.S. 753</w:t>
      </w:r>
      <w:r>
        <w:t>.</w:t>
      </w:r>
    </w:p>
  </w:footnote>
  <w:footnote w:id="9">
    <w:p w14:paraId="4F257BE7" w14:textId="77777777" w:rsidR="00D645DA" w:rsidRDefault="00D645DA" w:rsidP="00174A25">
      <w:pPr>
        <w:pStyle w:val="Footnote"/>
      </w:pPr>
      <w:r w:rsidRPr="00685851">
        <w:rPr>
          <w:rStyle w:val="FootnoteReference"/>
        </w:rPr>
        <w:footnoteRef/>
      </w:r>
      <w:r>
        <w:t xml:space="preserve"> </w:t>
      </w:r>
      <w:r w:rsidRPr="00293E79">
        <w:t>504 U.S. 298</w:t>
      </w:r>
      <w:r>
        <w:t>.</w:t>
      </w:r>
    </w:p>
  </w:footnote>
  <w:footnote w:id="10">
    <w:p w14:paraId="6C0F2E53" w14:textId="7A621328" w:rsidR="00D645DA" w:rsidRDefault="00D645DA" w:rsidP="00174A25">
      <w:pPr>
        <w:pStyle w:val="Footnote"/>
      </w:pPr>
      <w:r w:rsidRPr="00685851">
        <w:rPr>
          <w:rStyle w:val="FootnoteReference"/>
        </w:rPr>
        <w:footnoteRef/>
      </w:r>
      <w:r>
        <w:t xml:space="preserve"> A number of experts have commented on the influence that the lack of tax jurisdiction over out-of-state sellers had on policy-makers decisions about whether or not to expand the tax base. See, for example, </w:t>
      </w:r>
      <w:bookmarkStart w:id="0" w:name="_Hlk106705338"/>
      <w:r>
        <w:t xml:space="preserve">Mikesell, </w:t>
      </w:r>
      <w:r w:rsidRPr="00733686">
        <w:t xml:space="preserve">supra FN </w:t>
      </w:r>
      <w:r w:rsidR="00733686">
        <w:t>1</w:t>
      </w:r>
      <w:r w:rsidRPr="00733686">
        <w:t>, .</w:t>
      </w:r>
      <w:r>
        <w:t xml:space="preserve">  </w:t>
      </w:r>
      <w:bookmarkEnd w:id="0"/>
    </w:p>
  </w:footnote>
  <w:footnote w:id="11">
    <w:p w14:paraId="1F0BA0E2" w14:textId="3BF40B5C" w:rsidR="009B1EFA" w:rsidRDefault="009B1EFA" w:rsidP="00174A25">
      <w:pPr>
        <w:pStyle w:val="Footnote"/>
      </w:pPr>
      <w:r w:rsidRPr="00685851">
        <w:rPr>
          <w:rStyle w:val="FootnoteReference"/>
        </w:rPr>
        <w:footnoteRef/>
      </w:r>
      <w:r>
        <w:t xml:space="preserve"> </w:t>
      </w:r>
      <w:r w:rsidRPr="009B1EFA">
        <w:t>See 47 U.S.C. §151 note.</w:t>
      </w:r>
    </w:p>
  </w:footnote>
  <w:footnote w:id="12">
    <w:p w14:paraId="52D604DB" w14:textId="19500343" w:rsidR="006E7686" w:rsidRDefault="006E7686" w:rsidP="00174A25">
      <w:pPr>
        <w:pStyle w:val="Footnote"/>
      </w:pPr>
      <w:r w:rsidRPr="00685851">
        <w:rPr>
          <w:rStyle w:val="FootnoteReference"/>
        </w:rPr>
        <w:footnoteRef/>
      </w:r>
      <w:r>
        <w:t xml:space="preserve"> See MTC Resolution </w:t>
      </w:r>
      <w:r w:rsidR="00464956">
        <w:t>No. 02-01, Improving State Sales Taxes to Achieve Fairness and Simplicity;  Resolution No. 01-10, Resolution Supporting the Proposals and Work of the Streamlined Sales Tax Project;</w:t>
      </w:r>
      <w:r w:rsidR="00464956" w:rsidRPr="00464956">
        <w:t xml:space="preserve"> </w:t>
      </w:r>
      <w:r w:rsidR="002428FE">
        <w:t xml:space="preserve">and </w:t>
      </w:r>
      <w:r w:rsidR="00464956">
        <w:t>Resolution No. 00-2,</w:t>
      </w:r>
      <w:r w:rsidR="002428FE">
        <w:t xml:space="preserve"> and</w:t>
      </w:r>
      <w:r w:rsidR="00464956">
        <w:t xml:space="preserve"> Resolution in Support of the Streamlined Sales Tax Project; available here: </w:t>
      </w:r>
      <w:hyperlink r:id="rId4" w:history="1">
        <w:r w:rsidR="00B12323" w:rsidRPr="003216AB">
          <w:rPr>
            <w:rStyle w:val="Hyperlink"/>
          </w:rPr>
          <w:t>https://www.mtc.gov/The-Commission/Policy-Statements-Resolutions</w:t>
        </w:r>
      </w:hyperlink>
      <w:r w:rsidR="00B12323">
        <w:t xml:space="preserve">. </w:t>
      </w:r>
    </w:p>
  </w:footnote>
  <w:footnote w:id="13">
    <w:p w14:paraId="1D710517" w14:textId="77777777" w:rsidR="00D645DA" w:rsidRDefault="00D645DA" w:rsidP="00174A25">
      <w:pPr>
        <w:pStyle w:val="Footnote"/>
      </w:pPr>
      <w:r w:rsidRPr="00685851">
        <w:rPr>
          <w:rStyle w:val="FootnoteReference"/>
        </w:rPr>
        <w:footnoteRef/>
      </w:r>
      <w:r>
        <w:t xml:space="preserve"> Congressional Budget Office Cost Estimate </w:t>
      </w:r>
      <w:r w:rsidRPr="00A64E31">
        <w:t>H.R. 1860</w:t>
      </w:r>
      <w:r>
        <w:t xml:space="preserve">, </w:t>
      </w:r>
      <w:r w:rsidRPr="00A64E31">
        <w:t>Digital Goods and Service Tax Fairness Act of 2012</w:t>
      </w:r>
      <w:r>
        <w:t xml:space="preserve">, Sept. 14, 2012, available here: </w:t>
      </w:r>
      <w:hyperlink r:id="rId5" w:history="1">
        <w:r w:rsidRPr="003216AB">
          <w:rPr>
            <w:rStyle w:val="Hyperlink"/>
          </w:rPr>
          <w:t>https://www.cbo.gov/system/files/112th-congress-2011-2012/costestimate/hr1860.pdf</w:t>
        </w:r>
      </w:hyperlink>
      <w:r>
        <w:t xml:space="preserve">. </w:t>
      </w:r>
    </w:p>
  </w:footnote>
  <w:footnote w:id="14">
    <w:p w14:paraId="64BB1553" w14:textId="43F8CE97" w:rsidR="00675CC8" w:rsidRPr="00675CC8" w:rsidRDefault="00675CC8">
      <w:pPr>
        <w:pStyle w:val="FootnoteText"/>
        <w:rPr>
          <w:sz w:val="16"/>
          <w:szCs w:val="16"/>
        </w:rPr>
      </w:pPr>
      <w:r w:rsidRPr="00685851">
        <w:rPr>
          <w:rStyle w:val="FootnoteReference"/>
        </w:rPr>
        <w:footnoteRef/>
      </w:r>
      <w:r w:rsidRPr="00675CC8">
        <w:rPr>
          <w:sz w:val="16"/>
          <w:szCs w:val="16"/>
        </w:rPr>
        <w:t xml:space="preserve"> 138 S.Ct. 2080, 585 U.S. __ (2018).</w:t>
      </w:r>
    </w:p>
  </w:footnote>
  <w:footnote w:id="15">
    <w:p w14:paraId="13DCFC3B" w14:textId="40993714" w:rsidR="00D645DA" w:rsidRDefault="00D645DA" w:rsidP="00174A25">
      <w:pPr>
        <w:pStyle w:val="Footnote"/>
      </w:pPr>
      <w:r w:rsidRPr="00685851">
        <w:rPr>
          <w:rStyle w:val="FootnoteReference"/>
        </w:rPr>
        <w:footnoteRef/>
      </w:r>
      <w:r>
        <w:t xml:space="preserve"> See, for example, Georgia HB 594</w:t>
      </w:r>
      <w:r w:rsidR="00067C7E">
        <w:t xml:space="preserve"> and </w:t>
      </w:r>
      <w:r>
        <w:t>Kansas HB 2230</w:t>
      </w:r>
      <w:r w:rsidR="00067C7E">
        <w:t>.</w:t>
      </w:r>
      <w:r>
        <w:t xml:space="preserve"> </w:t>
      </w:r>
    </w:p>
  </w:footnote>
  <w:footnote w:id="16">
    <w:p w14:paraId="2E8F6D05" w14:textId="17BA9763" w:rsidR="00675CC8" w:rsidRPr="00D91EB2" w:rsidRDefault="00675CC8">
      <w:pPr>
        <w:pStyle w:val="FootnoteText"/>
        <w:rPr>
          <w:sz w:val="16"/>
          <w:szCs w:val="16"/>
        </w:rPr>
      </w:pPr>
      <w:r w:rsidRPr="00685851">
        <w:rPr>
          <w:rStyle w:val="FootnoteReference"/>
        </w:rPr>
        <w:footnoteRef/>
      </w:r>
      <w:r w:rsidRPr="00D91EB2">
        <w:rPr>
          <w:sz w:val="16"/>
          <w:szCs w:val="16"/>
        </w:rPr>
        <w:t xml:space="preserve"> </w:t>
      </w:r>
      <w:r w:rsidR="00D91EB2" w:rsidRPr="00D91EB2">
        <w:rPr>
          <w:sz w:val="16"/>
          <w:szCs w:val="16"/>
        </w:rPr>
        <w:t>Md. Code</w:t>
      </w:r>
      <w:r w:rsidR="00D91EB2">
        <w:rPr>
          <w:sz w:val="16"/>
          <w:szCs w:val="16"/>
        </w:rPr>
        <w:t>, Tax-Gen. § 7.5-101 et. seq.</w:t>
      </w:r>
    </w:p>
  </w:footnote>
  <w:footnote w:id="17">
    <w:p w14:paraId="1FC511BE" w14:textId="77777777" w:rsidR="00D645DA" w:rsidRDefault="00D645DA" w:rsidP="00174A25">
      <w:pPr>
        <w:pStyle w:val="Footnote"/>
      </w:pPr>
      <w:r w:rsidRPr="00685851">
        <w:rPr>
          <w:rStyle w:val="FootnoteReference"/>
        </w:rPr>
        <w:footnoteRef/>
      </w:r>
      <w:r>
        <w:t xml:space="preserve"> See, for example, Indiana SB 372; Massachusetts bills H. 2894, H. 2928, H. 3081, H. 4042, New York A734, S1124, S302, S4959; and Washington HB 2107. </w:t>
      </w:r>
    </w:p>
  </w:footnote>
  <w:footnote w:id="18">
    <w:p w14:paraId="6B0492A3" w14:textId="77777777" w:rsidR="00C8001E" w:rsidRDefault="00C8001E" w:rsidP="00174A25">
      <w:pPr>
        <w:pStyle w:val="Footnote"/>
      </w:pPr>
      <w:r w:rsidRPr="00685851">
        <w:rPr>
          <w:rStyle w:val="FootnoteReference"/>
        </w:rPr>
        <w:footnoteRef/>
      </w:r>
      <w:r>
        <w:t xml:space="preserve"> “How States Raise Their Tax Dollars,” PEW, May 13, 2021, available here: https://www.pewtrusts.org/en/research-and-analysis/data-visualizations/2021/how-states-raise-their-tax-dollars-fy2020.</w:t>
      </w:r>
    </w:p>
  </w:footnote>
  <w:footnote w:id="19">
    <w:p w14:paraId="297A7386" w14:textId="7B86BE36" w:rsidR="00C8001E" w:rsidRDefault="00C8001E" w:rsidP="00174A25">
      <w:pPr>
        <w:pStyle w:val="Footnote"/>
      </w:pPr>
      <w:r w:rsidRPr="00685851">
        <w:rPr>
          <w:rStyle w:val="FootnoteReference"/>
        </w:rPr>
        <w:footnoteRef/>
      </w:r>
      <w:r>
        <w:t xml:space="preserve"> See information available on the U.S. Census Data website, here: </w:t>
      </w:r>
      <w:hyperlink r:id="rId6" w:history="1">
        <w:r>
          <w:rPr>
            <w:rStyle w:val="Hyperlink"/>
          </w:rPr>
          <w:t>https://www.census.gov/programs-surveys/stc.html</w:t>
        </w:r>
      </w:hyperlink>
      <w:r>
        <w:t xml:space="preserve">. </w:t>
      </w:r>
      <w:r w:rsidR="00E04FC2">
        <w:t>All s</w:t>
      </w:r>
      <w:r>
        <w:t>tate excise taxes generate 13% of total state tax revenues. Common state excise taxes include fuel taxes at around 4% of total taxes and insurance premiums taxes at around 3%. Local governments also impose excise taxes, most notably hotel accommodations and related taxes.</w:t>
      </w:r>
    </w:p>
  </w:footnote>
  <w:footnote w:id="20">
    <w:p w14:paraId="59AE9C57" w14:textId="77777777" w:rsidR="00C8001E" w:rsidRDefault="00C8001E" w:rsidP="00174A25">
      <w:pPr>
        <w:pStyle w:val="Footnote"/>
      </w:pPr>
      <w:r w:rsidRPr="00685851">
        <w:rPr>
          <w:rStyle w:val="FootnoteReference"/>
        </w:rPr>
        <w:footnoteRef/>
      </w:r>
      <w:r>
        <w:t xml:space="preserve"> See Vivien Lee and David Wessel, “The history and future of the retail sales tax,” Brookings, July 16, 2018, available here: </w:t>
      </w:r>
      <w:hyperlink r:id="rId7" w:anchor=":~:text=The%20retail%20sales%20tax%20was,than%2032%20percent%20in%201970" w:history="1">
        <w:r>
          <w:rPr>
            <w:rStyle w:val="Hyperlink"/>
          </w:rPr>
          <w:t>https://www.brookings.edu/blog/up-front/2018/07/16/the-history-and-future-of-the-retail-sales-tax/#:~:text=The%20retail%20sales%20tax%20was,than%2032%20percent%20in%201970</w:t>
        </w:r>
      </w:hyperlink>
      <w:r>
        <w:t>, (hereafter, Brookings).</w:t>
      </w:r>
    </w:p>
  </w:footnote>
  <w:footnote w:id="21">
    <w:p w14:paraId="1AB0AC72" w14:textId="1E1D28EE" w:rsidR="00C8001E" w:rsidRDefault="00C8001E" w:rsidP="00174A25">
      <w:pPr>
        <w:pStyle w:val="Footnote"/>
      </w:pPr>
      <w:r w:rsidRPr="00685851">
        <w:rPr>
          <w:rStyle w:val="FootnoteReference"/>
        </w:rPr>
        <w:footnoteRef/>
      </w:r>
      <w:r>
        <w:t xml:space="preserve"> </w:t>
      </w:r>
      <w:r w:rsidR="00864541">
        <w:t xml:space="preserve">See </w:t>
      </w:r>
      <w:r>
        <w:t>John L. Mikesell, “State Retail Sales Taxes in 2018,” Tax Notes State, Sept. 30, 2019, p. 1339.</w:t>
      </w:r>
    </w:p>
  </w:footnote>
  <w:footnote w:id="22">
    <w:p w14:paraId="06D4480A" w14:textId="77777777" w:rsidR="00C8001E" w:rsidRDefault="00C8001E" w:rsidP="00174A25">
      <w:pPr>
        <w:pStyle w:val="Footnote"/>
      </w:pPr>
      <w:r w:rsidRPr="00685851">
        <w:rPr>
          <w:rStyle w:val="FootnoteReference"/>
        </w:rPr>
        <w:footnoteRef/>
      </w:r>
      <w:r>
        <w:t xml:space="preserve"> See Jared Walczak, State Sales Tax Breadth and Reliance, Fiscal Year 2021, May 4, 2022, Tax Foundation, available here: </w:t>
      </w:r>
      <w:hyperlink r:id="rId8" w:history="1">
        <w:r>
          <w:rPr>
            <w:rStyle w:val="Hyperlink"/>
          </w:rPr>
          <w:t>https://taxfoundation.org/state-sales-tax-base-reliance/</w:t>
        </w:r>
      </w:hyperlink>
      <w:r>
        <w:t xml:space="preserve"> .</w:t>
      </w:r>
    </w:p>
  </w:footnote>
  <w:footnote w:id="23">
    <w:p w14:paraId="18DC6B12" w14:textId="77777777" w:rsidR="00C8001E" w:rsidRDefault="00C8001E" w:rsidP="00174A25">
      <w:pPr>
        <w:pStyle w:val="Footnote"/>
      </w:pPr>
      <w:r w:rsidRPr="00685851">
        <w:rPr>
          <w:rStyle w:val="FootnoteReference"/>
        </w:rPr>
        <w:footnoteRef/>
      </w:r>
      <w:r>
        <w:t xml:space="preserve"> Id.</w:t>
      </w:r>
    </w:p>
  </w:footnote>
  <w:footnote w:id="24">
    <w:p w14:paraId="5095DC92" w14:textId="77777777" w:rsidR="00C8001E" w:rsidRDefault="00C8001E" w:rsidP="00174A25">
      <w:pPr>
        <w:pStyle w:val="Footnote"/>
      </w:pPr>
      <w:r w:rsidRPr="00685851">
        <w:rPr>
          <w:rStyle w:val="FootnoteReference"/>
        </w:rPr>
        <w:footnoteRef/>
      </w:r>
      <w:r>
        <w:t xml:space="preserve"> See William F. Fox and Leann Luna, “How Broad Should State Sales Tax Bases Be? A Review of the Empirical Literature,” State Tax Notes, Sept. 4, 2006, P. 639.</w:t>
      </w:r>
    </w:p>
  </w:footnote>
  <w:footnote w:id="25">
    <w:p w14:paraId="203B9E57" w14:textId="77777777" w:rsidR="00C8001E" w:rsidRDefault="00C8001E" w:rsidP="00174A25">
      <w:pPr>
        <w:pStyle w:val="Footnote"/>
      </w:pPr>
      <w:r w:rsidRPr="00685851">
        <w:rPr>
          <w:rStyle w:val="FootnoteReference"/>
        </w:rPr>
        <w:footnoteRef/>
      </w:r>
      <w:r>
        <w:t xml:space="preserve"> See, for example, “Who Pays? 6th Edition,” Institute for Taxation and Economic Policy, 2018, available here:  </w:t>
      </w:r>
      <w:hyperlink r:id="rId9" w:history="1">
        <w:r>
          <w:rPr>
            <w:rStyle w:val="Hyperlink"/>
          </w:rPr>
          <w:t>https://itep.sfo2.digitaloceanspaces.com/whopays-ITEP-2018.pdf</w:t>
        </w:r>
      </w:hyperlink>
      <w:r>
        <w:t xml:space="preserve">; and Michael Mazerov, “Expanding Sales Taxation of Services: Options and Issues,” Aug.10, 2009; available here: </w:t>
      </w:r>
      <w:hyperlink r:id="rId10" w:history="1">
        <w:r>
          <w:rPr>
            <w:rStyle w:val="Hyperlink"/>
          </w:rPr>
          <w:t>https://www.cbpp.org/research/state-budget-and-tax/expanding-sales-taxation-of-services-options-and-issues</w:t>
        </w:r>
      </w:hyperlink>
      <w:r>
        <w:t xml:space="preserve">. </w:t>
      </w:r>
    </w:p>
  </w:footnote>
  <w:footnote w:id="26">
    <w:p w14:paraId="0D2CF8A0" w14:textId="6658C3F1" w:rsidR="000B5388" w:rsidRDefault="000B5388" w:rsidP="00174A25">
      <w:pPr>
        <w:pStyle w:val="Footnote"/>
      </w:pPr>
      <w:r w:rsidRPr="00685851">
        <w:rPr>
          <w:rStyle w:val="FootnoteReference"/>
        </w:rPr>
        <w:footnoteRef/>
      </w:r>
      <w:r>
        <w:t xml:space="preserve"> See, for example, Brookings, </w:t>
      </w:r>
      <w:r w:rsidRPr="00067C7E">
        <w:t>supra FN</w:t>
      </w:r>
      <w:r w:rsidR="00067C7E">
        <w:t xml:space="preserve"> 17;</w:t>
      </w:r>
      <w:r>
        <w:t xml:space="preserve"> and Mikesell, </w:t>
      </w:r>
      <w:r w:rsidRPr="00067C7E">
        <w:t>supra FN</w:t>
      </w:r>
      <w:r w:rsidR="00067C7E">
        <w:t xml:space="preserve"> 1.</w:t>
      </w:r>
      <w:r>
        <w:t xml:space="preserve">  </w:t>
      </w:r>
    </w:p>
  </w:footnote>
  <w:footnote w:id="27">
    <w:p w14:paraId="52FF851A" w14:textId="063F73D6" w:rsidR="008D684E" w:rsidRDefault="008D684E" w:rsidP="00174A25">
      <w:pPr>
        <w:pStyle w:val="Footnote"/>
      </w:pPr>
      <w:r w:rsidRPr="00685851">
        <w:rPr>
          <w:rStyle w:val="FootnoteReference"/>
        </w:rPr>
        <w:footnoteRef/>
      </w:r>
      <w:r>
        <w:t xml:space="preserve"> </w:t>
      </w:r>
      <w:r w:rsidRPr="008D684E">
        <w:t>Charles E. McLure, Jr.</w:t>
      </w:r>
      <w:r>
        <w:t xml:space="preserve">, “Rethinking State and Local Reliance on the Retail Sales Tax: Should We Fix the Sales Tax or Discard It?,” 2000 BYU Law Rev. 1, Art. 11, Mar. 1, 2000, available here: </w:t>
      </w:r>
      <w:hyperlink r:id="rId11" w:history="1">
        <w:r w:rsidRPr="007C2300">
          <w:rPr>
            <w:rStyle w:val="Hyperlink"/>
          </w:rPr>
          <w:t>https://digitalcommons.law.byu.edu/cgi/viewcontent.cgi?article=2052&amp;context=lawreview</w:t>
        </w:r>
      </w:hyperlink>
      <w:r w:rsidR="004B26A5">
        <w:t xml:space="preserve">, (hereafter, McClure). </w:t>
      </w:r>
    </w:p>
  </w:footnote>
  <w:footnote w:id="28">
    <w:p w14:paraId="7DD29DF2" w14:textId="77777777" w:rsidR="008518A7" w:rsidRDefault="008518A7" w:rsidP="00174A25">
      <w:pPr>
        <w:pStyle w:val="Footnote"/>
      </w:pPr>
      <w:r w:rsidRPr="00685851">
        <w:rPr>
          <w:rStyle w:val="FootnoteReference"/>
        </w:rPr>
        <w:footnoteRef/>
      </w:r>
      <w:r>
        <w:t xml:space="preserve"> See </w:t>
      </w:r>
      <w:r w:rsidRPr="002C090E">
        <w:t>Associated Industries of Mo. v. Lohman, 511 U.S. 641 (1994)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05C5" w14:textId="44D825E9" w:rsidR="00C6291A" w:rsidRPr="000A79E4" w:rsidRDefault="00C6291A" w:rsidP="000A79E4">
    <w:pPr>
      <w:pStyle w:val="Header"/>
      <w:jc w:val="center"/>
      <w:rPr>
        <w:rFonts w:asciiTheme="minorHAnsi" w:hAnsiTheme="minorHAnsi" w:cstheme="minorHAnsi"/>
      </w:rPr>
    </w:pPr>
    <w:r w:rsidRPr="000A79E4">
      <w:rPr>
        <w:rFonts w:asciiTheme="minorHAnsi" w:hAnsiTheme="minorHAnsi" w:cstheme="minorHAnsi"/>
        <w:noProof/>
      </w:rPr>
      <w:drawing>
        <wp:anchor distT="0" distB="0" distL="114300" distR="114300" simplePos="0" relativeHeight="251658240" behindDoc="0" locked="0" layoutInCell="1" allowOverlap="1" wp14:anchorId="6C19CAA0" wp14:editId="10C36BE9">
          <wp:simplePos x="0" y="0"/>
          <wp:positionH relativeFrom="column">
            <wp:posOffset>5566410</wp:posOffset>
          </wp:positionH>
          <wp:positionV relativeFrom="paragraph">
            <wp:posOffset>-77470</wp:posOffset>
          </wp:positionV>
          <wp:extent cx="549275" cy="26797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267970"/>
                  </a:xfrm>
                  <a:prstGeom prst="rect">
                    <a:avLst/>
                  </a:prstGeom>
                  <a:noFill/>
                </pic:spPr>
              </pic:pic>
            </a:graphicData>
          </a:graphic>
          <wp14:sizeRelH relativeFrom="page">
            <wp14:pctWidth>0</wp14:pctWidth>
          </wp14:sizeRelH>
          <wp14:sizeRelV relativeFrom="page">
            <wp14:pctHeight>0</wp14:pctHeight>
          </wp14:sizeRelV>
        </wp:anchor>
      </w:drawing>
    </w:r>
    <w:r w:rsidR="00BE25F4" w:rsidRPr="000A79E4">
      <w:rPr>
        <w:rFonts w:asciiTheme="minorHAnsi" w:hAnsiTheme="minorHAnsi" w:cstheme="minorHAnsi"/>
        <w:sz w:val="18"/>
        <w:szCs w:val="16"/>
      </w:rPr>
      <w:t xml:space="preserve">Discussion Draft of Detailed Outline </w:t>
    </w:r>
    <w:r w:rsidR="00BB21E8">
      <w:rPr>
        <w:rFonts w:asciiTheme="minorHAnsi" w:hAnsiTheme="minorHAnsi" w:cstheme="minorHAnsi"/>
        <w:sz w:val="18"/>
        <w:szCs w:val="16"/>
      </w:rPr>
      <w:t>of</w:t>
    </w:r>
    <w:r w:rsidR="000A79E4">
      <w:rPr>
        <w:rFonts w:asciiTheme="minorHAnsi" w:hAnsiTheme="minorHAnsi" w:cstheme="minorHAnsi"/>
        <w:sz w:val="18"/>
        <w:szCs w:val="16"/>
      </w:rPr>
      <w:t xml:space="preserve"> a </w:t>
    </w:r>
    <w:r w:rsidR="00BE25F4" w:rsidRPr="000A79E4">
      <w:rPr>
        <w:rFonts w:asciiTheme="minorHAnsi" w:hAnsiTheme="minorHAnsi" w:cstheme="minorHAnsi"/>
        <w:sz w:val="18"/>
        <w:szCs w:val="16"/>
      </w:rPr>
      <w:t>White Paper on</w:t>
    </w:r>
    <w:r w:rsidR="000A79E4">
      <w:rPr>
        <w:rFonts w:asciiTheme="minorHAnsi" w:hAnsiTheme="minorHAnsi" w:cstheme="minorHAnsi"/>
        <w:sz w:val="18"/>
        <w:szCs w:val="16"/>
      </w:rPr>
      <w:t xml:space="preserve"> Sales Taxation of Digital Products  - Page </w:t>
    </w:r>
    <w:r w:rsidR="000A79E4" w:rsidRPr="000A79E4">
      <w:rPr>
        <w:rFonts w:asciiTheme="minorHAnsi" w:hAnsiTheme="minorHAnsi" w:cstheme="minorHAnsi"/>
        <w:sz w:val="18"/>
        <w:szCs w:val="16"/>
      </w:rPr>
      <w:fldChar w:fldCharType="begin"/>
    </w:r>
    <w:r w:rsidR="000A79E4" w:rsidRPr="000A79E4">
      <w:rPr>
        <w:rFonts w:asciiTheme="minorHAnsi" w:hAnsiTheme="minorHAnsi" w:cstheme="minorHAnsi"/>
        <w:sz w:val="18"/>
        <w:szCs w:val="16"/>
      </w:rPr>
      <w:instrText xml:space="preserve"> PAGE   \* MERGEFORMAT </w:instrText>
    </w:r>
    <w:r w:rsidR="000A79E4" w:rsidRPr="000A79E4">
      <w:rPr>
        <w:rFonts w:asciiTheme="minorHAnsi" w:hAnsiTheme="minorHAnsi" w:cstheme="minorHAnsi"/>
        <w:sz w:val="18"/>
        <w:szCs w:val="16"/>
      </w:rPr>
      <w:fldChar w:fldCharType="separate"/>
    </w:r>
    <w:r w:rsidR="000A79E4" w:rsidRPr="000A79E4">
      <w:rPr>
        <w:rFonts w:asciiTheme="minorHAnsi" w:hAnsiTheme="minorHAnsi" w:cstheme="minorHAnsi"/>
        <w:noProof/>
        <w:sz w:val="18"/>
        <w:szCs w:val="16"/>
      </w:rPr>
      <w:t>1</w:t>
    </w:r>
    <w:r w:rsidR="000A79E4" w:rsidRPr="000A79E4">
      <w:rPr>
        <w:rFonts w:asciiTheme="minorHAnsi" w:hAnsiTheme="minorHAnsi" w:cstheme="minorHAnsi"/>
        <w:noProof/>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E46"/>
    <w:multiLevelType w:val="hybridMultilevel"/>
    <w:tmpl w:val="ABA6ABB8"/>
    <w:lvl w:ilvl="0" w:tplc="5AE68A24">
      <w:start w:val="1"/>
      <w:numFmt w:val="bullet"/>
      <w:lvlText w:val=""/>
      <w:lvlJc w:val="left"/>
      <w:pPr>
        <w:tabs>
          <w:tab w:val="num" w:pos="720"/>
        </w:tabs>
        <w:ind w:left="720" w:hanging="360"/>
      </w:pPr>
      <w:rPr>
        <w:rFonts w:ascii="Wingdings 2" w:hAnsi="Wingdings 2" w:hint="default"/>
      </w:rPr>
    </w:lvl>
    <w:lvl w:ilvl="1" w:tplc="08E6CB1E">
      <w:start w:val="1"/>
      <w:numFmt w:val="bullet"/>
      <w:lvlText w:val=""/>
      <w:lvlJc w:val="left"/>
      <w:pPr>
        <w:tabs>
          <w:tab w:val="num" w:pos="1440"/>
        </w:tabs>
        <w:ind w:left="1440" w:hanging="360"/>
      </w:pPr>
      <w:rPr>
        <w:rFonts w:ascii="Wingdings 2" w:hAnsi="Wingdings 2" w:hint="default"/>
      </w:rPr>
    </w:lvl>
    <w:lvl w:ilvl="2" w:tplc="E25A4AF2" w:tentative="1">
      <w:start w:val="1"/>
      <w:numFmt w:val="bullet"/>
      <w:lvlText w:val=""/>
      <w:lvlJc w:val="left"/>
      <w:pPr>
        <w:tabs>
          <w:tab w:val="num" w:pos="2160"/>
        </w:tabs>
        <w:ind w:left="2160" w:hanging="360"/>
      </w:pPr>
      <w:rPr>
        <w:rFonts w:ascii="Wingdings 2" w:hAnsi="Wingdings 2" w:hint="default"/>
      </w:rPr>
    </w:lvl>
    <w:lvl w:ilvl="3" w:tplc="B950BDEC" w:tentative="1">
      <w:start w:val="1"/>
      <w:numFmt w:val="bullet"/>
      <w:lvlText w:val=""/>
      <w:lvlJc w:val="left"/>
      <w:pPr>
        <w:tabs>
          <w:tab w:val="num" w:pos="2880"/>
        </w:tabs>
        <w:ind w:left="2880" w:hanging="360"/>
      </w:pPr>
      <w:rPr>
        <w:rFonts w:ascii="Wingdings 2" w:hAnsi="Wingdings 2" w:hint="default"/>
      </w:rPr>
    </w:lvl>
    <w:lvl w:ilvl="4" w:tplc="B764F8A0" w:tentative="1">
      <w:start w:val="1"/>
      <w:numFmt w:val="bullet"/>
      <w:lvlText w:val=""/>
      <w:lvlJc w:val="left"/>
      <w:pPr>
        <w:tabs>
          <w:tab w:val="num" w:pos="3600"/>
        </w:tabs>
        <w:ind w:left="3600" w:hanging="360"/>
      </w:pPr>
      <w:rPr>
        <w:rFonts w:ascii="Wingdings 2" w:hAnsi="Wingdings 2" w:hint="default"/>
      </w:rPr>
    </w:lvl>
    <w:lvl w:ilvl="5" w:tplc="CD26B0E6" w:tentative="1">
      <w:start w:val="1"/>
      <w:numFmt w:val="bullet"/>
      <w:lvlText w:val=""/>
      <w:lvlJc w:val="left"/>
      <w:pPr>
        <w:tabs>
          <w:tab w:val="num" w:pos="4320"/>
        </w:tabs>
        <w:ind w:left="4320" w:hanging="360"/>
      </w:pPr>
      <w:rPr>
        <w:rFonts w:ascii="Wingdings 2" w:hAnsi="Wingdings 2" w:hint="default"/>
      </w:rPr>
    </w:lvl>
    <w:lvl w:ilvl="6" w:tplc="E8C8D354" w:tentative="1">
      <w:start w:val="1"/>
      <w:numFmt w:val="bullet"/>
      <w:lvlText w:val=""/>
      <w:lvlJc w:val="left"/>
      <w:pPr>
        <w:tabs>
          <w:tab w:val="num" w:pos="5040"/>
        </w:tabs>
        <w:ind w:left="5040" w:hanging="360"/>
      </w:pPr>
      <w:rPr>
        <w:rFonts w:ascii="Wingdings 2" w:hAnsi="Wingdings 2" w:hint="default"/>
      </w:rPr>
    </w:lvl>
    <w:lvl w:ilvl="7" w:tplc="F8AA5212" w:tentative="1">
      <w:start w:val="1"/>
      <w:numFmt w:val="bullet"/>
      <w:lvlText w:val=""/>
      <w:lvlJc w:val="left"/>
      <w:pPr>
        <w:tabs>
          <w:tab w:val="num" w:pos="5760"/>
        </w:tabs>
        <w:ind w:left="5760" w:hanging="360"/>
      </w:pPr>
      <w:rPr>
        <w:rFonts w:ascii="Wingdings 2" w:hAnsi="Wingdings 2" w:hint="default"/>
      </w:rPr>
    </w:lvl>
    <w:lvl w:ilvl="8" w:tplc="F04644D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BDE5509"/>
    <w:multiLevelType w:val="hybridMultilevel"/>
    <w:tmpl w:val="1EB0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45D1E"/>
    <w:multiLevelType w:val="hybridMultilevel"/>
    <w:tmpl w:val="463E43F0"/>
    <w:lvl w:ilvl="0" w:tplc="B780468C">
      <w:start w:val="1"/>
      <w:numFmt w:val="decimal"/>
      <w:lvlText w:val="%1."/>
      <w:lvlJc w:val="left"/>
      <w:pPr>
        <w:tabs>
          <w:tab w:val="num" w:pos="720"/>
        </w:tabs>
        <w:ind w:left="720" w:hanging="360"/>
      </w:pPr>
    </w:lvl>
    <w:lvl w:ilvl="1" w:tplc="DA3CCCA0" w:tentative="1">
      <w:start w:val="1"/>
      <w:numFmt w:val="decimal"/>
      <w:lvlText w:val="%2."/>
      <w:lvlJc w:val="left"/>
      <w:pPr>
        <w:tabs>
          <w:tab w:val="num" w:pos="1440"/>
        </w:tabs>
        <w:ind w:left="1440" w:hanging="360"/>
      </w:pPr>
    </w:lvl>
    <w:lvl w:ilvl="2" w:tplc="AFFC003A" w:tentative="1">
      <w:start w:val="1"/>
      <w:numFmt w:val="decimal"/>
      <w:lvlText w:val="%3."/>
      <w:lvlJc w:val="left"/>
      <w:pPr>
        <w:tabs>
          <w:tab w:val="num" w:pos="2160"/>
        </w:tabs>
        <w:ind w:left="2160" w:hanging="360"/>
      </w:pPr>
    </w:lvl>
    <w:lvl w:ilvl="3" w:tplc="0FBABE6E" w:tentative="1">
      <w:start w:val="1"/>
      <w:numFmt w:val="decimal"/>
      <w:lvlText w:val="%4."/>
      <w:lvlJc w:val="left"/>
      <w:pPr>
        <w:tabs>
          <w:tab w:val="num" w:pos="2880"/>
        </w:tabs>
        <w:ind w:left="2880" w:hanging="360"/>
      </w:pPr>
    </w:lvl>
    <w:lvl w:ilvl="4" w:tplc="18DC3604" w:tentative="1">
      <w:start w:val="1"/>
      <w:numFmt w:val="decimal"/>
      <w:lvlText w:val="%5."/>
      <w:lvlJc w:val="left"/>
      <w:pPr>
        <w:tabs>
          <w:tab w:val="num" w:pos="3600"/>
        </w:tabs>
        <w:ind w:left="3600" w:hanging="360"/>
      </w:pPr>
    </w:lvl>
    <w:lvl w:ilvl="5" w:tplc="9D429236" w:tentative="1">
      <w:start w:val="1"/>
      <w:numFmt w:val="decimal"/>
      <w:lvlText w:val="%6."/>
      <w:lvlJc w:val="left"/>
      <w:pPr>
        <w:tabs>
          <w:tab w:val="num" w:pos="4320"/>
        </w:tabs>
        <w:ind w:left="4320" w:hanging="360"/>
      </w:pPr>
    </w:lvl>
    <w:lvl w:ilvl="6" w:tplc="8C4CD742" w:tentative="1">
      <w:start w:val="1"/>
      <w:numFmt w:val="decimal"/>
      <w:lvlText w:val="%7."/>
      <w:lvlJc w:val="left"/>
      <w:pPr>
        <w:tabs>
          <w:tab w:val="num" w:pos="5040"/>
        </w:tabs>
        <w:ind w:left="5040" w:hanging="360"/>
      </w:pPr>
    </w:lvl>
    <w:lvl w:ilvl="7" w:tplc="B9068A36" w:tentative="1">
      <w:start w:val="1"/>
      <w:numFmt w:val="decimal"/>
      <w:lvlText w:val="%8."/>
      <w:lvlJc w:val="left"/>
      <w:pPr>
        <w:tabs>
          <w:tab w:val="num" w:pos="5760"/>
        </w:tabs>
        <w:ind w:left="5760" w:hanging="360"/>
      </w:pPr>
    </w:lvl>
    <w:lvl w:ilvl="8" w:tplc="BC3E1E36" w:tentative="1">
      <w:start w:val="1"/>
      <w:numFmt w:val="decimal"/>
      <w:lvlText w:val="%9."/>
      <w:lvlJc w:val="left"/>
      <w:pPr>
        <w:tabs>
          <w:tab w:val="num" w:pos="6480"/>
        </w:tabs>
        <w:ind w:left="6480" w:hanging="360"/>
      </w:pPr>
    </w:lvl>
  </w:abstractNum>
  <w:abstractNum w:abstractNumId="3" w15:restartNumberingAfterBreak="0">
    <w:nsid w:val="2F9235D5"/>
    <w:multiLevelType w:val="hybridMultilevel"/>
    <w:tmpl w:val="C5562DF8"/>
    <w:lvl w:ilvl="0" w:tplc="EBF0F7DC">
      <w:start w:val="6"/>
      <w:numFmt w:val="decimal"/>
      <w:lvlText w:val="%1."/>
      <w:lvlJc w:val="left"/>
      <w:pPr>
        <w:tabs>
          <w:tab w:val="num" w:pos="720"/>
        </w:tabs>
        <w:ind w:left="720" w:hanging="360"/>
      </w:pPr>
    </w:lvl>
    <w:lvl w:ilvl="1" w:tplc="341461E0" w:tentative="1">
      <w:start w:val="1"/>
      <w:numFmt w:val="decimal"/>
      <w:lvlText w:val="%2."/>
      <w:lvlJc w:val="left"/>
      <w:pPr>
        <w:tabs>
          <w:tab w:val="num" w:pos="1440"/>
        </w:tabs>
        <w:ind w:left="1440" w:hanging="360"/>
      </w:pPr>
    </w:lvl>
    <w:lvl w:ilvl="2" w:tplc="587AC3F4" w:tentative="1">
      <w:start w:val="1"/>
      <w:numFmt w:val="decimal"/>
      <w:lvlText w:val="%3."/>
      <w:lvlJc w:val="left"/>
      <w:pPr>
        <w:tabs>
          <w:tab w:val="num" w:pos="2160"/>
        </w:tabs>
        <w:ind w:left="2160" w:hanging="360"/>
      </w:pPr>
    </w:lvl>
    <w:lvl w:ilvl="3" w:tplc="DE562962" w:tentative="1">
      <w:start w:val="1"/>
      <w:numFmt w:val="decimal"/>
      <w:lvlText w:val="%4."/>
      <w:lvlJc w:val="left"/>
      <w:pPr>
        <w:tabs>
          <w:tab w:val="num" w:pos="2880"/>
        </w:tabs>
        <w:ind w:left="2880" w:hanging="360"/>
      </w:pPr>
    </w:lvl>
    <w:lvl w:ilvl="4" w:tplc="E37CD1B0" w:tentative="1">
      <w:start w:val="1"/>
      <w:numFmt w:val="decimal"/>
      <w:lvlText w:val="%5."/>
      <w:lvlJc w:val="left"/>
      <w:pPr>
        <w:tabs>
          <w:tab w:val="num" w:pos="3600"/>
        </w:tabs>
        <w:ind w:left="3600" w:hanging="360"/>
      </w:pPr>
    </w:lvl>
    <w:lvl w:ilvl="5" w:tplc="0B564ECC" w:tentative="1">
      <w:start w:val="1"/>
      <w:numFmt w:val="decimal"/>
      <w:lvlText w:val="%6."/>
      <w:lvlJc w:val="left"/>
      <w:pPr>
        <w:tabs>
          <w:tab w:val="num" w:pos="4320"/>
        </w:tabs>
        <w:ind w:left="4320" w:hanging="360"/>
      </w:pPr>
    </w:lvl>
    <w:lvl w:ilvl="6" w:tplc="51E2C554" w:tentative="1">
      <w:start w:val="1"/>
      <w:numFmt w:val="decimal"/>
      <w:lvlText w:val="%7."/>
      <w:lvlJc w:val="left"/>
      <w:pPr>
        <w:tabs>
          <w:tab w:val="num" w:pos="5040"/>
        </w:tabs>
        <w:ind w:left="5040" w:hanging="360"/>
      </w:pPr>
    </w:lvl>
    <w:lvl w:ilvl="7" w:tplc="B1CA350C" w:tentative="1">
      <w:start w:val="1"/>
      <w:numFmt w:val="decimal"/>
      <w:lvlText w:val="%8."/>
      <w:lvlJc w:val="left"/>
      <w:pPr>
        <w:tabs>
          <w:tab w:val="num" w:pos="5760"/>
        </w:tabs>
        <w:ind w:left="5760" w:hanging="360"/>
      </w:pPr>
    </w:lvl>
    <w:lvl w:ilvl="8" w:tplc="809C5E38" w:tentative="1">
      <w:start w:val="1"/>
      <w:numFmt w:val="decimal"/>
      <w:lvlText w:val="%9."/>
      <w:lvlJc w:val="left"/>
      <w:pPr>
        <w:tabs>
          <w:tab w:val="num" w:pos="6480"/>
        </w:tabs>
        <w:ind w:left="6480" w:hanging="360"/>
      </w:pPr>
    </w:lvl>
  </w:abstractNum>
  <w:abstractNum w:abstractNumId="4" w15:restartNumberingAfterBreak="0">
    <w:nsid w:val="42C66726"/>
    <w:multiLevelType w:val="hybridMultilevel"/>
    <w:tmpl w:val="E8CE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3A4C89"/>
    <w:multiLevelType w:val="hybridMultilevel"/>
    <w:tmpl w:val="AC64F7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7A254B"/>
    <w:multiLevelType w:val="hybridMultilevel"/>
    <w:tmpl w:val="9544D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3D7CDD"/>
    <w:multiLevelType w:val="hybridMultilevel"/>
    <w:tmpl w:val="9A58A222"/>
    <w:lvl w:ilvl="0" w:tplc="4166584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3079A"/>
    <w:multiLevelType w:val="hybridMultilevel"/>
    <w:tmpl w:val="B2FE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155E1"/>
    <w:multiLevelType w:val="hybridMultilevel"/>
    <w:tmpl w:val="B734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C7055"/>
    <w:multiLevelType w:val="hybridMultilevel"/>
    <w:tmpl w:val="6D34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C58B0"/>
    <w:multiLevelType w:val="hybridMultilevel"/>
    <w:tmpl w:val="5B6EE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4A68A2"/>
    <w:multiLevelType w:val="multilevel"/>
    <w:tmpl w:val="125EED2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7674557">
    <w:abstractNumId w:val="8"/>
  </w:num>
  <w:num w:numId="2" w16cid:durableId="776484895">
    <w:abstractNumId w:val="6"/>
  </w:num>
  <w:num w:numId="3" w16cid:durableId="956061715">
    <w:abstractNumId w:val="6"/>
  </w:num>
  <w:num w:numId="4" w16cid:durableId="745032292">
    <w:abstractNumId w:val="1"/>
  </w:num>
  <w:num w:numId="5" w16cid:durableId="1838881949">
    <w:abstractNumId w:val="9"/>
  </w:num>
  <w:num w:numId="6" w16cid:durableId="1186210844">
    <w:abstractNumId w:val="11"/>
  </w:num>
  <w:num w:numId="7" w16cid:durableId="901253085">
    <w:abstractNumId w:val="5"/>
  </w:num>
  <w:num w:numId="8" w16cid:durableId="1921669592">
    <w:abstractNumId w:val="12"/>
  </w:num>
  <w:num w:numId="9" w16cid:durableId="1300183398">
    <w:abstractNumId w:val="4"/>
  </w:num>
  <w:num w:numId="10" w16cid:durableId="1344286882">
    <w:abstractNumId w:val="13"/>
  </w:num>
  <w:num w:numId="11" w16cid:durableId="858856976">
    <w:abstractNumId w:val="0"/>
  </w:num>
  <w:num w:numId="12" w16cid:durableId="1283153955">
    <w:abstractNumId w:val="2"/>
  </w:num>
  <w:num w:numId="13" w16cid:durableId="298151518">
    <w:abstractNumId w:val="3"/>
  </w:num>
  <w:num w:numId="14" w16cid:durableId="764883820">
    <w:abstractNumId w:val="10"/>
  </w:num>
  <w:num w:numId="15" w16cid:durableId="1189177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1E"/>
    <w:rsid w:val="00024590"/>
    <w:rsid w:val="000248F7"/>
    <w:rsid w:val="00035110"/>
    <w:rsid w:val="00035238"/>
    <w:rsid w:val="00036600"/>
    <w:rsid w:val="000400C2"/>
    <w:rsid w:val="00042096"/>
    <w:rsid w:val="00051283"/>
    <w:rsid w:val="0005395D"/>
    <w:rsid w:val="00057131"/>
    <w:rsid w:val="00067C7E"/>
    <w:rsid w:val="000754EE"/>
    <w:rsid w:val="00076F5D"/>
    <w:rsid w:val="0008101B"/>
    <w:rsid w:val="00087DF2"/>
    <w:rsid w:val="000947DB"/>
    <w:rsid w:val="000A79E4"/>
    <w:rsid w:val="000B46BE"/>
    <w:rsid w:val="000B51A7"/>
    <w:rsid w:val="000B5388"/>
    <w:rsid w:val="000B6A51"/>
    <w:rsid w:val="000C2FDE"/>
    <w:rsid w:val="000C350A"/>
    <w:rsid w:val="000C4ACA"/>
    <w:rsid w:val="0011540A"/>
    <w:rsid w:val="00115596"/>
    <w:rsid w:val="00120463"/>
    <w:rsid w:val="00131FCD"/>
    <w:rsid w:val="0013232B"/>
    <w:rsid w:val="00132CAD"/>
    <w:rsid w:val="00135782"/>
    <w:rsid w:val="00156F2B"/>
    <w:rsid w:val="00165111"/>
    <w:rsid w:val="00165733"/>
    <w:rsid w:val="00165D9D"/>
    <w:rsid w:val="0017471B"/>
    <w:rsid w:val="00174A25"/>
    <w:rsid w:val="00176B41"/>
    <w:rsid w:val="00177770"/>
    <w:rsid w:val="001B752D"/>
    <w:rsid w:val="001C041F"/>
    <w:rsid w:val="001C31E0"/>
    <w:rsid w:val="001C39C3"/>
    <w:rsid w:val="001C471E"/>
    <w:rsid w:val="001D5A69"/>
    <w:rsid w:val="001E2F99"/>
    <w:rsid w:val="001F2A47"/>
    <w:rsid w:val="001F371D"/>
    <w:rsid w:val="002222CA"/>
    <w:rsid w:val="002237E8"/>
    <w:rsid w:val="002260D9"/>
    <w:rsid w:val="002310BB"/>
    <w:rsid w:val="00241D80"/>
    <w:rsid w:val="00241E19"/>
    <w:rsid w:val="002428FE"/>
    <w:rsid w:val="00250A31"/>
    <w:rsid w:val="0025504B"/>
    <w:rsid w:val="002555DA"/>
    <w:rsid w:val="00264287"/>
    <w:rsid w:val="00273570"/>
    <w:rsid w:val="002816B0"/>
    <w:rsid w:val="00284EDE"/>
    <w:rsid w:val="00285D81"/>
    <w:rsid w:val="0029193B"/>
    <w:rsid w:val="00293E79"/>
    <w:rsid w:val="002A18D9"/>
    <w:rsid w:val="002B24F8"/>
    <w:rsid w:val="002B4D49"/>
    <w:rsid w:val="002C090E"/>
    <w:rsid w:val="002C1FC5"/>
    <w:rsid w:val="002C479C"/>
    <w:rsid w:val="002E1C3A"/>
    <w:rsid w:val="002F2B41"/>
    <w:rsid w:val="002F367C"/>
    <w:rsid w:val="00301FA1"/>
    <w:rsid w:val="00307C4C"/>
    <w:rsid w:val="003124C1"/>
    <w:rsid w:val="0031337B"/>
    <w:rsid w:val="00327E94"/>
    <w:rsid w:val="00333A5E"/>
    <w:rsid w:val="003427FB"/>
    <w:rsid w:val="003446DF"/>
    <w:rsid w:val="00361041"/>
    <w:rsid w:val="003619F3"/>
    <w:rsid w:val="00372A78"/>
    <w:rsid w:val="003835FA"/>
    <w:rsid w:val="0039177B"/>
    <w:rsid w:val="00392A24"/>
    <w:rsid w:val="003975BD"/>
    <w:rsid w:val="003B4159"/>
    <w:rsid w:val="003B4A3C"/>
    <w:rsid w:val="003C03F6"/>
    <w:rsid w:val="003C1351"/>
    <w:rsid w:val="003C5107"/>
    <w:rsid w:val="003D2BFA"/>
    <w:rsid w:val="003E0054"/>
    <w:rsid w:val="003E01FD"/>
    <w:rsid w:val="003E319F"/>
    <w:rsid w:val="003F060C"/>
    <w:rsid w:val="003F5042"/>
    <w:rsid w:val="00400399"/>
    <w:rsid w:val="0041308F"/>
    <w:rsid w:val="00420C06"/>
    <w:rsid w:val="004247E8"/>
    <w:rsid w:val="00432413"/>
    <w:rsid w:val="0043795A"/>
    <w:rsid w:val="00447745"/>
    <w:rsid w:val="00464956"/>
    <w:rsid w:val="0046760C"/>
    <w:rsid w:val="004731A5"/>
    <w:rsid w:val="00473BE3"/>
    <w:rsid w:val="004772C7"/>
    <w:rsid w:val="00483C37"/>
    <w:rsid w:val="00485647"/>
    <w:rsid w:val="00486677"/>
    <w:rsid w:val="00486AD8"/>
    <w:rsid w:val="00494378"/>
    <w:rsid w:val="004A6B7C"/>
    <w:rsid w:val="004B26A5"/>
    <w:rsid w:val="004B26EA"/>
    <w:rsid w:val="004E33DB"/>
    <w:rsid w:val="004F05FC"/>
    <w:rsid w:val="004F7602"/>
    <w:rsid w:val="00506681"/>
    <w:rsid w:val="00512DBD"/>
    <w:rsid w:val="0051651D"/>
    <w:rsid w:val="0052445F"/>
    <w:rsid w:val="005326DE"/>
    <w:rsid w:val="00533C83"/>
    <w:rsid w:val="00536952"/>
    <w:rsid w:val="0055214F"/>
    <w:rsid w:val="00552FBD"/>
    <w:rsid w:val="005638DB"/>
    <w:rsid w:val="0056616D"/>
    <w:rsid w:val="00572E19"/>
    <w:rsid w:val="00573859"/>
    <w:rsid w:val="00582CEF"/>
    <w:rsid w:val="005843E0"/>
    <w:rsid w:val="00586DC7"/>
    <w:rsid w:val="00594489"/>
    <w:rsid w:val="005A0CBD"/>
    <w:rsid w:val="005C3B19"/>
    <w:rsid w:val="005C4FC7"/>
    <w:rsid w:val="005C5DC5"/>
    <w:rsid w:val="005C5F98"/>
    <w:rsid w:val="005E1E62"/>
    <w:rsid w:val="005E6C48"/>
    <w:rsid w:val="005E6D34"/>
    <w:rsid w:val="005F18C6"/>
    <w:rsid w:val="005F507E"/>
    <w:rsid w:val="00604C6A"/>
    <w:rsid w:val="00614164"/>
    <w:rsid w:val="006263E0"/>
    <w:rsid w:val="00637120"/>
    <w:rsid w:val="00652886"/>
    <w:rsid w:val="0065548B"/>
    <w:rsid w:val="006572A4"/>
    <w:rsid w:val="00663ABB"/>
    <w:rsid w:val="00675CC8"/>
    <w:rsid w:val="00675D37"/>
    <w:rsid w:val="00677595"/>
    <w:rsid w:val="00684238"/>
    <w:rsid w:val="00684ED8"/>
    <w:rsid w:val="00685851"/>
    <w:rsid w:val="00691B66"/>
    <w:rsid w:val="00693E4D"/>
    <w:rsid w:val="006967E7"/>
    <w:rsid w:val="006A0F13"/>
    <w:rsid w:val="006B436F"/>
    <w:rsid w:val="006C5C13"/>
    <w:rsid w:val="006C6B0C"/>
    <w:rsid w:val="006D2D1B"/>
    <w:rsid w:val="006D55DE"/>
    <w:rsid w:val="006D79FE"/>
    <w:rsid w:val="006D7C6E"/>
    <w:rsid w:val="006E61E1"/>
    <w:rsid w:val="006E6D2B"/>
    <w:rsid w:val="006E6DAA"/>
    <w:rsid w:val="006E7686"/>
    <w:rsid w:val="00704A4C"/>
    <w:rsid w:val="00710B38"/>
    <w:rsid w:val="00733686"/>
    <w:rsid w:val="007443D7"/>
    <w:rsid w:val="00745AE1"/>
    <w:rsid w:val="00745B6B"/>
    <w:rsid w:val="00752B70"/>
    <w:rsid w:val="0075320E"/>
    <w:rsid w:val="00754AD7"/>
    <w:rsid w:val="00770D0C"/>
    <w:rsid w:val="00775D64"/>
    <w:rsid w:val="00777BD1"/>
    <w:rsid w:val="00777F62"/>
    <w:rsid w:val="00794131"/>
    <w:rsid w:val="007946EE"/>
    <w:rsid w:val="00794D04"/>
    <w:rsid w:val="007A04CB"/>
    <w:rsid w:val="007A2AFB"/>
    <w:rsid w:val="007B69D7"/>
    <w:rsid w:val="007D2545"/>
    <w:rsid w:val="007D4584"/>
    <w:rsid w:val="007D46FC"/>
    <w:rsid w:val="007D5404"/>
    <w:rsid w:val="007D7488"/>
    <w:rsid w:val="007E4918"/>
    <w:rsid w:val="007E4B3E"/>
    <w:rsid w:val="007E4EDC"/>
    <w:rsid w:val="007E5606"/>
    <w:rsid w:val="007E6127"/>
    <w:rsid w:val="007E7FE3"/>
    <w:rsid w:val="007F24DC"/>
    <w:rsid w:val="007F398B"/>
    <w:rsid w:val="007F4132"/>
    <w:rsid w:val="00816301"/>
    <w:rsid w:val="00816C05"/>
    <w:rsid w:val="008268CD"/>
    <w:rsid w:val="008419B4"/>
    <w:rsid w:val="008443B9"/>
    <w:rsid w:val="00845E55"/>
    <w:rsid w:val="00850928"/>
    <w:rsid w:val="008518A7"/>
    <w:rsid w:val="00864541"/>
    <w:rsid w:val="008753B2"/>
    <w:rsid w:val="008A3307"/>
    <w:rsid w:val="008B46C6"/>
    <w:rsid w:val="008B5311"/>
    <w:rsid w:val="008C05D3"/>
    <w:rsid w:val="008C3AAA"/>
    <w:rsid w:val="008D182D"/>
    <w:rsid w:val="008D3CAF"/>
    <w:rsid w:val="008D5C04"/>
    <w:rsid w:val="008D684E"/>
    <w:rsid w:val="008D7A6F"/>
    <w:rsid w:val="008E627F"/>
    <w:rsid w:val="008F0B82"/>
    <w:rsid w:val="009006D8"/>
    <w:rsid w:val="00904040"/>
    <w:rsid w:val="009059AC"/>
    <w:rsid w:val="00914206"/>
    <w:rsid w:val="00915B80"/>
    <w:rsid w:val="009172BA"/>
    <w:rsid w:val="00923C65"/>
    <w:rsid w:val="0092654C"/>
    <w:rsid w:val="00927D0A"/>
    <w:rsid w:val="00961363"/>
    <w:rsid w:val="00961489"/>
    <w:rsid w:val="009666A4"/>
    <w:rsid w:val="009751B4"/>
    <w:rsid w:val="0097584B"/>
    <w:rsid w:val="00993349"/>
    <w:rsid w:val="009936C7"/>
    <w:rsid w:val="00997A5D"/>
    <w:rsid w:val="00997AA7"/>
    <w:rsid w:val="009A2EF7"/>
    <w:rsid w:val="009A3631"/>
    <w:rsid w:val="009A4F24"/>
    <w:rsid w:val="009B1EFA"/>
    <w:rsid w:val="009B43F9"/>
    <w:rsid w:val="009D14BD"/>
    <w:rsid w:val="009E1162"/>
    <w:rsid w:val="009E126C"/>
    <w:rsid w:val="009F1D2B"/>
    <w:rsid w:val="00A06A6E"/>
    <w:rsid w:val="00A2080E"/>
    <w:rsid w:val="00A23362"/>
    <w:rsid w:val="00A35E14"/>
    <w:rsid w:val="00A41951"/>
    <w:rsid w:val="00A426D5"/>
    <w:rsid w:val="00A50005"/>
    <w:rsid w:val="00A64AE8"/>
    <w:rsid w:val="00A64E31"/>
    <w:rsid w:val="00A65664"/>
    <w:rsid w:val="00A66E4F"/>
    <w:rsid w:val="00AA2B2E"/>
    <w:rsid w:val="00AB1191"/>
    <w:rsid w:val="00AB4C9F"/>
    <w:rsid w:val="00AC0F65"/>
    <w:rsid w:val="00AD1D66"/>
    <w:rsid w:val="00AD36EE"/>
    <w:rsid w:val="00AE3FBC"/>
    <w:rsid w:val="00B00F2C"/>
    <w:rsid w:val="00B1217D"/>
    <w:rsid w:val="00B12323"/>
    <w:rsid w:val="00B2288D"/>
    <w:rsid w:val="00B405BD"/>
    <w:rsid w:val="00B43964"/>
    <w:rsid w:val="00B54912"/>
    <w:rsid w:val="00B553A2"/>
    <w:rsid w:val="00B6092D"/>
    <w:rsid w:val="00B60A25"/>
    <w:rsid w:val="00B60C41"/>
    <w:rsid w:val="00B622DE"/>
    <w:rsid w:val="00B62A64"/>
    <w:rsid w:val="00B63F1A"/>
    <w:rsid w:val="00B65B02"/>
    <w:rsid w:val="00B67FD2"/>
    <w:rsid w:val="00B841EC"/>
    <w:rsid w:val="00B9050C"/>
    <w:rsid w:val="00B90BA7"/>
    <w:rsid w:val="00BA4758"/>
    <w:rsid w:val="00BA6A45"/>
    <w:rsid w:val="00BB21E8"/>
    <w:rsid w:val="00BB349B"/>
    <w:rsid w:val="00BB6B4F"/>
    <w:rsid w:val="00BB790E"/>
    <w:rsid w:val="00BB7EDD"/>
    <w:rsid w:val="00BD3227"/>
    <w:rsid w:val="00BD3F0E"/>
    <w:rsid w:val="00BD4917"/>
    <w:rsid w:val="00BD763E"/>
    <w:rsid w:val="00BE25F4"/>
    <w:rsid w:val="00BE5274"/>
    <w:rsid w:val="00C06064"/>
    <w:rsid w:val="00C15B66"/>
    <w:rsid w:val="00C305D3"/>
    <w:rsid w:val="00C34E85"/>
    <w:rsid w:val="00C3746D"/>
    <w:rsid w:val="00C55300"/>
    <w:rsid w:val="00C57ADE"/>
    <w:rsid w:val="00C605ED"/>
    <w:rsid w:val="00C6291A"/>
    <w:rsid w:val="00C67818"/>
    <w:rsid w:val="00C71577"/>
    <w:rsid w:val="00C73C3E"/>
    <w:rsid w:val="00C75B82"/>
    <w:rsid w:val="00C8001E"/>
    <w:rsid w:val="00C81ABA"/>
    <w:rsid w:val="00C925AA"/>
    <w:rsid w:val="00C9578C"/>
    <w:rsid w:val="00C96D75"/>
    <w:rsid w:val="00CA1E7E"/>
    <w:rsid w:val="00CA75C9"/>
    <w:rsid w:val="00CB4F68"/>
    <w:rsid w:val="00CB7AD6"/>
    <w:rsid w:val="00CC64F8"/>
    <w:rsid w:val="00CC788B"/>
    <w:rsid w:val="00CC7AB2"/>
    <w:rsid w:val="00CD3B17"/>
    <w:rsid w:val="00CE1438"/>
    <w:rsid w:val="00CE6F4C"/>
    <w:rsid w:val="00CF68F4"/>
    <w:rsid w:val="00CF694B"/>
    <w:rsid w:val="00D03194"/>
    <w:rsid w:val="00D328E4"/>
    <w:rsid w:val="00D44E40"/>
    <w:rsid w:val="00D5092C"/>
    <w:rsid w:val="00D54DA8"/>
    <w:rsid w:val="00D63951"/>
    <w:rsid w:val="00D645DA"/>
    <w:rsid w:val="00D67993"/>
    <w:rsid w:val="00D84EF4"/>
    <w:rsid w:val="00D91EB2"/>
    <w:rsid w:val="00DA19BB"/>
    <w:rsid w:val="00DB0C9F"/>
    <w:rsid w:val="00DB682C"/>
    <w:rsid w:val="00DC3DA2"/>
    <w:rsid w:val="00DC4046"/>
    <w:rsid w:val="00DD49E5"/>
    <w:rsid w:val="00DD5621"/>
    <w:rsid w:val="00DE079A"/>
    <w:rsid w:val="00DE6D3F"/>
    <w:rsid w:val="00E0286C"/>
    <w:rsid w:val="00E04FC2"/>
    <w:rsid w:val="00E063BC"/>
    <w:rsid w:val="00E0707B"/>
    <w:rsid w:val="00E155B9"/>
    <w:rsid w:val="00E2094C"/>
    <w:rsid w:val="00E324C9"/>
    <w:rsid w:val="00E44F03"/>
    <w:rsid w:val="00E4603E"/>
    <w:rsid w:val="00E524B5"/>
    <w:rsid w:val="00E60334"/>
    <w:rsid w:val="00E83225"/>
    <w:rsid w:val="00E940BA"/>
    <w:rsid w:val="00E968E0"/>
    <w:rsid w:val="00EB3359"/>
    <w:rsid w:val="00EC3AC9"/>
    <w:rsid w:val="00EC7B3F"/>
    <w:rsid w:val="00ED5A24"/>
    <w:rsid w:val="00ED6295"/>
    <w:rsid w:val="00F12AF8"/>
    <w:rsid w:val="00F22BF0"/>
    <w:rsid w:val="00F23597"/>
    <w:rsid w:val="00F31D31"/>
    <w:rsid w:val="00F33689"/>
    <w:rsid w:val="00F36DD3"/>
    <w:rsid w:val="00F375D6"/>
    <w:rsid w:val="00F54927"/>
    <w:rsid w:val="00F55A7E"/>
    <w:rsid w:val="00F6109A"/>
    <w:rsid w:val="00F623E5"/>
    <w:rsid w:val="00F62D3D"/>
    <w:rsid w:val="00F6344F"/>
    <w:rsid w:val="00F73C91"/>
    <w:rsid w:val="00FB3DC9"/>
    <w:rsid w:val="00FB4465"/>
    <w:rsid w:val="00FB5C92"/>
    <w:rsid w:val="00FC2ECC"/>
    <w:rsid w:val="00FC528F"/>
    <w:rsid w:val="00FC72EA"/>
    <w:rsid w:val="00FD173B"/>
    <w:rsid w:val="00FD32E4"/>
    <w:rsid w:val="00FD5D13"/>
    <w:rsid w:val="00FF1523"/>
    <w:rsid w:val="00FF52BF"/>
    <w:rsid w:val="087F8DB7"/>
    <w:rsid w:val="0A11F7A2"/>
    <w:rsid w:val="0FC4E091"/>
    <w:rsid w:val="1FB1212C"/>
    <w:rsid w:val="228B3CAD"/>
    <w:rsid w:val="22BDF0EA"/>
    <w:rsid w:val="2459C14B"/>
    <w:rsid w:val="2E40B8A7"/>
    <w:rsid w:val="3E5EC9F7"/>
    <w:rsid w:val="3FFA9A58"/>
    <w:rsid w:val="41426402"/>
    <w:rsid w:val="4B01CC06"/>
    <w:rsid w:val="57475AB4"/>
    <w:rsid w:val="75825F8D"/>
    <w:rsid w:val="78E37E2A"/>
    <w:rsid w:val="7A54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A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E5"/>
    <w:pPr>
      <w:spacing w:after="240" w:line="240" w:lineRule="auto"/>
      <w:jc w:val="both"/>
    </w:pPr>
    <w:rPr>
      <w:rFonts w:ascii="Rockwell Nova Light" w:hAnsi="Rockwell Nova Light"/>
      <w:sz w:val="20"/>
    </w:rPr>
  </w:style>
  <w:style w:type="paragraph" w:styleId="Heading1">
    <w:name w:val="heading 1"/>
    <w:basedOn w:val="Normal"/>
    <w:next w:val="Normal"/>
    <w:link w:val="Heading1Char"/>
    <w:uiPriority w:val="9"/>
    <w:qFormat/>
    <w:rsid w:val="003446DF"/>
    <w:pPr>
      <w:keepNext/>
      <w:keepLines/>
      <w:spacing w:before="360" w:after="160"/>
      <w:jc w:val="center"/>
      <w:outlineLvl w:val="0"/>
    </w:pPr>
    <w:rPr>
      <w:rFonts w:eastAsiaTheme="majorEastAsia" w:cstheme="majorBidi"/>
      <w:b/>
      <w:sz w:val="24"/>
      <w:szCs w:val="32"/>
      <w:u w:val="single"/>
    </w:rPr>
  </w:style>
  <w:style w:type="paragraph" w:styleId="Heading2">
    <w:name w:val="heading 2"/>
    <w:basedOn w:val="Normal"/>
    <w:next w:val="Normal"/>
    <w:link w:val="Heading2Char"/>
    <w:uiPriority w:val="9"/>
    <w:qFormat/>
    <w:rsid w:val="003446DF"/>
    <w:pPr>
      <w:keepNext/>
      <w:keepLines/>
      <w:spacing w:before="280" w:after="120"/>
      <w:outlineLvl w:val="1"/>
    </w:pPr>
    <w:rPr>
      <w:rFonts w:eastAsiaTheme="majorEastAsia" w:cstheme="majorBidi"/>
      <w:b/>
      <w:sz w:val="22"/>
      <w:szCs w:val="26"/>
    </w:rPr>
  </w:style>
  <w:style w:type="paragraph" w:styleId="Heading3">
    <w:name w:val="heading 3"/>
    <w:basedOn w:val="Normal"/>
    <w:next w:val="Normal"/>
    <w:link w:val="Heading3Char"/>
    <w:uiPriority w:val="9"/>
    <w:qFormat/>
    <w:rsid w:val="003446DF"/>
    <w:pPr>
      <w:keepNext/>
      <w:keepLines/>
      <w:spacing w:before="280" w:after="80"/>
      <w:outlineLvl w:val="2"/>
    </w:pPr>
    <w:rPr>
      <w:rFonts w:eastAsiaTheme="majorEastAsia" w:cstheme="majorBidi"/>
      <w:sz w:val="22"/>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3446DF"/>
    <w:rPr>
      <w:rFonts w:ascii="Rockwell Nova Light" w:eastAsiaTheme="majorEastAsia" w:hAnsi="Rockwell Nova Light" w:cstheme="majorBidi"/>
      <w:b/>
      <w:sz w:val="24"/>
      <w:szCs w:val="32"/>
      <w:u w:val="single"/>
    </w:rPr>
  </w:style>
  <w:style w:type="character" w:customStyle="1" w:styleId="Heading2Char">
    <w:name w:val="Heading 2 Char"/>
    <w:basedOn w:val="DefaultParagraphFont"/>
    <w:link w:val="Heading2"/>
    <w:uiPriority w:val="9"/>
    <w:rsid w:val="003446DF"/>
    <w:rPr>
      <w:rFonts w:ascii="Rockwell Nova Light" w:eastAsiaTheme="majorEastAsia" w:hAnsi="Rockwell Nova Light" w:cstheme="majorBidi"/>
      <w:b/>
      <w:szCs w:val="26"/>
    </w:rPr>
  </w:style>
  <w:style w:type="character" w:customStyle="1" w:styleId="Heading3Char">
    <w:name w:val="Heading 3 Char"/>
    <w:basedOn w:val="DefaultParagraphFont"/>
    <w:link w:val="Heading3"/>
    <w:uiPriority w:val="9"/>
    <w:rsid w:val="003446DF"/>
    <w:rPr>
      <w:rFonts w:ascii="Rockwell Nova Light" w:eastAsiaTheme="majorEastAsia" w:hAnsi="Rockwell Nova Light" w:cstheme="majorBidi"/>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Perpetua" w:hAnsi="Perpetua"/>
      <w:sz w:val="24"/>
    </w:rPr>
  </w:style>
  <w:style w:type="paragraph" w:styleId="FootnoteText">
    <w:name w:val="footnote text"/>
    <w:basedOn w:val="Normal"/>
    <w:link w:val="FootnoteTextChar"/>
    <w:uiPriority w:val="99"/>
    <w:unhideWhenUsed/>
    <w:rsid w:val="00C8001E"/>
    <w:pPr>
      <w:spacing w:after="0"/>
    </w:pPr>
    <w:rPr>
      <w:szCs w:val="20"/>
    </w:rPr>
  </w:style>
  <w:style w:type="character" w:customStyle="1" w:styleId="FootnoteTextChar">
    <w:name w:val="Footnote Text Char"/>
    <w:basedOn w:val="DefaultParagraphFont"/>
    <w:link w:val="FootnoteText"/>
    <w:uiPriority w:val="99"/>
    <w:rsid w:val="00C8001E"/>
    <w:rPr>
      <w:sz w:val="20"/>
      <w:szCs w:val="20"/>
    </w:rPr>
  </w:style>
  <w:style w:type="character" w:styleId="FootnoteReference">
    <w:name w:val="footnote reference"/>
    <w:basedOn w:val="DefaultParagraphFont"/>
    <w:uiPriority w:val="99"/>
    <w:semiHidden/>
    <w:unhideWhenUsed/>
    <w:rsid w:val="00C8001E"/>
    <w:rPr>
      <w:vertAlign w:val="superscript"/>
    </w:rPr>
  </w:style>
  <w:style w:type="character" w:styleId="Hyperlink">
    <w:name w:val="Hyperlink"/>
    <w:basedOn w:val="DefaultParagraphFont"/>
    <w:uiPriority w:val="99"/>
    <w:unhideWhenUsed/>
    <w:rsid w:val="00CC7AB2"/>
    <w:rPr>
      <w:color w:val="B40000"/>
      <w:u w:val="single"/>
    </w:rPr>
  </w:style>
  <w:style w:type="character" w:styleId="UnresolvedMention">
    <w:name w:val="Unresolved Mention"/>
    <w:basedOn w:val="DefaultParagraphFont"/>
    <w:uiPriority w:val="99"/>
    <w:semiHidden/>
    <w:unhideWhenUsed/>
    <w:rsid w:val="005C4FC7"/>
    <w:rPr>
      <w:color w:val="605E5C"/>
      <w:shd w:val="clear" w:color="auto" w:fill="E1DFDD"/>
    </w:rPr>
  </w:style>
  <w:style w:type="paragraph" w:customStyle="1" w:styleId="Footnote">
    <w:name w:val="Footnote"/>
    <w:basedOn w:val="Normal"/>
    <w:autoRedefine/>
    <w:qFormat/>
    <w:rsid w:val="00174A25"/>
    <w:pPr>
      <w:spacing w:after="0"/>
    </w:pPr>
    <w:rPr>
      <w:sz w:val="16"/>
    </w:rPr>
  </w:style>
  <w:style w:type="paragraph" w:styleId="ListParagraph">
    <w:name w:val="List Paragraph"/>
    <w:basedOn w:val="Normal"/>
    <w:uiPriority w:val="34"/>
    <w:unhideWhenUsed/>
    <w:qFormat/>
    <w:rsid w:val="002C1FC5"/>
    <w:pPr>
      <w:ind w:left="720"/>
      <w:contextualSpacing/>
    </w:pPr>
  </w:style>
  <w:style w:type="table" w:styleId="TableGrid">
    <w:name w:val="Table Grid"/>
    <w:basedOn w:val="TableNormal"/>
    <w:uiPriority w:val="59"/>
    <w:rsid w:val="003B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91A"/>
    <w:pPr>
      <w:tabs>
        <w:tab w:val="center" w:pos="4680"/>
        <w:tab w:val="right" w:pos="9360"/>
      </w:tabs>
      <w:spacing w:after="0"/>
    </w:pPr>
  </w:style>
  <w:style w:type="character" w:customStyle="1" w:styleId="HeaderChar">
    <w:name w:val="Header Char"/>
    <w:basedOn w:val="DefaultParagraphFont"/>
    <w:link w:val="Header"/>
    <w:uiPriority w:val="99"/>
    <w:rsid w:val="00C6291A"/>
    <w:rPr>
      <w:rFonts w:ascii="Garamond" w:hAnsi="Garamond"/>
      <w:sz w:val="24"/>
    </w:rPr>
  </w:style>
  <w:style w:type="paragraph" w:styleId="Footer">
    <w:name w:val="footer"/>
    <w:basedOn w:val="Normal"/>
    <w:link w:val="FooterChar"/>
    <w:uiPriority w:val="99"/>
    <w:unhideWhenUsed/>
    <w:rsid w:val="00C6291A"/>
    <w:pPr>
      <w:tabs>
        <w:tab w:val="center" w:pos="4680"/>
        <w:tab w:val="right" w:pos="9360"/>
      </w:tabs>
      <w:spacing w:after="0"/>
    </w:pPr>
  </w:style>
  <w:style w:type="character" w:customStyle="1" w:styleId="FooterChar">
    <w:name w:val="Footer Char"/>
    <w:basedOn w:val="DefaultParagraphFont"/>
    <w:link w:val="Footer"/>
    <w:uiPriority w:val="99"/>
    <w:rsid w:val="00C6291A"/>
    <w:rPr>
      <w:rFonts w:ascii="Garamond" w:hAnsi="Garamond"/>
      <w:sz w:val="24"/>
    </w:rPr>
  </w:style>
  <w:style w:type="paragraph" w:styleId="NoSpacing">
    <w:name w:val="No Spacing"/>
    <w:link w:val="NoSpacingChar"/>
    <w:uiPriority w:val="1"/>
    <w:qFormat/>
    <w:rsid w:val="00D645DA"/>
    <w:pPr>
      <w:spacing w:after="0" w:line="240" w:lineRule="auto"/>
    </w:pPr>
    <w:rPr>
      <w:rFonts w:eastAsiaTheme="minorEastAsia"/>
    </w:rPr>
  </w:style>
  <w:style w:type="character" w:customStyle="1" w:styleId="NoSpacingChar">
    <w:name w:val="No Spacing Char"/>
    <w:basedOn w:val="DefaultParagraphFont"/>
    <w:link w:val="NoSpacing"/>
    <w:uiPriority w:val="1"/>
    <w:rsid w:val="00D645DA"/>
    <w:rPr>
      <w:rFonts w:eastAsiaTheme="minorEastAsia"/>
    </w:rPr>
  </w:style>
  <w:style w:type="paragraph" w:styleId="Revision">
    <w:name w:val="Revision"/>
    <w:hidden/>
    <w:uiPriority w:val="99"/>
    <w:semiHidden/>
    <w:rsid w:val="009A2EF7"/>
    <w:pPr>
      <w:spacing w:after="0" w:line="240" w:lineRule="auto"/>
    </w:pPr>
    <w:rPr>
      <w:rFonts w:ascii="Perpetua" w:hAnsi="Perpetua"/>
      <w:sz w:val="24"/>
    </w:rPr>
  </w:style>
  <w:style w:type="character" w:styleId="CommentReference">
    <w:name w:val="annotation reference"/>
    <w:basedOn w:val="DefaultParagraphFont"/>
    <w:uiPriority w:val="99"/>
    <w:semiHidden/>
    <w:unhideWhenUsed/>
    <w:rsid w:val="00CE6F4C"/>
    <w:rPr>
      <w:sz w:val="16"/>
      <w:szCs w:val="16"/>
    </w:rPr>
  </w:style>
  <w:style w:type="paragraph" w:styleId="CommentText">
    <w:name w:val="annotation text"/>
    <w:basedOn w:val="Normal"/>
    <w:link w:val="CommentTextChar"/>
    <w:uiPriority w:val="99"/>
    <w:unhideWhenUsed/>
    <w:rsid w:val="00CE6F4C"/>
    <w:rPr>
      <w:szCs w:val="20"/>
    </w:rPr>
  </w:style>
  <w:style w:type="character" w:customStyle="1" w:styleId="CommentTextChar">
    <w:name w:val="Comment Text Char"/>
    <w:basedOn w:val="DefaultParagraphFont"/>
    <w:link w:val="CommentText"/>
    <w:uiPriority w:val="99"/>
    <w:rsid w:val="00CE6F4C"/>
    <w:rPr>
      <w:rFonts w:ascii="Perpetua" w:hAnsi="Perpetua"/>
      <w:sz w:val="20"/>
      <w:szCs w:val="20"/>
    </w:rPr>
  </w:style>
  <w:style w:type="paragraph" w:styleId="CommentSubject">
    <w:name w:val="annotation subject"/>
    <w:basedOn w:val="CommentText"/>
    <w:next w:val="CommentText"/>
    <w:link w:val="CommentSubjectChar"/>
    <w:uiPriority w:val="99"/>
    <w:semiHidden/>
    <w:unhideWhenUsed/>
    <w:rsid w:val="00CE6F4C"/>
    <w:rPr>
      <w:b/>
      <w:bCs/>
    </w:rPr>
  </w:style>
  <w:style w:type="character" w:customStyle="1" w:styleId="CommentSubjectChar">
    <w:name w:val="Comment Subject Char"/>
    <w:basedOn w:val="CommentTextChar"/>
    <w:link w:val="CommentSubject"/>
    <w:uiPriority w:val="99"/>
    <w:semiHidden/>
    <w:rsid w:val="00CE6F4C"/>
    <w:rPr>
      <w:rFonts w:ascii="Perpetua" w:hAnsi="Perpetua"/>
      <w:b/>
      <w:bCs/>
      <w:sz w:val="20"/>
      <w:szCs w:val="20"/>
    </w:rPr>
  </w:style>
  <w:style w:type="character" w:styleId="EndnoteReference">
    <w:name w:val="endnote reference"/>
    <w:basedOn w:val="DefaultParagraphFont"/>
    <w:uiPriority w:val="99"/>
    <w:semiHidden/>
    <w:unhideWhenUsed/>
    <w:rsid w:val="00685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4003">
      <w:bodyDiv w:val="1"/>
      <w:marLeft w:val="0"/>
      <w:marRight w:val="0"/>
      <w:marTop w:val="0"/>
      <w:marBottom w:val="0"/>
      <w:divBdr>
        <w:top w:val="none" w:sz="0" w:space="0" w:color="auto"/>
        <w:left w:val="none" w:sz="0" w:space="0" w:color="auto"/>
        <w:bottom w:val="none" w:sz="0" w:space="0" w:color="auto"/>
        <w:right w:val="none" w:sz="0" w:space="0" w:color="auto"/>
      </w:divBdr>
    </w:div>
    <w:div w:id="487287966">
      <w:bodyDiv w:val="1"/>
      <w:marLeft w:val="0"/>
      <w:marRight w:val="0"/>
      <w:marTop w:val="0"/>
      <w:marBottom w:val="0"/>
      <w:divBdr>
        <w:top w:val="none" w:sz="0" w:space="0" w:color="auto"/>
        <w:left w:val="none" w:sz="0" w:space="0" w:color="auto"/>
        <w:bottom w:val="none" w:sz="0" w:space="0" w:color="auto"/>
        <w:right w:val="none" w:sz="0" w:space="0" w:color="auto"/>
      </w:divBdr>
      <w:divsChild>
        <w:div w:id="1868832455">
          <w:marLeft w:val="547"/>
          <w:marRight w:val="0"/>
          <w:marTop w:val="82"/>
          <w:marBottom w:val="120"/>
          <w:divBdr>
            <w:top w:val="none" w:sz="0" w:space="0" w:color="auto"/>
            <w:left w:val="none" w:sz="0" w:space="0" w:color="auto"/>
            <w:bottom w:val="none" w:sz="0" w:space="0" w:color="auto"/>
            <w:right w:val="none" w:sz="0" w:space="0" w:color="auto"/>
          </w:divBdr>
        </w:div>
        <w:div w:id="1405760823">
          <w:marLeft w:val="547"/>
          <w:marRight w:val="0"/>
          <w:marTop w:val="82"/>
          <w:marBottom w:val="120"/>
          <w:divBdr>
            <w:top w:val="none" w:sz="0" w:space="0" w:color="auto"/>
            <w:left w:val="none" w:sz="0" w:space="0" w:color="auto"/>
            <w:bottom w:val="none" w:sz="0" w:space="0" w:color="auto"/>
            <w:right w:val="none" w:sz="0" w:space="0" w:color="auto"/>
          </w:divBdr>
        </w:div>
        <w:div w:id="606157571">
          <w:marLeft w:val="547"/>
          <w:marRight w:val="0"/>
          <w:marTop w:val="82"/>
          <w:marBottom w:val="120"/>
          <w:divBdr>
            <w:top w:val="none" w:sz="0" w:space="0" w:color="auto"/>
            <w:left w:val="none" w:sz="0" w:space="0" w:color="auto"/>
            <w:bottom w:val="none" w:sz="0" w:space="0" w:color="auto"/>
            <w:right w:val="none" w:sz="0" w:space="0" w:color="auto"/>
          </w:divBdr>
        </w:div>
        <w:div w:id="426779978">
          <w:marLeft w:val="547"/>
          <w:marRight w:val="0"/>
          <w:marTop w:val="82"/>
          <w:marBottom w:val="120"/>
          <w:divBdr>
            <w:top w:val="none" w:sz="0" w:space="0" w:color="auto"/>
            <w:left w:val="none" w:sz="0" w:space="0" w:color="auto"/>
            <w:bottom w:val="none" w:sz="0" w:space="0" w:color="auto"/>
            <w:right w:val="none" w:sz="0" w:space="0" w:color="auto"/>
          </w:divBdr>
        </w:div>
      </w:divsChild>
    </w:div>
    <w:div w:id="728456034">
      <w:bodyDiv w:val="1"/>
      <w:marLeft w:val="0"/>
      <w:marRight w:val="0"/>
      <w:marTop w:val="0"/>
      <w:marBottom w:val="0"/>
      <w:divBdr>
        <w:top w:val="none" w:sz="0" w:space="0" w:color="auto"/>
        <w:left w:val="none" w:sz="0" w:space="0" w:color="auto"/>
        <w:bottom w:val="none" w:sz="0" w:space="0" w:color="auto"/>
        <w:right w:val="none" w:sz="0" w:space="0" w:color="auto"/>
      </w:divBdr>
      <w:divsChild>
        <w:div w:id="2107651726">
          <w:marLeft w:val="547"/>
          <w:marRight w:val="0"/>
          <w:marTop w:val="77"/>
          <w:marBottom w:val="120"/>
          <w:divBdr>
            <w:top w:val="none" w:sz="0" w:space="0" w:color="auto"/>
            <w:left w:val="none" w:sz="0" w:space="0" w:color="auto"/>
            <w:bottom w:val="none" w:sz="0" w:space="0" w:color="auto"/>
            <w:right w:val="none" w:sz="0" w:space="0" w:color="auto"/>
          </w:divBdr>
        </w:div>
        <w:div w:id="376122968">
          <w:marLeft w:val="547"/>
          <w:marRight w:val="0"/>
          <w:marTop w:val="77"/>
          <w:marBottom w:val="120"/>
          <w:divBdr>
            <w:top w:val="none" w:sz="0" w:space="0" w:color="auto"/>
            <w:left w:val="none" w:sz="0" w:space="0" w:color="auto"/>
            <w:bottom w:val="none" w:sz="0" w:space="0" w:color="auto"/>
            <w:right w:val="none" w:sz="0" w:space="0" w:color="auto"/>
          </w:divBdr>
        </w:div>
        <w:div w:id="691494882">
          <w:marLeft w:val="547"/>
          <w:marRight w:val="0"/>
          <w:marTop w:val="77"/>
          <w:marBottom w:val="120"/>
          <w:divBdr>
            <w:top w:val="none" w:sz="0" w:space="0" w:color="auto"/>
            <w:left w:val="none" w:sz="0" w:space="0" w:color="auto"/>
            <w:bottom w:val="none" w:sz="0" w:space="0" w:color="auto"/>
            <w:right w:val="none" w:sz="0" w:space="0" w:color="auto"/>
          </w:divBdr>
        </w:div>
        <w:div w:id="162863178">
          <w:marLeft w:val="547"/>
          <w:marRight w:val="0"/>
          <w:marTop w:val="77"/>
          <w:marBottom w:val="120"/>
          <w:divBdr>
            <w:top w:val="none" w:sz="0" w:space="0" w:color="auto"/>
            <w:left w:val="none" w:sz="0" w:space="0" w:color="auto"/>
            <w:bottom w:val="none" w:sz="0" w:space="0" w:color="auto"/>
            <w:right w:val="none" w:sz="0" w:space="0" w:color="auto"/>
          </w:divBdr>
        </w:div>
        <w:div w:id="1050804725">
          <w:marLeft w:val="547"/>
          <w:marRight w:val="0"/>
          <w:marTop w:val="77"/>
          <w:marBottom w:val="120"/>
          <w:divBdr>
            <w:top w:val="none" w:sz="0" w:space="0" w:color="auto"/>
            <w:left w:val="none" w:sz="0" w:space="0" w:color="auto"/>
            <w:bottom w:val="none" w:sz="0" w:space="0" w:color="auto"/>
            <w:right w:val="none" w:sz="0" w:space="0" w:color="auto"/>
          </w:divBdr>
        </w:div>
      </w:divsChild>
    </w:div>
    <w:div w:id="772360628">
      <w:bodyDiv w:val="1"/>
      <w:marLeft w:val="0"/>
      <w:marRight w:val="0"/>
      <w:marTop w:val="0"/>
      <w:marBottom w:val="0"/>
      <w:divBdr>
        <w:top w:val="none" w:sz="0" w:space="0" w:color="auto"/>
        <w:left w:val="none" w:sz="0" w:space="0" w:color="auto"/>
        <w:bottom w:val="none" w:sz="0" w:space="0" w:color="auto"/>
        <w:right w:val="none" w:sz="0" w:space="0" w:color="auto"/>
      </w:divBdr>
    </w:div>
    <w:div w:id="18349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hecht@mt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c.gov/Uniformity/Project-Teams/Sales-Tax-on-Digital-Produ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taxfoundation.org/state-sales-tax-base-reliance/" TargetMode="External"/><Relationship Id="rId3" Type="http://schemas.openxmlformats.org/officeDocument/2006/relationships/hyperlink" Target="https://www.mtc.gov/The-Commission/Multistate-Tax-Compact" TargetMode="External"/><Relationship Id="rId7" Type="http://schemas.openxmlformats.org/officeDocument/2006/relationships/hyperlink" Target="https://www.brookings.edu/blog/up-front/2018/07/16/the-history-and-future-of-the-retail-sales-tax/" TargetMode="External"/><Relationship Id="rId2" Type="http://schemas.openxmlformats.org/officeDocument/2006/relationships/hyperlink" Target="https://scholarship.law.wm.edu/cgi/viewcontent.cgi?article=1630&amp;context=tax" TargetMode="External"/><Relationship Id="rId1" Type="http://schemas.openxmlformats.org/officeDocument/2006/relationships/hyperlink" Target="https://taxfoundation.org/when-did-your-state-adopt-its-sales-tax/" TargetMode="External"/><Relationship Id="rId6" Type="http://schemas.openxmlformats.org/officeDocument/2006/relationships/hyperlink" Target="https://www.census.gov/programs-surveys/stc.html" TargetMode="External"/><Relationship Id="rId11" Type="http://schemas.openxmlformats.org/officeDocument/2006/relationships/hyperlink" Target="https://digitalcommons.law.byu.edu/cgi/viewcontent.cgi?article=2052&amp;context=lawreview" TargetMode="External"/><Relationship Id="rId5" Type="http://schemas.openxmlformats.org/officeDocument/2006/relationships/hyperlink" Target="https://www.cbo.gov/system/files/112th-congress-2011-2012/costestimate/hr1860.pdf" TargetMode="External"/><Relationship Id="rId10" Type="http://schemas.openxmlformats.org/officeDocument/2006/relationships/hyperlink" Target="https://www.cbpp.org/research/state-budget-and-tax/expanding-sales-taxation-of-services-options-and-issues" TargetMode="External"/><Relationship Id="rId4" Type="http://schemas.openxmlformats.org/officeDocument/2006/relationships/hyperlink" Target="https://www.mtc.gov/The-Commission/Policy-Statements-Resolutions" TargetMode="External"/><Relationship Id="rId9" Type="http://schemas.openxmlformats.org/officeDocument/2006/relationships/hyperlink" Target="https://itep.sfo2.digitaloceanspaces.com/whopays-ITEP-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2FCCE0228EC45A86511FE22CB12E4" ma:contentTypeVersion="2" ma:contentTypeDescription="Create a new document." ma:contentTypeScope="" ma:versionID="37cd8b80bf3889edb08764b44cc236f8">
  <xsd:schema xmlns:xsd="http://www.w3.org/2001/XMLSchema" xmlns:xs="http://www.w3.org/2001/XMLSchema" xmlns:p="http://schemas.microsoft.com/office/2006/metadata/properties" xmlns:ns2="f8b745c1-5ca4-4f37-b90b-9994a6faa5ca" targetNamespace="http://schemas.microsoft.com/office/2006/metadata/properties" ma:root="true" ma:fieldsID="448b0b84ef8385bddfc4e67f3cafb4f2" ns2:_="">
    <xsd:import namespace="f8b745c1-5ca4-4f37-b90b-9994a6faa5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45c1-5ca4-4f37-b90b-9994a6faa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796A2-ED07-4788-964F-22ACE79E7EDA}">
  <ds:schemaRefs>
    <ds:schemaRef ds:uri="http://schemas.openxmlformats.org/officeDocument/2006/bibliography"/>
  </ds:schemaRefs>
</ds:datastoreItem>
</file>

<file path=customXml/itemProps2.xml><?xml version="1.0" encoding="utf-8"?>
<ds:datastoreItem xmlns:ds="http://schemas.openxmlformats.org/officeDocument/2006/customXml" ds:itemID="{7B486FBE-0030-4BB6-BEE4-F5294A054C6D}">
  <ds:schemaRefs>
    <ds:schemaRef ds:uri="http://schemas.microsoft.com/sharepoint/v3/contenttype/forms"/>
  </ds:schemaRefs>
</ds:datastoreItem>
</file>

<file path=customXml/itemProps3.xml><?xml version="1.0" encoding="utf-8"?>
<ds:datastoreItem xmlns:ds="http://schemas.openxmlformats.org/officeDocument/2006/customXml" ds:itemID="{204F1712-20AB-44BE-842E-59457F2C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45c1-5ca4-4f37-b90b-9994a6fa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1A65D-64B1-4680-8590-F09702696A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2022-09-01T18:55:00Z</dcterms:created>
  <dcterms:modified xsi:type="dcterms:W3CDTF">2022-09-01T18:55:00Z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0x0101005912FCCE0228EC45A86511FE22CB12E4</vt:lpwstr>
  </property>
</Properties>
</file>